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0112B13" w14:textId="77777777" w:rsidR="00EE59C2" w:rsidRDefault="00CC5156" w:rsidP="00EE59C2">
      <w:pPr>
        <w:pStyle w:val="aff8"/>
      </w:pPr>
      <w:r>
        <w:rPr>
          <w:noProof/>
          <w:lang w:eastAsia="ru-RU"/>
        </w:rPr>
        <mc:AlternateContent>
          <mc:Choice Requires="wps">
            <w:drawing>
              <wp:anchor distT="0" distB="0" distL="114300" distR="114300" simplePos="0" relativeHeight="251660288" behindDoc="1" locked="0" layoutInCell="1" allowOverlap="1" wp14:anchorId="30112E3F" wp14:editId="30112E40">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30112E50" w14:textId="77777777" w:rsidR="00F6217A" w:rsidRDefault="00F6217A"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12E3F" id="Прямоугольник 3" o:spid="_x0000_s1026" style="position:absolute;left:0;text-align:left;margin-left:-64.8pt;margin-top:-38.7pt;width:551.25pt;height:6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" fillcolor="white [3212]" stroked="f">
                <v:textbox>
                  <w:txbxContent>
                    <w:p w14:paraId="30112E50" w14:textId="77777777" w:rsidR="00F6217A" w:rsidRDefault="00F6217A" w:rsidP="00F8226D">
                      <w:pPr>
                        <w:jc w:val="center"/>
                      </w:pPr>
                      <w:r>
                        <w:t>\9</w:t>
                      </w:r>
                    </w:p>
                  </w:txbxContent>
                </v:textbox>
              </v:rect>
            </w:pict>
          </mc:Fallback>
        </mc:AlternateContent>
      </w:r>
      <w:r w:rsidR="00F756F0">
        <w:rPr>
          <w:noProof/>
          <w:lang w:eastAsia="ru-RU"/>
        </w:rPr>
        <mc:AlternateContent>
          <mc:Choice Requires="wps">
            <w:drawing>
              <wp:anchor distT="0" distB="0" distL="114300" distR="114300" simplePos="0" relativeHeight="251659264" behindDoc="1" locked="0" layoutInCell="1" allowOverlap="1" wp14:anchorId="30112E41" wp14:editId="30112E42">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16693" id="Прямоугольник 3" o:spid="_x0000_s1026" style="position:absolute;margin-left:-2.8pt;margin-top:-87.7pt;width:598.55pt;height:86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mc:Fallback>
        </mc:AlternateContent>
      </w:r>
    </w:p>
    <w:p w14:paraId="30112B14" w14:textId="77777777" w:rsidR="00EE59C2" w:rsidRDefault="00EE59C2" w:rsidP="00EE59C2">
      <w:pPr>
        <w:pStyle w:val="aff8"/>
      </w:pPr>
    </w:p>
    <w:p w14:paraId="30112B15" w14:textId="77777777" w:rsidR="002145F1" w:rsidRDefault="002145F1" w:rsidP="002145F1"/>
    <w:p w14:paraId="30112B16" w14:textId="77777777" w:rsidR="002145F1" w:rsidRDefault="002145F1" w:rsidP="002145F1"/>
    <w:p w14:paraId="30112B17" w14:textId="77777777" w:rsidR="002145F1" w:rsidRDefault="002145F1" w:rsidP="002145F1"/>
    <w:p w14:paraId="30112B18" w14:textId="77777777" w:rsidR="002145F1" w:rsidRDefault="002145F1" w:rsidP="002145F1"/>
    <w:tbl>
      <w:tblPr>
        <w:tblStyle w:val="aff9"/>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14:paraId="30112B1A" w14:textId="77777777" w:rsidTr="00172112">
        <w:tc>
          <w:tcPr>
            <w:tcW w:w="9525" w:type="dxa"/>
            <w:gridSpan w:val="2"/>
          </w:tcPr>
          <w:p w14:paraId="30112B19" w14:textId="77777777" w:rsidR="00172112" w:rsidRDefault="00172112" w:rsidP="00172112">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172112" w14:paraId="30112B1C" w14:textId="77777777" w:rsidTr="00172112">
        <w:trPr>
          <w:trHeight w:val="1907"/>
        </w:trPr>
        <w:tc>
          <w:tcPr>
            <w:tcW w:w="9525" w:type="dxa"/>
            <w:gridSpan w:val="2"/>
          </w:tcPr>
          <w:p w14:paraId="30112B1B" w14:textId="77777777" w:rsidR="00172112" w:rsidRPr="00F539E0" w:rsidRDefault="00463D76" w:rsidP="00172112">
            <w:pPr>
              <w:tabs>
                <w:tab w:val="left" w:pos="6135"/>
              </w:tabs>
              <w:rPr>
                <w:sz w:val="28"/>
                <w:szCs w:val="28"/>
              </w:rPr>
            </w:pPr>
            <w:r>
              <w:rPr>
                <w:rFonts w:cs="Times New Roman"/>
                <w:b/>
                <w:color w:val="000000"/>
                <w:sz w:val="40"/>
                <w:szCs w:val="24"/>
              </w:rPr>
              <w:t>Лимфома маргинальной зоны</w:t>
            </w:r>
          </w:p>
        </w:tc>
      </w:tr>
      <w:tr w:rsidR="00221384" w14:paraId="30112B23" w14:textId="77777777" w:rsidTr="00221384">
        <w:trPr>
          <w:trHeight w:val="815"/>
        </w:trPr>
        <w:tc>
          <w:tcPr>
            <w:tcW w:w="3686" w:type="dxa"/>
          </w:tcPr>
          <w:p w14:paraId="30112B1D" w14:textId="77777777" w:rsidR="00221384" w:rsidRPr="002758A4" w:rsidRDefault="00221384" w:rsidP="00221384">
            <w:pPr>
              <w:tabs>
                <w:tab w:val="left" w:pos="6135"/>
              </w:tabs>
              <w:spacing w:line="276" w:lineRule="auto"/>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30112B1E" w14:textId="77777777" w:rsidR="00221384" w:rsidRPr="002758A4" w:rsidRDefault="00221384" w:rsidP="00221384">
            <w:pPr>
              <w:pStyle w:val="aff4"/>
              <w:spacing w:line="276" w:lineRule="auto"/>
              <w:ind w:firstLine="0"/>
              <w:jc w:val="right"/>
              <w:rPr>
                <w:sz w:val="24"/>
                <w:szCs w:val="28"/>
              </w:rPr>
            </w:pPr>
          </w:p>
        </w:tc>
        <w:tc>
          <w:tcPr>
            <w:tcW w:w="5839" w:type="dxa"/>
          </w:tcPr>
          <w:p w14:paraId="30112B1F" w14:textId="77777777" w:rsidR="00221384" w:rsidRDefault="00221384" w:rsidP="00221384">
            <w:pPr>
              <w:tabs>
                <w:tab w:val="left" w:pos="6135"/>
              </w:tabs>
              <w:spacing w:line="276" w:lineRule="auto"/>
              <w:ind w:firstLine="0"/>
              <w:jc w:val="left"/>
              <w:rPr>
                <w:szCs w:val="28"/>
              </w:rPr>
            </w:pPr>
          </w:p>
          <w:p w14:paraId="30112B20" w14:textId="77777777" w:rsidR="006619AD" w:rsidRDefault="006619AD" w:rsidP="00221384">
            <w:pPr>
              <w:tabs>
                <w:tab w:val="left" w:pos="6135"/>
              </w:tabs>
              <w:spacing w:line="276" w:lineRule="auto"/>
              <w:ind w:firstLine="0"/>
              <w:jc w:val="left"/>
              <w:rPr>
                <w:szCs w:val="28"/>
              </w:rPr>
            </w:pPr>
          </w:p>
          <w:p w14:paraId="30112B21" w14:textId="77777777" w:rsidR="006619AD" w:rsidRDefault="006619AD" w:rsidP="00221384">
            <w:pPr>
              <w:tabs>
                <w:tab w:val="left" w:pos="6135"/>
              </w:tabs>
              <w:spacing w:line="276" w:lineRule="auto"/>
              <w:ind w:firstLine="0"/>
              <w:jc w:val="left"/>
              <w:rPr>
                <w:szCs w:val="28"/>
              </w:rPr>
            </w:pPr>
          </w:p>
          <w:p w14:paraId="30112B22" w14:textId="77777777" w:rsidR="006619AD" w:rsidRPr="00F12E3F" w:rsidRDefault="00F12E3F" w:rsidP="00221384">
            <w:pPr>
              <w:tabs>
                <w:tab w:val="left" w:pos="6135"/>
              </w:tabs>
              <w:spacing w:line="276" w:lineRule="auto"/>
              <w:ind w:firstLine="0"/>
              <w:jc w:val="left"/>
              <w:rPr>
                <w:b/>
                <w:bCs/>
                <w:szCs w:val="28"/>
              </w:rPr>
            </w:pPr>
            <w:r w:rsidRPr="00F12E3F">
              <w:rPr>
                <w:rStyle w:val="pop-slug-vol"/>
                <w:b/>
                <w:bCs/>
              </w:rPr>
              <w:t>C8</w:t>
            </w:r>
            <w:r w:rsidR="00463D76">
              <w:rPr>
                <w:rStyle w:val="pop-slug-vol"/>
                <w:b/>
                <w:bCs/>
              </w:rPr>
              <w:t>3.0</w:t>
            </w:r>
          </w:p>
        </w:tc>
      </w:tr>
      <w:tr w:rsidR="00221384" w14:paraId="30112B26" w14:textId="77777777" w:rsidTr="00221384">
        <w:trPr>
          <w:trHeight w:val="815"/>
        </w:trPr>
        <w:tc>
          <w:tcPr>
            <w:tcW w:w="3686" w:type="dxa"/>
          </w:tcPr>
          <w:p w14:paraId="30112B24"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839" w:type="dxa"/>
          </w:tcPr>
          <w:p w14:paraId="30112B25" w14:textId="77777777" w:rsidR="00221384" w:rsidRPr="00221384" w:rsidRDefault="001260FA" w:rsidP="00221384">
            <w:pPr>
              <w:tabs>
                <w:tab w:val="left" w:pos="6135"/>
              </w:tabs>
              <w:spacing w:line="276" w:lineRule="auto"/>
              <w:ind w:firstLine="0"/>
              <w:jc w:val="left"/>
              <w:rPr>
                <w:color w:val="808080" w:themeColor="background1" w:themeShade="80"/>
                <w:szCs w:val="28"/>
              </w:rPr>
            </w:pPr>
            <w:r w:rsidRPr="006619AD">
              <w:rPr>
                <w:b/>
                <w:bCs/>
                <w:szCs w:val="28"/>
              </w:rPr>
              <w:t>В</w:t>
            </w:r>
            <w:r w:rsidR="006619AD" w:rsidRPr="006619AD">
              <w:rPr>
                <w:b/>
                <w:bCs/>
                <w:szCs w:val="28"/>
              </w:rPr>
              <w:t>зрослые</w:t>
            </w:r>
          </w:p>
        </w:tc>
      </w:tr>
      <w:tr w:rsidR="00221384" w14:paraId="30112B29" w14:textId="77777777" w:rsidTr="00221384">
        <w:trPr>
          <w:trHeight w:val="815"/>
        </w:trPr>
        <w:tc>
          <w:tcPr>
            <w:tcW w:w="3686" w:type="dxa"/>
          </w:tcPr>
          <w:p w14:paraId="30112B27"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color w:val="808080" w:themeColor="background1" w:themeShade="80"/>
              </w:rPr>
              <w:t>Год утверждения:</w:t>
            </w:r>
          </w:p>
        </w:tc>
        <w:tc>
          <w:tcPr>
            <w:tcW w:w="5839" w:type="dxa"/>
          </w:tcPr>
          <w:p w14:paraId="30112B28" w14:textId="77777777" w:rsidR="00221384" w:rsidRPr="00221384" w:rsidRDefault="00221384" w:rsidP="00221384">
            <w:pPr>
              <w:tabs>
                <w:tab w:val="left" w:pos="6135"/>
              </w:tabs>
              <w:spacing w:line="276" w:lineRule="auto"/>
              <w:ind w:firstLine="0"/>
              <w:jc w:val="left"/>
              <w:rPr>
                <w:b/>
              </w:rPr>
            </w:pPr>
          </w:p>
        </w:tc>
      </w:tr>
      <w:tr w:rsidR="00172112" w14:paraId="30112B2B" w14:textId="77777777" w:rsidTr="00172112">
        <w:tc>
          <w:tcPr>
            <w:tcW w:w="9525" w:type="dxa"/>
            <w:gridSpan w:val="2"/>
          </w:tcPr>
          <w:p w14:paraId="30112B2A" w14:textId="77777777" w:rsidR="00172112" w:rsidRPr="002758A4" w:rsidRDefault="00301C01" w:rsidP="00221384">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00172112">
              <w:rPr>
                <w:color w:val="808080" w:themeColor="background1" w:themeShade="80"/>
              </w:rPr>
              <w:t>:</w:t>
            </w:r>
            <w:r w:rsidR="00094ED6" w:rsidRPr="00094ED6">
              <w:rPr>
                <w:rFonts w:cs="Times New Roman"/>
                <w:color w:val="FF0000"/>
                <w:sz w:val="20"/>
                <w:szCs w:val="20"/>
              </w:rPr>
              <w:t xml:space="preserve"> </w:t>
            </w:r>
          </w:p>
        </w:tc>
      </w:tr>
      <w:tr w:rsidR="00172112" w14:paraId="30112B31" w14:textId="77777777" w:rsidTr="00172112">
        <w:trPr>
          <w:trHeight w:val="4170"/>
        </w:trPr>
        <w:tc>
          <w:tcPr>
            <w:tcW w:w="9525" w:type="dxa"/>
            <w:gridSpan w:val="2"/>
          </w:tcPr>
          <w:p w14:paraId="30112B2C" w14:textId="77777777" w:rsidR="00172112" w:rsidRPr="00EE59C2" w:rsidRDefault="006619AD" w:rsidP="00172112">
            <w:pPr>
              <w:pStyle w:val="aff8"/>
              <w:numPr>
                <w:ilvl w:val="0"/>
                <w:numId w:val="2"/>
              </w:numPr>
              <w:rPr>
                <w:b/>
                <w:sz w:val="28"/>
              </w:rPr>
            </w:pPr>
            <w:r>
              <w:t>Ассоциация онкологов России</w:t>
            </w:r>
          </w:p>
          <w:p w14:paraId="30112B2D" w14:textId="77777777" w:rsidR="006619AD" w:rsidRPr="006619AD" w:rsidRDefault="006619AD" w:rsidP="00174593">
            <w:pPr>
              <w:pStyle w:val="aff8"/>
              <w:numPr>
                <w:ilvl w:val="0"/>
                <w:numId w:val="2"/>
              </w:numPr>
            </w:pPr>
            <w:r w:rsidRPr="006619AD">
              <w:t>Российское</w:t>
            </w:r>
            <w:r>
              <w:t xml:space="preserve"> общество онкогематологов</w:t>
            </w:r>
          </w:p>
          <w:p w14:paraId="30112B2E" w14:textId="77777777" w:rsidR="00174593" w:rsidRPr="001260FA" w:rsidRDefault="006619AD" w:rsidP="00174593">
            <w:pPr>
              <w:pStyle w:val="aff8"/>
              <w:numPr>
                <w:ilvl w:val="0"/>
                <w:numId w:val="2"/>
              </w:numPr>
              <w:rPr>
                <w:b/>
                <w:sz w:val="28"/>
              </w:rPr>
            </w:pPr>
            <w:r>
              <w:t>Национальное гематологическое общество</w:t>
            </w:r>
          </w:p>
          <w:p w14:paraId="30112B2F" w14:textId="77777777" w:rsidR="00174593" w:rsidRPr="00EE59C2" w:rsidRDefault="00174593" w:rsidP="00174593">
            <w:pPr>
              <w:pStyle w:val="aff8"/>
              <w:rPr>
                <w:b/>
                <w:sz w:val="28"/>
              </w:rPr>
            </w:pPr>
          </w:p>
          <w:p w14:paraId="30112B30" w14:textId="77777777" w:rsidR="00CC5156" w:rsidRPr="005F668D" w:rsidRDefault="00CC5156" w:rsidP="00CC5156">
            <w:pPr>
              <w:pStyle w:val="aff8"/>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14:paraId="30112B32" w14:textId="77777777" w:rsidR="00094ED6" w:rsidRDefault="00094ED6" w:rsidP="00172112">
          <w:pPr>
            <w:pStyle w:val="aff"/>
            <w:jc w:val="center"/>
            <w:rPr>
              <w:rFonts w:cstheme="minorBidi"/>
              <w:b w:val="0"/>
              <w:szCs w:val="22"/>
              <w:u w:val="none"/>
            </w:rPr>
          </w:pPr>
        </w:p>
        <w:p w14:paraId="30112B33" w14:textId="77777777" w:rsidR="00094ED6" w:rsidRDefault="00094ED6">
          <w:pPr>
            <w:spacing w:line="240" w:lineRule="auto"/>
            <w:ind w:firstLine="0"/>
            <w:jc w:val="left"/>
          </w:pPr>
          <w:r>
            <w:rPr>
              <w:b/>
            </w:rPr>
            <w:br w:type="page"/>
          </w:r>
        </w:p>
        <w:p w14:paraId="30112B34" w14:textId="77777777" w:rsidR="00172112" w:rsidRPr="0033051F" w:rsidRDefault="00172112" w:rsidP="00172112">
          <w:pPr>
            <w:pStyle w:val="aff"/>
            <w:jc w:val="center"/>
            <w:rPr>
              <w:sz w:val="28"/>
              <w:u w:val="none"/>
            </w:rPr>
          </w:pPr>
          <w:bookmarkStart w:id="2" w:name="_Toc65108010"/>
          <w:r w:rsidRPr="0033051F">
            <w:rPr>
              <w:sz w:val="28"/>
              <w:u w:val="none"/>
            </w:rPr>
            <w:lastRenderedPageBreak/>
            <w:t>Оглавление</w:t>
          </w:r>
          <w:bookmarkEnd w:id="1"/>
          <w:bookmarkEnd w:id="2"/>
        </w:p>
        <w:p w14:paraId="6CBE35FB" w14:textId="40611977" w:rsidR="000768AC" w:rsidRDefault="00172112">
          <w:pPr>
            <w:pStyle w:val="1a"/>
            <w:rPr>
              <w:rFonts w:asciiTheme="minorHAnsi" w:eastAsiaTheme="minorEastAsia" w:hAnsiTheme="minorHAnsi"/>
              <w:noProof/>
              <w:szCs w:val="24"/>
              <w:lang w:eastAsia="ru-RU"/>
            </w:rPr>
          </w:pPr>
          <w:r w:rsidRPr="0033051F">
            <w:rPr>
              <w:rFonts w:cs="Times New Roman"/>
              <w:szCs w:val="24"/>
            </w:rPr>
            <w:fldChar w:fldCharType="begin"/>
          </w:r>
          <w:r w:rsidRPr="0033051F">
            <w:rPr>
              <w:rFonts w:cs="Times New Roman"/>
              <w:szCs w:val="24"/>
            </w:rPr>
            <w:instrText xml:space="preserve"> TOC \o "1-3" \h \z \u </w:instrText>
          </w:r>
          <w:r w:rsidRPr="0033051F">
            <w:rPr>
              <w:rFonts w:cs="Times New Roman"/>
              <w:szCs w:val="24"/>
            </w:rPr>
            <w:fldChar w:fldCharType="separate"/>
          </w:r>
          <w:hyperlink w:anchor="_Toc65108010" w:history="1">
            <w:r w:rsidR="000768AC" w:rsidRPr="00897CC4">
              <w:rPr>
                <w:rStyle w:val="affd"/>
                <w:noProof/>
              </w:rPr>
              <w:t>Оглавление</w:t>
            </w:r>
            <w:r w:rsidR="000768AC">
              <w:rPr>
                <w:noProof/>
                <w:webHidden/>
              </w:rPr>
              <w:tab/>
            </w:r>
            <w:r w:rsidR="000768AC">
              <w:rPr>
                <w:noProof/>
                <w:webHidden/>
              </w:rPr>
              <w:fldChar w:fldCharType="begin"/>
            </w:r>
            <w:r w:rsidR="000768AC">
              <w:rPr>
                <w:noProof/>
                <w:webHidden/>
              </w:rPr>
              <w:instrText xml:space="preserve"> PAGEREF _Toc65108010 \h </w:instrText>
            </w:r>
            <w:r w:rsidR="000768AC">
              <w:rPr>
                <w:noProof/>
                <w:webHidden/>
              </w:rPr>
            </w:r>
            <w:r w:rsidR="000768AC">
              <w:rPr>
                <w:noProof/>
                <w:webHidden/>
              </w:rPr>
              <w:fldChar w:fldCharType="separate"/>
            </w:r>
            <w:r w:rsidR="000768AC">
              <w:rPr>
                <w:noProof/>
                <w:webHidden/>
              </w:rPr>
              <w:t>2</w:t>
            </w:r>
            <w:r w:rsidR="000768AC">
              <w:rPr>
                <w:noProof/>
                <w:webHidden/>
              </w:rPr>
              <w:fldChar w:fldCharType="end"/>
            </w:r>
          </w:hyperlink>
        </w:p>
        <w:p w14:paraId="5829CD27" w14:textId="78E96D8C" w:rsidR="000768AC" w:rsidRDefault="007A47CE">
          <w:pPr>
            <w:pStyle w:val="1a"/>
            <w:rPr>
              <w:rFonts w:asciiTheme="minorHAnsi" w:eastAsiaTheme="minorEastAsia" w:hAnsiTheme="minorHAnsi"/>
              <w:noProof/>
              <w:szCs w:val="24"/>
              <w:lang w:eastAsia="ru-RU"/>
            </w:rPr>
          </w:pPr>
          <w:hyperlink w:anchor="_Toc65108011" w:history="1">
            <w:r w:rsidR="000768AC" w:rsidRPr="00897CC4">
              <w:rPr>
                <w:rStyle w:val="affd"/>
                <w:noProof/>
              </w:rPr>
              <w:t>Список сокращений</w:t>
            </w:r>
            <w:r w:rsidR="000768AC">
              <w:rPr>
                <w:noProof/>
                <w:webHidden/>
              </w:rPr>
              <w:tab/>
            </w:r>
            <w:r w:rsidR="000768AC">
              <w:rPr>
                <w:noProof/>
                <w:webHidden/>
              </w:rPr>
              <w:fldChar w:fldCharType="begin"/>
            </w:r>
            <w:r w:rsidR="000768AC">
              <w:rPr>
                <w:noProof/>
                <w:webHidden/>
              </w:rPr>
              <w:instrText xml:space="preserve"> PAGEREF _Toc65108011 \h </w:instrText>
            </w:r>
            <w:r w:rsidR="000768AC">
              <w:rPr>
                <w:noProof/>
                <w:webHidden/>
              </w:rPr>
            </w:r>
            <w:r w:rsidR="000768AC">
              <w:rPr>
                <w:noProof/>
                <w:webHidden/>
              </w:rPr>
              <w:fldChar w:fldCharType="separate"/>
            </w:r>
            <w:r w:rsidR="000768AC">
              <w:rPr>
                <w:noProof/>
                <w:webHidden/>
              </w:rPr>
              <w:t>5</w:t>
            </w:r>
            <w:r w:rsidR="000768AC">
              <w:rPr>
                <w:noProof/>
                <w:webHidden/>
              </w:rPr>
              <w:fldChar w:fldCharType="end"/>
            </w:r>
          </w:hyperlink>
        </w:p>
        <w:p w14:paraId="56B02B75" w14:textId="4180EEA8" w:rsidR="000768AC" w:rsidRDefault="007A47CE">
          <w:pPr>
            <w:pStyle w:val="1a"/>
            <w:rPr>
              <w:rFonts w:asciiTheme="minorHAnsi" w:eastAsiaTheme="minorEastAsia" w:hAnsiTheme="minorHAnsi"/>
              <w:noProof/>
              <w:szCs w:val="24"/>
              <w:lang w:eastAsia="ru-RU"/>
            </w:rPr>
          </w:pPr>
          <w:hyperlink w:anchor="_Toc65108012" w:history="1">
            <w:r w:rsidR="000768AC" w:rsidRPr="00897CC4">
              <w:rPr>
                <w:rStyle w:val="affd"/>
                <w:noProof/>
              </w:rPr>
              <w:t>Термины и определения</w:t>
            </w:r>
            <w:r w:rsidR="000768AC">
              <w:rPr>
                <w:noProof/>
                <w:webHidden/>
              </w:rPr>
              <w:tab/>
            </w:r>
            <w:r w:rsidR="000768AC">
              <w:rPr>
                <w:noProof/>
                <w:webHidden/>
              </w:rPr>
              <w:fldChar w:fldCharType="begin"/>
            </w:r>
            <w:r w:rsidR="000768AC">
              <w:rPr>
                <w:noProof/>
                <w:webHidden/>
              </w:rPr>
              <w:instrText xml:space="preserve"> PAGEREF _Toc65108012 \h </w:instrText>
            </w:r>
            <w:r w:rsidR="000768AC">
              <w:rPr>
                <w:noProof/>
                <w:webHidden/>
              </w:rPr>
            </w:r>
            <w:r w:rsidR="000768AC">
              <w:rPr>
                <w:noProof/>
                <w:webHidden/>
              </w:rPr>
              <w:fldChar w:fldCharType="separate"/>
            </w:r>
            <w:r w:rsidR="000768AC">
              <w:rPr>
                <w:noProof/>
                <w:webHidden/>
              </w:rPr>
              <w:t>6</w:t>
            </w:r>
            <w:r w:rsidR="000768AC">
              <w:rPr>
                <w:noProof/>
                <w:webHidden/>
              </w:rPr>
              <w:fldChar w:fldCharType="end"/>
            </w:r>
          </w:hyperlink>
        </w:p>
        <w:p w14:paraId="3F7FFC9F" w14:textId="48063315" w:rsidR="000768AC" w:rsidRDefault="007A47CE">
          <w:pPr>
            <w:pStyle w:val="1a"/>
            <w:rPr>
              <w:rFonts w:asciiTheme="minorHAnsi" w:eastAsiaTheme="minorEastAsia" w:hAnsiTheme="minorHAnsi"/>
              <w:noProof/>
              <w:szCs w:val="24"/>
              <w:lang w:eastAsia="ru-RU"/>
            </w:rPr>
          </w:pPr>
          <w:hyperlink w:anchor="_Toc65108013" w:history="1">
            <w:r w:rsidR="000768AC" w:rsidRPr="00897CC4">
              <w:rPr>
                <w:rStyle w:val="affd"/>
                <w:noProof/>
              </w:rPr>
              <w:t>1. Краткая информация по заболеванию или состоянию (группе заболеваний или состояний)</w:t>
            </w:r>
            <w:r w:rsidR="000768AC">
              <w:rPr>
                <w:noProof/>
                <w:webHidden/>
              </w:rPr>
              <w:tab/>
            </w:r>
            <w:r w:rsidR="000768AC">
              <w:rPr>
                <w:noProof/>
                <w:webHidden/>
              </w:rPr>
              <w:fldChar w:fldCharType="begin"/>
            </w:r>
            <w:r w:rsidR="000768AC">
              <w:rPr>
                <w:noProof/>
                <w:webHidden/>
              </w:rPr>
              <w:instrText xml:space="preserve"> PAGEREF _Toc65108013 \h </w:instrText>
            </w:r>
            <w:r w:rsidR="000768AC">
              <w:rPr>
                <w:noProof/>
                <w:webHidden/>
              </w:rPr>
            </w:r>
            <w:r w:rsidR="000768AC">
              <w:rPr>
                <w:noProof/>
                <w:webHidden/>
              </w:rPr>
              <w:fldChar w:fldCharType="separate"/>
            </w:r>
            <w:r w:rsidR="000768AC">
              <w:rPr>
                <w:noProof/>
                <w:webHidden/>
              </w:rPr>
              <w:t>7</w:t>
            </w:r>
            <w:r w:rsidR="000768AC">
              <w:rPr>
                <w:noProof/>
                <w:webHidden/>
              </w:rPr>
              <w:fldChar w:fldCharType="end"/>
            </w:r>
          </w:hyperlink>
        </w:p>
        <w:p w14:paraId="2C0B46CA" w14:textId="5D8E3876" w:rsidR="000768AC" w:rsidRDefault="007A47CE">
          <w:pPr>
            <w:pStyle w:val="21"/>
            <w:rPr>
              <w:rFonts w:asciiTheme="minorHAnsi" w:eastAsiaTheme="minorEastAsia" w:hAnsiTheme="minorHAnsi" w:cstheme="minorBidi"/>
              <w:noProof/>
              <w:sz w:val="24"/>
              <w:szCs w:val="24"/>
              <w:lang w:eastAsia="ru-RU"/>
            </w:rPr>
          </w:pPr>
          <w:hyperlink w:anchor="_Toc65108014" w:history="1">
            <w:r w:rsidR="000768AC" w:rsidRPr="00897CC4">
              <w:rPr>
                <w:rStyle w:val="affd"/>
                <w:noProof/>
              </w:rPr>
              <w:t xml:space="preserve">1.1 Определение </w:t>
            </w:r>
            <w:r w:rsidR="000768AC" w:rsidRPr="00897CC4">
              <w:rPr>
                <w:rStyle w:val="affd"/>
                <w:noProof/>
                <w:shd w:val="clear" w:color="auto" w:fill="FFFFFF"/>
              </w:rPr>
              <w:t>заболевания или состояния (группы заболеваний или состояний)</w:t>
            </w:r>
            <w:r w:rsidR="000768AC">
              <w:rPr>
                <w:noProof/>
                <w:webHidden/>
              </w:rPr>
              <w:tab/>
            </w:r>
            <w:r w:rsidR="000768AC">
              <w:rPr>
                <w:noProof/>
                <w:webHidden/>
              </w:rPr>
              <w:fldChar w:fldCharType="begin"/>
            </w:r>
            <w:r w:rsidR="000768AC">
              <w:rPr>
                <w:noProof/>
                <w:webHidden/>
              </w:rPr>
              <w:instrText xml:space="preserve"> PAGEREF _Toc65108014 \h </w:instrText>
            </w:r>
            <w:r w:rsidR="000768AC">
              <w:rPr>
                <w:noProof/>
                <w:webHidden/>
              </w:rPr>
            </w:r>
            <w:r w:rsidR="000768AC">
              <w:rPr>
                <w:noProof/>
                <w:webHidden/>
              </w:rPr>
              <w:fldChar w:fldCharType="separate"/>
            </w:r>
            <w:r w:rsidR="000768AC">
              <w:rPr>
                <w:noProof/>
                <w:webHidden/>
              </w:rPr>
              <w:t>7</w:t>
            </w:r>
            <w:r w:rsidR="000768AC">
              <w:rPr>
                <w:noProof/>
                <w:webHidden/>
              </w:rPr>
              <w:fldChar w:fldCharType="end"/>
            </w:r>
          </w:hyperlink>
        </w:p>
        <w:p w14:paraId="47A783DB" w14:textId="07F0728F" w:rsidR="000768AC" w:rsidRDefault="007A47CE">
          <w:pPr>
            <w:pStyle w:val="21"/>
            <w:rPr>
              <w:rFonts w:asciiTheme="minorHAnsi" w:eastAsiaTheme="minorEastAsia" w:hAnsiTheme="minorHAnsi" w:cstheme="minorBidi"/>
              <w:noProof/>
              <w:sz w:val="24"/>
              <w:szCs w:val="24"/>
              <w:lang w:eastAsia="ru-RU"/>
            </w:rPr>
          </w:pPr>
          <w:hyperlink w:anchor="_Toc65108015" w:history="1">
            <w:r w:rsidR="000768AC" w:rsidRPr="00897CC4">
              <w:rPr>
                <w:rStyle w:val="affd"/>
                <w:noProof/>
              </w:rPr>
              <w:t xml:space="preserve">1.2 Этиология и патогенез </w:t>
            </w:r>
            <w:r w:rsidR="000768AC" w:rsidRPr="00897CC4">
              <w:rPr>
                <w:rStyle w:val="affd"/>
                <w:noProof/>
                <w:shd w:val="clear" w:color="auto" w:fill="FFFFFF"/>
              </w:rPr>
              <w:t>заболевания или состояния (группы заболеваний или состояний)</w:t>
            </w:r>
            <w:r w:rsidR="000768AC">
              <w:rPr>
                <w:noProof/>
                <w:webHidden/>
              </w:rPr>
              <w:tab/>
            </w:r>
            <w:r w:rsidR="000768AC">
              <w:rPr>
                <w:noProof/>
                <w:webHidden/>
              </w:rPr>
              <w:fldChar w:fldCharType="begin"/>
            </w:r>
            <w:r w:rsidR="000768AC">
              <w:rPr>
                <w:noProof/>
                <w:webHidden/>
              </w:rPr>
              <w:instrText xml:space="preserve"> PAGEREF _Toc65108015 \h </w:instrText>
            </w:r>
            <w:r w:rsidR="000768AC">
              <w:rPr>
                <w:noProof/>
                <w:webHidden/>
              </w:rPr>
            </w:r>
            <w:r w:rsidR="000768AC">
              <w:rPr>
                <w:noProof/>
                <w:webHidden/>
              </w:rPr>
              <w:fldChar w:fldCharType="separate"/>
            </w:r>
            <w:r w:rsidR="000768AC">
              <w:rPr>
                <w:noProof/>
                <w:webHidden/>
              </w:rPr>
              <w:t>7</w:t>
            </w:r>
            <w:r w:rsidR="000768AC">
              <w:rPr>
                <w:noProof/>
                <w:webHidden/>
              </w:rPr>
              <w:fldChar w:fldCharType="end"/>
            </w:r>
          </w:hyperlink>
        </w:p>
        <w:p w14:paraId="007A458C" w14:textId="1D26F0FC" w:rsidR="000768AC" w:rsidRDefault="007A47CE">
          <w:pPr>
            <w:pStyle w:val="21"/>
            <w:rPr>
              <w:rFonts w:asciiTheme="minorHAnsi" w:eastAsiaTheme="minorEastAsia" w:hAnsiTheme="minorHAnsi" w:cstheme="minorBidi"/>
              <w:noProof/>
              <w:sz w:val="24"/>
              <w:szCs w:val="24"/>
              <w:lang w:eastAsia="ru-RU"/>
            </w:rPr>
          </w:pPr>
          <w:hyperlink w:anchor="_Toc65108016" w:history="1">
            <w:r w:rsidR="000768AC" w:rsidRPr="00897CC4">
              <w:rPr>
                <w:rStyle w:val="affd"/>
                <w:noProof/>
              </w:rPr>
              <w:t xml:space="preserve">1.3 Эпидемиология </w:t>
            </w:r>
            <w:r w:rsidR="000768AC" w:rsidRPr="00897CC4">
              <w:rPr>
                <w:rStyle w:val="affd"/>
                <w:noProof/>
                <w:shd w:val="clear" w:color="auto" w:fill="FFFFFF"/>
              </w:rPr>
              <w:t>заболевания или состояния (группы заболеваний или состояний)</w:t>
            </w:r>
            <w:r w:rsidR="000768AC">
              <w:rPr>
                <w:noProof/>
                <w:webHidden/>
              </w:rPr>
              <w:tab/>
            </w:r>
            <w:r w:rsidR="000768AC">
              <w:rPr>
                <w:noProof/>
                <w:webHidden/>
              </w:rPr>
              <w:fldChar w:fldCharType="begin"/>
            </w:r>
            <w:r w:rsidR="000768AC">
              <w:rPr>
                <w:noProof/>
                <w:webHidden/>
              </w:rPr>
              <w:instrText xml:space="preserve"> PAGEREF _Toc65108016 \h </w:instrText>
            </w:r>
            <w:r w:rsidR="000768AC">
              <w:rPr>
                <w:noProof/>
                <w:webHidden/>
              </w:rPr>
            </w:r>
            <w:r w:rsidR="000768AC">
              <w:rPr>
                <w:noProof/>
                <w:webHidden/>
              </w:rPr>
              <w:fldChar w:fldCharType="separate"/>
            </w:r>
            <w:r w:rsidR="000768AC">
              <w:rPr>
                <w:noProof/>
                <w:webHidden/>
              </w:rPr>
              <w:t>7</w:t>
            </w:r>
            <w:r w:rsidR="000768AC">
              <w:rPr>
                <w:noProof/>
                <w:webHidden/>
              </w:rPr>
              <w:fldChar w:fldCharType="end"/>
            </w:r>
          </w:hyperlink>
        </w:p>
        <w:p w14:paraId="6DCACF4B" w14:textId="1B71F86E" w:rsidR="000768AC" w:rsidRDefault="007A47CE">
          <w:pPr>
            <w:pStyle w:val="21"/>
            <w:rPr>
              <w:rFonts w:asciiTheme="minorHAnsi" w:eastAsiaTheme="minorEastAsia" w:hAnsiTheme="minorHAnsi" w:cstheme="minorBidi"/>
              <w:noProof/>
              <w:sz w:val="24"/>
              <w:szCs w:val="24"/>
              <w:lang w:eastAsia="ru-RU"/>
            </w:rPr>
          </w:pPr>
          <w:hyperlink w:anchor="_Toc65108017" w:history="1">
            <w:r w:rsidR="000768AC" w:rsidRPr="00897CC4">
              <w:rPr>
                <w:rStyle w:val="affd"/>
                <w:noProof/>
              </w:rPr>
              <w:t xml:space="preserve">1.4 </w:t>
            </w:r>
            <w:r w:rsidR="000768AC" w:rsidRPr="00897CC4">
              <w:rPr>
                <w:rStyle w:val="affd"/>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0768AC">
              <w:rPr>
                <w:noProof/>
                <w:webHidden/>
              </w:rPr>
              <w:tab/>
            </w:r>
            <w:r w:rsidR="000768AC">
              <w:rPr>
                <w:noProof/>
                <w:webHidden/>
              </w:rPr>
              <w:fldChar w:fldCharType="begin"/>
            </w:r>
            <w:r w:rsidR="000768AC">
              <w:rPr>
                <w:noProof/>
                <w:webHidden/>
              </w:rPr>
              <w:instrText xml:space="preserve"> PAGEREF _Toc65108017 \h </w:instrText>
            </w:r>
            <w:r w:rsidR="000768AC">
              <w:rPr>
                <w:noProof/>
                <w:webHidden/>
              </w:rPr>
            </w:r>
            <w:r w:rsidR="000768AC">
              <w:rPr>
                <w:noProof/>
                <w:webHidden/>
              </w:rPr>
              <w:fldChar w:fldCharType="separate"/>
            </w:r>
            <w:r w:rsidR="000768AC">
              <w:rPr>
                <w:noProof/>
                <w:webHidden/>
              </w:rPr>
              <w:t>7</w:t>
            </w:r>
            <w:r w:rsidR="000768AC">
              <w:rPr>
                <w:noProof/>
                <w:webHidden/>
              </w:rPr>
              <w:fldChar w:fldCharType="end"/>
            </w:r>
          </w:hyperlink>
        </w:p>
        <w:p w14:paraId="187F5C5F" w14:textId="4B58DCC7" w:rsidR="000768AC" w:rsidRDefault="007A47CE">
          <w:pPr>
            <w:pStyle w:val="21"/>
            <w:rPr>
              <w:rFonts w:asciiTheme="minorHAnsi" w:eastAsiaTheme="minorEastAsia" w:hAnsiTheme="minorHAnsi" w:cstheme="minorBidi"/>
              <w:noProof/>
              <w:sz w:val="24"/>
              <w:szCs w:val="24"/>
              <w:lang w:eastAsia="ru-RU"/>
            </w:rPr>
          </w:pPr>
          <w:hyperlink w:anchor="_Toc65108018" w:history="1">
            <w:r w:rsidR="000768AC" w:rsidRPr="00897CC4">
              <w:rPr>
                <w:rStyle w:val="affd"/>
                <w:noProof/>
              </w:rPr>
              <w:t xml:space="preserve">1.5 Классификация </w:t>
            </w:r>
            <w:r w:rsidR="000768AC" w:rsidRPr="00897CC4">
              <w:rPr>
                <w:rStyle w:val="affd"/>
                <w:noProof/>
                <w:shd w:val="clear" w:color="auto" w:fill="FFFFFF"/>
              </w:rPr>
              <w:t>заболевания или состояния (группы заболеваний или состояний)</w:t>
            </w:r>
            <w:r w:rsidR="000768AC">
              <w:rPr>
                <w:noProof/>
                <w:webHidden/>
              </w:rPr>
              <w:tab/>
            </w:r>
            <w:r w:rsidR="000768AC">
              <w:rPr>
                <w:noProof/>
                <w:webHidden/>
              </w:rPr>
              <w:fldChar w:fldCharType="begin"/>
            </w:r>
            <w:r w:rsidR="000768AC">
              <w:rPr>
                <w:noProof/>
                <w:webHidden/>
              </w:rPr>
              <w:instrText xml:space="preserve"> PAGEREF _Toc65108018 \h </w:instrText>
            </w:r>
            <w:r w:rsidR="000768AC">
              <w:rPr>
                <w:noProof/>
                <w:webHidden/>
              </w:rPr>
            </w:r>
            <w:r w:rsidR="000768AC">
              <w:rPr>
                <w:noProof/>
                <w:webHidden/>
              </w:rPr>
              <w:fldChar w:fldCharType="separate"/>
            </w:r>
            <w:r w:rsidR="000768AC">
              <w:rPr>
                <w:noProof/>
                <w:webHidden/>
              </w:rPr>
              <w:t>8</w:t>
            </w:r>
            <w:r w:rsidR="000768AC">
              <w:rPr>
                <w:noProof/>
                <w:webHidden/>
              </w:rPr>
              <w:fldChar w:fldCharType="end"/>
            </w:r>
          </w:hyperlink>
        </w:p>
        <w:p w14:paraId="69076BB8" w14:textId="0C39658D" w:rsidR="000768AC" w:rsidRDefault="007A47CE">
          <w:pPr>
            <w:pStyle w:val="21"/>
            <w:rPr>
              <w:rFonts w:asciiTheme="minorHAnsi" w:eastAsiaTheme="minorEastAsia" w:hAnsiTheme="minorHAnsi" w:cstheme="minorBidi"/>
              <w:noProof/>
              <w:sz w:val="24"/>
              <w:szCs w:val="24"/>
              <w:lang w:eastAsia="ru-RU"/>
            </w:rPr>
          </w:pPr>
          <w:hyperlink w:anchor="_Toc65108019" w:history="1">
            <w:r w:rsidR="000768AC" w:rsidRPr="00897CC4">
              <w:rPr>
                <w:rStyle w:val="affd"/>
                <w:noProof/>
              </w:rPr>
              <w:t xml:space="preserve">1.6 Клиническая картина </w:t>
            </w:r>
            <w:r w:rsidR="000768AC" w:rsidRPr="00897CC4">
              <w:rPr>
                <w:rStyle w:val="affd"/>
                <w:noProof/>
                <w:shd w:val="clear" w:color="auto" w:fill="FFFFFF"/>
              </w:rPr>
              <w:t>заболевания или состояния (группы заболеваний или состояний)</w:t>
            </w:r>
            <w:r w:rsidR="000768AC">
              <w:rPr>
                <w:noProof/>
                <w:webHidden/>
              </w:rPr>
              <w:tab/>
            </w:r>
            <w:r w:rsidR="000768AC">
              <w:rPr>
                <w:noProof/>
                <w:webHidden/>
              </w:rPr>
              <w:fldChar w:fldCharType="begin"/>
            </w:r>
            <w:r w:rsidR="000768AC">
              <w:rPr>
                <w:noProof/>
                <w:webHidden/>
              </w:rPr>
              <w:instrText xml:space="preserve"> PAGEREF _Toc65108019 \h </w:instrText>
            </w:r>
            <w:r w:rsidR="000768AC">
              <w:rPr>
                <w:noProof/>
                <w:webHidden/>
              </w:rPr>
            </w:r>
            <w:r w:rsidR="000768AC">
              <w:rPr>
                <w:noProof/>
                <w:webHidden/>
              </w:rPr>
              <w:fldChar w:fldCharType="separate"/>
            </w:r>
            <w:r w:rsidR="000768AC">
              <w:rPr>
                <w:noProof/>
                <w:webHidden/>
              </w:rPr>
              <w:t>8</w:t>
            </w:r>
            <w:r w:rsidR="000768AC">
              <w:rPr>
                <w:noProof/>
                <w:webHidden/>
              </w:rPr>
              <w:fldChar w:fldCharType="end"/>
            </w:r>
          </w:hyperlink>
        </w:p>
        <w:p w14:paraId="5CBC6F6C" w14:textId="3FC71D9B" w:rsidR="000768AC" w:rsidRDefault="007A47CE">
          <w:pPr>
            <w:pStyle w:val="1a"/>
            <w:rPr>
              <w:rFonts w:asciiTheme="minorHAnsi" w:eastAsiaTheme="minorEastAsia" w:hAnsiTheme="minorHAnsi"/>
              <w:noProof/>
              <w:szCs w:val="24"/>
              <w:lang w:eastAsia="ru-RU"/>
            </w:rPr>
          </w:pPr>
          <w:hyperlink w:anchor="_Toc65108020" w:history="1">
            <w:r w:rsidR="000768AC" w:rsidRPr="00897CC4">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0768AC">
              <w:rPr>
                <w:noProof/>
                <w:webHidden/>
              </w:rPr>
              <w:tab/>
            </w:r>
            <w:r w:rsidR="000768AC">
              <w:rPr>
                <w:noProof/>
                <w:webHidden/>
              </w:rPr>
              <w:fldChar w:fldCharType="begin"/>
            </w:r>
            <w:r w:rsidR="000768AC">
              <w:rPr>
                <w:noProof/>
                <w:webHidden/>
              </w:rPr>
              <w:instrText xml:space="preserve"> PAGEREF _Toc65108020 \h </w:instrText>
            </w:r>
            <w:r w:rsidR="000768AC">
              <w:rPr>
                <w:noProof/>
                <w:webHidden/>
              </w:rPr>
            </w:r>
            <w:r w:rsidR="000768AC">
              <w:rPr>
                <w:noProof/>
                <w:webHidden/>
              </w:rPr>
              <w:fldChar w:fldCharType="separate"/>
            </w:r>
            <w:r w:rsidR="000768AC">
              <w:rPr>
                <w:noProof/>
                <w:webHidden/>
              </w:rPr>
              <w:t>8</w:t>
            </w:r>
            <w:r w:rsidR="000768AC">
              <w:rPr>
                <w:noProof/>
                <w:webHidden/>
              </w:rPr>
              <w:fldChar w:fldCharType="end"/>
            </w:r>
          </w:hyperlink>
        </w:p>
        <w:p w14:paraId="440B6C8F" w14:textId="5031B3DD" w:rsidR="000768AC" w:rsidRDefault="007A47CE">
          <w:pPr>
            <w:pStyle w:val="21"/>
            <w:rPr>
              <w:rFonts w:asciiTheme="minorHAnsi" w:eastAsiaTheme="minorEastAsia" w:hAnsiTheme="minorHAnsi" w:cstheme="minorBidi"/>
              <w:noProof/>
              <w:sz w:val="24"/>
              <w:szCs w:val="24"/>
              <w:lang w:eastAsia="ru-RU"/>
            </w:rPr>
          </w:pPr>
          <w:hyperlink w:anchor="_Toc65108021" w:history="1">
            <w:r w:rsidR="000768AC" w:rsidRPr="00897CC4">
              <w:rPr>
                <w:rStyle w:val="affd"/>
                <w:noProof/>
              </w:rPr>
              <w:t>2.1 Жалобы и анамнез</w:t>
            </w:r>
            <w:r w:rsidR="000768AC">
              <w:rPr>
                <w:noProof/>
                <w:webHidden/>
              </w:rPr>
              <w:tab/>
            </w:r>
            <w:r w:rsidR="000768AC">
              <w:rPr>
                <w:noProof/>
                <w:webHidden/>
              </w:rPr>
              <w:fldChar w:fldCharType="begin"/>
            </w:r>
            <w:r w:rsidR="000768AC">
              <w:rPr>
                <w:noProof/>
                <w:webHidden/>
              </w:rPr>
              <w:instrText xml:space="preserve"> PAGEREF _Toc65108021 \h </w:instrText>
            </w:r>
            <w:r w:rsidR="000768AC">
              <w:rPr>
                <w:noProof/>
                <w:webHidden/>
              </w:rPr>
            </w:r>
            <w:r w:rsidR="000768AC">
              <w:rPr>
                <w:noProof/>
                <w:webHidden/>
              </w:rPr>
              <w:fldChar w:fldCharType="separate"/>
            </w:r>
            <w:r w:rsidR="000768AC">
              <w:rPr>
                <w:noProof/>
                <w:webHidden/>
              </w:rPr>
              <w:t>9</w:t>
            </w:r>
            <w:r w:rsidR="000768AC">
              <w:rPr>
                <w:noProof/>
                <w:webHidden/>
              </w:rPr>
              <w:fldChar w:fldCharType="end"/>
            </w:r>
          </w:hyperlink>
        </w:p>
        <w:p w14:paraId="05507A20" w14:textId="560C4C30" w:rsidR="000768AC" w:rsidRDefault="007A47CE">
          <w:pPr>
            <w:pStyle w:val="21"/>
            <w:rPr>
              <w:rFonts w:asciiTheme="minorHAnsi" w:eastAsiaTheme="minorEastAsia" w:hAnsiTheme="minorHAnsi" w:cstheme="minorBidi"/>
              <w:noProof/>
              <w:sz w:val="24"/>
              <w:szCs w:val="24"/>
              <w:lang w:eastAsia="ru-RU"/>
            </w:rPr>
          </w:pPr>
          <w:hyperlink w:anchor="_Toc65108022" w:history="1">
            <w:r w:rsidR="000768AC" w:rsidRPr="00897CC4">
              <w:rPr>
                <w:rStyle w:val="affd"/>
                <w:noProof/>
              </w:rPr>
              <w:t>2.2 Физикальное обследование</w:t>
            </w:r>
            <w:r w:rsidR="000768AC">
              <w:rPr>
                <w:noProof/>
                <w:webHidden/>
              </w:rPr>
              <w:tab/>
            </w:r>
            <w:r w:rsidR="000768AC">
              <w:rPr>
                <w:noProof/>
                <w:webHidden/>
              </w:rPr>
              <w:fldChar w:fldCharType="begin"/>
            </w:r>
            <w:r w:rsidR="000768AC">
              <w:rPr>
                <w:noProof/>
                <w:webHidden/>
              </w:rPr>
              <w:instrText xml:space="preserve"> PAGEREF _Toc65108022 \h </w:instrText>
            </w:r>
            <w:r w:rsidR="000768AC">
              <w:rPr>
                <w:noProof/>
                <w:webHidden/>
              </w:rPr>
            </w:r>
            <w:r w:rsidR="000768AC">
              <w:rPr>
                <w:noProof/>
                <w:webHidden/>
              </w:rPr>
              <w:fldChar w:fldCharType="separate"/>
            </w:r>
            <w:r w:rsidR="000768AC">
              <w:rPr>
                <w:noProof/>
                <w:webHidden/>
              </w:rPr>
              <w:t>9</w:t>
            </w:r>
            <w:r w:rsidR="000768AC">
              <w:rPr>
                <w:noProof/>
                <w:webHidden/>
              </w:rPr>
              <w:fldChar w:fldCharType="end"/>
            </w:r>
          </w:hyperlink>
        </w:p>
        <w:p w14:paraId="7B69DEBC" w14:textId="1318289E" w:rsidR="000768AC" w:rsidRDefault="007A47CE">
          <w:pPr>
            <w:pStyle w:val="21"/>
            <w:rPr>
              <w:rFonts w:asciiTheme="minorHAnsi" w:eastAsiaTheme="minorEastAsia" w:hAnsiTheme="minorHAnsi" w:cstheme="minorBidi"/>
              <w:noProof/>
              <w:sz w:val="24"/>
              <w:szCs w:val="24"/>
              <w:lang w:eastAsia="ru-RU"/>
            </w:rPr>
          </w:pPr>
          <w:hyperlink w:anchor="_Toc65108023" w:history="1">
            <w:r w:rsidR="000768AC" w:rsidRPr="00897CC4">
              <w:rPr>
                <w:rStyle w:val="affd"/>
                <w:noProof/>
              </w:rPr>
              <w:t>2.3 Лабораторные диагностические исследования</w:t>
            </w:r>
            <w:r w:rsidR="000768AC">
              <w:rPr>
                <w:noProof/>
                <w:webHidden/>
              </w:rPr>
              <w:tab/>
            </w:r>
            <w:r w:rsidR="000768AC">
              <w:rPr>
                <w:noProof/>
                <w:webHidden/>
              </w:rPr>
              <w:fldChar w:fldCharType="begin"/>
            </w:r>
            <w:r w:rsidR="000768AC">
              <w:rPr>
                <w:noProof/>
                <w:webHidden/>
              </w:rPr>
              <w:instrText xml:space="preserve"> PAGEREF _Toc65108023 \h </w:instrText>
            </w:r>
            <w:r w:rsidR="000768AC">
              <w:rPr>
                <w:noProof/>
                <w:webHidden/>
              </w:rPr>
            </w:r>
            <w:r w:rsidR="000768AC">
              <w:rPr>
                <w:noProof/>
                <w:webHidden/>
              </w:rPr>
              <w:fldChar w:fldCharType="separate"/>
            </w:r>
            <w:r w:rsidR="000768AC">
              <w:rPr>
                <w:noProof/>
                <w:webHidden/>
              </w:rPr>
              <w:t>10</w:t>
            </w:r>
            <w:r w:rsidR="000768AC">
              <w:rPr>
                <w:noProof/>
                <w:webHidden/>
              </w:rPr>
              <w:fldChar w:fldCharType="end"/>
            </w:r>
          </w:hyperlink>
        </w:p>
        <w:p w14:paraId="2792CC95" w14:textId="46E3B1B9" w:rsidR="000768AC" w:rsidRDefault="007A47CE">
          <w:pPr>
            <w:pStyle w:val="21"/>
            <w:rPr>
              <w:rFonts w:asciiTheme="minorHAnsi" w:eastAsiaTheme="minorEastAsia" w:hAnsiTheme="minorHAnsi" w:cstheme="minorBidi"/>
              <w:noProof/>
              <w:sz w:val="24"/>
              <w:szCs w:val="24"/>
              <w:lang w:eastAsia="ru-RU"/>
            </w:rPr>
          </w:pPr>
          <w:hyperlink w:anchor="_Toc65108024" w:history="1">
            <w:r w:rsidR="000768AC" w:rsidRPr="00897CC4">
              <w:rPr>
                <w:rStyle w:val="affd"/>
                <w:noProof/>
              </w:rPr>
              <w:t>2.4 Инструментальные диагностические исследования</w:t>
            </w:r>
            <w:r w:rsidR="000768AC">
              <w:rPr>
                <w:noProof/>
                <w:webHidden/>
              </w:rPr>
              <w:tab/>
            </w:r>
            <w:r w:rsidR="000768AC">
              <w:rPr>
                <w:noProof/>
                <w:webHidden/>
              </w:rPr>
              <w:fldChar w:fldCharType="begin"/>
            </w:r>
            <w:r w:rsidR="000768AC">
              <w:rPr>
                <w:noProof/>
                <w:webHidden/>
              </w:rPr>
              <w:instrText xml:space="preserve"> PAGEREF _Toc65108024 \h </w:instrText>
            </w:r>
            <w:r w:rsidR="000768AC">
              <w:rPr>
                <w:noProof/>
                <w:webHidden/>
              </w:rPr>
            </w:r>
            <w:r w:rsidR="000768AC">
              <w:rPr>
                <w:noProof/>
                <w:webHidden/>
              </w:rPr>
              <w:fldChar w:fldCharType="separate"/>
            </w:r>
            <w:r w:rsidR="000768AC">
              <w:rPr>
                <w:noProof/>
                <w:webHidden/>
              </w:rPr>
              <w:t>12</w:t>
            </w:r>
            <w:r w:rsidR="000768AC">
              <w:rPr>
                <w:noProof/>
                <w:webHidden/>
              </w:rPr>
              <w:fldChar w:fldCharType="end"/>
            </w:r>
          </w:hyperlink>
        </w:p>
        <w:p w14:paraId="45BF3463" w14:textId="1C2CC6B6" w:rsidR="000768AC" w:rsidRDefault="007A47CE">
          <w:pPr>
            <w:pStyle w:val="21"/>
            <w:rPr>
              <w:rFonts w:asciiTheme="minorHAnsi" w:eastAsiaTheme="minorEastAsia" w:hAnsiTheme="minorHAnsi" w:cstheme="minorBidi"/>
              <w:noProof/>
              <w:sz w:val="24"/>
              <w:szCs w:val="24"/>
              <w:lang w:eastAsia="ru-RU"/>
            </w:rPr>
          </w:pPr>
          <w:hyperlink w:anchor="_Toc65108025" w:history="1">
            <w:r w:rsidR="000768AC" w:rsidRPr="00897CC4">
              <w:rPr>
                <w:rStyle w:val="affd"/>
                <w:noProof/>
              </w:rPr>
              <w:t>2.5 Иные диагностические исследования</w:t>
            </w:r>
            <w:r w:rsidR="000768AC">
              <w:rPr>
                <w:noProof/>
                <w:webHidden/>
              </w:rPr>
              <w:tab/>
            </w:r>
            <w:r w:rsidR="000768AC">
              <w:rPr>
                <w:noProof/>
                <w:webHidden/>
              </w:rPr>
              <w:fldChar w:fldCharType="begin"/>
            </w:r>
            <w:r w:rsidR="000768AC">
              <w:rPr>
                <w:noProof/>
                <w:webHidden/>
              </w:rPr>
              <w:instrText xml:space="preserve"> PAGEREF _Toc65108025 \h </w:instrText>
            </w:r>
            <w:r w:rsidR="000768AC">
              <w:rPr>
                <w:noProof/>
                <w:webHidden/>
              </w:rPr>
            </w:r>
            <w:r w:rsidR="000768AC">
              <w:rPr>
                <w:noProof/>
                <w:webHidden/>
              </w:rPr>
              <w:fldChar w:fldCharType="separate"/>
            </w:r>
            <w:r w:rsidR="000768AC">
              <w:rPr>
                <w:noProof/>
                <w:webHidden/>
              </w:rPr>
              <w:t>13</w:t>
            </w:r>
            <w:r w:rsidR="000768AC">
              <w:rPr>
                <w:noProof/>
                <w:webHidden/>
              </w:rPr>
              <w:fldChar w:fldCharType="end"/>
            </w:r>
          </w:hyperlink>
        </w:p>
        <w:p w14:paraId="5349A603" w14:textId="40C0487C" w:rsidR="000768AC" w:rsidRDefault="007A47CE">
          <w:pPr>
            <w:pStyle w:val="1a"/>
            <w:rPr>
              <w:rFonts w:asciiTheme="minorHAnsi" w:eastAsiaTheme="minorEastAsia" w:hAnsiTheme="minorHAnsi"/>
              <w:noProof/>
              <w:szCs w:val="24"/>
              <w:lang w:eastAsia="ru-RU"/>
            </w:rPr>
          </w:pPr>
          <w:hyperlink w:anchor="_Toc65108026" w:history="1">
            <w:r w:rsidR="000768AC" w:rsidRPr="00897CC4">
              <w:rPr>
                <w:rStyle w:val="affd"/>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0768AC">
              <w:rPr>
                <w:noProof/>
                <w:webHidden/>
              </w:rPr>
              <w:tab/>
            </w:r>
            <w:r w:rsidR="000768AC">
              <w:rPr>
                <w:noProof/>
                <w:webHidden/>
              </w:rPr>
              <w:fldChar w:fldCharType="begin"/>
            </w:r>
            <w:r w:rsidR="000768AC">
              <w:rPr>
                <w:noProof/>
                <w:webHidden/>
              </w:rPr>
              <w:instrText xml:space="preserve"> PAGEREF _Toc65108026 \h </w:instrText>
            </w:r>
            <w:r w:rsidR="000768AC">
              <w:rPr>
                <w:noProof/>
                <w:webHidden/>
              </w:rPr>
            </w:r>
            <w:r w:rsidR="000768AC">
              <w:rPr>
                <w:noProof/>
                <w:webHidden/>
              </w:rPr>
              <w:fldChar w:fldCharType="separate"/>
            </w:r>
            <w:r w:rsidR="000768AC">
              <w:rPr>
                <w:noProof/>
                <w:webHidden/>
              </w:rPr>
              <w:t>16</w:t>
            </w:r>
            <w:r w:rsidR="000768AC">
              <w:rPr>
                <w:noProof/>
                <w:webHidden/>
              </w:rPr>
              <w:fldChar w:fldCharType="end"/>
            </w:r>
          </w:hyperlink>
        </w:p>
        <w:p w14:paraId="4B729815" w14:textId="31238EB7" w:rsidR="000768AC" w:rsidRDefault="007A47CE">
          <w:pPr>
            <w:pStyle w:val="21"/>
            <w:rPr>
              <w:rFonts w:asciiTheme="minorHAnsi" w:eastAsiaTheme="minorEastAsia" w:hAnsiTheme="minorHAnsi" w:cstheme="minorBidi"/>
              <w:noProof/>
              <w:sz w:val="24"/>
              <w:szCs w:val="24"/>
              <w:lang w:eastAsia="ru-RU"/>
            </w:rPr>
          </w:pPr>
          <w:hyperlink w:anchor="_Toc65108027" w:history="1">
            <w:r w:rsidR="000768AC" w:rsidRPr="00897CC4">
              <w:rPr>
                <w:rStyle w:val="affd"/>
                <w:noProof/>
              </w:rPr>
              <w:t xml:space="preserve">3.1 Лечение пациентов c ранними (IE1, IЕ2, IIЕ) стадиями </w:t>
            </w:r>
            <w:r w:rsidR="000768AC" w:rsidRPr="00897CC4">
              <w:rPr>
                <w:rStyle w:val="affd"/>
                <w:noProof/>
                <w:lang w:val="en-US"/>
              </w:rPr>
              <w:t>MALT</w:t>
            </w:r>
            <w:r w:rsidR="000768AC" w:rsidRPr="00897CC4">
              <w:rPr>
                <w:rStyle w:val="affd"/>
                <w:noProof/>
              </w:rPr>
              <w:t>-лимфомы желудка</w:t>
            </w:r>
            <w:r w:rsidR="000768AC">
              <w:rPr>
                <w:noProof/>
                <w:webHidden/>
              </w:rPr>
              <w:tab/>
            </w:r>
            <w:r w:rsidR="000768AC">
              <w:rPr>
                <w:noProof/>
                <w:webHidden/>
              </w:rPr>
              <w:fldChar w:fldCharType="begin"/>
            </w:r>
            <w:r w:rsidR="000768AC">
              <w:rPr>
                <w:noProof/>
                <w:webHidden/>
              </w:rPr>
              <w:instrText xml:space="preserve"> PAGEREF _Toc65108027 \h </w:instrText>
            </w:r>
            <w:r w:rsidR="000768AC">
              <w:rPr>
                <w:noProof/>
                <w:webHidden/>
              </w:rPr>
            </w:r>
            <w:r w:rsidR="000768AC">
              <w:rPr>
                <w:noProof/>
                <w:webHidden/>
              </w:rPr>
              <w:fldChar w:fldCharType="separate"/>
            </w:r>
            <w:r w:rsidR="000768AC">
              <w:rPr>
                <w:noProof/>
                <w:webHidden/>
              </w:rPr>
              <w:t>17</w:t>
            </w:r>
            <w:r w:rsidR="000768AC">
              <w:rPr>
                <w:noProof/>
                <w:webHidden/>
              </w:rPr>
              <w:fldChar w:fldCharType="end"/>
            </w:r>
          </w:hyperlink>
        </w:p>
        <w:p w14:paraId="0641330D" w14:textId="7AA9232B" w:rsidR="000768AC" w:rsidRDefault="007A47CE">
          <w:pPr>
            <w:pStyle w:val="21"/>
            <w:rPr>
              <w:rFonts w:asciiTheme="minorHAnsi" w:eastAsiaTheme="minorEastAsia" w:hAnsiTheme="minorHAnsi" w:cstheme="minorBidi"/>
              <w:noProof/>
              <w:sz w:val="24"/>
              <w:szCs w:val="24"/>
              <w:lang w:eastAsia="ru-RU"/>
            </w:rPr>
          </w:pPr>
          <w:hyperlink w:anchor="_Toc65108028" w:history="1">
            <w:r w:rsidR="000768AC" w:rsidRPr="00897CC4">
              <w:rPr>
                <w:rStyle w:val="affd"/>
                <w:noProof/>
              </w:rPr>
              <w:t xml:space="preserve">3.2 Лечение пациентов c ранними стадиями </w:t>
            </w:r>
            <w:r w:rsidR="000768AC" w:rsidRPr="00897CC4">
              <w:rPr>
                <w:rStyle w:val="affd"/>
                <w:noProof/>
                <w:lang w:val="en-US"/>
              </w:rPr>
              <w:t>MALT</w:t>
            </w:r>
            <w:r w:rsidR="000768AC" w:rsidRPr="00897CC4">
              <w:rPr>
                <w:rStyle w:val="affd"/>
                <w:noProof/>
              </w:rPr>
              <w:t>-лимфомы других локализаций</w:t>
            </w:r>
            <w:r w:rsidR="000768AC">
              <w:rPr>
                <w:noProof/>
                <w:webHidden/>
              </w:rPr>
              <w:tab/>
            </w:r>
            <w:r w:rsidR="000768AC">
              <w:rPr>
                <w:noProof/>
                <w:webHidden/>
              </w:rPr>
              <w:fldChar w:fldCharType="begin"/>
            </w:r>
            <w:r w:rsidR="000768AC">
              <w:rPr>
                <w:noProof/>
                <w:webHidden/>
              </w:rPr>
              <w:instrText xml:space="preserve"> PAGEREF _Toc65108028 \h </w:instrText>
            </w:r>
            <w:r w:rsidR="000768AC">
              <w:rPr>
                <w:noProof/>
                <w:webHidden/>
              </w:rPr>
            </w:r>
            <w:r w:rsidR="000768AC">
              <w:rPr>
                <w:noProof/>
                <w:webHidden/>
              </w:rPr>
              <w:fldChar w:fldCharType="separate"/>
            </w:r>
            <w:r w:rsidR="000768AC">
              <w:rPr>
                <w:noProof/>
                <w:webHidden/>
              </w:rPr>
              <w:t>19</w:t>
            </w:r>
            <w:r w:rsidR="000768AC">
              <w:rPr>
                <w:noProof/>
                <w:webHidden/>
              </w:rPr>
              <w:fldChar w:fldCharType="end"/>
            </w:r>
          </w:hyperlink>
        </w:p>
        <w:p w14:paraId="0E502FE6" w14:textId="49F8EF49" w:rsidR="000768AC" w:rsidRDefault="007A47CE">
          <w:pPr>
            <w:pStyle w:val="21"/>
            <w:rPr>
              <w:rFonts w:asciiTheme="minorHAnsi" w:eastAsiaTheme="minorEastAsia" w:hAnsiTheme="minorHAnsi" w:cstheme="minorBidi"/>
              <w:noProof/>
              <w:sz w:val="24"/>
              <w:szCs w:val="24"/>
              <w:lang w:eastAsia="ru-RU"/>
            </w:rPr>
          </w:pPr>
          <w:hyperlink w:anchor="_Toc65108029" w:history="1">
            <w:r w:rsidR="000768AC" w:rsidRPr="00897CC4">
              <w:rPr>
                <w:rStyle w:val="affd"/>
                <w:noProof/>
              </w:rPr>
              <w:t>3.3 Лечение пациентов с распространенными (</w:t>
            </w:r>
            <w:r w:rsidR="000768AC" w:rsidRPr="00897CC4">
              <w:rPr>
                <w:rStyle w:val="affd"/>
                <w:noProof/>
                <w:lang w:val="en-US"/>
              </w:rPr>
              <w:t>III</w:t>
            </w:r>
            <w:r w:rsidR="000768AC" w:rsidRPr="00897CC4">
              <w:rPr>
                <w:rStyle w:val="affd"/>
                <w:noProof/>
              </w:rPr>
              <w:t>-</w:t>
            </w:r>
            <w:r w:rsidR="000768AC" w:rsidRPr="00897CC4">
              <w:rPr>
                <w:rStyle w:val="affd"/>
                <w:noProof/>
                <w:lang w:val="en-US"/>
              </w:rPr>
              <w:t>IV</w:t>
            </w:r>
            <w:r w:rsidR="000768AC" w:rsidRPr="00897CC4">
              <w:rPr>
                <w:rStyle w:val="affd"/>
                <w:noProof/>
              </w:rPr>
              <w:t xml:space="preserve">) стадиями </w:t>
            </w:r>
            <w:r w:rsidR="000768AC" w:rsidRPr="00897CC4">
              <w:rPr>
                <w:rStyle w:val="affd"/>
                <w:noProof/>
                <w:lang w:val="en-US"/>
              </w:rPr>
              <w:t>MALT</w:t>
            </w:r>
            <w:r w:rsidR="000768AC" w:rsidRPr="00897CC4">
              <w:rPr>
                <w:rStyle w:val="affd"/>
                <w:noProof/>
              </w:rPr>
              <w:t>-лимфомы</w:t>
            </w:r>
            <w:r w:rsidR="000768AC">
              <w:rPr>
                <w:noProof/>
                <w:webHidden/>
              </w:rPr>
              <w:tab/>
            </w:r>
            <w:r w:rsidR="000768AC">
              <w:rPr>
                <w:noProof/>
                <w:webHidden/>
              </w:rPr>
              <w:fldChar w:fldCharType="begin"/>
            </w:r>
            <w:r w:rsidR="000768AC">
              <w:rPr>
                <w:noProof/>
                <w:webHidden/>
              </w:rPr>
              <w:instrText xml:space="preserve"> PAGEREF _Toc65108029 \h </w:instrText>
            </w:r>
            <w:r w:rsidR="000768AC">
              <w:rPr>
                <w:noProof/>
                <w:webHidden/>
              </w:rPr>
            </w:r>
            <w:r w:rsidR="000768AC">
              <w:rPr>
                <w:noProof/>
                <w:webHidden/>
              </w:rPr>
              <w:fldChar w:fldCharType="separate"/>
            </w:r>
            <w:r w:rsidR="000768AC">
              <w:rPr>
                <w:noProof/>
                <w:webHidden/>
              </w:rPr>
              <w:t>21</w:t>
            </w:r>
            <w:r w:rsidR="000768AC">
              <w:rPr>
                <w:noProof/>
                <w:webHidden/>
              </w:rPr>
              <w:fldChar w:fldCharType="end"/>
            </w:r>
          </w:hyperlink>
        </w:p>
        <w:p w14:paraId="354A4A8B" w14:textId="035007CA" w:rsidR="000768AC" w:rsidRDefault="007A47CE">
          <w:pPr>
            <w:pStyle w:val="21"/>
            <w:rPr>
              <w:rFonts w:asciiTheme="minorHAnsi" w:eastAsiaTheme="minorEastAsia" w:hAnsiTheme="minorHAnsi" w:cstheme="minorBidi"/>
              <w:noProof/>
              <w:sz w:val="24"/>
              <w:szCs w:val="24"/>
              <w:lang w:eastAsia="ru-RU"/>
            </w:rPr>
          </w:pPr>
          <w:hyperlink w:anchor="_Toc65108030" w:history="1">
            <w:r w:rsidR="000768AC" w:rsidRPr="00897CC4">
              <w:rPr>
                <w:rStyle w:val="affd"/>
                <w:noProof/>
              </w:rPr>
              <w:t>3.4 Лечение пациентов с нодальной лимфомой маргинальной зоны</w:t>
            </w:r>
            <w:r w:rsidR="000768AC">
              <w:rPr>
                <w:noProof/>
                <w:webHidden/>
              </w:rPr>
              <w:tab/>
            </w:r>
            <w:r w:rsidR="000768AC">
              <w:rPr>
                <w:noProof/>
                <w:webHidden/>
              </w:rPr>
              <w:fldChar w:fldCharType="begin"/>
            </w:r>
            <w:r w:rsidR="000768AC">
              <w:rPr>
                <w:noProof/>
                <w:webHidden/>
              </w:rPr>
              <w:instrText xml:space="preserve"> PAGEREF _Toc65108030 \h </w:instrText>
            </w:r>
            <w:r w:rsidR="000768AC">
              <w:rPr>
                <w:noProof/>
                <w:webHidden/>
              </w:rPr>
            </w:r>
            <w:r w:rsidR="000768AC">
              <w:rPr>
                <w:noProof/>
                <w:webHidden/>
              </w:rPr>
              <w:fldChar w:fldCharType="separate"/>
            </w:r>
            <w:r w:rsidR="000768AC">
              <w:rPr>
                <w:noProof/>
                <w:webHidden/>
              </w:rPr>
              <w:t>22</w:t>
            </w:r>
            <w:r w:rsidR="000768AC">
              <w:rPr>
                <w:noProof/>
                <w:webHidden/>
              </w:rPr>
              <w:fldChar w:fldCharType="end"/>
            </w:r>
          </w:hyperlink>
        </w:p>
        <w:p w14:paraId="7E1A94FA" w14:textId="2166512D" w:rsidR="000768AC" w:rsidRDefault="007A47CE">
          <w:pPr>
            <w:pStyle w:val="21"/>
            <w:rPr>
              <w:rFonts w:asciiTheme="minorHAnsi" w:eastAsiaTheme="minorEastAsia" w:hAnsiTheme="minorHAnsi" w:cstheme="minorBidi"/>
              <w:noProof/>
              <w:sz w:val="24"/>
              <w:szCs w:val="24"/>
              <w:lang w:eastAsia="ru-RU"/>
            </w:rPr>
          </w:pPr>
          <w:hyperlink w:anchor="_Toc65108031" w:history="1">
            <w:r w:rsidR="000768AC" w:rsidRPr="00897CC4">
              <w:rPr>
                <w:rStyle w:val="affd"/>
                <w:noProof/>
              </w:rPr>
              <w:t>3.5 Лечение пациентов с лимфомой маргинальной зоны селезенки</w:t>
            </w:r>
            <w:r w:rsidR="000768AC">
              <w:rPr>
                <w:noProof/>
                <w:webHidden/>
              </w:rPr>
              <w:tab/>
            </w:r>
            <w:r w:rsidR="000768AC">
              <w:rPr>
                <w:noProof/>
                <w:webHidden/>
              </w:rPr>
              <w:fldChar w:fldCharType="begin"/>
            </w:r>
            <w:r w:rsidR="000768AC">
              <w:rPr>
                <w:noProof/>
                <w:webHidden/>
              </w:rPr>
              <w:instrText xml:space="preserve"> PAGEREF _Toc65108031 \h </w:instrText>
            </w:r>
            <w:r w:rsidR="000768AC">
              <w:rPr>
                <w:noProof/>
                <w:webHidden/>
              </w:rPr>
            </w:r>
            <w:r w:rsidR="000768AC">
              <w:rPr>
                <w:noProof/>
                <w:webHidden/>
              </w:rPr>
              <w:fldChar w:fldCharType="separate"/>
            </w:r>
            <w:r w:rsidR="000768AC">
              <w:rPr>
                <w:noProof/>
                <w:webHidden/>
              </w:rPr>
              <w:t>22</w:t>
            </w:r>
            <w:r w:rsidR="000768AC">
              <w:rPr>
                <w:noProof/>
                <w:webHidden/>
              </w:rPr>
              <w:fldChar w:fldCharType="end"/>
            </w:r>
          </w:hyperlink>
        </w:p>
        <w:p w14:paraId="5CD23CE5" w14:textId="10277036" w:rsidR="000768AC" w:rsidRDefault="007A47CE">
          <w:pPr>
            <w:pStyle w:val="21"/>
            <w:rPr>
              <w:rFonts w:asciiTheme="minorHAnsi" w:eastAsiaTheme="minorEastAsia" w:hAnsiTheme="minorHAnsi" w:cstheme="minorBidi"/>
              <w:noProof/>
              <w:sz w:val="24"/>
              <w:szCs w:val="24"/>
              <w:lang w:eastAsia="ru-RU"/>
            </w:rPr>
          </w:pPr>
          <w:hyperlink w:anchor="_Toc65108032" w:history="1">
            <w:r w:rsidR="000768AC" w:rsidRPr="00897CC4">
              <w:rPr>
                <w:rStyle w:val="affd"/>
                <w:noProof/>
              </w:rPr>
              <w:t>3.4 Лечение рецидивов и рефрактерных форм ЛМЗ</w:t>
            </w:r>
            <w:r w:rsidR="000768AC">
              <w:rPr>
                <w:noProof/>
                <w:webHidden/>
              </w:rPr>
              <w:tab/>
            </w:r>
            <w:r w:rsidR="000768AC">
              <w:rPr>
                <w:noProof/>
                <w:webHidden/>
              </w:rPr>
              <w:fldChar w:fldCharType="begin"/>
            </w:r>
            <w:r w:rsidR="000768AC">
              <w:rPr>
                <w:noProof/>
                <w:webHidden/>
              </w:rPr>
              <w:instrText xml:space="preserve"> PAGEREF _Toc65108032 \h </w:instrText>
            </w:r>
            <w:r w:rsidR="000768AC">
              <w:rPr>
                <w:noProof/>
                <w:webHidden/>
              </w:rPr>
            </w:r>
            <w:r w:rsidR="000768AC">
              <w:rPr>
                <w:noProof/>
                <w:webHidden/>
              </w:rPr>
              <w:fldChar w:fldCharType="separate"/>
            </w:r>
            <w:r w:rsidR="000768AC">
              <w:rPr>
                <w:noProof/>
                <w:webHidden/>
              </w:rPr>
              <w:t>23</w:t>
            </w:r>
            <w:r w:rsidR="000768AC">
              <w:rPr>
                <w:noProof/>
                <w:webHidden/>
              </w:rPr>
              <w:fldChar w:fldCharType="end"/>
            </w:r>
          </w:hyperlink>
        </w:p>
        <w:p w14:paraId="0877039F" w14:textId="1E03188F" w:rsidR="000768AC" w:rsidRDefault="007A47CE">
          <w:pPr>
            <w:pStyle w:val="21"/>
            <w:rPr>
              <w:rFonts w:asciiTheme="minorHAnsi" w:eastAsiaTheme="minorEastAsia" w:hAnsiTheme="minorHAnsi" w:cstheme="minorBidi"/>
              <w:noProof/>
              <w:sz w:val="24"/>
              <w:szCs w:val="24"/>
              <w:lang w:eastAsia="ru-RU"/>
            </w:rPr>
          </w:pPr>
          <w:hyperlink w:anchor="_Toc65108033" w:history="1">
            <w:r w:rsidR="000768AC" w:rsidRPr="00897CC4">
              <w:rPr>
                <w:rStyle w:val="affd"/>
                <w:noProof/>
              </w:rPr>
              <w:t>3.4 Оценка ответа на лечение</w:t>
            </w:r>
            <w:r w:rsidR="000768AC">
              <w:rPr>
                <w:noProof/>
                <w:webHidden/>
              </w:rPr>
              <w:tab/>
            </w:r>
            <w:r w:rsidR="000768AC">
              <w:rPr>
                <w:noProof/>
                <w:webHidden/>
              </w:rPr>
              <w:fldChar w:fldCharType="begin"/>
            </w:r>
            <w:r w:rsidR="000768AC">
              <w:rPr>
                <w:noProof/>
                <w:webHidden/>
              </w:rPr>
              <w:instrText xml:space="preserve"> PAGEREF _Toc65108033 \h </w:instrText>
            </w:r>
            <w:r w:rsidR="000768AC">
              <w:rPr>
                <w:noProof/>
                <w:webHidden/>
              </w:rPr>
            </w:r>
            <w:r w:rsidR="000768AC">
              <w:rPr>
                <w:noProof/>
                <w:webHidden/>
              </w:rPr>
              <w:fldChar w:fldCharType="separate"/>
            </w:r>
            <w:r w:rsidR="000768AC">
              <w:rPr>
                <w:noProof/>
                <w:webHidden/>
              </w:rPr>
              <w:t>23</w:t>
            </w:r>
            <w:r w:rsidR="000768AC">
              <w:rPr>
                <w:noProof/>
                <w:webHidden/>
              </w:rPr>
              <w:fldChar w:fldCharType="end"/>
            </w:r>
          </w:hyperlink>
        </w:p>
        <w:p w14:paraId="58D2A9DA" w14:textId="79C44746" w:rsidR="000768AC" w:rsidRDefault="007A47CE">
          <w:pPr>
            <w:pStyle w:val="21"/>
            <w:rPr>
              <w:rFonts w:asciiTheme="minorHAnsi" w:eastAsiaTheme="minorEastAsia" w:hAnsiTheme="minorHAnsi" w:cstheme="minorBidi"/>
              <w:noProof/>
              <w:sz w:val="24"/>
              <w:szCs w:val="24"/>
              <w:lang w:eastAsia="ru-RU"/>
            </w:rPr>
          </w:pPr>
          <w:hyperlink w:anchor="_Toc65108034" w:history="1">
            <w:r w:rsidR="000768AC" w:rsidRPr="00897CC4">
              <w:rPr>
                <w:rStyle w:val="affd"/>
                <w:noProof/>
              </w:rPr>
              <w:t>3.5 Сопутствующая и сопроводительная терапия</w:t>
            </w:r>
            <w:r w:rsidR="000768AC">
              <w:rPr>
                <w:noProof/>
                <w:webHidden/>
              </w:rPr>
              <w:tab/>
            </w:r>
            <w:r w:rsidR="000768AC">
              <w:rPr>
                <w:noProof/>
                <w:webHidden/>
              </w:rPr>
              <w:fldChar w:fldCharType="begin"/>
            </w:r>
            <w:r w:rsidR="000768AC">
              <w:rPr>
                <w:noProof/>
                <w:webHidden/>
              </w:rPr>
              <w:instrText xml:space="preserve"> PAGEREF _Toc65108034 \h </w:instrText>
            </w:r>
            <w:r w:rsidR="000768AC">
              <w:rPr>
                <w:noProof/>
                <w:webHidden/>
              </w:rPr>
            </w:r>
            <w:r w:rsidR="000768AC">
              <w:rPr>
                <w:noProof/>
                <w:webHidden/>
              </w:rPr>
              <w:fldChar w:fldCharType="separate"/>
            </w:r>
            <w:r w:rsidR="000768AC">
              <w:rPr>
                <w:noProof/>
                <w:webHidden/>
              </w:rPr>
              <w:t>23</w:t>
            </w:r>
            <w:r w:rsidR="000768AC">
              <w:rPr>
                <w:noProof/>
                <w:webHidden/>
              </w:rPr>
              <w:fldChar w:fldCharType="end"/>
            </w:r>
          </w:hyperlink>
        </w:p>
        <w:p w14:paraId="24CAE7CA" w14:textId="2F1BF36A" w:rsidR="000768AC" w:rsidRDefault="007A47CE">
          <w:pPr>
            <w:pStyle w:val="1a"/>
            <w:rPr>
              <w:rFonts w:asciiTheme="minorHAnsi" w:eastAsiaTheme="minorEastAsia" w:hAnsiTheme="minorHAnsi"/>
              <w:noProof/>
              <w:szCs w:val="24"/>
              <w:lang w:eastAsia="ru-RU"/>
            </w:rPr>
          </w:pPr>
          <w:hyperlink w:anchor="_Toc65108035" w:history="1">
            <w:r w:rsidR="000768AC" w:rsidRPr="00897CC4">
              <w:rPr>
                <w:rStyle w:val="affd"/>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0768AC">
              <w:rPr>
                <w:noProof/>
                <w:webHidden/>
              </w:rPr>
              <w:tab/>
            </w:r>
            <w:r w:rsidR="000768AC">
              <w:rPr>
                <w:noProof/>
                <w:webHidden/>
              </w:rPr>
              <w:fldChar w:fldCharType="begin"/>
            </w:r>
            <w:r w:rsidR="000768AC">
              <w:rPr>
                <w:noProof/>
                <w:webHidden/>
              </w:rPr>
              <w:instrText xml:space="preserve"> PAGEREF _Toc65108035 \h </w:instrText>
            </w:r>
            <w:r w:rsidR="000768AC">
              <w:rPr>
                <w:noProof/>
                <w:webHidden/>
              </w:rPr>
            </w:r>
            <w:r w:rsidR="000768AC">
              <w:rPr>
                <w:noProof/>
                <w:webHidden/>
              </w:rPr>
              <w:fldChar w:fldCharType="separate"/>
            </w:r>
            <w:r w:rsidR="000768AC">
              <w:rPr>
                <w:noProof/>
                <w:webHidden/>
              </w:rPr>
              <w:t>25</w:t>
            </w:r>
            <w:r w:rsidR="000768AC">
              <w:rPr>
                <w:noProof/>
                <w:webHidden/>
              </w:rPr>
              <w:fldChar w:fldCharType="end"/>
            </w:r>
          </w:hyperlink>
        </w:p>
        <w:p w14:paraId="172AF0D3" w14:textId="79EA5DFB" w:rsidR="000768AC" w:rsidRDefault="007A47CE">
          <w:pPr>
            <w:pStyle w:val="1a"/>
            <w:rPr>
              <w:rFonts w:asciiTheme="minorHAnsi" w:eastAsiaTheme="minorEastAsia" w:hAnsiTheme="minorHAnsi"/>
              <w:noProof/>
              <w:szCs w:val="24"/>
              <w:lang w:eastAsia="ru-RU"/>
            </w:rPr>
          </w:pPr>
          <w:hyperlink w:anchor="_Toc65108036" w:history="1">
            <w:r w:rsidR="000768AC" w:rsidRPr="00897CC4">
              <w:rPr>
                <w:rStyle w:val="affd"/>
                <w:noProof/>
              </w:rPr>
              <w:t>5. Профилактика и диспансерное наблюдение, медицинские показания и противопоказания к применению методов профилактики</w:t>
            </w:r>
            <w:r w:rsidR="000768AC">
              <w:rPr>
                <w:noProof/>
                <w:webHidden/>
              </w:rPr>
              <w:tab/>
            </w:r>
            <w:r w:rsidR="000768AC">
              <w:rPr>
                <w:noProof/>
                <w:webHidden/>
              </w:rPr>
              <w:fldChar w:fldCharType="begin"/>
            </w:r>
            <w:r w:rsidR="000768AC">
              <w:rPr>
                <w:noProof/>
                <w:webHidden/>
              </w:rPr>
              <w:instrText xml:space="preserve"> PAGEREF _Toc65108036 \h </w:instrText>
            </w:r>
            <w:r w:rsidR="000768AC">
              <w:rPr>
                <w:noProof/>
                <w:webHidden/>
              </w:rPr>
            </w:r>
            <w:r w:rsidR="000768AC">
              <w:rPr>
                <w:noProof/>
                <w:webHidden/>
              </w:rPr>
              <w:fldChar w:fldCharType="separate"/>
            </w:r>
            <w:r w:rsidR="000768AC">
              <w:rPr>
                <w:noProof/>
                <w:webHidden/>
              </w:rPr>
              <w:t>25</w:t>
            </w:r>
            <w:r w:rsidR="000768AC">
              <w:rPr>
                <w:noProof/>
                <w:webHidden/>
              </w:rPr>
              <w:fldChar w:fldCharType="end"/>
            </w:r>
          </w:hyperlink>
        </w:p>
        <w:p w14:paraId="65658A38" w14:textId="4501990F" w:rsidR="000768AC" w:rsidRDefault="007A47CE">
          <w:pPr>
            <w:pStyle w:val="1a"/>
            <w:rPr>
              <w:rFonts w:asciiTheme="minorHAnsi" w:eastAsiaTheme="minorEastAsia" w:hAnsiTheme="minorHAnsi"/>
              <w:noProof/>
              <w:szCs w:val="24"/>
              <w:lang w:eastAsia="ru-RU"/>
            </w:rPr>
          </w:pPr>
          <w:hyperlink w:anchor="_Toc65108037" w:history="1">
            <w:r w:rsidR="000768AC" w:rsidRPr="00897CC4">
              <w:rPr>
                <w:rStyle w:val="affd"/>
                <w:noProof/>
              </w:rPr>
              <w:t>6. Организация оказания медицинской помощи</w:t>
            </w:r>
            <w:r w:rsidR="000768AC">
              <w:rPr>
                <w:noProof/>
                <w:webHidden/>
              </w:rPr>
              <w:tab/>
            </w:r>
            <w:r w:rsidR="000768AC">
              <w:rPr>
                <w:noProof/>
                <w:webHidden/>
              </w:rPr>
              <w:fldChar w:fldCharType="begin"/>
            </w:r>
            <w:r w:rsidR="000768AC">
              <w:rPr>
                <w:noProof/>
                <w:webHidden/>
              </w:rPr>
              <w:instrText xml:space="preserve"> PAGEREF _Toc65108037 \h </w:instrText>
            </w:r>
            <w:r w:rsidR="000768AC">
              <w:rPr>
                <w:noProof/>
                <w:webHidden/>
              </w:rPr>
            </w:r>
            <w:r w:rsidR="000768AC">
              <w:rPr>
                <w:noProof/>
                <w:webHidden/>
              </w:rPr>
              <w:fldChar w:fldCharType="separate"/>
            </w:r>
            <w:r w:rsidR="000768AC">
              <w:rPr>
                <w:noProof/>
                <w:webHidden/>
              </w:rPr>
              <w:t>26</w:t>
            </w:r>
            <w:r w:rsidR="000768AC">
              <w:rPr>
                <w:noProof/>
                <w:webHidden/>
              </w:rPr>
              <w:fldChar w:fldCharType="end"/>
            </w:r>
          </w:hyperlink>
        </w:p>
        <w:p w14:paraId="03746FB2" w14:textId="0F975E21" w:rsidR="000768AC" w:rsidRDefault="007A47CE">
          <w:pPr>
            <w:pStyle w:val="1a"/>
            <w:rPr>
              <w:rFonts w:asciiTheme="minorHAnsi" w:eastAsiaTheme="minorEastAsia" w:hAnsiTheme="minorHAnsi"/>
              <w:noProof/>
              <w:szCs w:val="24"/>
              <w:lang w:eastAsia="ru-RU"/>
            </w:rPr>
          </w:pPr>
          <w:hyperlink w:anchor="_Toc65108038" w:history="1">
            <w:r w:rsidR="000768AC" w:rsidRPr="00897CC4">
              <w:rPr>
                <w:rStyle w:val="affd"/>
                <w:noProof/>
              </w:rPr>
              <w:t>7. Дополнительная информация (в том числе факторы, влияющие на исход заболевания или состояния)</w:t>
            </w:r>
            <w:r w:rsidR="000768AC">
              <w:rPr>
                <w:noProof/>
                <w:webHidden/>
              </w:rPr>
              <w:tab/>
            </w:r>
            <w:r w:rsidR="000768AC">
              <w:rPr>
                <w:noProof/>
                <w:webHidden/>
              </w:rPr>
              <w:fldChar w:fldCharType="begin"/>
            </w:r>
            <w:r w:rsidR="000768AC">
              <w:rPr>
                <w:noProof/>
                <w:webHidden/>
              </w:rPr>
              <w:instrText xml:space="preserve"> PAGEREF _Toc65108038 \h </w:instrText>
            </w:r>
            <w:r w:rsidR="000768AC">
              <w:rPr>
                <w:noProof/>
                <w:webHidden/>
              </w:rPr>
            </w:r>
            <w:r w:rsidR="000768AC">
              <w:rPr>
                <w:noProof/>
                <w:webHidden/>
              </w:rPr>
              <w:fldChar w:fldCharType="separate"/>
            </w:r>
            <w:r w:rsidR="000768AC">
              <w:rPr>
                <w:noProof/>
                <w:webHidden/>
              </w:rPr>
              <w:t>30</w:t>
            </w:r>
            <w:r w:rsidR="000768AC">
              <w:rPr>
                <w:noProof/>
                <w:webHidden/>
              </w:rPr>
              <w:fldChar w:fldCharType="end"/>
            </w:r>
          </w:hyperlink>
        </w:p>
        <w:p w14:paraId="24EDC1FA" w14:textId="40B51701" w:rsidR="000768AC" w:rsidRDefault="007A47CE">
          <w:pPr>
            <w:pStyle w:val="21"/>
            <w:rPr>
              <w:rFonts w:asciiTheme="minorHAnsi" w:eastAsiaTheme="minorEastAsia" w:hAnsiTheme="minorHAnsi" w:cstheme="minorBidi"/>
              <w:noProof/>
              <w:sz w:val="24"/>
              <w:szCs w:val="24"/>
              <w:lang w:eastAsia="ru-RU"/>
            </w:rPr>
          </w:pPr>
          <w:hyperlink w:anchor="_Toc65108039" w:history="1">
            <w:r w:rsidR="000768AC" w:rsidRPr="00897CC4">
              <w:rPr>
                <w:rStyle w:val="affd"/>
                <w:noProof/>
              </w:rPr>
              <w:t>7.1 Общие требования к морфологической диагностике лимфом</w:t>
            </w:r>
            <w:r w:rsidR="000768AC">
              <w:rPr>
                <w:noProof/>
                <w:webHidden/>
              </w:rPr>
              <w:tab/>
            </w:r>
            <w:r w:rsidR="000768AC">
              <w:rPr>
                <w:noProof/>
                <w:webHidden/>
              </w:rPr>
              <w:fldChar w:fldCharType="begin"/>
            </w:r>
            <w:r w:rsidR="000768AC">
              <w:rPr>
                <w:noProof/>
                <w:webHidden/>
              </w:rPr>
              <w:instrText xml:space="preserve"> PAGEREF _Toc65108039 \h </w:instrText>
            </w:r>
            <w:r w:rsidR="000768AC">
              <w:rPr>
                <w:noProof/>
                <w:webHidden/>
              </w:rPr>
            </w:r>
            <w:r w:rsidR="000768AC">
              <w:rPr>
                <w:noProof/>
                <w:webHidden/>
              </w:rPr>
              <w:fldChar w:fldCharType="separate"/>
            </w:r>
            <w:r w:rsidR="000768AC">
              <w:rPr>
                <w:noProof/>
                <w:webHidden/>
              </w:rPr>
              <w:t>30</w:t>
            </w:r>
            <w:r w:rsidR="000768AC">
              <w:rPr>
                <w:noProof/>
                <w:webHidden/>
              </w:rPr>
              <w:fldChar w:fldCharType="end"/>
            </w:r>
          </w:hyperlink>
        </w:p>
        <w:p w14:paraId="50376425" w14:textId="2E2AD9ED" w:rsidR="000768AC" w:rsidRDefault="007A47CE">
          <w:pPr>
            <w:pStyle w:val="21"/>
            <w:rPr>
              <w:rFonts w:asciiTheme="minorHAnsi" w:eastAsiaTheme="minorEastAsia" w:hAnsiTheme="minorHAnsi" w:cstheme="minorBidi"/>
              <w:noProof/>
              <w:sz w:val="24"/>
              <w:szCs w:val="24"/>
              <w:lang w:eastAsia="ru-RU"/>
            </w:rPr>
          </w:pPr>
          <w:hyperlink w:anchor="_Toc65108040" w:history="1">
            <w:r w:rsidR="000768AC" w:rsidRPr="00897CC4">
              <w:rPr>
                <w:rStyle w:val="affd"/>
                <w:noProof/>
              </w:rPr>
              <w:t>7.2 Патолого-анатомическая и иммуногистохимическая диагностика ЛМЗ</w:t>
            </w:r>
            <w:r w:rsidR="000768AC">
              <w:rPr>
                <w:noProof/>
                <w:webHidden/>
              </w:rPr>
              <w:tab/>
            </w:r>
            <w:r w:rsidR="000768AC">
              <w:rPr>
                <w:noProof/>
                <w:webHidden/>
              </w:rPr>
              <w:fldChar w:fldCharType="begin"/>
            </w:r>
            <w:r w:rsidR="000768AC">
              <w:rPr>
                <w:noProof/>
                <w:webHidden/>
              </w:rPr>
              <w:instrText xml:space="preserve"> PAGEREF _Toc65108040 \h </w:instrText>
            </w:r>
            <w:r w:rsidR="000768AC">
              <w:rPr>
                <w:noProof/>
                <w:webHidden/>
              </w:rPr>
            </w:r>
            <w:r w:rsidR="000768AC">
              <w:rPr>
                <w:noProof/>
                <w:webHidden/>
              </w:rPr>
              <w:fldChar w:fldCharType="separate"/>
            </w:r>
            <w:r w:rsidR="000768AC">
              <w:rPr>
                <w:noProof/>
                <w:webHidden/>
              </w:rPr>
              <w:t>32</w:t>
            </w:r>
            <w:r w:rsidR="000768AC">
              <w:rPr>
                <w:noProof/>
                <w:webHidden/>
              </w:rPr>
              <w:fldChar w:fldCharType="end"/>
            </w:r>
          </w:hyperlink>
        </w:p>
        <w:p w14:paraId="7809AE7D" w14:textId="0E510687" w:rsidR="000768AC" w:rsidRDefault="007A47CE">
          <w:pPr>
            <w:pStyle w:val="21"/>
            <w:rPr>
              <w:rFonts w:asciiTheme="minorHAnsi" w:eastAsiaTheme="minorEastAsia" w:hAnsiTheme="minorHAnsi" w:cstheme="minorBidi"/>
              <w:noProof/>
              <w:sz w:val="24"/>
              <w:szCs w:val="24"/>
              <w:lang w:eastAsia="ru-RU"/>
            </w:rPr>
          </w:pPr>
          <w:hyperlink w:anchor="_Toc65108041" w:history="1">
            <w:r w:rsidR="000768AC" w:rsidRPr="00897CC4">
              <w:rPr>
                <w:rStyle w:val="affd"/>
                <w:noProof/>
              </w:rPr>
              <w:t>7.3 Стадирование ЛМЗ</w:t>
            </w:r>
            <w:r w:rsidR="000768AC">
              <w:rPr>
                <w:noProof/>
                <w:webHidden/>
              </w:rPr>
              <w:tab/>
            </w:r>
            <w:r w:rsidR="000768AC">
              <w:rPr>
                <w:noProof/>
                <w:webHidden/>
              </w:rPr>
              <w:fldChar w:fldCharType="begin"/>
            </w:r>
            <w:r w:rsidR="000768AC">
              <w:rPr>
                <w:noProof/>
                <w:webHidden/>
              </w:rPr>
              <w:instrText xml:space="preserve"> PAGEREF _Toc65108041 \h </w:instrText>
            </w:r>
            <w:r w:rsidR="000768AC">
              <w:rPr>
                <w:noProof/>
                <w:webHidden/>
              </w:rPr>
            </w:r>
            <w:r w:rsidR="000768AC">
              <w:rPr>
                <w:noProof/>
                <w:webHidden/>
              </w:rPr>
              <w:fldChar w:fldCharType="separate"/>
            </w:r>
            <w:r w:rsidR="000768AC">
              <w:rPr>
                <w:noProof/>
                <w:webHidden/>
              </w:rPr>
              <w:t>33</w:t>
            </w:r>
            <w:r w:rsidR="000768AC">
              <w:rPr>
                <w:noProof/>
                <w:webHidden/>
              </w:rPr>
              <w:fldChar w:fldCharType="end"/>
            </w:r>
          </w:hyperlink>
        </w:p>
        <w:p w14:paraId="2677E374" w14:textId="314193ED" w:rsidR="000768AC" w:rsidRDefault="007A47CE">
          <w:pPr>
            <w:pStyle w:val="21"/>
            <w:rPr>
              <w:rFonts w:asciiTheme="minorHAnsi" w:eastAsiaTheme="minorEastAsia" w:hAnsiTheme="minorHAnsi" w:cstheme="minorBidi"/>
              <w:noProof/>
              <w:sz w:val="24"/>
              <w:szCs w:val="24"/>
              <w:lang w:eastAsia="ru-RU"/>
            </w:rPr>
          </w:pPr>
          <w:hyperlink w:anchor="_Toc65108042" w:history="1">
            <w:r w:rsidR="000768AC" w:rsidRPr="00897CC4">
              <w:rPr>
                <w:rStyle w:val="affd"/>
                <w:noProof/>
              </w:rPr>
              <w:t>7.4. Оценка ответа на лечение при лимфомах</w:t>
            </w:r>
            <w:r w:rsidR="000768AC">
              <w:rPr>
                <w:noProof/>
                <w:webHidden/>
              </w:rPr>
              <w:tab/>
            </w:r>
            <w:r w:rsidR="000768AC">
              <w:rPr>
                <w:noProof/>
                <w:webHidden/>
              </w:rPr>
              <w:fldChar w:fldCharType="begin"/>
            </w:r>
            <w:r w:rsidR="000768AC">
              <w:rPr>
                <w:noProof/>
                <w:webHidden/>
              </w:rPr>
              <w:instrText xml:space="preserve"> PAGEREF _Toc65108042 \h </w:instrText>
            </w:r>
            <w:r w:rsidR="000768AC">
              <w:rPr>
                <w:noProof/>
                <w:webHidden/>
              </w:rPr>
            </w:r>
            <w:r w:rsidR="000768AC">
              <w:rPr>
                <w:noProof/>
                <w:webHidden/>
              </w:rPr>
              <w:fldChar w:fldCharType="separate"/>
            </w:r>
            <w:r w:rsidR="000768AC">
              <w:rPr>
                <w:noProof/>
                <w:webHidden/>
              </w:rPr>
              <w:t>35</w:t>
            </w:r>
            <w:r w:rsidR="000768AC">
              <w:rPr>
                <w:noProof/>
                <w:webHidden/>
              </w:rPr>
              <w:fldChar w:fldCharType="end"/>
            </w:r>
          </w:hyperlink>
        </w:p>
        <w:p w14:paraId="605D9E4C" w14:textId="549141FB" w:rsidR="000768AC" w:rsidRDefault="007A47CE">
          <w:pPr>
            <w:pStyle w:val="21"/>
            <w:rPr>
              <w:rFonts w:asciiTheme="minorHAnsi" w:eastAsiaTheme="minorEastAsia" w:hAnsiTheme="minorHAnsi" w:cstheme="minorBidi"/>
              <w:noProof/>
              <w:sz w:val="24"/>
              <w:szCs w:val="24"/>
              <w:lang w:eastAsia="ru-RU"/>
            </w:rPr>
          </w:pPr>
          <w:hyperlink w:anchor="_Toc65108043" w:history="1">
            <w:r w:rsidR="000768AC" w:rsidRPr="00897CC4">
              <w:rPr>
                <w:rStyle w:val="affd"/>
                <w:noProof/>
              </w:rPr>
              <w:t xml:space="preserve">7.5. </w:t>
            </w:r>
            <w:r w:rsidR="000768AC" w:rsidRPr="00897CC4">
              <w:rPr>
                <w:rStyle w:val="affd"/>
                <w:noProof/>
                <w:lang w:eastAsia="ru-RU"/>
              </w:rPr>
              <w:t>Профилактика и лечение тошноты и рвоты</w:t>
            </w:r>
            <w:r w:rsidR="000768AC">
              <w:rPr>
                <w:noProof/>
                <w:webHidden/>
              </w:rPr>
              <w:tab/>
            </w:r>
            <w:r w:rsidR="000768AC">
              <w:rPr>
                <w:noProof/>
                <w:webHidden/>
              </w:rPr>
              <w:fldChar w:fldCharType="begin"/>
            </w:r>
            <w:r w:rsidR="000768AC">
              <w:rPr>
                <w:noProof/>
                <w:webHidden/>
              </w:rPr>
              <w:instrText xml:space="preserve"> PAGEREF _Toc65108043 \h </w:instrText>
            </w:r>
            <w:r w:rsidR="000768AC">
              <w:rPr>
                <w:noProof/>
                <w:webHidden/>
              </w:rPr>
            </w:r>
            <w:r w:rsidR="000768AC">
              <w:rPr>
                <w:noProof/>
                <w:webHidden/>
              </w:rPr>
              <w:fldChar w:fldCharType="separate"/>
            </w:r>
            <w:r w:rsidR="000768AC">
              <w:rPr>
                <w:noProof/>
                <w:webHidden/>
              </w:rPr>
              <w:t>37</w:t>
            </w:r>
            <w:r w:rsidR="000768AC">
              <w:rPr>
                <w:noProof/>
                <w:webHidden/>
              </w:rPr>
              <w:fldChar w:fldCharType="end"/>
            </w:r>
          </w:hyperlink>
        </w:p>
        <w:p w14:paraId="028EBC8E" w14:textId="180D6F92" w:rsidR="000768AC" w:rsidRDefault="007A47CE">
          <w:pPr>
            <w:pStyle w:val="21"/>
            <w:rPr>
              <w:rFonts w:asciiTheme="minorHAnsi" w:eastAsiaTheme="minorEastAsia" w:hAnsiTheme="minorHAnsi" w:cstheme="minorBidi"/>
              <w:noProof/>
              <w:sz w:val="24"/>
              <w:szCs w:val="24"/>
              <w:lang w:eastAsia="ru-RU"/>
            </w:rPr>
          </w:pPr>
          <w:hyperlink w:anchor="_Toc65108044" w:history="1">
            <w:r w:rsidR="000768AC" w:rsidRPr="00897CC4">
              <w:rPr>
                <w:rStyle w:val="affd"/>
                <w:noProof/>
              </w:rPr>
              <w:t xml:space="preserve">7.6. </w:t>
            </w:r>
            <w:r w:rsidR="000768AC" w:rsidRPr="00897CC4">
              <w:rPr>
                <w:rStyle w:val="affd"/>
                <w:noProof/>
                <w:lang w:eastAsia="ru-RU"/>
              </w:rPr>
              <w:t>Профилактика язвенной болезни желудка и 12-перстной кишки на фоне терапии глюкокортикостероидами</w:t>
            </w:r>
            <w:r w:rsidR="000768AC">
              <w:rPr>
                <w:noProof/>
                <w:webHidden/>
              </w:rPr>
              <w:tab/>
            </w:r>
            <w:r w:rsidR="000768AC">
              <w:rPr>
                <w:noProof/>
                <w:webHidden/>
              </w:rPr>
              <w:fldChar w:fldCharType="begin"/>
            </w:r>
            <w:r w:rsidR="000768AC">
              <w:rPr>
                <w:noProof/>
                <w:webHidden/>
              </w:rPr>
              <w:instrText xml:space="preserve"> PAGEREF _Toc65108044 \h </w:instrText>
            </w:r>
            <w:r w:rsidR="000768AC">
              <w:rPr>
                <w:noProof/>
                <w:webHidden/>
              </w:rPr>
            </w:r>
            <w:r w:rsidR="000768AC">
              <w:rPr>
                <w:noProof/>
                <w:webHidden/>
              </w:rPr>
              <w:fldChar w:fldCharType="separate"/>
            </w:r>
            <w:r w:rsidR="000768AC">
              <w:rPr>
                <w:noProof/>
                <w:webHidden/>
              </w:rPr>
              <w:t>47</w:t>
            </w:r>
            <w:r w:rsidR="000768AC">
              <w:rPr>
                <w:noProof/>
                <w:webHidden/>
              </w:rPr>
              <w:fldChar w:fldCharType="end"/>
            </w:r>
          </w:hyperlink>
        </w:p>
        <w:p w14:paraId="38E43920" w14:textId="08B558C8" w:rsidR="000768AC" w:rsidRDefault="007A47CE">
          <w:pPr>
            <w:pStyle w:val="21"/>
            <w:rPr>
              <w:rFonts w:asciiTheme="minorHAnsi" w:eastAsiaTheme="minorEastAsia" w:hAnsiTheme="minorHAnsi" w:cstheme="minorBidi"/>
              <w:noProof/>
              <w:sz w:val="24"/>
              <w:szCs w:val="24"/>
              <w:lang w:eastAsia="ru-RU"/>
            </w:rPr>
          </w:pPr>
          <w:hyperlink w:anchor="_Toc65108045" w:history="1">
            <w:r w:rsidR="000768AC" w:rsidRPr="00897CC4">
              <w:rPr>
                <w:rStyle w:val="affd"/>
                <w:noProof/>
              </w:rPr>
              <w:t>7.7. Профилактика, диагностика и лечение тромботических осложнений</w:t>
            </w:r>
            <w:r w:rsidR="000768AC">
              <w:rPr>
                <w:noProof/>
                <w:webHidden/>
              </w:rPr>
              <w:tab/>
            </w:r>
            <w:r w:rsidR="000768AC">
              <w:rPr>
                <w:noProof/>
                <w:webHidden/>
              </w:rPr>
              <w:fldChar w:fldCharType="begin"/>
            </w:r>
            <w:r w:rsidR="000768AC">
              <w:rPr>
                <w:noProof/>
                <w:webHidden/>
              </w:rPr>
              <w:instrText xml:space="preserve"> PAGEREF _Toc65108045 \h </w:instrText>
            </w:r>
            <w:r w:rsidR="000768AC">
              <w:rPr>
                <w:noProof/>
                <w:webHidden/>
              </w:rPr>
            </w:r>
            <w:r w:rsidR="000768AC">
              <w:rPr>
                <w:noProof/>
                <w:webHidden/>
              </w:rPr>
              <w:fldChar w:fldCharType="separate"/>
            </w:r>
            <w:r w:rsidR="000768AC">
              <w:rPr>
                <w:noProof/>
                <w:webHidden/>
              </w:rPr>
              <w:t>50</w:t>
            </w:r>
            <w:r w:rsidR="000768AC">
              <w:rPr>
                <w:noProof/>
                <w:webHidden/>
              </w:rPr>
              <w:fldChar w:fldCharType="end"/>
            </w:r>
          </w:hyperlink>
        </w:p>
        <w:p w14:paraId="26705A8B" w14:textId="7A05AB70" w:rsidR="000768AC" w:rsidRDefault="007A47CE">
          <w:pPr>
            <w:pStyle w:val="21"/>
            <w:rPr>
              <w:rFonts w:asciiTheme="minorHAnsi" w:eastAsiaTheme="minorEastAsia" w:hAnsiTheme="minorHAnsi" w:cstheme="minorBidi"/>
              <w:noProof/>
              <w:sz w:val="24"/>
              <w:szCs w:val="24"/>
              <w:lang w:eastAsia="ru-RU"/>
            </w:rPr>
          </w:pPr>
          <w:hyperlink w:anchor="_Toc65108046" w:history="1">
            <w:r w:rsidR="000768AC" w:rsidRPr="00897CC4">
              <w:rPr>
                <w:rStyle w:val="affd"/>
                <w:noProof/>
              </w:rPr>
              <w:t>7.8. Диагностика и лечение бактериальных инфекционных осложнений</w:t>
            </w:r>
            <w:r w:rsidR="000768AC">
              <w:rPr>
                <w:noProof/>
                <w:webHidden/>
              </w:rPr>
              <w:tab/>
            </w:r>
            <w:r w:rsidR="000768AC">
              <w:rPr>
                <w:noProof/>
                <w:webHidden/>
              </w:rPr>
              <w:fldChar w:fldCharType="begin"/>
            </w:r>
            <w:r w:rsidR="000768AC">
              <w:rPr>
                <w:noProof/>
                <w:webHidden/>
              </w:rPr>
              <w:instrText xml:space="preserve"> PAGEREF _Toc65108046 \h </w:instrText>
            </w:r>
            <w:r w:rsidR="000768AC">
              <w:rPr>
                <w:noProof/>
                <w:webHidden/>
              </w:rPr>
            </w:r>
            <w:r w:rsidR="000768AC">
              <w:rPr>
                <w:noProof/>
                <w:webHidden/>
              </w:rPr>
              <w:fldChar w:fldCharType="separate"/>
            </w:r>
            <w:r w:rsidR="000768AC">
              <w:rPr>
                <w:noProof/>
                <w:webHidden/>
              </w:rPr>
              <w:t>67</w:t>
            </w:r>
            <w:r w:rsidR="000768AC">
              <w:rPr>
                <w:noProof/>
                <w:webHidden/>
              </w:rPr>
              <w:fldChar w:fldCharType="end"/>
            </w:r>
          </w:hyperlink>
        </w:p>
        <w:p w14:paraId="3F4E4FC7" w14:textId="6C28A41F" w:rsidR="000768AC" w:rsidRDefault="007A47CE">
          <w:pPr>
            <w:pStyle w:val="21"/>
            <w:rPr>
              <w:rFonts w:asciiTheme="minorHAnsi" w:eastAsiaTheme="minorEastAsia" w:hAnsiTheme="minorHAnsi" w:cstheme="minorBidi"/>
              <w:noProof/>
              <w:sz w:val="24"/>
              <w:szCs w:val="24"/>
              <w:lang w:eastAsia="ru-RU"/>
            </w:rPr>
          </w:pPr>
          <w:hyperlink w:anchor="_Toc65108047" w:history="1">
            <w:r w:rsidR="000768AC" w:rsidRPr="00897CC4">
              <w:rPr>
                <w:rStyle w:val="affd"/>
                <w:noProof/>
              </w:rPr>
              <w:t>7.9. Вирусные инфекции у пациентов с гематологическими заболеваниями</w:t>
            </w:r>
            <w:r w:rsidR="000768AC">
              <w:rPr>
                <w:noProof/>
                <w:webHidden/>
              </w:rPr>
              <w:tab/>
            </w:r>
            <w:r w:rsidR="000768AC">
              <w:rPr>
                <w:noProof/>
                <w:webHidden/>
              </w:rPr>
              <w:fldChar w:fldCharType="begin"/>
            </w:r>
            <w:r w:rsidR="000768AC">
              <w:rPr>
                <w:noProof/>
                <w:webHidden/>
              </w:rPr>
              <w:instrText xml:space="preserve"> PAGEREF _Toc65108047 \h </w:instrText>
            </w:r>
            <w:r w:rsidR="000768AC">
              <w:rPr>
                <w:noProof/>
                <w:webHidden/>
              </w:rPr>
            </w:r>
            <w:r w:rsidR="000768AC">
              <w:rPr>
                <w:noProof/>
                <w:webHidden/>
              </w:rPr>
              <w:fldChar w:fldCharType="separate"/>
            </w:r>
            <w:r w:rsidR="000768AC">
              <w:rPr>
                <w:noProof/>
                <w:webHidden/>
              </w:rPr>
              <w:t>90</w:t>
            </w:r>
            <w:r w:rsidR="000768AC">
              <w:rPr>
                <w:noProof/>
                <w:webHidden/>
              </w:rPr>
              <w:fldChar w:fldCharType="end"/>
            </w:r>
          </w:hyperlink>
        </w:p>
        <w:p w14:paraId="3A57517F" w14:textId="05463CA7" w:rsidR="000768AC" w:rsidRDefault="007A47CE">
          <w:pPr>
            <w:pStyle w:val="21"/>
            <w:rPr>
              <w:rFonts w:asciiTheme="minorHAnsi" w:eastAsiaTheme="minorEastAsia" w:hAnsiTheme="minorHAnsi" w:cstheme="minorBidi"/>
              <w:noProof/>
              <w:sz w:val="24"/>
              <w:szCs w:val="24"/>
              <w:lang w:eastAsia="ru-RU"/>
            </w:rPr>
          </w:pPr>
          <w:hyperlink w:anchor="_Toc65108048" w:history="1">
            <w:r w:rsidR="000768AC" w:rsidRPr="00897CC4">
              <w:rPr>
                <w:rStyle w:val="affd"/>
                <w:noProof/>
              </w:rPr>
              <w:t>7.10. Диагностика и лечение инфекций, вызванных грибами</w:t>
            </w:r>
            <w:r w:rsidR="000768AC">
              <w:rPr>
                <w:noProof/>
                <w:webHidden/>
              </w:rPr>
              <w:tab/>
            </w:r>
            <w:r w:rsidR="000768AC">
              <w:rPr>
                <w:noProof/>
                <w:webHidden/>
              </w:rPr>
              <w:fldChar w:fldCharType="begin"/>
            </w:r>
            <w:r w:rsidR="000768AC">
              <w:rPr>
                <w:noProof/>
                <w:webHidden/>
              </w:rPr>
              <w:instrText xml:space="preserve"> PAGEREF _Toc65108048 \h </w:instrText>
            </w:r>
            <w:r w:rsidR="000768AC">
              <w:rPr>
                <w:noProof/>
                <w:webHidden/>
              </w:rPr>
            </w:r>
            <w:r w:rsidR="000768AC">
              <w:rPr>
                <w:noProof/>
                <w:webHidden/>
              </w:rPr>
              <w:fldChar w:fldCharType="separate"/>
            </w:r>
            <w:r w:rsidR="000768AC">
              <w:rPr>
                <w:noProof/>
                <w:webHidden/>
              </w:rPr>
              <w:t>94</w:t>
            </w:r>
            <w:r w:rsidR="000768AC">
              <w:rPr>
                <w:noProof/>
                <w:webHidden/>
              </w:rPr>
              <w:fldChar w:fldCharType="end"/>
            </w:r>
          </w:hyperlink>
        </w:p>
        <w:p w14:paraId="42DE4490" w14:textId="509ABD58" w:rsidR="000768AC" w:rsidRDefault="007A47CE">
          <w:pPr>
            <w:pStyle w:val="1a"/>
            <w:rPr>
              <w:rFonts w:asciiTheme="minorHAnsi" w:eastAsiaTheme="minorEastAsia" w:hAnsiTheme="minorHAnsi"/>
              <w:noProof/>
              <w:szCs w:val="24"/>
              <w:lang w:eastAsia="ru-RU"/>
            </w:rPr>
          </w:pPr>
          <w:hyperlink w:anchor="_Toc65108049" w:history="1">
            <w:r w:rsidR="000768AC" w:rsidRPr="00897CC4">
              <w:rPr>
                <w:rStyle w:val="affd"/>
                <w:noProof/>
              </w:rPr>
              <w:t>Критерии оценки качества оказания медицинской помощи</w:t>
            </w:r>
            <w:r w:rsidR="000768AC">
              <w:rPr>
                <w:noProof/>
                <w:webHidden/>
              </w:rPr>
              <w:tab/>
            </w:r>
            <w:r w:rsidR="000768AC">
              <w:rPr>
                <w:noProof/>
                <w:webHidden/>
              </w:rPr>
              <w:fldChar w:fldCharType="begin"/>
            </w:r>
            <w:r w:rsidR="000768AC">
              <w:rPr>
                <w:noProof/>
                <w:webHidden/>
              </w:rPr>
              <w:instrText xml:space="preserve"> PAGEREF _Toc65108049 \h </w:instrText>
            </w:r>
            <w:r w:rsidR="000768AC">
              <w:rPr>
                <w:noProof/>
                <w:webHidden/>
              </w:rPr>
            </w:r>
            <w:r w:rsidR="000768AC">
              <w:rPr>
                <w:noProof/>
                <w:webHidden/>
              </w:rPr>
              <w:fldChar w:fldCharType="separate"/>
            </w:r>
            <w:r w:rsidR="000768AC">
              <w:rPr>
                <w:noProof/>
                <w:webHidden/>
              </w:rPr>
              <w:t>123</w:t>
            </w:r>
            <w:r w:rsidR="000768AC">
              <w:rPr>
                <w:noProof/>
                <w:webHidden/>
              </w:rPr>
              <w:fldChar w:fldCharType="end"/>
            </w:r>
          </w:hyperlink>
        </w:p>
        <w:p w14:paraId="63F91077" w14:textId="30415B65" w:rsidR="000768AC" w:rsidRDefault="007A47CE">
          <w:pPr>
            <w:pStyle w:val="1a"/>
            <w:rPr>
              <w:rFonts w:asciiTheme="minorHAnsi" w:eastAsiaTheme="minorEastAsia" w:hAnsiTheme="minorHAnsi"/>
              <w:noProof/>
              <w:szCs w:val="24"/>
              <w:lang w:eastAsia="ru-RU"/>
            </w:rPr>
          </w:pPr>
          <w:hyperlink w:anchor="_Toc65108050" w:history="1">
            <w:r w:rsidR="000768AC" w:rsidRPr="00897CC4">
              <w:rPr>
                <w:rStyle w:val="affd"/>
                <w:noProof/>
              </w:rPr>
              <w:t>Список литературы</w:t>
            </w:r>
            <w:r w:rsidR="000768AC">
              <w:rPr>
                <w:noProof/>
                <w:webHidden/>
              </w:rPr>
              <w:tab/>
            </w:r>
            <w:r w:rsidR="000768AC">
              <w:rPr>
                <w:noProof/>
                <w:webHidden/>
              </w:rPr>
              <w:fldChar w:fldCharType="begin"/>
            </w:r>
            <w:r w:rsidR="000768AC">
              <w:rPr>
                <w:noProof/>
                <w:webHidden/>
              </w:rPr>
              <w:instrText xml:space="preserve"> PAGEREF _Toc65108050 \h </w:instrText>
            </w:r>
            <w:r w:rsidR="000768AC">
              <w:rPr>
                <w:noProof/>
                <w:webHidden/>
              </w:rPr>
            </w:r>
            <w:r w:rsidR="000768AC">
              <w:rPr>
                <w:noProof/>
                <w:webHidden/>
              </w:rPr>
              <w:fldChar w:fldCharType="separate"/>
            </w:r>
            <w:r w:rsidR="000768AC">
              <w:rPr>
                <w:noProof/>
                <w:webHidden/>
              </w:rPr>
              <w:t>125</w:t>
            </w:r>
            <w:r w:rsidR="000768AC">
              <w:rPr>
                <w:noProof/>
                <w:webHidden/>
              </w:rPr>
              <w:fldChar w:fldCharType="end"/>
            </w:r>
          </w:hyperlink>
        </w:p>
        <w:p w14:paraId="64F9A25C" w14:textId="1EF97BB6" w:rsidR="000768AC" w:rsidRDefault="007A47CE">
          <w:pPr>
            <w:pStyle w:val="1a"/>
            <w:rPr>
              <w:rFonts w:asciiTheme="minorHAnsi" w:eastAsiaTheme="minorEastAsia" w:hAnsiTheme="minorHAnsi"/>
              <w:noProof/>
              <w:szCs w:val="24"/>
              <w:lang w:eastAsia="ru-RU"/>
            </w:rPr>
          </w:pPr>
          <w:hyperlink w:anchor="_Toc65108051" w:history="1">
            <w:r w:rsidR="000768AC" w:rsidRPr="00897CC4">
              <w:rPr>
                <w:rStyle w:val="affd"/>
                <w:noProof/>
              </w:rPr>
              <w:t>Приложение А1. Состав рабочей группы по разработке и пересмотру клинических рекомендаций</w:t>
            </w:r>
            <w:r w:rsidR="000768AC">
              <w:rPr>
                <w:noProof/>
                <w:webHidden/>
              </w:rPr>
              <w:tab/>
            </w:r>
            <w:r w:rsidR="000768AC">
              <w:rPr>
                <w:noProof/>
                <w:webHidden/>
              </w:rPr>
              <w:fldChar w:fldCharType="begin"/>
            </w:r>
            <w:r w:rsidR="000768AC">
              <w:rPr>
                <w:noProof/>
                <w:webHidden/>
              </w:rPr>
              <w:instrText xml:space="preserve"> PAGEREF _Toc65108051 \h </w:instrText>
            </w:r>
            <w:r w:rsidR="000768AC">
              <w:rPr>
                <w:noProof/>
                <w:webHidden/>
              </w:rPr>
            </w:r>
            <w:r w:rsidR="000768AC">
              <w:rPr>
                <w:noProof/>
                <w:webHidden/>
              </w:rPr>
              <w:fldChar w:fldCharType="separate"/>
            </w:r>
            <w:r w:rsidR="000768AC">
              <w:rPr>
                <w:noProof/>
                <w:webHidden/>
              </w:rPr>
              <w:t>138</w:t>
            </w:r>
            <w:r w:rsidR="000768AC">
              <w:rPr>
                <w:noProof/>
                <w:webHidden/>
              </w:rPr>
              <w:fldChar w:fldCharType="end"/>
            </w:r>
          </w:hyperlink>
        </w:p>
        <w:p w14:paraId="57D68A4C" w14:textId="2472E72F" w:rsidR="000768AC" w:rsidRDefault="007A47CE">
          <w:pPr>
            <w:pStyle w:val="1a"/>
            <w:rPr>
              <w:rFonts w:asciiTheme="minorHAnsi" w:eastAsiaTheme="minorEastAsia" w:hAnsiTheme="minorHAnsi"/>
              <w:noProof/>
              <w:szCs w:val="24"/>
              <w:lang w:eastAsia="ru-RU"/>
            </w:rPr>
          </w:pPr>
          <w:hyperlink w:anchor="_Toc65108052" w:history="1">
            <w:r w:rsidR="000768AC" w:rsidRPr="00897CC4">
              <w:rPr>
                <w:rStyle w:val="affd"/>
                <w:noProof/>
              </w:rPr>
              <w:t>Приложение А2. Методология разработки клинических рекомендаций</w:t>
            </w:r>
            <w:r w:rsidR="000768AC">
              <w:rPr>
                <w:noProof/>
                <w:webHidden/>
              </w:rPr>
              <w:tab/>
            </w:r>
            <w:r w:rsidR="000768AC">
              <w:rPr>
                <w:noProof/>
                <w:webHidden/>
              </w:rPr>
              <w:fldChar w:fldCharType="begin"/>
            </w:r>
            <w:r w:rsidR="000768AC">
              <w:rPr>
                <w:noProof/>
                <w:webHidden/>
              </w:rPr>
              <w:instrText xml:space="preserve"> PAGEREF _Toc65108052 \h </w:instrText>
            </w:r>
            <w:r w:rsidR="000768AC">
              <w:rPr>
                <w:noProof/>
                <w:webHidden/>
              </w:rPr>
            </w:r>
            <w:r w:rsidR="000768AC">
              <w:rPr>
                <w:noProof/>
                <w:webHidden/>
              </w:rPr>
              <w:fldChar w:fldCharType="separate"/>
            </w:r>
            <w:r w:rsidR="000768AC">
              <w:rPr>
                <w:noProof/>
                <w:webHidden/>
              </w:rPr>
              <w:t>140</w:t>
            </w:r>
            <w:r w:rsidR="000768AC">
              <w:rPr>
                <w:noProof/>
                <w:webHidden/>
              </w:rPr>
              <w:fldChar w:fldCharType="end"/>
            </w:r>
          </w:hyperlink>
        </w:p>
        <w:p w14:paraId="5C846E82" w14:textId="6F3C59A3" w:rsidR="000768AC" w:rsidRDefault="007A47CE">
          <w:pPr>
            <w:pStyle w:val="1a"/>
            <w:rPr>
              <w:rFonts w:asciiTheme="minorHAnsi" w:eastAsiaTheme="minorEastAsia" w:hAnsiTheme="minorHAnsi"/>
              <w:noProof/>
              <w:szCs w:val="24"/>
              <w:lang w:eastAsia="ru-RU"/>
            </w:rPr>
          </w:pPr>
          <w:hyperlink w:anchor="_Toc65108053" w:history="1">
            <w:r w:rsidR="000768AC" w:rsidRPr="00897CC4">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0768AC">
              <w:rPr>
                <w:noProof/>
                <w:webHidden/>
              </w:rPr>
              <w:tab/>
            </w:r>
            <w:r w:rsidR="000768AC">
              <w:rPr>
                <w:noProof/>
                <w:webHidden/>
              </w:rPr>
              <w:fldChar w:fldCharType="begin"/>
            </w:r>
            <w:r w:rsidR="000768AC">
              <w:rPr>
                <w:noProof/>
                <w:webHidden/>
              </w:rPr>
              <w:instrText xml:space="preserve"> PAGEREF _Toc65108053 \h </w:instrText>
            </w:r>
            <w:r w:rsidR="000768AC">
              <w:rPr>
                <w:noProof/>
                <w:webHidden/>
              </w:rPr>
            </w:r>
            <w:r w:rsidR="000768AC">
              <w:rPr>
                <w:noProof/>
                <w:webHidden/>
              </w:rPr>
              <w:fldChar w:fldCharType="separate"/>
            </w:r>
            <w:r w:rsidR="000768AC">
              <w:rPr>
                <w:noProof/>
                <w:webHidden/>
              </w:rPr>
              <w:t>144</w:t>
            </w:r>
            <w:r w:rsidR="000768AC">
              <w:rPr>
                <w:noProof/>
                <w:webHidden/>
              </w:rPr>
              <w:fldChar w:fldCharType="end"/>
            </w:r>
          </w:hyperlink>
        </w:p>
        <w:p w14:paraId="5F905674" w14:textId="077B29B2" w:rsidR="000768AC" w:rsidRDefault="007A47CE">
          <w:pPr>
            <w:pStyle w:val="21"/>
            <w:rPr>
              <w:rFonts w:asciiTheme="minorHAnsi" w:eastAsiaTheme="minorEastAsia" w:hAnsiTheme="minorHAnsi" w:cstheme="minorBidi"/>
              <w:noProof/>
              <w:sz w:val="24"/>
              <w:szCs w:val="24"/>
              <w:lang w:eastAsia="ru-RU"/>
            </w:rPr>
          </w:pPr>
          <w:hyperlink w:anchor="_Toc65108054" w:history="1">
            <w:r w:rsidR="000768AC" w:rsidRPr="00897CC4">
              <w:rPr>
                <w:rStyle w:val="affd"/>
                <w:noProof/>
              </w:rPr>
              <w:t>Приложение А3.1. Режимы лекарственного лечения ЛМЗ</w:t>
            </w:r>
            <w:r w:rsidR="000768AC">
              <w:rPr>
                <w:noProof/>
                <w:webHidden/>
              </w:rPr>
              <w:tab/>
            </w:r>
            <w:r w:rsidR="000768AC">
              <w:rPr>
                <w:noProof/>
                <w:webHidden/>
              </w:rPr>
              <w:fldChar w:fldCharType="begin"/>
            </w:r>
            <w:r w:rsidR="000768AC">
              <w:rPr>
                <w:noProof/>
                <w:webHidden/>
              </w:rPr>
              <w:instrText xml:space="preserve"> PAGEREF _Toc65108054 \h </w:instrText>
            </w:r>
            <w:r w:rsidR="000768AC">
              <w:rPr>
                <w:noProof/>
                <w:webHidden/>
              </w:rPr>
            </w:r>
            <w:r w:rsidR="000768AC">
              <w:rPr>
                <w:noProof/>
                <w:webHidden/>
              </w:rPr>
              <w:fldChar w:fldCharType="separate"/>
            </w:r>
            <w:r w:rsidR="000768AC">
              <w:rPr>
                <w:noProof/>
                <w:webHidden/>
              </w:rPr>
              <w:t>144</w:t>
            </w:r>
            <w:r w:rsidR="000768AC">
              <w:rPr>
                <w:noProof/>
                <w:webHidden/>
              </w:rPr>
              <w:fldChar w:fldCharType="end"/>
            </w:r>
          </w:hyperlink>
        </w:p>
        <w:p w14:paraId="3F518931" w14:textId="3B883DD4" w:rsidR="000768AC" w:rsidRDefault="007A47CE">
          <w:pPr>
            <w:pStyle w:val="21"/>
            <w:rPr>
              <w:rFonts w:asciiTheme="minorHAnsi" w:eastAsiaTheme="minorEastAsia" w:hAnsiTheme="minorHAnsi" w:cstheme="minorBidi"/>
              <w:noProof/>
              <w:sz w:val="24"/>
              <w:szCs w:val="24"/>
              <w:lang w:eastAsia="ru-RU"/>
            </w:rPr>
          </w:pPr>
          <w:hyperlink w:anchor="_Toc65108055" w:history="1">
            <w:r w:rsidR="000768AC" w:rsidRPr="00897CC4">
              <w:rPr>
                <w:rStyle w:val="affd"/>
                <w:noProof/>
              </w:rPr>
              <w:t>Приложение А3.2. Значение маркеров вируса гепатита В у пациентов, которым показано назначение анти-</w:t>
            </w:r>
            <w:r w:rsidR="000768AC" w:rsidRPr="00897CC4">
              <w:rPr>
                <w:rStyle w:val="affd"/>
                <w:noProof/>
                <w:lang w:val="en-US"/>
              </w:rPr>
              <w:t>CD</w:t>
            </w:r>
            <w:r w:rsidR="000768AC" w:rsidRPr="00897CC4">
              <w:rPr>
                <w:rStyle w:val="affd"/>
                <w:noProof/>
              </w:rPr>
              <w:t>20 моноклональных антител</w:t>
            </w:r>
            <w:r w:rsidR="000768AC">
              <w:rPr>
                <w:noProof/>
                <w:webHidden/>
              </w:rPr>
              <w:tab/>
            </w:r>
            <w:r w:rsidR="000768AC">
              <w:rPr>
                <w:noProof/>
                <w:webHidden/>
              </w:rPr>
              <w:fldChar w:fldCharType="begin"/>
            </w:r>
            <w:r w:rsidR="000768AC">
              <w:rPr>
                <w:noProof/>
                <w:webHidden/>
              </w:rPr>
              <w:instrText xml:space="preserve"> PAGEREF _Toc65108055 \h </w:instrText>
            </w:r>
            <w:r w:rsidR="000768AC">
              <w:rPr>
                <w:noProof/>
                <w:webHidden/>
              </w:rPr>
            </w:r>
            <w:r w:rsidR="000768AC">
              <w:rPr>
                <w:noProof/>
                <w:webHidden/>
              </w:rPr>
              <w:fldChar w:fldCharType="separate"/>
            </w:r>
            <w:r w:rsidR="000768AC">
              <w:rPr>
                <w:noProof/>
                <w:webHidden/>
              </w:rPr>
              <w:t>145</w:t>
            </w:r>
            <w:r w:rsidR="000768AC">
              <w:rPr>
                <w:noProof/>
                <w:webHidden/>
              </w:rPr>
              <w:fldChar w:fldCharType="end"/>
            </w:r>
          </w:hyperlink>
        </w:p>
        <w:p w14:paraId="3608E99A" w14:textId="393E20C2" w:rsidR="000768AC" w:rsidRDefault="007A47CE">
          <w:pPr>
            <w:pStyle w:val="21"/>
            <w:rPr>
              <w:rFonts w:asciiTheme="minorHAnsi" w:eastAsiaTheme="minorEastAsia" w:hAnsiTheme="minorHAnsi" w:cstheme="minorBidi"/>
              <w:noProof/>
              <w:sz w:val="24"/>
              <w:szCs w:val="24"/>
              <w:lang w:eastAsia="ru-RU"/>
            </w:rPr>
          </w:pPr>
          <w:hyperlink w:anchor="_Toc65108056" w:history="1">
            <w:r w:rsidR="000768AC" w:rsidRPr="00897CC4">
              <w:rPr>
                <w:rStyle w:val="affd"/>
                <w:noProof/>
              </w:rPr>
              <w:t>Приложение А3.3. Указания по применению и сопроводительная терапия при введении ритуксимаба**</w:t>
            </w:r>
            <w:r w:rsidR="000768AC">
              <w:rPr>
                <w:noProof/>
                <w:webHidden/>
              </w:rPr>
              <w:tab/>
            </w:r>
            <w:r w:rsidR="000768AC">
              <w:rPr>
                <w:noProof/>
                <w:webHidden/>
              </w:rPr>
              <w:fldChar w:fldCharType="begin"/>
            </w:r>
            <w:r w:rsidR="000768AC">
              <w:rPr>
                <w:noProof/>
                <w:webHidden/>
              </w:rPr>
              <w:instrText xml:space="preserve"> PAGEREF _Toc65108056 \h </w:instrText>
            </w:r>
            <w:r w:rsidR="000768AC">
              <w:rPr>
                <w:noProof/>
                <w:webHidden/>
              </w:rPr>
            </w:r>
            <w:r w:rsidR="000768AC">
              <w:rPr>
                <w:noProof/>
                <w:webHidden/>
              </w:rPr>
              <w:fldChar w:fldCharType="separate"/>
            </w:r>
            <w:r w:rsidR="000768AC">
              <w:rPr>
                <w:noProof/>
                <w:webHidden/>
              </w:rPr>
              <w:t>146</w:t>
            </w:r>
            <w:r w:rsidR="000768AC">
              <w:rPr>
                <w:noProof/>
                <w:webHidden/>
              </w:rPr>
              <w:fldChar w:fldCharType="end"/>
            </w:r>
          </w:hyperlink>
        </w:p>
        <w:p w14:paraId="0EF699C2" w14:textId="28D22B0A" w:rsidR="000768AC" w:rsidRDefault="007A47CE">
          <w:pPr>
            <w:pStyle w:val="21"/>
            <w:rPr>
              <w:rFonts w:asciiTheme="minorHAnsi" w:eastAsiaTheme="minorEastAsia" w:hAnsiTheme="minorHAnsi" w:cstheme="minorBidi"/>
              <w:noProof/>
              <w:sz w:val="24"/>
              <w:szCs w:val="24"/>
              <w:lang w:eastAsia="ru-RU"/>
            </w:rPr>
          </w:pPr>
          <w:hyperlink w:anchor="_Toc65108057" w:history="1">
            <w:r w:rsidR="000768AC" w:rsidRPr="00897CC4">
              <w:rPr>
                <w:rStyle w:val="affd"/>
                <w:noProof/>
              </w:rPr>
              <w:t xml:space="preserve">Приложение А3.4. </w:t>
            </w:r>
            <w:r w:rsidR="000768AC" w:rsidRPr="00897CC4">
              <w:rPr>
                <w:rStyle w:val="affd"/>
                <w:rFonts w:eastAsia="Arial Unicode MS"/>
                <w:noProof/>
              </w:rPr>
              <w:t>Протоколы выполнения аспирационного и биопсийного исследования костного мозга</w:t>
            </w:r>
            <w:r w:rsidR="000768AC">
              <w:rPr>
                <w:noProof/>
                <w:webHidden/>
              </w:rPr>
              <w:tab/>
            </w:r>
            <w:r w:rsidR="000768AC">
              <w:rPr>
                <w:noProof/>
                <w:webHidden/>
              </w:rPr>
              <w:fldChar w:fldCharType="begin"/>
            </w:r>
            <w:r w:rsidR="000768AC">
              <w:rPr>
                <w:noProof/>
                <w:webHidden/>
              </w:rPr>
              <w:instrText xml:space="preserve"> PAGEREF _Toc65108057 \h </w:instrText>
            </w:r>
            <w:r w:rsidR="000768AC">
              <w:rPr>
                <w:noProof/>
                <w:webHidden/>
              </w:rPr>
            </w:r>
            <w:r w:rsidR="000768AC">
              <w:rPr>
                <w:noProof/>
                <w:webHidden/>
              </w:rPr>
              <w:fldChar w:fldCharType="separate"/>
            </w:r>
            <w:r w:rsidR="000768AC">
              <w:rPr>
                <w:noProof/>
                <w:webHidden/>
              </w:rPr>
              <w:t>147</w:t>
            </w:r>
            <w:r w:rsidR="000768AC">
              <w:rPr>
                <w:noProof/>
                <w:webHidden/>
              </w:rPr>
              <w:fldChar w:fldCharType="end"/>
            </w:r>
          </w:hyperlink>
        </w:p>
        <w:p w14:paraId="25754EAA" w14:textId="5142D303" w:rsidR="000768AC" w:rsidRDefault="007A47CE">
          <w:pPr>
            <w:pStyle w:val="21"/>
            <w:rPr>
              <w:rFonts w:asciiTheme="minorHAnsi" w:eastAsiaTheme="minorEastAsia" w:hAnsiTheme="minorHAnsi" w:cstheme="minorBidi"/>
              <w:noProof/>
              <w:sz w:val="24"/>
              <w:szCs w:val="24"/>
              <w:lang w:eastAsia="ru-RU"/>
            </w:rPr>
          </w:pPr>
          <w:hyperlink w:anchor="_Toc65108058" w:history="1">
            <w:r w:rsidR="000768AC" w:rsidRPr="00897CC4">
              <w:rPr>
                <w:rStyle w:val="affd"/>
                <w:noProof/>
              </w:rPr>
              <w:t xml:space="preserve">Приложение А3.5. </w:t>
            </w:r>
            <w:r w:rsidR="000768AC" w:rsidRPr="00897CC4">
              <w:rPr>
                <w:rStyle w:val="affd"/>
                <w:bCs/>
                <w:noProof/>
              </w:rPr>
              <w:t>Обеспечение сосудистого доступа</w:t>
            </w:r>
            <w:r w:rsidR="000768AC">
              <w:rPr>
                <w:noProof/>
                <w:webHidden/>
              </w:rPr>
              <w:tab/>
            </w:r>
            <w:r w:rsidR="000768AC">
              <w:rPr>
                <w:noProof/>
                <w:webHidden/>
              </w:rPr>
              <w:fldChar w:fldCharType="begin"/>
            </w:r>
            <w:r w:rsidR="000768AC">
              <w:rPr>
                <w:noProof/>
                <w:webHidden/>
              </w:rPr>
              <w:instrText xml:space="preserve"> PAGEREF _Toc65108058 \h </w:instrText>
            </w:r>
            <w:r w:rsidR="000768AC">
              <w:rPr>
                <w:noProof/>
                <w:webHidden/>
              </w:rPr>
            </w:r>
            <w:r w:rsidR="000768AC">
              <w:rPr>
                <w:noProof/>
                <w:webHidden/>
              </w:rPr>
              <w:fldChar w:fldCharType="separate"/>
            </w:r>
            <w:r w:rsidR="000768AC">
              <w:rPr>
                <w:noProof/>
                <w:webHidden/>
              </w:rPr>
              <w:t>158</w:t>
            </w:r>
            <w:r w:rsidR="000768AC">
              <w:rPr>
                <w:noProof/>
                <w:webHidden/>
              </w:rPr>
              <w:fldChar w:fldCharType="end"/>
            </w:r>
          </w:hyperlink>
        </w:p>
        <w:p w14:paraId="2057A986" w14:textId="48FEA0F5" w:rsidR="000768AC" w:rsidRDefault="007A47CE">
          <w:pPr>
            <w:pStyle w:val="21"/>
            <w:rPr>
              <w:rFonts w:asciiTheme="minorHAnsi" w:eastAsiaTheme="minorEastAsia" w:hAnsiTheme="minorHAnsi" w:cstheme="minorBidi"/>
              <w:noProof/>
              <w:sz w:val="24"/>
              <w:szCs w:val="24"/>
              <w:lang w:eastAsia="ru-RU"/>
            </w:rPr>
          </w:pPr>
          <w:hyperlink w:anchor="_Toc65108059" w:history="1">
            <w:r w:rsidR="000768AC" w:rsidRPr="00897CC4">
              <w:rPr>
                <w:rStyle w:val="affd"/>
                <w:noProof/>
              </w:rPr>
              <w:t>Приложение А3.6. Применение компонентов донорской крови у гематологических пациентов</w:t>
            </w:r>
            <w:r w:rsidR="000768AC">
              <w:rPr>
                <w:noProof/>
                <w:webHidden/>
              </w:rPr>
              <w:tab/>
            </w:r>
            <w:r w:rsidR="000768AC">
              <w:rPr>
                <w:noProof/>
                <w:webHidden/>
              </w:rPr>
              <w:fldChar w:fldCharType="begin"/>
            </w:r>
            <w:r w:rsidR="000768AC">
              <w:rPr>
                <w:noProof/>
                <w:webHidden/>
              </w:rPr>
              <w:instrText xml:space="preserve"> PAGEREF _Toc65108059 \h </w:instrText>
            </w:r>
            <w:r w:rsidR="000768AC">
              <w:rPr>
                <w:noProof/>
                <w:webHidden/>
              </w:rPr>
            </w:r>
            <w:r w:rsidR="000768AC">
              <w:rPr>
                <w:noProof/>
                <w:webHidden/>
              </w:rPr>
              <w:fldChar w:fldCharType="separate"/>
            </w:r>
            <w:r w:rsidR="000768AC">
              <w:rPr>
                <w:noProof/>
                <w:webHidden/>
              </w:rPr>
              <w:t>172</w:t>
            </w:r>
            <w:r w:rsidR="000768AC">
              <w:rPr>
                <w:noProof/>
                <w:webHidden/>
              </w:rPr>
              <w:fldChar w:fldCharType="end"/>
            </w:r>
          </w:hyperlink>
        </w:p>
        <w:p w14:paraId="5E0F4462" w14:textId="38F7EB06" w:rsidR="000768AC" w:rsidRDefault="007A47CE">
          <w:pPr>
            <w:pStyle w:val="21"/>
            <w:rPr>
              <w:rFonts w:asciiTheme="minorHAnsi" w:eastAsiaTheme="minorEastAsia" w:hAnsiTheme="minorHAnsi" w:cstheme="minorBidi"/>
              <w:noProof/>
              <w:sz w:val="24"/>
              <w:szCs w:val="24"/>
              <w:lang w:eastAsia="ru-RU"/>
            </w:rPr>
          </w:pPr>
          <w:hyperlink w:anchor="_Toc65108060" w:history="1">
            <w:r w:rsidR="000768AC" w:rsidRPr="00897CC4">
              <w:rPr>
                <w:rStyle w:val="affd"/>
                <w:noProof/>
              </w:rPr>
              <w:t>Приложение А3.7. Инфузионная терапия у гематологических пациентов</w:t>
            </w:r>
            <w:r w:rsidR="000768AC">
              <w:rPr>
                <w:noProof/>
                <w:webHidden/>
              </w:rPr>
              <w:tab/>
            </w:r>
            <w:r w:rsidR="000768AC">
              <w:rPr>
                <w:noProof/>
                <w:webHidden/>
              </w:rPr>
              <w:fldChar w:fldCharType="begin"/>
            </w:r>
            <w:r w:rsidR="000768AC">
              <w:rPr>
                <w:noProof/>
                <w:webHidden/>
              </w:rPr>
              <w:instrText xml:space="preserve"> PAGEREF _Toc65108060 \h </w:instrText>
            </w:r>
            <w:r w:rsidR="000768AC">
              <w:rPr>
                <w:noProof/>
                <w:webHidden/>
              </w:rPr>
            </w:r>
            <w:r w:rsidR="000768AC">
              <w:rPr>
                <w:noProof/>
                <w:webHidden/>
              </w:rPr>
              <w:fldChar w:fldCharType="separate"/>
            </w:r>
            <w:r w:rsidR="000768AC">
              <w:rPr>
                <w:noProof/>
                <w:webHidden/>
              </w:rPr>
              <w:t>193</w:t>
            </w:r>
            <w:r w:rsidR="000768AC">
              <w:rPr>
                <w:noProof/>
                <w:webHidden/>
              </w:rPr>
              <w:fldChar w:fldCharType="end"/>
            </w:r>
          </w:hyperlink>
        </w:p>
        <w:p w14:paraId="0ABF411E" w14:textId="2212DD1F" w:rsidR="000768AC" w:rsidRDefault="007A47CE">
          <w:pPr>
            <w:pStyle w:val="21"/>
            <w:rPr>
              <w:rFonts w:asciiTheme="minorHAnsi" w:eastAsiaTheme="minorEastAsia" w:hAnsiTheme="minorHAnsi" w:cstheme="minorBidi"/>
              <w:noProof/>
              <w:sz w:val="24"/>
              <w:szCs w:val="24"/>
              <w:lang w:eastAsia="ru-RU"/>
            </w:rPr>
          </w:pPr>
          <w:hyperlink w:anchor="_Toc65108061" w:history="1">
            <w:r w:rsidR="000768AC" w:rsidRPr="00897CC4">
              <w:rPr>
                <w:rStyle w:val="affd"/>
                <w:noProof/>
              </w:rPr>
              <w:t>Приложение А3.8. Трансплантация аутологичных гемопоэтических стволовых клеток</w:t>
            </w:r>
            <w:r w:rsidR="000768AC">
              <w:rPr>
                <w:noProof/>
                <w:webHidden/>
              </w:rPr>
              <w:tab/>
            </w:r>
            <w:r w:rsidR="000768AC">
              <w:rPr>
                <w:noProof/>
                <w:webHidden/>
              </w:rPr>
              <w:fldChar w:fldCharType="begin"/>
            </w:r>
            <w:r w:rsidR="000768AC">
              <w:rPr>
                <w:noProof/>
                <w:webHidden/>
              </w:rPr>
              <w:instrText xml:space="preserve"> PAGEREF _Toc65108061 \h </w:instrText>
            </w:r>
            <w:r w:rsidR="000768AC">
              <w:rPr>
                <w:noProof/>
                <w:webHidden/>
              </w:rPr>
            </w:r>
            <w:r w:rsidR="000768AC">
              <w:rPr>
                <w:noProof/>
                <w:webHidden/>
              </w:rPr>
              <w:fldChar w:fldCharType="separate"/>
            </w:r>
            <w:r w:rsidR="000768AC">
              <w:rPr>
                <w:noProof/>
                <w:webHidden/>
              </w:rPr>
              <w:t>197</w:t>
            </w:r>
            <w:r w:rsidR="000768AC">
              <w:rPr>
                <w:noProof/>
                <w:webHidden/>
              </w:rPr>
              <w:fldChar w:fldCharType="end"/>
            </w:r>
          </w:hyperlink>
        </w:p>
        <w:p w14:paraId="6631C362" w14:textId="12FC76EF" w:rsidR="000768AC" w:rsidRDefault="007A47CE">
          <w:pPr>
            <w:pStyle w:val="1a"/>
            <w:rPr>
              <w:rFonts w:asciiTheme="minorHAnsi" w:eastAsiaTheme="minorEastAsia" w:hAnsiTheme="minorHAnsi"/>
              <w:noProof/>
              <w:szCs w:val="24"/>
              <w:lang w:eastAsia="ru-RU"/>
            </w:rPr>
          </w:pPr>
          <w:hyperlink w:anchor="_Toc65108062" w:history="1">
            <w:r w:rsidR="000768AC" w:rsidRPr="00897CC4">
              <w:rPr>
                <w:rStyle w:val="affd"/>
                <w:noProof/>
              </w:rPr>
              <w:t>Режимы мобилизации ГСК</w:t>
            </w:r>
            <w:r w:rsidR="000768AC">
              <w:rPr>
                <w:noProof/>
                <w:webHidden/>
              </w:rPr>
              <w:tab/>
            </w:r>
            <w:r w:rsidR="000768AC">
              <w:rPr>
                <w:noProof/>
                <w:webHidden/>
              </w:rPr>
              <w:fldChar w:fldCharType="begin"/>
            </w:r>
            <w:r w:rsidR="000768AC">
              <w:rPr>
                <w:noProof/>
                <w:webHidden/>
              </w:rPr>
              <w:instrText xml:space="preserve"> PAGEREF _Toc65108062 \h </w:instrText>
            </w:r>
            <w:r w:rsidR="000768AC">
              <w:rPr>
                <w:noProof/>
                <w:webHidden/>
              </w:rPr>
            </w:r>
            <w:r w:rsidR="000768AC">
              <w:rPr>
                <w:noProof/>
                <w:webHidden/>
              </w:rPr>
              <w:fldChar w:fldCharType="separate"/>
            </w:r>
            <w:r w:rsidR="000768AC">
              <w:rPr>
                <w:noProof/>
                <w:webHidden/>
              </w:rPr>
              <w:t>203</w:t>
            </w:r>
            <w:r w:rsidR="000768AC">
              <w:rPr>
                <w:noProof/>
                <w:webHidden/>
              </w:rPr>
              <w:fldChar w:fldCharType="end"/>
            </w:r>
          </w:hyperlink>
        </w:p>
        <w:p w14:paraId="1E217C3E" w14:textId="15512398" w:rsidR="000768AC" w:rsidRDefault="007A47CE">
          <w:pPr>
            <w:pStyle w:val="1a"/>
            <w:rPr>
              <w:rFonts w:asciiTheme="minorHAnsi" w:eastAsiaTheme="minorEastAsia" w:hAnsiTheme="minorHAnsi"/>
              <w:noProof/>
              <w:szCs w:val="24"/>
              <w:lang w:eastAsia="ru-RU"/>
            </w:rPr>
          </w:pPr>
          <w:hyperlink w:anchor="_Toc65108063" w:history="1">
            <w:r w:rsidR="000768AC" w:rsidRPr="00897CC4">
              <w:rPr>
                <w:rStyle w:val="affd"/>
                <w:noProof/>
              </w:rPr>
              <w:t>Приложение Б. Алгоритмы действий врача</w:t>
            </w:r>
            <w:r w:rsidR="000768AC">
              <w:rPr>
                <w:noProof/>
                <w:webHidden/>
              </w:rPr>
              <w:tab/>
            </w:r>
            <w:r w:rsidR="000768AC">
              <w:rPr>
                <w:noProof/>
                <w:webHidden/>
              </w:rPr>
              <w:fldChar w:fldCharType="begin"/>
            </w:r>
            <w:r w:rsidR="000768AC">
              <w:rPr>
                <w:noProof/>
                <w:webHidden/>
              </w:rPr>
              <w:instrText xml:space="preserve"> PAGEREF _Toc65108063 \h </w:instrText>
            </w:r>
            <w:r w:rsidR="000768AC">
              <w:rPr>
                <w:noProof/>
                <w:webHidden/>
              </w:rPr>
            </w:r>
            <w:r w:rsidR="000768AC">
              <w:rPr>
                <w:noProof/>
                <w:webHidden/>
              </w:rPr>
              <w:fldChar w:fldCharType="separate"/>
            </w:r>
            <w:r w:rsidR="000768AC">
              <w:rPr>
                <w:noProof/>
                <w:webHidden/>
              </w:rPr>
              <w:t>256</w:t>
            </w:r>
            <w:r w:rsidR="000768AC">
              <w:rPr>
                <w:noProof/>
                <w:webHidden/>
              </w:rPr>
              <w:fldChar w:fldCharType="end"/>
            </w:r>
          </w:hyperlink>
        </w:p>
        <w:p w14:paraId="05A810BF" w14:textId="59477751" w:rsidR="000768AC" w:rsidRDefault="007A47CE">
          <w:pPr>
            <w:pStyle w:val="1a"/>
            <w:rPr>
              <w:rFonts w:asciiTheme="minorHAnsi" w:eastAsiaTheme="minorEastAsia" w:hAnsiTheme="minorHAnsi"/>
              <w:noProof/>
              <w:szCs w:val="24"/>
              <w:lang w:eastAsia="ru-RU"/>
            </w:rPr>
          </w:pPr>
          <w:hyperlink w:anchor="_Toc65108064" w:history="1">
            <w:r w:rsidR="000768AC" w:rsidRPr="00897CC4">
              <w:rPr>
                <w:rStyle w:val="affd"/>
                <w:noProof/>
              </w:rPr>
              <w:t>Приложение В. Информация для пациента</w:t>
            </w:r>
            <w:r w:rsidR="000768AC">
              <w:rPr>
                <w:noProof/>
                <w:webHidden/>
              </w:rPr>
              <w:tab/>
            </w:r>
            <w:r w:rsidR="000768AC">
              <w:rPr>
                <w:noProof/>
                <w:webHidden/>
              </w:rPr>
              <w:fldChar w:fldCharType="begin"/>
            </w:r>
            <w:r w:rsidR="000768AC">
              <w:rPr>
                <w:noProof/>
                <w:webHidden/>
              </w:rPr>
              <w:instrText xml:space="preserve"> PAGEREF _Toc65108064 \h </w:instrText>
            </w:r>
            <w:r w:rsidR="000768AC">
              <w:rPr>
                <w:noProof/>
                <w:webHidden/>
              </w:rPr>
            </w:r>
            <w:r w:rsidR="000768AC">
              <w:rPr>
                <w:noProof/>
                <w:webHidden/>
              </w:rPr>
              <w:fldChar w:fldCharType="separate"/>
            </w:r>
            <w:r w:rsidR="000768AC">
              <w:rPr>
                <w:noProof/>
                <w:webHidden/>
              </w:rPr>
              <w:t>258</w:t>
            </w:r>
            <w:r w:rsidR="000768AC">
              <w:rPr>
                <w:noProof/>
                <w:webHidden/>
              </w:rPr>
              <w:fldChar w:fldCharType="end"/>
            </w:r>
          </w:hyperlink>
        </w:p>
        <w:p w14:paraId="1B972809" w14:textId="20539E74" w:rsidR="000768AC" w:rsidRDefault="007A47CE">
          <w:pPr>
            <w:pStyle w:val="1a"/>
            <w:rPr>
              <w:rFonts w:asciiTheme="minorHAnsi" w:eastAsiaTheme="minorEastAsia" w:hAnsiTheme="minorHAnsi"/>
              <w:noProof/>
              <w:szCs w:val="24"/>
              <w:lang w:eastAsia="ru-RU"/>
            </w:rPr>
          </w:pPr>
          <w:hyperlink w:anchor="_Toc65108065" w:history="1">
            <w:r w:rsidR="000768AC" w:rsidRPr="00897CC4">
              <w:rPr>
                <w:rStyle w:val="affd"/>
                <w:noProof/>
              </w:rPr>
              <w:t>Приложение Г. Шкалы оценки, вопросники и другие оценочные инструменты состояния пациента, приведенные в клинических рекомендациях</w:t>
            </w:r>
            <w:r w:rsidR="000768AC">
              <w:rPr>
                <w:noProof/>
                <w:webHidden/>
              </w:rPr>
              <w:tab/>
            </w:r>
            <w:r w:rsidR="000768AC">
              <w:rPr>
                <w:noProof/>
                <w:webHidden/>
              </w:rPr>
              <w:fldChar w:fldCharType="begin"/>
            </w:r>
            <w:r w:rsidR="000768AC">
              <w:rPr>
                <w:noProof/>
                <w:webHidden/>
              </w:rPr>
              <w:instrText xml:space="preserve"> PAGEREF _Toc65108065 \h </w:instrText>
            </w:r>
            <w:r w:rsidR="000768AC">
              <w:rPr>
                <w:noProof/>
                <w:webHidden/>
              </w:rPr>
            </w:r>
            <w:r w:rsidR="000768AC">
              <w:rPr>
                <w:noProof/>
                <w:webHidden/>
              </w:rPr>
              <w:fldChar w:fldCharType="separate"/>
            </w:r>
            <w:r w:rsidR="000768AC">
              <w:rPr>
                <w:noProof/>
                <w:webHidden/>
              </w:rPr>
              <w:t>260</w:t>
            </w:r>
            <w:r w:rsidR="000768AC">
              <w:rPr>
                <w:noProof/>
                <w:webHidden/>
              </w:rPr>
              <w:fldChar w:fldCharType="end"/>
            </w:r>
          </w:hyperlink>
        </w:p>
        <w:p w14:paraId="10E7A109" w14:textId="7EAA52CB" w:rsidR="000768AC" w:rsidRDefault="007A47CE">
          <w:pPr>
            <w:pStyle w:val="21"/>
            <w:rPr>
              <w:rFonts w:asciiTheme="minorHAnsi" w:eastAsiaTheme="minorEastAsia" w:hAnsiTheme="minorHAnsi" w:cstheme="minorBidi"/>
              <w:noProof/>
              <w:sz w:val="24"/>
              <w:szCs w:val="24"/>
              <w:lang w:eastAsia="ru-RU"/>
            </w:rPr>
          </w:pPr>
          <w:hyperlink w:anchor="_Toc65108066" w:history="1">
            <w:r w:rsidR="000768AC" w:rsidRPr="00897CC4">
              <w:rPr>
                <w:rStyle w:val="affd"/>
                <w:noProof/>
              </w:rPr>
              <w:t>Приложение Г1. Шкала оценки общего состояния пациента Восточной объединенной онкологической группы (ECOG)</w:t>
            </w:r>
            <w:r w:rsidR="000768AC">
              <w:rPr>
                <w:noProof/>
                <w:webHidden/>
              </w:rPr>
              <w:tab/>
            </w:r>
            <w:r w:rsidR="000768AC">
              <w:rPr>
                <w:noProof/>
                <w:webHidden/>
              </w:rPr>
              <w:fldChar w:fldCharType="begin"/>
            </w:r>
            <w:r w:rsidR="000768AC">
              <w:rPr>
                <w:noProof/>
                <w:webHidden/>
              </w:rPr>
              <w:instrText xml:space="preserve"> PAGEREF _Toc65108066 \h </w:instrText>
            </w:r>
            <w:r w:rsidR="000768AC">
              <w:rPr>
                <w:noProof/>
                <w:webHidden/>
              </w:rPr>
            </w:r>
            <w:r w:rsidR="000768AC">
              <w:rPr>
                <w:noProof/>
                <w:webHidden/>
              </w:rPr>
              <w:fldChar w:fldCharType="separate"/>
            </w:r>
            <w:r w:rsidR="000768AC">
              <w:rPr>
                <w:noProof/>
                <w:webHidden/>
              </w:rPr>
              <w:t>260</w:t>
            </w:r>
            <w:r w:rsidR="000768AC">
              <w:rPr>
                <w:noProof/>
                <w:webHidden/>
              </w:rPr>
              <w:fldChar w:fldCharType="end"/>
            </w:r>
          </w:hyperlink>
        </w:p>
        <w:p w14:paraId="21199FDA" w14:textId="7B143673" w:rsidR="000768AC" w:rsidRDefault="007A47CE">
          <w:pPr>
            <w:pStyle w:val="21"/>
            <w:rPr>
              <w:rFonts w:asciiTheme="minorHAnsi" w:eastAsiaTheme="minorEastAsia" w:hAnsiTheme="minorHAnsi" w:cstheme="minorBidi"/>
              <w:noProof/>
              <w:sz w:val="24"/>
              <w:szCs w:val="24"/>
              <w:lang w:eastAsia="ru-RU"/>
            </w:rPr>
          </w:pPr>
          <w:hyperlink w:anchor="_Toc65108067" w:history="1">
            <w:r w:rsidR="000768AC" w:rsidRPr="00897CC4">
              <w:rPr>
                <w:rStyle w:val="affd"/>
                <w:noProof/>
              </w:rPr>
              <w:t>Приложение Г2. Шкала Khorana для оценки риска ВТЭО у пациентов, получающих химиотерапию</w:t>
            </w:r>
            <w:r w:rsidR="000768AC">
              <w:rPr>
                <w:noProof/>
                <w:webHidden/>
              </w:rPr>
              <w:tab/>
            </w:r>
            <w:r w:rsidR="000768AC">
              <w:rPr>
                <w:noProof/>
                <w:webHidden/>
              </w:rPr>
              <w:fldChar w:fldCharType="begin"/>
            </w:r>
            <w:r w:rsidR="000768AC">
              <w:rPr>
                <w:noProof/>
                <w:webHidden/>
              </w:rPr>
              <w:instrText xml:space="preserve"> PAGEREF _Toc65108067 \h </w:instrText>
            </w:r>
            <w:r w:rsidR="000768AC">
              <w:rPr>
                <w:noProof/>
                <w:webHidden/>
              </w:rPr>
            </w:r>
            <w:r w:rsidR="000768AC">
              <w:rPr>
                <w:noProof/>
                <w:webHidden/>
              </w:rPr>
              <w:fldChar w:fldCharType="separate"/>
            </w:r>
            <w:r w:rsidR="000768AC">
              <w:rPr>
                <w:noProof/>
                <w:webHidden/>
              </w:rPr>
              <w:t>260</w:t>
            </w:r>
            <w:r w:rsidR="000768AC">
              <w:rPr>
                <w:noProof/>
                <w:webHidden/>
              </w:rPr>
              <w:fldChar w:fldCharType="end"/>
            </w:r>
          </w:hyperlink>
        </w:p>
        <w:p w14:paraId="30112B62" w14:textId="6F162FE8" w:rsidR="0033051F" w:rsidRDefault="00172112" w:rsidP="0033051F">
          <w:pPr>
            <w:rPr>
              <w:bCs/>
            </w:rPr>
          </w:pPr>
          <w:r w:rsidRPr="0033051F">
            <w:rPr>
              <w:rFonts w:cs="Times New Roman"/>
              <w:b/>
              <w:bCs/>
              <w:szCs w:val="24"/>
            </w:rPr>
            <w:fldChar w:fldCharType="end"/>
          </w:r>
        </w:p>
      </w:sdtContent>
    </w:sdt>
    <w:bookmarkStart w:id="3" w:name="__RefHeading___doc_abbreviation" w:displacedByCustomXml="prev"/>
    <w:p w14:paraId="30112B63" w14:textId="77777777" w:rsidR="00A54A0B" w:rsidRDefault="00A54A0B" w:rsidP="0033051F">
      <w:pPr>
        <w:pStyle w:val="afff2"/>
      </w:pPr>
      <w:r>
        <w:br w:type="page"/>
      </w:r>
    </w:p>
    <w:p w14:paraId="30112B64" w14:textId="77777777" w:rsidR="000414F6" w:rsidRDefault="00CB71DA" w:rsidP="0033051F">
      <w:pPr>
        <w:pStyle w:val="afff2"/>
      </w:pPr>
      <w:bookmarkStart w:id="4" w:name="_Toc65108011"/>
      <w:r>
        <w:lastRenderedPageBreak/>
        <w:t>Список сокращений</w:t>
      </w:r>
      <w:bookmarkEnd w:id="3"/>
      <w:bookmarkEnd w:id="4"/>
    </w:p>
    <w:p w14:paraId="30112B65" w14:textId="77777777" w:rsidR="00463D76" w:rsidRDefault="00463D76" w:rsidP="00463D76">
      <w:pPr>
        <w:pStyle w:val="afd"/>
        <w:spacing w:beforeAutospacing="0" w:afterAutospacing="0"/>
      </w:pPr>
      <w:r>
        <w:t>ЛМЗ – лимфомы маргинальной зоны</w:t>
      </w:r>
    </w:p>
    <w:p w14:paraId="30112B66" w14:textId="77777777" w:rsidR="00463D76" w:rsidRDefault="00463D76" w:rsidP="00463D76">
      <w:pPr>
        <w:pStyle w:val="afd"/>
        <w:spacing w:beforeAutospacing="0" w:afterAutospacing="0"/>
      </w:pPr>
      <w:r>
        <w:t>MALT – мукозассоциированная лимфома</w:t>
      </w:r>
    </w:p>
    <w:p w14:paraId="30112B67" w14:textId="77777777" w:rsidR="00463D76" w:rsidRDefault="00463D76" w:rsidP="00463D76">
      <w:pPr>
        <w:pStyle w:val="afd"/>
        <w:spacing w:beforeAutospacing="0" w:afterAutospacing="0"/>
      </w:pPr>
      <w:r>
        <w:t>НХЛ – неходжкинские лимфомы</w:t>
      </w:r>
    </w:p>
    <w:p w14:paraId="30112B68" w14:textId="77777777" w:rsidR="00463D76" w:rsidRDefault="00463D76" w:rsidP="00463D76">
      <w:pPr>
        <w:pStyle w:val="afd"/>
        <w:spacing w:beforeAutospacing="0" w:afterAutospacing="0"/>
      </w:pPr>
      <w:r>
        <w:t>ИФТ – иммунофенотипирование методом проточной цитометрии</w:t>
      </w:r>
    </w:p>
    <w:p w14:paraId="30112B69" w14:textId="77777777" w:rsidR="00463D76" w:rsidRDefault="00463D76" w:rsidP="00463D76">
      <w:pPr>
        <w:pStyle w:val="afd"/>
        <w:spacing w:beforeAutospacing="0" w:afterAutospacing="0"/>
      </w:pPr>
      <w:r>
        <w:t>КМ – костный мозг</w:t>
      </w:r>
    </w:p>
    <w:p w14:paraId="30112B6A" w14:textId="77777777" w:rsidR="00463D76" w:rsidRDefault="00463D76" w:rsidP="00463D76">
      <w:pPr>
        <w:pStyle w:val="afd"/>
        <w:spacing w:beforeAutospacing="0" w:afterAutospacing="0"/>
      </w:pPr>
      <w:r>
        <w:t>КТ – компьютерная томография</w:t>
      </w:r>
    </w:p>
    <w:p w14:paraId="30112B6B" w14:textId="77777777" w:rsidR="00463D76" w:rsidRDefault="00463D76" w:rsidP="00463D76">
      <w:pPr>
        <w:pStyle w:val="afd"/>
        <w:spacing w:beforeAutospacing="0" w:afterAutospacing="0"/>
      </w:pPr>
      <w:r>
        <w:t>ЛТ – лучевая терапия</w:t>
      </w:r>
    </w:p>
    <w:p w14:paraId="30112B6C" w14:textId="77777777" w:rsidR="00463D76" w:rsidRDefault="00463D76" w:rsidP="00463D76">
      <w:pPr>
        <w:pStyle w:val="afd"/>
        <w:spacing w:beforeAutospacing="0" w:afterAutospacing="0"/>
      </w:pPr>
      <w:r>
        <w:t>МРТ – магниторезонансная томография</w:t>
      </w:r>
    </w:p>
    <w:p w14:paraId="30112B6D" w14:textId="77777777" w:rsidR="001124B8" w:rsidRDefault="001124B8" w:rsidP="00463D76">
      <w:pPr>
        <w:pStyle w:val="afd"/>
        <w:spacing w:beforeAutospacing="0" w:afterAutospacing="0"/>
      </w:pPr>
      <w:r>
        <w:t>ПР – полная ремиссия</w:t>
      </w:r>
    </w:p>
    <w:p w14:paraId="30112B6E" w14:textId="77777777" w:rsidR="00463D76" w:rsidRDefault="00463D76" w:rsidP="00463D76">
      <w:pPr>
        <w:pStyle w:val="afd"/>
        <w:spacing w:beforeAutospacing="0" w:afterAutospacing="0"/>
      </w:pPr>
      <w:r>
        <w:t>РОД – разовая доза облучения</w:t>
      </w:r>
    </w:p>
    <w:p w14:paraId="30112B6F" w14:textId="77777777" w:rsidR="00463D76" w:rsidRDefault="00463D76" w:rsidP="00463D76">
      <w:pPr>
        <w:pStyle w:val="afd"/>
        <w:spacing w:beforeAutospacing="0" w:afterAutospacing="0"/>
      </w:pPr>
      <w:r>
        <w:t>СОД – суммарная доза облучения</w:t>
      </w:r>
    </w:p>
    <w:p w14:paraId="30112B70" w14:textId="77777777" w:rsidR="00463D76" w:rsidRDefault="00463D76" w:rsidP="00463D76">
      <w:pPr>
        <w:pStyle w:val="afd"/>
        <w:spacing w:beforeAutospacing="0" w:afterAutospacing="0"/>
      </w:pPr>
      <w:r>
        <w:t>УЗИ – ультразвуковое исследование</w:t>
      </w:r>
    </w:p>
    <w:p w14:paraId="30112B71" w14:textId="77777777" w:rsidR="00463D76" w:rsidRDefault="0081411B" w:rsidP="00463D76">
      <w:pPr>
        <w:pStyle w:val="afd"/>
        <w:spacing w:beforeAutospacing="0" w:afterAutospacing="0"/>
      </w:pPr>
      <w:r>
        <w:t>ФЛ</w:t>
      </w:r>
      <w:r w:rsidR="00463D76">
        <w:t xml:space="preserve"> – фолликулярная лимфома</w:t>
      </w:r>
    </w:p>
    <w:p w14:paraId="30112B72" w14:textId="77777777" w:rsidR="00463D76" w:rsidRDefault="00463D76" w:rsidP="00463D76">
      <w:pPr>
        <w:pStyle w:val="afd"/>
        <w:spacing w:beforeAutospacing="0" w:afterAutospacing="0"/>
      </w:pPr>
      <w:r>
        <w:t>ЭКГ – электрокардиография</w:t>
      </w:r>
    </w:p>
    <w:p w14:paraId="30112B73" w14:textId="77777777" w:rsidR="00463D76" w:rsidRDefault="00463D76" w:rsidP="00463D76">
      <w:pPr>
        <w:pStyle w:val="afd"/>
        <w:spacing w:beforeAutospacing="0" w:afterAutospacing="0"/>
      </w:pPr>
      <w:r>
        <w:t>Эхо-КГ – эхокардиография</w:t>
      </w:r>
    </w:p>
    <w:p w14:paraId="30112B74" w14:textId="77777777" w:rsidR="006D1C3B" w:rsidRPr="00423B24" w:rsidRDefault="00463D76" w:rsidP="00463D76">
      <w:pPr>
        <w:contextualSpacing/>
        <w:rPr>
          <w:rFonts w:eastAsia="Times New Roman" w:cs="Times New Roman"/>
          <w:szCs w:val="24"/>
          <w:lang w:eastAsia="ru-RU"/>
        </w:rPr>
      </w:pPr>
      <w:r>
        <w:t>IPSID – иммунопролиферативное заболевание тонкой кишки</w:t>
      </w:r>
    </w:p>
    <w:p w14:paraId="30112B75" w14:textId="77777777" w:rsidR="006619AD" w:rsidRDefault="006619AD" w:rsidP="00463D76">
      <w:pPr>
        <w:contextualSpacing/>
      </w:pPr>
      <w:r>
        <w:t>** – жизненно необходимые и важнейшие лекарственные препараты</w:t>
      </w:r>
    </w:p>
    <w:p w14:paraId="30112B76" w14:textId="77777777" w:rsidR="006619AD" w:rsidRDefault="006619AD" w:rsidP="00463D76">
      <w:pPr>
        <w:contextualSpacing/>
      </w:pPr>
      <w: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30112B77" w14:textId="77777777" w:rsidR="00A54A0B" w:rsidRDefault="00A54A0B" w:rsidP="0033051F">
      <w:pPr>
        <w:pStyle w:val="afff2"/>
      </w:pPr>
      <w:bookmarkStart w:id="5" w:name="__RefHeading___doc_terms"/>
      <w:r>
        <w:br w:type="page"/>
      </w:r>
    </w:p>
    <w:p w14:paraId="30112B78" w14:textId="77777777" w:rsidR="000414F6" w:rsidRPr="0033051F" w:rsidRDefault="00CB71DA" w:rsidP="0033051F">
      <w:pPr>
        <w:pStyle w:val="afff2"/>
      </w:pPr>
      <w:bookmarkStart w:id="6" w:name="_Toc65108012"/>
      <w:r w:rsidRPr="0033051F">
        <w:lastRenderedPageBreak/>
        <w:t>Термины и определения</w:t>
      </w:r>
      <w:bookmarkEnd w:id="5"/>
      <w:bookmarkEnd w:id="6"/>
    </w:p>
    <w:p w14:paraId="30112B79" w14:textId="77777777" w:rsidR="006619AD" w:rsidRDefault="006619AD" w:rsidP="00463D76">
      <w:pPr>
        <w:contextualSpacing/>
      </w:pPr>
      <w:r w:rsidRPr="004D7374">
        <w:rPr>
          <w:b/>
        </w:rPr>
        <w:t>ECOG</w:t>
      </w:r>
      <w:r>
        <w:t xml:space="preserve"> – оценка общего состояния пациента по шкале, разработанной Восточной </w:t>
      </w:r>
      <w:r w:rsidRPr="00E67C8E">
        <w:t>объединенной онкологической группой (Eastern Cooperative Oncology Group) – см. приложение Г1.</w:t>
      </w:r>
    </w:p>
    <w:p w14:paraId="30112B7A" w14:textId="77777777" w:rsidR="006619AD" w:rsidRDefault="006619AD" w:rsidP="00463D76">
      <w:pPr>
        <w:contextualSpacing/>
      </w:pPr>
      <w:r>
        <w:rPr>
          <w:b/>
        </w:rPr>
        <w:t xml:space="preserve">В-симптомы </w:t>
      </w:r>
      <w:r w:rsidRPr="003147A2">
        <w:t>– неспецифические симптомы опухолевой интоксикации, включающие лихорадку выше 38°С не менее трех дней подряд без признаков воспаления; ночные профузные поты; похудание на 10% массы тела за последние 6 месяцев.</w:t>
      </w:r>
    </w:p>
    <w:p w14:paraId="30112B7B" w14:textId="77777777" w:rsidR="00463D76" w:rsidRDefault="00463D76" w:rsidP="00463D76">
      <w:pPr>
        <w:pStyle w:val="afd"/>
        <w:spacing w:beforeAutospacing="0" w:afterAutospacing="0"/>
      </w:pPr>
      <w:r>
        <w:rPr>
          <w:rStyle w:val="affb"/>
        </w:rPr>
        <w:t>Доказательная медицина</w:t>
      </w:r>
      <w:r>
        <w:t xml:space="preserve"> – подход к медицинской практике, при котором решения о применении профилактических, диагностических и лечебных мероприятий принимаются исходя из имеющихся доказательств их эффективности и безопасности, а такие доказательства подвергаются поиску, сравнению, обобщению и широкому распространению для использования в интересах пациентов.</w:t>
      </w:r>
    </w:p>
    <w:p w14:paraId="30112B7C" w14:textId="77777777" w:rsidR="001D40F8" w:rsidRPr="001D40F8" w:rsidRDefault="001D40F8" w:rsidP="00924161">
      <w:pPr>
        <w:rPr>
          <w:szCs w:val="24"/>
        </w:rPr>
      </w:pPr>
    </w:p>
    <w:p w14:paraId="30112B7D" w14:textId="77777777" w:rsidR="00275A41" w:rsidRDefault="00CB71DA" w:rsidP="00924161">
      <w:pPr>
        <w:pStyle w:val="afd"/>
        <w:spacing w:beforeAutospacing="0" w:afterAutospacing="0"/>
        <w:divId w:val="576134796"/>
      </w:pPr>
      <w:r>
        <w:t>                                   </w:t>
      </w:r>
    </w:p>
    <w:p w14:paraId="30112B7E" w14:textId="77777777" w:rsidR="00B8195D" w:rsidRDefault="00CB71DA" w:rsidP="00F81854">
      <w:pPr>
        <w:pStyle w:val="afff2"/>
      </w:pPr>
      <w:r>
        <w:br w:type="page"/>
      </w:r>
      <w:bookmarkStart w:id="7" w:name="__RefHeading___doc_1"/>
    </w:p>
    <w:p w14:paraId="30112B7F" w14:textId="77777777" w:rsidR="000414F6" w:rsidRDefault="00CB71DA" w:rsidP="00C4630C">
      <w:pPr>
        <w:pStyle w:val="afff2"/>
      </w:pPr>
      <w:bookmarkStart w:id="8" w:name="_Toc65108013"/>
      <w:r>
        <w:lastRenderedPageBreak/>
        <w:t>1. Краткая информация</w:t>
      </w:r>
      <w:bookmarkEnd w:id="7"/>
      <w:r w:rsidR="00384B6A">
        <w:t xml:space="preserve"> по заболеванию или состоянию (группе заболеваний или состояний)</w:t>
      </w:r>
      <w:bookmarkEnd w:id="8"/>
    </w:p>
    <w:p w14:paraId="30112B80" w14:textId="77777777" w:rsidR="00B46390" w:rsidRPr="00CA3A78" w:rsidRDefault="00B46390" w:rsidP="0021676E">
      <w:pPr>
        <w:pStyle w:val="2"/>
        <w:rPr>
          <w:color w:val="000000" w:themeColor="text1"/>
        </w:rPr>
      </w:pPr>
      <w:bookmarkStart w:id="9" w:name="_Toc469402330"/>
      <w:bookmarkStart w:id="10" w:name="_Toc468273527"/>
      <w:bookmarkStart w:id="11" w:name="_Toc468273445"/>
      <w:bookmarkStart w:id="12" w:name="_Toc65108014"/>
      <w:bookmarkStart w:id="13" w:name="__RefHeading___doc_2"/>
      <w:bookmarkEnd w:id="9"/>
      <w:bookmarkEnd w:id="10"/>
      <w:bookmarkEnd w:id="11"/>
      <w:r w:rsidRPr="00CA3A78">
        <w:rPr>
          <w:color w:val="000000" w:themeColor="text1"/>
        </w:rPr>
        <w:t>1.1 Определение</w:t>
      </w:r>
      <w:r w:rsidR="00311757" w:rsidRPr="00CA3A78">
        <w:rPr>
          <w:color w:val="000000" w:themeColor="text1"/>
        </w:rPr>
        <w:t xml:space="preserve"> </w:t>
      </w:r>
      <w:r w:rsidR="00311757" w:rsidRPr="00CA3A78">
        <w:rPr>
          <w:color w:val="000000" w:themeColor="text1"/>
          <w:shd w:val="clear" w:color="auto" w:fill="FFFFFF"/>
        </w:rPr>
        <w:t>заболевания или состояния (группы заболеваний или состояний)</w:t>
      </w:r>
      <w:bookmarkEnd w:id="12"/>
    </w:p>
    <w:p w14:paraId="30112B81" w14:textId="77777777" w:rsidR="006619AD" w:rsidRDefault="00463D76" w:rsidP="00186E42">
      <w:pPr>
        <w:pStyle w:val="afd"/>
        <w:spacing w:beforeAutospacing="0" w:afterAutospacing="0"/>
      </w:pPr>
      <w:r w:rsidRPr="00463D76">
        <w:rPr>
          <w:bCs/>
        </w:rPr>
        <w:t>Лимфомы маргинальной зоны (ЛМЗ) представляют собой группу злокачественных В-клеточных новообразований, происходящих из В-лимфоцитов, которые в норме встречаются в маргинальной зоне лимфоидных фолликулов лимфатических узлов (л/у), селезенки и лимфатических тканей</w:t>
      </w:r>
      <w:r w:rsidR="00F12E3F">
        <w:t xml:space="preserve"> </w:t>
      </w:r>
      <w:r w:rsidR="00F5789A">
        <w:fldChar w:fldCharType="begin" w:fldLock="1"/>
      </w:r>
      <w:r w:rsidR="00090D97">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(IARC)","type":"book"},"uris":["http://www.mendeley.com/documents/?uuid=b06b14d2-e846-3ead-b23a-17e93b076e13"]},{"id":"ITEM-2","itemData":{"ISSN":"00064971","PMID":"9166827","abstract":"The recognition of several new types of non-Hodgkin's lymphoma (NHL) in recent years has led to proposals for changing lymphoma classifications, including a new proposal put forth by the International Lymphoma Study Group (ILSG). However, the clinical significance of the new entities and the practical utility of this new proposal have not been studied. Therefore, we performed a clinical evaluation of the ILSG classification. A cohort of 1,403 cases of NHL was organized at nine study sites around the world and consisted of consecutive patients seen between 1988 and 1990 who were previously untreated. A detailed protocol for histologic and clinical analysis was followed at each site, and immunologic characterization as to T- or B-cell phenotype was required. Five expert hematopathologists visited the sites and each classified each case using the ILSG classification. A consensus diagnosis was also reached in each case, and each expert rereviewed a 20% random sample of the cases. Clinical correlations and survival analyses were then performed. A diagnosis of NHL was confirmed in 1,378 (98.2%) of the cases. The most common lymphoma types were diffuse large B-cell lymphoma (31%) and follicular lymphoma (22%), whereas the new entities comprised 21% of the cases. Diagnostic accuracy was at least 85% for most of the major lymphoma types, and reproducibility of the diagnosis was 85%. Immunophenotyping improved the diagnostic accuracy by 10% to 45% for a number of the major types. The clinical features of the new entities were distinctive. Both the histologic types and the patient characteristics as defined by the International Prognostic Index predicted for patient survival. In conclusion we found that the ILSG classification can be readily applied and identifies clinically distinctive types of NHL. However, for clinical application, prognostic factors as defined by the International Prognostic Index must be combined with the histologic diagnosis for appropriate clinical decisions.","author":[{"dropping-particle":"","family":"Armitage","given":"James O.","non-dropping-particle":"","parse-names":false,"suffix":""}],"container-title":"Blood","id":"ITEM-2","issue":"11","issued":{"date-parts":[["1997","6","1"]]},"page":"3909-3918","title":"A clinical evaluation of the International Lymphoma Study Group classification of non-Hodgkin's lymphoma","type":"article-journal","volume":"89"},"uris":["http://www.mendeley.com/documents/?uuid=15d02efc-f5f0-4aff-912b-570f424039f3"]},{"id":"ITEM-3","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Савченко.","id":"ITEM-3","issued":{"date-parts":[["2018"]]},"page":"52-58","title":"Лимфома маргинальной зоны","type":"chapter"},"uris":["http://www.mendeley.com/documents/?uuid=041f4bbf-3ac6-4dfd-84b7-b81c4236a79d"]}],"mendeley":{"formattedCitation":"[1–3]","plainTextFormattedCitation":"[1–3]","previouslyFormattedCitation":"[1–3]"},"properties":{"noteIndex":0},"schema":"https://github.com/citation-style-language/schema/raw/master/csl-citation.json"}</w:instrText>
      </w:r>
      <w:r w:rsidR="00F5789A">
        <w:fldChar w:fldCharType="separate"/>
      </w:r>
      <w:r w:rsidRPr="00463D76">
        <w:rPr>
          <w:noProof/>
        </w:rPr>
        <w:t>[1–3]</w:t>
      </w:r>
      <w:r w:rsidR="00F5789A">
        <w:fldChar w:fldCharType="end"/>
      </w:r>
      <w:r w:rsidR="006619AD" w:rsidRPr="003937E8">
        <w:t>.</w:t>
      </w:r>
    </w:p>
    <w:p w14:paraId="30112B82" w14:textId="77777777" w:rsidR="00B46390" w:rsidRPr="00CA3A78" w:rsidRDefault="00B46390" w:rsidP="00172112">
      <w:pPr>
        <w:pStyle w:val="2"/>
        <w:rPr>
          <w:color w:val="000000" w:themeColor="text1"/>
        </w:rPr>
      </w:pPr>
      <w:bookmarkStart w:id="14" w:name="_Toc65108015"/>
      <w:r w:rsidRPr="00CA3A78">
        <w:rPr>
          <w:color w:val="000000" w:themeColor="text1"/>
        </w:rPr>
        <w:t>1.2 Этиология и патогенез</w:t>
      </w:r>
      <w:r w:rsidR="00311757" w:rsidRPr="00CA3A78">
        <w:rPr>
          <w:color w:val="000000" w:themeColor="text1"/>
        </w:rPr>
        <w:t xml:space="preserve"> </w:t>
      </w:r>
      <w:r w:rsidR="00311757" w:rsidRPr="00CA3A78">
        <w:rPr>
          <w:color w:val="000000" w:themeColor="text1"/>
          <w:shd w:val="clear" w:color="auto" w:fill="FFFFFF"/>
        </w:rPr>
        <w:t>заболевания или состояния (группы заболеваний или состояний)</w:t>
      </w:r>
      <w:bookmarkEnd w:id="14"/>
    </w:p>
    <w:p w14:paraId="30112B83" w14:textId="77777777" w:rsidR="00186E42" w:rsidRPr="00502DF4" w:rsidRDefault="00463D76" w:rsidP="00186E42">
      <w:pPr>
        <w:pStyle w:val="afd"/>
        <w:spacing w:beforeAutospacing="0" w:afterAutospacing="0"/>
      </w:pPr>
      <w:r w:rsidRPr="00463D76">
        <w:t>Согласно современным представлениям, основным этиологическим фактором ЛМЗ является хроническая иммунная стимуляция (инфекция, аутоиммунные заболевания). Существует доказанная связь между инфицированностью Helicobacter pylori и MALT-лимфомой желудка, Borrelia burgdorferi и ЛМЗ кожи, Chlamydophila psittaci и ЛМЗ орбиты, Campylobacter jejuni и иммунопролиферативным заболеванием тонкой кишки, вирусом гепатита С и ЛМЗ селезенки, а также MALT-лимфомами других локализаций</w:t>
      </w:r>
      <w:r w:rsidR="00186E42" w:rsidRPr="00502DF4">
        <w:t>.</w:t>
      </w:r>
    </w:p>
    <w:p w14:paraId="30112B84" w14:textId="77777777" w:rsidR="00B46390" w:rsidRPr="00CA3A78" w:rsidRDefault="00B46390" w:rsidP="00172112">
      <w:pPr>
        <w:pStyle w:val="2"/>
        <w:rPr>
          <w:color w:val="000000" w:themeColor="text1"/>
        </w:rPr>
      </w:pPr>
      <w:bookmarkStart w:id="15" w:name="_Toc65108016"/>
      <w:r w:rsidRPr="00CA3A78">
        <w:rPr>
          <w:color w:val="000000" w:themeColor="text1"/>
        </w:rPr>
        <w:t>1.3 Эпидемиология</w:t>
      </w:r>
      <w:r w:rsidR="00311757" w:rsidRPr="00CA3A78">
        <w:rPr>
          <w:color w:val="000000" w:themeColor="text1"/>
        </w:rPr>
        <w:t xml:space="preserve"> </w:t>
      </w:r>
      <w:r w:rsidR="00311757" w:rsidRPr="00CA3A78">
        <w:rPr>
          <w:color w:val="000000" w:themeColor="text1"/>
          <w:shd w:val="clear" w:color="auto" w:fill="FFFFFF"/>
        </w:rPr>
        <w:t>заболевания или состояния (группы заболеваний или состояний)</w:t>
      </w:r>
      <w:bookmarkEnd w:id="15"/>
    </w:p>
    <w:p w14:paraId="30112B85" w14:textId="77777777" w:rsidR="00690B03" w:rsidRPr="00EF1A51" w:rsidRDefault="00463D76" w:rsidP="00690B03">
      <w:pPr>
        <w:rPr>
          <w:rFonts w:eastAsia="Calibri" w:cstheme="minorHAnsi"/>
        </w:rPr>
      </w:pPr>
      <w:r w:rsidRPr="00463D76">
        <w:rPr>
          <w:rFonts w:eastAsia="Calibri" w:cstheme="minorHAnsi"/>
        </w:rPr>
        <w:t>Частота лимфом маргинальной зоны составляет 6,7%. Однако она неодинакова в различных регионах земного шара: например, в Японии - 11,5%, а в Великобритании - 6%. Наиболее распространены ЛМЗ слизистых (MALT-лимфомы) – составляют до 50-70% всех ЛМЗ</w:t>
      </w:r>
      <w:r w:rsidR="00690B03" w:rsidRPr="00EF1A51">
        <w:rPr>
          <w:rFonts w:eastAsia="Calibri" w:cstheme="minorHAnsi"/>
        </w:rPr>
        <w:t xml:space="preserve">.   </w:t>
      </w:r>
    </w:p>
    <w:p w14:paraId="30112B86" w14:textId="77777777" w:rsidR="00311757" w:rsidRPr="00CA3A78" w:rsidRDefault="00B46390" w:rsidP="00311757">
      <w:pPr>
        <w:pStyle w:val="2"/>
        <w:rPr>
          <w:color w:val="000000" w:themeColor="text1"/>
        </w:rPr>
      </w:pPr>
      <w:bookmarkStart w:id="16" w:name="_Toc65108017"/>
      <w:r w:rsidRPr="00CA3A78">
        <w:rPr>
          <w:color w:val="000000" w:themeColor="text1"/>
        </w:rPr>
        <w:t xml:space="preserve">1.4 </w:t>
      </w:r>
      <w:r w:rsidR="00311757" w:rsidRPr="00CA3A78">
        <w:rPr>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p>
    <w:p w14:paraId="30112B87" w14:textId="77777777" w:rsidR="00186E42" w:rsidRDefault="00463D76" w:rsidP="00186E42">
      <w:pPr>
        <w:pStyle w:val="afd"/>
        <w:spacing w:beforeAutospacing="0" w:afterAutospacing="0"/>
        <w:rPr>
          <w:rStyle w:val="affb"/>
          <w:b w:val="0"/>
          <w:bCs w:val="0"/>
        </w:rPr>
      </w:pPr>
      <w:r w:rsidRPr="00463D76">
        <w:rPr>
          <w:rStyle w:val="affb"/>
        </w:rPr>
        <w:t xml:space="preserve">С83.0 </w:t>
      </w:r>
      <w:r>
        <w:rPr>
          <w:rStyle w:val="affb"/>
          <w:b w:val="0"/>
          <w:bCs w:val="0"/>
        </w:rPr>
        <w:t>–</w:t>
      </w:r>
      <w:r w:rsidRPr="00463D76">
        <w:rPr>
          <w:rStyle w:val="affb"/>
          <w:b w:val="0"/>
          <w:bCs w:val="0"/>
        </w:rPr>
        <w:t xml:space="preserve"> </w:t>
      </w:r>
      <w:r>
        <w:rPr>
          <w:rStyle w:val="affb"/>
          <w:b w:val="0"/>
          <w:bCs w:val="0"/>
        </w:rPr>
        <w:t>малоклеточная лимфома</w:t>
      </w:r>
      <w:r w:rsidR="00090D97">
        <w:rPr>
          <w:rStyle w:val="affb"/>
          <w:b w:val="0"/>
          <w:bCs w:val="0"/>
        </w:rPr>
        <w:t xml:space="preserve"> В-клеток</w:t>
      </w:r>
    </w:p>
    <w:p w14:paraId="30112B88" w14:textId="77777777" w:rsidR="00090D97" w:rsidRDefault="00090D97" w:rsidP="00186E42">
      <w:pPr>
        <w:pStyle w:val="afd"/>
        <w:spacing w:beforeAutospacing="0" w:afterAutospacing="0"/>
        <w:rPr>
          <w:rStyle w:val="affb"/>
          <w:b w:val="0"/>
          <w:bCs w:val="0"/>
        </w:rPr>
      </w:pPr>
      <w:r>
        <w:rPr>
          <w:rStyle w:val="affb"/>
          <w:b w:val="0"/>
          <w:bCs w:val="0"/>
        </w:rPr>
        <w:t>Включает:</w:t>
      </w:r>
    </w:p>
    <w:p w14:paraId="30112B89" w14:textId="77777777" w:rsidR="00090D97" w:rsidRDefault="00090D97" w:rsidP="00D22A46">
      <w:pPr>
        <w:pStyle w:val="afd"/>
        <w:numPr>
          <w:ilvl w:val="0"/>
          <w:numId w:val="33"/>
        </w:numPr>
        <w:spacing w:beforeAutospacing="0" w:afterAutospacing="0"/>
      </w:pPr>
      <w:r>
        <w:t>Лимфома маргинальной зоны узла</w:t>
      </w:r>
    </w:p>
    <w:p w14:paraId="30112B8A" w14:textId="77777777" w:rsidR="00090D97" w:rsidRDefault="00090D97" w:rsidP="00D22A46">
      <w:pPr>
        <w:pStyle w:val="afd"/>
        <w:numPr>
          <w:ilvl w:val="0"/>
          <w:numId w:val="33"/>
        </w:numPr>
        <w:spacing w:beforeAutospacing="0" w:afterAutospacing="0"/>
      </w:pPr>
      <w:r>
        <w:t>Лимфома селезеночной маргинальной зоны</w:t>
      </w:r>
    </w:p>
    <w:p w14:paraId="30112B8B" w14:textId="77777777" w:rsidR="00B46390" w:rsidRDefault="00B46390" w:rsidP="00311757">
      <w:pPr>
        <w:pStyle w:val="2"/>
      </w:pPr>
      <w:bookmarkStart w:id="17" w:name="_Toc65108018"/>
      <w:r w:rsidRPr="00B46390">
        <w:lastRenderedPageBreak/>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7"/>
    </w:p>
    <w:p w14:paraId="30112B8C" w14:textId="77777777" w:rsidR="00090D97" w:rsidRDefault="00090D97" w:rsidP="00090D97">
      <w:r>
        <w:t>Выделяют три типа ЛМЗ:</w:t>
      </w:r>
    </w:p>
    <w:p w14:paraId="30112B8D" w14:textId="77777777" w:rsidR="00090D97" w:rsidRDefault="00090D97" w:rsidP="00D22A46">
      <w:pPr>
        <w:pStyle w:val="afe"/>
        <w:numPr>
          <w:ilvl w:val="0"/>
          <w:numId w:val="34"/>
        </w:numPr>
      </w:pPr>
      <w:r>
        <w:t>Нодальная – 2% от неходжкинских лимфом (НХЛ)</w:t>
      </w:r>
    </w:p>
    <w:p w14:paraId="30112B8E" w14:textId="77777777" w:rsidR="00090D97" w:rsidRDefault="00090D97" w:rsidP="00D22A46">
      <w:pPr>
        <w:pStyle w:val="afe"/>
        <w:numPr>
          <w:ilvl w:val="0"/>
          <w:numId w:val="34"/>
        </w:numPr>
      </w:pPr>
      <w:r>
        <w:t>Экстранодальная мукозоассоциированная (MALT) – 8% НХЛ</w:t>
      </w:r>
    </w:p>
    <w:p w14:paraId="30112B8F" w14:textId="77777777" w:rsidR="00090D97" w:rsidRDefault="00090D97" w:rsidP="00D22A46">
      <w:pPr>
        <w:pStyle w:val="afe"/>
        <w:numPr>
          <w:ilvl w:val="0"/>
          <w:numId w:val="34"/>
        </w:numPr>
      </w:pPr>
      <w:r>
        <w:t>Селезенки – 1% НХЛ</w:t>
      </w:r>
    </w:p>
    <w:p w14:paraId="30112B90" w14:textId="77777777" w:rsidR="00F5789A" w:rsidRPr="00C92724" w:rsidRDefault="00B46390" w:rsidP="00F5789A">
      <w:pPr>
        <w:pStyle w:val="2"/>
        <w:rPr>
          <w:color w:val="000000" w:themeColor="text1"/>
        </w:rPr>
      </w:pPr>
      <w:bookmarkStart w:id="18" w:name="_Toc65108019"/>
      <w:r w:rsidRPr="0073243E">
        <w:rPr>
          <w:color w:val="000000" w:themeColor="text1"/>
        </w:rPr>
        <w:t>1.6 Клиническая картина</w:t>
      </w:r>
      <w:r w:rsidR="00A70F44" w:rsidRPr="0073243E">
        <w:rPr>
          <w:color w:val="000000" w:themeColor="text1"/>
        </w:rPr>
        <w:t xml:space="preserve"> </w:t>
      </w:r>
      <w:r w:rsidR="00A70F44" w:rsidRPr="0073243E">
        <w:rPr>
          <w:color w:val="000000" w:themeColor="text1"/>
          <w:shd w:val="clear" w:color="auto" w:fill="FFFFFF"/>
        </w:rPr>
        <w:t>заболевания или состояния (группы</w:t>
      </w:r>
      <w:r w:rsidR="00A70F44" w:rsidRPr="003329C6">
        <w:rPr>
          <w:color w:val="000000" w:themeColor="text1"/>
          <w:shd w:val="clear" w:color="auto" w:fill="FFFFFF"/>
        </w:rPr>
        <w:t xml:space="preserve"> заболеваний или состояний)</w:t>
      </w:r>
      <w:bookmarkEnd w:id="18"/>
    </w:p>
    <w:p w14:paraId="30112B91" w14:textId="77777777" w:rsidR="0073243E" w:rsidRDefault="00041F35" w:rsidP="0073243E">
      <w:pPr>
        <w:pStyle w:val="afd"/>
        <w:spacing w:beforeAutospacing="0" w:afterAutospacing="0"/>
        <w:rPr>
          <w:rFonts w:eastAsiaTheme="minorEastAsia"/>
        </w:rPr>
      </w:pPr>
      <w:r>
        <w:t xml:space="preserve">Клиническая картина ЛМЗ зависит от локализации поражения. </w:t>
      </w:r>
      <w:r w:rsidR="00090D97" w:rsidRPr="00090D97">
        <w:t>Наиболее часто при экстранодальных MALT-лимфомах поражается желудочно-кишечный тракт (ЖКТ) – около 50%. Среди органов ЖКТ на долю MALT-лимфомы желудка приходится до 80%. Кроме того, часто встречается поражение орбиты, легкого, кожи.</w:t>
      </w:r>
      <w:r>
        <w:t xml:space="preserve"> При нодальных ЛМЗ отмечается увеличение периферических лимфоузлов. При лимфоме маргинальной зоны селезенки основным симптомом является спленомегалия. Других клинических симптомов может долго не быть. Со временем могут присоединяться симптомы интоксикации – слабость, потливость, снижение веса. Заболевание в основном характеризуется длительным индолентным течением, однако в некоторых случаях возможно агрессивное течение лимфомы.</w:t>
      </w:r>
    </w:p>
    <w:p w14:paraId="30112B92" w14:textId="77777777" w:rsidR="000414F6" w:rsidRDefault="00B46390" w:rsidP="003329C6">
      <w:pPr>
        <w:pStyle w:val="afff2"/>
      </w:pPr>
      <w:bookmarkStart w:id="19" w:name="_Toc65108020"/>
      <w:r>
        <w:t xml:space="preserve">2. </w:t>
      </w:r>
      <w:r w:rsidR="00CB71DA">
        <w:t>Диагностика</w:t>
      </w:r>
      <w:bookmarkEnd w:id="13"/>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9"/>
    </w:p>
    <w:p w14:paraId="30112B93" w14:textId="77777777" w:rsidR="00F5789A" w:rsidRPr="004C2F94" w:rsidRDefault="00F5789A" w:rsidP="00F5789A">
      <w:pPr>
        <w:rPr>
          <w:i/>
          <w:iCs/>
        </w:rPr>
      </w:pPr>
      <w:r w:rsidRPr="004C2F94">
        <w:rPr>
          <w:i/>
          <w:iCs/>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УРР)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30112B94" w14:textId="77777777" w:rsidR="00A478F1" w:rsidRPr="00A478F1" w:rsidRDefault="00334F6C" w:rsidP="00E136D2">
      <w:pPr>
        <w:pStyle w:val="2-6"/>
        <w:rPr>
          <w:i/>
        </w:rPr>
      </w:pPr>
      <w:r w:rsidRPr="00D74813">
        <w:rPr>
          <w:b/>
          <w:i/>
        </w:rPr>
        <w:t>Критерии установления диагноза/</w:t>
      </w:r>
      <w:r w:rsidR="00B0565A" w:rsidRPr="00D74813">
        <w:rPr>
          <w:b/>
          <w:i/>
        </w:rPr>
        <w:t>состояния</w:t>
      </w:r>
      <w:r w:rsidR="00ED5598" w:rsidRPr="00D74813">
        <w:rPr>
          <w:b/>
          <w:i/>
        </w:rPr>
        <w:t xml:space="preserve">: </w:t>
      </w:r>
      <w:r w:rsidR="00F5789A" w:rsidRPr="00F5789A">
        <w:rPr>
          <w:bCs/>
          <w:i/>
        </w:rPr>
        <w:t>д</w:t>
      </w:r>
      <w:r w:rsidR="00F5789A" w:rsidRPr="00F5789A">
        <w:rPr>
          <w:i/>
        </w:rPr>
        <w:t>иагноз</w:t>
      </w:r>
      <w:r w:rsidR="00F5789A">
        <w:rPr>
          <w:i/>
        </w:rPr>
        <w:t xml:space="preserve"> </w:t>
      </w:r>
      <w:r w:rsidR="00090D97">
        <w:rPr>
          <w:i/>
        </w:rPr>
        <w:t>ЛМЗ</w:t>
      </w:r>
      <w:r w:rsidR="00F5789A">
        <w:rPr>
          <w:i/>
        </w:rPr>
        <w:t xml:space="preserve"> устанавливается </w:t>
      </w:r>
      <w:r w:rsidR="00F5789A" w:rsidRPr="00F5789A">
        <w:rPr>
          <w:i/>
        </w:rPr>
        <w:t>на основе</w:t>
      </w:r>
      <w:r w:rsidR="008609AE">
        <w:rPr>
          <w:i/>
        </w:rPr>
        <w:t xml:space="preserve"> патолого-анатомического </w:t>
      </w:r>
      <w:r w:rsidR="0099762E" w:rsidRPr="00F5789A">
        <w:rPr>
          <w:i/>
        </w:rPr>
        <w:t>исследования биопсийного материала</w:t>
      </w:r>
      <w:r w:rsidR="0099762E">
        <w:rPr>
          <w:i/>
        </w:rPr>
        <w:t xml:space="preserve"> с применением </w:t>
      </w:r>
      <w:r w:rsidR="0099762E" w:rsidRPr="00F5789A">
        <w:rPr>
          <w:i/>
        </w:rPr>
        <w:t>иммуногистохимическ</w:t>
      </w:r>
      <w:r w:rsidR="0099762E">
        <w:rPr>
          <w:i/>
        </w:rPr>
        <w:t>их методов</w:t>
      </w:r>
      <w:r w:rsidR="0099762E" w:rsidRPr="00F5789A">
        <w:rPr>
          <w:i/>
        </w:rPr>
        <w:t xml:space="preserve"> </w:t>
      </w:r>
      <w:r w:rsidR="00F5789A">
        <w:rPr>
          <w:i/>
        </w:rPr>
        <w:t>и форму</w:t>
      </w:r>
      <w:r w:rsidR="00E136D2">
        <w:rPr>
          <w:i/>
        </w:rPr>
        <w:t xml:space="preserve">лируется </w:t>
      </w:r>
      <w:r w:rsidR="00F5789A" w:rsidRPr="00F5789A">
        <w:rPr>
          <w:i/>
        </w:rPr>
        <w:t>в соответствии с пересмотренной классификацией</w:t>
      </w:r>
      <w:r w:rsidR="000E5A78">
        <w:rPr>
          <w:i/>
        </w:rPr>
        <w:t xml:space="preserve"> </w:t>
      </w:r>
      <w:r w:rsidR="000E5A78" w:rsidRPr="000E5A78">
        <w:rPr>
          <w:i/>
        </w:rPr>
        <w:t xml:space="preserve">опухолей гемопоэтической и лимфоидной тканей </w:t>
      </w:r>
      <w:r w:rsidR="00F5789A" w:rsidRPr="00F5789A">
        <w:rPr>
          <w:i/>
        </w:rPr>
        <w:t xml:space="preserve"> ВОЗ 2017 г.</w:t>
      </w:r>
      <w:r w:rsidR="00E136D2">
        <w:rPr>
          <w:i/>
        </w:rPr>
        <w:t xml:space="preserve"> </w:t>
      </w:r>
      <w:r w:rsidR="00E136D2">
        <w:rPr>
          <w:i/>
        </w:rPr>
        <w:fldChar w:fldCharType="begin" w:fldLock="1"/>
      </w:r>
      <w:r w:rsidR="00A478F1">
        <w:rPr>
          <w:i/>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[1,4]","plainTextFormattedCitation":"[1,4]","previouslyFormattedCitation":"[1,4]"},"properties":{"noteIndex":0},"schema":"https://github.com/citation-style-language/schema/raw/master/csl-citation.json"}</w:instrText>
      </w:r>
      <w:r w:rsidR="00E136D2">
        <w:rPr>
          <w:i/>
        </w:rPr>
        <w:fldChar w:fldCharType="separate"/>
      </w:r>
      <w:r w:rsidR="00090D97" w:rsidRPr="00090D97">
        <w:rPr>
          <w:noProof/>
        </w:rPr>
        <w:t>[1,4]</w:t>
      </w:r>
      <w:r w:rsidR="00E136D2">
        <w:rPr>
          <w:i/>
        </w:rPr>
        <w:fldChar w:fldCharType="end"/>
      </w:r>
      <w:r w:rsidR="00A478F1" w:rsidRPr="00A478F1">
        <w:rPr>
          <w:i/>
        </w:rPr>
        <w:t>.</w:t>
      </w:r>
    </w:p>
    <w:p w14:paraId="30112B95" w14:textId="77777777" w:rsidR="00E136D2" w:rsidRDefault="00A478F1" w:rsidP="00A478F1">
      <w:pPr>
        <w:pStyle w:val="2-6"/>
        <w:rPr>
          <w:i/>
        </w:rPr>
      </w:pPr>
      <w:r w:rsidRPr="001124B8">
        <w:rPr>
          <w:i/>
        </w:rPr>
        <w:lastRenderedPageBreak/>
        <w:t>Также необходимо обследовать все отделы пищеварительной трубки у пациентов с поражением желудка</w:t>
      </w:r>
      <w:r w:rsidR="00256D37" w:rsidRPr="001124B8">
        <w:rPr>
          <w:i/>
        </w:rPr>
        <w:t>.</w:t>
      </w:r>
      <w:r w:rsidR="00F5789A" w:rsidRPr="00F5789A">
        <w:rPr>
          <w:i/>
        </w:rPr>
        <w:t xml:space="preserve"> </w:t>
      </w:r>
      <w:bookmarkStart w:id="20" w:name="_Toc469402336"/>
      <w:bookmarkStart w:id="21" w:name="_Toc468273531"/>
      <w:bookmarkStart w:id="22" w:name="_Toc468273449"/>
      <w:bookmarkEnd w:id="20"/>
      <w:bookmarkEnd w:id="21"/>
      <w:bookmarkEnd w:id="22"/>
    </w:p>
    <w:p w14:paraId="30112B96" w14:textId="77777777" w:rsidR="00B46390" w:rsidRDefault="00B46390" w:rsidP="0021676E">
      <w:pPr>
        <w:pStyle w:val="2"/>
        <w:divId w:val="266810958"/>
      </w:pPr>
      <w:bookmarkStart w:id="23" w:name="_Toc65108021"/>
      <w:r w:rsidRPr="005A50FB">
        <w:t>2.1 Жалобы и анамнез</w:t>
      </w:r>
      <w:bookmarkEnd w:id="23"/>
    </w:p>
    <w:p w14:paraId="30112B97" w14:textId="77777777" w:rsidR="00E136D2" w:rsidRDefault="005A50FB" w:rsidP="001124B8">
      <w:pPr>
        <w:pStyle w:val="a"/>
        <w:divId w:val="266810958"/>
      </w:pPr>
      <w:r w:rsidRPr="00154AEE">
        <w:t xml:space="preserve">Всем пациентам с подозрением на </w:t>
      </w:r>
      <w:r w:rsidR="00090D97">
        <w:rPr>
          <w:iCs/>
        </w:rPr>
        <w:t>ЛМЗ</w:t>
      </w:r>
      <w:r w:rsidRPr="00154AEE">
        <w:t xml:space="preserve">, а также всем пациентам с верифицированной  </w:t>
      </w:r>
      <w:r w:rsidR="00090D97">
        <w:t>ЛМЗ</w:t>
      </w:r>
      <w:r w:rsidRPr="00154AEE">
        <w:t xml:space="preserve">  на  каждом врачебном  приеме</w:t>
      </w:r>
      <w:r w:rsidR="00E136D2">
        <w:t xml:space="preserve"> </w:t>
      </w:r>
      <w:r w:rsidR="00E136D2" w:rsidRPr="00AE2EE4">
        <w:rPr>
          <w:b/>
        </w:rPr>
        <w:t>рекомендуется</w:t>
      </w:r>
      <w:r w:rsidR="00E136D2">
        <w:t xml:space="preserve"> сбор анамнеза </w:t>
      </w:r>
      <w:r w:rsidRPr="00154AEE">
        <w:t>для оценки состояния пациента, а также для установления факторов, которые могут оказать влияние на определение лечебной тактики пациента</w:t>
      </w:r>
      <w:r>
        <w:t xml:space="preserve"> </w:t>
      </w:r>
      <w:r>
        <w:fldChar w:fldCharType="begin" w:fldLock="1"/>
      </w:r>
      <w:r w:rsidR="001124B8">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fldChar w:fldCharType="separate"/>
      </w:r>
      <w:r w:rsidR="001124B8" w:rsidRPr="001124B8">
        <w:rPr>
          <w:noProof/>
        </w:rPr>
        <w:t>[3–5]</w:t>
      </w:r>
      <w:r>
        <w:fldChar w:fldCharType="end"/>
      </w:r>
      <w:r w:rsidR="00E136D2">
        <w:t>.</w:t>
      </w:r>
    </w:p>
    <w:p w14:paraId="30112B98" w14:textId="77777777" w:rsidR="00E136D2" w:rsidRDefault="00E136D2" w:rsidP="00E136D2">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0112B99" w14:textId="77777777" w:rsidR="00E136D2" w:rsidRDefault="00E136D2" w:rsidP="00E136D2">
      <w:pPr>
        <w:ind w:left="709" w:firstLine="0"/>
        <w:contextualSpacing/>
        <w:divId w:val="266810958"/>
        <w:rPr>
          <w:i/>
        </w:rPr>
      </w:pPr>
      <w:r w:rsidRPr="00AE2EE4">
        <w:rPr>
          <w:b/>
        </w:rPr>
        <w:t>Комментарии:</w:t>
      </w:r>
      <w:r>
        <w:t xml:space="preserve"> </w:t>
      </w:r>
      <w:r w:rsidR="001060DD">
        <w:rPr>
          <w:rStyle w:val="affc"/>
        </w:rPr>
        <w:t xml:space="preserve">сбор жалоб и анамнеза позволит определить характер течения заболевания (индолентный или агрессивный), а также дифференцировать симптомы, связанные с </w:t>
      </w:r>
      <w:r w:rsidR="00090D97">
        <w:rPr>
          <w:rStyle w:val="affc"/>
        </w:rPr>
        <w:t>ЛМЗ</w:t>
      </w:r>
      <w:r w:rsidR="001060DD">
        <w:rPr>
          <w:rStyle w:val="affc"/>
        </w:rPr>
        <w:t xml:space="preserve"> от проявлений прочих сопутствующих заболеваний и состояний</w:t>
      </w:r>
      <w:r w:rsidRPr="003147A2">
        <w:rPr>
          <w:i/>
        </w:rPr>
        <w:t xml:space="preserve">. </w:t>
      </w:r>
    </w:p>
    <w:p w14:paraId="30112B9A" w14:textId="77777777" w:rsidR="00B46390" w:rsidRDefault="00B46390" w:rsidP="0021676E">
      <w:pPr>
        <w:pStyle w:val="2"/>
        <w:divId w:val="266810958"/>
      </w:pPr>
      <w:bookmarkStart w:id="24" w:name="_Toc65108022"/>
      <w:r w:rsidRPr="0052462B">
        <w:t>2.2 Физикальное обследование</w:t>
      </w:r>
      <w:bookmarkEnd w:id="24"/>
    </w:p>
    <w:p w14:paraId="30112B9B" w14:textId="77777777" w:rsidR="0052462B" w:rsidRDefault="005A50FB" w:rsidP="0069587D">
      <w:pPr>
        <w:pStyle w:val="a"/>
        <w:divId w:val="266810958"/>
      </w:pPr>
      <w:r w:rsidRPr="005F5F5B">
        <w:t>Всем пациентам с подозрением на</w:t>
      </w:r>
      <w:r>
        <w:t xml:space="preserve"> </w:t>
      </w:r>
      <w:r w:rsidR="00090D97">
        <w:t>ЛМЗ</w:t>
      </w:r>
      <w:r w:rsidRPr="005F5F5B">
        <w:t>, или</w:t>
      </w:r>
      <w:r>
        <w:t xml:space="preserve"> с</w:t>
      </w:r>
      <w:r w:rsidRPr="005F5F5B">
        <w:t xml:space="preserve"> выявленной </w:t>
      </w:r>
      <w:r w:rsidR="00090D97">
        <w:t>ЛМЗ</w:t>
      </w:r>
      <w:r w:rsidRPr="005F5F5B">
        <w:t>, при первичном или повторном приеме, при контрольных обследованиях и при подозрении на рецидив/прогрессирование заболевания</w:t>
      </w:r>
      <w:r w:rsidR="0052462B">
        <w:t xml:space="preserve"> </w:t>
      </w:r>
      <w:r w:rsidR="0052462B" w:rsidRPr="0052462B">
        <w:rPr>
          <w:b/>
          <w:bCs/>
        </w:rPr>
        <w:t>рекомендуется</w:t>
      </w:r>
      <w:r w:rsidR="0052462B">
        <w:t xml:space="preserve"> </w:t>
      </w:r>
      <w:bookmarkStart w:id="25" w:name="_Hlk532293045"/>
      <w:r w:rsidR="0052462B">
        <w:t>выполнение визуального осмотра терапевтического, пальпации терапевтической и аускультации терапевтической</w:t>
      </w:r>
      <w:bookmarkEnd w:id="25"/>
      <w:r w:rsidR="0052462B">
        <w:t xml:space="preserve"> для </w:t>
      </w:r>
      <w:r w:rsidRPr="005F5F5B">
        <w:t>уточнения распространенности заболевания и оценки состояния пациента по органам и системам</w:t>
      </w:r>
      <w:r w:rsidR="001060DD">
        <w:t xml:space="preserve"> </w:t>
      </w:r>
      <w:r w:rsidR="001060DD">
        <w:fldChar w:fldCharType="begin" w:fldLock="1"/>
      </w:r>
      <w:r w:rsidR="00041F35">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rsidR="001060DD">
        <w:fldChar w:fldCharType="separate"/>
      </w:r>
      <w:r w:rsidR="0069587D" w:rsidRPr="0069587D">
        <w:rPr>
          <w:noProof/>
        </w:rPr>
        <w:t>[3–5]</w:t>
      </w:r>
      <w:r w:rsidR="001060DD">
        <w:fldChar w:fldCharType="end"/>
      </w:r>
      <w:r w:rsidR="0052462B">
        <w:t>.</w:t>
      </w:r>
    </w:p>
    <w:p w14:paraId="30112B9C" w14:textId="77777777" w:rsidR="0052462B" w:rsidRDefault="0052462B" w:rsidP="0052462B">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0112B9D" w14:textId="77777777" w:rsidR="0052462B" w:rsidRDefault="0052462B" w:rsidP="0052462B">
      <w:pPr>
        <w:ind w:left="709" w:firstLine="0"/>
        <w:contextualSpacing/>
        <w:divId w:val="266810958"/>
        <w:rPr>
          <w:i/>
        </w:rPr>
      </w:pPr>
      <w:r>
        <w:rPr>
          <w:b/>
        </w:rPr>
        <w:t xml:space="preserve">Комментарий: </w:t>
      </w:r>
      <w:bookmarkStart w:id="26" w:name="_Hlk532293146"/>
      <w:r>
        <w:rPr>
          <w:i/>
        </w:rPr>
        <w:t xml:space="preserve">при </w:t>
      </w:r>
      <w:r w:rsidRPr="00E67C8E">
        <w:rPr>
          <w:i/>
        </w:rPr>
        <w:t xml:space="preserve">осмотре необходимо оценить общее состояние пациента по шкале </w:t>
      </w:r>
      <w:r w:rsidRPr="00E67C8E">
        <w:rPr>
          <w:i/>
          <w:lang w:val="en-US"/>
        </w:rPr>
        <w:t>ECOG</w:t>
      </w:r>
      <w:r w:rsidRPr="00E67C8E">
        <w:rPr>
          <w:i/>
        </w:rPr>
        <w:t xml:space="preserve"> (см. приложение Г</w:t>
      </w:r>
      <w:r w:rsidR="005D0A68" w:rsidRPr="00E67C8E">
        <w:rPr>
          <w:i/>
        </w:rPr>
        <w:t>1</w:t>
      </w:r>
      <w:r w:rsidRPr="00E67C8E">
        <w:rPr>
          <w:i/>
        </w:rPr>
        <w:t>), а также</w:t>
      </w:r>
      <w:r w:rsidRPr="005D0A68">
        <w:rPr>
          <w:i/>
        </w:rPr>
        <w:t xml:space="preserve"> осмотреть кожные покровы,</w:t>
      </w:r>
      <w:r>
        <w:rPr>
          <w:i/>
        </w:rPr>
        <w:t xml:space="preserve">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26"/>
    </w:p>
    <w:p w14:paraId="30112B9E" w14:textId="77777777" w:rsidR="00442E27" w:rsidRPr="00A478F1" w:rsidRDefault="00442E27" w:rsidP="0069587D">
      <w:pPr>
        <w:pStyle w:val="a"/>
        <w:divId w:val="266810958"/>
      </w:pPr>
      <w:r w:rsidRPr="00A478F1">
        <w:t xml:space="preserve">При обследовании </w:t>
      </w:r>
      <w:r>
        <w:t>пациентов с</w:t>
      </w:r>
      <w:r w:rsidRPr="00A478F1">
        <w:t xml:space="preserve"> нодальными ЛМЗ </w:t>
      </w:r>
      <w:r>
        <w:t xml:space="preserve">настоятельно </w:t>
      </w:r>
      <w:r w:rsidRPr="00041F35">
        <w:rPr>
          <w:b/>
          <w:bCs/>
        </w:rPr>
        <w:t>рекомендовано</w:t>
      </w:r>
      <w:r>
        <w:t xml:space="preserve"> </w:t>
      </w:r>
      <w:r w:rsidRPr="00A478F1">
        <w:t xml:space="preserve">тщательное исследование областей, прилежащих к зоне </w:t>
      </w:r>
      <w:r w:rsidRPr="00A478F1">
        <w:lastRenderedPageBreak/>
        <w:t>нодального поражения, для исключения распространения экстранодальных ЛМЗ на л/у</w:t>
      </w:r>
      <w:r w:rsidR="0069587D">
        <w:t xml:space="preserve"> </w:t>
      </w:r>
      <w:r w:rsidR="0069587D">
        <w:fldChar w:fldCharType="begin" w:fldLock="1"/>
      </w:r>
      <w:r w:rsidR="0069587D">
        <w:instrText>ADDIN CSL_CITATION {"citationItems":[{"id":"ITEM-1","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Oncology","id":"ITEM-1","issue":"1","issued":{"date-parts":[["2020","1","1"]]},"page":"17-29","publisher":"Elsevier Ltd","title":"Marginal zone lymphomas: ESMO Clinical Practice Guidelines for diagnosis, treatment and follow-up","type":"article-journal","volume":"31"},"uris":["http://www.mendeley.com/documents/?uuid=fbdf0c05-49c8-3abf-834c-701e85508549"]}],"mendeley":{"formattedCitation":"[5]","plainTextFormattedCitation":"[5]","previouslyFormattedCitation":"[5]"},"properties":{"noteIndex":0},"schema":"https://github.com/citation-style-language/schema/raw/master/csl-citation.json"}</w:instrText>
      </w:r>
      <w:r w:rsidR="0069587D">
        <w:fldChar w:fldCharType="separate"/>
      </w:r>
      <w:r w:rsidR="0069587D" w:rsidRPr="0069587D">
        <w:rPr>
          <w:noProof/>
        </w:rPr>
        <w:t>[5]</w:t>
      </w:r>
      <w:r w:rsidR="0069587D">
        <w:fldChar w:fldCharType="end"/>
      </w:r>
      <w:r w:rsidRPr="00A478F1">
        <w:t>:</w:t>
      </w:r>
    </w:p>
    <w:p w14:paraId="30112B9F" w14:textId="77777777" w:rsidR="00442E27" w:rsidRPr="00041F35" w:rsidRDefault="00442E27" w:rsidP="00D22A46">
      <w:pPr>
        <w:pStyle w:val="2-6"/>
        <w:numPr>
          <w:ilvl w:val="0"/>
          <w:numId w:val="35"/>
        </w:numPr>
        <w:divId w:val="266810958"/>
      </w:pPr>
      <w:r w:rsidRPr="00041F35">
        <w:t>л/у шеи – глаза, околоушные и другие слюнные железы, щитовидная железа;</w:t>
      </w:r>
    </w:p>
    <w:p w14:paraId="30112BA0" w14:textId="77777777" w:rsidR="00442E27" w:rsidRPr="00041F35" w:rsidRDefault="00442E27" w:rsidP="00D22A46">
      <w:pPr>
        <w:pStyle w:val="2-6"/>
        <w:numPr>
          <w:ilvl w:val="0"/>
          <w:numId w:val="35"/>
        </w:numPr>
        <w:divId w:val="266810958"/>
      </w:pPr>
      <w:r w:rsidRPr="00041F35">
        <w:t>подмышечные л/у – легкие, молочная железа, кожа;</w:t>
      </w:r>
    </w:p>
    <w:p w14:paraId="30112BA1" w14:textId="77777777" w:rsidR="00442E27" w:rsidRPr="00041F35" w:rsidRDefault="00442E27" w:rsidP="00D22A46">
      <w:pPr>
        <w:pStyle w:val="2-6"/>
        <w:numPr>
          <w:ilvl w:val="0"/>
          <w:numId w:val="35"/>
        </w:numPr>
        <w:divId w:val="266810958"/>
      </w:pPr>
      <w:r w:rsidRPr="00041F35">
        <w:t>медиастинальные л/у – легкие;</w:t>
      </w:r>
    </w:p>
    <w:p w14:paraId="30112BA2" w14:textId="77777777" w:rsidR="00442E27" w:rsidRPr="00041F35" w:rsidRDefault="00442E27" w:rsidP="00D22A46">
      <w:pPr>
        <w:pStyle w:val="2-6"/>
        <w:numPr>
          <w:ilvl w:val="0"/>
          <w:numId w:val="35"/>
        </w:numPr>
        <w:divId w:val="266810958"/>
      </w:pPr>
      <w:r w:rsidRPr="00041F35">
        <w:t>л/у брюшной полости – селезенка и ЖКТ;</w:t>
      </w:r>
    </w:p>
    <w:p w14:paraId="30112BA3" w14:textId="77777777" w:rsidR="00442E27" w:rsidRPr="00041F35" w:rsidRDefault="00442E27" w:rsidP="00D22A46">
      <w:pPr>
        <w:pStyle w:val="2-6"/>
        <w:numPr>
          <w:ilvl w:val="0"/>
          <w:numId w:val="35"/>
        </w:numPr>
        <w:divId w:val="266810958"/>
      </w:pPr>
      <w:r w:rsidRPr="00041F35">
        <w:t xml:space="preserve">паховые и подвздошные л/у – ЖКТ и кожа </w:t>
      </w:r>
    </w:p>
    <w:p w14:paraId="30112BA4" w14:textId="77777777" w:rsidR="00442E27" w:rsidRPr="00442E27" w:rsidRDefault="00442E27" w:rsidP="0069587D">
      <w:pPr>
        <w:pStyle w:val="afffa"/>
        <w:divId w:val="266810958"/>
      </w:pPr>
      <w:r w:rsidRPr="00342C61">
        <w:t>Уровень убедительности рекомендаций С (уровень достоверности доказательств 5)</w:t>
      </w:r>
    </w:p>
    <w:p w14:paraId="30112BA5" w14:textId="77777777" w:rsidR="00094ED6" w:rsidRDefault="00B46390" w:rsidP="0021676E">
      <w:pPr>
        <w:pStyle w:val="2"/>
        <w:divId w:val="266810958"/>
      </w:pPr>
      <w:bookmarkStart w:id="27" w:name="_Toc65108023"/>
      <w:r w:rsidRPr="00B46390">
        <w:t>2.3 Лабораторн</w:t>
      </w:r>
      <w:r w:rsidR="00A70F44">
        <w:t>ые диагностические исследования</w:t>
      </w:r>
      <w:bookmarkEnd w:id="27"/>
    </w:p>
    <w:p w14:paraId="30112BA6" w14:textId="77777777" w:rsidR="0052462B" w:rsidRDefault="0052462B" w:rsidP="00D22A46">
      <w:pPr>
        <w:pStyle w:val="afe"/>
        <w:numPr>
          <w:ilvl w:val="0"/>
          <w:numId w:val="5"/>
        </w:numPr>
        <w:spacing w:before="120" w:after="120"/>
        <w:ind w:left="709" w:hanging="709"/>
        <w:divId w:val="266810958"/>
      </w:pPr>
      <w:r>
        <w:t xml:space="preserve">Всем пациентам с подозрением на </w:t>
      </w:r>
      <w:r w:rsidR="00090D97">
        <w:t>ЛМЗ</w:t>
      </w:r>
      <w:r>
        <w:t xml:space="preserve"> или выявленной </w:t>
      </w:r>
      <w:r w:rsidR="00090D97">
        <w:t>ЛМЗ</w:t>
      </w:r>
      <w:r>
        <w:t xml:space="preserve"> 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 при подозрении на рецидив заболевания </w:t>
      </w:r>
      <w:r w:rsidRPr="0099679A">
        <w:rPr>
          <w:b/>
        </w:rPr>
        <w:t>рекомендуется</w:t>
      </w:r>
      <w:r>
        <w:t xml:space="preserve"> для уточнения состояния пациента, планирования терапевтической тактики и определения необходимости ее модификации, а также для определения потребности в сопутствующей и сопроводительной терапии выполнить следующие диагностические исследования</w:t>
      </w:r>
      <w:r w:rsidR="001060DD">
        <w:t xml:space="preserve"> </w:t>
      </w:r>
      <w:r w:rsidR="006C5550">
        <w:fldChar w:fldCharType="begin" w:fldLock="1"/>
      </w:r>
      <w:r w:rsidR="006C5550">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rsidR="006C5550">
        <w:fldChar w:fldCharType="separate"/>
      </w:r>
      <w:r w:rsidR="006C5550" w:rsidRPr="0069587D">
        <w:rPr>
          <w:noProof/>
        </w:rPr>
        <w:t>[3–5]</w:t>
      </w:r>
      <w:r w:rsidR="006C5550">
        <w:fldChar w:fldCharType="end"/>
      </w:r>
      <w:r>
        <w:t>:</w:t>
      </w:r>
    </w:p>
    <w:p w14:paraId="30112BA7" w14:textId="77777777" w:rsidR="0052462B" w:rsidRDefault="00442E27" w:rsidP="00D22A46">
      <w:pPr>
        <w:pStyle w:val="afe"/>
        <w:numPr>
          <w:ilvl w:val="1"/>
          <w:numId w:val="5"/>
        </w:numPr>
        <w:spacing w:before="120" w:after="120"/>
        <w:divId w:val="266810958"/>
      </w:pPr>
      <w:bookmarkStart w:id="28" w:name="_Hlk532293244"/>
      <w:r w:rsidRPr="00442E27">
        <w:t>общий (клинический) анализ</w:t>
      </w:r>
      <w:r w:rsidR="00041CCC">
        <w:t xml:space="preserve"> </w:t>
      </w:r>
      <w:r w:rsidRPr="00442E27">
        <w:t>крови развернутый</w:t>
      </w:r>
      <w:r w:rsidRPr="00442E27" w:rsidDel="00442E27">
        <w:t xml:space="preserve"> </w:t>
      </w:r>
      <w:r w:rsidR="0052462B">
        <w:t xml:space="preserve">с </w:t>
      </w:r>
      <w:r>
        <w:t xml:space="preserve">исследованием </w:t>
      </w:r>
      <w:r w:rsidRPr="00701261">
        <w:rPr>
          <w:rFonts w:cs="Times New Roman"/>
        </w:rPr>
        <w:t>уровн</w:t>
      </w:r>
      <w:r>
        <w:rPr>
          <w:rFonts w:cs="Times New Roman"/>
        </w:rPr>
        <w:t xml:space="preserve">ей </w:t>
      </w:r>
      <w:r w:rsidRPr="00701261">
        <w:rPr>
          <w:rFonts w:cs="Times New Roman"/>
        </w:rPr>
        <w:t>общего гемоглобина</w:t>
      </w:r>
      <w:r w:rsidR="0052462B">
        <w:t>, эритроцитов, тромбоцитов, лейкоцитов</w:t>
      </w:r>
      <w:r w:rsidR="00041CCC">
        <w:t xml:space="preserve"> в крови,</w:t>
      </w:r>
      <w:r w:rsidR="004B254B">
        <w:t xml:space="preserve"> с </w:t>
      </w:r>
      <w:r w:rsidR="004B254B" w:rsidRPr="00442E27">
        <w:t>дифференцированны</w:t>
      </w:r>
      <w:r w:rsidR="004B254B">
        <w:t>м</w:t>
      </w:r>
      <w:r w:rsidR="004B254B" w:rsidRPr="00442E27">
        <w:t xml:space="preserve"> подсчет</w:t>
      </w:r>
      <w:r w:rsidR="004B254B">
        <w:t>ом</w:t>
      </w:r>
      <w:r w:rsidR="004B254B" w:rsidRPr="00442E27">
        <w:t xml:space="preserve"> лейкоцитов (лейкоцитарная формула)</w:t>
      </w:r>
      <w:r>
        <w:t xml:space="preserve">, </w:t>
      </w:r>
      <w:r w:rsidR="00041CCC">
        <w:t xml:space="preserve">с исследованием </w:t>
      </w:r>
      <w:r w:rsidR="00041CCC" w:rsidRPr="00701261">
        <w:rPr>
          <w:rFonts w:cs="Times New Roman"/>
        </w:rPr>
        <w:t>уровн</w:t>
      </w:r>
      <w:r w:rsidR="00041CCC">
        <w:rPr>
          <w:rFonts w:cs="Times New Roman"/>
        </w:rPr>
        <w:t>я</w:t>
      </w:r>
      <w:r w:rsidR="00041CCC">
        <w:t xml:space="preserve"> </w:t>
      </w:r>
      <w:r>
        <w:t>ретикулоцитов в крови</w:t>
      </w:r>
      <w:r w:rsidR="0052462B">
        <w:t xml:space="preserve">, </w:t>
      </w:r>
      <w:r w:rsidR="004B254B">
        <w:t>а также с</w:t>
      </w:r>
      <w:bookmarkEnd w:id="28"/>
      <w:r w:rsidR="00D67C73">
        <w:t xml:space="preserve"> </w:t>
      </w:r>
      <w:r>
        <w:t xml:space="preserve">исследованием </w:t>
      </w:r>
      <w:r w:rsidR="00D67C73">
        <w:t>скорости оседания эритроцитов</w:t>
      </w:r>
      <w:r w:rsidR="0052462B">
        <w:t>;</w:t>
      </w:r>
    </w:p>
    <w:p w14:paraId="30112BA8" w14:textId="77777777" w:rsidR="0052462B" w:rsidRDefault="0052462B" w:rsidP="00D22A46">
      <w:pPr>
        <w:pStyle w:val="afe"/>
        <w:numPr>
          <w:ilvl w:val="1"/>
          <w:numId w:val="5"/>
        </w:numPr>
        <w:spacing w:before="120" w:after="120"/>
        <w:divId w:val="266810958"/>
      </w:pPr>
      <w:r>
        <w:t>о</w:t>
      </w:r>
      <w:r w:rsidRPr="00B5142F">
        <w:t>бщ</w:t>
      </w:r>
      <w:r w:rsidR="007C3C41">
        <w:t>ий</w:t>
      </w:r>
      <w:r w:rsidRPr="00B5142F">
        <w:t xml:space="preserve"> (клиническ</w:t>
      </w:r>
      <w:r w:rsidR="007C3C41">
        <w:t>ий</w:t>
      </w:r>
      <w:r w:rsidRPr="00B5142F">
        <w:t>) анализ мочи</w:t>
      </w:r>
      <w:r>
        <w:t>;</w:t>
      </w:r>
    </w:p>
    <w:p w14:paraId="30112BA9" w14:textId="77777777" w:rsidR="00A81848" w:rsidRPr="00A81848" w:rsidRDefault="0052462B" w:rsidP="00D22A46">
      <w:pPr>
        <w:pStyle w:val="afe"/>
        <w:numPr>
          <w:ilvl w:val="1"/>
          <w:numId w:val="5"/>
        </w:numPr>
        <w:spacing w:before="120" w:after="120"/>
        <w:divId w:val="266810958"/>
      </w:pPr>
      <w:r>
        <w:t>анализ крови биохимическ</w:t>
      </w:r>
      <w:r w:rsidR="007C3C41">
        <w:t>ий</w:t>
      </w:r>
      <w:r>
        <w:t xml:space="preserve"> общетерапевтическ</w:t>
      </w:r>
      <w:r w:rsidR="007C3C41">
        <w:t>ий</w:t>
      </w:r>
      <w:r>
        <w:t xml:space="preserve"> с </w:t>
      </w:r>
      <w:r w:rsidR="005A56BB" w:rsidRPr="005A56BB">
        <w:rPr>
          <w:iCs/>
        </w:rPr>
        <w:t xml:space="preserve">определениями </w:t>
      </w:r>
      <w:r w:rsidR="005A56BB" w:rsidRPr="002E5470">
        <w:rPr>
          <w:iCs/>
        </w:rPr>
        <w:t xml:space="preserve">активностей </w:t>
      </w:r>
      <w:r w:rsidR="007F0EE9" w:rsidRPr="002E5470">
        <w:rPr>
          <w:iCs/>
        </w:rPr>
        <w:t>лактатдегидрогеназы (</w:t>
      </w:r>
      <w:r w:rsidRPr="002E5470">
        <w:rPr>
          <w:iCs/>
        </w:rPr>
        <w:t>ЛДГ</w:t>
      </w:r>
      <w:r w:rsidR="007F0EE9" w:rsidRPr="002E5470">
        <w:rPr>
          <w:iCs/>
        </w:rPr>
        <w:t>)</w:t>
      </w:r>
      <w:r w:rsidR="005A56BB" w:rsidRPr="002E5470">
        <w:rPr>
          <w:iCs/>
        </w:rPr>
        <w:t xml:space="preserve">, </w:t>
      </w:r>
      <w:r w:rsidR="005A56BB" w:rsidRPr="002E5470">
        <w:rPr>
          <w:rFonts w:eastAsia="Times New Roman" w:cs="Times New Roman"/>
          <w:szCs w:val="24"/>
          <w:lang w:eastAsia="ru-RU"/>
        </w:rPr>
        <w:t>аланинаминотрансферазы</w:t>
      </w:r>
      <w:r w:rsidR="005A56BB" w:rsidRPr="002E5470">
        <w:rPr>
          <w:iCs/>
        </w:rPr>
        <w:t xml:space="preserve"> (АЛТ), аспартатаминотрансферазы (АСТ), щелочной фосфатазы в крови</w:t>
      </w:r>
      <w:r w:rsidRPr="002E5470">
        <w:rPr>
          <w:iCs/>
        </w:rPr>
        <w:t xml:space="preserve">, </w:t>
      </w:r>
      <w:r w:rsidR="005A56BB" w:rsidRPr="002E5470">
        <w:rPr>
          <w:iCs/>
        </w:rPr>
        <w:t xml:space="preserve">исследованиями уровней мочевины, креатинина, альбумина, общего белка, </w:t>
      </w:r>
      <w:r w:rsidR="005A56BB" w:rsidRPr="002E5470">
        <w:rPr>
          <w:rFonts w:cs="Times New Roman"/>
        </w:rPr>
        <w:t xml:space="preserve">общего билирубина, калия, натрия, общего кальция, хлоридов </w:t>
      </w:r>
      <w:r w:rsidR="005A56BB" w:rsidRPr="002E5470">
        <w:rPr>
          <w:iCs/>
        </w:rPr>
        <w:t>в крови</w:t>
      </w:r>
      <w:r w:rsidRPr="002E5470">
        <w:rPr>
          <w:iCs/>
        </w:rPr>
        <w:t xml:space="preserve">, </w:t>
      </w:r>
      <w:r w:rsidR="00442E27" w:rsidRPr="002E5470">
        <w:rPr>
          <w:iCs/>
        </w:rPr>
        <w:t xml:space="preserve">исследованием </w:t>
      </w:r>
      <w:r w:rsidR="00442E27" w:rsidRPr="00041F35">
        <w:rPr>
          <w:iCs/>
        </w:rPr>
        <w:t xml:space="preserve">уровня бета-2-микроглобулина в </w:t>
      </w:r>
      <w:r w:rsidR="00442E27" w:rsidRPr="00041F35">
        <w:rPr>
          <w:iCs/>
        </w:rPr>
        <w:lastRenderedPageBreak/>
        <w:t>крови</w:t>
      </w:r>
      <w:r w:rsidR="00442E27" w:rsidRPr="00041F35" w:rsidDel="00442E27">
        <w:rPr>
          <w:iCs/>
        </w:rPr>
        <w:t xml:space="preserve"> </w:t>
      </w:r>
      <w:r w:rsidRPr="005A56BB">
        <w:rPr>
          <w:iCs/>
        </w:rPr>
        <w:t>(другие параметры биохимического анализа крови могут быть включены в исследование на усмотрение врача</w:t>
      </w:r>
      <w:r w:rsidRPr="002E5470">
        <w:rPr>
          <w:iCs/>
        </w:rPr>
        <w:t>)</w:t>
      </w:r>
      <w:r w:rsidR="00A81848" w:rsidRPr="002E5470">
        <w:rPr>
          <w:iCs/>
        </w:rPr>
        <w:t>;</w:t>
      </w:r>
    </w:p>
    <w:p w14:paraId="30112BAA" w14:textId="77777777" w:rsidR="0052462B" w:rsidRPr="00342C61" w:rsidRDefault="004A21C0" w:rsidP="00D22A46">
      <w:pPr>
        <w:pStyle w:val="afe"/>
        <w:numPr>
          <w:ilvl w:val="1"/>
          <w:numId w:val="5"/>
        </w:numPr>
        <w:spacing w:before="120"/>
        <w:divId w:val="266810958"/>
        <w:rPr>
          <w:iCs/>
          <w:color w:val="000000" w:themeColor="text1"/>
        </w:rPr>
      </w:pPr>
      <w:r w:rsidRPr="00A326F4">
        <w:t>исследование свертывающей системы крови</w:t>
      </w:r>
      <w:r>
        <w:t xml:space="preserve"> (коагулограмма) с </w:t>
      </w:r>
      <w:r w:rsidRPr="0052462B">
        <w:rPr>
          <w:iCs/>
        </w:rPr>
        <w:t>включ</w:t>
      </w:r>
      <w:r>
        <w:rPr>
          <w:iCs/>
        </w:rPr>
        <w:t>ением</w:t>
      </w:r>
      <w:r w:rsidRPr="0052462B">
        <w:rPr>
          <w:iCs/>
        </w:rPr>
        <w:t xml:space="preserve"> </w:t>
      </w:r>
      <w:r w:rsidR="00A81848" w:rsidRPr="0052462B">
        <w:rPr>
          <w:iCs/>
        </w:rPr>
        <w:t>следующих параметров</w:t>
      </w:r>
      <w:r w:rsidR="00A81848">
        <w:rPr>
          <w:iCs/>
        </w:rPr>
        <w:t xml:space="preserve">: </w:t>
      </w:r>
      <w:r w:rsidR="00A81848" w:rsidRPr="00342C61">
        <w:rPr>
          <w:iCs/>
        </w:rPr>
        <w:t xml:space="preserve">протромбин, МНО, АЧТВ, </w:t>
      </w:r>
      <w:r w:rsidR="00A81848" w:rsidRPr="00342C61">
        <w:rPr>
          <w:iCs/>
          <w:color w:val="000000" w:themeColor="text1"/>
        </w:rPr>
        <w:t xml:space="preserve">фибриноген, тромбиновое время, антитромбин </w:t>
      </w:r>
      <w:r w:rsidR="00A81848" w:rsidRPr="00342C61">
        <w:rPr>
          <w:iCs/>
          <w:color w:val="000000" w:themeColor="text1"/>
          <w:lang w:val="en-US"/>
        </w:rPr>
        <w:t>III</w:t>
      </w:r>
      <w:r w:rsidR="00A81848" w:rsidRPr="00342C61">
        <w:rPr>
          <w:iCs/>
          <w:color w:val="000000" w:themeColor="text1"/>
        </w:rPr>
        <w:t xml:space="preserve">, плазминоген, </w:t>
      </w:r>
      <w:r w:rsidR="00A81848" w:rsidRPr="00342C61">
        <w:rPr>
          <w:iCs/>
          <w:color w:val="000000" w:themeColor="text1"/>
          <w:lang w:val="en-US"/>
        </w:rPr>
        <w:t>D</w:t>
      </w:r>
      <w:r w:rsidR="00A81848" w:rsidRPr="00342C61">
        <w:rPr>
          <w:iCs/>
          <w:color w:val="000000" w:themeColor="text1"/>
        </w:rPr>
        <w:t>-димер</w:t>
      </w:r>
      <w:r w:rsidR="00342C61" w:rsidRPr="00342C61">
        <w:rPr>
          <w:iCs/>
          <w:color w:val="000000" w:themeColor="text1"/>
        </w:rPr>
        <w:t xml:space="preserve"> </w:t>
      </w:r>
      <w:r w:rsidR="00342C61" w:rsidRPr="00342C61">
        <w:rPr>
          <w:iCs/>
          <w:color w:val="000000" w:themeColor="text1"/>
        </w:rPr>
        <w:fldChar w:fldCharType="begin" w:fldLock="1"/>
      </w:r>
      <w:r w:rsidR="00342C61">
        <w:rPr>
          <w:iCs/>
          <w:color w:val="000000" w:themeColor="text1"/>
        </w:rPr>
        <w:instrText>ADDIN CSL_CITATION {"citationItems":[{"id":"ITEM-1","itemData":{"DOI":"10.1634/theoncologist.2015-0361","ISSN":"1083-7159","abstract":"© AlphaMed Press 2016. Background. Retrospective studies have suggested an association between cancer-associated venous thromboembolism (VTE) and patient survival.Weevaluated a previously validated VTE Clinical Risk Score in also predicting early mortality and cancer progression. Methods. A large, nationwide, prospective cohort study of adults with solid tumors orlymphoma initiating chemotherapy was conducted from 2002 to 2006 at 115 U.S. practice sites. Survivalandcancer progressionwereestimatedbythemethod of Kaplan and Meier. Multivariate analysis was based on Cox regression analysis adjusted for major prognostic factors including VTE itself. Results. Of 4,405 patients, 134 (3.0%) died and 330 (7.5%) experienced disease progression during the first 4 months of therapy (median follow-up 75 days). Patients deemed high risk (n = 540, 12.3%) by the Clinical Risk Score had a 120-day mortality rate of 12.7% (adjusted hazard ratio [aHR] 3.00, 95% confidence interval [CI]  1.4-6.3), and intermediate-risk patients (n = 2,665, 60.5%) had a mortality rate of 5.9% (aHR 2.3, 95% CI 1.2-4.4) compared with only 1.4% for low-risk patients (n = 1,200, 27.2%). At 120 days of follow-up, cancer progression occurred in 27.2% of high-risk patients (aHR 2.2, 95% CI 1.4-3.5) and 16.4% of intermediate-risk patients (aHR 1.9, 95% CI 1.3-2.7) compared with only 8.5% of low-risk patients (p  &lt;  .0001). Conclusion. The Clinical Risk Score, originally developed to predict the occurrence of VTE, is also predictive of early mortality and cancer progression during the first four cycles of outpatient chemotherapy, independent from other major prognostic factors including VTE itself. Ongoing and future studies will help determine the impact of VTE prophylaxis on survival.","author":[{"dropping-particle":"","family":"Kuderer","given":"Nicole M.","non-dropping-particle":"","parse-names":false,"suffix":""},{"dropping-particle":"","family":"Culakova","given":"Eva","non-dropping-particle":"","parse-names":false,"suffix":""},{"dropping-particle":"","family":"Lyman","given":"Gary H.","non-dropping-particle":"","parse-names":false,"suffix":""},{"dropping-particle":"","family":"Francis","given":"Charles","non-dropping-particle":"","parse-names":false,"suffix":""},{"dropping-particle":"","family":"Falanga","given":"Anna","non-dropping-particle":"","parse-names":false,"suffix":""},{"dropping-particle":"","family":"Khorana","given":"Alok A.","non-dropping-particle":"","parse-names":false,"suffix":""}],"container-title":"The Oncologist","id":"ITEM-1","issue":"7","issued":{"date-parts":[["2016","7"]]},"page":"861-867","publisher":"Alphamed Press","title":"A Validated Risk Score for Venous Thromboembolism Is Predictive of Cancer Progression and Mortality","type":"article-journal","volume":"21"},"uris":["http://www.mendeley.com/documents/?uuid=18a4966e-5d62-3c04-83a9-fd95d5e2da41"]},{"id":"ITEM-2","itemData":{"DOI":"10.1016/s0049-3848(16)30136-0","ISSN":"00493848","abstract":"BACKGROUND\\nRecent studies show that the risk of VTE in NHL pts is similar to that observed in high risk solid tumors (i.e. pancreatic, ovarian cancer). VTE in NHL occurs in most cases within three months from diagnosis and can have substantial impact on treatment delivery and outcome as well as on quality of life. However few data are available on potential predictors. \\n\\nAIMS\\nTo better clarify the epidemiology of early (within six months from treatment start) VTE in NHL we conducted a pooled data analysis of 12 clinical trials from FIL. Our analysis included basic demographic features, lymphoma-related characteristics as well the Khorana score (based on histology, BMI, platelets WBC and HB counts) which is extensively used in solid tumors to predict VTE risk. \\n\\nPATIENTS AND METHODS\\nFrom Jan. 2010 to Dec. 2014, all pts with B-cell NHL enrolled in prospective clinical trials from FIL for frontline treatment were included. For 9 studies study period included the entire trial population was included. The analyses were conducted based on CRFs as well as pharmacovigilance reports. VTE definition and grading was stated according to standard criteria of toxicity (CTCAE V4.0). Cumulative incidence of VTE from the study enrollment was estimated using the method described by Gooley et al. accounting for death from any causes as a competing risk. The Fine &amp; Gray survival model was used to identify predictors of VTE among NHL pts. Factors predicting the grade of VTE were investigated using an ordinal logistic regression model. This pooled data analysis was approved by local IRB. \\n\\nRESULTS\\nOverall, 1,717 patients belonging to 12 studies were evaluated. Eight were phase I/II or II (25% of pts) and 4 phase III (75% of pts). M/F ratio was 1.41, Median age was 57, (IQ range (IQR) 49-66). Histologies were: DLCL-B 34%, FL 41%, MCL 18%, other 6%. Median BMI was 25 (IQR 22-28). Median Hb, WBC and platelets counts were 13g/dl) (IQR 11.5-14.2), 7.1*10^9/l (IQR 5.6-10.3), 224*10^9/l (IQR 169-298), respectively. 1189 pts were evaluable Khorana score: 58% low risk, 30% intermediate risk, 12% were high risk. Human erythropoetin support was given to 9% of patients. All pts received Rituximab. Planned therapeutic programs included ASCT in 27% of pts, conventional chemotherapy in 67% a conventional chemotherapy plus lenalidomide in 6%. Overall 59 any grade VTE episodes occurred in 51 pts (2.9%), including 21 grade III-IV VTE (18 pts). None was fatal. Median time from study …","author":[{"dropping-particle":"","family":"Santi","given":"R.M.","non-dropping-particle":"","parse-names":false,"suffix":""},{"dropping-particle":"","family":"Ceccarelli","given":"M.","non-dropping-particle":"","parse-names":false,"suffix":""},{"dropping-particle":"","family":"Catania","given":"G.","non-dropping-particle":"","parse-names":false,"suffix":""},{"dropping-particle":"","family":"Monagheddu","given":"C.","non-dropping-particle":"","parse-names":false,"suffix":""},{"dropping-particle":"","family":"Evangelista","given":"A.","non-dropping-particle":"","parse-names":false,"suffix":""},{"dropping-particle":"","family":"Bernocco","given":"E.","non-dropping-particle":"","parse-names":false,"suffix":""},{"dropping-particle":"","family":"Monaco","given":"F.","non-dropping-particle":"","parse-names":false,"suffix":""},{"dropping-particle":"","family":"Federico","given":"M.","non-dropping-particle":"","parse-names":false,"suffix":""},{"dropping-particle":"","family":"Vitolo","given":"U.","non-dropping-particle":"","parse-names":false,"suffix":""},{"dropping-particle":"","family":"Cortelazzo","given":"S.","non-dropping-particle":"","parse-names":false,"suffix":""},{"dropping-particle":"","family":"Cabras","given":"M.G.","non-dropping-particle":"","parse-names":false,"suffix":""},{"dropping-particle":"","family":"Spina","given":"M.","non-dropping-particle":"","parse-names":false,"suffix":""},{"dropping-particle":"","family":"Baldini","given":"L.","non-dropping-particle":"","parse-names":false,"suffix":""},{"dropping-particle":"","family":"Boccomini","given":"C.","non-dropping-particle":"","parse-names":false,"suffix":""},{"dropping-particle":"","family":"Chiappella","given":"A.","non-dropping-particle":"","parse-names":false,"suffix":""},{"dropping-particle":"","family":"Bari","given":"A.","non-dropping-particle":"","parse-names":false,"suffix":""},{"dropping-particle":"","family":"Luminari","given":"S.","non-dropping-particle":"","parse-names":false,"suffix":""},{"dropping-particle":"","family":"Calabrese","given":"M.","non-dropping-particle":"","parse-names":false,"suffix":""},{"dropping-particle":"","family":"Levis","given":"A.","non-dropping-particle":"","parse-names":false,"suffix":""},{"dropping-particle":"","family":"Visco","given":"C.","non-dropping-particle":"","parse-names":false,"suffix":""},{"dropping-particle":"","family":"Contino","given":"L.","non-dropping-particle":"","parse-names":false,"suffix":""},{"dropping-particle":"","family":"Ciccone","given":"G.","non-dropping-particle":"","parse-names":false,"suffix":""},{"dropping-particle":"","family":"Ladetto","given":"M.","non-dropping-particle":"","parse-names":false,"suffix":""}],"container-title":"Thrombosis Research","id":"ITEM-2","issued":{"date-parts":[["2016","4","1"]]},"page":"S177","publisher":"Elsevier BV","title":"PO-03 - Khorana score and histotype predict the incidence of early venous thromboembolism (VTE) in Non Hodgkin Lymphoma (NHL). A pooled data analysis of twelve clinical trials of Fondazione Italiana Linfomi (FIL)","type":"article-journal","volume":"140"},"uris":["http://www.mendeley.com/documents/?uuid=f8991f19-b353-3dbf-93ae-ea021c37a7dc"]}],"mendeley":{"formattedCitation":"[6,7]","plainTextFormattedCitation":"[6,7]","previouslyFormattedCitation":"[6,7]"},"properties":{"noteIndex":0},"schema":"https://github.com/citation-style-language/schema/raw/master/csl-citation.json"}</w:instrText>
      </w:r>
      <w:r w:rsidR="00342C61" w:rsidRPr="00342C61">
        <w:rPr>
          <w:iCs/>
          <w:color w:val="000000" w:themeColor="text1"/>
        </w:rPr>
        <w:fldChar w:fldCharType="separate"/>
      </w:r>
      <w:r w:rsidR="00342C61" w:rsidRPr="00342C61">
        <w:rPr>
          <w:iCs/>
          <w:noProof/>
          <w:color w:val="000000" w:themeColor="text1"/>
        </w:rPr>
        <w:t>[6,7]</w:t>
      </w:r>
      <w:r w:rsidR="00342C61" w:rsidRPr="00342C61">
        <w:rPr>
          <w:iCs/>
          <w:color w:val="000000" w:themeColor="text1"/>
        </w:rPr>
        <w:fldChar w:fldCharType="end"/>
      </w:r>
      <w:r w:rsidR="0052462B" w:rsidRPr="00342C61">
        <w:rPr>
          <w:iCs/>
          <w:color w:val="000000" w:themeColor="text1"/>
        </w:rPr>
        <w:t>.</w:t>
      </w:r>
    </w:p>
    <w:p w14:paraId="30112BAB" w14:textId="77777777" w:rsidR="0052462B" w:rsidRDefault="0052462B" w:rsidP="00A87256">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0112BAC" w14:textId="77777777" w:rsidR="00D67C73" w:rsidRDefault="00D67C73" w:rsidP="00A87256">
      <w:pPr>
        <w:ind w:left="709" w:firstLine="0"/>
        <w:contextualSpacing/>
        <w:divId w:val="266810958"/>
        <w:rPr>
          <w:i/>
        </w:rPr>
      </w:pPr>
      <w:r>
        <w:rPr>
          <w:b/>
        </w:rPr>
        <w:t xml:space="preserve">Комментарий: </w:t>
      </w:r>
      <w:r w:rsidR="005A50FB" w:rsidRPr="00154AEE">
        <w:rPr>
          <w:rFonts w:eastAsia="Times New Roman" w:cs="Times New Roman"/>
          <w:i/>
          <w:iCs/>
          <w:szCs w:val="24"/>
          <w:lang w:eastAsia="ru-RU"/>
        </w:rPr>
        <w:t xml:space="preserve">объем исследования включает в себя дифференциальный подсчет клеток крови с использованием автоматического анализатора; </w:t>
      </w:r>
      <w:r w:rsidR="005A56BB" w:rsidRPr="005A56BB">
        <w:rPr>
          <w:rFonts w:eastAsia="Times New Roman" w:cs="Times New Roman"/>
          <w:i/>
          <w:iCs/>
          <w:szCs w:val="24"/>
          <w:lang w:eastAsia="ru-RU"/>
        </w:rPr>
        <w:t>просмотр мазка крови для анализа аномалий морфологии эритроцитов, тромбоцитов и лейкоцитов</w:t>
      </w:r>
      <w:r w:rsidR="005A50FB" w:rsidRPr="00154AEE">
        <w:rPr>
          <w:rFonts w:eastAsia="Times New Roman" w:cs="Times New Roman"/>
          <w:i/>
          <w:iCs/>
          <w:szCs w:val="24"/>
          <w:lang w:eastAsia="ru-RU"/>
        </w:rPr>
        <w:t xml:space="preserve">, при необходимости </w:t>
      </w:r>
      <w:r w:rsidR="005A50FB">
        <w:rPr>
          <w:rFonts w:eastAsia="Times New Roman" w:cs="Times New Roman"/>
          <w:i/>
          <w:iCs/>
          <w:szCs w:val="24"/>
          <w:lang w:eastAsia="ru-RU"/>
        </w:rPr>
        <w:t>–</w:t>
      </w:r>
      <w:r w:rsidR="005A50FB" w:rsidRPr="00154AEE">
        <w:rPr>
          <w:rFonts w:eastAsia="Times New Roman" w:cs="Times New Roman"/>
          <w:i/>
          <w:iCs/>
          <w:szCs w:val="24"/>
          <w:lang w:eastAsia="ru-RU"/>
        </w:rPr>
        <w:t xml:space="preserve"> оптический подсчет количества тромбоцитов (по Фонио)</w:t>
      </w:r>
      <w:r>
        <w:rPr>
          <w:i/>
        </w:rPr>
        <w:t>.</w:t>
      </w:r>
    </w:p>
    <w:p w14:paraId="30112BAD" w14:textId="77777777" w:rsidR="0052462B" w:rsidRDefault="0052462B" w:rsidP="00041F35">
      <w:pPr>
        <w:pStyle w:val="a"/>
        <w:divId w:val="266810958"/>
      </w:pPr>
      <w:r w:rsidRPr="00A87256">
        <w:t>Всем</w:t>
      </w:r>
      <w:r w:rsidR="00D75819">
        <w:t xml:space="preserve"> ранее не получавшим лечение</w:t>
      </w:r>
      <w:r w:rsidRPr="00A87256">
        <w:t xml:space="preserve"> пациентам с </w:t>
      </w:r>
      <w:r w:rsidR="00090D97">
        <w:t>ЛМЗ</w:t>
      </w:r>
      <w:r w:rsidRPr="00A87256">
        <w:t xml:space="preserve"> перед проведением первой линии</w:t>
      </w:r>
      <w:r>
        <w:t xml:space="preserve"> противоопухолевой терапии </w:t>
      </w:r>
      <w:r w:rsidRPr="00741B6B">
        <w:rPr>
          <w:b/>
        </w:rPr>
        <w:t>рекомендуется</w:t>
      </w:r>
      <w:r>
        <w:t xml:space="preserve"> о</w:t>
      </w:r>
      <w:r w:rsidRPr="00B5142F">
        <w:t>пределение основных групп крови по системе AB0, определение антигена D системы Резус (резус-фактор</w:t>
      </w:r>
      <w:r>
        <w:t>а</w:t>
      </w:r>
      <w:r w:rsidRPr="00B5142F">
        <w:t>)</w:t>
      </w:r>
      <w:r>
        <w:t xml:space="preserve"> для </w:t>
      </w:r>
      <w:r w:rsidR="00442E27">
        <w:t xml:space="preserve">оценки </w:t>
      </w:r>
      <w:r>
        <w:t>возможности выполнения гемотрансфузии при наличии показаний</w:t>
      </w:r>
      <w:r w:rsidR="00C11D68">
        <w:t>,</w:t>
      </w:r>
      <w:r>
        <w:t xml:space="preserve"> до, во время или после терапии</w:t>
      </w:r>
      <w:r w:rsidR="00FA3CB9">
        <w:t xml:space="preserve"> </w:t>
      </w:r>
      <w:r w:rsidR="00FA3CB9">
        <w:fldChar w:fldCharType="begin" w:fldLock="1"/>
      </w:r>
      <w:r w:rsidR="00090D97">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mendeley":{"formattedCitation":"[3,4]","plainTextFormattedCitation":"[3,4]","previouslyFormattedCitation":"[3,4]"},"properties":{"noteIndex":0},"schema":"https://github.com/citation-style-language/schema/raw/master/csl-citation.json"}</w:instrText>
      </w:r>
      <w:r w:rsidR="00FA3CB9">
        <w:fldChar w:fldCharType="separate"/>
      </w:r>
      <w:r w:rsidR="00090D97" w:rsidRPr="00090D97">
        <w:rPr>
          <w:noProof/>
        </w:rPr>
        <w:t>[3,4]</w:t>
      </w:r>
      <w:r w:rsidR="00FA3CB9">
        <w:fldChar w:fldCharType="end"/>
      </w:r>
      <w:r>
        <w:t xml:space="preserve">. </w:t>
      </w:r>
    </w:p>
    <w:p w14:paraId="30112BAE" w14:textId="77777777" w:rsidR="0052462B" w:rsidRDefault="0052462B" w:rsidP="00A87256">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0112BAF" w14:textId="77777777" w:rsidR="004A21C0" w:rsidRPr="004A21C0" w:rsidRDefault="0052462B" w:rsidP="00D22A46">
      <w:pPr>
        <w:pStyle w:val="afe"/>
        <w:numPr>
          <w:ilvl w:val="0"/>
          <w:numId w:val="7"/>
        </w:numPr>
        <w:spacing w:before="120" w:after="120"/>
        <w:ind w:left="709" w:hanging="709"/>
        <w:divId w:val="266810958"/>
        <w:rPr>
          <w:b/>
        </w:rPr>
      </w:pPr>
      <w:r w:rsidRPr="00517EB0">
        <w:t>Всем</w:t>
      </w:r>
      <w:r w:rsidR="00D75819">
        <w:t xml:space="preserve"> ранее не получавшим лечение </w:t>
      </w:r>
      <w:r w:rsidRPr="00517EB0">
        <w:t xml:space="preserve">пациентам с </w:t>
      </w:r>
      <w:r w:rsidR="00090D97">
        <w:t>ЛМЗ</w:t>
      </w:r>
      <w:r w:rsidRPr="00517EB0">
        <w:t xml:space="preserve"> перед проведением первой линии противоопухолевой терапии </w:t>
      </w:r>
      <w:r w:rsidRPr="00A12C22">
        <w:rPr>
          <w:b/>
        </w:rPr>
        <w:t>рекомендуется</w:t>
      </w:r>
      <w:r>
        <w:t xml:space="preserve"> </w:t>
      </w:r>
      <w:r w:rsidR="004A21C0">
        <w:t xml:space="preserve">для уточнения наличия сопутствующих инфекционных заболеваний и планирования необходимой сопутствующей терапии </w:t>
      </w:r>
      <w:r>
        <w:t>выполнение</w:t>
      </w:r>
      <w:r w:rsidR="004A21C0">
        <w:t xml:space="preserve"> следующих исследований</w:t>
      </w:r>
      <w:r w:rsidR="00FA3CB9">
        <w:t xml:space="preserve"> </w:t>
      </w:r>
      <w:r w:rsidR="00FA3CB9">
        <w:fldChar w:fldCharType="begin" w:fldLock="1"/>
      </w:r>
      <w:r w:rsidR="00F4012B">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rsidR="00FA3CB9">
        <w:fldChar w:fldCharType="separate"/>
      </w:r>
      <w:r w:rsidR="00041F35" w:rsidRPr="00041F35">
        <w:rPr>
          <w:noProof/>
        </w:rPr>
        <w:t>[3–5]</w:t>
      </w:r>
      <w:r w:rsidR="00FA3CB9">
        <w:fldChar w:fldCharType="end"/>
      </w:r>
      <w:r w:rsidR="004A21C0">
        <w:t>:</w:t>
      </w:r>
    </w:p>
    <w:p w14:paraId="30112BB0" w14:textId="77777777" w:rsidR="0052462B" w:rsidRPr="00041F35" w:rsidRDefault="0052462B" w:rsidP="00D22A46">
      <w:pPr>
        <w:pStyle w:val="afe"/>
        <w:numPr>
          <w:ilvl w:val="0"/>
          <w:numId w:val="8"/>
        </w:numPr>
        <w:spacing w:before="120" w:after="120"/>
        <w:divId w:val="266810958"/>
      </w:pPr>
      <w:r w:rsidRPr="00041F35">
        <w:t>молекулярно-биологического исследования крови на вирус гепатита B (Hepatitis B virus) и на вирус гепатита C (Hepatitis C virus)</w:t>
      </w:r>
      <w:r w:rsidR="004A21C0" w:rsidRPr="00041F35">
        <w:t>;</w:t>
      </w:r>
    </w:p>
    <w:p w14:paraId="30112BB1" w14:textId="77777777" w:rsidR="004A21C0" w:rsidRPr="00041F35" w:rsidRDefault="004A21C0" w:rsidP="00D22A46">
      <w:pPr>
        <w:pStyle w:val="afe"/>
        <w:numPr>
          <w:ilvl w:val="0"/>
          <w:numId w:val="8"/>
        </w:numPr>
        <w:spacing w:before="120" w:after="120"/>
        <w:divId w:val="266810958"/>
      </w:pPr>
      <w:r w:rsidRPr="00041F35">
        <w:t>молекулярно-биологического исследования крови на вирус иммунодефицита человека ВИЧ-1 (Human immunodeficiency virus HIV-1)</w:t>
      </w:r>
      <w:r w:rsidR="00342C61" w:rsidRPr="00267769">
        <w:t>.</w:t>
      </w:r>
    </w:p>
    <w:p w14:paraId="30112BB2" w14:textId="77777777" w:rsidR="0052462B" w:rsidRPr="00383556" w:rsidRDefault="0052462B" w:rsidP="00A87256">
      <w:pPr>
        <w:pStyle w:val="afe"/>
        <w:ind w:left="709" w:firstLine="0"/>
        <w:divId w:val="266810958"/>
        <w:rPr>
          <w:b/>
        </w:rPr>
      </w:pPr>
      <w:r w:rsidRPr="00342C61">
        <w:rPr>
          <w:b/>
        </w:rPr>
        <w:t>Уровень убедительности рекомендаций С (уровень достоверности доказательств 5).</w:t>
      </w:r>
    </w:p>
    <w:p w14:paraId="30112BB3" w14:textId="77777777" w:rsidR="00E47473" w:rsidRPr="00E47473" w:rsidRDefault="00E47473" w:rsidP="00E47473">
      <w:pPr>
        <w:pStyle w:val="afe"/>
        <w:spacing w:before="120" w:after="120"/>
        <w:ind w:left="709" w:firstLine="0"/>
        <w:divId w:val="266810958"/>
        <w:rPr>
          <w:i/>
        </w:rPr>
      </w:pPr>
      <w:r>
        <w:rPr>
          <w:b/>
        </w:rPr>
        <w:lastRenderedPageBreak/>
        <w:t xml:space="preserve">Комментарий: </w:t>
      </w:r>
      <w:r>
        <w:rPr>
          <w:bCs/>
          <w:i/>
          <w:iCs/>
        </w:rPr>
        <w:t xml:space="preserve">значения маркеров вирусного гепатита В представлены в приложении А3.2 </w:t>
      </w:r>
    </w:p>
    <w:p w14:paraId="30112BB4" w14:textId="77777777" w:rsidR="003263CD" w:rsidRPr="00BD1ED5" w:rsidRDefault="005D4E90" w:rsidP="00F4012B">
      <w:pPr>
        <w:pStyle w:val="a"/>
        <w:divId w:val="266810958"/>
        <w:rPr>
          <w:i/>
        </w:rPr>
      </w:pPr>
      <w:r w:rsidRPr="00BD1ED5">
        <w:t xml:space="preserve">Всем пациентам с </w:t>
      </w:r>
      <w:r w:rsidR="00090D97">
        <w:t>ЛМЗ</w:t>
      </w:r>
      <w:r w:rsidR="003263CD" w:rsidRPr="00BD1ED5">
        <w:t xml:space="preserve">, получающим или получавшим противоопухолевую терапию, после первого эпизода тяжелой инфекции </w:t>
      </w:r>
      <w:r w:rsidR="003263CD" w:rsidRPr="00BD1ED5">
        <w:rPr>
          <w:b/>
          <w:bCs/>
        </w:rPr>
        <w:t>рекомендуется</w:t>
      </w:r>
      <w:r w:rsidR="003263CD" w:rsidRPr="00BD1ED5">
        <w:t xml:space="preserve"> определение иммунного статуса (исследование уровня иммуноглобулинов </w:t>
      </w:r>
      <w:r w:rsidR="003263CD" w:rsidRPr="00BD1ED5">
        <w:rPr>
          <w:lang w:val="en-US"/>
        </w:rPr>
        <w:t>G</w:t>
      </w:r>
      <w:r w:rsidR="003263CD" w:rsidRPr="00BD1ED5">
        <w:t xml:space="preserve">, </w:t>
      </w:r>
      <w:r w:rsidR="003263CD" w:rsidRPr="00BD1ED5">
        <w:rPr>
          <w:lang w:val="en-US"/>
        </w:rPr>
        <w:t>A</w:t>
      </w:r>
      <w:r w:rsidR="003263CD" w:rsidRPr="00BD1ED5">
        <w:t xml:space="preserve"> и </w:t>
      </w:r>
      <w:r w:rsidR="003263CD" w:rsidRPr="00BD1ED5">
        <w:rPr>
          <w:lang w:val="en-US"/>
        </w:rPr>
        <w:t>M</w:t>
      </w:r>
      <w:r w:rsidR="003263CD" w:rsidRPr="00BD1ED5">
        <w:t xml:space="preserve"> в крови</w:t>
      </w:r>
      <w:r w:rsidR="00E87706">
        <w:t>)</w:t>
      </w:r>
      <w:r w:rsidR="003263CD" w:rsidRPr="00BD1ED5">
        <w:t xml:space="preserve"> для уточнения риска развития инфекционных осложнений и необходимости назначения соответствующей профилактики </w:t>
      </w:r>
      <w:r w:rsidR="003263CD" w:rsidRPr="00BD1ED5">
        <w:fldChar w:fldCharType="begin" w:fldLock="1"/>
      </w:r>
      <w:r w:rsidR="00342C61">
        <w:instrText>ADDIN CSL_CITATION {"citationItems":[{"id":"ITEM-1","itemData":{"DOI":"10.7861/clinmedicine.16-6-571","ISSN":"14734893","abstract":"Antibody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London","id":"ITEM-1","issued":{"date-parts":[["2016"]]},"title":"Secondary antibody deficiency-causes and approach to diagnosis","type":"article-journal"},"uris":["http://www.mendeley.com/documents/?uuid=122c5237-a104-392a-be50-9d92c8764a3d"]}],"mendeley":{"formattedCitation":"[8]","plainTextFormattedCitation":"[8]","previouslyFormattedCitation":"[8]"},"properties":{"noteIndex":0},"schema":"https://github.com/citation-style-language/schema/raw/master/csl-citation.json"}</w:instrText>
      </w:r>
      <w:r w:rsidR="003263CD" w:rsidRPr="00BD1ED5">
        <w:fldChar w:fldCharType="separate"/>
      </w:r>
      <w:r w:rsidR="00342C61" w:rsidRPr="00342C61">
        <w:rPr>
          <w:noProof/>
        </w:rPr>
        <w:t>[8]</w:t>
      </w:r>
      <w:r w:rsidR="003263CD" w:rsidRPr="00BD1ED5">
        <w:fldChar w:fldCharType="end"/>
      </w:r>
      <w:r w:rsidR="003263CD" w:rsidRPr="00BD1ED5">
        <w:t>.</w:t>
      </w:r>
    </w:p>
    <w:p w14:paraId="30112BB5" w14:textId="77777777" w:rsidR="003263CD" w:rsidRDefault="003263CD" w:rsidP="003263CD">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0112BB6" w14:textId="77777777" w:rsidR="003263CD" w:rsidRDefault="003263CD" w:rsidP="003263CD">
      <w:pPr>
        <w:ind w:left="709" w:firstLine="0"/>
        <w:contextualSpacing/>
        <w:divId w:val="266810958"/>
        <w:rPr>
          <w:i/>
        </w:rPr>
      </w:pPr>
      <w:r w:rsidRPr="0099679A">
        <w:rPr>
          <w:b/>
        </w:rPr>
        <w:t>Комментарии:</w:t>
      </w:r>
      <w:r>
        <w:t xml:space="preserve"> </w:t>
      </w:r>
      <w:r>
        <w:rPr>
          <w:i/>
        </w:rPr>
        <w:t xml:space="preserve">если </w:t>
      </w:r>
      <w:r>
        <w:rPr>
          <w:i/>
          <w:lang w:val="en-US"/>
        </w:rPr>
        <w:t>IgG</w:t>
      </w:r>
      <w:r w:rsidR="005A5BFA">
        <w:rPr>
          <w:i/>
        </w:rPr>
        <w:t xml:space="preserve"> </w:t>
      </w:r>
      <w:r w:rsidRPr="00C40E0F">
        <w:rPr>
          <w:i/>
        </w:rPr>
        <w:t>&lt;</w:t>
      </w:r>
      <w:r>
        <w:rPr>
          <w:i/>
        </w:rPr>
        <w:t>4 г/л, клиническая ситуация расценивается как симптоматическая гипогаммаглобулинемия. В этих случаях показана заместительная терапия иммуноглобулинами (см. раздел «Сопутствующая и сопроводительная терапия)</w:t>
      </w:r>
    </w:p>
    <w:p w14:paraId="30112BB7" w14:textId="77777777" w:rsidR="00F6558C" w:rsidRDefault="00B46390" w:rsidP="00F6558C">
      <w:pPr>
        <w:pStyle w:val="2"/>
        <w:divId w:val="266810958"/>
      </w:pPr>
      <w:bookmarkStart w:id="29" w:name="_Toc65108024"/>
      <w:r w:rsidRPr="00B46390">
        <w:t xml:space="preserve">2.4 </w:t>
      </w:r>
      <w:r w:rsidR="00A70F44">
        <w:t xml:space="preserve">Инструментальные </w:t>
      </w:r>
      <w:r w:rsidRPr="00B46390">
        <w:t>диагно</w:t>
      </w:r>
      <w:r w:rsidR="00A70F44">
        <w:t>стические исследования</w:t>
      </w:r>
      <w:bookmarkEnd w:id="29"/>
    </w:p>
    <w:p w14:paraId="30112BB8" w14:textId="77777777" w:rsidR="00B0429E" w:rsidRPr="000565F5" w:rsidRDefault="00B0429E" w:rsidP="00D22A46">
      <w:pPr>
        <w:pStyle w:val="afe"/>
        <w:numPr>
          <w:ilvl w:val="0"/>
          <w:numId w:val="6"/>
        </w:numPr>
        <w:spacing w:before="120" w:after="120"/>
        <w:ind w:left="709" w:hanging="709"/>
        <w:divId w:val="266810958"/>
      </w:pPr>
      <w:r w:rsidRPr="000565F5">
        <w:t>Всем пациентам при установ</w:t>
      </w:r>
      <w:r w:rsidR="007C3C41">
        <w:t>лении</w:t>
      </w:r>
      <w:r w:rsidRPr="000565F5">
        <w:t xml:space="preserve"> диагноза </w:t>
      </w:r>
      <w:r w:rsidR="00090D97">
        <w:t>ЛМЗ</w:t>
      </w:r>
      <w:r w:rsidRPr="000565F5">
        <w:t>, при оценке</w:t>
      </w:r>
      <w:r>
        <w:t xml:space="preserve"> ответа на лечение, </w:t>
      </w:r>
      <w:r w:rsidRPr="000565F5">
        <w:t xml:space="preserve">а </w:t>
      </w:r>
      <w:r w:rsidRPr="00DF14AA">
        <w:rPr>
          <w:color w:val="000000" w:themeColor="text1"/>
        </w:rPr>
        <w:t xml:space="preserve">также при подозрении на рецидив заболевания </w:t>
      </w:r>
      <w:r w:rsidRPr="00DF14AA">
        <w:rPr>
          <w:b/>
          <w:color w:val="000000" w:themeColor="text1"/>
        </w:rPr>
        <w:t>рекомендуется</w:t>
      </w:r>
      <w:r w:rsidRPr="00DF14AA">
        <w:rPr>
          <w:color w:val="000000" w:themeColor="text1"/>
        </w:rPr>
        <w:t xml:space="preserve"> выполнить </w:t>
      </w:r>
      <w:r w:rsidR="005A5BFA">
        <w:rPr>
          <w:color w:val="000000" w:themeColor="text1"/>
        </w:rPr>
        <w:t>компьютерную томографию (</w:t>
      </w:r>
      <w:r w:rsidRPr="00DF14AA">
        <w:rPr>
          <w:color w:val="000000" w:themeColor="text1"/>
        </w:rPr>
        <w:t>КТ</w:t>
      </w:r>
      <w:r w:rsidR="005A5BFA">
        <w:rPr>
          <w:color w:val="000000" w:themeColor="text1"/>
        </w:rPr>
        <w:t>)</w:t>
      </w:r>
      <w:r w:rsidRPr="00DF14AA">
        <w:rPr>
          <w:color w:val="000000" w:themeColor="text1"/>
        </w:rPr>
        <w:t xml:space="preserve"> </w:t>
      </w:r>
      <w:r w:rsidR="00E45C65" w:rsidRPr="00DF14AA">
        <w:rPr>
          <w:color w:val="000000" w:themeColor="text1"/>
        </w:rPr>
        <w:t>шеи,</w:t>
      </w:r>
      <w:r w:rsidR="00F861FF">
        <w:rPr>
          <w:color w:val="000000" w:themeColor="text1"/>
        </w:rPr>
        <w:t xml:space="preserve"> органов</w:t>
      </w:r>
      <w:r w:rsidR="00E45C65" w:rsidRPr="00DF14AA">
        <w:rPr>
          <w:color w:val="000000" w:themeColor="text1"/>
        </w:rPr>
        <w:t xml:space="preserve"> </w:t>
      </w:r>
      <w:r w:rsidRPr="000565F5">
        <w:t>грудной клетки, органов брюшной полости и малого таза (с контрастированием)</w:t>
      </w:r>
      <w:r w:rsidRPr="003147A2">
        <w:t xml:space="preserve"> </w:t>
      </w:r>
      <w:r w:rsidRPr="000565F5">
        <w:t xml:space="preserve">для </w:t>
      </w:r>
      <w:r>
        <w:t xml:space="preserve">стадирования заболевания и уточнения наличия, размеров и распространенности опухолевых очагов </w:t>
      </w:r>
      <w:r>
        <w:fldChar w:fldCharType="begin" w:fldLock="1"/>
      </w:r>
      <w:r w:rsidR="00342C61">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Oncology","id":"ITEM-2","issue":"1","issued":{"date-parts":[["2020","1","1"]]},"page":"17-29","publisher":"Elsevier Ltd","title":"Marginal zone lymphomas: ESMO Clinical Practice Guidelines for diagnosis, treatment and follow-up","type":"article-journal","volume":"31"},"uris":["http://www.mendeley.com/documents/?uuid=fbdf0c05-49c8-3abf-834c-701e85508549"]},{"id":"ITEM-3","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-3","issued":{"date-parts":[["0"]]},"title":"B-cell lymphomas. NCCN Clinical Practice Guidelines in Oncology. Version 5.2019","type":"article"},"uris":["http://www.mendeley.com/documents/?uuid=4e117fbe-c678-350d-9b0c-f8bba5d6f848"]}],"mendeley":{"formattedCitation":"[4,5,9]","plainTextFormattedCitation":"[4,5,9]","previouslyFormattedCitation":"[4,5,9]"},"properties":{"noteIndex":0},"schema":"https://github.com/citation-style-language/schema/raw/master/csl-citation.json"}</w:instrText>
      </w:r>
      <w:r>
        <w:fldChar w:fldCharType="separate"/>
      </w:r>
      <w:r w:rsidR="00342C61" w:rsidRPr="00342C61">
        <w:rPr>
          <w:noProof/>
        </w:rPr>
        <w:t>[4,5,9]</w:t>
      </w:r>
      <w:r>
        <w:fldChar w:fldCharType="end"/>
      </w:r>
      <w:r w:rsidRPr="000565F5">
        <w:t>.</w:t>
      </w:r>
    </w:p>
    <w:p w14:paraId="30112BB9" w14:textId="77777777" w:rsidR="00B0429E" w:rsidRPr="00F610C3" w:rsidRDefault="00B0429E" w:rsidP="00B0429E">
      <w:pPr>
        <w:pStyle w:val="afe"/>
        <w:ind w:left="709" w:firstLine="0"/>
        <w:divId w:val="266810958"/>
        <w:rPr>
          <w:color w:val="000000" w:themeColor="text1"/>
        </w:rPr>
      </w:pPr>
      <w:r w:rsidRPr="00342C61">
        <w:rPr>
          <w:b/>
        </w:rPr>
        <w:t>Уровень убедительности рекомендаций С (уровень достоверности доказательств 5)</w:t>
      </w:r>
    </w:p>
    <w:p w14:paraId="30112BBA" w14:textId="77777777" w:rsidR="000F4D7F" w:rsidRDefault="00B0429E" w:rsidP="00342C61">
      <w:pPr>
        <w:pStyle w:val="a"/>
        <w:divId w:val="266810958"/>
      </w:pPr>
      <w:r w:rsidRPr="003147A2">
        <w:t>Пациентам с противопоказаниями к КТ, либо при невозможности выполнения КТ, при установ</w:t>
      </w:r>
      <w:r w:rsidR="007C3C41">
        <w:t>лении</w:t>
      </w:r>
      <w:r w:rsidRPr="003147A2">
        <w:t xml:space="preserve"> диагноза </w:t>
      </w:r>
      <w:r w:rsidR="00090D97">
        <w:t>ЛМЗ</w:t>
      </w:r>
      <w:r w:rsidRPr="003147A2">
        <w:t xml:space="preserve">, </w:t>
      </w:r>
      <w:r w:rsidRPr="001C2B47">
        <w:t xml:space="preserve">при оценке ответа на лечение, а также при подозрении на рецидив заболевания </w:t>
      </w:r>
      <w:r w:rsidRPr="003147A2">
        <w:rPr>
          <w:b/>
        </w:rPr>
        <w:t>рекомендуется</w:t>
      </w:r>
      <w:r w:rsidRPr="003147A2">
        <w:t xml:space="preserve"> </w:t>
      </w:r>
      <w:r w:rsidR="000F4D7F" w:rsidRPr="000565F5">
        <w:t xml:space="preserve">для </w:t>
      </w:r>
      <w:r w:rsidR="000F4D7F">
        <w:t>стадирования заболевания и уточнения наличия, размеров и распространенности опухолевых очагов</w:t>
      </w:r>
      <w:r w:rsidR="000F4D7F" w:rsidRPr="003147A2">
        <w:t xml:space="preserve"> </w:t>
      </w:r>
      <w:r w:rsidRPr="003147A2">
        <w:t>выполнить</w:t>
      </w:r>
      <w:r w:rsidR="000F4D7F">
        <w:t xml:space="preserve"> следующие диагностические исследования </w:t>
      </w:r>
      <w:r w:rsidR="000F4D7F">
        <w:fldChar w:fldCharType="begin" w:fldLock="1"/>
      </w:r>
      <w:r w:rsidR="00090D97">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0F4D7F">
        <w:fldChar w:fldCharType="separate"/>
      </w:r>
      <w:r w:rsidR="00090D97" w:rsidRPr="00090D97">
        <w:rPr>
          <w:noProof/>
        </w:rPr>
        <w:t>[4]</w:t>
      </w:r>
      <w:r w:rsidR="000F4D7F">
        <w:fldChar w:fldCharType="end"/>
      </w:r>
      <w:r w:rsidR="000F4D7F">
        <w:t>:</w:t>
      </w:r>
    </w:p>
    <w:p w14:paraId="30112BBB" w14:textId="77777777" w:rsidR="00B0429E" w:rsidRPr="000F4D7F" w:rsidRDefault="00F4012B" w:rsidP="00D22A46">
      <w:pPr>
        <w:pStyle w:val="afe"/>
        <w:numPr>
          <w:ilvl w:val="1"/>
          <w:numId w:val="6"/>
        </w:numPr>
        <w:spacing w:after="120"/>
        <w:divId w:val="266810958"/>
        <w:rPr>
          <w:color w:val="000000" w:themeColor="text1"/>
        </w:rPr>
      </w:pPr>
      <w:r w:rsidRPr="003147A2">
        <w:rPr>
          <w:color w:val="000000" w:themeColor="text1"/>
        </w:rPr>
        <w:t>Р</w:t>
      </w:r>
      <w:r w:rsidR="00B0429E" w:rsidRPr="003147A2">
        <w:rPr>
          <w:color w:val="000000" w:themeColor="text1"/>
        </w:rPr>
        <w:t>ентгенографию</w:t>
      </w:r>
      <w:r w:rsidRPr="006C5550">
        <w:rPr>
          <w:color w:val="000000" w:themeColor="text1"/>
        </w:rPr>
        <w:t xml:space="preserve"> </w:t>
      </w:r>
      <w:r>
        <w:rPr>
          <w:color w:val="000000" w:themeColor="text1"/>
        </w:rPr>
        <w:t>легких</w:t>
      </w:r>
      <w:r w:rsidR="00B0429E" w:rsidRPr="003147A2">
        <w:rPr>
          <w:color w:val="000000" w:themeColor="text1"/>
        </w:rPr>
        <w:t xml:space="preserve"> в двух проекциях</w:t>
      </w:r>
      <w:r w:rsidR="000F4D7F">
        <w:t>;</w:t>
      </w:r>
    </w:p>
    <w:p w14:paraId="30112BBC" w14:textId="77777777" w:rsidR="000F4D7F" w:rsidRPr="003147A2" w:rsidRDefault="000F4D7F" w:rsidP="00D22A46">
      <w:pPr>
        <w:pStyle w:val="afe"/>
        <w:numPr>
          <w:ilvl w:val="1"/>
          <w:numId w:val="6"/>
        </w:numPr>
        <w:spacing w:before="120"/>
        <w:divId w:val="266810958"/>
        <w:rPr>
          <w:color w:val="000000" w:themeColor="text1"/>
        </w:rPr>
      </w:pPr>
      <w:r w:rsidRPr="003147A2">
        <w:rPr>
          <w:color w:val="000000" w:themeColor="text1"/>
        </w:rPr>
        <w:t>ультразвуковое исследование лимфатических узлов и внутренних органов</w:t>
      </w:r>
      <w:r>
        <w:rPr>
          <w:color w:val="000000" w:themeColor="text1"/>
        </w:rPr>
        <w:t>.</w:t>
      </w:r>
    </w:p>
    <w:p w14:paraId="30112BBD" w14:textId="77777777" w:rsidR="00B0429E" w:rsidRDefault="00B0429E" w:rsidP="0059411A">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0112BBE" w14:textId="77777777" w:rsidR="00B02E09" w:rsidRPr="000565F5" w:rsidRDefault="00B02E09" w:rsidP="00D22A46">
      <w:pPr>
        <w:pStyle w:val="afe"/>
        <w:numPr>
          <w:ilvl w:val="0"/>
          <w:numId w:val="6"/>
        </w:numPr>
        <w:spacing w:before="120" w:after="120"/>
        <w:ind w:left="709" w:hanging="709"/>
        <w:divId w:val="266810958"/>
      </w:pPr>
      <w:r w:rsidRPr="000565F5">
        <w:lastRenderedPageBreak/>
        <w:t>Всем пациентам при установ</w:t>
      </w:r>
      <w:r>
        <w:t>лении</w:t>
      </w:r>
      <w:r w:rsidRPr="000565F5">
        <w:t xml:space="preserve"> диагноза </w:t>
      </w:r>
      <w:r w:rsidR="00F4012B">
        <w:rPr>
          <w:lang w:val="en-US"/>
        </w:rPr>
        <w:t>MALT</w:t>
      </w:r>
      <w:r w:rsidR="00F4012B" w:rsidRPr="006C5550">
        <w:t>-</w:t>
      </w:r>
      <w:r w:rsidR="00F4012B">
        <w:t xml:space="preserve">лимфомы </w:t>
      </w:r>
      <w:r>
        <w:t>желудка</w:t>
      </w:r>
      <w:r w:rsidRPr="000565F5">
        <w:t>, при оценке</w:t>
      </w:r>
      <w:r>
        <w:t xml:space="preserve"> ответа на лечение, </w:t>
      </w:r>
      <w:r w:rsidRPr="000565F5">
        <w:t xml:space="preserve">а </w:t>
      </w:r>
      <w:r w:rsidRPr="00DF14AA">
        <w:rPr>
          <w:color w:val="000000" w:themeColor="text1"/>
        </w:rPr>
        <w:t xml:space="preserve">также при подозрении на рецидив заболевания </w:t>
      </w:r>
      <w:r w:rsidRPr="00DF14AA">
        <w:rPr>
          <w:b/>
          <w:color w:val="000000" w:themeColor="text1"/>
        </w:rPr>
        <w:t>рекомендуется</w:t>
      </w:r>
      <w:r w:rsidRPr="00DF14AA">
        <w:rPr>
          <w:color w:val="000000" w:themeColor="text1"/>
        </w:rPr>
        <w:t xml:space="preserve"> выполнить</w:t>
      </w:r>
      <w:r>
        <w:rPr>
          <w:color w:val="000000" w:themeColor="text1"/>
        </w:rPr>
        <w:t xml:space="preserve"> </w:t>
      </w:r>
      <w:r w:rsidR="00C31EFD">
        <w:rPr>
          <w:color w:val="000000" w:themeColor="text1"/>
        </w:rPr>
        <w:t>эзофаго</w:t>
      </w:r>
      <w:r>
        <w:rPr>
          <w:color w:val="000000" w:themeColor="text1"/>
        </w:rPr>
        <w:t xml:space="preserve">гастроскопию и, при возможности, </w:t>
      </w:r>
      <w:r w:rsidR="00C31EFD">
        <w:rPr>
          <w:color w:val="000000" w:themeColor="text1"/>
        </w:rPr>
        <w:t xml:space="preserve">эндосонографию желудка </w:t>
      </w:r>
      <w:r>
        <w:rPr>
          <w:color w:val="000000" w:themeColor="text1"/>
        </w:rPr>
        <w:t>со множественой биопсией пораженных участков слизистой</w:t>
      </w:r>
      <w:r w:rsidRPr="00DF14AA">
        <w:rPr>
          <w:color w:val="000000" w:themeColor="text1"/>
        </w:rPr>
        <w:t xml:space="preserve"> </w:t>
      </w:r>
      <w:r w:rsidRPr="00BD1ED5">
        <w:rPr>
          <w:szCs w:val="24"/>
        </w:rPr>
        <w:fldChar w:fldCharType="begin" w:fldLock="1"/>
      </w:r>
      <w:r w:rsidR="00342C61">
        <w:rPr>
          <w:szCs w:val="24"/>
        </w:rPr>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Пивника","id":"ITEM-2","issued":{"date-parts":[["2012"]]},"page":"176-187","title":"Неходжкинские лимфомы маргинальной зоны","type":"chapter"},"uris":["http://www.mendeley.com/documents/?uuid=55174691-e9d7-401f-a0a9-f116659e2535"]},{"id":"ITEM-3","itemData":{"DOI":"10.1111/j.1572-0241.2002.05460.x","ISSN":"0002-9270","abstract":"OBJECTIVES: Primary gastric low-grade B-cell lymphoma of mucosa-associated lymphoid tissue may regress with conservative treatment such as anti-Helicobacterpylori therapy or monochemotherapy. The aims of the present study were to analyze the predictive factors of response to anti-H. pylori treatment, to assess the effects of an adjuvant therapy in responding patients, and to evaluate an alternative therapy in nonresponding patients.\\n\\nMETHODS: From 1995 to 2000, 48 H. pylori-infected patients with localized primary gastric low-grade B-cell lymphoma of mucosa-associated lymphoid tissue were treated with anti-H. pylori therapy. Endoscopic and endoscopic ultrasonography features and histological grading of large cells' proportion were analyzed. Eradication of H. pylori and tumoral response were assessed at 2 and 6 months, respectively. From 1996, patients in remission at 6 months were randomized to receive either chlorambucil p.o. for 6 months or no treatment. Patients who did not respond to H. pylori eradication received chlorambucil p.o. for 1 yr.\\n\\nRESULTS: Among the 48 treated patients, 33 (69%) were in complete (n = 28) or in partial (n = 5) remission, and 15 (31%) were in treatment failure at 6 months. H. pylori was eradicated in 47 patients. The response was not correlated with the endoscopic features or with the histological grade. In contrast, it was related to ultrasonographic features: remission was achieved in 76% of patients when no perigastric lymph node was detected versus only 33% when endoscopic ultrasonography showed presence of lymph nodes (p = 0.025). All responding patients remained in remission (median 34 months) whatever the treatment they received (no treatment or chlorambucil). Remission could be achieved with chlorambucil in 58% of the nonresponding patients to anti-H. pylori treatment.\\n\\nCONCLUSIONS: The major negative predictive factor of the tumoral response to anti-H. pylori treatment in patients with primary gastric low-grade B-cell lymphoma of mucosaassociated lymphoid tissue was the presence of perigastric lymph nodes on endoscopic ultrasonography. In responding patients, remission remained stable, suggesting that adjuvant chemotherapy was not useful. In patients who failed to respond to H. pylori eradication, monochemotherapy with chlorambucil proved to be efficient, but new therapeutic modalities should be evaluated to improve the control of the tumoral process.","author":[{"dropping-particle":"","family":"Levy","given":"Michael","non-dropping-particle":"","parse-names":false,"suffix":""},{"dropping-particle":"","family":"Copie-Bergman","given":"Christiane","non-dropping-particle":"","parse-names":false,"suffix":""},{"dropping-particle":"","family":"Traulle","given":"Catherine","non-dropping-particle":"","parse-names":false,"suffix":""},{"dropping-particle":"","family":"Lavergne-Slove","given":"Anne","non-dropping-particle":"","parse-names":false,"suffix":""},{"dropping-particle":"","family":"Brousse","given":"Nicole","non-dropping-particle":"","parse-names":false,"suffix":""},{"dropping-particle":"","family":"Flejou","given":"Jean-Francois","non-dropping-particle":"","parse-names":false,"suffix":""},{"dropping-particle":"","family":"Mascarel","given":"Antoine","non-dropping-particle":"","parse-names":false,"suffix":""},{"dropping-particle":"","family":"Hemery","given":"Francois","non-dropping-particle":"","parse-names":false,"suffix":""},{"dropping-particle":"","family":"Gaulard","given":"Philippe","non-dropping-particle":"","parse-names":false,"suffix":""},{"dropping-particle":"","family":"Delchier","given":"Jean-Charles","non-dropping-particle":"","parse-names":false,"suffix":""}],"container-title":"The American Journal of Gastroenterology","id":"ITEM-3","issue":"2","issued":{"date-parts":[["2002","2"]]},"page":"292-297","publisher":"Ovid Technologies (Wolters Kluwer Health)","title":"Conservative treatment of primary gastric low-grade B-cell lymphoma of mucosa-associated lymphoid tissue: predictive factors of response and outcome","type":"article-journal","volume":"97"},"uris":["http://www.mendeley.com/documents/?uuid=a59b33f0-ae9d-3eb3-ad67-37ed54c1d77f"]}],"mendeley":{"formattedCitation":"[3,10,11]","plainTextFormattedCitation":"[3,10,11]","previouslyFormattedCitation":"[3,10,11]"},"properties":{"noteIndex":0},"schema":"https://github.com/citation-style-language/schema/raw/master/csl-citation.json"}</w:instrText>
      </w:r>
      <w:r w:rsidRPr="00BD1ED5">
        <w:rPr>
          <w:szCs w:val="24"/>
        </w:rPr>
        <w:fldChar w:fldCharType="separate"/>
      </w:r>
      <w:r w:rsidR="00342C61" w:rsidRPr="00342C61">
        <w:rPr>
          <w:noProof/>
          <w:szCs w:val="24"/>
        </w:rPr>
        <w:t>[3,10,11]</w:t>
      </w:r>
      <w:r w:rsidRPr="00BD1ED5">
        <w:rPr>
          <w:szCs w:val="24"/>
        </w:rPr>
        <w:fldChar w:fldCharType="end"/>
      </w:r>
      <w:r w:rsidRPr="000565F5">
        <w:t>.</w:t>
      </w:r>
    </w:p>
    <w:p w14:paraId="30112BBF" w14:textId="77777777" w:rsidR="00B02E09" w:rsidRPr="00F610C3" w:rsidRDefault="00B02E09" w:rsidP="00B02E09">
      <w:pPr>
        <w:pStyle w:val="afe"/>
        <w:ind w:left="709" w:firstLine="0"/>
        <w:divId w:val="266810958"/>
        <w:rPr>
          <w:color w:val="000000" w:themeColor="text1"/>
        </w:rPr>
      </w:pPr>
      <w:r w:rsidRPr="00342C61">
        <w:rPr>
          <w:b/>
        </w:rPr>
        <w:t xml:space="preserve">Уровень убедительности рекомендаций С (уровень достоверности доказательств </w:t>
      </w:r>
      <w:r w:rsidR="00F4012B" w:rsidRPr="00267769">
        <w:rPr>
          <w:b/>
        </w:rPr>
        <w:t>4</w:t>
      </w:r>
      <w:r w:rsidRPr="00342C61">
        <w:rPr>
          <w:b/>
        </w:rPr>
        <w:t>)</w:t>
      </w:r>
    </w:p>
    <w:p w14:paraId="30112BC0" w14:textId="77777777" w:rsidR="00EB08D0" w:rsidRDefault="00B0429E" w:rsidP="00F4012B">
      <w:pPr>
        <w:pStyle w:val="a"/>
        <w:divId w:val="266810958"/>
      </w:pPr>
      <w:r w:rsidRPr="00C346EB">
        <w:t xml:space="preserve">Всем пациентам с установленным диагнозом </w:t>
      </w:r>
      <w:r w:rsidR="00090D97">
        <w:t>ЛМЗ</w:t>
      </w:r>
      <w:r w:rsidRPr="00C346EB">
        <w:t>, которым планируется лечение по</w:t>
      </w:r>
      <w:r>
        <w:t xml:space="preserve"> поводу впервые установленного заболевания, либо по поводу рецидива, </w:t>
      </w:r>
      <w:r w:rsidRPr="003147A2">
        <w:rPr>
          <w:b/>
        </w:rPr>
        <w:t>рекомендуется</w:t>
      </w:r>
      <w:r>
        <w:t xml:space="preserve"> </w:t>
      </w:r>
      <w:r w:rsidR="00EB08D0" w:rsidRPr="00154AEE">
        <w:t>для своевременного выявления сопутствующей патологии со стороны сердечно-сосудистой, дыхательной и пищеварительной систем и для определения необходимости их профилактики или лечения рекомендуется выполнить следующие исследования</w:t>
      </w:r>
      <w:r>
        <w:t xml:space="preserve"> </w:t>
      </w:r>
      <w:r w:rsidR="00C346EB">
        <w:fldChar w:fldCharType="begin" w:fldLock="1"/>
      </w:r>
      <w:r w:rsidR="00C31EF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C346EB">
        <w:fldChar w:fldCharType="separate"/>
      </w:r>
      <w:r w:rsidR="00090D97" w:rsidRPr="00090D97">
        <w:rPr>
          <w:noProof/>
        </w:rPr>
        <w:t>[4]</w:t>
      </w:r>
      <w:r w:rsidR="00C346EB">
        <w:fldChar w:fldCharType="end"/>
      </w:r>
      <w:r w:rsidR="00EB08D0">
        <w:t>:</w:t>
      </w:r>
    </w:p>
    <w:p w14:paraId="30112BC1" w14:textId="77777777" w:rsidR="00EB08D0" w:rsidRDefault="002E5470" w:rsidP="00D22A46">
      <w:pPr>
        <w:pStyle w:val="afe"/>
        <w:numPr>
          <w:ilvl w:val="1"/>
          <w:numId w:val="6"/>
        </w:numPr>
        <w:spacing w:after="120"/>
        <w:divId w:val="266810958"/>
      </w:pPr>
      <w:r w:rsidRPr="002E5470">
        <w:t>регистраци</w:t>
      </w:r>
      <w:r>
        <w:t>ю</w:t>
      </w:r>
      <w:r w:rsidRPr="002E5470">
        <w:t xml:space="preserve"> электрокардиограммы</w:t>
      </w:r>
      <w:r w:rsidR="00F4012B">
        <w:t>, расшифровку, описание и интерпретацию электрокардиографических данных</w:t>
      </w:r>
      <w:r w:rsidR="00EB08D0" w:rsidRPr="00154AEE">
        <w:t>;</w:t>
      </w:r>
    </w:p>
    <w:p w14:paraId="30112BC2" w14:textId="77777777" w:rsidR="00EB08D0" w:rsidRDefault="00EB08D0" w:rsidP="00D22A46">
      <w:pPr>
        <w:pStyle w:val="afe"/>
        <w:numPr>
          <w:ilvl w:val="1"/>
          <w:numId w:val="6"/>
        </w:numPr>
        <w:spacing w:before="120" w:after="120"/>
        <w:divId w:val="266810958"/>
      </w:pPr>
      <w:r w:rsidRPr="00154AEE">
        <w:t>эхокардиографию;</w:t>
      </w:r>
    </w:p>
    <w:p w14:paraId="30112BC3" w14:textId="77777777" w:rsidR="00EB08D0" w:rsidRPr="00737943" w:rsidRDefault="00EB08D0" w:rsidP="00D22A46">
      <w:pPr>
        <w:pStyle w:val="afe"/>
        <w:numPr>
          <w:ilvl w:val="1"/>
          <w:numId w:val="6"/>
        </w:numPr>
        <w:spacing w:before="120" w:after="120"/>
        <w:divId w:val="266810958"/>
      </w:pPr>
      <w:r w:rsidRPr="00737943">
        <w:t>ультразвуковую допплерографию сосудов (артерий и вен) нижних конечностей</w:t>
      </w:r>
      <w:r w:rsidR="00267769" w:rsidRPr="00737943">
        <w:t xml:space="preserve"> (с целью выявления тромбоза глубоких вен нижних конечностей)</w:t>
      </w:r>
      <w:r w:rsidR="00342C61" w:rsidRPr="00737943">
        <w:t xml:space="preserve"> </w:t>
      </w:r>
      <w:r w:rsidR="00342C61" w:rsidRPr="00737943">
        <w:fldChar w:fldCharType="begin" w:fldLock="1"/>
      </w:r>
      <w:r w:rsidR="00342C61" w:rsidRPr="00737943">
        <w:instrText>ADDIN CSL_CITATION {"citationItems":[{"id":"ITEM-1","itemData":{"DOI":"10.5812/ircmj.14722","ISSN":"20741812","abstract":"Background: Deep vein thrombosis (DVT) is a well-recognized complication in patients with cancer. Chemotherapy and cancer surgery increase the risk of DVT in these patients. There are a few reports about the prevalence of DVT in patients with cancer regarding different managing modalities. Objectives: This study aimed to assess the prevalence of DVT in patients with cancer, who were hospitalized in teaching hospitals, according to their treatment intervention. Patients and Methods: A cross-sectional retrospective study was conducted on 602 patients with cancer in Kerman, Iran, during years 2006-2007. Among the subjects, 301 had been operated and the rest had received chemotherapy. The prevalence of DVT was determined based on patients’ variables, cancer factors, and therapeutic modalities. Results: Totally, 349 subjects (58%) were male. DVT incidence was 19.9%, most of the cases were over 40 years of age (82.2%), and 21.2% of males and 18.2% of females had developed DVT. The prevalence of DVT in chemotherapy group was higher than that in surgery group (21.9% and 17.9%, respectively); however, this difference was statistically insignificant. DVT developed more frequently in lung cancer (42%) with small cell carcinoma being the most common pathologic finding (42.9%) in those with lung cancer (P = 0.0001). Conclusions: DVT occurs frequently in patients with malignancies. In this study, there was no association between DVT prevalence and age as well as sex; nonetheless, the prevalence was significantly higher in some sites and in patients with certain pathologies. Although DVT prevalence was higher in chemotherapy than in surgery, the difference was insignificant. Informing patients with cancer about symptoms of DVT and prophylactic interventions are warranted.","author":[{"dropping-particle":"","family":"Fekri","given":"Mitra Samare","non-dropping-particle":"","parse-names":false,"suffix":""},{"dropping-particle":"","family":"Zade","given":"Mahdie Khalily","non-dropping-particle":"","parse-names":false,"suffix":""},{"dropping-particle":"","family":"Fatehi","given":"Shima","non-dropping-particle":"","parse-names":false,"suffix":""}],"container-title":"Iranian Red Crescent Medical Journal","id":"ITEM-1","issue":"9","issued":{"date-parts":[["2014","9","1"]]},"publisher":"Kowsar Medical Publishing Company","title":"The association of deep vein thrombosis with cancer treatment modality: Chemotherapy or surgery?","type":"article-journal","volume":"16"},"uris":["http://www.mendeley.com/documents/?uuid=ae10daf8-ebbd-3677-a3a8-37a3491efde5"]}],"mendeley":{"formattedCitation":"[12]","plainTextFormattedCitation":"[12]","previouslyFormattedCitation":"[12]"},"properties":{"noteIndex":0},"schema":"https://github.com/citation-style-language/schema/raw/master/csl-citation.json"}</w:instrText>
      </w:r>
      <w:r w:rsidR="00342C61" w:rsidRPr="00737943">
        <w:fldChar w:fldCharType="separate"/>
      </w:r>
      <w:r w:rsidR="00342C61" w:rsidRPr="00737943">
        <w:rPr>
          <w:noProof/>
        </w:rPr>
        <w:t>[12]</w:t>
      </w:r>
      <w:r w:rsidR="00342C61" w:rsidRPr="00737943">
        <w:fldChar w:fldCharType="end"/>
      </w:r>
    </w:p>
    <w:p w14:paraId="30112BC4" w14:textId="77777777" w:rsidR="00B0429E" w:rsidRPr="00267769" w:rsidRDefault="00B0429E" w:rsidP="00C346EB">
      <w:pPr>
        <w:ind w:left="709" w:firstLine="0"/>
        <w:contextualSpacing/>
        <w:divId w:val="266810958"/>
        <w:rPr>
          <w:b/>
          <w:color w:val="000000" w:themeColor="text1"/>
        </w:rPr>
      </w:pPr>
      <w:r w:rsidRPr="00267769">
        <w:rPr>
          <w:b/>
          <w:color w:val="000000" w:themeColor="text1"/>
        </w:rPr>
        <w:t>Уровень убедительности рекомендаций С (уровень достоверности доказательств 5).</w:t>
      </w:r>
    </w:p>
    <w:p w14:paraId="30112BC5" w14:textId="77777777" w:rsidR="00B46390" w:rsidRDefault="00B46390" w:rsidP="00B104EF">
      <w:pPr>
        <w:pStyle w:val="2"/>
        <w:divId w:val="266810958"/>
      </w:pPr>
      <w:bookmarkStart w:id="30" w:name="_Toc65108025"/>
      <w:r w:rsidRPr="00B46390">
        <w:t>2.5 Ин</w:t>
      </w:r>
      <w:r w:rsidR="00A70F44">
        <w:t>ые диагностические исследования</w:t>
      </w:r>
      <w:bookmarkEnd w:id="30"/>
    </w:p>
    <w:p w14:paraId="30112BC6" w14:textId="77777777" w:rsidR="00C346EB" w:rsidRDefault="00C346EB" w:rsidP="00D22A46">
      <w:pPr>
        <w:pStyle w:val="afe"/>
        <w:numPr>
          <w:ilvl w:val="0"/>
          <w:numId w:val="5"/>
        </w:numPr>
        <w:spacing w:before="120"/>
        <w:ind w:left="709" w:hanging="709"/>
      </w:pPr>
      <w:bookmarkStart w:id="31" w:name="__RefHeading___doc_3"/>
      <w:r>
        <w:t xml:space="preserve">Всем пациентам с подозрением на </w:t>
      </w:r>
      <w:r w:rsidR="00090D97">
        <w:t>ЛМЗ</w:t>
      </w:r>
      <w:r w:rsidR="0059411A">
        <w:t xml:space="preserve"> или</w:t>
      </w:r>
      <w:r>
        <w:t xml:space="preserve"> с подозрением на рецидив </w:t>
      </w:r>
      <w:r w:rsidR="00090D97">
        <w:t>ЛМЗ</w:t>
      </w:r>
      <w:r w:rsidR="00C31EFD">
        <w:t xml:space="preserve"> </w:t>
      </w:r>
      <w:r w:rsidRPr="0099679A">
        <w:rPr>
          <w:b/>
        </w:rPr>
        <w:t>рекомендуется</w:t>
      </w:r>
      <w:r>
        <w:t xml:space="preserve"> выполнить биопсию </w:t>
      </w:r>
      <w:r w:rsidR="00861F2F">
        <w:t xml:space="preserve">(взятие биопсийного материала) </w:t>
      </w:r>
      <w:r>
        <w:t>лимфатического узла либо другого очага поражения</w:t>
      </w:r>
      <w:r w:rsidR="00170E50">
        <w:t>,</w:t>
      </w:r>
      <w:r w:rsidR="00861F2F">
        <w:t xml:space="preserve"> </w:t>
      </w:r>
      <w:r w:rsidR="00170E50" w:rsidRPr="00F6558C">
        <w:rPr>
          <w:rFonts w:eastAsia="Times New Roman"/>
          <w:szCs w:val="24"/>
          <w:lang w:eastAsia="ru-RU"/>
        </w:rPr>
        <w:t>патолого-анатомическое исследование биопсийного (операционного) материала с применением иммуногистохимических методов</w:t>
      </w:r>
      <w:r>
        <w:t xml:space="preserve"> для верификации диагноза </w:t>
      </w:r>
      <w:r>
        <w:fldChar w:fldCharType="begin" w:fldLock="1"/>
      </w:r>
      <w:r w:rsidR="00342C61">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[4,13]","plainTextFormattedCitation":"[4,13]","previouslyFormattedCitation":"[4,13]"},"properties":{"noteIndex":0},"schema":"https://github.com/citation-style-language/schema/raw/master/csl-citation.json"}</w:instrText>
      </w:r>
      <w:r>
        <w:fldChar w:fldCharType="separate"/>
      </w:r>
      <w:r w:rsidR="00342C61" w:rsidRPr="00342C61">
        <w:rPr>
          <w:noProof/>
        </w:rPr>
        <w:t>[4,13]</w:t>
      </w:r>
      <w:r>
        <w:fldChar w:fldCharType="end"/>
      </w:r>
      <w:r>
        <w:t>.</w:t>
      </w:r>
    </w:p>
    <w:p w14:paraId="30112BC7" w14:textId="77777777" w:rsidR="00C346EB" w:rsidRDefault="00C346EB" w:rsidP="00C346EB">
      <w:pPr>
        <w:ind w:left="709" w:firstLine="0"/>
        <w:contextualSpacing/>
        <w:rPr>
          <w:b/>
        </w:rPr>
      </w:pPr>
      <w:r w:rsidRPr="00342C61">
        <w:rPr>
          <w:b/>
        </w:rPr>
        <w:t>Уровень убедительности рекомендаций С (уровень достоверности доказательств 5)</w:t>
      </w:r>
    </w:p>
    <w:p w14:paraId="30112BC8" w14:textId="77777777" w:rsidR="00B16826" w:rsidRPr="00B16826" w:rsidRDefault="00C346EB" w:rsidP="00861F2F">
      <w:pPr>
        <w:ind w:left="709" w:firstLine="0"/>
        <w:contextualSpacing/>
        <w:rPr>
          <w:i/>
        </w:rPr>
      </w:pPr>
      <w:r w:rsidRPr="0099679A">
        <w:rPr>
          <w:b/>
        </w:rPr>
        <w:t>Комментарии:</w:t>
      </w:r>
      <w:r>
        <w:rPr>
          <w:i/>
        </w:rPr>
        <w:t xml:space="preserve"> </w:t>
      </w:r>
      <w:r w:rsidR="00861F2F" w:rsidRPr="00B16826">
        <w:rPr>
          <w:i/>
        </w:rPr>
        <w:t xml:space="preserve">выбор </w:t>
      </w:r>
      <w:r w:rsidR="00B16826" w:rsidRPr="00B16826">
        <w:rPr>
          <w:i/>
        </w:rPr>
        <w:t>ткани и объем биопсии должны быть адекватны поставленной диагностической задаче.</w:t>
      </w:r>
    </w:p>
    <w:p w14:paraId="30112BC9" w14:textId="77777777" w:rsidR="00B16826" w:rsidRPr="00B16826" w:rsidRDefault="00B16826" w:rsidP="00B16826">
      <w:pPr>
        <w:ind w:left="709" w:firstLine="0"/>
        <w:contextualSpacing/>
        <w:rPr>
          <w:i/>
        </w:rPr>
      </w:pPr>
      <w:r w:rsidRPr="00B16826">
        <w:rPr>
          <w:i/>
        </w:rPr>
        <w:t>•</w:t>
      </w:r>
      <w:r w:rsidRPr="00B16826">
        <w:rPr>
          <w:i/>
        </w:rPr>
        <w:tab/>
        <w:t xml:space="preserve">Тонкоигольные биопсии лимфоидной ткани могут быть диагностически значимыми, но не всегда </w:t>
      </w:r>
    </w:p>
    <w:p w14:paraId="30112BCA" w14:textId="77777777" w:rsidR="00B16826" w:rsidRPr="00B16826" w:rsidRDefault="00B16826" w:rsidP="00B16826">
      <w:pPr>
        <w:ind w:left="709" w:firstLine="0"/>
        <w:contextualSpacing/>
        <w:rPr>
          <w:i/>
        </w:rPr>
      </w:pPr>
      <w:r w:rsidRPr="00B16826">
        <w:rPr>
          <w:i/>
        </w:rPr>
        <w:lastRenderedPageBreak/>
        <w:t>•</w:t>
      </w:r>
      <w:r w:rsidRPr="00B16826">
        <w:rPr>
          <w:i/>
        </w:rPr>
        <w:tab/>
        <w:t>Краевые биопсии лимфоидной ткани мало информативны.</w:t>
      </w:r>
    </w:p>
    <w:p w14:paraId="30112BCB" w14:textId="77777777" w:rsidR="00B16826" w:rsidRPr="00B16826" w:rsidRDefault="00B16826" w:rsidP="00B16826">
      <w:pPr>
        <w:ind w:left="709" w:firstLine="0"/>
        <w:contextualSpacing/>
        <w:rPr>
          <w:i/>
        </w:rPr>
      </w:pPr>
      <w:r w:rsidRPr="00B16826">
        <w:rPr>
          <w:i/>
        </w:rPr>
        <w:t>•</w:t>
      </w:r>
      <w:r w:rsidRPr="00B16826">
        <w:rPr>
          <w:i/>
        </w:rPr>
        <w:tab/>
        <w:t>Фрагментация материала крайне затрудняет его оценку.</w:t>
      </w:r>
    </w:p>
    <w:p w14:paraId="30112BCC" w14:textId="77777777" w:rsidR="00B16826" w:rsidRPr="00B16826" w:rsidRDefault="00B16826" w:rsidP="00B16826">
      <w:pPr>
        <w:ind w:left="709" w:firstLine="0"/>
        <w:contextualSpacing/>
        <w:rPr>
          <w:i/>
        </w:rPr>
      </w:pPr>
      <w:r w:rsidRPr="00B16826">
        <w:rPr>
          <w:i/>
        </w:rPr>
        <w:t>•</w:t>
      </w:r>
      <w:r w:rsidRPr="00B16826">
        <w:rPr>
          <w:i/>
        </w:rPr>
        <w:tab/>
        <w:t xml:space="preserve">Материал для гистологического исследования должен быть помещён в фиксирующую среду как можно быстрее. Нельзя допускать высыхания материала. </w:t>
      </w:r>
    </w:p>
    <w:p w14:paraId="30112BCD" w14:textId="77777777" w:rsidR="00B16826" w:rsidRPr="00B16826" w:rsidRDefault="00B16826" w:rsidP="00B16826">
      <w:pPr>
        <w:ind w:left="709" w:firstLine="0"/>
        <w:contextualSpacing/>
        <w:rPr>
          <w:i/>
        </w:rPr>
      </w:pPr>
      <w:r w:rsidRPr="00B16826">
        <w:rPr>
          <w:i/>
        </w:rPr>
        <w:t>•</w:t>
      </w:r>
      <w:r w:rsidRPr="00B16826">
        <w:rPr>
          <w:i/>
        </w:rPr>
        <w:tab/>
        <w:t>Соотношение объёма фиксирующей среды к объёму фиксируемого объекта не менее чем 10:1</w:t>
      </w:r>
    </w:p>
    <w:p w14:paraId="30112BCE" w14:textId="77777777" w:rsidR="00B16826" w:rsidRPr="00B16826" w:rsidRDefault="00B16826" w:rsidP="00B16826">
      <w:pPr>
        <w:ind w:left="709" w:firstLine="0"/>
        <w:contextualSpacing/>
        <w:rPr>
          <w:i/>
        </w:rPr>
      </w:pPr>
      <w:r w:rsidRPr="00B16826">
        <w:rPr>
          <w:i/>
        </w:rPr>
        <w:t>•</w:t>
      </w:r>
      <w:r w:rsidRPr="00B16826">
        <w:rPr>
          <w:i/>
        </w:rPr>
        <w:tab/>
        <w:t>Время фиксации не должно быть менее 12 и более 48 часов.</w:t>
      </w:r>
    </w:p>
    <w:p w14:paraId="30112BCF" w14:textId="77777777" w:rsidR="00B16826" w:rsidRPr="00B16826" w:rsidRDefault="00B16826" w:rsidP="00B16826">
      <w:pPr>
        <w:ind w:left="709" w:firstLine="0"/>
        <w:contextualSpacing/>
        <w:rPr>
          <w:i/>
        </w:rPr>
      </w:pPr>
      <w:r w:rsidRPr="00B16826">
        <w:rPr>
          <w:i/>
        </w:rPr>
        <w:t>Неадекватная (слабая или чрезмерная) фиксация приводит к изменению морфологических свойств ткани и артефициальным результатам ИГХ.</w:t>
      </w:r>
    </w:p>
    <w:p w14:paraId="30112BD0" w14:textId="77777777" w:rsidR="00B16826" w:rsidRDefault="00B16826" w:rsidP="00B16826">
      <w:pPr>
        <w:ind w:left="709" w:firstLine="0"/>
        <w:contextualSpacing/>
        <w:rPr>
          <w:i/>
        </w:rPr>
      </w:pPr>
      <w:r w:rsidRPr="00B16826">
        <w:rPr>
          <w:i/>
        </w:rPr>
        <w:t>Гистологический материал должен сопровождаться направлением, содержащим информацию о пациенте, длительности и характере заболевания, локализации очага поражения, описании биопсии</w:t>
      </w:r>
      <w:r>
        <w:rPr>
          <w:i/>
        </w:rPr>
        <w:t xml:space="preserve"> </w:t>
      </w:r>
      <w:r>
        <w:rPr>
          <w:i/>
        </w:rPr>
        <w:fldChar w:fldCharType="begin" w:fldLock="1"/>
      </w:r>
      <w:r w:rsidR="00342C61">
        <w:rPr>
          <w:i/>
        </w:rPr>
        <w:instrText>ADDIN CSL_CITATION {"citationItems":[{"id":"ITEM-1","itemData":{"author":[{"dropping-particle":"","family":"Криволапов","given":"Ю.А.","non-dropping-particle":"","parse-names":false,"suffix":""},{"dropping-particle":"","family":"Леенман","given":"Е.Е.","non-dropping-particle":"","parse-names":false,"suffix":""}],"id":"ITEM-1","issued":{"date-parts":[["2006"]]},"publisher":"КОСТА, Санкт-Петербург","title":"Морфологическая диагностика лимфом","type":"book"},"uris":["http://www.mendeley.com/documents/?uuid=e5e5daac-5f8a-4f1d-9717-13c0235ef6a9"]}],"mendeley":{"formattedCitation":"[14]","plainTextFormattedCitation":"[14]","previouslyFormattedCitation":"[14]"},"properties":{"noteIndex":0},"schema":"https://github.com/citation-style-language/schema/raw/master/csl-citation.json"}</w:instrText>
      </w:r>
      <w:r>
        <w:rPr>
          <w:i/>
        </w:rPr>
        <w:fldChar w:fldCharType="separate"/>
      </w:r>
      <w:r w:rsidR="00342C61" w:rsidRPr="00342C61">
        <w:rPr>
          <w:noProof/>
        </w:rPr>
        <w:t>[14]</w:t>
      </w:r>
      <w:r>
        <w:rPr>
          <w:i/>
        </w:rPr>
        <w:fldChar w:fldCharType="end"/>
      </w:r>
      <w:r w:rsidRPr="00B16826">
        <w:rPr>
          <w:i/>
        </w:rPr>
        <w:t>.</w:t>
      </w:r>
    </w:p>
    <w:p w14:paraId="30112BD1" w14:textId="77777777" w:rsidR="00861F2F" w:rsidRDefault="00861F2F" w:rsidP="00AF7684">
      <w:pPr>
        <w:ind w:left="709" w:firstLine="0"/>
        <w:contextualSpacing/>
        <w:rPr>
          <w:i/>
        </w:rPr>
      </w:pPr>
      <w:r>
        <w:rPr>
          <w:i/>
        </w:rPr>
        <w:t xml:space="preserve">Гистологические и иммуногистохимические характеристики </w:t>
      </w:r>
      <w:r w:rsidR="00090D97">
        <w:rPr>
          <w:i/>
        </w:rPr>
        <w:t>ЛМЗ</w:t>
      </w:r>
      <w:r>
        <w:rPr>
          <w:i/>
        </w:rPr>
        <w:t xml:space="preserve">, а также </w:t>
      </w:r>
      <w:r w:rsidRPr="005E12CF">
        <w:rPr>
          <w:i/>
        </w:rPr>
        <w:t xml:space="preserve">обязательные требования к </w:t>
      </w:r>
      <w:r w:rsidR="00AF7684" w:rsidRPr="005E12CF">
        <w:rPr>
          <w:i/>
        </w:rPr>
        <w:t>патолого-анатомическому заключению</w:t>
      </w:r>
      <w:r w:rsidRPr="005E12CF">
        <w:rPr>
          <w:i/>
        </w:rPr>
        <w:t xml:space="preserve"> представлены в разделе 7.1 данных рекомендаций.</w:t>
      </w:r>
      <w:r w:rsidR="00AF7684" w:rsidRPr="005E12CF">
        <w:rPr>
          <w:i/>
        </w:rPr>
        <w:t xml:space="preserve"> </w:t>
      </w:r>
      <w:r w:rsidR="0064071E" w:rsidRPr="005E12CF">
        <w:rPr>
          <w:i/>
        </w:rPr>
        <w:t>Описание</w:t>
      </w:r>
      <w:r w:rsidR="00E568B9" w:rsidRPr="00463D76">
        <w:rPr>
          <w:i/>
        </w:rPr>
        <w:t xml:space="preserve"> </w:t>
      </w:r>
      <w:r w:rsidR="00E568B9">
        <w:rPr>
          <w:i/>
        </w:rPr>
        <w:t>патолого-анатомической</w:t>
      </w:r>
      <w:r w:rsidR="0064071E" w:rsidRPr="005E12CF">
        <w:rPr>
          <w:i/>
        </w:rPr>
        <w:t xml:space="preserve"> и иммуногистохимической картины </w:t>
      </w:r>
      <w:r w:rsidR="00090D97">
        <w:rPr>
          <w:i/>
        </w:rPr>
        <w:t>ЛМЗ</w:t>
      </w:r>
      <w:r w:rsidR="0064071E" w:rsidRPr="005E12CF">
        <w:rPr>
          <w:i/>
        </w:rPr>
        <w:t xml:space="preserve"> представлено в разделе 7.2 данны</w:t>
      </w:r>
      <w:r w:rsidR="0064071E" w:rsidRPr="0064071E">
        <w:rPr>
          <w:i/>
        </w:rPr>
        <w:t>х рекомендаций</w:t>
      </w:r>
      <w:r w:rsidR="00697DD3">
        <w:rPr>
          <w:i/>
        </w:rPr>
        <w:t>.</w:t>
      </w:r>
    </w:p>
    <w:p w14:paraId="30112BD2" w14:textId="77777777" w:rsidR="008A0973" w:rsidRPr="00342C61" w:rsidRDefault="008A0973" w:rsidP="00342C61">
      <w:pPr>
        <w:pStyle w:val="a"/>
      </w:pPr>
      <w:r>
        <w:t>Всем пациентам с верифицированным ЛМЗ</w:t>
      </w:r>
      <w:r w:rsidRPr="008A0973">
        <w:t xml:space="preserve"> </w:t>
      </w:r>
      <w:r>
        <w:t xml:space="preserve">желудка при наличии возможности </w:t>
      </w:r>
      <w:r w:rsidRPr="0099679A">
        <w:rPr>
          <w:b/>
        </w:rPr>
        <w:t>рекомендуется</w:t>
      </w:r>
      <w:r>
        <w:t xml:space="preserve"> выполнить </w:t>
      </w:r>
      <w:r w:rsidRPr="00F6558C">
        <w:rPr>
          <w:rFonts w:eastAsia="Times New Roman"/>
          <w:lang w:eastAsia="ru-RU"/>
        </w:rPr>
        <w:t xml:space="preserve">патолого-анатомическое исследование биопсийного (операционного) материала </w:t>
      </w:r>
      <w:r>
        <w:t xml:space="preserve">с применением метода </w:t>
      </w:r>
      <w:r w:rsidRPr="00342C61">
        <w:t xml:space="preserve">флуоресцентной гибридизации in situ (FISH) для исключения </w:t>
      </w:r>
      <w:r w:rsidRPr="00342C61">
        <w:rPr>
          <w:lang w:val="en-US"/>
        </w:rPr>
        <w:t>t</w:t>
      </w:r>
      <w:r w:rsidRPr="00342C61">
        <w:t xml:space="preserve">(11;18) </w:t>
      </w:r>
      <w:r w:rsidRPr="00342C61">
        <w:fldChar w:fldCharType="begin" w:fldLock="1"/>
      </w:r>
      <w:r w:rsidR="00342C61" w:rsidRPr="00342C6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Oncology","id":"ITEM-2","issue":"1","issued":{"date-parts":[["2020","1","1"]]},"page":"17-29","publisher":"Elsevier Ltd","title":"Marginal zone lymphomas: ESMO Clinical Practice Guidelines for diagnosis, treatment and follow-up","type":"article-journal","volume":"31"},"uris":["http://www.mendeley.com/documents/?uuid=fbdf0c05-49c8-3abf-834c-701e85508549"]},{"id":"ITEM-3","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-3","issued":{"date-parts":[["0"]]},"title":"B-cell lymphomas. NCCN Clinical Practice Guidelines in Oncology. Version 5.2019","type":"article"},"uris":["http://www.mendeley.com/documents/?uuid=4e117fbe-c678-350d-9b0c-f8bba5d6f848"]}],"mendeley":{"formattedCitation":"[3,5,9]","plainTextFormattedCitation":"[3,5,9]","previouslyFormattedCitation":"[3,5,9]"},"properties":{"noteIndex":0},"schema":"https://github.com/citation-style-language/schema/raw/master/csl-citation.json"}</w:instrText>
      </w:r>
      <w:r w:rsidRPr="00342C61">
        <w:fldChar w:fldCharType="separate"/>
      </w:r>
      <w:r w:rsidR="00342C61" w:rsidRPr="00342C61">
        <w:rPr>
          <w:noProof/>
        </w:rPr>
        <w:t>[3,5,9]</w:t>
      </w:r>
      <w:r w:rsidRPr="00342C61">
        <w:fldChar w:fldCharType="end"/>
      </w:r>
      <w:r w:rsidRPr="00342C61">
        <w:t>.</w:t>
      </w:r>
    </w:p>
    <w:p w14:paraId="30112BD3" w14:textId="77777777" w:rsidR="008A0973" w:rsidRPr="00342C61" w:rsidRDefault="008A0973" w:rsidP="008A0973">
      <w:pPr>
        <w:ind w:left="709" w:firstLine="0"/>
        <w:contextualSpacing/>
        <w:rPr>
          <w:b/>
        </w:rPr>
      </w:pPr>
      <w:r w:rsidRPr="00342C61">
        <w:rPr>
          <w:b/>
        </w:rPr>
        <w:t>Уровень убедительности рекомендаций С (уровень достоверности доказательств 5)</w:t>
      </w:r>
    </w:p>
    <w:p w14:paraId="30112BD4" w14:textId="77777777" w:rsidR="008A0973" w:rsidRDefault="008A0973" w:rsidP="007946A5">
      <w:pPr>
        <w:ind w:left="720" w:firstLine="0"/>
        <w:rPr>
          <w:rFonts w:eastAsia="Times New Roman"/>
          <w:color w:val="000000" w:themeColor="text1"/>
          <w:szCs w:val="24"/>
          <w:lang w:eastAsia="ru-RU"/>
        </w:rPr>
      </w:pPr>
      <w:r w:rsidRPr="00342C61">
        <w:rPr>
          <w:b/>
        </w:rPr>
        <w:t>Комментарии:</w:t>
      </w:r>
      <w:r w:rsidRPr="00342C61">
        <w:rPr>
          <w:i/>
        </w:rPr>
        <w:t xml:space="preserve"> </w:t>
      </w:r>
      <w:r w:rsidRPr="00F6217A">
        <w:rPr>
          <w:i/>
        </w:rPr>
        <w:t>t(11;18) является неблагоприятным фактором прогноза</w:t>
      </w:r>
      <w:r w:rsidRPr="008A0973">
        <w:rPr>
          <w:i/>
        </w:rPr>
        <w:t xml:space="preserve"> ответа на антибактериальную терапию и требует выбора иного метода лечения</w:t>
      </w:r>
    </w:p>
    <w:p w14:paraId="30112BD5" w14:textId="77777777" w:rsidR="00CE3AE3" w:rsidRDefault="006E6304" w:rsidP="00F4012B">
      <w:pPr>
        <w:pStyle w:val="a"/>
        <w:rPr>
          <w:lang w:eastAsia="ru-RU"/>
        </w:rPr>
      </w:pPr>
      <w:r>
        <w:rPr>
          <w:lang w:eastAsia="ru-RU"/>
        </w:rPr>
        <w:t xml:space="preserve">Всем </w:t>
      </w:r>
      <w:r w:rsidRPr="006E6304">
        <w:rPr>
          <w:lang w:eastAsia="ru-RU"/>
        </w:rPr>
        <w:t xml:space="preserve">пациентам при подозрении или наличии подтвержденного диагноза </w:t>
      </w:r>
      <w:r w:rsidR="00090D97">
        <w:rPr>
          <w:lang w:eastAsia="ru-RU"/>
        </w:rPr>
        <w:t>ЛМЗ</w:t>
      </w:r>
      <w:r w:rsidRPr="006E6304">
        <w:rPr>
          <w:lang w:eastAsia="ru-RU"/>
        </w:rPr>
        <w:t xml:space="preserve"> первично (</w:t>
      </w:r>
      <w:r>
        <w:rPr>
          <w:lang w:eastAsia="ru-RU"/>
        </w:rPr>
        <w:t xml:space="preserve">для </w:t>
      </w:r>
      <w:r w:rsidR="00CE3AE3">
        <w:rPr>
          <w:lang w:eastAsia="ru-RU"/>
        </w:rPr>
        <w:t>стадирования заболевания)</w:t>
      </w:r>
      <w:r w:rsidRPr="006E6304">
        <w:rPr>
          <w:lang w:eastAsia="ru-RU"/>
        </w:rPr>
        <w:t>, после завершения терапии</w:t>
      </w:r>
      <w:r w:rsidR="00CE3AE3" w:rsidRPr="00CE3AE3">
        <w:rPr>
          <w:lang w:eastAsia="ru-RU"/>
        </w:rPr>
        <w:t xml:space="preserve"> </w:t>
      </w:r>
      <w:r w:rsidR="00CE3AE3">
        <w:rPr>
          <w:lang w:eastAsia="ru-RU"/>
        </w:rPr>
        <w:t>(для</w:t>
      </w:r>
      <w:r w:rsidR="00CE3AE3" w:rsidRPr="006E6304">
        <w:rPr>
          <w:lang w:eastAsia="ru-RU"/>
        </w:rPr>
        <w:t xml:space="preserve"> оценк</w:t>
      </w:r>
      <w:r w:rsidR="00CE3AE3">
        <w:rPr>
          <w:lang w:eastAsia="ru-RU"/>
        </w:rPr>
        <w:t>и</w:t>
      </w:r>
      <w:r w:rsidR="00CE3AE3" w:rsidRPr="006E6304">
        <w:rPr>
          <w:lang w:eastAsia="ru-RU"/>
        </w:rPr>
        <w:t xml:space="preserve"> противоопухолевого ответа</w:t>
      </w:r>
      <w:r w:rsidR="00CE3AE3">
        <w:rPr>
          <w:lang w:eastAsia="ru-RU"/>
        </w:rPr>
        <w:t>)</w:t>
      </w:r>
      <w:r w:rsidRPr="006E6304">
        <w:rPr>
          <w:lang w:eastAsia="ru-RU"/>
        </w:rPr>
        <w:t>, при подозрении на рецидив заболевания</w:t>
      </w:r>
      <w:r w:rsidR="00B264A8" w:rsidRPr="006C0C64">
        <w:rPr>
          <w:lang w:eastAsia="ru-RU"/>
        </w:rPr>
        <w:t xml:space="preserve"> </w:t>
      </w:r>
      <w:r w:rsidR="00B264A8" w:rsidRPr="006C0C64">
        <w:rPr>
          <w:b/>
          <w:bCs/>
          <w:lang w:eastAsia="ru-RU"/>
        </w:rPr>
        <w:t>рекомендуется</w:t>
      </w:r>
      <w:r w:rsidR="00EF5C06" w:rsidRPr="00EF5C06">
        <w:rPr>
          <w:b/>
          <w:bCs/>
          <w:lang w:eastAsia="ru-RU"/>
        </w:rPr>
        <w:t xml:space="preserve"> </w:t>
      </w:r>
      <w:r w:rsidR="00EF5C06">
        <w:rPr>
          <w:b/>
          <w:bCs/>
          <w:lang w:eastAsia="ru-RU"/>
        </w:rPr>
        <w:fldChar w:fldCharType="begin" w:fldLock="1"/>
      </w:r>
      <w:r w:rsidR="00090D97">
        <w:rPr>
          <w:b/>
          <w:bCs/>
          <w:lang w:eastAsia="ru-RU"/>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EF5C06">
        <w:rPr>
          <w:b/>
          <w:bCs/>
          <w:lang w:eastAsia="ru-RU"/>
        </w:rPr>
        <w:fldChar w:fldCharType="separate"/>
      </w:r>
      <w:r w:rsidR="00090D97" w:rsidRPr="00090D97">
        <w:rPr>
          <w:bCs/>
          <w:noProof/>
          <w:lang w:eastAsia="ru-RU"/>
        </w:rPr>
        <w:t>[4]</w:t>
      </w:r>
      <w:r w:rsidR="00EF5C06">
        <w:rPr>
          <w:b/>
          <w:bCs/>
          <w:lang w:eastAsia="ru-RU"/>
        </w:rPr>
        <w:fldChar w:fldCharType="end"/>
      </w:r>
      <w:r w:rsidR="00CE3AE3">
        <w:rPr>
          <w:b/>
          <w:bCs/>
          <w:lang w:eastAsia="ru-RU"/>
        </w:rPr>
        <w:t>:</w:t>
      </w:r>
      <w:r w:rsidR="00B264A8" w:rsidRPr="006C0C64">
        <w:rPr>
          <w:lang w:eastAsia="ru-RU"/>
        </w:rPr>
        <w:t xml:space="preserve"> </w:t>
      </w:r>
    </w:p>
    <w:p w14:paraId="30112BD6" w14:textId="77777777" w:rsidR="00CE3AE3" w:rsidRPr="00EF5C06" w:rsidRDefault="00AF52E2" w:rsidP="00D22A46">
      <w:pPr>
        <w:numPr>
          <w:ilvl w:val="1"/>
          <w:numId w:val="9"/>
        </w:numPr>
        <w:rPr>
          <w:rFonts w:eastAsia="Times New Roman"/>
          <w:color w:val="000000" w:themeColor="text1"/>
          <w:szCs w:val="24"/>
          <w:lang w:eastAsia="ru-RU"/>
        </w:rPr>
      </w:pPr>
      <w:r w:rsidRPr="00EF5C06">
        <w:t>получение цитологического препарата костного мозга путем пункции</w:t>
      </w:r>
      <w:r w:rsidR="00CE3AE3" w:rsidRPr="00EF5C06">
        <w:rPr>
          <w:rFonts w:eastAsia="Times New Roman"/>
          <w:color w:val="000000" w:themeColor="text1"/>
          <w:szCs w:val="24"/>
          <w:lang w:eastAsia="ru-RU"/>
        </w:rPr>
        <w:t>, цитологическое исследование мазка костного мозга (миелограмма), а</w:t>
      </w:r>
      <w:r w:rsidRPr="00EF5C06">
        <w:rPr>
          <w:rFonts w:eastAsia="Times New Roman"/>
          <w:color w:val="000000" w:themeColor="text1"/>
          <w:szCs w:val="24"/>
          <w:lang w:eastAsia="ru-RU"/>
        </w:rPr>
        <w:t xml:space="preserve"> </w:t>
      </w:r>
      <w:r w:rsidR="00CE3AE3" w:rsidRPr="00EF5C06">
        <w:rPr>
          <w:rFonts w:eastAsia="Times New Roman"/>
          <w:color w:val="000000" w:themeColor="text1"/>
          <w:szCs w:val="24"/>
          <w:lang w:eastAsia="ru-RU"/>
        </w:rPr>
        <w:lastRenderedPageBreak/>
        <w:t xml:space="preserve">при повышении количества лимфоидных клеток, наличия атипичных лимфоцитов или клеток с бластной морфологией </w:t>
      </w:r>
      <w:r w:rsidRPr="00EF5C06">
        <w:rPr>
          <w:rFonts w:eastAsia="Times New Roman"/>
          <w:color w:val="000000" w:themeColor="text1"/>
          <w:szCs w:val="24"/>
          <w:lang w:eastAsia="ru-RU"/>
        </w:rPr>
        <w:t>в костном мозге –</w:t>
      </w:r>
      <w:r w:rsidR="00CE3AE3" w:rsidRPr="00EF5C06">
        <w:rPr>
          <w:rFonts w:eastAsia="Times New Roman"/>
          <w:color w:val="000000" w:themeColor="text1"/>
          <w:szCs w:val="24"/>
          <w:lang w:eastAsia="ru-RU"/>
        </w:rPr>
        <w:t xml:space="preserve"> </w:t>
      </w:r>
      <w:r w:rsidRPr="00EF5C06">
        <w:rPr>
          <w:rFonts w:eastAsia="Times New Roman"/>
          <w:color w:val="000000" w:themeColor="text1"/>
          <w:szCs w:val="24"/>
          <w:lang w:eastAsia="ru-RU"/>
        </w:rPr>
        <w:t>исследование биологического материала (аспирата костного мозга) методом проточной цито</w:t>
      </w:r>
      <w:r w:rsidR="0081411B">
        <w:rPr>
          <w:rFonts w:eastAsia="Times New Roman"/>
          <w:color w:val="000000" w:themeColor="text1"/>
          <w:szCs w:val="24"/>
          <w:lang w:eastAsia="ru-RU"/>
        </w:rPr>
        <w:t>фл</w:t>
      </w:r>
      <w:r w:rsidRPr="00EF5C06">
        <w:rPr>
          <w:rFonts w:eastAsia="Times New Roman"/>
          <w:color w:val="000000" w:themeColor="text1"/>
          <w:szCs w:val="24"/>
          <w:lang w:eastAsia="ru-RU"/>
        </w:rPr>
        <w:t>уориметрии</w:t>
      </w:r>
      <w:r w:rsidR="007946A5">
        <w:rPr>
          <w:rFonts w:eastAsia="Times New Roman"/>
          <w:color w:val="000000" w:themeColor="text1"/>
          <w:szCs w:val="24"/>
          <w:lang w:eastAsia="ru-RU"/>
        </w:rPr>
        <w:t>;</w:t>
      </w:r>
    </w:p>
    <w:p w14:paraId="30112BD7" w14:textId="77777777" w:rsidR="00B264A8" w:rsidRPr="00342C61" w:rsidRDefault="00F6558C" w:rsidP="00D22A46">
      <w:pPr>
        <w:numPr>
          <w:ilvl w:val="1"/>
          <w:numId w:val="9"/>
        </w:numPr>
        <w:rPr>
          <w:rFonts w:eastAsia="Times New Roman"/>
          <w:color w:val="000000" w:themeColor="text1"/>
          <w:szCs w:val="24"/>
          <w:lang w:eastAsia="ru-RU"/>
        </w:rPr>
      </w:pPr>
      <w:r w:rsidRPr="00EF5C06">
        <w:rPr>
          <w:rFonts w:eastAsia="Times New Roman"/>
          <w:color w:val="000000" w:themeColor="text1"/>
          <w:szCs w:val="24"/>
          <w:lang w:eastAsia="ru-RU"/>
        </w:rPr>
        <w:t xml:space="preserve">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w:t>
      </w:r>
      <w:r w:rsidRPr="00342C61">
        <w:rPr>
          <w:rFonts w:eastAsia="Times New Roman"/>
          <w:color w:val="000000" w:themeColor="text1"/>
          <w:szCs w:val="24"/>
          <w:lang w:eastAsia="ru-RU"/>
        </w:rPr>
        <w:t>иммуногистохимических методов</w:t>
      </w:r>
      <w:r w:rsidR="00861F2F" w:rsidRPr="00342C61">
        <w:rPr>
          <w:rFonts w:eastAsia="Times New Roman"/>
          <w:color w:val="000000" w:themeColor="text1"/>
          <w:szCs w:val="24"/>
          <w:lang w:eastAsia="ru-RU"/>
        </w:rPr>
        <w:t>.</w:t>
      </w:r>
    </w:p>
    <w:p w14:paraId="30112BD8" w14:textId="77777777" w:rsidR="00B264A8" w:rsidRPr="00342C61" w:rsidRDefault="00B264A8" w:rsidP="00B264A8">
      <w:pPr>
        <w:ind w:left="709" w:firstLine="0"/>
        <w:contextualSpacing/>
        <w:rPr>
          <w:b/>
          <w:color w:val="000000" w:themeColor="text1"/>
        </w:rPr>
      </w:pPr>
      <w:r w:rsidRPr="00342C61">
        <w:rPr>
          <w:b/>
          <w:color w:val="000000" w:themeColor="text1"/>
        </w:rPr>
        <w:t xml:space="preserve">Уровень убедительности рекомендаций </w:t>
      </w:r>
      <w:r w:rsidR="00392E36" w:rsidRPr="00342C61">
        <w:rPr>
          <w:b/>
          <w:color w:val="000000" w:themeColor="text1"/>
        </w:rPr>
        <w:t>С</w:t>
      </w:r>
      <w:r w:rsidRPr="00342C61">
        <w:rPr>
          <w:b/>
          <w:color w:val="000000" w:themeColor="text1"/>
        </w:rPr>
        <w:t xml:space="preserve"> (уровень достоверности доказательств </w:t>
      </w:r>
      <w:r w:rsidR="00392E36" w:rsidRPr="00342C61">
        <w:rPr>
          <w:b/>
          <w:color w:val="000000" w:themeColor="text1"/>
        </w:rPr>
        <w:t>5</w:t>
      </w:r>
      <w:r w:rsidRPr="00342C61">
        <w:rPr>
          <w:b/>
          <w:color w:val="000000" w:themeColor="text1"/>
        </w:rPr>
        <w:t>).</w:t>
      </w:r>
    </w:p>
    <w:p w14:paraId="30112BD9" w14:textId="77777777" w:rsidR="00AF52E2" w:rsidRPr="007C192F" w:rsidRDefault="00B264A8" w:rsidP="00A26422">
      <w:pPr>
        <w:ind w:left="720" w:firstLine="0"/>
        <w:rPr>
          <w:i/>
        </w:rPr>
      </w:pPr>
      <w:r w:rsidRPr="00F6217A">
        <w:rPr>
          <w:b/>
          <w:color w:val="000000" w:themeColor="text1"/>
        </w:rPr>
        <w:t>Комментарии:</w:t>
      </w:r>
      <w:r w:rsidRPr="00F6217A">
        <w:rPr>
          <w:color w:val="000000" w:themeColor="text1"/>
        </w:rPr>
        <w:t xml:space="preserve"> </w:t>
      </w:r>
      <w:r w:rsidR="00AF52E2" w:rsidRPr="00F6217A">
        <w:rPr>
          <w:i/>
        </w:rPr>
        <w:t>исследование костного мозга (аспират и трепанат) также рекомендуется при появлении клинически немотивированных цитопении и лихорадки (вне зависимости от наличия исходного поражения).</w:t>
      </w:r>
    </w:p>
    <w:p w14:paraId="30112BDA" w14:textId="77777777" w:rsidR="00C31EFD" w:rsidRPr="00342C61" w:rsidRDefault="00C31EFD" w:rsidP="00D22A46">
      <w:pPr>
        <w:pStyle w:val="afe"/>
        <w:numPr>
          <w:ilvl w:val="0"/>
          <w:numId w:val="6"/>
        </w:numPr>
        <w:spacing w:before="120" w:after="120"/>
        <w:ind w:left="709" w:hanging="709"/>
      </w:pPr>
      <w:r w:rsidRPr="007C192F">
        <w:t xml:space="preserve">Всем пациентам при установлении диагноза ЛМЗ желудка </w:t>
      </w:r>
      <w:r w:rsidRPr="007C192F">
        <w:rPr>
          <w:b/>
          <w:color w:val="000000" w:themeColor="text1"/>
        </w:rPr>
        <w:t>рекомендуется</w:t>
      </w:r>
      <w:r w:rsidRPr="007C192F">
        <w:rPr>
          <w:color w:val="000000" w:themeColor="text1"/>
        </w:rPr>
        <w:t xml:space="preserve"> выполнить </w:t>
      </w:r>
      <w:r w:rsidRPr="007C192F">
        <w:t xml:space="preserve">микробиологическое (культуральное) исследование биоптата стенки желудка на хеликобактер пилори (Helicobacter pylori) с определением чувствительности к антибактериальным препаратам </w:t>
      </w:r>
      <w:r w:rsidRPr="00342C61">
        <w:rPr>
          <w:szCs w:val="24"/>
        </w:rPr>
        <w:fldChar w:fldCharType="begin" w:fldLock="1"/>
      </w:r>
      <w:r w:rsidR="00342C61">
        <w:rPr>
          <w:szCs w:val="24"/>
        </w:rPr>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Маев","given":"И.В.","non-dropping-particle":"","parse-names":false,"suffix":""},{"dropping-particle":"","family":"Самсонов","given":"А.А.","non-dropping-particle":"","parse-names":false,"suffix":""},{"dropping-particle":"","family":"Андреев","given":"Д.Н.","non-dropping-particle":"","parse-names":false,"suffix":""},{"dropping-particle":"","family":"Кочетов","given":"С.А.","non-dropping-particle":"","parse-names":false,"suffix":""}],"container-title":"Вестник практического врача","id":"ITEM-2","issued":{"date-parts":[["2012"]]},"title":"Эволюция представлений о диагностике и лечении инфекции Helicobacter pylori (по материалам консенсуса Маастрихт, Флоренция, 2010)","type":"article-journal","volume":"Спецвыпуск"},"uris":["http://www.mendeley.com/documents/?uuid=67c88da0-19e6-4595-9100-80bd36a488a0"]}],"mendeley":{"formattedCitation":"[3,15]","plainTextFormattedCitation":"[3,15]","previouslyFormattedCitation":"[3,15]"},"properties":{"noteIndex":0},"schema":"https://github.com/citation-style-language/schema/raw/master/csl-citation.json"}</w:instrText>
      </w:r>
      <w:r w:rsidRPr="00342C61">
        <w:rPr>
          <w:szCs w:val="24"/>
        </w:rPr>
        <w:fldChar w:fldCharType="separate"/>
      </w:r>
      <w:r w:rsidR="00342C61" w:rsidRPr="00342C61">
        <w:rPr>
          <w:noProof/>
          <w:szCs w:val="24"/>
        </w:rPr>
        <w:t>[3,15]</w:t>
      </w:r>
      <w:r w:rsidRPr="00342C61">
        <w:rPr>
          <w:szCs w:val="24"/>
        </w:rPr>
        <w:fldChar w:fldCharType="end"/>
      </w:r>
      <w:r w:rsidRPr="00342C61">
        <w:t>.</w:t>
      </w:r>
    </w:p>
    <w:p w14:paraId="30112BDB" w14:textId="77777777" w:rsidR="00C31EFD" w:rsidRPr="00342C61" w:rsidRDefault="00C31EFD" w:rsidP="00C31EFD">
      <w:pPr>
        <w:pStyle w:val="afe"/>
        <w:ind w:left="709" w:firstLine="0"/>
        <w:rPr>
          <w:color w:val="000000" w:themeColor="text1"/>
        </w:rPr>
      </w:pPr>
      <w:r w:rsidRPr="00342C61">
        <w:rPr>
          <w:b/>
        </w:rPr>
        <w:t>Уровень убедительности рекомендаций С (уровень достоверности доказательств 5)</w:t>
      </w:r>
    </w:p>
    <w:p w14:paraId="30112BDC" w14:textId="77777777" w:rsidR="00C31EFD" w:rsidRPr="00342C61" w:rsidRDefault="00C31EFD" w:rsidP="00342C61">
      <w:pPr>
        <w:pStyle w:val="a"/>
      </w:pPr>
      <w:r w:rsidRPr="00342C61">
        <w:t>Всем пациентам при установлении диагноза ЛМЗ желудка в случае</w:t>
      </w:r>
      <w:r>
        <w:t xml:space="preserve"> отрицательных результатов микробиологического (культурального) </w:t>
      </w:r>
      <w:r w:rsidRPr="00342C61">
        <w:t xml:space="preserve">исследования биоптата стенки желудка на хеликобактер пилори </w:t>
      </w:r>
      <w:r w:rsidR="007946A5" w:rsidRPr="00342C61">
        <w:t xml:space="preserve">(Helicobacter pylori) </w:t>
      </w:r>
      <w:r w:rsidRPr="00342C61">
        <w:rPr>
          <w:b/>
          <w:color w:val="000000" w:themeColor="text1"/>
        </w:rPr>
        <w:t>рекомендуется</w:t>
      </w:r>
      <w:r w:rsidRPr="00342C61">
        <w:rPr>
          <w:color w:val="000000" w:themeColor="text1"/>
        </w:rPr>
        <w:t xml:space="preserve"> выполнить определение антител к хеликобактер пилори (Helicobacter pylori) в крови, определение антигена хеликобактера пилори в фекалиях и </w:t>
      </w:r>
      <w:r w:rsidRPr="00342C61">
        <w:t>13С-уреазный дыхательный тест на Helicobacter Pylori</w:t>
      </w:r>
      <w:r w:rsidRPr="00342C61">
        <w:rPr>
          <w:color w:val="000000" w:themeColor="text1"/>
        </w:rPr>
        <w:t xml:space="preserve"> </w:t>
      </w:r>
      <w:r w:rsidRPr="00342C61">
        <w:fldChar w:fldCharType="begin" w:fldLock="1"/>
      </w:r>
      <w:r w:rsidR="00342C6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Маев","given":"И.В.","non-dropping-particle":"","parse-names":false,"suffix":""},{"dropping-particle":"","family":"Самсонов","given":"А.А.","non-dropping-particle":"","parse-names":false,"suffix":""},{"dropping-particle":"","family":"Андреев","given":"Д.Н.","non-dropping-particle":"","parse-names":false,"suffix":""},{"dropping-particle":"","family":"Кочетов","given":"С.А.","non-dropping-particle":"","parse-names":false,"suffix":""}],"container-title":"Вестник практического врача","id":"ITEM-2","issued":{"date-parts":[["2012"]]},"title":"Эволюция представлений о диагностике и лечении инфекции Helicobacter pylori (по материалам консенсуса Маастрихт, Флоренция, 2010)","type":"article-journal","volume":"Спецвыпуск"},"uris":["http://www.mendeley.com/documents/?uuid=67c88da0-19e6-4595-9100-80bd36a488a0"]}],"mendeley":{"formattedCitation":"[3,15]","plainTextFormattedCitation":"[3,15]","previouslyFormattedCitation":"[3,15]"},"properties":{"noteIndex":0},"schema":"https://github.com/citation-style-language/schema/raw/master/csl-citation.json"}</w:instrText>
      </w:r>
      <w:r w:rsidRPr="00342C61">
        <w:fldChar w:fldCharType="separate"/>
      </w:r>
      <w:r w:rsidR="00342C61" w:rsidRPr="00342C61">
        <w:rPr>
          <w:noProof/>
        </w:rPr>
        <w:t>[3,15]</w:t>
      </w:r>
      <w:r w:rsidRPr="00342C61">
        <w:fldChar w:fldCharType="end"/>
      </w:r>
      <w:r w:rsidRPr="00342C61">
        <w:t>.</w:t>
      </w:r>
    </w:p>
    <w:p w14:paraId="30112BDD" w14:textId="77777777" w:rsidR="00C31EFD" w:rsidRPr="00342C61" w:rsidRDefault="00C31EFD" w:rsidP="00C31EFD">
      <w:pPr>
        <w:pStyle w:val="afe"/>
        <w:ind w:left="709" w:firstLine="0"/>
        <w:rPr>
          <w:color w:val="000000" w:themeColor="text1"/>
        </w:rPr>
      </w:pPr>
      <w:r w:rsidRPr="00342C61">
        <w:rPr>
          <w:b/>
        </w:rPr>
        <w:t>Уровень убедительности рекомендаций С (уровень достоверности доказательств 5)</w:t>
      </w:r>
    </w:p>
    <w:p w14:paraId="30112BDE" w14:textId="77777777" w:rsidR="00C31EFD" w:rsidRPr="00342C61" w:rsidRDefault="00C31EFD" w:rsidP="00342C61">
      <w:pPr>
        <w:pStyle w:val="a"/>
        <w:rPr>
          <w:i/>
        </w:rPr>
      </w:pPr>
      <w:r w:rsidRPr="00342C61">
        <w:t>Всем пациентам с ЛМЗ кожи</w:t>
      </w:r>
      <w:r w:rsidR="0026691E" w:rsidRPr="00342C61">
        <w:t xml:space="preserve"> </w:t>
      </w:r>
      <w:r w:rsidRPr="00342C61">
        <w:rPr>
          <w:b/>
          <w:bCs/>
        </w:rPr>
        <w:t>рекомендуется</w:t>
      </w:r>
      <w:r w:rsidRPr="00342C61">
        <w:t xml:space="preserve"> </w:t>
      </w:r>
      <w:r w:rsidR="0026691E" w:rsidRPr="00342C61">
        <w:t xml:space="preserve">молекулярно-биологическое исследование крови и биоптата кожи на возбудителей иксодовых клещевых боррелиозов группы Borrelia burgdorferi sensu lato для выявления </w:t>
      </w:r>
      <w:r w:rsidRPr="00342C61">
        <w:t xml:space="preserve">ассоциированного с данным заболеванием инфекционного агента </w:t>
      </w:r>
      <w:r w:rsidRPr="00342C61">
        <w:fldChar w:fldCharType="begin" w:fldLock="1"/>
      </w:r>
      <w:r w:rsidR="00342C61" w:rsidRPr="00342C6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Пивника","id":"ITEM-2","issued":{"date-parts":[["2012"]]},"page":"176-187","title":"Неходжкинские лимфомы маргинальной зоны","type":"chapter"},"uris":["http://www.mendeley.com/documents/?uuid=55174691-e9d7-401f-a0a9-f116659e2535"]}],"mendeley":{"formattedCitation":"[3,10]","plainTextFormattedCitation":"[3,10]","previouslyFormattedCitation":"[3,10]"},"properties":{"noteIndex":0},"schema":"https://github.com/citation-style-language/schema/raw/master/csl-citation.json"}</w:instrText>
      </w:r>
      <w:r w:rsidRPr="00342C61">
        <w:fldChar w:fldCharType="separate"/>
      </w:r>
      <w:r w:rsidR="00342C61" w:rsidRPr="00342C61">
        <w:rPr>
          <w:noProof/>
        </w:rPr>
        <w:t>[3,10]</w:t>
      </w:r>
      <w:r w:rsidRPr="00342C61">
        <w:fldChar w:fldCharType="end"/>
      </w:r>
      <w:r w:rsidR="0026691E" w:rsidRPr="00342C61">
        <w:t>.</w:t>
      </w:r>
    </w:p>
    <w:p w14:paraId="30112BDF" w14:textId="77777777" w:rsidR="00C31EFD" w:rsidRPr="009F231E" w:rsidRDefault="00C31EFD" w:rsidP="00C31EFD">
      <w:pPr>
        <w:ind w:left="709" w:firstLine="0"/>
        <w:contextualSpacing/>
        <w:rPr>
          <w:b/>
        </w:rPr>
      </w:pPr>
      <w:r w:rsidRPr="00342C61">
        <w:rPr>
          <w:b/>
        </w:rPr>
        <w:t>Уровень убедительности рекомендаций С (уровень достоверности доказательств 5).</w:t>
      </w:r>
    </w:p>
    <w:p w14:paraId="30112BE0" w14:textId="77777777" w:rsidR="000578EF" w:rsidRPr="00215DAB" w:rsidRDefault="000578EF" w:rsidP="0026691E">
      <w:pPr>
        <w:pStyle w:val="a"/>
        <w:rPr>
          <w:lang w:eastAsia="ru-RU"/>
        </w:rPr>
      </w:pPr>
      <w:r>
        <w:lastRenderedPageBreak/>
        <w:t xml:space="preserve">Пациентам с </w:t>
      </w:r>
      <w:r w:rsidR="00BD2E10">
        <w:t xml:space="preserve">верифицированной </w:t>
      </w:r>
      <w:r w:rsidR="00090D97">
        <w:t>ЛМЗ</w:t>
      </w:r>
      <w:r w:rsidR="00BD2E10">
        <w:t xml:space="preserve"> при первичном обследовании и планировании терапии </w:t>
      </w:r>
      <w:r w:rsidRPr="000578EF">
        <w:rPr>
          <w:b/>
          <w:lang w:eastAsia="ru-RU"/>
        </w:rPr>
        <w:t>рекомендуется</w:t>
      </w:r>
      <w:r w:rsidRPr="00215DAB">
        <w:rPr>
          <w:lang w:eastAsia="ru-RU"/>
        </w:rPr>
        <w:t xml:space="preserve"> </w:t>
      </w:r>
      <w:r w:rsidRPr="00377FE8">
        <w:rPr>
          <w:lang w:eastAsia="ru-RU"/>
        </w:rPr>
        <w:t>в зависимости от сопутствующей патологии</w:t>
      </w:r>
      <w:r>
        <w:rPr>
          <w:lang w:eastAsia="ru-RU"/>
        </w:rPr>
        <w:t xml:space="preserve"> </w:t>
      </w:r>
      <w:r w:rsidR="009F231E">
        <w:rPr>
          <w:lang w:eastAsia="ru-RU"/>
        </w:rPr>
        <w:t>прием (</w:t>
      </w:r>
      <w:r>
        <w:rPr>
          <w:lang w:eastAsia="ru-RU"/>
        </w:rPr>
        <w:t>о</w:t>
      </w:r>
      <w:r>
        <w:t>смотр</w:t>
      </w:r>
      <w:r w:rsidR="009F231E">
        <w:t xml:space="preserve">, </w:t>
      </w:r>
      <w:r>
        <w:t>консультация)</w:t>
      </w:r>
      <w:r w:rsidRPr="00215DAB">
        <w:rPr>
          <w:lang w:eastAsia="ru-RU"/>
        </w:rPr>
        <w:t xml:space="preserve"> </w:t>
      </w:r>
      <w:r w:rsidRPr="00377FE8">
        <w:rPr>
          <w:lang w:eastAsia="ru-RU"/>
        </w:rPr>
        <w:t>врача-кардиолога, врача-эндокринолога, врача-невролога</w:t>
      </w:r>
      <w:r>
        <w:rPr>
          <w:lang w:eastAsia="ru-RU"/>
        </w:rPr>
        <w:t>,</w:t>
      </w:r>
      <w:r w:rsidRPr="00377FE8">
        <w:rPr>
          <w:lang w:eastAsia="ru-RU"/>
        </w:rPr>
        <w:t xml:space="preserve"> врача- инфекциониста и других врачей-специалистов</w:t>
      </w:r>
      <w:r>
        <w:rPr>
          <w:lang w:eastAsia="ru-RU"/>
        </w:rPr>
        <w:t xml:space="preserve"> для определения необходимости терапии сопутствующих заболеваний</w:t>
      </w:r>
      <w:r w:rsidRPr="00377FE8">
        <w:rPr>
          <w:lang w:eastAsia="ru-RU"/>
        </w:rPr>
        <w:t xml:space="preserve"> </w:t>
      </w:r>
      <w:r>
        <w:fldChar w:fldCharType="begin" w:fldLock="1"/>
      </w:r>
      <w:r w:rsidR="00090D97">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fldChar w:fldCharType="separate"/>
      </w:r>
      <w:r w:rsidR="00090D97" w:rsidRPr="00090D97">
        <w:rPr>
          <w:noProof/>
        </w:rPr>
        <w:t>[4]</w:t>
      </w:r>
      <w:r>
        <w:fldChar w:fldCharType="end"/>
      </w:r>
      <w:r w:rsidRPr="00377FE8">
        <w:rPr>
          <w:lang w:eastAsia="ru-RU"/>
        </w:rPr>
        <w:t>.</w:t>
      </w:r>
    </w:p>
    <w:p w14:paraId="30112BE1" w14:textId="77777777" w:rsidR="000578EF" w:rsidRDefault="000578EF" w:rsidP="00C452E1">
      <w:pPr>
        <w:pStyle w:val="affff0"/>
        <w:ind w:left="709" w:firstLine="0"/>
        <w:rPr>
          <w:b/>
        </w:rPr>
      </w:pPr>
      <w:r w:rsidRPr="00342C61">
        <w:rPr>
          <w:b/>
        </w:rPr>
        <w:t>Уровень убедительности рекомендаций С (уровень достоверности доказательств 5)</w:t>
      </w:r>
    </w:p>
    <w:p w14:paraId="30112BE2" w14:textId="77777777" w:rsidR="00F82D52" w:rsidRPr="00215DAB" w:rsidRDefault="00F82D52" w:rsidP="0026691E">
      <w:pPr>
        <w:pStyle w:val="a"/>
        <w:rPr>
          <w:rFonts w:eastAsia="Times New Roman"/>
          <w:lang w:eastAsia="ru-RU"/>
        </w:rPr>
      </w:pPr>
      <w:r>
        <w:t xml:space="preserve">Пациентам с верифицированной </w:t>
      </w:r>
      <w:r w:rsidR="00090D97">
        <w:t>ЛМЗ</w:t>
      </w:r>
      <w:r>
        <w:t xml:space="preserve"> при первичном обследовании и планировании терапии </w:t>
      </w:r>
      <w:r w:rsidRPr="000578EF">
        <w:rPr>
          <w:rFonts w:eastAsia="Times New Roman"/>
          <w:b/>
          <w:lang w:eastAsia="ru-RU"/>
        </w:rPr>
        <w:t>рекомендуется</w:t>
      </w:r>
      <w:r w:rsidRPr="00215DAB">
        <w:rPr>
          <w:rFonts w:eastAsia="Times New Roman"/>
          <w:lang w:eastAsia="ru-RU"/>
        </w:rPr>
        <w:t xml:space="preserve"> </w:t>
      </w:r>
      <w:r>
        <w:rPr>
          <w:rFonts w:eastAsia="Times New Roman"/>
          <w:lang w:eastAsia="ru-RU"/>
        </w:rPr>
        <w:t>оценить</w:t>
      </w:r>
      <w:r w:rsidRPr="00377FE8">
        <w:rPr>
          <w:rFonts w:eastAsia="Times New Roman"/>
          <w:lang w:eastAsia="ru-RU"/>
        </w:rPr>
        <w:t xml:space="preserve"> </w:t>
      </w:r>
      <w:r w:rsidRPr="005F5F5B">
        <w:t xml:space="preserve">риск развития венозных </w:t>
      </w:r>
      <w:r w:rsidRPr="00A4325F">
        <w:t>тромбоэмболических осложнений (шкала оценки риска ВТЭО по Khorana – см. приложение Г</w:t>
      </w:r>
      <w:r w:rsidR="00C31EFD">
        <w:t>2</w:t>
      </w:r>
      <w:r w:rsidRPr="00A4325F">
        <w:t xml:space="preserve"> данных рекомендаций) для выявления пациентов, требующих назначения и</w:t>
      </w:r>
      <w:r w:rsidRPr="005F5F5B">
        <w:t xml:space="preserve"> определения способов профилактики тромботических  осложнений при проведении цитостатической терапии</w:t>
      </w:r>
      <w:r w:rsidRPr="00377FE8">
        <w:rPr>
          <w:rFonts w:eastAsia="Times New Roman"/>
          <w:lang w:eastAsia="ru-RU"/>
        </w:rPr>
        <w:t xml:space="preserve"> </w:t>
      </w:r>
      <w:r>
        <w:rPr>
          <w:rFonts w:eastAsia="Times New Roman"/>
        </w:rPr>
        <w:fldChar w:fldCharType="begin" w:fldLock="1"/>
      </w:r>
      <w:r w:rsidR="00F6217A">
        <w:rPr>
          <w:rFonts w:eastAsia="Times New Roman"/>
        </w:rPr>
        <w:instrText>ADDIN CSL_CITATION {"citationItems":[{"id":"ITEM-1","itemData":{"author":[{"dropping-particle":"","family":"Бокерия","given":"Л.А.","non-dropping-particle":"","parse-names":false,"suffix":""},{"dropping-particle":"","family":"Затевахин","given":"И.И.","non-dropping-particle":"","parse-names":false,"suffix":""},{"dropping-particle":"","family":"Кириенко","given":"А.И.","non-dropping-particle":"","parse-names":false,"suffix":""}],"container-title":"Флебология","id":"ITEM-1","issue":"2","issued":{"date-parts":[["2015"]]},"page":"3-52","title":"Российские клинические рекомендации по диагностике, лечению и профилактике венозных тромбоэмболических осложнений (ВТЭО).","type":"article-journal","volume":"4"},"uris":["http://www.mendeley.com/documents/?uuid=86c98716-7768-469e-9d28-62b6dd34948f"]},{"id":"ITEM-2","itemData":{"author":[{"dropping-particle":"","family":"Кириенко","given":"А.И.","non-dropping-particle":"","parse-names":false,"suffix":""},{"dropping-particle":"","family":"Галстян","given":"Г.М.","non-dropping-particle":"","parse-names":false,"suffix":""},{"dropping-particle":"","family":"Савченко","given":"В.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Савченко.","id":"ITEM-2","issued":{"date-parts":[["2018"]]},"page":"268-278","title":"Профилактика венозных тромбоэмболических осложнений при лимфопролиферативных заболеваниях","type":"chapter"},"uris":["http://www.mendeley.com/documents/?uuid=cc775b4e-6cf7-4317-b2fc-ce2a5210744b"]},{"id":"ITEM-3","itemData":{"DOI":"10.1016/s0049-3848(16)30136-0","ISSN":"00493848","abstract":"BACKGROUND\\nRecent studies show that the risk of VTE in NHL pts is similar to that observed in high risk solid tumors (i.e. pancreatic, ovarian cancer). VTE in NHL occurs in most cases within three months from diagnosis and can have substantial impact on treatment delivery and outcome as well as on quality of life. However few data are available on potential predictors. \\n\\nAIMS\\nTo better clarify the epidemiology of early (within six months from treatment start) VTE in NHL we conducted a pooled data analysis of 12 clinical trials from FIL. Our analysis included basic demographic features, lymphoma-related characteristics as well the Khorana score (based on histology, BMI, platelets WBC and HB counts) which is extensively used in solid tumors to predict VTE risk. \\n\\nPATIENTS AND METHODS\\nFrom Jan. 2010 to Dec. 2014, all pts with B-cell NHL enrolled in prospective clinical trials from FIL for frontline treatment were included. For 9 studies study period included the entire trial population was included. The analyses were conducted based on CRFs as well as pharmacovigilance reports. VTE definition and grading was stated according to standard criteria of toxicity (CTCAE V4.0). Cumulative incidence of VTE from the study enrollment was estimated using the method described by Gooley et al. accounting for death from any causes as a competing risk. The Fine &amp; Gray survival model was used to identify predictors of VTE among NHL pts. Factors predicting the grade of VTE were investigated using an ordinal logistic regression model. This pooled data analysis was approved by local IRB. \\n\\nRESULTS\\nOverall, 1,717 patients belonging to 12 studies were evaluated. Eight were phase I/II or II (25% of pts) and 4 phase III (75% of pts). M/F ratio was 1.41, Median age was 57, (IQ range (IQR) 49-66). Histologies were: DLCL-B 34%, FL 41%, MCL 18%, other 6%. Median BMI was 25 (IQR 22-28). Median Hb, WBC and platelets counts were 13g/dl) (IQR 11.5-14.2), 7.1*10^9/l (IQR 5.6-10.3), 224*10^9/l (IQR 169-298), respectively. 1189 pts were evaluable Khorana score: 58% low risk, 30% intermediate risk, 12% were high risk. Human erythropoetin support was given to 9% of patients. All pts received Rituximab. Planned therapeutic programs included ASCT in 27% of pts, conventional chemotherapy in 67% a conventional chemotherapy plus lenalidomide in 6%. Overall 59 any grade VTE episodes occurred in 51 pts (2.9%), including 21 grade III-IV VTE (18 pts). None was fatal. Median time from study …","author":[{"dropping-particle":"","family":"Santi","given":"R.M.","non-dropping-particle":"","parse-names":false,"suffix":""},{"dropping-particle":"","family":"Ceccarelli","given":"M.","non-dropping-particle":"","parse-names":false,"suffix":""},{"dropping-particle":"","family":"Catania","given":"G.","non-dropping-particle":"","parse-names":false,"suffix":""},{"dropping-particle":"","family":"Monagheddu","given":"C.","non-dropping-particle":"","parse-names":false,"suffix":""},{"dropping-particle":"","family":"Evangelista","given":"A.","non-dropping-particle":"","parse-names":false,"suffix":""},{"dropping-particle":"","family":"Bernocco","given":"E.","non-dropping-particle":"","parse-names":false,"suffix":""},{"dropping-particle":"","family":"Monaco","given":"F.","non-dropping-particle":"","parse-names":false,"suffix":""},{"dropping-particle":"","family":"Federico","given":"M.","non-dropping-particle":"","parse-names":false,"suffix":""},{"dropping-particle":"","family":"Vitolo","given":"U.","non-dropping-particle":"","parse-names":false,"suffix":""},{"dropping-particle":"","family":"Cortelazzo","given":"S.","non-dropping-particle":"","parse-names":false,"suffix":""},{"dropping-particle":"","family":"Cabras","given":"M.G.","non-dropping-particle":"","parse-names":false,"suffix":""},{"dropping-particle":"","family":"Spina","given":"M.","non-dropping-particle":"","parse-names":false,"suffix":""},{"dropping-particle":"","family":"Baldini","given":"L.","non-dropping-particle":"","parse-names":false,"suffix":""},{"dropping-particle":"","family":"Boccomini","given":"C.","non-dropping-particle":"","parse-names":false,"suffix":""},{"dropping-particle":"","family":"Chiappella","given":"A.","non-dropping-particle":"","parse-names":false,"suffix":""},{"dropping-particle":"","family":"Bari","given":"A.","non-dropping-particle":"","parse-names":false,"suffix":""},{"dropping-particle":"","family":"Luminari","given":"S.","non-dropping-particle":"","parse-names":false,"suffix":""},{"dropping-particle":"","family":"Calabrese","given":"M.","non-dropping-particle":"","parse-names":false,"suffix":""},{"dropping-particle":"","family":"Levis","given":"A.","non-dropping-particle":"","parse-names":false,"suffix":""},{"dropping-particle":"","family":"Visco","given":"C.","non-dropping-particle":"","parse-names":false,"suffix":""},{"dropping-particle":"","family":"Contino","given":"L.","non-dropping-particle":"","parse-names":false,"suffix":""},{"dropping-particle":"","family":"Ciccone","given":"G.","non-dropping-particle":"","parse-names":false,"suffix":""},{"dropping-particle":"","family":"Ladetto","given":"M.","non-dropping-particle":"","parse-names":false,"suffix":""}],"container-title":"Thrombosis Research","id":"ITEM-3","issued":{"date-parts":[["2016","4","1"]]},"page":"S177","publisher":"Elsevier BV","title":"PO-03 - Khorana score and histotype predict the incidence of early venous thromboembolism (VTE) in Non Hodgkin Lymphoma (NHL). A pooled data analysis of twelve clinical trials of Fondazione Italiana Linfomi (FIL)","type":"article-journal","volume":"140"},"uris":["http://www.mendeley.com/documents/?uuid=f8991f19-b353-3dbf-93ae-ea021c37a7dc"]},{"id":"ITEM-4","itemData":{"DOI":"10.1160/TH16-11-0895","ISSN":"03406245","abstract":"Current data suggests that the risk of venous thromboembolism (VTE) in patients with non-Hodgkin lymphoma (NHL) is comparable to that observed in patients with solid tumours, although more robust confirmatory analyses are required. With that in mind, we investigated the occurrence of VTE in a pooled analysis of 12 “Fondazione Italiana Linfomi” (FIL) prospective clinical studies. Specifically, we wished to assess the cumulative incidence of VTE in NHL patients, evaluate the predictive value of the Khorana Score (KS), and identify other potential risk factors for VTEs. Data for VTE occurrence were retrieved from study databases and pharmacovigilance reports. Our analysis includes 1717 patients from 12 prospective phase II and III trials, including newly diagnosed NHL. We observed 53 VTEs (any grade) in 46 patients, with 20 severe VTEs in 17 patients. The cumulative incidences for „all-grade“ or grade ≥3 VTEs were 2.9 % (95 % CI: 2.1-3.8) and 1.1 % (95 % CI: 0.6-1.6), respectively. KS categories were positively associated with the risk of VTE of any grade, and with severe events (i. e. grade ≥3; Gray’s test p-values = 0.048 and 0.012, respectively). Among NHL patients, those with diffuse large B-cell lymphoma (DLBCL) showed a greater risk of (any grade) VTE (HR: 3.42, 95 % CI: 1.32-8.84, p-value = 0.011). Our study indicates that 1) VTE is a relevant complication for NHL patients, 2) KS is predictive of VTE events and 3) DLBCL histotype is an independent risk factor for VTE incidence, for which preventative interventions could be considered.","author":[{"dropping-particle":"","family":"Santi","given":"Roberto Mario","non-dropping-particle":"","parse-names":false,"suffix":""},{"dropping-particle":"","family":"Ceccarelli","given":"Manuela","non-dropping-particle":"","parse-names":false,"suffix":""},{"dropping-particle":"","family":"Bernocco","given":"Elisa","non-dropping-particle":"","parse-names":false,"suffix":""},{"dropping-particle":"","family":"Monagheddu","given":"Chiara","non-dropping-particle":"","parse-names":false,"suffix":""},{"dropping-particle":"","family":"Evangelista","given":"Andrea","non-dropping-particle":"","parse-names":false,"suffix":""},{"dropping-particle":"","family":"Valeri","given":"Federica","non-dropping-particle":"","parse-names":false,"suffix":""},{"dropping-particle":"","family":"Monaco","given":"Federico","non-dropping-particle":"","parse-names":false,"suffix":""},{"dropping-particle":"","family":"Vitolo","given":"Umberto","non-dropping-particle":"","parse-names":false,"suffix":""},{"dropping-particle":"","family":"Cortelazzo","given":"Sergio","non-dropping-particle":"","parse-names":false,"suffix":""},{"dropping-particle":"","family":"Cabras","given":"Maria Giuseppina","non-dropping-particle":"","parse-names":false,"suffix":""},{"dropping-particle":"","family":"Spina","given":"Michele","non-dropping-particle":"","parse-names":false,"suffix":""},{"dropping-particle":"","family":"Baldini","given":"Luca","non-dropping-particle":"","parse-names":false,"suffix":""},{"dropping-particle":"","family":"Boccomini","given":"Carola","non-dropping-particle":"","parse-names":false,"suffix":""},{"dropping-particle":"","family":"Chiappella","given":"Annalisa","non-dropping-particle":"","parse-names":false,"suffix":""},{"dropping-particle":"","family":"Bari","given":"Alessia","non-dropping-particle":"","parse-names":false,"suffix":""},{"dropping-particle":"","family":"Luminari","given":"Stefano","non-dropping-particle":"","parse-names":false,"suffix":""},{"dropping-particle":"","family":"Visco","given":"Carlo","non-dropping-particle":"","parse-names":false,"suffix":""},{"dropping-particle":"","family":"Calabrese","given":"Marco","non-dropping-particle":"","parse-names":false,"suffix":""},{"dropping-particle":"","family":"Limberti","given":"Giulia","non-dropping-particle":"","parse-names":false,"suffix":""},{"dropping-particle":"","family":"Levis","given":"Alessandro","non-dropping-particle":"","parse-names":false,"suffix":""},{"dropping-particle":"","family":"Contino","given":"Laura","non-dropping-particle":"","parse-names":false,"suffix":""},{"dropping-particle":"","family":"Ciccone","given":"Giovannino","non-dropping-particle":"","parse-names":false,"suffix":""},{"dropping-particle":"","family":"Ladetto","given":"Marco","non-dropping-particle":"","parse-names":false,"suffix":""}],"container-title":"Thrombosis and Haemostasis","id":"ITEM-4","issue":"8","issued":{"date-parts":[["2017","4","27"]]},"page":"1615-1621","publisher":"Schattauer GmbH","title":"Khorana score and histotype predicts incidence of early venous thromboembolism in Non-Hodgkin lymphomas: A Pooled-Data analysis of 12 clinical trials of fondazione italiana linfomi (FIL)","type":"article-journal","volume":"117"},"uris":["http://www.mendeley.com/documents/?uuid=08ff1c42-56b9-3c28-b502-37fb28c97ec6"]},{"id":"ITEM-5","itemData":{"DOI":"10.1634/theoncologist.2015-0361","ISSN":"1083-7159","abstract":"© AlphaMed Press 2016. Background. Retrospective studies have suggested an association between cancer-associated venous thromboembolism (VTE) and patient survival.Weevaluated a previously validated VTE Clinical Risk Score in also predicting early mortality and cancer progression. Methods. A large, nationwide, prospective cohort study of adults with solid tumors orlymphoma initiating chemotherapy was conducted from 2002 to 2006 at 115 U.S. practice sites. Survivalandcancer progressionwereestimatedbythemethod of Kaplan and Meier. Multivariate analysis was based on Cox regression analysis adjusted for major prognostic factors including VTE itself. Results. Of 4,405 patients, 134 (3.0%) died and 330 (7.5%) experienced disease progression during the first 4 months of therapy (median follow-up 75 days). Patients deemed high risk (n = 540, 12.3%) by the Clinical Risk Score had a 120-day mortality rate of 12.7% (adjusted hazard ratio [aHR] 3.00, 95% confidence interval [CI]  1.4-6.3), and intermediate-risk patients (n = 2,665, 60.5%) had a mortality rate of 5.9% (aHR 2.3, 95% CI 1.2-4.4) compared with only 1.4% for low-risk patients (n = 1,200, 27.2%). At 120 days of follow-up, cancer progression occurred in 27.2% of high-risk patients (aHR 2.2, 95% CI 1.4-3.5) and 16.4% of intermediate-risk patients (aHR 1.9, 95% CI 1.3-2.7) compared with only 8.5% of low-risk patients (p  &lt;  .0001). Conclusion. The Clinical Risk Score, originally developed to predict the occurrence of VTE, is also predictive of early mortality and cancer progression during the first four cycles of outpatient chemotherapy, independent from other major prognostic factors including VTE itself. Ongoing and future studies will help determine the impact of VTE prophylaxis on survival.","author":[{"dropping-particle":"","family":"Kuderer","given":"Nicole M.","non-dropping-particle":"","parse-names":false,"suffix":""},{"dropping-particle":"","family":"Culakova","given":"Eva","non-dropping-particle":"","parse-names":false,"suffix":""},{"dropping-particle":"","family":"Lyman","given":"Gary H.","non-dropping-particle":"","parse-names":false,"suffix":""},{"dropping-particle":"","family":"Francis","given":"Charles","non-dropping-particle":"","parse-names":false,"suffix":""},{"dropping-particle":"","family":"Falanga","given":"Anna","non-dropping-particle":"","parse-names":false,"suffix":""},{"dropping-particle":"","family":"Khorana","given":"Alok A.","non-dropping-particle":"","parse-names":false,"suffix":""}],"container-title":"The Oncologist","id":"ITEM-5","issue":"7","issued":{"date-parts":[["2016","7"]]},"page":"861-867","publisher":"Alphamed Press","title":"A Validated Risk Score for Venous Thromboembolism Is Predictive of Cancer Progression and Mortality","type":"article-journal","volume":"21"},"uris":["http://www.mendeley.com/documents/?uuid=18a4966e-5d62-3c04-83a9-fd95d5e2da41"]}],"mendeley":{"formattedCitation":"[6,7,16–18]","plainTextFormattedCitation":"[6,7,16–18]","previouslyFormattedCitation":"[6,7,16–18]"},"properties":{"noteIndex":0},"schema":"https://github.com/citation-style-language/schema/raw/master/csl-citation.json"}</w:instrText>
      </w:r>
      <w:r>
        <w:rPr>
          <w:rFonts w:eastAsia="Times New Roman"/>
        </w:rPr>
        <w:fldChar w:fldCharType="separate"/>
      </w:r>
      <w:r w:rsidR="00342C61" w:rsidRPr="00342C61">
        <w:rPr>
          <w:rFonts w:eastAsia="Times New Roman"/>
          <w:noProof/>
        </w:rPr>
        <w:t>[6,7,16–18]</w:t>
      </w:r>
      <w:r>
        <w:rPr>
          <w:rFonts w:eastAsia="Times New Roman"/>
        </w:rPr>
        <w:fldChar w:fldCharType="end"/>
      </w:r>
      <w:r w:rsidRPr="00377FE8">
        <w:rPr>
          <w:rFonts w:eastAsia="Times New Roman"/>
          <w:lang w:eastAsia="ru-RU"/>
        </w:rPr>
        <w:t>.</w:t>
      </w:r>
    </w:p>
    <w:p w14:paraId="30112BE3" w14:textId="77777777" w:rsidR="00F82D52" w:rsidRDefault="00F82D52" w:rsidP="00F82D52">
      <w:pPr>
        <w:pStyle w:val="affff0"/>
        <w:ind w:left="709" w:firstLine="0"/>
        <w:rPr>
          <w:b/>
        </w:rPr>
      </w:pPr>
      <w:r w:rsidRPr="00342C61">
        <w:rPr>
          <w:b/>
        </w:rPr>
        <w:t xml:space="preserve">Уровень убедительности рекомендаций </w:t>
      </w:r>
      <w:r w:rsidR="00BF18BF" w:rsidRPr="00342C61">
        <w:rPr>
          <w:b/>
          <w:lang w:val="en-US"/>
        </w:rPr>
        <w:t>B</w:t>
      </w:r>
      <w:r w:rsidR="00BF18BF" w:rsidRPr="00342C61">
        <w:rPr>
          <w:b/>
        </w:rPr>
        <w:t xml:space="preserve"> </w:t>
      </w:r>
      <w:r w:rsidRPr="00342C61">
        <w:rPr>
          <w:b/>
        </w:rPr>
        <w:t xml:space="preserve">(уровень достоверности доказательств </w:t>
      </w:r>
      <w:r w:rsidR="00BF18BF" w:rsidRPr="00342C61">
        <w:rPr>
          <w:b/>
        </w:rPr>
        <w:t>3</w:t>
      </w:r>
      <w:r w:rsidRPr="00342C61">
        <w:rPr>
          <w:b/>
        </w:rPr>
        <w:t>).</w:t>
      </w:r>
    </w:p>
    <w:p w14:paraId="30112BE4" w14:textId="77777777" w:rsidR="00F82D52" w:rsidRDefault="00F82D52" w:rsidP="00D22A46">
      <w:pPr>
        <w:pStyle w:val="afe"/>
        <w:numPr>
          <w:ilvl w:val="0"/>
          <w:numId w:val="7"/>
        </w:numPr>
        <w:spacing w:before="120" w:after="120"/>
        <w:ind w:left="709" w:hanging="709"/>
      </w:pPr>
      <w:r>
        <w:t>В</w:t>
      </w:r>
      <w:r w:rsidRPr="00544312">
        <w:t xml:space="preserve">сем </w:t>
      </w:r>
      <w:r>
        <w:t xml:space="preserve">женщинам детородного возраста </w:t>
      </w:r>
      <w:r w:rsidRPr="007556B4">
        <w:t xml:space="preserve">с впервые выявленной </w:t>
      </w:r>
      <w:r w:rsidR="00090D97">
        <w:t>ЛМЗ</w:t>
      </w:r>
      <w:r w:rsidRPr="007556B4">
        <w:t xml:space="preserve">, а также с рецидивом </w:t>
      </w:r>
      <w:r w:rsidR="00090D97">
        <w:t>ЛМЗ</w:t>
      </w:r>
      <w:r w:rsidRPr="007556B4">
        <w:t xml:space="preserve"> </w:t>
      </w:r>
      <w:r w:rsidRPr="00544312">
        <w:t xml:space="preserve">перед началом терапии </w:t>
      </w:r>
      <w:r w:rsidRPr="001838D7">
        <w:rPr>
          <w:b/>
        </w:rPr>
        <w:t>рекомендуется</w:t>
      </w:r>
      <w:r w:rsidRPr="00544312">
        <w:t xml:space="preserve"> </w:t>
      </w:r>
      <w:r>
        <w:t>выполнение комплекса исследований по определению беременности</w:t>
      </w:r>
      <w:r w:rsidRPr="003147A2">
        <w:t xml:space="preserve"> </w:t>
      </w:r>
      <w:r>
        <w:t xml:space="preserve">для коррекции терапевтической тактики и консультации акушера-гинеколога в случае наличия беременности и желания женщины ее сохранить </w:t>
      </w:r>
      <w:r>
        <w:fldChar w:fldCharType="begin" w:fldLock="1"/>
      </w:r>
      <w:r w:rsidR="00F6217A">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Шмаков","given":"Р.Г.","non-dropping-particle":"","parse-names":false,"suffix":""},{"dropping-particle":"","family":"Демина","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Савченко.","id":"ITEM-2","issued":{"date-parts":[["2018"]]},"page":"143-150","title":"Лимфомы и беременность","type":"chapter"},"uris":["http://www.mendeley.com/documents/?uuid=1b144eff-cfc3-4cd9-b619-e66b3bbc7228"]}],"mendeley":{"formattedCitation":"[4,19]","plainTextFormattedCitation":"[4,19]","previouslyFormattedCitation":"[4,19]"},"properties":{"noteIndex":0},"schema":"https://github.com/citation-style-language/schema/raw/master/csl-citation.json"}</w:instrText>
      </w:r>
      <w:r>
        <w:fldChar w:fldCharType="separate"/>
      </w:r>
      <w:r w:rsidR="00342C61" w:rsidRPr="00342C61">
        <w:rPr>
          <w:noProof/>
        </w:rPr>
        <w:t>[4,19]</w:t>
      </w:r>
      <w:r>
        <w:fldChar w:fldCharType="end"/>
      </w:r>
      <w:r w:rsidRPr="00544312">
        <w:t>.</w:t>
      </w:r>
    </w:p>
    <w:p w14:paraId="30112BE5" w14:textId="77777777" w:rsidR="00F82D52" w:rsidRDefault="00F82D52" w:rsidP="00F82D52">
      <w:pPr>
        <w:ind w:left="709" w:hanging="1"/>
        <w:contextualSpacing/>
        <w:rPr>
          <w:b/>
        </w:rPr>
      </w:pPr>
      <w:r w:rsidRPr="00342C61">
        <w:rPr>
          <w:b/>
        </w:rPr>
        <w:t>Уровень убедительности рекомендаций С (уровень достоверности доказательств 5).</w:t>
      </w:r>
    </w:p>
    <w:p w14:paraId="30112BE6" w14:textId="77777777" w:rsidR="00ED5598" w:rsidRPr="000578EF" w:rsidRDefault="00CB71DA" w:rsidP="000578EF">
      <w:pPr>
        <w:pStyle w:val="afff2"/>
        <w:rPr>
          <w:rStyle w:val="afffc"/>
          <w:rFonts w:eastAsia="Sans" w:cstheme="minorBidi"/>
          <w:i w:val="0"/>
          <w:color w:val="auto"/>
          <w:sz w:val="28"/>
          <w:szCs w:val="22"/>
        </w:rPr>
      </w:pPr>
      <w:bookmarkStart w:id="32" w:name="_Toc65108026"/>
      <w:r>
        <w:t xml:space="preserve">3. </w:t>
      </w:r>
      <w:r w:rsidRPr="00B104EF">
        <w:t>Лечение</w:t>
      </w:r>
      <w:bookmarkEnd w:id="31"/>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33" w:name="_Toc469402341"/>
      <w:bookmarkStart w:id="34" w:name="_Toc468273538"/>
      <w:bookmarkStart w:id="35" w:name="_Toc468273456"/>
      <w:bookmarkEnd w:id="32"/>
      <w:bookmarkEnd w:id="33"/>
      <w:bookmarkEnd w:id="34"/>
      <w:bookmarkEnd w:id="35"/>
    </w:p>
    <w:p w14:paraId="30112BE7" w14:textId="77777777" w:rsidR="007A344D" w:rsidRDefault="000578EF" w:rsidP="007A344D">
      <w:pPr>
        <w:pStyle w:val="afd"/>
        <w:spacing w:beforeAutospacing="0" w:afterAutospacing="0"/>
        <w:rPr>
          <w:i/>
          <w:iCs/>
        </w:rPr>
      </w:pPr>
      <w:bookmarkStart w:id="36" w:name="__RefHeading___doc_4"/>
      <w:r w:rsidRPr="004403B5">
        <w:rPr>
          <w:i/>
          <w:iCs/>
        </w:rPr>
        <w:t>При выборе тактики и проведении терапии следует учитывать, что у</w:t>
      </w:r>
      <w:r w:rsidRPr="00BD6E2A">
        <w:rPr>
          <w:i/>
          <w:iCs/>
        </w:rPr>
        <w:t xml:space="preserve"> пациента</w:t>
      </w:r>
      <w:r w:rsidRPr="00FF7B75">
        <w:rPr>
          <w:i/>
          <w:iCs/>
        </w:rPr>
        <w:t xml:space="preserve">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30112BE8" w14:textId="77777777" w:rsidR="00F533A5" w:rsidRPr="00FE0969" w:rsidRDefault="00F533A5" w:rsidP="00F533A5">
      <w:pPr>
        <w:pStyle w:val="1f6"/>
        <w:rPr>
          <w:rFonts w:ascii="Times New Roman" w:hAnsi="Times New Roman"/>
          <w:bCs w:val="0"/>
          <w:i/>
          <w:iCs w:val="0"/>
          <w:sz w:val="24"/>
          <w:szCs w:val="24"/>
        </w:rPr>
      </w:pPr>
      <w:r w:rsidRPr="00F533A5">
        <w:rPr>
          <w:rFonts w:ascii="Times New Roman" w:hAnsi="Times New Roman"/>
          <w:bCs w:val="0"/>
          <w:i/>
          <w:iCs w:val="0"/>
          <w:sz w:val="24"/>
          <w:szCs w:val="24"/>
        </w:rPr>
        <w:t xml:space="preserve">Пациент прекращает лечение по протоколу в случаях прогрессии заболевания или токсических эффектов, не позволяющих продолжать химиотерапию в </w:t>
      </w:r>
      <w:r w:rsidRPr="00FE0969">
        <w:rPr>
          <w:rFonts w:ascii="Times New Roman" w:hAnsi="Times New Roman"/>
          <w:bCs w:val="0"/>
          <w:i/>
          <w:iCs w:val="0"/>
          <w:sz w:val="24"/>
          <w:szCs w:val="24"/>
        </w:rPr>
        <w:lastRenderedPageBreak/>
        <w:t>необходимом объеме.</w:t>
      </w:r>
    </w:p>
    <w:p w14:paraId="30112BE9" w14:textId="77777777" w:rsidR="000578EF" w:rsidRDefault="000578EF" w:rsidP="000578EF">
      <w:pPr>
        <w:pStyle w:val="2"/>
        <w:contextualSpacing/>
      </w:pPr>
      <w:bookmarkStart w:id="37" w:name="_Toc65108027"/>
      <w:r>
        <w:t xml:space="preserve">3.1 </w:t>
      </w:r>
      <w:r w:rsidR="004403B5">
        <w:t>Лечение пациентов c</w:t>
      </w:r>
      <w:r w:rsidR="009C1559">
        <w:t xml:space="preserve"> ранними </w:t>
      </w:r>
      <w:r w:rsidR="009C1559" w:rsidRPr="009C1559">
        <w:t>(IE1, IЕ2, IIЕ)</w:t>
      </w:r>
      <w:r w:rsidR="009C1559">
        <w:t xml:space="preserve"> стадиями</w:t>
      </w:r>
      <w:r w:rsidR="004403B5">
        <w:t xml:space="preserve"> </w:t>
      </w:r>
      <w:r w:rsidR="004403B5">
        <w:rPr>
          <w:lang w:val="en-US"/>
        </w:rPr>
        <w:t>MALT</w:t>
      </w:r>
      <w:r w:rsidR="004403B5" w:rsidRPr="004403B5">
        <w:t>-</w:t>
      </w:r>
      <w:r w:rsidR="004403B5">
        <w:t>лимфом</w:t>
      </w:r>
      <w:r w:rsidR="009C1559">
        <w:t>ы</w:t>
      </w:r>
      <w:r w:rsidR="004403B5">
        <w:t xml:space="preserve"> желудка</w:t>
      </w:r>
      <w:bookmarkEnd w:id="37"/>
      <w:r w:rsidR="00FE0969">
        <w:t xml:space="preserve"> </w:t>
      </w:r>
    </w:p>
    <w:p w14:paraId="30112BEA" w14:textId="77777777" w:rsidR="004403B5" w:rsidRDefault="004403B5" w:rsidP="004403B5">
      <w:pPr>
        <w:spacing w:before="120" w:after="120"/>
        <w:rPr>
          <w:i/>
          <w:iCs/>
        </w:rPr>
      </w:pPr>
      <w:r w:rsidRPr="004403B5">
        <w:rPr>
          <w:i/>
          <w:iCs/>
        </w:rPr>
        <w:t xml:space="preserve">Выбор тактики лечения </w:t>
      </w:r>
      <w:r w:rsidR="009C1559">
        <w:rPr>
          <w:i/>
          <w:iCs/>
        </w:rPr>
        <w:t xml:space="preserve">пациентов с ранними стадиями </w:t>
      </w:r>
      <w:r w:rsidRPr="004403B5">
        <w:rPr>
          <w:i/>
          <w:iCs/>
        </w:rPr>
        <w:t>MALT-лимфом</w:t>
      </w:r>
      <w:r w:rsidR="009C1559">
        <w:rPr>
          <w:i/>
          <w:iCs/>
        </w:rPr>
        <w:t>ы</w:t>
      </w:r>
      <w:r w:rsidRPr="004403B5">
        <w:rPr>
          <w:i/>
          <w:iCs/>
        </w:rPr>
        <w:t xml:space="preserve"> желудка зависит от инфицированности H. Pylori.</w:t>
      </w:r>
    </w:p>
    <w:p w14:paraId="30112BEB" w14:textId="77777777" w:rsidR="008E7EEC" w:rsidRPr="004A4546" w:rsidRDefault="004A4546" w:rsidP="007A672C">
      <w:pPr>
        <w:pStyle w:val="a"/>
      </w:pPr>
      <w:r>
        <w:t>Пациентам с верифицированным</w:t>
      </w:r>
      <w:r w:rsidR="00ED0B3A">
        <w:t xml:space="preserve">и ранними стадиями </w:t>
      </w:r>
      <w:r w:rsidR="009F231E" w:rsidRPr="006E5E8C">
        <w:t>MALT-лимфомы желудка</w:t>
      </w:r>
      <w:r w:rsidR="005C25FB">
        <w:t xml:space="preserve">, инфицированным </w:t>
      </w:r>
      <w:r w:rsidR="005C25FB">
        <w:rPr>
          <w:lang w:val="en-US"/>
        </w:rPr>
        <w:t>H</w:t>
      </w:r>
      <w:r w:rsidR="005C25FB" w:rsidRPr="005C25FB">
        <w:t xml:space="preserve">. </w:t>
      </w:r>
      <w:r w:rsidR="00BF18BF">
        <w:rPr>
          <w:lang w:val="en-US"/>
        </w:rPr>
        <w:t>P</w:t>
      </w:r>
      <w:r w:rsidR="005C25FB">
        <w:rPr>
          <w:lang w:val="en-US"/>
        </w:rPr>
        <w:t>ylori</w:t>
      </w:r>
      <w:r w:rsidR="00BF18BF">
        <w:t>,</w:t>
      </w:r>
      <w:r>
        <w:t xml:space="preserve"> </w:t>
      </w:r>
      <w:r w:rsidR="008E7EEC" w:rsidRPr="0038639D">
        <w:rPr>
          <w:b/>
        </w:rPr>
        <w:t>рекоменд</w:t>
      </w:r>
      <w:r w:rsidR="008E7EEC">
        <w:rPr>
          <w:b/>
        </w:rPr>
        <w:t xml:space="preserve">овано </w:t>
      </w:r>
      <w:r w:rsidR="005C25FB">
        <w:t>проведение</w:t>
      </w:r>
      <w:r>
        <w:t xml:space="preserve"> </w:t>
      </w:r>
      <w:r w:rsidR="005C25FB">
        <w:t xml:space="preserve">эрадикационной терапии </w:t>
      </w:r>
      <w:r w:rsidR="00BF18BF">
        <w:rPr>
          <w:lang w:val="en-US"/>
        </w:rPr>
        <w:t>H</w:t>
      </w:r>
      <w:r w:rsidR="00BF18BF" w:rsidRPr="005C25FB">
        <w:t xml:space="preserve">. </w:t>
      </w:r>
      <w:r w:rsidR="00BF18BF">
        <w:rPr>
          <w:lang w:val="en-US"/>
        </w:rPr>
        <w:t>pylori</w:t>
      </w:r>
      <w:r w:rsidR="00BF18BF" w:rsidDel="00BF18BF">
        <w:t xml:space="preserve"> </w:t>
      </w:r>
      <w:r w:rsidR="00BF18BF">
        <w:t>в соотве</w:t>
      </w:r>
      <w:r w:rsidR="00F6217A">
        <w:t>т</w:t>
      </w:r>
      <w:r w:rsidR="00BF18BF">
        <w:t xml:space="preserve">ствии с клиническими рекомендациями </w:t>
      </w:r>
      <w:r w:rsidR="007A672C">
        <w:t>по язвенной болезни</w:t>
      </w:r>
      <w:r w:rsidR="00BF18BF">
        <w:t xml:space="preserve">  у взрослых пациентов</w:t>
      </w:r>
      <w:r w:rsidR="007A672C">
        <w:t xml:space="preserve"> </w:t>
      </w:r>
      <w:r w:rsidR="008E7EEC">
        <w:fldChar w:fldCharType="begin" w:fldLock="1"/>
      </w:r>
      <w:r w:rsidR="00F6217A">
        <w:instrText>ADDIN CSL_CITATION {"citationItems":[{"id":"ITEM-1","itemData":{"DOI":"10.1093/annonc/mdn760","ISSN":"1569-8041","PMID":"19193705","abstract":"BACKGROUND Treatment aimed at eradicating Helicobacter pylori infection results in lymphoma remission in most localized gastric mucosa-associated lymphoid tissue (MALT) lymphomas. The aim of this survey is to investigate the long-term effect of this therapeutic approach in a large series of patients. METHODS One hundred and five patients with localized gastric MALT lymphoma were initially treated only with H. pylori eradication regimens. Lymphoma responses were graded using the Wotherspoon score. RESULTS Helicobacter pylori, detected by histology in 81% of cases, was eradicated in all positive patients. Histological regression of the lymphoma was achieved in 78 of 102 assessable patients [76%, 95% confidence interval (CI): 67% to 84%] with complete remission (score 0-2) in 66 and partial remission (score 3) in 12. At a median follow-up time of 6.3 years, histological remission was consistently confirmed in 33 of 74 assessable patients, while 25 had score fluctuations (from 0 to 4) and 13 presented a lymphoma relapse (score 5). Only one patient had a distant progression. Transformation to a large-cell lymphoma was seen in two cases. The 5- and 10-year overall survival is 92% (95% CI: 84% to 96%) and 83% (95% CI: 70% to 91%), respectively. Only one patient died of lymphoma after transformation to a high-grade lymphoma. CONCLUSIONS Helicobacter pylori eradication resulted in complete lymphoma remission in the majority of cases. Long-term clinical disease control was achieved in most patients. A watch and wait policy appears to be safe in patients with minimal residual disease or histological-only local relapse.","author":[{"dropping-particle":"","family":"Stathis","given":"A","non-dropping-particle":"","parse-names":false,"suffix":""},{"dropping-particle":"","family":"Chini","given":"C","non-dropping-particle":"","parse-names":false,"suffix":""},{"dropping-particle":"","family":"Bertoni","given":"F","non-dropping-particle":"","parse-names":false,"suffix":""},{"dropping-particle":"","family":"Proserpio","given":"I","non-dropping-particle":"","parse-names":false,"suffix":""},{"dropping-particle":"","family":"Capella","given":"C","non-dropping-particle":"","parse-names":false,"suffix":""},{"dropping-particle":"","family":"Mazzucchelli","given":"L","non-dropping-particle":"","parse-names":false,"suffix":""},{"dropping-particle":"","family":"Pedrinis","given":"E","non-dropping-particle":"","parse-names":false,"suffix":""},{"dropping-particle":"","family":"Cavalli","given":"F","non-dropping-particle":"","parse-names":false,"suffix":""},{"dropping-particle":"","family":"Pinotti","given":"G","non-dropping-particle":"","parse-names":false,"suffix":""},{"dropping-particle":"","family":"Zucca","given":"E","non-dropping-particle":"","parse-names":false,"suffix":""}],"container-title":"Annals of oncology : official journal of the European Society for Medical Oncology","id":"ITEM-1","issue":"6","issued":{"date-parts":[["2009","6"]]},"page":"1086-93","title":"Long-term outcome following Helicobacter pylori eradication in a retrospective study of 105 patients with localized gastric marginal zone B-cell lymphoma of MALT type.","type":"article-journal","volume":"20"},"uris":["http://www.mendeley.com/documents/?uuid=d710a385-c1b5-39cc-bfa8-79c0a4eb170e"]}],"mendeley":{"formattedCitation":"[20]","plainTextFormattedCitation":"[20]","previouslyFormattedCitation":"[20]"},"properties":{"noteIndex":0},"schema":"https://github.com/citation-style-language/schema/raw/master/csl-citation.json"}</w:instrText>
      </w:r>
      <w:r w:rsidR="008E7EEC">
        <w:fldChar w:fldCharType="separate"/>
      </w:r>
      <w:r w:rsidR="00342C61" w:rsidRPr="00342C61">
        <w:rPr>
          <w:noProof/>
        </w:rPr>
        <w:t>[20]</w:t>
      </w:r>
      <w:r w:rsidR="008E7EEC">
        <w:fldChar w:fldCharType="end"/>
      </w:r>
      <w:r w:rsidR="005C25FB" w:rsidRPr="00ED0B3A">
        <w:t>.</w:t>
      </w:r>
    </w:p>
    <w:p w14:paraId="30112BEC" w14:textId="77777777" w:rsidR="008E7EEC" w:rsidRDefault="008E7EEC" w:rsidP="008E7EEC">
      <w:pPr>
        <w:ind w:left="709" w:firstLine="0"/>
        <w:contextualSpacing/>
        <w:rPr>
          <w:b/>
        </w:rPr>
      </w:pPr>
      <w:r w:rsidRPr="00F6217A">
        <w:rPr>
          <w:b/>
        </w:rPr>
        <w:t xml:space="preserve">Уровень убедительности рекомендаций </w:t>
      </w:r>
      <w:r w:rsidR="004C037A" w:rsidRPr="00F6217A">
        <w:rPr>
          <w:b/>
        </w:rPr>
        <w:t xml:space="preserve">С </w:t>
      </w:r>
      <w:r w:rsidRPr="00F6217A">
        <w:rPr>
          <w:b/>
        </w:rPr>
        <w:t xml:space="preserve">(уровень достоверности доказательств </w:t>
      </w:r>
      <w:r w:rsidR="007A672C" w:rsidRPr="00F6217A">
        <w:rPr>
          <w:b/>
        </w:rPr>
        <w:t>4</w:t>
      </w:r>
      <w:r w:rsidRPr="00F6217A">
        <w:rPr>
          <w:b/>
        </w:rPr>
        <w:t>)</w:t>
      </w:r>
    </w:p>
    <w:p w14:paraId="30112BED" w14:textId="77777777" w:rsidR="00461772" w:rsidRDefault="008E7EEC" w:rsidP="00461772">
      <w:pPr>
        <w:pStyle w:val="afd"/>
        <w:spacing w:beforeAutospacing="0" w:afterAutospacing="0"/>
        <w:rPr>
          <w:i/>
        </w:rPr>
      </w:pPr>
      <w:r w:rsidRPr="008E7EEC">
        <w:rPr>
          <w:b/>
        </w:rPr>
        <w:t>Комментарий:</w:t>
      </w:r>
      <w:r w:rsidRPr="008E7EEC">
        <w:rPr>
          <w:bCs/>
        </w:rPr>
        <w:t xml:space="preserve"> </w:t>
      </w:r>
      <w:r w:rsidR="00F6217A">
        <w:rPr>
          <w:i/>
        </w:rPr>
        <w:t xml:space="preserve">необходимо </w:t>
      </w:r>
      <w:r w:rsidR="005C25FB">
        <w:rPr>
          <w:i/>
        </w:rPr>
        <w:t xml:space="preserve">эндоскопическое подтверждение эрадикации </w:t>
      </w:r>
      <w:r w:rsidR="005C25FB">
        <w:rPr>
          <w:rStyle w:val="affc"/>
        </w:rPr>
        <w:t>H. pylori через 3 месяца или раньше, если симптомы лимфомы сохраняются на фоне антибиотикотерапии</w:t>
      </w:r>
      <w:r w:rsidR="005C25FB">
        <w:t>.</w:t>
      </w:r>
      <w:r w:rsidR="005C25FB">
        <w:rPr>
          <w:i/>
        </w:rPr>
        <w:t xml:space="preserve"> </w:t>
      </w:r>
    </w:p>
    <w:p w14:paraId="30112BEE" w14:textId="77777777" w:rsidR="008A0973" w:rsidRPr="004A4546" w:rsidRDefault="008A0973" w:rsidP="00D22A46">
      <w:pPr>
        <w:pStyle w:val="afe"/>
        <w:numPr>
          <w:ilvl w:val="0"/>
          <w:numId w:val="10"/>
        </w:numPr>
        <w:spacing w:before="120"/>
        <w:ind w:left="709" w:hanging="709"/>
      </w:pPr>
      <w:r>
        <w:t xml:space="preserve">Пациентам с </w:t>
      </w:r>
      <w:r w:rsidR="00ED0B3A">
        <w:t xml:space="preserve">верифицированными ранними стадиями </w:t>
      </w:r>
      <w:r w:rsidR="009F231E" w:rsidRPr="006E5E8C">
        <w:t>MALT-лимфомы желудка</w:t>
      </w:r>
      <w:r w:rsidRPr="008A0973">
        <w:t xml:space="preserve"> </w:t>
      </w:r>
      <w:r>
        <w:t xml:space="preserve">с выявленной </w:t>
      </w:r>
      <w:r>
        <w:rPr>
          <w:lang w:val="en-US"/>
        </w:rPr>
        <w:t>t</w:t>
      </w:r>
      <w:r w:rsidRPr="008A0973">
        <w:t>(11;8),</w:t>
      </w:r>
      <w:r>
        <w:t xml:space="preserve"> инфицированным </w:t>
      </w:r>
      <w:r>
        <w:rPr>
          <w:lang w:val="en-US"/>
        </w:rPr>
        <w:t>H</w:t>
      </w:r>
      <w:r w:rsidRPr="005C25FB">
        <w:t xml:space="preserve">. </w:t>
      </w:r>
      <w:r>
        <w:rPr>
          <w:lang w:val="en-US"/>
        </w:rPr>
        <w:t>Pylori</w:t>
      </w:r>
      <w:r w:rsidRPr="008A0973">
        <w:t xml:space="preserve">, </w:t>
      </w:r>
      <w:r>
        <w:t xml:space="preserve">после завершения </w:t>
      </w:r>
      <w:r w:rsidR="00BF18BF">
        <w:t>эрадикационной</w:t>
      </w:r>
      <w:r>
        <w:t xml:space="preserve"> терапии</w:t>
      </w:r>
      <w:r w:rsidR="00BF18BF">
        <w:t xml:space="preserve"> </w:t>
      </w:r>
      <w:r w:rsidR="00BF18BF">
        <w:rPr>
          <w:lang w:val="en-US"/>
        </w:rPr>
        <w:t>H</w:t>
      </w:r>
      <w:r w:rsidR="00BF18BF" w:rsidRPr="005C25FB">
        <w:t xml:space="preserve">. </w:t>
      </w:r>
      <w:r w:rsidR="00BF18BF">
        <w:rPr>
          <w:lang w:val="en-US"/>
        </w:rPr>
        <w:t>pylori</w:t>
      </w:r>
      <w:r>
        <w:t xml:space="preserve">, независимо от ее эффективности, </w:t>
      </w:r>
      <w:r w:rsidRPr="0038639D">
        <w:rPr>
          <w:b/>
        </w:rPr>
        <w:t>рекоменд</w:t>
      </w:r>
      <w:r>
        <w:rPr>
          <w:b/>
        </w:rPr>
        <w:t xml:space="preserve">овано </w:t>
      </w:r>
      <w:r w:rsidRPr="008A0973">
        <w:t>назначение монотерапии ритуксимабом</w:t>
      </w:r>
      <w:r w:rsidR="008D50EC" w:rsidRPr="008D50EC">
        <w:t>**</w:t>
      </w:r>
      <w:r w:rsidRPr="008A0973">
        <w:t xml:space="preserve"> или лучевой терапии (ЛТ) СОД 24-30 Гр</w:t>
      </w:r>
      <w: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rsidRPr="008A0973">
        <w:t>.</w:t>
      </w:r>
    </w:p>
    <w:p w14:paraId="30112BEF" w14:textId="77777777" w:rsidR="008A0973" w:rsidRDefault="008A0973" w:rsidP="008A0973">
      <w:pPr>
        <w:ind w:left="709" w:firstLine="0"/>
        <w:contextualSpacing/>
        <w:rPr>
          <w:b/>
        </w:rPr>
      </w:pPr>
      <w:r w:rsidRPr="00F6217A">
        <w:rPr>
          <w:b/>
        </w:rPr>
        <w:t>Уровень убедительности рекомендаций С (уровень достоверности доказательств 5).</w:t>
      </w:r>
    </w:p>
    <w:p w14:paraId="30112BF0" w14:textId="77777777" w:rsidR="008A0973" w:rsidRPr="004A4546" w:rsidRDefault="008A0973" w:rsidP="007A672C">
      <w:pPr>
        <w:pStyle w:val="a"/>
      </w:pPr>
      <w:r>
        <w:t>Пациентам</w:t>
      </w:r>
      <w:r w:rsidR="009F231E">
        <w:t xml:space="preserve"> с</w:t>
      </w:r>
      <w:r>
        <w:t xml:space="preserve"> </w:t>
      </w:r>
      <w:r w:rsidR="00ED0B3A">
        <w:t xml:space="preserve">верифицированными ранними стадиями </w:t>
      </w:r>
      <w:r w:rsidR="009F231E" w:rsidRPr="006E5E8C">
        <w:t>MALT-лимфомы желудка</w:t>
      </w:r>
      <w:r>
        <w:t>,</w:t>
      </w:r>
      <w:r w:rsidRPr="008A0973">
        <w:t xml:space="preserve"> </w:t>
      </w:r>
      <w:r>
        <w:t xml:space="preserve">инфицированным </w:t>
      </w:r>
      <w:r>
        <w:rPr>
          <w:lang w:val="en-US"/>
        </w:rPr>
        <w:t>H</w:t>
      </w:r>
      <w:r w:rsidRPr="005C25FB">
        <w:t xml:space="preserve">. </w:t>
      </w:r>
      <w:r>
        <w:rPr>
          <w:lang w:val="en-US"/>
        </w:rPr>
        <w:t>Pylori</w:t>
      </w:r>
      <w:r>
        <w:t>,</w:t>
      </w:r>
      <w:r w:rsidRPr="008A0973">
        <w:t xml:space="preserve"> пр</w:t>
      </w:r>
      <w:r>
        <w:t>и</w:t>
      </w:r>
      <w:r w:rsidRPr="008A0973">
        <w:t xml:space="preserve"> морфологически доказанной регрессии лимфомы и эрадикации H. pylori через 3 месяца</w:t>
      </w:r>
      <w:r>
        <w:t xml:space="preserve"> </w:t>
      </w:r>
      <w:r w:rsidR="00BF18BF">
        <w:t xml:space="preserve">эрадикационной </w:t>
      </w:r>
      <w:r>
        <w:t xml:space="preserve">терапии </w:t>
      </w:r>
      <w:r w:rsidRPr="0038639D">
        <w:rPr>
          <w:b/>
        </w:rPr>
        <w:t>рекоменд</w:t>
      </w:r>
      <w:r>
        <w:rPr>
          <w:b/>
        </w:rPr>
        <w:t xml:space="preserve">овано </w:t>
      </w:r>
      <w:r>
        <w:t xml:space="preserve">динамическое наблюдение </w:t>
      </w:r>
      <w:r>
        <w:fldChar w:fldCharType="begin" w:fldLock="1"/>
      </w:r>
      <w:r w:rsidR="00F6217A">
        <w:instrText>ADDIN CSL_CITATION {"citationItems":[{"id":"ITEM-1","itemData":{"DOI":"10.1093/annonc/mdn760","ISSN":"1569-8041","PMID":"19193705","abstract":"BACKGROUND Treatment aimed at eradicating Helicobacter pylori infection results in lymphoma remission in most localized gastric mucosa-associated lymphoid tissue (MALT) lymphomas. The aim of this survey is to investigate the long-term effect of this therapeutic approach in a large series of patients. METHODS One hundred and five patients with localized gastric MALT lymphoma were initially treated only with H. pylori eradication regimens. Lymphoma responses were graded using the Wotherspoon score. RESULTS Helicobacter pylori, detected by histology in 81% of cases, was eradicated in all positive patients. Histological regression of the lymphoma was achieved in 78 of 102 assessable patients [76%, 95% confidence interval (CI): 67% to 84%] with complete remission (score 0-2) in 66 and partial remission (score 3) in 12. At a median follow-up time of 6.3 years, histological remission was consistently confirmed in 33 of 74 assessable patients, while 25 had score fluctuations (from 0 to 4) and 13 presented a lymphoma relapse (score 5). Only one patient had a distant progression. Transformation to a large-cell lymphoma was seen in two cases. The 5- and 10-year overall survival is 92% (95% CI: 84% to 96%) and 83% (95% CI: 70% to 91%), respectively. Only one patient died of lymphoma after transformation to a high-grade lymphoma. CONCLUSIONS Helicobacter pylori eradication resulted in complete lymphoma remission in the majority of cases. Long-term clinical disease control was achieved in most patients. A watch and wait policy appears to be safe in patients with minimal residual disease or histological-only local relapse.","author":[{"dropping-particle":"","family":"Stathis","given":"A","non-dropping-particle":"","parse-names":false,"suffix":""},{"dropping-particle":"","family":"Chini","given":"C","non-dropping-particle":"","parse-names":false,"suffix":""},{"dropping-particle":"","family":"Bertoni","given":"F","non-dropping-particle":"","parse-names":false,"suffix":""},{"dropping-particle":"","family":"Proserpio","given":"I","non-dropping-particle":"","parse-names":false,"suffix":""},{"dropping-particle":"","family":"Capella","given":"C","non-dropping-particle":"","parse-names":false,"suffix":""},{"dropping-particle":"","family":"Mazzucchelli","given":"L","non-dropping-particle":"","parse-names":false,"suffix":""},{"dropping-particle":"","family":"Pedrinis","given":"E","non-dropping-particle":"","parse-names":false,"suffix":""},{"dropping-particle":"","family":"Cavalli","given":"F","non-dropping-particle":"","parse-names":false,"suffix":""},{"dropping-particle":"","family":"Pinotti","given":"G","non-dropping-particle":"","parse-names":false,"suffix":""},{"dropping-particle":"","family":"Zucca","given":"E","non-dropping-particle":"","parse-names":false,"suffix":""}],"container-title":"Annals of oncology : official journal of the European Society for Medical Oncology","id":"ITEM-1","issue":"6","issued":{"date-parts":[["2009","6"]]},"page":"1086-93","title":"Long-term outcome following Helicobacter pylori eradication in a retrospective study of 105 patients with localized gastric marginal zone B-cell lymphoma of MALT type.","type":"article-journal","volume":"20"},"uris":["http://www.mendeley.com/documents/?uuid=d710a385-c1b5-39cc-bfa8-79c0a4eb170e"]}],"mendeley":{"formattedCitation":"[20]","plainTextFormattedCitation":"[20]","previouslyFormattedCitation":"[20]"},"properties":{"noteIndex":0},"schema":"https://github.com/citation-style-language/schema/raw/master/csl-citation.json"}</w:instrText>
      </w:r>
      <w:r>
        <w:fldChar w:fldCharType="separate"/>
      </w:r>
      <w:r w:rsidR="00342C61" w:rsidRPr="00342C61">
        <w:rPr>
          <w:noProof/>
        </w:rPr>
        <w:t>[20]</w:t>
      </w:r>
      <w:r>
        <w:fldChar w:fldCharType="end"/>
      </w:r>
      <w:r w:rsidRPr="008A0973">
        <w:t>.</w:t>
      </w:r>
    </w:p>
    <w:p w14:paraId="30112BF1" w14:textId="77777777" w:rsidR="008A0973" w:rsidRDefault="008A0973" w:rsidP="008A0973">
      <w:pPr>
        <w:ind w:left="709" w:firstLine="0"/>
        <w:contextualSpacing/>
        <w:rPr>
          <w:b/>
        </w:rPr>
      </w:pPr>
      <w:r w:rsidRPr="00F6217A">
        <w:rPr>
          <w:b/>
        </w:rPr>
        <w:t xml:space="preserve">Уровень убедительности рекомендаций </w:t>
      </w:r>
      <w:r w:rsidR="004C037A" w:rsidRPr="00F6217A">
        <w:rPr>
          <w:b/>
        </w:rPr>
        <w:t xml:space="preserve">С </w:t>
      </w:r>
      <w:r w:rsidRPr="00F6217A">
        <w:rPr>
          <w:b/>
        </w:rPr>
        <w:t xml:space="preserve">(уровень достоверности доказательств </w:t>
      </w:r>
      <w:r w:rsidR="004C037A" w:rsidRPr="00F6217A">
        <w:rPr>
          <w:b/>
        </w:rPr>
        <w:t>4</w:t>
      </w:r>
      <w:r w:rsidRPr="00F6217A">
        <w:rPr>
          <w:b/>
        </w:rPr>
        <w:t>).</w:t>
      </w:r>
    </w:p>
    <w:p w14:paraId="30112BF2" w14:textId="77777777" w:rsidR="00C648C4" w:rsidRPr="004A4546" w:rsidRDefault="00C648C4" w:rsidP="00D22A46">
      <w:pPr>
        <w:pStyle w:val="afe"/>
        <w:numPr>
          <w:ilvl w:val="0"/>
          <w:numId w:val="10"/>
        </w:numPr>
        <w:spacing w:before="120"/>
        <w:ind w:left="709" w:hanging="709"/>
      </w:pPr>
      <w:r>
        <w:t xml:space="preserve">Пациентам </w:t>
      </w:r>
      <w:r w:rsidR="008D50EC">
        <w:t xml:space="preserve">с верифицированными ранними стадиями </w:t>
      </w:r>
      <w:r w:rsidR="009F231E" w:rsidRPr="006E5E8C">
        <w:t>MALT-лимфомы желудка</w:t>
      </w:r>
      <w:r>
        <w:t>,</w:t>
      </w:r>
      <w:r w:rsidRPr="008A0973">
        <w:t xml:space="preserve"> </w:t>
      </w:r>
      <w:r>
        <w:t xml:space="preserve">инфицированным </w:t>
      </w:r>
      <w:r>
        <w:rPr>
          <w:lang w:val="en-US"/>
        </w:rPr>
        <w:t>H</w:t>
      </w:r>
      <w:r w:rsidRPr="005C25FB">
        <w:t xml:space="preserve">. </w:t>
      </w:r>
      <w:r>
        <w:rPr>
          <w:lang w:val="en-US"/>
        </w:rPr>
        <w:t>Pylori</w:t>
      </w:r>
      <w:r>
        <w:t>,</w:t>
      </w:r>
      <w:r w:rsidRPr="008A0973">
        <w:t xml:space="preserve"> пр</w:t>
      </w:r>
      <w:r>
        <w:t>и</w:t>
      </w:r>
      <w:r w:rsidRPr="008A0973">
        <w:t xml:space="preserve"> </w:t>
      </w:r>
      <w:r>
        <w:t xml:space="preserve">сохранении инфицированности </w:t>
      </w:r>
      <w:r w:rsidRPr="008A0973">
        <w:t>H. pylori через 3 месяца</w:t>
      </w:r>
      <w:r>
        <w:t xml:space="preserve"> </w:t>
      </w:r>
      <w:r w:rsidR="00BF18BF">
        <w:t>эрадикационной</w:t>
      </w:r>
      <w:r>
        <w:t xml:space="preserve"> терапии </w:t>
      </w:r>
      <w:r w:rsidRPr="0038639D">
        <w:rPr>
          <w:b/>
        </w:rPr>
        <w:t>рекоменд</w:t>
      </w:r>
      <w:r>
        <w:rPr>
          <w:b/>
        </w:rPr>
        <w:t xml:space="preserve">ована </w:t>
      </w:r>
      <w:r w:rsidRPr="00C648C4">
        <w:t>антихеликобактерная терапия 2 линии до полной эрадикации инфекции</w:t>
      </w:r>
      <w:r w:rsidR="007A672C">
        <w:t xml:space="preserve"> (в </w:t>
      </w:r>
      <w:r w:rsidR="007A672C">
        <w:lastRenderedPageBreak/>
        <w:t>соответсвии с профильными рекомендациями по лечению язвенной болезни желудка)</w:t>
      </w:r>
      <w:r w:rsidR="00493844">
        <w:t>, а при отсутствии регрессии опухли – дополнительно ЛТ на фоне антихеликобактерной терапии</w:t>
      </w:r>
      <w:r>
        <w:t xml:space="preserve"> </w:t>
      </w:r>
      <w:r>
        <w:fldChar w:fldCharType="begin" w:fldLock="1"/>
      </w:r>
      <w:r w:rsidR="00F6217A">
        <w:instrText>ADDIN CSL_CITATION {"citationItems":[{"id":"ITEM-1","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Oncology","id":"ITEM-1","issue":"1","issued":{"date-parts":[["2020","1","1"]]},"page":"17-29","publisher":"Elsevier Ltd","title":"Marginal zone lymphomas: ESMO Clinical Practice Guidelines for diagnosis, treatment and follow-up","type":"article-journal","volume":"31"},"uris":["http://www.mendeley.com/documents/?uuid=fbdf0c05-49c8-3abf-834c-701e85508549"]}],"mendeley":{"formattedCitation":"[5]","plainTextFormattedCitation":"[5]","previouslyFormattedCitation":"[5]"},"properties":{"noteIndex":0},"schema":"https://github.com/citation-style-language/schema/raw/master/csl-citation.json"}</w:instrText>
      </w:r>
      <w:r>
        <w:fldChar w:fldCharType="separate"/>
      </w:r>
      <w:r w:rsidR="00F6217A" w:rsidRPr="00F6217A">
        <w:rPr>
          <w:noProof/>
        </w:rPr>
        <w:t>[5]</w:t>
      </w:r>
      <w:r>
        <w:fldChar w:fldCharType="end"/>
      </w:r>
      <w:r w:rsidRPr="008A0973">
        <w:t>.</w:t>
      </w:r>
    </w:p>
    <w:p w14:paraId="30112BF3" w14:textId="77777777" w:rsidR="00C648C4" w:rsidRDefault="00C648C4" w:rsidP="00C648C4">
      <w:pPr>
        <w:ind w:left="709" w:firstLine="0"/>
        <w:contextualSpacing/>
        <w:rPr>
          <w:b/>
        </w:rPr>
      </w:pPr>
      <w:r w:rsidRPr="00F6217A">
        <w:rPr>
          <w:b/>
        </w:rPr>
        <w:t xml:space="preserve">Уровень убедительности рекомендаций </w:t>
      </w:r>
      <w:r w:rsidR="004C037A" w:rsidRPr="00F6217A">
        <w:rPr>
          <w:b/>
        </w:rPr>
        <w:t xml:space="preserve">С </w:t>
      </w:r>
      <w:r w:rsidRPr="00F6217A">
        <w:rPr>
          <w:b/>
        </w:rPr>
        <w:t xml:space="preserve">(уровень достоверности доказательств </w:t>
      </w:r>
      <w:r w:rsidR="004C037A" w:rsidRPr="00F6217A">
        <w:rPr>
          <w:b/>
        </w:rPr>
        <w:t>5</w:t>
      </w:r>
      <w:r w:rsidRPr="00F6217A">
        <w:rPr>
          <w:b/>
        </w:rPr>
        <w:t>)</w:t>
      </w:r>
    </w:p>
    <w:p w14:paraId="30112BF4" w14:textId="77777777" w:rsidR="00493844" w:rsidRDefault="00493844" w:rsidP="008D50EC">
      <w:pPr>
        <w:ind w:left="709" w:firstLine="0"/>
        <w:contextualSpacing/>
        <w:rPr>
          <w:i/>
        </w:rPr>
      </w:pPr>
      <w:r w:rsidRPr="008E7EEC">
        <w:rPr>
          <w:b/>
        </w:rPr>
        <w:t>Комментарий:</w:t>
      </w:r>
      <w:r w:rsidRPr="008E7EEC">
        <w:rPr>
          <w:bCs/>
        </w:rPr>
        <w:t xml:space="preserve"> </w:t>
      </w:r>
      <w:r w:rsidRPr="007A672C">
        <w:rPr>
          <w:i/>
        </w:rPr>
        <w:t>В зону облучения необходимо включать желудок и перигастральные л/у, РОД 2 Гр, СОД</w:t>
      </w:r>
      <w:r w:rsidRPr="00E431B4">
        <w:rPr>
          <w:i/>
        </w:rPr>
        <w:t xml:space="preserve"> 24-30 Гр</w:t>
      </w:r>
      <w:r w:rsidRPr="00493844">
        <w:rPr>
          <w:i/>
        </w:rPr>
        <w:t>; следует помнить, что при каждом сеансе облучения желудок должен быть одинакового объёма.</w:t>
      </w:r>
      <w:r w:rsidR="008D50EC">
        <w:rPr>
          <w:i/>
        </w:rPr>
        <w:t xml:space="preserve"> </w:t>
      </w:r>
      <w:r w:rsidR="008D50EC" w:rsidRPr="008D50EC">
        <w:rPr>
          <w:i/>
        </w:rPr>
        <w:t>Предлучевую подготовку рекомендуется проводить натощак – не менее 4 часов после приёма пищи. Органы риска: сердце, левая почка, спинной мозг, поджелудочная железа. Перед началом лечения обязательно исследование выделительной функции обеих почек. Желательно оценивать движения лёгких, проводить ЛТ с задержкой дыхания на вдохе (респираторный гейтинг).</w:t>
      </w:r>
      <w:r w:rsidR="008D50EC">
        <w:rPr>
          <w:i/>
        </w:rPr>
        <w:t xml:space="preserve"> </w:t>
      </w:r>
      <w:r w:rsidR="008D50EC" w:rsidRPr="008D50EC">
        <w:rPr>
          <w:i/>
        </w:rPr>
        <w:t>Суммарные дозы на желудок и перигастральные л/у (даже без признаков их вовлечения) должны составлять 30 Гр + «буст» на видимую опухоль 6 Гр.</w:t>
      </w:r>
      <w:r w:rsidR="008D50EC">
        <w:rPr>
          <w:i/>
        </w:rPr>
        <w:t xml:space="preserve"> </w:t>
      </w:r>
      <w:r w:rsidR="008D50EC" w:rsidRPr="008D50EC">
        <w:rPr>
          <w:i/>
        </w:rPr>
        <w:t>Использование передовых технологий ЛТ, таких как 3D конформная ЛТ и её варианты (IMRT, VMAT), позволяет подвести высокую дозу к органу-мишени и снизить её на органы риска.</w:t>
      </w:r>
    </w:p>
    <w:p w14:paraId="30112BF5" w14:textId="77777777" w:rsidR="00493844" w:rsidRPr="004A4546" w:rsidRDefault="00493844" w:rsidP="00F6217A">
      <w:pPr>
        <w:pStyle w:val="a"/>
      </w:pPr>
      <w:r>
        <w:t xml:space="preserve">Пациентам </w:t>
      </w:r>
      <w:r w:rsidR="008D50EC">
        <w:t xml:space="preserve">с верифицированными ранними стадиями </w:t>
      </w:r>
      <w:r w:rsidR="009F231E" w:rsidRPr="006E5E8C">
        <w:t>MALT-лимфомы желудка</w:t>
      </w:r>
      <w:r>
        <w:t>,</w:t>
      </w:r>
      <w:r w:rsidRPr="008A0973">
        <w:t xml:space="preserve"> </w:t>
      </w:r>
      <w:r>
        <w:t xml:space="preserve">инфицированным </w:t>
      </w:r>
      <w:r>
        <w:rPr>
          <w:lang w:val="en-US"/>
        </w:rPr>
        <w:t>H</w:t>
      </w:r>
      <w:r w:rsidRPr="005C25FB">
        <w:t xml:space="preserve">. </w:t>
      </w:r>
      <w:r>
        <w:rPr>
          <w:lang w:val="en-US"/>
        </w:rPr>
        <w:t>Pylori</w:t>
      </w:r>
      <w:r>
        <w:t>,</w:t>
      </w:r>
      <w:r w:rsidRPr="008A0973">
        <w:t xml:space="preserve"> пр</w:t>
      </w:r>
      <w:r>
        <w:t>и</w:t>
      </w:r>
      <w:r w:rsidRPr="008A0973">
        <w:t xml:space="preserve"> </w:t>
      </w:r>
      <w:r>
        <w:t xml:space="preserve">эрадикации </w:t>
      </w:r>
      <w:r w:rsidRPr="008A0973">
        <w:t xml:space="preserve">H. pylori </w:t>
      </w:r>
      <w:r>
        <w:t xml:space="preserve">но </w:t>
      </w:r>
      <w:r w:rsidR="00ED0B3A">
        <w:t xml:space="preserve">сохранении лимфомы без клинических симптомов </w:t>
      </w:r>
      <w:r w:rsidRPr="0038639D">
        <w:rPr>
          <w:b/>
        </w:rPr>
        <w:t>рекоменд</w:t>
      </w:r>
      <w:r>
        <w:rPr>
          <w:b/>
        </w:rPr>
        <w:t>ован</w:t>
      </w:r>
      <w:r w:rsidR="00ED0B3A">
        <w:rPr>
          <w:b/>
        </w:rPr>
        <w:t>а</w:t>
      </w:r>
      <w:r>
        <w:rPr>
          <w:b/>
        </w:rPr>
        <w:t xml:space="preserve"> </w:t>
      </w:r>
      <w:r w:rsidR="00ED0B3A" w:rsidRPr="00ED0B3A">
        <w:t>выжидательная тактика с регулярным эндоскопическим мониторингом (каждые 3 месяца)</w:t>
      </w:r>
      <w:r>
        <w:t xml:space="preserve"> </w:t>
      </w:r>
      <w:r w:rsidR="00ED0B3A">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rsidR="00ED0B3A">
        <w:fldChar w:fldCharType="separate"/>
      </w:r>
      <w:r w:rsidR="00342C61" w:rsidRPr="00342C61">
        <w:rPr>
          <w:noProof/>
        </w:rPr>
        <w:t>[5,9,10]</w:t>
      </w:r>
      <w:r w:rsidR="00ED0B3A">
        <w:fldChar w:fldCharType="end"/>
      </w:r>
      <w:r w:rsidRPr="008A0973">
        <w:t>.</w:t>
      </w:r>
    </w:p>
    <w:p w14:paraId="30112BF6" w14:textId="77777777" w:rsidR="00493844" w:rsidRDefault="00493844" w:rsidP="00493844">
      <w:pPr>
        <w:ind w:left="709" w:firstLine="0"/>
        <w:contextualSpacing/>
        <w:rPr>
          <w:b/>
        </w:rPr>
      </w:pPr>
      <w:r w:rsidRPr="00F6217A">
        <w:rPr>
          <w:b/>
        </w:rPr>
        <w:t xml:space="preserve">Уровень убедительности рекомендаций </w:t>
      </w:r>
      <w:r w:rsidR="008D50EC" w:rsidRPr="00F6217A">
        <w:rPr>
          <w:b/>
        </w:rPr>
        <w:t>С</w:t>
      </w:r>
      <w:r w:rsidRPr="00F6217A">
        <w:rPr>
          <w:b/>
        </w:rPr>
        <w:t xml:space="preserve"> (уровень достоверности доказательств </w:t>
      </w:r>
      <w:r w:rsidR="008D50EC" w:rsidRPr="00F6217A">
        <w:rPr>
          <w:b/>
        </w:rPr>
        <w:t>5</w:t>
      </w:r>
      <w:r w:rsidRPr="00F6217A">
        <w:rPr>
          <w:b/>
        </w:rPr>
        <w:t>).</w:t>
      </w:r>
    </w:p>
    <w:p w14:paraId="30112BF7" w14:textId="77777777" w:rsidR="008D50EC" w:rsidRPr="004A4546" w:rsidRDefault="008D50EC" w:rsidP="00F6217A">
      <w:pPr>
        <w:pStyle w:val="a"/>
      </w:pPr>
      <w:r>
        <w:t xml:space="preserve">Пациентам верифицированными ранними стадиями </w:t>
      </w:r>
      <w:r w:rsidR="009F231E" w:rsidRPr="006E5E8C">
        <w:t>MALT-лимфомы желудка</w:t>
      </w:r>
      <w:r>
        <w:t>,</w:t>
      </w:r>
      <w:r w:rsidRPr="008A0973">
        <w:t xml:space="preserve"> </w:t>
      </w:r>
      <w:r>
        <w:t xml:space="preserve">у которых </w:t>
      </w:r>
      <w:r>
        <w:rPr>
          <w:lang w:val="en-US"/>
        </w:rPr>
        <w:t>H</w:t>
      </w:r>
      <w:r w:rsidRPr="005C25FB">
        <w:t xml:space="preserve">. </w:t>
      </w:r>
      <w:r>
        <w:rPr>
          <w:lang w:val="en-US"/>
        </w:rPr>
        <w:t>Pylori</w:t>
      </w:r>
      <w:r>
        <w:t xml:space="preserve"> и антитела к нему не обнаружены,</w:t>
      </w:r>
      <w:r w:rsidRPr="008A0973">
        <w:t xml:space="preserve"> </w:t>
      </w:r>
      <w:r w:rsidRPr="0038639D">
        <w:rPr>
          <w:b/>
        </w:rPr>
        <w:t>рекоменд</w:t>
      </w:r>
      <w:r>
        <w:rPr>
          <w:b/>
        </w:rPr>
        <w:t xml:space="preserve">ована </w:t>
      </w:r>
      <w:r w:rsidRPr="008D50EC">
        <w:rPr>
          <w:bCs/>
        </w:rPr>
        <w:t>ЛТ</w:t>
      </w:r>
      <w:r>
        <w:t xml:space="preserve"> (программа такая же, как при неэффективности антихеликобактерной терапии)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rsidRPr="008A0973">
        <w:t>.</w:t>
      </w:r>
    </w:p>
    <w:p w14:paraId="30112BF8" w14:textId="77777777" w:rsidR="008D50EC" w:rsidRDefault="008D50EC" w:rsidP="008D50EC">
      <w:pPr>
        <w:ind w:left="709" w:firstLine="0"/>
        <w:contextualSpacing/>
        <w:rPr>
          <w:b/>
        </w:rPr>
      </w:pPr>
      <w:r w:rsidRPr="00F6217A">
        <w:rPr>
          <w:b/>
        </w:rPr>
        <w:t>Уровень убедительности рекомендаций С (уровень достоверности доказательств 5).</w:t>
      </w:r>
    </w:p>
    <w:p w14:paraId="30112BF9" w14:textId="77777777" w:rsidR="008D50EC" w:rsidRDefault="008D50EC" w:rsidP="008D50EC">
      <w:pPr>
        <w:ind w:left="709" w:firstLine="0"/>
        <w:contextualSpacing/>
        <w:rPr>
          <w:i/>
        </w:rPr>
      </w:pPr>
      <w:r w:rsidRPr="008E7EEC">
        <w:rPr>
          <w:b/>
        </w:rPr>
        <w:t>Комментарий:</w:t>
      </w:r>
      <w:r w:rsidRPr="008E7EEC">
        <w:rPr>
          <w:bCs/>
        </w:rPr>
        <w:t xml:space="preserve"> </w:t>
      </w:r>
      <w:r>
        <w:rPr>
          <w:i/>
        </w:rPr>
        <w:t>пациентам</w:t>
      </w:r>
      <w:r w:rsidRPr="008D50EC">
        <w:rPr>
          <w:i/>
        </w:rPr>
        <w:t xml:space="preserve"> с t(11;18) необходимо увеличивать дозу ЛТ. В таких ситуациях после подведения СОД 30 Гр целесообразно сделать 2-3-недельный перерыв с повторной оценкой степени регрессии опухоли, при </w:t>
      </w:r>
      <w:r w:rsidRPr="008D50EC">
        <w:rPr>
          <w:i/>
        </w:rPr>
        <w:lastRenderedPageBreak/>
        <w:t>наличии остаточной опухоли – дополнительное локальное облучение (10-14 Гр).</w:t>
      </w:r>
    </w:p>
    <w:p w14:paraId="30112BFA" w14:textId="77777777" w:rsidR="008D50EC" w:rsidRDefault="00021834" w:rsidP="008D50EC">
      <w:pPr>
        <w:ind w:left="709" w:firstLine="0"/>
        <w:contextualSpacing/>
        <w:rPr>
          <w:i/>
        </w:rPr>
      </w:pPr>
      <w:r w:rsidRPr="00021834">
        <w:rPr>
          <w:i/>
        </w:rPr>
        <w:t>Через 3-6 месяцев после завершения ЛТ необходимо проведение рестадирования с эндоскопическим исследованием и биопсией зон поражения. При полной ремиссии (ПР) рекомендуется обследование каждые 3-6 месяцев и затем – ежегодно. Персистенция или прогрессирование лимфомы через 3-6 месяцев после ЛТ является основанием для химиотерапии по схемам для фолликулярной лимфомы (ФЛ) I-II цитологического типа.</w:t>
      </w:r>
    </w:p>
    <w:p w14:paraId="30112BFB" w14:textId="77777777" w:rsidR="008D50EC" w:rsidRDefault="00021834" w:rsidP="00F24259">
      <w:pPr>
        <w:pStyle w:val="a"/>
      </w:pPr>
      <w:r>
        <w:t xml:space="preserve">Пациентам верифицированными ранними стадиями </w:t>
      </w:r>
      <w:r w:rsidR="009F231E" w:rsidRPr="006E5E8C">
        <w:t>MALT-лимфомы желудка</w:t>
      </w:r>
      <w:r>
        <w:t>,</w:t>
      </w:r>
      <w:r w:rsidRPr="008A0973">
        <w:t xml:space="preserve"> </w:t>
      </w:r>
      <w:r>
        <w:t xml:space="preserve">у которых </w:t>
      </w:r>
      <w:r>
        <w:rPr>
          <w:lang w:val="en-US"/>
        </w:rPr>
        <w:t>H</w:t>
      </w:r>
      <w:r w:rsidRPr="005C25FB">
        <w:t xml:space="preserve">. </w:t>
      </w:r>
      <w:r>
        <w:rPr>
          <w:lang w:val="en-US"/>
        </w:rPr>
        <w:t>Pylori</w:t>
      </w:r>
      <w:r>
        <w:t xml:space="preserve"> и антитела к нему не обнаружены, при наличии противопоказаний или невозможности проведения ЛТ</w:t>
      </w:r>
      <w:r w:rsidRPr="008A0973">
        <w:t xml:space="preserve"> </w:t>
      </w:r>
      <w:r w:rsidRPr="0038639D">
        <w:rPr>
          <w:b/>
        </w:rPr>
        <w:t>рекоменд</w:t>
      </w:r>
      <w:r>
        <w:rPr>
          <w:b/>
        </w:rPr>
        <w:t xml:space="preserve">ована </w:t>
      </w:r>
      <w:r>
        <w:rPr>
          <w:bCs/>
        </w:rPr>
        <w:t>монотерапия ритуксимабом</w:t>
      </w:r>
      <w:r w:rsidRPr="00021834">
        <w:rPr>
          <w:bCs/>
        </w:rPr>
        <w:t>**</w:t>
      </w:r>
      <w: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rsidRPr="008A0973">
        <w:t>.</w:t>
      </w:r>
    </w:p>
    <w:p w14:paraId="30112BFC" w14:textId="77777777" w:rsidR="002E5470" w:rsidRDefault="002E5470" w:rsidP="00F24259">
      <w:pPr>
        <w:pStyle w:val="afffa"/>
      </w:pPr>
      <w:r w:rsidRPr="00F6217A">
        <w:t>Уровень убедительности рекомендаций С (уровень достоверности доказательств 5).</w:t>
      </w:r>
    </w:p>
    <w:p w14:paraId="30112BFD" w14:textId="77777777" w:rsidR="008D50EC" w:rsidRDefault="008D50EC" w:rsidP="0049725A">
      <w:pPr>
        <w:pStyle w:val="a"/>
      </w:pPr>
      <w:r>
        <w:t xml:space="preserve">Пациентам с верифицированными ранними стадиями </w:t>
      </w:r>
      <w:r w:rsidR="009F231E" w:rsidRPr="006E5E8C">
        <w:t>MALT-лимфомы желудка</w:t>
      </w:r>
      <w:r w:rsidRPr="008D50EC">
        <w:t xml:space="preserve"> при изъязвленной </w:t>
      </w:r>
      <w:r w:rsidRPr="0049725A">
        <w:t>кровоточащей</w:t>
      </w:r>
      <w:r w:rsidRPr="008D50EC">
        <w:t xml:space="preserve"> опухоли </w:t>
      </w:r>
      <w:r w:rsidRPr="0038639D">
        <w:rPr>
          <w:b/>
        </w:rPr>
        <w:t>рекоменд</w:t>
      </w:r>
      <w:r>
        <w:rPr>
          <w:b/>
        </w:rPr>
        <w:t>овано</w:t>
      </w:r>
      <w:r w:rsidRPr="008D50EC">
        <w:t xml:space="preserve"> хирургическое лечение с послеоперационной ЛТ 30 Гр</w:t>
      </w:r>
      <w:r>
        <w:t xml:space="preserve">  </w:t>
      </w:r>
      <w:r>
        <w:fldChar w:fldCharType="begin" w:fldLock="1"/>
      </w:r>
      <w:r w:rsidR="00F6217A">
        <w:instrText>ADDIN CSL_CITATION {"citationItems":[{"id":"ITEM-1","itemData":{"DOI":"10.1159/000347176","ISSN":"02572753","abstract":"Treatment of gastric marginal zone B cell lymphoma of MALT (mucosa-associated lymphoid tissue) is nowadays standardized as outlined in the German S3 guideline of 2009 and the European (EGILS) consensus report of 2011. The first choice of treatment is Helicobacter pylori eradication in any case irrespective of H. pylori status and lymphoma stage. Some 70-80% of patients reveal complete remission of MALT lymphoma following successful eradication of the bacterium. Those patients with histologically persisting lymphoma residuals are managed by a watch-and-wait strategy. Nonresponders to H. pylori eradication are referred to radiation with a curative intention in stages I and II. The rare cases of MALT lymphoma of stage III and IV should be treated by chemotherapy. Surgery no longer plays a role in the therapy of gastric MALT lymphoma except for very rare complications such as perforation or bleeding that cannot be controlled endoscopically. Diffuse large B cell lymphoma (DLBCL) is the second most common gastric lymphoma. H. pylori eradication may lead to regression of DLBCL in the individual case. However, immunochemotherapy by a combination of rituximab and the CHOP protocol represents the standard treatment approach in patients with DLBCL and offers a good curative chance. © 2013 S. Karger AG, Basel.","author":[{"dropping-particle":"","family":"Fischbach","given":"Wolfgang","non-dropping-particle":"","parse-names":false,"suffix":""}],"container-title":"Digestive Diseases","id":"ITEM-1","issue":"1","issued":{"date-parts":[["2013","6"]]},"page":"38-42","title":"MALT lymphoma: Forget surgery?","type":"article-journal","volume":"31"},"uris":["http://www.mendeley.com/documents/?uuid=46e7e95a-94fe-3343-8d47-681f86a78aeb"]}],"mendeley":{"formattedCitation":"[21]","plainTextFormattedCitation":"[21]","previouslyFormattedCitation":"[21]"},"properties":{"noteIndex":0},"schema":"https://github.com/citation-style-language/schema/raw/master/csl-citation.json"}</w:instrText>
      </w:r>
      <w:r>
        <w:fldChar w:fldCharType="separate"/>
      </w:r>
      <w:r w:rsidR="00342C61" w:rsidRPr="00342C61">
        <w:rPr>
          <w:noProof/>
        </w:rPr>
        <w:t>[21]</w:t>
      </w:r>
      <w:r>
        <w:fldChar w:fldCharType="end"/>
      </w:r>
      <w:r w:rsidRPr="008A0973">
        <w:t>.</w:t>
      </w:r>
    </w:p>
    <w:p w14:paraId="30112BFE" w14:textId="77777777" w:rsidR="008D50EC" w:rsidRDefault="008D50EC" w:rsidP="008D50EC">
      <w:pPr>
        <w:pStyle w:val="afe"/>
        <w:spacing w:before="120" w:after="120"/>
        <w:ind w:left="709" w:firstLine="0"/>
        <w:rPr>
          <w:b/>
        </w:rPr>
      </w:pPr>
      <w:r w:rsidRPr="00F6217A">
        <w:rPr>
          <w:b/>
        </w:rPr>
        <w:t>Уровень убедительности рекомендаций С (уровень достоверности доказательств 5).</w:t>
      </w:r>
    </w:p>
    <w:p w14:paraId="30112BFF" w14:textId="77777777" w:rsidR="00E505FF" w:rsidRDefault="00E505FF" w:rsidP="00E505FF">
      <w:pPr>
        <w:pStyle w:val="2"/>
        <w:contextualSpacing/>
      </w:pPr>
      <w:bookmarkStart w:id="38" w:name="_Toc65108028"/>
      <w:r>
        <w:t>3.2 Лечение пациентов c</w:t>
      </w:r>
      <w:r w:rsidR="009C1559">
        <w:t xml:space="preserve"> ранними стадиями</w:t>
      </w:r>
      <w:r>
        <w:t xml:space="preserve"> </w:t>
      </w:r>
      <w:r>
        <w:rPr>
          <w:lang w:val="en-US"/>
        </w:rPr>
        <w:t>MALT</w:t>
      </w:r>
      <w:r w:rsidRPr="004403B5">
        <w:t>-</w:t>
      </w:r>
      <w:r>
        <w:t>лимфом</w:t>
      </w:r>
      <w:r w:rsidR="009C1559">
        <w:t>ы</w:t>
      </w:r>
      <w:r>
        <w:t xml:space="preserve"> других локализаций</w:t>
      </w:r>
      <w:bookmarkEnd w:id="38"/>
      <w:r>
        <w:t xml:space="preserve"> </w:t>
      </w:r>
    </w:p>
    <w:p w14:paraId="30112C00" w14:textId="77777777" w:rsidR="00E505FF" w:rsidRDefault="00E505FF" w:rsidP="006E5E8C">
      <w:pPr>
        <w:pStyle w:val="a"/>
      </w:pPr>
      <w:r>
        <w:t xml:space="preserve">Пациентам с </w:t>
      </w:r>
      <w:r>
        <w:rPr>
          <w:lang w:val="en-US"/>
        </w:rPr>
        <w:t>MALT</w:t>
      </w:r>
      <w:r w:rsidRPr="00E505FF">
        <w:t>-</w:t>
      </w:r>
      <w:r>
        <w:t xml:space="preserve">лимфомами других локализаций </w:t>
      </w:r>
      <w:r w:rsidRPr="008A0973">
        <w:t xml:space="preserve"> </w:t>
      </w:r>
      <w:r w:rsidRPr="0038639D">
        <w:rPr>
          <w:b/>
        </w:rPr>
        <w:t>рекоменд</w:t>
      </w:r>
      <w:r>
        <w:rPr>
          <w:b/>
        </w:rPr>
        <w:t xml:space="preserve">овано </w:t>
      </w:r>
      <w:r>
        <w:rPr>
          <w:bCs/>
        </w:rPr>
        <w:t xml:space="preserve">начало специфической терапии при наличии одного из следующих симптомов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01" w14:textId="77777777" w:rsidR="00E505FF" w:rsidRDefault="00E505FF" w:rsidP="00D22A46">
      <w:pPr>
        <w:pStyle w:val="afe"/>
        <w:numPr>
          <w:ilvl w:val="1"/>
          <w:numId w:val="10"/>
        </w:numPr>
        <w:spacing w:before="120" w:after="120"/>
      </w:pPr>
      <w:r w:rsidRPr="009865B8">
        <w:t xml:space="preserve">болевой синдром, </w:t>
      </w:r>
    </w:p>
    <w:p w14:paraId="30112C02" w14:textId="77777777" w:rsidR="00E505FF" w:rsidRDefault="00E505FF" w:rsidP="00D22A46">
      <w:pPr>
        <w:pStyle w:val="afe"/>
        <w:numPr>
          <w:ilvl w:val="1"/>
          <w:numId w:val="10"/>
        </w:numPr>
        <w:spacing w:before="120" w:after="120"/>
      </w:pPr>
      <w:r w:rsidRPr="009865B8">
        <w:t xml:space="preserve">нарушение функции органа, </w:t>
      </w:r>
    </w:p>
    <w:p w14:paraId="30112C03" w14:textId="77777777" w:rsidR="00E505FF" w:rsidRDefault="00E505FF" w:rsidP="00D22A46">
      <w:pPr>
        <w:pStyle w:val="afe"/>
        <w:numPr>
          <w:ilvl w:val="1"/>
          <w:numId w:val="10"/>
        </w:numPr>
        <w:spacing w:before="120" w:after="120"/>
      </w:pPr>
      <w:r w:rsidRPr="009865B8">
        <w:t xml:space="preserve">кровотечение, </w:t>
      </w:r>
    </w:p>
    <w:p w14:paraId="30112C04" w14:textId="77777777" w:rsidR="00E505FF" w:rsidRPr="004A4546" w:rsidRDefault="00E505FF" w:rsidP="00D22A46">
      <w:pPr>
        <w:pStyle w:val="afe"/>
        <w:numPr>
          <w:ilvl w:val="1"/>
          <w:numId w:val="10"/>
        </w:numPr>
        <w:spacing w:before="120" w:after="120"/>
      </w:pPr>
      <w:r w:rsidRPr="009865B8">
        <w:t>массивное поражение</w:t>
      </w:r>
    </w:p>
    <w:p w14:paraId="30112C05" w14:textId="77777777" w:rsidR="00E505FF" w:rsidRDefault="00E505FF" w:rsidP="00E505FF">
      <w:pPr>
        <w:ind w:left="709" w:firstLine="0"/>
        <w:contextualSpacing/>
        <w:rPr>
          <w:b/>
        </w:rPr>
      </w:pPr>
      <w:r w:rsidRPr="00F6217A">
        <w:rPr>
          <w:b/>
        </w:rPr>
        <w:t>Уровень убедительности рекомендаций С (уровень достоверности доказательств 5).</w:t>
      </w:r>
    </w:p>
    <w:p w14:paraId="30112C06" w14:textId="77777777" w:rsidR="00E505FF" w:rsidRDefault="00E505FF" w:rsidP="00E505FF">
      <w:pPr>
        <w:pStyle w:val="afe"/>
        <w:spacing w:before="120" w:after="120"/>
        <w:ind w:left="709" w:firstLine="0"/>
        <w:rPr>
          <w:i/>
        </w:rPr>
      </w:pPr>
      <w:r w:rsidRPr="008E7EEC">
        <w:rPr>
          <w:b/>
        </w:rPr>
        <w:t>Комментарий:</w:t>
      </w:r>
      <w:r w:rsidRPr="008E7EEC">
        <w:rPr>
          <w:bCs/>
        </w:rPr>
        <w:t xml:space="preserve"> </w:t>
      </w:r>
      <w:r w:rsidRPr="009865B8">
        <w:rPr>
          <w:i/>
        </w:rPr>
        <w:t>при отсутствии показаний возможно динамическое наблюдение</w:t>
      </w:r>
      <w:r>
        <w:rPr>
          <w:i/>
        </w:rPr>
        <w:t xml:space="preserve"> (при возможности его полноценного осуществления)</w:t>
      </w:r>
      <w:r w:rsidR="0049725A">
        <w:rPr>
          <w:i/>
        </w:rPr>
        <w:t xml:space="preserve"> с приемом </w:t>
      </w:r>
      <w:r w:rsidR="0049725A">
        <w:rPr>
          <w:i/>
        </w:rPr>
        <w:lastRenderedPageBreak/>
        <w:t>врача-специалиста (лечащего врача) не реже</w:t>
      </w:r>
      <w:r w:rsidR="00F6217A">
        <w:rPr>
          <w:i/>
        </w:rPr>
        <w:t xml:space="preserve"> 1 раза в</w:t>
      </w:r>
      <w:r w:rsidR="00F6217A" w:rsidRPr="00267769">
        <w:rPr>
          <w:i/>
        </w:rPr>
        <w:t xml:space="preserve"> 3 </w:t>
      </w:r>
      <w:r w:rsidR="00F6217A">
        <w:rPr>
          <w:i/>
        </w:rPr>
        <w:t>месяца в течение первого года после установки диагноза, далее – не реже 1 раза в 6 месяцев</w:t>
      </w:r>
      <w:r>
        <w:rPr>
          <w:i/>
        </w:rPr>
        <w:t>.</w:t>
      </w:r>
    </w:p>
    <w:p w14:paraId="30112C07" w14:textId="77777777" w:rsidR="00E505FF" w:rsidRPr="004A4546" w:rsidRDefault="00E505FF" w:rsidP="006E5E8C">
      <w:pPr>
        <w:pStyle w:val="a"/>
      </w:pPr>
      <w:r>
        <w:t xml:space="preserve">Пациентам с ранними стадиями </w:t>
      </w:r>
      <w:r>
        <w:rPr>
          <w:lang w:val="en-US"/>
        </w:rPr>
        <w:t>MALT</w:t>
      </w:r>
      <w:r w:rsidRPr="00E505FF">
        <w:t>-</w:t>
      </w:r>
      <w:r>
        <w:t xml:space="preserve">лимфомы других локализаций при наличии показаний к началу терапии </w:t>
      </w:r>
      <w:r w:rsidRPr="0038639D">
        <w:rPr>
          <w:b/>
        </w:rPr>
        <w:t>рекоменд</w:t>
      </w:r>
      <w:r>
        <w:rPr>
          <w:b/>
        </w:rPr>
        <w:t xml:space="preserve">ована </w:t>
      </w:r>
      <w:r w:rsidRPr="008D50EC">
        <w:rPr>
          <w:bCs/>
        </w:rPr>
        <w:t>ЛТ</w:t>
      </w:r>
      <w:r>
        <w:rPr>
          <w:bCs/>
        </w:rPr>
        <w:t xml:space="preserve"> на вовлеченные области СОД 30-36 Гр</w:t>
      </w:r>
      <w: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rsidRPr="008A0973">
        <w:t>.</w:t>
      </w:r>
    </w:p>
    <w:p w14:paraId="30112C08" w14:textId="77777777" w:rsidR="00E505FF" w:rsidRDefault="00E505FF" w:rsidP="00E505FF">
      <w:pPr>
        <w:ind w:left="709" w:firstLine="0"/>
        <w:contextualSpacing/>
        <w:rPr>
          <w:b/>
        </w:rPr>
      </w:pPr>
      <w:r w:rsidRPr="00F6217A">
        <w:rPr>
          <w:b/>
        </w:rPr>
        <w:t>Уровень убедительности рекомендаций С (уровень достоверности доказательств 5)</w:t>
      </w:r>
    </w:p>
    <w:p w14:paraId="30112C09" w14:textId="77777777" w:rsidR="009C1559" w:rsidRDefault="009C1559" w:rsidP="00E505FF">
      <w:pPr>
        <w:ind w:left="709" w:firstLine="0"/>
        <w:contextualSpacing/>
        <w:rPr>
          <w:b/>
        </w:rPr>
      </w:pPr>
      <w:r w:rsidRPr="008E7EEC">
        <w:rPr>
          <w:b/>
        </w:rPr>
        <w:t>Комментарий:</w:t>
      </w:r>
      <w:r w:rsidRPr="008E7EEC">
        <w:rPr>
          <w:bCs/>
        </w:rPr>
        <w:t xml:space="preserve"> </w:t>
      </w:r>
      <w:r w:rsidRPr="009C1559">
        <w:rPr>
          <w:i/>
        </w:rPr>
        <w:t>при проведении ЛТ MALT-лимфомы орбиты в поле облучения включается орбита и вовлеченные экстраорбитальные зоны, при поражении конъюнктивы или век – весь конъюнктивальный мешок. При этом следует экранировать передние отделы глаза для снижения лучевой нагрузки на хрусталик, но без ущерба для подведения адекватной дозы к опухоли. Доза облучения MALT-лимфомы орбиты должна составлять 24-30 Гр, при значительном распространении может обсуждаться СОД 36 Гр. Для снижения частоты лучевых повреждений рекомендуется проводить лечение РОД 1,5-2 Гр. В случае развития помутнения хрусталика (лучевая катаракта по данным разных исследований развивается в сроки 24-150 мес.) возможна замена его искусственным. Лучевые повреждения – сухость роговицы, кератит, макулярная дегенерация – возникают не так часто (8-12%) и достаточно успешно лечатся с помощью препаратов, стимулирующих процессы регенерации и репарации тканей глаза, улучшающих метаболизм, укрепляющих сосуды глаза (таурин, метилэтилпиридинол, солкосерил).</w:t>
      </w:r>
    </w:p>
    <w:p w14:paraId="30112C0A" w14:textId="77777777" w:rsidR="00E505FF" w:rsidRPr="004A4546" w:rsidRDefault="00E505FF" w:rsidP="00D22A46">
      <w:pPr>
        <w:pStyle w:val="afe"/>
        <w:numPr>
          <w:ilvl w:val="0"/>
          <w:numId w:val="10"/>
        </w:numPr>
        <w:spacing w:before="120" w:after="120"/>
        <w:ind w:left="709" w:hanging="709"/>
      </w:pPr>
      <w:r>
        <w:t xml:space="preserve">Пациентам с ранними стадиями </w:t>
      </w:r>
      <w:r>
        <w:rPr>
          <w:lang w:val="en-US"/>
        </w:rPr>
        <w:t>MALT</w:t>
      </w:r>
      <w:r w:rsidRPr="00E505FF">
        <w:t>-</w:t>
      </w:r>
      <w:r>
        <w:t>лимфом</w:t>
      </w:r>
      <w:r w:rsidR="00DA711B">
        <w:t>ы</w:t>
      </w:r>
      <w:r>
        <w:t xml:space="preserve"> других локализаций при наличии показаний к началу терапии и при наличии противопоказаний или невозможности проведения ЛТ</w:t>
      </w:r>
      <w:r w:rsidRPr="008A0973">
        <w:t xml:space="preserve"> </w:t>
      </w:r>
      <w:r w:rsidRPr="0038639D">
        <w:rPr>
          <w:b/>
        </w:rPr>
        <w:t>рекоменд</w:t>
      </w:r>
      <w:r>
        <w:rPr>
          <w:b/>
        </w:rPr>
        <w:t xml:space="preserve">ована </w:t>
      </w:r>
      <w:r>
        <w:rPr>
          <w:bCs/>
        </w:rPr>
        <w:t>монотерапия ритуксимабом</w:t>
      </w:r>
      <w:r w:rsidRPr="00021834">
        <w:rPr>
          <w:bCs/>
        </w:rPr>
        <w:t>**</w:t>
      </w:r>
      <w:r>
        <w:t xml:space="preserve"> </w:t>
      </w:r>
      <w:r w:rsidR="0085474C">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rsidRPr="008A0973">
        <w:t>.</w:t>
      </w:r>
    </w:p>
    <w:p w14:paraId="30112C0B" w14:textId="77777777" w:rsidR="00E505FF" w:rsidRDefault="00E505FF" w:rsidP="00E505FF">
      <w:pPr>
        <w:ind w:left="709" w:firstLine="0"/>
        <w:contextualSpacing/>
        <w:rPr>
          <w:b/>
        </w:rPr>
      </w:pPr>
      <w:r w:rsidRPr="00F6217A">
        <w:rPr>
          <w:b/>
        </w:rPr>
        <w:t>Уровень убедительности рекомендаций С (уровень достоверности доказательств 5).</w:t>
      </w:r>
    </w:p>
    <w:p w14:paraId="30112C0C" w14:textId="77777777" w:rsidR="00B05B54" w:rsidRPr="004A4546" w:rsidRDefault="00B05B54" w:rsidP="00F6217A">
      <w:pPr>
        <w:pStyle w:val="a"/>
      </w:pPr>
      <w:r>
        <w:t xml:space="preserve">Полностью обследованным пациентам с солитарным очагом </w:t>
      </w:r>
      <w:r>
        <w:rPr>
          <w:lang w:val="en-US"/>
        </w:rPr>
        <w:t>MALT</w:t>
      </w:r>
      <w:r w:rsidRPr="00E505FF">
        <w:t>-</w:t>
      </w:r>
      <w:r>
        <w:t xml:space="preserve">лимфомы </w:t>
      </w:r>
      <w:r w:rsidRPr="00B05B54">
        <w:t>в</w:t>
      </w:r>
      <w:r>
        <w:t xml:space="preserve"> одном из</w:t>
      </w:r>
      <w:r w:rsidRPr="00B05B54">
        <w:t xml:space="preserve"> таких орган</w:t>
      </w:r>
      <w:r>
        <w:t>ов</w:t>
      </w:r>
      <w:r w:rsidRPr="00B05B54">
        <w:t xml:space="preserve">, как легкие, молочная железа, щитовидная железа, толстая кишка </w:t>
      </w:r>
      <w:r w:rsidRPr="0038639D">
        <w:rPr>
          <w:b/>
        </w:rPr>
        <w:t>рекоменд</w:t>
      </w:r>
      <w:r>
        <w:rPr>
          <w:b/>
        </w:rPr>
        <w:t xml:space="preserve">ована </w:t>
      </w:r>
      <w:r>
        <w:rPr>
          <w:bCs/>
        </w:rPr>
        <w:t xml:space="preserve">консультация </w:t>
      </w:r>
      <w:r w:rsidR="006D6B46">
        <w:rPr>
          <w:bCs/>
        </w:rPr>
        <w:t>врача-</w:t>
      </w:r>
      <w:r>
        <w:rPr>
          <w:bCs/>
        </w:rPr>
        <w:t xml:space="preserve">хирурга и, при наличии возможности, хирургическое удаление опухоли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mendeley":{"formattedCitation":"[10]","plainTextFormattedCitation":"[10]","previouslyFormattedCitation":"[10]"},"properties":{"noteIndex":0},"schema":"https://github.com/citation-style-language/schema/raw/master/csl-citation.json"}</w:instrText>
      </w:r>
      <w:r>
        <w:fldChar w:fldCharType="separate"/>
      </w:r>
      <w:r w:rsidR="00342C61" w:rsidRPr="00342C61">
        <w:rPr>
          <w:noProof/>
        </w:rPr>
        <w:t>[10]</w:t>
      </w:r>
      <w:r>
        <w:fldChar w:fldCharType="end"/>
      </w:r>
      <w:r w:rsidRPr="008A0973">
        <w:t>.</w:t>
      </w:r>
    </w:p>
    <w:p w14:paraId="30112C0D" w14:textId="77777777" w:rsidR="00B05B54" w:rsidRDefault="00B05B54" w:rsidP="00B05B54">
      <w:pPr>
        <w:ind w:left="709" w:firstLine="0"/>
        <w:contextualSpacing/>
        <w:rPr>
          <w:b/>
        </w:rPr>
      </w:pPr>
      <w:r w:rsidRPr="00F6217A">
        <w:rPr>
          <w:b/>
        </w:rPr>
        <w:lastRenderedPageBreak/>
        <w:t>Уровень убедительности рекомендаций С (уровень достоверности доказательств 5).</w:t>
      </w:r>
    </w:p>
    <w:p w14:paraId="30112C0E" w14:textId="77777777" w:rsidR="00B05B54" w:rsidRDefault="00B05B54" w:rsidP="00B05B54">
      <w:pPr>
        <w:pStyle w:val="afe"/>
        <w:spacing w:before="120" w:after="120"/>
        <w:ind w:left="709" w:firstLine="0"/>
        <w:rPr>
          <w:i/>
        </w:rPr>
      </w:pPr>
      <w:r w:rsidRPr="008E7EEC">
        <w:rPr>
          <w:b/>
        </w:rPr>
        <w:t>Комментарий:</w:t>
      </w:r>
      <w:r w:rsidRPr="008E7EEC">
        <w:rPr>
          <w:bCs/>
        </w:rPr>
        <w:t xml:space="preserve"> </w:t>
      </w:r>
      <w:r w:rsidRPr="00B05B54">
        <w:rPr>
          <w:i/>
        </w:rPr>
        <w:t>обнаружение клеток лимфомы по краю разреза диктует необходимость проведения локорегионарной ЛТ.</w:t>
      </w:r>
    </w:p>
    <w:p w14:paraId="30112C0F" w14:textId="77777777" w:rsidR="009C1559" w:rsidRDefault="009C1559" w:rsidP="00F6217A">
      <w:pPr>
        <w:pStyle w:val="a"/>
      </w:pPr>
      <w:r>
        <w:t xml:space="preserve">Пациентам </w:t>
      </w:r>
      <w:r w:rsidR="0026691E">
        <w:t xml:space="preserve">с </w:t>
      </w:r>
      <w:r>
        <w:t>верифицированными ра</w:t>
      </w:r>
      <w:r>
        <w:rPr>
          <w:lang w:val="en-US"/>
        </w:rPr>
        <w:t>c</w:t>
      </w:r>
      <w:r>
        <w:t xml:space="preserve">пространенными стадиями </w:t>
      </w:r>
      <w:r>
        <w:rPr>
          <w:lang w:val="en-US"/>
        </w:rPr>
        <w:t>MALT</w:t>
      </w:r>
      <w:r w:rsidRPr="00E505FF">
        <w:t>-</w:t>
      </w:r>
      <w:r>
        <w:t xml:space="preserve">лимфомы других локализаций </w:t>
      </w:r>
      <w:r w:rsidRPr="008A0973">
        <w:t xml:space="preserve"> </w:t>
      </w:r>
      <w:r w:rsidRPr="0038639D">
        <w:rPr>
          <w:b/>
        </w:rPr>
        <w:t>рекоменд</w:t>
      </w:r>
      <w:r>
        <w:rPr>
          <w:b/>
        </w:rPr>
        <w:t xml:space="preserve">овано </w:t>
      </w:r>
      <w:r>
        <w:t xml:space="preserve">проведение иммунохимиотерапии в соответствии с рекомендациями для распространенных стадий ФЛ </w:t>
      </w:r>
      <w:r>
        <w:rPr>
          <w:lang w:val="en-US"/>
        </w:rPr>
        <w:t>I</w:t>
      </w:r>
      <w:r w:rsidRPr="009865B8">
        <w:t>-</w:t>
      </w:r>
      <w:r>
        <w:rPr>
          <w:lang w:val="en-US"/>
        </w:rPr>
        <w:t>II</w:t>
      </w:r>
      <w:r w:rsidRPr="009865B8">
        <w:t xml:space="preserve"> </w:t>
      </w:r>
      <w:r>
        <w:t xml:space="preserve">цитологического типа или </w:t>
      </w:r>
      <w:r w:rsidRPr="009865B8">
        <w:t>локальная ЛТ только на пораженную опухолью часть органа, РОД 2 Гр, СОД 20-40 Гр</w:t>
      </w:r>
      <w:r>
        <w:t xml:space="preserve"> (в зависимости от переносимости лечения пациентом)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10" w14:textId="77777777" w:rsidR="009C1559" w:rsidRDefault="009C1559" w:rsidP="00F6217A">
      <w:pPr>
        <w:pStyle w:val="afe"/>
        <w:spacing w:after="120"/>
        <w:ind w:left="709" w:firstLine="0"/>
        <w:rPr>
          <w:b/>
        </w:rPr>
      </w:pPr>
      <w:r w:rsidRPr="00F6217A">
        <w:rPr>
          <w:b/>
        </w:rPr>
        <w:t>Уровень убедительности рекомендаций С (уровень достоверности доказательств 5).</w:t>
      </w:r>
    </w:p>
    <w:p w14:paraId="30112C11" w14:textId="77777777" w:rsidR="009C1559" w:rsidRPr="009C1559" w:rsidRDefault="009C1559" w:rsidP="009C1559">
      <w:pPr>
        <w:pStyle w:val="2"/>
      </w:pPr>
      <w:bookmarkStart w:id="39" w:name="_Toc65108029"/>
      <w:r>
        <w:t>3.3 Лечение пациентов с распространенными (</w:t>
      </w:r>
      <w:r>
        <w:rPr>
          <w:lang w:val="en-US"/>
        </w:rPr>
        <w:t>III</w:t>
      </w:r>
      <w:r w:rsidRPr="009C1559">
        <w:t>-</w:t>
      </w:r>
      <w:r>
        <w:rPr>
          <w:lang w:val="en-US"/>
        </w:rPr>
        <w:t>IV</w:t>
      </w:r>
      <w:r w:rsidRPr="00ED0B3A">
        <w:t>)</w:t>
      </w:r>
      <w:r>
        <w:t xml:space="preserve"> стадиями </w:t>
      </w:r>
      <w:r>
        <w:rPr>
          <w:lang w:val="en-US"/>
        </w:rPr>
        <w:t>MALT</w:t>
      </w:r>
      <w:r w:rsidRPr="009C1559">
        <w:t>-лимфомы</w:t>
      </w:r>
      <w:bookmarkEnd w:id="39"/>
    </w:p>
    <w:p w14:paraId="30112C12" w14:textId="77777777" w:rsidR="009C1559" w:rsidRDefault="009C1559" w:rsidP="00D22A46">
      <w:pPr>
        <w:pStyle w:val="afe"/>
        <w:numPr>
          <w:ilvl w:val="0"/>
          <w:numId w:val="10"/>
        </w:numPr>
        <w:spacing w:before="120" w:after="120"/>
        <w:ind w:left="709" w:hanging="709"/>
      </w:pPr>
      <w:r>
        <w:t>Пациентам с верифицированными ра</w:t>
      </w:r>
      <w:r>
        <w:rPr>
          <w:lang w:val="en-US"/>
        </w:rPr>
        <w:t>c</w:t>
      </w:r>
      <w:r>
        <w:t xml:space="preserve">пространенными стадиями </w:t>
      </w:r>
      <w:r>
        <w:rPr>
          <w:lang w:val="en-US"/>
        </w:rPr>
        <w:t>MALT</w:t>
      </w:r>
      <w:r w:rsidRPr="009C1559">
        <w:t>-</w:t>
      </w:r>
      <w:r>
        <w:t xml:space="preserve">лимфомы </w:t>
      </w:r>
      <w:r w:rsidRPr="0038639D">
        <w:rPr>
          <w:b/>
        </w:rPr>
        <w:t>рекоменд</w:t>
      </w:r>
      <w:r>
        <w:rPr>
          <w:b/>
        </w:rPr>
        <w:t xml:space="preserve">овано </w:t>
      </w:r>
      <w:r>
        <w:rPr>
          <w:bCs/>
        </w:rPr>
        <w:t xml:space="preserve">начало специфической терапии при наличии одного из следующих симптомов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13" w14:textId="77777777" w:rsidR="009C1559" w:rsidRDefault="009C1559" w:rsidP="00D22A46">
      <w:pPr>
        <w:pStyle w:val="afe"/>
        <w:numPr>
          <w:ilvl w:val="1"/>
          <w:numId w:val="10"/>
        </w:numPr>
        <w:spacing w:before="120" w:after="120"/>
      </w:pPr>
      <w:r w:rsidRPr="009865B8">
        <w:t xml:space="preserve">болевой синдром, </w:t>
      </w:r>
    </w:p>
    <w:p w14:paraId="30112C14" w14:textId="77777777" w:rsidR="009C1559" w:rsidRDefault="009C1559" w:rsidP="00D22A46">
      <w:pPr>
        <w:pStyle w:val="afe"/>
        <w:numPr>
          <w:ilvl w:val="1"/>
          <w:numId w:val="10"/>
        </w:numPr>
        <w:spacing w:before="120" w:after="120"/>
      </w:pPr>
      <w:r w:rsidRPr="009865B8">
        <w:t xml:space="preserve">нарушение функции органа, </w:t>
      </w:r>
    </w:p>
    <w:p w14:paraId="30112C15" w14:textId="77777777" w:rsidR="009C1559" w:rsidRDefault="009C1559" w:rsidP="00D22A46">
      <w:pPr>
        <w:pStyle w:val="afe"/>
        <w:numPr>
          <w:ilvl w:val="1"/>
          <w:numId w:val="10"/>
        </w:numPr>
        <w:spacing w:before="120" w:after="120"/>
      </w:pPr>
      <w:r w:rsidRPr="009865B8">
        <w:t xml:space="preserve">кровотечение, </w:t>
      </w:r>
    </w:p>
    <w:p w14:paraId="30112C16" w14:textId="77777777" w:rsidR="009C1559" w:rsidRPr="00F6217A" w:rsidRDefault="009C1559" w:rsidP="00D22A46">
      <w:pPr>
        <w:pStyle w:val="afe"/>
        <w:numPr>
          <w:ilvl w:val="1"/>
          <w:numId w:val="10"/>
        </w:numPr>
        <w:spacing w:before="120" w:after="120"/>
      </w:pPr>
      <w:r w:rsidRPr="00F6217A">
        <w:t>массивное поражение</w:t>
      </w:r>
    </w:p>
    <w:p w14:paraId="30112C17" w14:textId="77777777" w:rsidR="009C1559" w:rsidRDefault="009C1559" w:rsidP="009C1559">
      <w:pPr>
        <w:ind w:left="709" w:firstLine="0"/>
        <w:contextualSpacing/>
        <w:rPr>
          <w:b/>
        </w:rPr>
      </w:pPr>
      <w:r w:rsidRPr="00F6217A">
        <w:rPr>
          <w:b/>
        </w:rPr>
        <w:t>Уровень убедительности рекомендаций С (уровень достоверности доказательств 5).</w:t>
      </w:r>
    </w:p>
    <w:p w14:paraId="30112C18" w14:textId="77777777" w:rsidR="009C1559" w:rsidRDefault="009C1559" w:rsidP="00F6217A">
      <w:pPr>
        <w:pStyle w:val="afe"/>
        <w:ind w:left="709" w:firstLine="0"/>
        <w:rPr>
          <w:i/>
        </w:rPr>
      </w:pPr>
      <w:r w:rsidRPr="008E7EEC">
        <w:rPr>
          <w:b/>
        </w:rPr>
        <w:t>Комментарий:</w:t>
      </w:r>
      <w:r w:rsidRPr="008E7EEC">
        <w:rPr>
          <w:bCs/>
        </w:rPr>
        <w:t xml:space="preserve"> </w:t>
      </w:r>
      <w:r w:rsidRPr="009865B8">
        <w:rPr>
          <w:i/>
        </w:rPr>
        <w:t>при отсутствии показаний возможно динамическое наблюдение</w:t>
      </w:r>
      <w:r>
        <w:rPr>
          <w:i/>
        </w:rPr>
        <w:t>.</w:t>
      </w:r>
    </w:p>
    <w:p w14:paraId="30112C19" w14:textId="77777777" w:rsidR="009C1559" w:rsidRDefault="009C1559" w:rsidP="00F6217A">
      <w:pPr>
        <w:pStyle w:val="a"/>
      </w:pPr>
      <w:r>
        <w:t>Пациентам с верифицированными ра</w:t>
      </w:r>
      <w:r>
        <w:rPr>
          <w:lang w:val="en-US"/>
        </w:rPr>
        <w:t>c</w:t>
      </w:r>
      <w:r>
        <w:t xml:space="preserve">пространенными стадиями </w:t>
      </w:r>
      <w:r>
        <w:rPr>
          <w:lang w:val="en-US"/>
        </w:rPr>
        <w:t>MALT</w:t>
      </w:r>
      <w:r w:rsidRPr="009C1559">
        <w:t>-</w:t>
      </w:r>
      <w:r>
        <w:t xml:space="preserve">лимфомы с показаниями к началу терапии </w:t>
      </w:r>
      <w:r w:rsidRPr="008A0973">
        <w:t xml:space="preserve"> </w:t>
      </w:r>
      <w:r w:rsidRPr="0038639D">
        <w:rPr>
          <w:b/>
        </w:rPr>
        <w:t>рекоменд</w:t>
      </w:r>
      <w:r>
        <w:rPr>
          <w:b/>
        </w:rPr>
        <w:t xml:space="preserve">овано </w:t>
      </w:r>
      <w:r>
        <w:t xml:space="preserve">проведение иммунохимиотерапии в соответствии с рекомендациями для распространенных стадий ФЛ </w:t>
      </w:r>
      <w:r>
        <w:rPr>
          <w:lang w:val="en-US"/>
        </w:rPr>
        <w:t>I</w:t>
      </w:r>
      <w:r w:rsidRPr="009865B8">
        <w:t>-</w:t>
      </w:r>
      <w:r>
        <w:rPr>
          <w:lang w:val="en-US"/>
        </w:rPr>
        <w:t>II</w:t>
      </w:r>
      <w:r w:rsidRPr="009865B8">
        <w:t xml:space="preserve"> </w:t>
      </w:r>
      <w:r>
        <w:t>цитологического типа</w:t>
      </w:r>
      <w:r w:rsidR="005A6E15" w:rsidRPr="00F6217A">
        <w:t xml:space="preserve"> </w:t>
      </w:r>
      <w:r w:rsidR="005A6E15">
        <w:t>(режимы лечения – см. приложение А3.1)</w:t>
      </w:r>
      <w: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1A" w14:textId="77777777" w:rsidR="009C1559" w:rsidRDefault="009C1559" w:rsidP="00F6217A">
      <w:pPr>
        <w:pStyle w:val="afe"/>
        <w:spacing w:after="120"/>
        <w:ind w:left="709" w:firstLine="0"/>
        <w:rPr>
          <w:b/>
        </w:rPr>
      </w:pPr>
      <w:r w:rsidRPr="00F6217A">
        <w:rPr>
          <w:b/>
        </w:rPr>
        <w:t>Уровень убедительности рекомендаций С (уровень достоверности доказательств 5)</w:t>
      </w:r>
    </w:p>
    <w:p w14:paraId="30112C1B" w14:textId="77777777" w:rsidR="009C1559" w:rsidRDefault="009C1559" w:rsidP="00F6217A">
      <w:pPr>
        <w:pStyle w:val="a"/>
      </w:pPr>
      <w:r>
        <w:lastRenderedPageBreak/>
        <w:t>Пациентам</w:t>
      </w:r>
      <w:r w:rsidRPr="009C1559">
        <w:t xml:space="preserve"> </w:t>
      </w:r>
      <w:r>
        <w:t xml:space="preserve">с  </w:t>
      </w:r>
      <w:r>
        <w:rPr>
          <w:lang w:val="en-US"/>
        </w:rPr>
        <w:t>MALT</w:t>
      </w:r>
      <w:r w:rsidRPr="009C1559">
        <w:t>-</w:t>
      </w:r>
      <w:r>
        <w:t xml:space="preserve">лимфомой, у которых иммуногистохимически выделяется крупноклеточный компонент, независимо от стадии заболевания </w:t>
      </w:r>
      <w:r w:rsidRPr="0038639D">
        <w:rPr>
          <w:b/>
        </w:rPr>
        <w:t>рекоменд</w:t>
      </w:r>
      <w:r>
        <w:rPr>
          <w:b/>
        </w:rPr>
        <w:t xml:space="preserve">овано </w:t>
      </w:r>
      <w:r>
        <w:rPr>
          <w:bCs/>
        </w:rPr>
        <w:t>проведение иммунохимиотерапии в соответствии с рекомендациями для диффузной В-клеточной крупноклеточной лимфомы</w:t>
      </w:r>
      <w:r w:rsidR="00F24259">
        <w:rPr>
          <w:bCs/>
        </w:rPr>
        <w:t xml:space="preserve"> (см. соответствующие клинические рекомендации)</w:t>
      </w:r>
      <w:r>
        <w:rPr>
          <w:bCs/>
        </w:rP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mendeley":{"formattedCitation":"[10]","plainTextFormattedCitation":"[10]","previouslyFormattedCitation":"[10]"},"properties":{"noteIndex":0},"schema":"https://github.com/citation-style-language/schema/raw/master/csl-citation.json"}</w:instrText>
      </w:r>
      <w:r>
        <w:fldChar w:fldCharType="separate"/>
      </w:r>
      <w:r w:rsidR="00342C61" w:rsidRPr="00342C61">
        <w:rPr>
          <w:noProof/>
        </w:rPr>
        <w:t>[10]</w:t>
      </w:r>
      <w:r>
        <w:fldChar w:fldCharType="end"/>
      </w:r>
      <w:r>
        <w:t>.</w:t>
      </w:r>
    </w:p>
    <w:p w14:paraId="30112C1C" w14:textId="77777777" w:rsidR="009C1559" w:rsidRDefault="009C1559" w:rsidP="00F6217A">
      <w:pPr>
        <w:pStyle w:val="afe"/>
        <w:spacing w:after="120"/>
        <w:ind w:left="709" w:firstLine="0"/>
      </w:pPr>
      <w:r w:rsidRPr="00F6217A">
        <w:rPr>
          <w:b/>
        </w:rPr>
        <w:t>Уровень убедительности рекомендаций С (уровень достоверности доказательств 5)</w:t>
      </w:r>
    </w:p>
    <w:p w14:paraId="30112C1D" w14:textId="77777777" w:rsidR="0099072E" w:rsidRPr="009C1559" w:rsidRDefault="0099072E" w:rsidP="0099072E">
      <w:pPr>
        <w:pStyle w:val="2"/>
      </w:pPr>
      <w:bookmarkStart w:id="40" w:name="_Toc65108030"/>
      <w:r>
        <w:t>3.4 Лечение пациентов с нодальной лимфомой маргинальной зоны</w:t>
      </w:r>
      <w:bookmarkEnd w:id="40"/>
      <w:r>
        <w:t xml:space="preserve"> </w:t>
      </w:r>
    </w:p>
    <w:p w14:paraId="30112C1E" w14:textId="77777777" w:rsidR="0099072E" w:rsidRDefault="0099072E" w:rsidP="00D22A46">
      <w:pPr>
        <w:pStyle w:val="afe"/>
        <w:numPr>
          <w:ilvl w:val="0"/>
          <w:numId w:val="10"/>
        </w:numPr>
        <w:spacing w:before="120" w:after="120"/>
        <w:ind w:left="709" w:hanging="709"/>
      </w:pPr>
      <w:r>
        <w:t xml:space="preserve">Пациентам с верифицированной нодальной ЛМЗ </w:t>
      </w:r>
      <w:r w:rsidRPr="008A0973">
        <w:t xml:space="preserve"> </w:t>
      </w:r>
      <w:r w:rsidRPr="0038639D">
        <w:rPr>
          <w:b/>
        </w:rPr>
        <w:t>рекоменд</w:t>
      </w:r>
      <w:r>
        <w:rPr>
          <w:b/>
        </w:rPr>
        <w:t xml:space="preserve">овано </w:t>
      </w:r>
      <w:r>
        <w:rPr>
          <w:bCs/>
        </w:rPr>
        <w:t xml:space="preserve">проведение терапии в соответствии с рекомендациями для ФЛ </w:t>
      </w:r>
      <w:r>
        <w:rPr>
          <w:bCs/>
          <w:lang w:val="en-US"/>
        </w:rPr>
        <w:t>I</w:t>
      </w:r>
      <w:r w:rsidRPr="009865B8">
        <w:rPr>
          <w:bCs/>
        </w:rPr>
        <w:t>-</w:t>
      </w:r>
      <w:r>
        <w:rPr>
          <w:bCs/>
          <w:lang w:val="en-US"/>
        </w:rPr>
        <w:t>II</w:t>
      </w:r>
      <w:r w:rsidRPr="009865B8">
        <w:rPr>
          <w:bCs/>
        </w:rPr>
        <w:t xml:space="preserve"> </w:t>
      </w:r>
      <w:r>
        <w:rPr>
          <w:bCs/>
        </w:rPr>
        <w:t>цитологического типа</w:t>
      </w:r>
      <w:r w:rsidR="00F24259">
        <w:rPr>
          <w:bCs/>
        </w:rPr>
        <w:t xml:space="preserve"> (</w:t>
      </w:r>
      <w:r w:rsidR="005A6E15">
        <w:rPr>
          <w:bCs/>
        </w:rPr>
        <w:t xml:space="preserve">режимы лечения – </w:t>
      </w:r>
      <w:r w:rsidR="00F24259">
        <w:rPr>
          <w:bCs/>
        </w:rPr>
        <w:t>см. приложение А3.1)</w:t>
      </w:r>
      <w:r>
        <w:rPr>
          <w:bCs/>
        </w:rP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1F" w14:textId="77777777" w:rsidR="0099072E" w:rsidRDefault="0099072E" w:rsidP="0099072E">
      <w:pPr>
        <w:pStyle w:val="afe"/>
        <w:spacing w:before="120" w:after="120"/>
        <w:ind w:left="709" w:firstLine="0"/>
        <w:rPr>
          <w:b/>
        </w:rPr>
      </w:pPr>
      <w:r w:rsidRPr="00F6217A">
        <w:rPr>
          <w:b/>
        </w:rPr>
        <w:t>Уровень убедительности рекомендаций С (уровень достоверности доказательств 5)</w:t>
      </w:r>
    </w:p>
    <w:p w14:paraId="30112C20" w14:textId="77777777" w:rsidR="0099072E" w:rsidRPr="009C1559" w:rsidRDefault="0099072E" w:rsidP="0099072E">
      <w:pPr>
        <w:pStyle w:val="2"/>
      </w:pPr>
      <w:bookmarkStart w:id="41" w:name="_Toc65108031"/>
      <w:r>
        <w:t>3.5 Лечение пациентов с лимфомой маргинальной зоны селезенки</w:t>
      </w:r>
      <w:bookmarkEnd w:id="41"/>
    </w:p>
    <w:p w14:paraId="30112C21" w14:textId="77777777" w:rsidR="0099072E" w:rsidRDefault="0099072E" w:rsidP="00D22A46">
      <w:pPr>
        <w:pStyle w:val="afe"/>
        <w:numPr>
          <w:ilvl w:val="0"/>
          <w:numId w:val="10"/>
        </w:numPr>
        <w:spacing w:before="120" w:after="120"/>
        <w:ind w:left="709" w:hanging="709"/>
      </w:pPr>
      <w:r>
        <w:t xml:space="preserve">Пациентам с верифицированной лимфомой маргинальной зоны селезенки </w:t>
      </w:r>
      <w:r w:rsidRPr="0038639D">
        <w:rPr>
          <w:b/>
        </w:rPr>
        <w:t>рекоменд</w:t>
      </w:r>
      <w:r>
        <w:rPr>
          <w:b/>
        </w:rPr>
        <w:t xml:space="preserve">овано </w:t>
      </w:r>
      <w:r>
        <w:rPr>
          <w:bCs/>
        </w:rPr>
        <w:t xml:space="preserve">начало специфической терапии при наличии одного из следующих симптомов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22" w14:textId="77777777" w:rsidR="0099072E" w:rsidRDefault="0099072E" w:rsidP="00D22A46">
      <w:pPr>
        <w:pStyle w:val="afe"/>
        <w:numPr>
          <w:ilvl w:val="1"/>
          <w:numId w:val="10"/>
        </w:numPr>
        <w:spacing w:before="120" w:after="120"/>
      </w:pPr>
      <w:r>
        <w:t>спленомегалия</w:t>
      </w:r>
      <w:r w:rsidRPr="009865B8">
        <w:t xml:space="preserve">, </w:t>
      </w:r>
    </w:p>
    <w:p w14:paraId="30112C23" w14:textId="77777777" w:rsidR="0099072E" w:rsidRPr="004A4546" w:rsidRDefault="0099072E" w:rsidP="00D22A46">
      <w:pPr>
        <w:pStyle w:val="afe"/>
        <w:numPr>
          <w:ilvl w:val="1"/>
          <w:numId w:val="10"/>
        </w:numPr>
        <w:spacing w:before="120" w:after="120"/>
      </w:pPr>
      <w:r>
        <w:t xml:space="preserve">прогрессирующая цитопения </w:t>
      </w:r>
    </w:p>
    <w:p w14:paraId="30112C24" w14:textId="77777777" w:rsidR="0099072E" w:rsidRDefault="0099072E" w:rsidP="0099072E">
      <w:pPr>
        <w:ind w:left="709" w:firstLine="0"/>
        <w:contextualSpacing/>
        <w:rPr>
          <w:b/>
        </w:rPr>
      </w:pPr>
      <w:r w:rsidRPr="00F6217A">
        <w:rPr>
          <w:b/>
        </w:rPr>
        <w:t>Уровень убедительности рекомендаций С (уровень достоверности доказательств 5).</w:t>
      </w:r>
    </w:p>
    <w:p w14:paraId="30112C25" w14:textId="77777777" w:rsidR="0099072E" w:rsidRDefault="0099072E" w:rsidP="00F6217A">
      <w:pPr>
        <w:pStyle w:val="afe"/>
        <w:spacing w:after="120"/>
        <w:ind w:left="709" w:firstLine="0"/>
        <w:rPr>
          <w:i/>
        </w:rPr>
      </w:pPr>
      <w:r w:rsidRPr="008E7EEC">
        <w:rPr>
          <w:b/>
        </w:rPr>
        <w:t>Комментарий:</w:t>
      </w:r>
      <w:r w:rsidRPr="008E7EEC">
        <w:rPr>
          <w:bCs/>
        </w:rPr>
        <w:t xml:space="preserve"> </w:t>
      </w:r>
      <w:r w:rsidRPr="009865B8">
        <w:rPr>
          <w:i/>
        </w:rPr>
        <w:t>при отсутствии показаний возможно динамическое наблюдение</w:t>
      </w:r>
      <w:r>
        <w:rPr>
          <w:i/>
        </w:rPr>
        <w:t>.</w:t>
      </w:r>
    </w:p>
    <w:p w14:paraId="30112C26" w14:textId="77777777" w:rsidR="0099072E" w:rsidRDefault="0099072E" w:rsidP="00F6217A">
      <w:pPr>
        <w:pStyle w:val="a"/>
      </w:pPr>
      <w:r>
        <w:t xml:space="preserve">Пациентам с верифицированной лимфомой маргинальной зоны селезенки с гепатитом С </w:t>
      </w:r>
      <w:r w:rsidRPr="0038639D">
        <w:rPr>
          <w:b/>
        </w:rPr>
        <w:t>рекоменд</w:t>
      </w:r>
      <w:r>
        <w:rPr>
          <w:b/>
        </w:rPr>
        <w:t xml:space="preserve">овано </w:t>
      </w:r>
      <w:r>
        <w:rPr>
          <w:bCs/>
        </w:rPr>
        <w:t>проведение терапии вирусного ге</w:t>
      </w:r>
      <w:r w:rsidRPr="0099072E">
        <w:rPr>
          <w:bCs/>
        </w:rPr>
        <w:t>патита</w:t>
      </w:r>
      <w:r w:rsidR="00953107" w:rsidRPr="00F6217A">
        <w:rPr>
          <w:bCs/>
        </w:rPr>
        <w:t xml:space="preserve"> </w:t>
      </w:r>
      <w:r w:rsidR="00953107">
        <w:rPr>
          <w:bCs/>
        </w:rPr>
        <w:t>в соотве</w:t>
      </w:r>
      <w:r w:rsidR="00F6217A">
        <w:rPr>
          <w:bCs/>
        </w:rPr>
        <w:t>т</w:t>
      </w:r>
      <w:r w:rsidR="00953107">
        <w:rPr>
          <w:bCs/>
        </w:rPr>
        <w:t>ствии с клиническими рекомендациями по гепатиту С</w:t>
      </w:r>
      <w:r w:rsidRPr="0099072E">
        <w:rPr>
          <w:bCs/>
        </w:rP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p>
    <w:p w14:paraId="30112C27" w14:textId="77777777" w:rsidR="0099072E" w:rsidRDefault="0099072E" w:rsidP="0099072E">
      <w:pPr>
        <w:ind w:left="709" w:firstLine="0"/>
        <w:contextualSpacing/>
        <w:rPr>
          <w:b/>
        </w:rPr>
      </w:pPr>
      <w:r w:rsidRPr="00F6217A">
        <w:rPr>
          <w:b/>
        </w:rPr>
        <w:t>Уровень убедительности рекомендаций С (уровень достоверности доказательств 5).</w:t>
      </w:r>
    </w:p>
    <w:p w14:paraId="30112C28" w14:textId="77777777" w:rsidR="0099072E" w:rsidRDefault="0099072E" w:rsidP="00D22A46">
      <w:pPr>
        <w:pStyle w:val="afe"/>
        <w:numPr>
          <w:ilvl w:val="0"/>
          <w:numId w:val="10"/>
        </w:numPr>
        <w:spacing w:before="120" w:after="120"/>
        <w:ind w:left="709" w:hanging="709"/>
      </w:pPr>
      <w:r>
        <w:t xml:space="preserve">Пациентам с верифицированной лимфомой маргинальной зоны селезенки с негативными результатами обследования на гепатит С или при </w:t>
      </w:r>
      <w:r>
        <w:lastRenderedPageBreak/>
        <w:t xml:space="preserve">противопоказаниях к противовирусному лечению </w:t>
      </w:r>
      <w:r w:rsidRPr="0038639D">
        <w:rPr>
          <w:b/>
        </w:rPr>
        <w:t>рекоменд</w:t>
      </w:r>
      <w:r>
        <w:rPr>
          <w:b/>
        </w:rPr>
        <w:t xml:space="preserve">ован </w:t>
      </w:r>
      <w:r>
        <w:rPr>
          <w:bCs/>
        </w:rPr>
        <w:t xml:space="preserve">один из следующих вариантов лечения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29" w14:textId="77777777" w:rsidR="0099072E" w:rsidRDefault="0099072E" w:rsidP="00D22A46">
      <w:pPr>
        <w:pStyle w:val="afe"/>
        <w:numPr>
          <w:ilvl w:val="1"/>
          <w:numId w:val="10"/>
        </w:numPr>
        <w:spacing w:before="120" w:after="120"/>
      </w:pPr>
      <w:r>
        <w:t>Монотерапия ритуксимабом</w:t>
      </w:r>
      <w:r w:rsidRPr="0099072E">
        <w:t>**</w:t>
      </w:r>
      <w:r w:rsidRPr="009865B8">
        <w:t xml:space="preserve"> </w:t>
      </w:r>
      <w:r w:rsidR="00F24259">
        <w:t>(см. приложение А3.1)</w:t>
      </w:r>
    </w:p>
    <w:p w14:paraId="30112C2A" w14:textId="77777777" w:rsidR="0099072E" w:rsidRDefault="0099072E" w:rsidP="00D22A46">
      <w:pPr>
        <w:pStyle w:val="afe"/>
        <w:numPr>
          <w:ilvl w:val="1"/>
          <w:numId w:val="10"/>
        </w:numPr>
        <w:spacing w:before="120" w:after="120"/>
      </w:pPr>
      <w:r>
        <w:t>Ритуксимаб</w:t>
      </w:r>
      <w:r w:rsidRPr="0099072E">
        <w:t>**</w:t>
      </w:r>
      <w:r>
        <w:t>-содержащая иммунохимиотерапия по одной из схем для лечения ФЛ</w:t>
      </w:r>
      <w:r w:rsidR="00F24259">
        <w:t xml:space="preserve"> (см. приложение А3.1)</w:t>
      </w:r>
    </w:p>
    <w:p w14:paraId="30112C2B" w14:textId="77777777" w:rsidR="0099072E" w:rsidRPr="004A4546" w:rsidRDefault="0099072E" w:rsidP="00D22A46">
      <w:pPr>
        <w:pStyle w:val="afe"/>
        <w:numPr>
          <w:ilvl w:val="1"/>
          <w:numId w:val="10"/>
        </w:numPr>
        <w:spacing w:before="120" w:after="120"/>
      </w:pPr>
      <w:r>
        <w:t xml:space="preserve">Спленэктомия </w:t>
      </w:r>
    </w:p>
    <w:p w14:paraId="30112C2C" w14:textId="77777777" w:rsidR="0099072E" w:rsidRDefault="0099072E" w:rsidP="0099072E">
      <w:pPr>
        <w:ind w:left="709" w:firstLine="0"/>
        <w:contextualSpacing/>
        <w:rPr>
          <w:b/>
        </w:rPr>
      </w:pPr>
      <w:r w:rsidRPr="00F6217A">
        <w:rPr>
          <w:b/>
        </w:rPr>
        <w:t>Уровень убедительности рекомендаций С (уровень достоверности доказательств 5).</w:t>
      </w:r>
    </w:p>
    <w:p w14:paraId="30112C2D" w14:textId="77777777" w:rsidR="00AE77FF" w:rsidRDefault="00AE77FF" w:rsidP="00AE77FF">
      <w:pPr>
        <w:pStyle w:val="2"/>
        <w:contextualSpacing/>
      </w:pPr>
      <w:bookmarkStart w:id="42" w:name="_Toc65108032"/>
      <w:r w:rsidRPr="00043202">
        <w:t>3.</w:t>
      </w:r>
      <w:r w:rsidR="00697DD3">
        <w:t>4</w:t>
      </w:r>
      <w:r w:rsidRPr="00043202">
        <w:t xml:space="preserve"> Лечение рецидивов</w:t>
      </w:r>
      <w:r w:rsidR="00697DD3">
        <w:t xml:space="preserve"> и рефрактерных форм </w:t>
      </w:r>
      <w:r w:rsidR="00090D97">
        <w:t>ЛМЗ</w:t>
      </w:r>
      <w:bookmarkEnd w:id="42"/>
      <w:r w:rsidRPr="00043202">
        <w:t xml:space="preserve"> </w:t>
      </w:r>
    </w:p>
    <w:p w14:paraId="30112C2E" w14:textId="77777777" w:rsidR="0099072E" w:rsidRDefault="0099072E" w:rsidP="00D22A46">
      <w:pPr>
        <w:pStyle w:val="afe"/>
        <w:numPr>
          <w:ilvl w:val="0"/>
          <w:numId w:val="10"/>
        </w:numPr>
        <w:spacing w:before="120" w:after="120"/>
        <w:ind w:left="709" w:hanging="709"/>
      </w:pPr>
      <w:r>
        <w:t>Пациентам с</w:t>
      </w:r>
      <w:r w:rsidR="004664C1">
        <w:t xml:space="preserve"> редицивами и рефрактерными формами </w:t>
      </w:r>
      <w:r>
        <w:t>ЛМЗ</w:t>
      </w:r>
      <w:r w:rsidRPr="008A0973">
        <w:t xml:space="preserve"> </w:t>
      </w:r>
      <w:r w:rsidRPr="0038639D">
        <w:rPr>
          <w:b/>
        </w:rPr>
        <w:t>рекоменд</w:t>
      </w:r>
      <w:r>
        <w:rPr>
          <w:b/>
        </w:rPr>
        <w:t xml:space="preserve">овано </w:t>
      </w:r>
      <w:r>
        <w:rPr>
          <w:bCs/>
        </w:rPr>
        <w:t>проведение терапии в соответствии с рекомендациями для</w:t>
      </w:r>
      <w:r w:rsidR="004664C1">
        <w:rPr>
          <w:bCs/>
        </w:rPr>
        <w:t xml:space="preserve"> рецидивов и рефрактерных форм</w:t>
      </w:r>
      <w:r>
        <w:rPr>
          <w:bCs/>
        </w:rPr>
        <w:t xml:space="preserve"> ФЛ </w:t>
      </w:r>
      <w:r>
        <w:rPr>
          <w:bCs/>
          <w:lang w:val="en-US"/>
        </w:rPr>
        <w:t>I</w:t>
      </w:r>
      <w:r w:rsidRPr="009865B8">
        <w:rPr>
          <w:bCs/>
        </w:rPr>
        <w:t>-</w:t>
      </w:r>
      <w:r>
        <w:rPr>
          <w:bCs/>
          <w:lang w:val="en-US"/>
        </w:rPr>
        <w:t>II</w:t>
      </w:r>
      <w:r w:rsidRPr="009865B8">
        <w:rPr>
          <w:bCs/>
        </w:rPr>
        <w:t xml:space="preserve"> </w:t>
      </w:r>
      <w:r>
        <w:rPr>
          <w:bCs/>
        </w:rPr>
        <w:t>цитологического типа</w:t>
      </w:r>
      <w:r w:rsidR="005A6E15">
        <w:rPr>
          <w:bCs/>
        </w:rPr>
        <w:t xml:space="preserve"> (режимы лечения – см. приложение А3.1)</w:t>
      </w:r>
      <w:r w:rsidR="004664C1">
        <w:rPr>
          <w:bCs/>
        </w:rPr>
        <w:t xml:space="preserve"> и ЛТ, если она не проводилась ранее</w:t>
      </w:r>
      <w:r>
        <w:rPr>
          <w:bCs/>
        </w:rPr>
        <w:t xml:space="preserve"> </w:t>
      </w:r>
      <w:r>
        <w:fldChar w:fldCharType="begin" w:fldLock="1"/>
      </w:r>
      <w:r w:rsidR="00342C6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[5,9,10]","plainTextFormattedCitation":"[5,9,10]","previouslyFormattedCitation":"[5,9,10]"},"properties":{"noteIndex":0},"schema":"https://github.com/citation-style-language/schema/raw/master/csl-citation.json"}</w:instrText>
      </w:r>
      <w:r>
        <w:fldChar w:fldCharType="separate"/>
      </w:r>
      <w:r w:rsidR="00342C61" w:rsidRPr="00342C61">
        <w:rPr>
          <w:noProof/>
        </w:rPr>
        <w:t>[5,9,10]</w:t>
      </w:r>
      <w:r>
        <w:fldChar w:fldCharType="end"/>
      </w:r>
      <w:r>
        <w:t>.</w:t>
      </w:r>
    </w:p>
    <w:p w14:paraId="30112C2F" w14:textId="77777777" w:rsidR="0099072E" w:rsidRDefault="0099072E" w:rsidP="0099072E">
      <w:pPr>
        <w:pStyle w:val="afe"/>
        <w:spacing w:before="120" w:after="120"/>
        <w:ind w:left="709" w:firstLine="0"/>
        <w:rPr>
          <w:b/>
        </w:rPr>
      </w:pPr>
      <w:r w:rsidRPr="00F6217A">
        <w:rPr>
          <w:b/>
        </w:rPr>
        <w:t>Уровень убедительности рекомендаций С (уровень достоверности доказательств 5).</w:t>
      </w:r>
    </w:p>
    <w:p w14:paraId="30112C30" w14:textId="77777777" w:rsidR="004664C1" w:rsidRDefault="004664C1" w:rsidP="00F6217A">
      <w:pPr>
        <w:pStyle w:val="a"/>
      </w:pPr>
      <w:r>
        <w:t>Пациентам с редицивами и рефрактерными формами ЛМЗ, уже получившим как минимум один курс</w:t>
      </w:r>
      <w:r w:rsidR="005A6E15" w:rsidRPr="006C5550">
        <w:t xml:space="preserve"> </w:t>
      </w:r>
      <w:r w:rsidR="005A6E15">
        <w:t>ритуксимаба</w:t>
      </w:r>
      <w:r w:rsidR="005A6E15" w:rsidRPr="006C5550">
        <w:t>**</w:t>
      </w:r>
      <w:r>
        <w:t xml:space="preserve">, </w:t>
      </w:r>
      <w:r w:rsidRPr="0038639D">
        <w:rPr>
          <w:b/>
        </w:rPr>
        <w:t>рекоменд</w:t>
      </w:r>
      <w:r>
        <w:rPr>
          <w:b/>
        </w:rPr>
        <w:t xml:space="preserve">овано </w:t>
      </w:r>
      <w:r>
        <w:rPr>
          <w:bCs/>
        </w:rPr>
        <w:t>проведение терапии ибрутинибом</w:t>
      </w:r>
      <w:r w:rsidRPr="004664C1">
        <w:rPr>
          <w:bCs/>
        </w:rPr>
        <w:t xml:space="preserve">** </w:t>
      </w:r>
      <w:r>
        <w:fldChar w:fldCharType="begin" w:fldLock="1"/>
      </w:r>
      <w:r w:rsidR="00F6217A">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Oncology","id":"ITEM-2","issue":"1","issued":{"date-parts":[["2020","1","1"]]},"page":"17-29","publisher":"Elsevier Ltd","title":"Marginal zone lymphomas: ESMO Clinical Practice Guidelines for diagnosis, treatment and follow-up","type":"article-journal","volume":"31"},"uris":["http://www.mendeley.com/documents/?uuid=fbdf0c05-49c8-3abf-834c-701e85508549"]},{"id":"ITEM-3","itemData":{"DOI":"10.1182/blood-2016-10-747345 LK  - http://sfx.library.uu.nl/utrecht?sid=EMBASE&amp;issn=15280020&amp;id=doi:10.1182%2Fblood-2016-10-747345&amp;atitle=Targeting+Bruton+tyrosine+kinase+with+ibrutinib+in+relapsed%2Frefractory+marginal+zone+lymphoma&amp;stitle=Blood&amp;title=Blood&amp;volume=129&amp;issue=16&amp;spage=2224&amp;epage=2232&amp;aulast=Noy&amp;aufirst=Ariela&amp;auinit=A.&amp;aufull=Noy+A.&amp;coden=BLOOA&amp;isbn=&amp;pages=2224-2232&amp;date=2017&amp;auinit1=A&amp;auinitm=","ISSN":"1528-0020","PMID":"28167659","abstract":"Marginal zone lymphoma (MZL) is a heterogeneous B-cell malignancy for which no standard treatment exists. MZL is frequently linked to chronic infection, which may induce B-cell receptor (BCR) signaling, resulting in aberrant B-cell survival and proliferation. We conducted a multicenter, open-label, phase 2 study to evaluate the efficacy and safety of ibrutinib in previously treated MZL. Patients with histologically confirmed MZL of all subtypes who received ≥1 prior therapy with an anti-CD20 antibody–containing regimen were treated with 560 mg ibrutinib orally once daily until progression or unacceptable toxicity. The primary end point was independent review committee–assessed overall response rate (ORR) by 2007 International Working Group criteria. Among 63 enrolled patients, median age was 66 years (range, 30-92). Median number of prior systemic therapies was 2 (range, 1-9), and 63% received ≥1 prior chemoimmunotherapy. In 60 evaluable patients, ORR was 48% (95% confidence interval [CI], 35-62). With median follow-up of 19.4 months, median duration of response was not reached (95% CI, 16.7 to not estimable), and median progression-free survival was 14.2 months (95% CI, 8.3 to not estimable). Grade ≥3 adverse events (AEs; &gt;5%) included anemia, pneumonia, and fatigue. Serious AEs of any grade occurred in 44%, with grade 3-4 pneumonia being the most common (8%). Rates of discontinuation and dose reductions due to AEs were 17% and 10%, respectively. Single-agent ibrutinib induced durable responses with a favorable benefit–risk profile in patients with previously treated MZL, confirming the role of BCR signaling in this malignancy. As the only approved therapy, ibrutinib provides a treatment option without chemotherapy for MZL. This study is registered at www.clinicaltrials.gov as #NCT01980628.","author":[{"dropping-particle":"","family":"A.","given":"Noy","non-dropping-particle":"","parse-names":false,"suffix":""},{"dropping-particle":"","family":"S.","given":"De Vos","non-dropping-particle":"","parse-names":false,"suffix":""},{"dropping-particle":"","family":"C.","given":"Thieblemont","non-dropping-particle":"","parse-names":false,"suffix":""},{"dropping-particle":"","family":"P.","given":"Martin","non-dropping-particle":"","parse-names":false,"suffix":""},{"dropping-particle":"","family":"C.R.","given":"Flowers","non-dropping-particle":"","parse-names":false,"suffix":""},{"dropping-particle":"","family":"F.","given":"Morschhauser","non-dropping-particle":"","parse-names":false,"suffix":""},{"dropping-particle":"","family":"G.P.","given":"Collins","non-dropping-particle":"","parse-names":false,"suffix":""},{"dropping-particle":"","family":"S.","given":"Ma","non-dropping-particle":"","parse-names":false,"suffix":""},{"dropping-particle":"","family":"M.","given":"Coleman","non-dropping-particle":"","parse-names":false,"suffix":""},{"dropping-particle":"","family":"S.","given":"Peles","non-dropping-particle":"","parse-names":false,"suffix":""},{"dropping-particle":"","family":"S.","given":"Smith","non-dropping-particle":"","parse-names":false,"suffix":""},{"dropping-particle":"","family":"J.C.","given":"Barrientos","non-dropping-particle":"","parse-names":false,"suffix":""},{"dropping-particle":"","family":"A.","given":"Smith","non-dropping-particle":"","parse-names":false,"suffix":""},{"dropping-particle":"","family":"B.","given":"Munneke","non-dropping-particle":"","parse-names":false,"suffix":""},{"dropping-particle":"","family":"I.","given":"Dimery","non-dropping-particle":"","parse-names":false,"suffix":""},{"dropping-particle":"","family":"D.M.","given":"Beaupre","non-dropping-particle":"","parse-names":false,"suffix":""},{"dropping-particle":"","family":"R.","given":"Chen","non-dropping-particle":"","parse-names":false,"suffix":""},{"dropping-particle":"","family":"Noy","given":"Ariela","non-dropping-particle":"","parse-names":false,"suffix":""},{"dropping-particle":"","family":"Vos","given":"Sven","non-dropping-particle":"de","parse-names":false,"suffix":""},{"dropping-particle":"","family":"Thieblemont","given":"Catherine","non-dropping-particle":"","parse-names":false,"suffix":""},{"dropping-particle":"","family":"Martin","given":"Peter","non-dropping-particle":"","parse-names":false,"suffix":""},{"dropping-particle":"","family":"Flowers","given":"Christopher R","non-dropping-particle":"","parse-names":false,"suffix":""},{"dropping-particle":"","family":"Morschhauser","given":"Franck","non-dropping-particle":"","parse-names":false,"suffix":""},{"dropping-particle":"","family":"Collins","given":"Graham P","non-dropping-particle":"","parse-names":false,"suffix":""},{"dropping-particle":"","family":"Ma","given":"Shuo","non-dropping-particle":"","parse-names":false,"suffix":""},{"dropping-particle":"","family":"Coleman","given":"Morton","non-dropping-particle":"","parse-names":false,"suffix":""},{"dropping-particle":"","family":"Peles","given":"Shachar","non-dropping-particle":"","parse-names":false,"suffix":""},{"dropping-particle":"","family":"Smith","given":"Stephen","non-dropping-particle":"","parse-names":false,"suffix":""},{"dropping-particle":"","family":"Barrientos","given":"Jacqueline C","non-dropping-particle":"","parse-names":false,"suffix":""},{"dropping-particle":"","family":"Smith","given":"Alina","non-dropping-particle":"","parse-names":false,"suffix":""},{"dropping-particle":"","family":"Munneke","given":"Brian","non-dropping-particle":"","parse-names":false,"suffix":""},{"dropping-particle":"","family":"Dimery","given":"Isaiah","non-dropping-particle":"","parse-names":false,"suffix":""},{"dropping-particle":"","family":"Beaupre","given":"Darrin M","non-dropping-particle":"","parse-names":false,"suffix":""},{"dropping-particle":"","family":"Chen","given":"Robert","non-dropping-particle":"","parse-names":false,"suffix":""}],"container-title":"Blood","id":"ITEM-3","issue":"16","issued":{"date-parts":[["2017"]]},"page":"2224-2232","title":"Targeting Bruton tyrosine kinase with ibrutinib in relapsed/refractory marginal zone lymphoma","type":"article-journal","volume":"129"},"uris":["http://www.mendeley.com/documents/?uuid=fa44bea9-3dbf-3f84-b4bc-51c0dfd08512"]}],"mendeley":{"formattedCitation":"[5,9,22]","plainTextFormattedCitation":"[5,9,22]","previouslyFormattedCitation":"[5,9,22]"},"properties":{"noteIndex":0},"schema":"https://github.com/citation-style-language/schema/raw/master/csl-citation.json"}</w:instrText>
      </w:r>
      <w:r>
        <w:fldChar w:fldCharType="separate"/>
      </w:r>
      <w:r w:rsidR="00342C61" w:rsidRPr="00342C61">
        <w:rPr>
          <w:noProof/>
        </w:rPr>
        <w:t>[5,9,22]</w:t>
      </w:r>
      <w:r>
        <w:fldChar w:fldCharType="end"/>
      </w:r>
      <w:r>
        <w:t>.</w:t>
      </w:r>
    </w:p>
    <w:p w14:paraId="30112C31" w14:textId="77777777" w:rsidR="004664C1" w:rsidRDefault="004664C1" w:rsidP="00F6217A">
      <w:pPr>
        <w:pStyle w:val="afe"/>
        <w:spacing w:after="120"/>
        <w:ind w:left="709" w:firstLine="0"/>
        <w:rPr>
          <w:b/>
        </w:rPr>
      </w:pPr>
      <w:r w:rsidRPr="00F6217A">
        <w:rPr>
          <w:b/>
        </w:rPr>
        <w:t xml:space="preserve">Уровень убедительности рекомендаций С (уровень достоверности доказательств </w:t>
      </w:r>
      <w:r w:rsidR="000E2352" w:rsidRPr="00F6217A">
        <w:rPr>
          <w:b/>
        </w:rPr>
        <w:t>4</w:t>
      </w:r>
      <w:r w:rsidRPr="00F6217A">
        <w:rPr>
          <w:b/>
        </w:rPr>
        <w:t>).</w:t>
      </w:r>
    </w:p>
    <w:p w14:paraId="30112C32" w14:textId="77777777" w:rsidR="000578EF" w:rsidRDefault="000578EF" w:rsidP="000578EF">
      <w:pPr>
        <w:pStyle w:val="2"/>
        <w:contextualSpacing/>
      </w:pPr>
      <w:bookmarkStart w:id="43" w:name="_Toc65108033"/>
      <w:r>
        <w:t>3.</w:t>
      </w:r>
      <w:r w:rsidR="00043202">
        <w:t>4</w:t>
      </w:r>
      <w:r>
        <w:t xml:space="preserve"> Оценка ответа на лечение</w:t>
      </w:r>
      <w:bookmarkEnd w:id="43"/>
    </w:p>
    <w:p w14:paraId="30112C33" w14:textId="77777777" w:rsidR="000578EF" w:rsidRDefault="000578EF" w:rsidP="00D22A46">
      <w:pPr>
        <w:pStyle w:val="afe"/>
        <w:numPr>
          <w:ilvl w:val="0"/>
          <w:numId w:val="11"/>
        </w:numPr>
        <w:spacing w:before="120" w:after="120"/>
        <w:ind w:left="709" w:hanging="709"/>
      </w:pPr>
      <w:r>
        <w:t xml:space="preserve">Всем пациентам с </w:t>
      </w:r>
      <w:r w:rsidR="00090D97">
        <w:t>ЛМЗ</w:t>
      </w:r>
      <w:r>
        <w:t>,</w:t>
      </w:r>
      <w:r w:rsidR="004664C1">
        <w:t xml:space="preserve"> получающим противоопухолевое лечение, </w:t>
      </w:r>
      <w:r w:rsidRPr="006271AB">
        <w:t>после завершения всей программы лечения</w:t>
      </w:r>
      <w:r>
        <w:t>,</w:t>
      </w:r>
      <w:r w:rsidRPr="00EA0910">
        <w:rPr>
          <w:b/>
        </w:rPr>
        <w:t xml:space="preserve"> </w:t>
      </w:r>
      <w:r w:rsidRPr="005A0BFC">
        <w:rPr>
          <w:b/>
        </w:rPr>
        <w:t>рекомендуется</w:t>
      </w:r>
      <w:r>
        <w:t xml:space="preserve"> оценка ответа на терапию в </w:t>
      </w:r>
      <w:r w:rsidRPr="00A4325F">
        <w:t xml:space="preserve">соответствии со стандартными критериями ответа на лечение лимфом (см. </w:t>
      </w:r>
      <w:r w:rsidR="007A344D" w:rsidRPr="00A4325F">
        <w:t>раздел 7.</w:t>
      </w:r>
      <w:r w:rsidR="00E307F7">
        <w:t>4</w:t>
      </w:r>
      <w:r w:rsidR="007A344D" w:rsidRPr="00A4325F">
        <w:t xml:space="preserve"> данных рекомендаций</w:t>
      </w:r>
      <w:r>
        <w:t>)</w:t>
      </w:r>
      <w:r w:rsidR="001D28F8">
        <w:t xml:space="preserve"> </w:t>
      </w:r>
      <w:r w:rsidR="001D28F8">
        <w:fldChar w:fldCharType="begin" w:fldLock="1"/>
      </w:r>
      <w:r w:rsidR="00F6217A">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Oncology","id":"ITEM-2","issue":"5","issued":{"date-parts":[["2007"]]},"page":"579-586","title":"Revised response criteria for malignant lymphoma","type":"article","volume":"25"},"uris":["http://www.mendeley.com/documents/?uuid=54621e2a-fa6c-3787-a396-2fbb20883fe7"]}],"mendeley":{"formattedCitation":"[4,23]","plainTextFormattedCitation":"[4,23]","previouslyFormattedCitation":"[4,23]"},"properties":{"noteIndex":0},"schema":"https://github.com/citation-style-language/schema/raw/master/csl-citation.json"}</w:instrText>
      </w:r>
      <w:r w:rsidR="001D28F8">
        <w:fldChar w:fldCharType="separate"/>
      </w:r>
      <w:r w:rsidR="00342C61" w:rsidRPr="00342C61">
        <w:rPr>
          <w:noProof/>
        </w:rPr>
        <w:t>[4,23]</w:t>
      </w:r>
      <w:r w:rsidR="001D28F8">
        <w:fldChar w:fldCharType="end"/>
      </w:r>
      <w:r>
        <w:t xml:space="preserve">. </w:t>
      </w:r>
    </w:p>
    <w:p w14:paraId="30112C34" w14:textId="77777777" w:rsidR="000578EF" w:rsidRDefault="000578EF" w:rsidP="001D28F8">
      <w:pPr>
        <w:ind w:left="709" w:firstLine="0"/>
        <w:rPr>
          <w:b/>
        </w:rPr>
      </w:pPr>
      <w:r w:rsidRPr="00F6217A">
        <w:rPr>
          <w:b/>
        </w:rPr>
        <w:t>Уровень убедительности рекомендаций С (уровень достоверности доказательств 5).</w:t>
      </w:r>
    </w:p>
    <w:p w14:paraId="30112C35" w14:textId="77777777" w:rsidR="001D28F8" w:rsidRDefault="001D28F8" w:rsidP="001D28F8">
      <w:pPr>
        <w:pStyle w:val="2"/>
        <w:contextualSpacing/>
      </w:pPr>
      <w:bookmarkStart w:id="44" w:name="_Toc65108034"/>
      <w:r>
        <w:t>3.</w:t>
      </w:r>
      <w:r w:rsidR="003A661A">
        <w:t>5</w:t>
      </w:r>
      <w:r>
        <w:t xml:space="preserve"> Сопутствующая и сопроводительная терапия</w:t>
      </w:r>
      <w:bookmarkEnd w:id="44"/>
    </w:p>
    <w:p w14:paraId="30112C36" w14:textId="77777777" w:rsidR="001D28F8" w:rsidRDefault="001D28F8" w:rsidP="00D22A46">
      <w:pPr>
        <w:pStyle w:val="afe"/>
        <w:numPr>
          <w:ilvl w:val="0"/>
          <w:numId w:val="10"/>
        </w:numPr>
        <w:spacing w:before="120" w:after="120"/>
        <w:ind w:left="709" w:hanging="709"/>
      </w:pPr>
      <w:r>
        <w:t>Всем пациентам</w:t>
      </w:r>
      <w:r w:rsidRPr="00847C29">
        <w:t xml:space="preserve"> </w:t>
      </w:r>
      <w:r>
        <w:rPr>
          <w:lang w:val="en-US"/>
        </w:rPr>
        <w:t>c</w:t>
      </w:r>
      <w:r w:rsidRPr="00847C29">
        <w:t xml:space="preserve"> </w:t>
      </w:r>
      <w:r w:rsidR="00090D97">
        <w:t>ЛМЗ</w:t>
      </w:r>
      <w:r>
        <w:t xml:space="preserve"> с исходно массивным поражением, получающим противоопухолевую терапию, </w:t>
      </w:r>
      <w:r w:rsidRPr="0038639D">
        <w:rPr>
          <w:b/>
        </w:rPr>
        <w:t>рекоменд</w:t>
      </w:r>
      <w:r>
        <w:rPr>
          <w:b/>
        </w:rPr>
        <w:t xml:space="preserve">овано </w:t>
      </w:r>
      <w:r>
        <w:t xml:space="preserve">проведение профилактики </w:t>
      </w:r>
      <w:r>
        <w:lastRenderedPageBreak/>
        <w:t>синдрома лизиса опухолей согласно существующим профильным рекомендациям</w:t>
      </w:r>
      <w:r w:rsidRPr="001D28F8">
        <w:t xml:space="preserve"> </w:t>
      </w:r>
      <w:r>
        <w:fldChar w:fldCharType="begin" w:fldLock="1"/>
      </w:r>
      <w:r w:rsidR="00F6217A">
        <w:instrText>ADDIN CSL_CITATION {"citationItems":[{"id":"ITEM-1","itemData":{"author":[{"dropping-particle":"","family":"Барях","given":"Е.А.","non-dropping-particle":"","parse-names":false,"suffix":""},{"dropping-particle":"","family":"Мякова","given":"Н.В.","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Савченко.","id":"ITEM-1","issued":{"date-parts":[["2018"]]},"page":"251-253","title":"Профилактика и лечение синдрома лизиса опухоли","type":"chapter"},"uris":["http://www.mendeley.com/documents/?uuid=f076f62d-bb83-43f7-ada9-fd1c459dafc9"]}],"mendeley":{"formattedCitation":"[24]","plainTextFormattedCitation":"[24]","previouslyFormattedCitation":"[24]"},"properties":{"noteIndex":0},"schema":"https://github.com/citation-style-language/schema/raw/master/csl-citation.json"}</w:instrText>
      </w:r>
      <w:r>
        <w:fldChar w:fldCharType="separate"/>
      </w:r>
      <w:r w:rsidR="00342C61" w:rsidRPr="00342C61">
        <w:rPr>
          <w:noProof/>
        </w:rPr>
        <w:t>[24]</w:t>
      </w:r>
      <w:r>
        <w:fldChar w:fldCharType="end"/>
      </w:r>
      <w:r w:rsidR="004E71DE">
        <w:t>.</w:t>
      </w:r>
    </w:p>
    <w:p w14:paraId="30112C37" w14:textId="77777777" w:rsidR="001D28F8" w:rsidRDefault="001D28F8" w:rsidP="001D28F8">
      <w:pPr>
        <w:ind w:left="709" w:firstLine="0"/>
        <w:contextualSpacing/>
        <w:rPr>
          <w:b/>
        </w:rPr>
      </w:pPr>
      <w:r w:rsidRPr="00F6217A">
        <w:rPr>
          <w:b/>
        </w:rPr>
        <w:t>Уровень убедительности рекомендаций С (уровень достоверности доказательств 5).</w:t>
      </w:r>
    </w:p>
    <w:p w14:paraId="30112C38" w14:textId="77777777" w:rsidR="001D28F8" w:rsidRDefault="001D28F8" w:rsidP="00D22A46">
      <w:pPr>
        <w:pStyle w:val="afe"/>
        <w:numPr>
          <w:ilvl w:val="0"/>
          <w:numId w:val="10"/>
        </w:numPr>
        <w:spacing w:before="120" w:after="120"/>
        <w:ind w:left="709" w:hanging="709"/>
      </w:pPr>
      <w:r>
        <w:t>Всем пациентам</w:t>
      </w:r>
      <w:r w:rsidRPr="00847C29">
        <w:t xml:space="preserve"> </w:t>
      </w:r>
      <w:r>
        <w:rPr>
          <w:lang w:val="en-US"/>
        </w:rPr>
        <w:t>c</w:t>
      </w:r>
      <w:r w:rsidRPr="00847C29">
        <w:t xml:space="preserve"> </w:t>
      </w:r>
      <w:r w:rsidR="00090D97">
        <w:t>ЛМЗ</w:t>
      </w:r>
      <w:r>
        <w:t xml:space="preserve"> со сниженной концентрацией гемоглобина крови </w:t>
      </w:r>
      <w:r w:rsidRPr="0038639D">
        <w:rPr>
          <w:b/>
        </w:rPr>
        <w:t>рекоменд</w:t>
      </w:r>
      <w:r>
        <w:rPr>
          <w:b/>
        </w:rPr>
        <w:t xml:space="preserve">овано </w:t>
      </w:r>
      <w:r w:rsidRPr="001A0571">
        <w:rPr>
          <w:bCs/>
        </w:rPr>
        <w:t>лечен</w:t>
      </w:r>
      <w:r>
        <w:t xml:space="preserve">ие анемии согласно существующим профильным рекомендациям </w:t>
      </w:r>
      <w:r>
        <w:fldChar w:fldCharType="begin" w:fldLock="1"/>
      </w:r>
      <w:r w:rsidR="00F6217A">
        <w:instrText>ADDIN CSL_CITATION {"citationItems":[{"id":"ITEM-1","itemData":{"author":[{"dropping-particle":"","family":"Aapro","given":"M.","non-dropping-particle":"","parse-names":false,"suffix":""},{"dropping-particle":"","family":"Давыдкин","given":"И.Л.","non-dropping-particle":"","parse-names":false,"suffix":""},{"dropping-particle":"","family":"Давиденко","given":"И.С.","non-dropping-particle":"","parse-names":false,"suffix":""},{"dropping-particle":"","family":"Королева","given":"И.А.","non-dropping-particle":"","parse-names":false,"suffix":""},{"dropping-particle":"","family":"Манзюк","given":"Л.В.","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dropping-particle":"","family":"Поспелова","given":"Т.И.","non-dropping-particle":"","parse-names":false,"suffix":""},{"dropping-particle":"","family":"Снеговой","given":"А.В.","non-dropping-particle":"","parse-names":false,"suffix":""},{"dropping-particle":"","family":"Тюляндин","given":"С.А.","non-dropping-particle":"","parse-names":false,"suffix":""},{"dropping-particle":"","family":"Чернов","given":"В.М.","non-dropping-particle":"","parse-names":false,"suffix":""}],"id":"ITEM-1","issued":{"date-parts":[["2014"]]},"publisher":"Ассоциация онкологов России","publisher-place":"М.","title":"Клинические рекомендации по лечению анемии у больных злокачественными новообразованиями.","type":"article"},"uris":["http://www.mendeley.com/documents/?uuid=b7b22c8b-58ed-4971-a61d-a05fab12a819"]},{"id":"ITEM-2","itemData":{"author":[{"dropping-particle":"","family":"Орлова","given":"Р.В.","non-dropping-particle":"","parse-names":false,"suffix":""},{"dropping-particle":"","family":"Гладков","given":"О.А.","non-dropping-particle":"","parse-names":false,"suffix":""},{"dropping-particle":"","family":"Жуков","given":"Н.В.","non-dropping-particle":"","parse-names":false,"suffix":""},{"dropping-particle":"","family":"Копп","given":"М.В.","non-dropping-particle":"","parse-names":false,"suffix":""},{"dropping-particle":"","family":"Королева","given":"И.А.","non-dropping-particle":"","parse-names":false,"suffix":""},{"dropping-particle":"","family":"Ларионова","given":"В.Б.","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онкологии.","id":"ITEM-2","issued":{"date-parts":[["2018"]]},"page":"494-501","title":"Практические рекомендации по лечению анемии при злокачественных новообразованиях","type":"chapter"},"uris":["http://www.mendeley.com/documents/?uuid=959e602b-c01f-46ef-8d86-ffaa7505b3fe"]}],"mendeley":{"formattedCitation":"[25,26]","plainTextFormattedCitation":"[25,26]","previouslyFormattedCitation":"[25,26]"},"properties":{"noteIndex":0},"schema":"https://github.com/citation-style-language/schema/raw/master/csl-citation.json"}</w:instrText>
      </w:r>
      <w:r>
        <w:fldChar w:fldCharType="separate"/>
      </w:r>
      <w:r w:rsidR="00342C61" w:rsidRPr="00342C61">
        <w:rPr>
          <w:noProof/>
        </w:rPr>
        <w:t>[25,26]</w:t>
      </w:r>
      <w:r>
        <w:fldChar w:fldCharType="end"/>
      </w:r>
      <w:r>
        <w:t>.</w:t>
      </w:r>
    </w:p>
    <w:p w14:paraId="30112C39" w14:textId="77777777" w:rsidR="001D28F8" w:rsidRDefault="001D28F8" w:rsidP="001D28F8">
      <w:pPr>
        <w:ind w:left="709" w:firstLine="0"/>
        <w:contextualSpacing/>
        <w:rPr>
          <w:b/>
        </w:rPr>
      </w:pPr>
      <w:r w:rsidRPr="00F6217A">
        <w:rPr>
          <w:b/>
        </w:rPr>
        <w:t>Уровень убедительности рекомендаций С (уровень достоверности доказательств 5).</w:t>
      </w:r>
    </w:p>
    <w:p w14:paraId="30112C3A" w14:textId="77777777" w:rsidR="001D28F8" w:rsidRDefault="001D28F8" w:rsidP="00D22A46">
      <w:pPr>
        <w:pStyle w:val="afe"/>
        <w:numPr>
          <w:ilvl w:val="0"/>
          <w:numId w:val="10"/>
        </w:numPr>
        <w:spacing w:before="120" w:after="120"/>
        <w:ind w:left="709" w:hanging="709"/>
      </w:pPr>
      <w:r>
        <w:t>Всем пациентам</w:t>
      </w:r>
      <w:r w:rsidRPr="00847C29">
        <w:t xml:space="preserve"> </w:t>
      </w:r>
      <w:r>
        <w:rPr>
          <w:lang w:val="en-US"/>
        </w:rPr>
        <w:t>c</w:t>
      </w:r>
      <w:r w:rsidRPr="00847C29">
        <w:t xml:space="preserve"> </w:t>
      </w:r>
      <w:r w:rsidR="00090D97">
        <w:t>ЛМЗ</w:t>
      </w:r>
      <w:r>
        <w:t xml:space="preserve">, получающим противоопухолевую химио- или лучевую терапию, </w:t>
      </w:r>
      <w:r w:rsidRPr="0038639D">
        <w:rPr>
          <w:b/>
        </w:rPr>
        <w:t>рекоменд</w:t>
      </w:r>
      <w:r>
        <w:rPr>
          <w:b/>
        </w:rPr>
        <w:t xml:space="preserve">ована </w:t>
      </w:r>
      <w:r>
        <w:rPr>
          <w:bCs/>
        </w:rPr>
        <w:t>профилактика и ле</w:t>
      </w:r>
      <w:r w:rsidRPr="001A0571">
        <w:rPr>
          <w:bCs/>
        </w:rPr>
        <w:t>чен</w:t>
      </w:r>
      <w:r>
        <w:t>ие тошноты и рвоты в зависимости от эметогенного потенциала проводимого лечения согласно существующим профильным рекомендациям</w:t>
      </w:r>
      <w:r w:rsidR="00D234C0">
        <w:t xml:space="preserve"> </w:t>
      </w:r>
      <w:r w:rsidR="00D234C0">
        <w:fldChar w:fldCharType="begin" w:fldLock="1"/>
      </w:r>
      <w:r w:rsidR="00F6217A">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plainTextFormattedCitation":"[27]","previouslyFormattedCitation":"[27]"},"properties":{"noteIndex":0},"schema":"https://github.com/citation-style-language/schema/raw/master/csl-citation.json"}</w:instrText>
      </w:r>
      <w:r w:rsidR="00D234C0">
        <w:fldChar w:fldCharType="separate"/>
      </w:r>
      <w:r w:rsidR="00342C61" w:rsidRPr="00342C61">
        <w:rPr>
          <w:noProof/>
        </w:rPr>
        <w:t>[27]</w:t>
      </w:r>
      <w:r w:rsidR="00D234C0">
        <w:fldChar w:fldCharType="end"/>
      </w:r>
      <w:r w:rsidR="00D234C0">
        <w:t>.</w:t>
      </w:r>
    </w:p>
    <w:p w14:paraId="30112C3B" w14:textId="77777777" w:rsidR="001D28F8" w:rsidRDefault="001D28F8" w:rsidP="00D234C0">
      <w:pPr>
        <w:ind w:left="709" w:firstLine="0"/>
        <w:contextualSpacing/>
        <w:rPr>
          <w:b/>
        </w:rPr>
      </w:pPr>
      <w:r w:rsidRPr="00F6217A">
        <w:rPr>
          <w:b/>
        </w:rPr>
        <w:t>Уровень убедительности рекомендаций С (уровень достоверности доказательств 5).</w:t>
      </w:r>
    </w:p>
    <w:p w14:paraId="30112C3C" w14:textId="77777777" w:rsidR="001D28F8" w:rsidRDefault="001D28F8" w:rsidP="005A6E15">
      <w:pPr>
        <w:pStyle w:val="a"/>
      </w:pPr>
      <w:r>
        <w:t xml:space="preserve">Пациентам с </w:t>
      </w:r>
      <w:r w:rsidR="00090D97">
        <w:t>ЛМЗ</w:t>
      </w:r>
      <w:r>
        <w:t xml:space="preserve"> с выявленной симптоматической гипогаммаглобулинемией (перенесенная тяжелая инфекция, </w:t>
      </w:r>
      <w:r>
        <w:rPr>
          <w:lang w:val="en-US"/>
        </w:rPr>
        <w:t>IgG</w:t>
      </w:r>
      <w:r w:rsidRPr="00586C4A">
        <w:t xml:space="preserve"> &lt; </w:t>
      </w:r>
      <w:r>
        <w:t xml:space="preserve">4 г/л) </w:t>
      </w:r>
      <w:r w:rsidRPr="0038639D">
        <w:rPr>
          <w:b/>
        </w:rPr>
        <w:t>рекоменд</w:t>
      </w:r>
      <w:r>
        <w:rPr>
          <w:b/>
        </w:rPr>
        <w:t xml:space="preserve">овано </w:t>
      </w:r>
      <w:r>
        <w:t xml:space="preserve">проведение заместительной терапии </w:t>
      </w:r>
      <w:r w:rsidRPr="000972AE">
        <w:t>#</w:t>
      </w:r>
      <w:r>
        <w:t>иммуноглобулином человека нормальным</w:t>
      </w:r>
      <w:r w:rsidR="004E71DE">
        <w:t>**</w:t>
      </w:r>
      <w:r>
        <w:t xml:space="preserve"> 0,2-0,4 г/кг в/в кажды</w:t>
      </w:r>
      <w:r w:rsidR="00347A28">
        <w:t>е</w:t>
      </w:r>
      <w:r>
        <w:t xml:space="preserve"> 3-4 недели в течение 12 месяцев</w:t>
      </w:r>
      <w:r w:rsidR="002D4BC6">
        <w:t xml:space="preserve"> для лечения вторичного иммунодефицита</w:t>
      </w:r>
      <w:r>
        <w:t xml:space="preserve"> </w:t>
      </w:r>
      <w:r w:rsidR="00D234C0">
        <w:fldChar w:fldCharType="begin" w:fldLock="1"/>
      </w:r>
      <w:r w:rsidR="00F6217A">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London","id":"ITEM-2","issued":{"date-parts":[["2016"]]},"title":"Secondary antibody deficiency-causes and approach to diagnosis","type":"article-journal"},"uris":["http://www.mendeley.com/documents/?uuid=122c5237-a104-392a-be50-9d92c8764a3d"]}],"mendeley":{"formattedCitation":"[8,28]","plainTextFormattedCitation":"[8,28]","previouslyFormattedCitation":"[8,28]"},"properties":{"noteIndex":0},"schema":"https://github.com/citation-style-language/schema/raw/master/csl-citation.json"}</w:instrText>
      </w:r>
      <w:r w:rsidR="00D234C0">
        <w:fldChar w:fldCharType="separate"/>
      </w:r>
      <w:r w:rsidR="00342C61" w:rsidRPr="00342C61">
        <w:rPr>
          <w:noProof/>
        </w:rPr>
        <w:t>[8,28]</w:t>
      </w:r>
      <w:r w:rsidR="00D234C0">
        <w:fldChar w:fldCharType="end"/>
      </w:r>
      <w:r>
        <w:t>.</w:t>
      </w:r>
    </w:p>
    <w:p w14:paraId="30112C3D" w14:textId="77777777" w:rsidR="001D28F8" w:rsidRDefault="001D28F8" w:rsidP="00D234C0">
      <w:pPr>
        <w:ind w:left="709" w:firstLine="0"/>
        <w:contextualSpacing/>
        <w:rPr>
          <w:b/>
        </w:rPr>
      </w:pPr>
      <w:r w:rsidRPr="00F6217A">
        <w:rPr>
          <w:b/>
        </w:rPr>
        <w:t>Уровень убедительности рекомендаций С (уровень достоверности доказательств 5).</w:t>
      </w:r>
    </w:p>
    <w:p w14:paraId="30112C3E" w14:textId="77777777" w:rsidR="001D28F8" w:rsidRDefault="001D28F8" w:rsidP="00D234C0">
      <w:pPr>
        <w:ind w:left="709" w:firstLine="0"/>
        <w:contextualSpacing/>
        <w:rPr>
          <w:i/>
        </w:rPr>
      </w:pPr>
      <w:r w:rsidRPr="0038639D">
        <w:rPr>
          <w:b/>
        </w:rPr>
        <w:t xml:space="preserve">Комментарий: </w:t>
      </w:r>
      <w:r w:rsidR="00D234C0">
        <w:rPr>
          <w:i/>
        </w:rPr>
        <w:t xml:space="preserve">терапия </w:t>
      </w:r>
      <w:r>
        <w:rPr>
          <w:i/>
        </w:rPr>
        <w:t xml:space="preserve">проводится под контролем уровня </w:t>
      </w:r>
      <w:r>
        <w:rPr>
          <w:i/>
          <w:lang w:val="en-US"/>
        </w:rPr>
        <w:t>IgG</w:t>
      </w:r>
      <w:r w:rsidRPr="000972AE">
        <w:rPr>
          <w:i/>
        </w:rPr>
        <w:t xml:space="preserve"> </w:t>
      </w:r>
      <w:r>
        <w:rPr>
          <w:i/>
        </w:rPr>
        <w:t xml:space="preserve">каждые 6 месяцев, пересмотр дозы </w:t>
      </w:r>
      <w:r w:rsidRPr="000972AE">
        <w:rPr>
          <w:i/>
        </w:rPr>
        <w:t>#</w:t>
      </w:r>
      <w:r>
        <w:rPr>
          <w:i/>
        </w:rPr>
        <w:t xml:space="preserve">иммуноглобулина человека нормального каждые 6 месяцев. После завершения терапии проводится пожизненное мониторирование уровня </w:t>
      </w:r>
      <w:r>
        <w:rPr>
          <w:i/>
          <w:lang w:val="en-US"/>
        </w:rPr>
        <w:t>IgG</w:t>
      </w:r>
      <w:r w:rsidRPr="000972AE">
        <w:rPr>
          <w:i/>
        </w:rPr>
        <w:t xml:space="preserve"> </w:t>
      </w:r>
      <w:r>
        <w:rPr>
          <w:i/>
        </w:rPr>
        <w:t>1 раз в год, в случае пов</w:t>
      </w:r>
      <w:r w:rsidR="00285B5C">
        <w:rPr>
          <w:i/>
        </w:rPr>
        <w:t>т</w:t>
      </w:r>
      <w:r>
        <w:rPr>
          <w:i/>
        </w:rPr>
        <w:t xml:space="preserve">орного снижения </w:t>
      </w:r>
      <w:r>
        <w:rPr>
          <w:i/>
          <w:lang w:val="en-US"/>
        </w:rPr>
        <w:t>IgG</w:t>
      </w:r>
      <w:r w:rsidRPr="000972AE">
        <w:rPr>
          <w:i/>
        </w:rPr>
        <w:t xml:space="preserve"> &lt; </w:t>
      </w:r>
      <w:r>
        <w:rPr>
          <w:i/>
        </w:rPr>
        <w:t>4 г/л проводятся повторные курсы заместительной терапии аналогичным препарато</w:t>
      </w:r>
      <w:r w:rsidR="003430E6">
        <w:rPr>
          <w:i/>
        </w:rPr>
        <w:t>м</w:t>
      </w:r>
      <w:r>
        <w:rPr>
          <w:i/>
        </w:rPr>
        <w:t xml:space="preserve"> в аналогичном режиме в течение 12 месяцев</w:t>
      </w:r>
      <w:r w:rsidR="00D234C0" w:rsidRPr="00D234C0">
        <w:rPr>
          <w:i/>
        </w:rPr>
        <w:t>.</w:t>
      </w:r>
    </w:p>
    <w:p w14:paraId="30112C3F" w14:textId="77777777" w:rsidR="00D234C0" w:rsidRPr="00841FEF" w:rsidRDefault="00D234C0" w:rsidP="00841FEF">
      <w:pPr>
        <w:pStyle w:val="afd"/>
        <w:spacing w:beforeAutospacing="0" w:afterAutospacing="0"/>
        <w:contextualSpacing/>
        <w:rPr>
          <w:rStyle w:val="affb"/>
        </w:rPr>
      </w:pPr>
      <w:bookmarkStart w:id="45" w:name="_Toc24546444"/>
      <w:r w:rsidRPr="00841FEF">
        <w:rPr>
          <w:rStyle w:val="affb"/>
        </w:rPr>
        <w:t>Обезболивание</w:t>
      </w:r>
      <w:bookmarkEnd w:id="45"/>
    </w:p>
    <w:p w14:paraId="30112C40" w14:textId="77777777" w:rsidR="00D234C0" w:rsidRPr="00C40CE5" w:rsidRDefault="00D234C0" w:rsidP="005A6E15">
      <w:pPr>
        <w:pStyle w:val="a"/>
      </w:pPr>
      <w:r w:rsidRPr="00C40CE5">
        <w:t xml:space="preserve">Пациентам с </w:t>
      </w:r>
      <w:r w:rsidR="00090D97">
        <w:t>ЛМЗ</w:t>
      </w:r>
      <w:r w:rsidRPr="00C40CE5">
        <w:t xml:space="preserve"> при возникновении острого или хронического болевого синдрома </w:t>
      </w:r>
      <w:r w:rsidRPr="00C40CE5">
        <w:rPr>
          <w:b/>
        </w:rPr>
        <w:t>рекомендуется</w:t>
      </w:r>
      <w:r w:rsidRPr="00C40CE5">
        <w:t xml:space="preserve"> провести диагностику причины болевого синдрома </w:t>
      </w:r>
      <w:r w:rsidRPr="00C40CE5">
        <w:lastRenderedPageBreak/>
        <w:t>и последующую патогенетическую или сим</w:t>
      </w:r>
      <w:r w:rsidR="00285B5C">
        <w:t>п</w:t>
      </w:r>
      <w:r w:rsidRPr="00C40CE5">
        <w:t>томатическую терапию болевого синдрома</w:t>
      </w:r>
      <w:r w:rsidR="00D051CB">
        <w:t xml:space="preserve"> в соответствии с существующими профильными рекомендациями</w:t>
      </w:r>
      <w:r w:rsidRPr="00C40CE5">
        <w:t xml:space="preserve"> </w:t>
      </w:r>
      <w:r w:rsidRPr="00C40CE5">
        <w:fldChar w:fldCharType="begin" w:fldLock="1"/>
      </w:r>
      <w:r w:rsidR="00F6217A">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[29,30]","plainTextFormattedCitation":"[29,30]","previouslyFormattedCitation":"[29,30]"},"properties":{"noteIndex":0},"schema":"https://github.com/citation-style-language/schema/raw/master/csl-citation.json"}</w:instrText>
      </w:r>
      <w:r w:rsidRPr="00C40CE5">
        <w:fldChar w:fldCharType="separate"/>
      </w:r>
      <w:r w:rsidR="00342C61" w:rsidRPr="00342C61">
        <w:rPr>
          <w:noProof/>
        </w:rPr>
        <w:t>[29,30]</w:t>
      </w:r>
      <w:r w:rsidRPr="00C40CE5">
        <w:fldChar w:fldCharType="end"/>
      </w:r>
      <w:r w:rsidRPr="00C40CE5">
        <w:t>.</w:t>
      </w:r>
    </w:p>
    <w:p w14:paraId="30112C41" w14:textId="77777777" w:rsidR="00D234C0" w:rsidRDefault="00D234C0" w:rsidP="00D234C0">
      <w:pPr>
        <w:ind w:left="709" w:firstLine="0"/>
        <w:contextualSpacing/>
        <w:rPr>
          <w:b/>
          <w:color w:val="000000"/>
        </w:rPr>
      </w:pPr>
      <w:r w:rsidRPr="00F6217A">
        <w:rPr>
          <w:b/>
          <w:color w:val="000000"/>
        </w:rPr>
        <w:t>Уровень убедительности рекомендаций – С (уровень достоверности доказательств – 5)</w:t>
      </w:r>
    </w:p>
    <w:p w14:paraId="30112C42" w14:textId="77777777" w:rsidR="00FA47CA" w:rsidRPr="00134F2A" w:rsidRDefault="00FA47CA" w:rsidP="00FA47CA">
      <w:pPr>
        <w:pStyle w:val="afd"/>
        <w:spacing w:beforeAutospacing="0" w:afterAutospacing="0"/>
        <w:contextualSpacing/>
        <w:rPr>
          <w:rStyle w:val="affb"/>
        </w:rPr>
      </w:pPr>
      <w:r w:rsidRPr="00134F2A">
        <w:rPr>
          <w:rStyle w:val="affb"/>
        </w:rPr>
        <w:t>Диетотерапия</w:t>
      </w:r>
    </w:p>
    <w:p w14:paraId="30112C43" w14:textId="77777777" w:rsidR="00FA47CA" w:rsidRPr="006F29CD" w:rsidRDefault="00FA47CA" w:rsidP="006F29CD">
      <w:pPr>
        <w:pStyle w:val="afd"/>
        <w:spacing w:beforeAutospacing="0" w:afterAutospacing="0"/>
        <w:contextualSpacing/>
        <w:rPr>
          <w:i/>
          <w:iCs/>
        </w:rPr>
      </w:pPr>
      <w:r w:rsidRPr="00134F2A">
        <w:rPr>
          <w:rStyle w:val="affb"/>
          <w:b w:val="0"/>
          <w:bCs w:val="0"/>
          <w:i/>
          <w:iCs/>
        </w:rPr>
        <w:t>Не применяется</w:t>
      </w:r>
      <w:r>
        <w:rPr>
          <w:rStyle w:val="affb"/>
          <w:b w:val="0"/>
          <w:bCs w:val="0"/>
          <w:i/>
          <w:iCs/>
        </w:rPr>
        <w:t>.</w:t>
      </w:r>
    </w:p>
    <w:p w14:paraId="30112C44" w14:textId="3FFD0BEE" w:rsidR="000414F6" w:rsidRDefault="00CB71DA" w:rsidP="00B104EF">
      <w:pPr>
        <w:pStyle w:val="CustomContentNormal"/>
      </w:pPr>
      <w:bookmarkStart w:id="46" w:name="_Toc65108035"/>
      <w:r>
        <w:t xml:space="preserve">4. </w:t>
      </w:r>
      <w:bookmarkEnd w:id="36"/>
      <w:r w:rsidR="00B03BC2" w:rsidRPr="00B03BC2">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46"/>
    </w:p>
    <w:p w14:paraId="30112C45" w14:textId="77777777" w:rsidR="006F29CD" w:rsidRDefault="006F29CD" w:rsidP="00D22A46">
      <w:pPr>
        <w:pStyle w:val="afe"/>
        <w:numPr>
          <w:ilvl w:val="0"/>
          <w:numId w:val="11"/>
        </w:numPr>
        <w:spacing w:before="120" w:after="120"/>
        <w:ind w:left="709" w:hanging="709"/>
      </w:pPr>
      <w:bookmarkStart w:id="47" w:name="__RefHeading___doc_5"/>
      <w:r>
        <w:t xml:space="preserve">Всем пациентам с </w:t>
      </w:r>
      <w:r w:rsidR="00090D97">
        <w:t>ЛМЗ</w:t>
      </w:r>
      <w:r w:rsidRPr="007D0783">
        <w:t xml:space="preserve"> </w:t>
      </w:r>
      <w:r>
        <w:t xml:space="preserve">на всех этапах терапии заболевания, а также после завершения лекарственного лечения </w:t>
      </w:r>
      <w:r w:rsidRPr="00B76E9B">
        <w:rPr>
          <w:b/>
        </w:rPr>
        <w:t>рекомендуется</w:t>
      </w:r>
      <w:r>
        <w:t xml:space="preserve"> комплексная реабилитация, а также, при необходимости, поддерживающая терапия</w:t>
      </w:r>
      <w:r w:rsidRPr="006F29CD">
        <w:t xml:space="preserve"> </w:t>
      </w:r>
      <w:r>
        <w:fldChar w:fldCharType="begin" w:fldLock="1"/>
      </w:r>
      <w:r w:rsidR="00F6217A">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[31]","plainTextFormattedCitation":"[31]","previouslyFormattedCitation":"[31]"},"properties":{"noteIndex":0},"schema":"https://github.com/citation-style-language/schema/raw/master/csl-citation.json"}</w:instrText>
      </w:r>
      <w:r>
        <w:fldChar w:fldCharType="separate"/>
      </w:r>
      <w:r w:rsidR="00342C61" w:rsidRPr="00342C61">
        <w:rPr>
          <w:noProof/>
        </w:rPr>
        <w:t>[31]</w:t>
      </w:r>
      <w:r>
        <w:fldChar w:fldCharType="end"/>
      </w:r>
      <w:r>
        <w:t xml:space="preserve">. </w:t>
      </w:r>
    </w:p>
    <w:p w14:paraId="30112C46" w14:textId="77777777" w:rsidR="006F29CD" w:rsidRPr="00B76E9B" w:rsidRDefault="006F29CD" w:rsidP="006F29CD">
      <w:pPr>
        <w:ind w:left="709" w:firstLine="0"/>
        <w:contextualSpacing/>
        <w:rPr>
          <w:b/>
        </w:rPr>
      </w:pPr>
      <w:r w:rsidRPr="00F6217A">
        <w:rPr>
          <w:b/>
        </w:rPr>
        <w:t xml:space="preserve">Уровень убедительности рекомендаций </w:t>
      </w:r>
      <w:r w:rsidRPr="00F6217A">
        <w:rPr>
          <w:b/>
          <w:lang w:val="en-US"/>
        </w:rPr>
        <w:t>C</w:t>
      </w:r>
      <w:r w:rsidRPr="00F6217A">
        <w:rPr>
          <w:b/>
        </w:rPr>
        <w:t xml:space="preserve"> (уровень достоверности доказательств 5).</w:t>
      </w:r>
    </w:p>
    <w:p w14:paraId="30112C47" w14:textId="77777777" w:rsidR="006F29CD" w:rsidRPr="00824F7E" w:rsidRDefault="006F29CD" w:rsidP="006F29CD">
      <w:pPr>
        <w:ind w:left="709" w:firstLine="0"/>
        <w:contextualSpacing/>
        <w:rPr>
          <w:i/>
        </w:rPr>
      </w:pPr>
      <w:r w:rsidRPr="00B76E9B">
        <w:rPr>
          <w:b/>
        </w:rPr>
        <w:t>Комментарий:</w:t>
      </w:r>
      <w:r>
        <w:t xml:space="preserve"> </w:t>
      </w:r>
      <w:r w:rsidRPr="00824F7E">
        <w:rPr>
          <w:i/>
        </w:rPr>
        <w:t xml:space="preserve">Специальных методов реабилитации при </w:t>
      </w:r>
      <w:r w:rsidR="00090D97">
        <w:rPr>
          <w:i/>
        </w:rPr>
        <w:t>ЛМЗ</w:t>
      </w:r>
      <w:r w:rsidRPr="00824F7E">
        <w:rPr>
          <w:i/>
        </w:rPr>
        <w:t xml:space="preserve"> не существует. Реабилитация пациентов с </w:t>
      </w:r>
      <w:r w:rsidR="00090D97">
        <w:rPr>
          <w:i/>
        </w:rPr>
        <w:t>ЛМЗ</w:t>
      </w:r>
      <w:r w:rsidRPr="00824F7E">
        <w:rPr>
          <w:i/>
        </w:rPr>
        <w:t xml:space="preserve">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w:t>
      </w:r>
      <w:r>
        <w:rPr>
          <w:i/>
        </w:rPr>
        <w:t>,</w:t>
      </w:r>
      <w:r w:rsidRPr="00824F7E">
        <w:rPr>
          <w:i/>
        </w:rPr>
        <w:t xml:space="preserve"> кроме медицинской помощи</w:t>
      </w:r>
      <w:r>
        <w:rPr>
          <w:i/>
        </w:rPr>
        <w:t>,</w:t>
      </w:r>
      <w:r w:rsidRPr="00824F7E">
        <w:rPr>
          <w:i/>
        </w:rPr>
        <w:t xml:space="preserve"> обязательного участия социальных работников и психологов. Программы реабилитации разрабатываются индивидуально, в зависимости от выявленных осложнений лекарственного лечения, сопутствующей патологии, социальных и психологических проблем.</w:t>
      </w:r>
    </w:p>
    <w:p w14:paraId="30112C48" w14:textId="77777777" w:rsidR="006F29CD" w:rsidRDefault="006F29CD" w:rsidP="006F29CD">
      <w:pPr>
        <w:ind w:left="709"/>
        <w:contextualSpacing/>
        <w:rPr>
          <w:i/>
        </w:rPr>
      </w:pPr>
      <w:r w:rsidRPr="00824F7E">
        <w:rPr>
          <w:i/>
        </w:rPr>
        <w:t xml:space="preserve">Реабилитация при возникновении осложнений в течение заболевания и лечения проводится в рамках соответствующих нозологий. </w:t>
      </w:r>
    </w:p>
    <w:p w14:paraId="30112C49" w14:textId="77777777" w:rsidR="00A43CE5" w:rsidRDefault="00094ED6" w:rsidP="00A43CE5">
      <w:pPr>
        <w:pStyle w:val="CustomContentNormal"/>
      </w:pPr>
      <w:bookmarkStart w:id="48" w:name="_Toc65108036"/>
      <w:r>
        <w:t xml:space="preserve">5. </w:t>
      </w:r>
      <w:r w:rsidR="00CB71DA">
        <w:t>Профилактика</w:t>
      </w:r>
      <w:bookmarkEnd w:id="47"/>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48"/>
    </w:p>
    <w:p w14:paraId="30112C4A" w14:textId="77777777" w:rsidR="003B006C" w:rsidRPr="00F6744D" w:rsidRDefault="003B006C" w:rsidP="003B006C">
      <w:pPr>
        <w:rPr>
          <w:rFonts w:eastAsia="Times New Roman"/>
          <w:szCs w:val="24"/>
        </w:rPr>
      </w:pPr>
      <w:bookmarkStart w:id="49" w:name="__RefHeading___doc_6"/>
      <w:r w:rsidRPr="00F6744D">
        <w:rPr>
          <w:i/>
          <w:iCs/>
        </w:rPr>
        <w:t xml:space="preserve">Методов профилактики </w:t>
      </w:r>
      <w:r w:rsidR="00090D97">
        <w:rPr>
          <w:i/>
          <w:iCs/>
        </w:rPr>
        <w:t>ЛМЗ</w:t>
      </w:r>
      <w:r w:rsidRPr="00F6744D">
        <w:rPr>
          <w:i/>
          <w:iCs/>
        </w:rPr>
        <w:t xml:space="preserve"> в настоящее время не существует, поскольку неизвест</w:t>
      </w:r>
      <w:r>
        <w:rPr>
          <w:i/>
          <w:iCs/>
        </w:rPr>
        <w:t>ны</w:t>
      </w:r>
      <w:r w:rsidRPr="00F6744D">
        <w:rPr>
          <w:i/>
          <w:iCs/>
        </w:rPr>
        <w:t xml:space="preserve"> этиологически</w:t>
      </w:r>
      <w:r>
        <w:rPr>
          <w:i/>
          <w:iCs/>
        </w:rPr>
        <w:t>е</w:t>
      </w:r>
      <w:r w:rsidRPr="00F6744D">
        <w:rPr>
          <w:i/>
          <w:iCs/>
        </w:rPr>
        <w:t xml:space="preserve"> факторы, ведущие к развитию заболевания.</w:t>
      </w:r>
    </w:p>
    <w:p w14:paraId="30112C4B" w14:textId="77777777" w:rsidR="00655C97" w:rsidRDefault="00F533A5" w:rsidP="00D22A46">
      <w:pPr>
        <w:pStyle w:val="afe"/>
        <w:numPr>
          <w:ilvl w:val="0"/>
          <w:numId w:val="11"/>
        </w:numPr>
        <w:spacing w:before="120"/>
        <w:ind w:left="709" w:hanging="425"/>
      </w:pPr>
      <w:r>
        <w:lastRenderedPageBreak/>
        <w:t>Взрослым</w:t>
      </w:r>
      <w:r w:rsidR="00655C97" w:rsidRPr="00F6744D">
        <w:t xml:space="preserve"> пациентам</w:t>
      </w:r>
      <w:r w:rsidR="00655C97">
        <w:t>, завершивши</w:t>
      </w:r>
      <w:r>
        <w:t>м</w:t>
      </w:r>
      <w:r w:rsidR="00655C97">
        <w:t xml:space="preserve"> лечение по поводу</w:t>
      </w:r>
      <w:r w:rsidR="00655C97" w:rsidRPr="00F6744D">
        <w:t xml:space="preserve"> </w:t>
      </w:r>
      <w:r w:rsidR="00090D97">
        <w:t>ЛМЗ</w:t>
      </w:r>
      <w:r w:rsidR="00655C97">
        <w:t xml:space="preserve"> с достижением ПР,</w:t>
      </w:r>
      <w:r w:rsidR="00655C97" w:rsidRPr="00F6744D">
        <w:t xml:space="preserve"> </w:t>
      </w:r>
      <w:r w:rsidR="00655C97">
        <w:rPr>
          <w:b/>
          <w:bCs/>
        </w:rPr>
        <w:t xml:space="preserve">рекомендуется </w:t>
      </w:r>
      <w:r w:rsidR="00655C97">
        <w:t>диспансерн</w:t>
      </w:r>
      <w:r w:rsidR="001124B8">
        <w:t xml:space="preserve">ый прием (осмотр, консультация) врача-онколга или врача-гематолога </w:t>
      </w:r>
      <w:r w:rsidR="0099762E">
        <w:t xml:space="preserve">с соблюдением следующей частоты обследований пациента - </w:t>
      </w:r>
      <w:r w:rsidR="00441E32" w:rsidRPr="00655C97">
        <w:t xml:space="preserve">в течение первого года </w:t>
      </w:r>
      <w:r w:rsidR="00831EAA">
        <w:t xml:space="preserve">после завершения терапии </w:t>
      </w:r>
      <w:r w:rsidR="00441E32" w:rsidRPr="00655C97">
        <w:t>каждые 3 месяца, 2-го года – каждые 6 месяцев, в дальнейшем – ежегодно</w:t>
      </w:r>
      <w:r w:rsidR="003430E6">
        <w:t>, после 5 лет – каждые 2 года</w:t>
      </w:r>
      <w:r w:rsidR="00831EAA">
        <w:t xml:space="preserve"> </w:t>
      </w:r>
      <w:r w:rsidR="00831EAA">
        <w:fldChar w:fldCharType="begin" w:fldLock="1"/>
      </w:r>
      <w:r w:rsidR="00090D97">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00831EAA">
        <w:fldChar w:fldCharType="separate"/>
      </w:r>
      <w:r w:rsidR="00090D97" w:rsidRPr="00090D97">
        <w:rPr>
          <w:noProof/>
        </w:rPr>
        <w:t>[4]</w:t>
      </w:r>
      <w:r w:rsidR="00831EAA">
        <w:fldChar w:fldCharType="end"/>
      </w:r>
      <w:r w:rsidR="00441E32" w:rsidRPr="00655C97">
        <w:t>.</w:t>
      </w:r>
      <w:r w:rsidR="00655C97" w:rsidRPr="00655C97">
        <w:t xml:space="preserve"> </w:t>
      </w:r>
    </w:p>
    <w:p w14:paraId="30112C4C" w14:textId="77777777" w:rsidR="00831EAA" w:rsidRDefault="00441E32" w:rsidP="00831EAA">
      <w:pPr>
        <w:ind w:left="709" w:firstLine="0"/>
        <w:contextualSpacing/>
        <w:rPr>
          <w:b/>
        </w:rPr>
      </w:pPr>
      <w:r w:rsidRPr="00F6217A">
        <w:rPr>
          <w:b/>
        </w:rPr>
        <w:t xml:space="preserve">Уровень убедительности рекомендаций </w:t>
      </w:r>
      <w:r w:rsidRPr="00F6217A">
        <w:rPr>
          <w:b/>
          <w:lang w:val="en-US"/>
        </w:rPr>
        <w:t>C</w:t>
      </w:r>
      <w:r w:rsidRPr="00F6217A">
        <w:rPr>
          <w:b/>
        </w:rPr>
        <w:t xml:space="preserve"> (уровень достоверности доказательств 5).</w:t>
      </w:r>
    </w:p>
    <w:p w14:paraId="30112C4D" w14:textId="77777777" w:rsidR="00831EAA" w:rsidRDefault="00441E32" w:rsidP="00831EAA">
      <w:pPr>
        <w:ind w:left="709" w:firstLine="0"/>
        <w:contextualSpacing/>
        <w:rPr>
          <w:i/>
          <w:iCs/>
        </w:rPr>
      </w:pPr>
      <w:r w:rsidRPr="00831EAA">
        <w:rPr>
          <w:b/>
        </w:rPr>
        <w:t>Комментарий:</w:t>
      </w:r>
      <w:r>
        <w:t xml:space="preserve"> </w:t>
      </w:r>
      <w:r w:rsidR="00831EAA">
        <w:rPr>
          <w:i/>
        </w:rPr>
        <w:t>диспа</w:t>
      </w:r>
      <w:r w:rsidR="003430E6">
        <w:rPr>
          <w:i/>
        </w:rPr>
        <w:t>нс</w:t>
      </w:r>
      <w:r w:rsidRPr="00831EAA">
        <w:rPr>
          <w:i/>
        </w:rPr>
        <w:t>е</w:t>
      </w:r>
      <w:r w:rsidR="00831EAA">
        <w:rPr>
          <w:i/>
        </w:rPr>
        <w:t xml:space="preserve">рное наблюдение должно включать тщательный сбор жалоб, клинический осмотр пациента, </w:t>
      </w:r>
      <w:r w:rsidRPr="00831EAA">
        <w:rPr>
          <w:i/>
          <w:iCs/>
        </w:rPr>
        <w:t>рентгенологический контроль органов грудной клетки, УЗИ брюшной полости и периферических лимфатических коллекторов</w:t>
      </w:r>
      <w:r w:rsidR="00831EAA">
        <w:rPr>
          <w:i/>
          <w:iCs/>
        </w:rPr>
        <w:t>.</w:t>
      </w:r>
      <w:r w:rsidR="003430E6">
        <w:rPr>
          <w:i/>
          <w:iCs/>
        </w:rPr>
        <w:t xml:space="preserve"> </w:t>
      </w:r>
    </w:p>
    <w:p w14:paraId="30112C4E" w14:textId="77777777" w:rsidR="009B4039" w:rsidRDefault="00C4630C" w:rsidP="00C4630C">
      <w:pPr>
        <w:pStyle w:val="afff2"/>
      </w:pPr>
      <w:bookmarkStart w:id="50" w:name="_Toc65108037"/>
      <w:r>
        <w:t xml:space="preserve">6. </w:t>
      </w:r>
      <w:r w:rsidR="009B4039" w:rsidRPr="00BF3A59">
        <w:t xml:space="preserve">Организация </w:t>
      </w:r>
      <w:r w:rsidR="0099762E">
        <w:t xml:space="preserve">оказания </w:t>
      </w:r>
      <w:r w:rsidR="009B4039" w:rsidRPr="00BF3A59">
        <w:t>медицинской помощи</w:t>
      </w:r>
      <w:bookmarkEnd w:id="50"/>
    </w:p>
    <w:p w14:paraId="30112C4F" w14:textId="77777777" w:rsidR="00613DB8" w:rsidRDefault="00613DB8" w:rsidP="00613DB8">
      <w:pPr>
        <w:spacing w:before="120"/>
        <w:ind w:firstLine="851"/>
      </w:pPr>
      <w: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30112C50" w14:textId="77777777" w:rsidR="00613DB8" w:rsidRDefault="00613DB8" w:rsidP="00D22A46">
      <w:pPr>
        <w:pStyle w:val="afe"/>
        <w:numPr>
          <w:ilvl w:val="0"/>
          <w:numId w:val="17"/>
        </w:numPr>
        <w:ind w:left="0" w:firstLine="851"/>
      </w:pPr>
      <w: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30112C51" w14:textId="77777777" w:rsidR="00613DB8" w:rsidRDefault="00613DB8" w:rsidP="00D22A46">
      <w:pPr>
        <w:pStyle w:val="afe"/>
        <w:numPr>
          <w:ilvl w:val="0"/>
          <w:numId w:val="17"/>
        </w:numPr>
        <w:ind w:left="0" w:firstLine="851"/>
      </w:pPr>
      <w:r>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30112C52" w14:textId="77777777" w:rsidR="00613DB8" w:rsidRDefault="00613DB8" w:rsidP="00D22A46">
      <w:pPr>
        <w:pStyle w:val="afe"/>
        <w:numPr>
          <w:ilvl w:val="0"/>
          <w:numId w:val="17"/>
        </w:numPr>
        <w:ind w:left="0" w:firstLine="851"/>
      </w:pPr>
      <w:r>
        <w:t>на основе настоящих клинических рекомендаций;</w:t>
      </w:r>
    </w:p>
    <w:p w14:paraId="30112C53" w14:textId="77777777" w:rsidR="00613DB8" w:rsidRDefault="00613DB8" w:rsidP="00D22A46">
      <w:pPr>
        <w:pStyle w:val="afe"/>
        <w:numPr>
          <w:ilvl w:val="0"/>
          <w:numId w:val="17"/>
        </w:numPr>
        <w:ind w:left="0" w:firstLine="851"/>
      </w:pPr>
      <w:r>
        <w:t>с учетом стандартов медицинской помощи, утвержденных уполномоченным федеральным органом исполнительной власти.</w:t>
      </w:r>
    </w:p>
    <w:p w14:paraId="30112C54" w14:textId="77777777" w:rsidR="00613DB8" w:rsidRDefault="00613DB8" w:rsidP="00613DB8">
      <w:pPr>
        <w:ind w:firstLine="851"/>
      </w:pPr>
      <w:r>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30112C55" w14:textId="77777777" w:rsidR="00613DB8" w:rsidRDefault="00613DB8" w:rsidP="00613DB8">
      <w:pPr>
        <w:ind w:firstLine="851"/>
      </w:pPr>
      <w:r>
        <w:t>При выявлении у пациента</w:t>
      </w:r>
      <w:r w:rsidR="00695151">
        <w:t xml:space="preserve"> </w:t>
      </w:r>
      <w:r w:rsidR="00090D97">
        <w:t>ЛМЗ</w:t>
      </w:r>
      <w:r>
        <w:t xml:space="preserve"> или подозрении на него врачи-терапевты, врачи-терапевты участковые, врачи общей практики (семейные врачи), врачи-</w:t>
      </w:r>
      <w:r>
        <w:lastRenderedPageBreak/>
        <w:t>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30112C56" w14:textId="77777777" w:rsidR="00613DB8" w:rsidRDefault="00613DB8" w:rsidP="00613DB8">
      <w:pPr>
        <w:ind w:firstLine="851"/>
      </w:pPr>
      <w:r>
        <w:t>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30112C57" w14:textId="77777777" w:rsidR="00613DB8" w:rsidRDefault="00613DB8" w:rsidP="00613DB8">
      <w:pPr>
        <w:ind w:firstLine="851"/>
      </w:pPr>
      <w: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биопсийного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30112C58" w14:textId="77777777" w:rsidR="00613DB8" w:rsidRDefault="00613DB8" w:rsidP="00613DB8">
      <w:pPr>
        <w:ind w:firstLine="851"/>
      </w:pPr>
      <w:r>
        <w:t>Срок выполнения патологоанатомических исследований, необходимых для гистологической верификации злокачественного новообразования, не должен превышать 15 рабочих дней с даты поступления биопсийного (операционного) материала в патологоанатомическое бюро (отделение).</w:t>
      </w:r>
    </w:p>
    <w:p w14:paraId="30112C59" w14:textId="77777777" w:rsidR="00613DB8" w:rsidRDefault="00613DB8" w:rsidP="00613DB8">
      <w:pPr>
        <w:ind w:firstLine="851"/>
      </w:pPr>
      <w:r>
        <w:t xml:space="preserve">При выявлении </w:t>
      </w:r>
      <w:r w:rsidR="00090D97">
        <w:t>ЛМЗ</w:t>
      </w:r>
      <w:r w:rsidR="009D3B73">
        <w:t xml:space="preserve"> </w:t>
      </w:r>
      <w:r>
        <w:t>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30112C5A" w14:textId="77777777" w:rsidR="00613DB8" w:rsidRDefault="00613DB8" w:rsidP="00613DB8">
      <w:pPr>
        <w:ind w:firstLine="851"/>
      </w:pPr>
      <w:r>
        <w:t xml:space="preserve">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w:t>
      </w:r>
      <w:r>
        <w:lastRenderedPageBreak/>
        <w:t>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отделения) и оказания специализированной, в том числе высокотехнологичной, медицинской помощи.</w:t>
      </w:r>
    </w:p>
    <w:p w14:paraId="30112C5B" w14:textId="77777777" w:rsidR="00613DB8" w:rsidRPr="006C0C64" w:rsidRDefault="00613DB8" w:rsidP="00613DB8">
      <w:pPr>
        <w:ind w:firstLine="851"/>
        <w:rPr>
          <w:color w:val="000000" w:themeColor="text1"/>
        </w:rPr>
      </w:pPr>
      <w:r>
        <w:t xml:space="preserve">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гистологической верификации </w:t>
      </w:r>
      <w:r w:rsidRPr="006C0C64">
        <w:rPr>
          <w:color w:val="000000" w:themeColor="text1"/>
        </w:rPr>
        <w:t>злокачественного новообразования или 14 календарных дней с даты установления предварительного диагноза</w:t>
      </w:r>
      <w:r w:rsidR="00880FB4" w:rsidRPr="006C0C64">
        <w:rPr>
          <w:color w:val="000000" w:themeColor="text1"/>
        </w:rPr>
        <w:t xml:space="preserve"> </w:t>
      </w:r>
      <w:r w:rsidR="00090D97">
        <w:rPr>
          <w:color w:val="000000" w:themeColor="text1"/>
        </w:rPr>
        <w:t>ЛМЗ</w:t>
      </w:r>
      <w:r w:rsidRPr="006C0C64">
        <w:rPr>
          <w:color w:val="000000" w:themeColor="text1"/>
        </w:rPr>
        <w:t xml:space="preserve"> (в случае отсутствия медицинских показаний к проведению патолого-анатомических исследований в амбулаторных условиях).</w:t>
      </w:r>
    </w:p>
    <w:p w14:paraId="30112C5C" w14:textId="77777777" w:rsidR="00613DB8" w:rsidRPr="006C0C64" w:rsidRDefault="00613DB8" w:rsidP="00613DB8">
      <w:pPr>
        <w:ind w:firstLine="851"/>
        <w:rPr>
          <w:color w:val="000000" w:themeColor="text1"/>
        </w:rPr>
      </w:pPr>
      <w:r w:rsidRPr="006C0C64">
        <w:rPr>
          <w:color w:val="000000" w:themeColor="text1"/>
        </w:rPr>
        <w:t xml:space="preserve">Специализированная, в том числе высокотехнологичная, медицинская помощь оказывается врачами-онкологами, </w:t>
      </w:r>
      <w:r w:rsidR="00880FB4" w:rsidRPr="006C0C64">
        <w:rPr>
          <w:color w:val="000000" w:themeColor="text1"/>
        </w:rPr>
        <w:t xml:space="preserve">врачами-гематологами, </w:t>
      </w:r>
      <w:r w:rsidRPr="006C0C64">
        <w:rPr>
          <w:color w:val="000000" w:themeColor="text1"/>
        </w:rPr>
        <w:t xml:space="preserve">врачами-радиотерапевтами в онкологическом диспансере или в медицинских организациях, оказывающих медицинскую помощь пациентам с </w:t>
      </w:r>
      <w:r w:rsidR="00090D97">
        <w:rPr>
          <w:color w:val="000000" w:themeColor="text1"/>
        </w:rPr>
        <w:t>ЛМЗ</w:t>
      </w:r>
      <w:r w:rsidRPr="006C0C64">
        <w:rPr>
          <w:color w:val="000000" w:themeColor="text1"/>
        </w:rPr>
        <w:t>, имеющих лицензию, необходимую материально-техническую базу, сертифицированных специалистов</w:t>
      </w:r>
      <w:r>
        <w:t xml:space="preserve">, в стационарных условиях и условиях дневного стационара и включает в себя профилактику, диагностику, лечение онкологических заболеваний, требующих использования </w:t>
      </w:r>
      <w:r w:rsidRPr="006C0C64">
        <w:rPr>
          <w:color w:val="000000" w:themeColor="text1"/>
        </w:rPr>
        <w:t>специальных методов и сложных уникальных медицинских технологий, а также медицинскую реабилитацию.</w:t>
      </w:r>
    </w:p>
    <w:p w14:paraId="30112C5D" w14:textId="77777777" w:rsidR="00613DB8" w:rsidRDefault="00613DB8" w:rsidP="00613DB8">
      <w:pPr>
        <w:ind w:firstLine="851"/>
      </w:pPr>
      <w:r w:rsidRPr="006C0C64">
        <w:rPr>
          <w:color w:val="000000" w:themeColor="text1"/>
        </w:rPr>
        <w:t xml:space="preserve">В медицинской организации, оказывающей медицинскую помощь пациентам с </w:t>
      </w:r>
      <w:r w:rsidR="00090D97">
        <w:rPr>
          <w:color w:val="000000" w:themeColor="text1"/>
        </w:rPr>
        <w:t>ЛМЗ</w:t>
      </w:r>
      <w:r w:rsidR="006C0C64" w:rsidRPr="006C0C64">
        <w:rPr>
          <w:color w:val="000000" w:themeColor="text1"/>
        </w:rPr>
        <w:t>,</w:t>
      </w:r>
      <w:r w:rsidRPr="006C0C64">
        <w:rPr>
          <w:color w:val="000000" w:themeColor="text1"/>
        </w:rPr>
        <w:t xml:space="preserve"> тактика медицинского обследования </w:t>
      </w:r>
      <w:r>
        <w:t>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30112C5E" w14:textId="77777777" w:rsidR="00613DB8" w:rsidRDefault="00613DB8" w:rsidP="00613DB8">
      <w:pPr>
        <w:ind w:firstLine="851"/>
      </w:pPr>
      <w: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30112C5F" w14:textId="77777777" w:rsidR="00613DB8" w:rsidRPr="00A04E7F" w:rsidRDefault="00613DB8" w:rsidP="00613DB8">
      <w:pPr>
        <w:pStyle w:val="1f0"/>
        <w:contextualSpacing/>
        <w:rPr>
          <w:b/>
        </w:rPr>
      </w:pPr>
      <w:r w:rsidRPr="00A04E7F">
        <w:rPr>
          <w:b/>
        </w:rPr>
        <w:lastRenderedPageBreak/>
        <w:t xml:space="preserve">Показания для плановой госпитализации: </w:t>
      </w:r>
    </w:p>
    <w:p w14:paraId="30112C60" w14:textId="77777777" w:rsidR="009D3B73" w:rsidRDefault="009D3B73" w:rsidP="00D22A46">
      <w:pPr>
        <w:pStyle w:val="afd"/>
        <w:numPr>
          <w:ilvl w:val="0"/>
          <w:numId w:val="27"/>
        </w:numPr>
        <w:spacing w:beforeAutospacing="0" w:afterAutospacing="0"/>
        <w:ind w:left="426"/>
      </w:pPr>
      <w:r>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30112C61" w14:textId="77777777" w:rsidR="009D3B73" w:rsidRDefault="009D3B73" w:rsidP="00D22A46">
      <w:pPr>
        <w:pStyle w:val="1f0"/>
        <w:numPr>
          <w:ilvl w:val="0"/>
          <w:numId w:val="27"/>
        </w:numPr>
        <w:ind w:left="426"/>
        <w:contextualSpacing/>
      </w:pPr>
      <w:r>
        <w:t>Обследование пациента, включающее биопсию и инвазивные вмешательства, в случаях, когда оно не может быть проведено амбулаторно.</w:t>
      </w:r>
    </w:p>
    <w:p w14:paraId="30112C62" w14:textId="77777777" w:rsidR="00613DB8" w:rsidRPr="00A04E7F" w:rsidRDefault="00613DB8" w:rsidP="009D3B73">
      <w:pPr>
        <w:pStyle w:val="1f0"/>
        <w:contextualSpacing/>
        <w:rPr>
          <w:b/>
        </w:rPr>
      </w:pPr>
      <w:r w:rsidRPr="00A04E7F">
        <w:rPr>
          <w:b/>
        </w:rPr>
        <w:t xml:space="preserve">Показания для экстренной госпитализации: </w:t>
      </w:r>
    </w:p>
    <w:p w14:paraId="30112C63" w14:textId="77777777" w:rsidR="009D3B73" w:rsidRDefault="009D3B73" w:rsidP="00D22A46">
      <w:pPr>
        <w:pStyle w:val="afd"/>
        <w:numPr>
          <w:ilvl w:val="0"/>
          <w:numId w:val="28"/>
        </w:numPr>
        <w:spacing w:beforeAutospacing="0" w:afterAutospacing="0"/>
        <w:ind w:left="426"/>
      </w:pPr>
      <w:r>
        <w:t>Развитие тяжелой инфекции (необязательна госпитализация в гематологический стационар).</w:t>
      </w:r>
    </w:p>
    <w:p w14:paraId="30112C64" w14:textId="77777777" w:rsidR="009D3B73" w:rsidRDefault="009D3B73" w:rsidP="00D22A46">
      <w:pPr>
        <w:pStyle w:val="afd"/>
        <w:numPr>
          <w:ilvl w:val="0"/>
          <w:numId w:val="28"/>
        </w:numPr>
        <w:spacing w:beforeAutospacing="0" w:afterAutospacing="0"/>
        <w:ind w:left="426"/>
      </w:pPr>
      <w:r>
        <w:t>Развитие угрожающих жизни цитопений (глубокой анемии, геморрагического синдрома, нейтропении).</w:t>
      </w:r>
    </w:p>
    <w:p w14:paraId="30112C65" w14:textId="77777777" w:rsidR="009D3B73" w:rsidRDefault="009D3B73" w:rsidP="00D22A46">
      <w:pPr>
        <w:pStyle w:val="afd"/>
        <w:numPr>
          <w:ilvl w:val="0"/>
          <w:numId w:val="28"/>
        </w:numPr>
        <w:spacing w:beforeAutospacing="0" w:afterAutospacing="0"/>
        <w:ind w:left="426"/>
      </w:pPr>
      <w:r>
        <w:t xml:space="preserve">Развитие осложнений </w:t>
      </w:r>
      <w:r w:rsidR="00090D97">
        <w:t>ЛМЗ</w:t>
      </w:r>
      <w:r>
        <w:t>, угрожающи</w:t>
      </w:r>
      <w:r w:rsidR="004664C1">
        <w:t>х</w:t>
      </w:r>
      <w:r>
        <w:t xml:space="preserve"> жизни. </w:t>
      </w:r>
    </w:p>
    <w:p w14:paraId="30112C66" w14:textId="77777777" w:rsidR="009D3B73" w:rsidRDefault="009D3B73" w:rsidP="00D22A46">
      <w:pPr>
        <w:pStyle w:val="afd"/>
        <w:numPr>
          <w:ilvl w:val="0"/>
          <w:numId w:val="28"/>
        </w:numPr>
        <w:spacing w:beforeAutospacing="0" w:afterAutospacing="0"/>
        <w:ind w:left="426"/>
      </w:pPr>
      <w:r>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30112C67" w14:textId="77777777" w:rsidR="00613DB8" w:rsidRPr="00A04E7F" w:rsidRDefault="00613DB8" w:rsidP="00613DB8">
      <w:pPr>
        <w:pStyle w:val="1f0"/>
        <w:contextualSpacing/>
        <w:rPr>
          <w:b/>
        </w:rPr>
      </w:pPr>
      <w:r w:rsidRPr="00A04E7F">
        <w:rPr>
          <w:b/>
        </w:rPr>
        <w:t>Показания к выписке пациента из стационара:</w:t>
      </w:r>
    </w:p>
    <w:p w14:paraId="30112C68" w14:textId="77777777" w:rsidR="009D3B73" w:rsidRDefault="009D3B73" w:rsidP="00D22A46">
      <w:pPr>
        <w:pStyle w:val="afd"/>
        <w:numPr>
          <w:ilvl w:val="0"/>
          <w:numId w:val="29"/>
        </w:numPr>
        <w:spacing w:beforeAutospacing="0" w:afterAutospacing="0"/>
        <w:ind w:left="426"/>
      </w:pPr>
      <w:r>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30112C69" w14:textId="77777777" w:rsidR="009D3B73" w:rsidRDefault="009D3B73" w:rsidP="00D22A46">
      <w:pPr>
        <w:pStyle w:val="afd"/>
        <w:numPr>
          <w:ilvl w:val="0"/>
          <w:numId w:val="29"/>
        </w:numPr>
        <w:spacing w:beforeAutospacing="0" w:afterAutospacing="0"/>
        <w:ind w:left="426"/>
      </w:pPr>
      <w:r>
        <w:t>Отказ</w:t>
      </w:r>
      <w:r w:rsidR="002D4BC6">
        <w:t xml:space="preserve"> пациента</w:t>
      </w:r>
      <w:r>
        <w:t xml:space="preserve">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30112C6A" w14:textId="77777777" w:rsidR="009D3B73" w:rsidRDefault="009D3B73" w:rsidP="00D22A46">
      <w:pPr>
        <w:pStyle w:val="afd"/>
        <w:numPr>
          <w:ilvl w:val="0"/>
          <w:numId w:val="29"/>
        </w:numPr>
        <w:spacing w:beforeAutospacing="0" w:afterAutospacing="0"/>
        <w:ind w:left="426"/>
      </w:pPr>
      <w:r>
        <w:t>Необходимость перевода</w:t>
      </w:r>
      <w:r w:rsidR="002D4BC6">
        <w:t xml:space="preserve"> пациента</w:t>
      </w:r>
      <w:r>
        <w:t xml:space="preserve"> в другую медицинскую организацию по соответствующему профилю оказания медицинской помощи.</w:t>
      </w:r>
    </w:p>
    <w:p w14:paraId="30112C6B" w14:textId="77777777" w:rsidR="009D3B73" w:rsidRDefault="009D3B73" w:rsidP="00D22A46">
      <w:pPr>
        <w:pStyle w:val="afd"/>
        <w:numPr>
          <w:ilvl w:val="0"/>
          <w:numId w:val="29"/>
        </w:numPr>
        <w:spacing w:beforeAutospacing="0" w:afterAutospacing="0"/>
        <w:ind w:left="426"/>
      </w:pPr>
      <w:r>
        <w:lastRenderedPageBreak/>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30112C6C" w14:textId="77777777" w:rsidR="00613DB8" w:rsidRDefault="00613DB8" w:rsidP="00613DB8">
      <w:pPr>
        <w:pStyle w:val="1f0"/>
        <w:ind w:left="0" w:firstLine="851"/>
        <w:rPr>
          <w:color w:val="000000"/>
        </w:rPr>
      </w:pPr>
      <w:r>
        <w:rPr>
          <w:color w:val="000000"/>
        </w:rPr>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30112C6D" w14:textId="77777777" w:rsidR="00613DB8" w:rsidRDefault="00613DB8" w:rsidP="00613DB8">
      <w:pPr>
        <w:pStyle w:val="1f0"/>
        <w:ind w:left="0" w:firstLine="851"/>
        <w:contextualSpacing/>
      </w:pPr>
    </w:p>
    <w:p w14:paraId="30112C6E" w14:textId="77777777" w:rsidR="00CB562F" w:rsidRDefault="00C4630C" w:rsidP="00C4630C">
      <w:pPr>
        <w:pStyle w:val="afff2"/>
      </w:pPr>
      <w:bookmarkStart w:id="51" w:name="_Toc65108038"/>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49"/>
      <w:r w:rsidR="008371F9">
        <w:t xml:space="preserve"> </w:t>
      </w:r>
      <w:r w:rsidR="00A43CE5">
        <w:t>или состояния)</w:t>
      </w:r>
      <w:bookmarkEnd w:id="51"/>
    </w:p>
    <w:p w14:paraId="30112C6F" w14:textId="77777777" w:rsidR="002C7010" w:rsidRDefault="002C7010" w:rsidP="002C7010">
      <w:pPr>
        <w:pStyle w:val="2"/>
      </w:pPr>
      <w:bookmarkStart w:id="52" w:name="_Toc65108039"/>
      <w:bookmarkStart w:id="53" w:name="__RefHeading___doc_criteria"/>
      <w:r>
        <w:t xml:space="preserve">7.1 </w:t>
      </w:r>
      <w:r w:rsidR="00A26422">
        <w:t>Общие требования к морфологической диагностик</w:t>
      </w:r>
      <w:r w:rsidR="00EB6E9C">
        <w:t>е</w:t>
      </w:r>
      <w:r w:rsidR="00A26422">
        <w:t xml:space="preserve"> лимфом</w:t>
      </w:r>
      <w:bookmarkEnd w:id="52"/>
      <w:r>
        <w:t xml:space="preserve"> </w:t>
      </w:r>
    </w:p>
    <w:p w14:paraId="30112C70" w14:textId="77777777" w:rsidR="00A26422" w:rsidRPr="006C0C64" w:rsidRDefault="00A26422" w:rsidP="0064071E">
      <w:pPr>
        <w:ind w:firstLine="567"/>
        <w:rPr>
          <w:rFonts w:eastAsia="Calibri" w:cstheme="minorHAnsi"/>
          <w:color w:val="000000" w:themeColor="text1"/>
        </w:rPr>
      </w:pPr>
      <w:r w:rsidRPr="004A68D8">
        <w:rPr>
          <w:rFonts w:eastAsia="Calibri" w:cstheme="minorHAnsi"/>
        </w:rPr>
        <w:t>До биопсии лимфатического узла необходимо выполн</w:t>
      </w:r>
      <w:r>
        <w:rPr>
          <w:rFonts w:eastAsia="Calibri" w:cstheme="minorHAnsi"/>
        </w:rPr>
        <w:t>и</w:t>
      </w:r>
      <w:r w:rsidRPr="004A68D8">
        <w:rPr>
          <w:rFonts w:eastAsia="Calibri" w:cstheme="minorHAnsi"/>
        </w:rPr>
        <w:t xml:space="preserve">ть общий анализ крови с подсчетом лейкоцитарной формулы, чтобы </w:t>
      </w:r>
      <w:r w:rsidRPr="004A68D8">
        <w:rPr>
          <w:rFonts w:eastAsia="Calibri" w:cstheme="minorHAnsi"/>
          <w:color w:val="000000"/>
        </w:rPr>
        <w:t>исключить выполнение биопсии</w:t>
      </w:r>
      <w:r w:rsidRPr="004A68D8">
        <w:rPr>
          <w:rFonts w:eastAsia="Calibri" w:cstheme="minorHAnsi"/>
        </w:rPr>
        <w:t xml:space="preserve"> у</w:t>
      </w:r>
      <w:r w:rsidR="002D4BC6">
        <w:rPr>
          <w:rFonts w:eastAsia="Calibri" w:cstheme="minorHAnsi"/>
        </w:rPr>
        <w:t xml:space="preserve"> пациентов</w:t>
      </w:r>
      <w:r w:rsidRPr="004A68D8">
        <w:rPr>
          <w:rFonts w:eastAsia="Calibri" w:cstheme="minorHAnsi"/>
        </w:rPr>
        <w:t xml:space="preserve"> хроническим лимфолейкозом, моноклональным В-клеточным лимфоцитозом, острыми лейкозами, </w:t>
      </w:r>
      <w:r w:rsidRPr="004A68D8">
        <w:rPr>
          <w:rFonts w:eastAsia="Calibri" w:cstheme="minorHAnsi"/>
          <w:color w:val="000000"/>
        </w:rPr>
        <w:t>при лимфоцитозе инфекционной (</w:t>
      </w:r>
      <w:r w:rsidRPr="004A68D8">
        <w:rPr>
          <w:rFonts w:eastAsia="Calibri" w:cstheme="minorHAnsi"/>
          <w:color w:val="000000"/>
          <w:lang w:val="en-US"/>
        </w:rPr>
        <w:t>HIV</w:t>
      </w:r>
      <w:r w:rsidRPr="004A68D8">
        <w:rPr>
          <w:rFonts w:eastAsia="Calibri" w:cstheme="minorHAnsi"/>
          <w:color w:val="000000"/>
        </w:rPr>
        <w:t xml:space="preserve">, </w:t>
      </w:r>
      <w:r w:rsidRPr="004A68D8">
        <w:rPr>
          <w:rFonts w:eastAsia="Calibri" w:cstheme="minorHAnsi"/>
          <w:color w:val="000000"/>
          <w:lang w:val="en-US"/>
        </w:rPr>
        <w:t>EBV</w:t>
      </w:r>
      <w:r w:rsidRPr="004A68D8">
        <w:rPr>
          <w:rFonts w:eastAsia="Calibri" w:cstheme="minorHAnsi"/>
          <w:color w:val="000000"/>
        </w:rPr>
        <w:t xml:space="preserve">, </w:t>
      </w:r>
      <w:r w:rsidRPr="004A68D8">
        <w:rPr>
          <w:rFonts w:eastAsia="Calibri" w:cstheme="minorHAnsi"/>
          <w:color w:val="000000"/>
          <w:lang w:val="en-US"/>
        </w:rPr>
        <w:t>CMV</w:t>
      </w:r>
      <w:r w:rsidRPr="004A68D8">
        <w:rPr>
          <w:rFonts w:eastAsia="Calibri" w:cstheme="minorHAnsi"/>
          <w:color w:val="000000"/>
        </w:rPr>
        <w:t xml:space="preserve">-инфекции, коклюш, вирусные гепатиты, токсоплазмоз и др.) </w:t>
      </w:r>
      <w:r>
        <w:rPr>
          <w:rFonts w:eastAsia="Calibri" w:cstheme="minorHAnsi"/>
          <w:color w:val="000000"/>
        </w:rPr>
        <w:t>и</w:t>
      </w:r>
      <w:r w:rsidRPr="004A68D8">
        <w:rPr>
          <w:rFonts w:eastAsia="Calibri" w:cstheme="minorHAnsi"/>
          <w:color w:val="000000"/>
        </w:rPr>
        <w:t xml:space="preserve">ли другой этиологии (поствакцинальный, </w:t>
      </w:r>
      <w:r w:rsidRPr="006C0C64">
        <w:rPr>
          <w:rFonts w:eastAsia="Calibri" w:cstheme="minorHAnsi"/>
          <w:color w:val="000000" w:themeColor="text1"/>
        </w:rPr>
        <w:t xml:space="preserve">лекарственная реакция, курение, тимома, «стрессорный» лимфоцитоз). </w:t>
      </w:r>
    </w:p>
    <w:p w14:paraId="30112C71" w14:textId="77777777" w:rsidR="00A26422" w:rsidRPr="004A68D8" w:rsidRDefault="00A26422" w:rsidP="00DF14AA">
      <w:pPr>
        <w:ind w:firstLine="567"/>
        <w:rPr>
          <w:rFonts w:eastAsia="Calibri" w:cstheme="minorHAnsi"/>
        </w:rPr>
      </w:pPr>
      <w:r w:rsidRPr="006C0C64">
        <w:rPr>
          <w:rFonts w:eastAsia="Calibri" w:cstheme="minorHAnsi"/>
          <w:color w:val="000000" w:themeColor="text1"/>
        </w:rPr>
        <w:t xml:space="preserve">Диагноз </w:t>
      </w:r>
      <w:r w:rsidR="00617B53">
        <w:rPr>
          <w:rFonts w:eastAsia="Calibri" w:cstheme="minorHAnsi"/>
          <w:color w:val="000000" w:themeColor="text1"/>
        </w:rPr>
        <w:t>лимфомы маргинальной зоны</w:t>
      </w:r>
      <w:r w:rsidRPr="006C0C64">
        <w:rPr>
          <w:rFonts w:eastAsia="Calibri" w:cstheme="minorHAnsi"/>
          <w:color w:val="000000" w:themeColor="text1"/>
        </w:rPr>
        <w:t xml:space="preserve"> устанавливают на основании</w:t>
      </w:r>
      <w:r w:rsidR="002D4BC6">
        <w:rPr>
          <w:rFonts w:eastAsia="Calibri" w:cstheme="minorHAnsi"/>
          <w:color w:val="000000" w:themeColor="text1"/>
        </w:rPr>
        <w:t xml:space="preserve"> патолого-анатомического</w:t>
      </w:r>
      <w:r w:rsidRPr="006C0C64">
        <w:rPr>
          <w:rFonts w:eastAsia="Calibri" w:cstheme="minorHAnsi"/>
          <w:color w:val="000000" w:themeColor="text1"/>
        </w:rPr>
        <w:t xml:space="preserve"> </w:t>
      </w:r>
      <w:r w:rsidR="001124B8" w:rsidRPr="006C0C64">
        <w:rPr>
          <w:rFonts w:eastAsia="Calibri" w:cstheme="minorHAnsi"/>
          <w:color w:val="000000" w:themeColor="text1"/>
        </w:rPr>
        <w:t xml:space="preserve">исследования биопсийного </w:t>
      </w:r>
      <w:r w:rsidR="001124B8" w:rsidRPr="004A68D8">
        <w:rPr>
          <w:rFonts w:eastAsia="Calibri" w:cstheme="minorHAnsi"/>
        </w:rPr>
        <w:t>или операционного материала</w:t>
      </w:r>
      <w:r w:rsidR="001124B8" w:rsidRPr="006C0C64" w:rsidDel="007946A5">
        <w:rPr>
          <w:rFonts w:eastAsia="Calibri" w:cstheme="minorHAnsi"/>
          <w:color w:val="000000" w:themeColor="text1"/>
        </w:rPr>
        <w:t xml:space="preserve"> </w:t>
      </w:r>
      <w:r w:rsidR="007946A5">
        <w:rPr>
          <w:rFonts w:eastAsia="Calibri" w:cstheme="minorHAnsi"/>
          <w:color w:val="000000" w:themeColor="text1"/>
        </w:rPr>
        <w:t>с применением</w:t>
      </w:r>
      <w:r w:rsidR="007946A5" w:rsidRPr="006C0C64">
        <w:rPr>
          <w:rFonts w:eastAsia="Calibri" w:cstheme="minorHAnsi"/>
          <w:color w:val="000000" w:themeColor="text1"/>
        </w:rPr>
        <w:t xml:space="preserve"> иммуногистохимическ</w:t>
      </w:r>
      <w:r w:rsidR="007946A5">
        <w:rPr>
          <w:rFonts w:eastAsia="Calibri" w:cstheme="minorHAnsi"/>
          <w:color w:val="000000" w:themeColor="text1"/>
        </w:rPr>
        <w:t>их методов</w:t>
      </w:r>
      <w:r w:rsidRPr="004A68D8">
        <w:rPr>
          <w:rFonts w:eastAsia="Calibri" w:cstheme="minorHAnsi"/>
        </w:rPr>
        <w:t xml:space="preserve">. В части случаев необходимо проведение молекулярно-биологических и генетических тестов. Цитологическое исследование пунктатов или мазков-отпечатков лимфатических узлов или других опухолевых очагов является дополнительным методом исследования и не может служить достаточным основанием для диагноза лимфомы и ее нозологической верификации. </w:t>
      </w:r>
    </w:p>
    <w:p w14:paraId="30112C72" w14:textId="77777777" w:rsidR="00A26422" w:rsidRPr="004A68D8" w:rsidRDefault="00A26422" w:rsidP="00DF14AA">
      <w:pPr>
        <w:ind w:firstLine="567"/>
        <w:rPr>
          <w:rFonts w:eastAsia="Calibri" w:cstheme="minorHAnsi"/>
        </w:rPr>
      </w:pPr>
      <w:r w:rsidRPr="004A68D8">
        <w:rPr>
          <w:rFonts w:eastAsia="Calibri" w:cstheme="minorHAnsi"/>
        </w:rPr>
        <w:t>При первичном обследовании пациента во всех случаях проводится гистологическое и иммуногистохимическое исследование</w:t>
      </w:r>
      <w:r w:rsidRPr="000F6934">
        <w:rPr>
          <w:rFonts w:eastAsia="Calibri" w:cstheme="minorHAnsi"/>
        </w:rPr>
        <w:t xml:space="preserve"> </w:t>
      </w:r>
      <w:r>
        <w:rPr>
          <w:rFonts w:eastAsia="Calibri" w:cstheme="minorHAnsi"/>
        </w:rPr>
        <w:t>материала</w:t>
      </w:r>
      <w:r w:rsidRPr="004A68D8">
        <w:rPr>
          <w:rFonts w:eastAsia="Calibri" w:cstheme="minorHAnsi"/>
        </w:rPr>
        <w:t xml:space="preserve"> инцизионной или эксцизионной биопсии патологического очага или операционного материала при обязательном предоставлении врачу-патологоанатому выписки из амбулаторной карты/истории болезни пациента. Пунктировать лимфатические узлы для аспирации клеточной взвеси не следует. В исключительных случаях (локализация опухоли в </w:t>
      </w:r>
      <w:r w:rsidRPr="004A68D8">
        <w:rPr>
          <w:rFonts w:eastAsia="Calibri" w:cstheme="minorHAnsi"/>
        </w:rPr>
        <w:lastRenderedPageBreak/>
        <w:t xml:space="preserve">труднодоступных анатомических зонах, тяжесть состояния пациента) при обосновании невозможности выполнения эксцизионной биопсии (отраженном в медицинской документации), объектом исследования может быть тканевой материал, полученный с помощью пистолетной («кор»-) биопсии. Пригодным для исследования является биоптат диаметром не менее 16 </w:t>
      </w:r>
      <w:r w:rsidRPr="004A68D8">
        <w:rPr>
          <w:rFonts w:eastAsia="Calibri" w:cstheme="minorHAnsi"/>
          <w:lang w:val="en-US"/>
        </w:rPr>
        <w:t>G</w:t>
      </w:r>
      <w:r w:rsidRPr="004A68D8">
        <w:rPr>
          <w:rFonts w:eastAsia="Calibri" w:cstheme="minorHAnsi"/>
        </w:rPr>
        <w:t>, при длине опухолевого инфильтрата в ткани не менее 1,5 см. Объем иммуногистохимического исследования определяет врач-патологоанатом при гистологическом изучении материала. Разделение материала между различными лабораториями категорически недопустимо. Протокол</w:t>
      </w:r>
      <w:r w:rsidR="002D4BC6">
        <w:rPr>
          <w:rFonts w:eastAsia="Calibri" w:cstheme="minorHAnsi"/>
        </w:rPr>
        <w:t xml:space="preserve"> патолого-анатомического</w:t>
      </w:r>
      <w:r w:rsidRPr="004A68D8">
        <w:rPr>
          <w:rFonts w:eastAsia="Calibri" w:cstheme="minorHAnsi"/>
        </w:rPr>
        <w:t xml:space="preserve"> исследования должен содержать:</w:t>
      </w:r>
    </w:p>
    <w:p w14:paraId="30112C73" w14:textId="77777777" w:rsidR="00A26422" w:rsidRPr="00DF14AA" w:rsidRDefault="00A26422" w:rsidP="00D22A46">
      <w:pPr>
        <w:pStyle w:val="afe"/>
        <w:numPr>
          <w:ilvl w:val="0"/>
          <w:numId w:val="26"/>
        </w:numPr>
        <w:rPr>
          <w:rFonts w:eastAsia="Calibri" w:cstheme="minorHAnsi"/>
        </w:rPr>
      </w:pPr>
      <w:r w:rsidRPr="0086050B">
        <w:rPr>
          <w:rFonts w:eastAsia="Calibri" w:cstheme="minorHAnsi"/>
        </w:rPr>
        <w:t>Макроскопическое описание материала, присланного для исследования; при исследовании готовых блоков и микропрепаратов в протоколе должны быть указаны количество и идентификационные номера всех присланных объектов.</w:t>
      </w:r>
    </w:p>
    <w:p w14:paraId="30112C74" w14:textId="77777777" w:rsidR="004B7BA3" w:rsidRPr="0086050B" w:rsidRDefault="00A26422" w:rsidP="00D22A46">
      <w:pPr>
        <w:pStyle w:val="afe"/>
        <w:numPr>
          <w:ilvl w:val="0"/>
          <w:numId w:val="26"/>
        </w:numPr>
        <w:rPr>
          <w:rFonts w:eastAsia="Calibri" w:cstheme="minorHAnsi"/>
        </w:rPr>
      </w:pPr>
      <w:r w:rsidRPr="0086050B">
        <w:rPr>
          <w:rFonts w:eastAsia="Calibri" w:cstheme="minorHAnsi"/>
        </w:rPr>
        <w:t>Гистологическое описание лимфомы с указанием типа роста (диффузный, нодулярный и т.</w:t>
      </w:r>
      <w:r>
        <w:rPr>
          <w:rFonts w:eastAsia="Calibri" w:cstheme="minorHAnsi"/>
        </w:rPr>
        <w:t> </w:t>
      </w:r>
      <w:r w:rsidRPr="0086050B">
        <w:rPr>
          <w:rFonts w:eastAsia="Calibri" w:cstheme="minorHAnsi"/>
        </w:rPr>
        <w:t>п.), характеристики клеточного состава (мелкие, крупные клетки, полиморфный состав, анапластическая, бластная/бластоидная морфология, наличие многоядерных форм, характеристика ядер), наличия реактивных и резидуальных компонентов.</w:t>
      </w:r>
      <w:r w:rsidR="004B7BA3">
        <w:rPr>
          <w:rFonts w:eastAsia="Calibri" w:cstheme="minorHAnsi"/>
        </w:rPr>
        <w:t xml:space="preserve"> </w:t>
      </w:r>
    </w:p>
    <w:p w14:paraId="30112C75" w14:textId="77777777" w:rsidR="004B7BA3" w:rsidRPr="0086050B" w:rsidRDefault="004B7BA3" w:rsidP="00D22A46">
      <w:pPr>
        <w:pStyle w:val="afe"/>
        <w:numPr>
          <w:ilvl w:val="0"/>
          <w:numId w:val="26"/>
        </w:numPr>
        <w:rPr>
          <w:rFonts w:eastAsia="Calibri" w:cstheme="minorHAnsi"/>
        </w:rPr>
      </w:pPr>
      <w:r w:rsidRPr="0086050B">
        <w:rPr>
          <w:rFonts w:eastAsia="Calibri" w:cstheme="minorHAnsi"/>
        </w:rPr>
        <w:t xml:space="preserve">Результаты иммуногистохимического исследования с указанием использованных антител и подробностей окрашивания, указывающих на специфический характер реакции (например, окрашивание ядер в реакциях с антителами к TdT, </w:t>
      </w:r>
      <w:r w:rsidRPr="0086050B">
        <w:rPr>
          <w:rFonts w:eastAsia="Calibri" w:cstheme="minorHAnsi"/>
          <w:lang w:val="en-US"/>
        </w:rPr>
        <w:t>BCL</w:t>
      </w:r>
      <w:r w:rsidRPr="0086050B">
        <w:rPr>
          <w:rFonts w:eastAsia="Calibri" w:cstheme="minorHAnsi"/>
        </w:rPr>
        <w:t>-6, Cyclin D1; цитоплазмы</w:t>
      </w:r>
      <w:r w:rsidRPr="0086050B">
        <w:rPr>
          <w:rFonts w:eastAsia="Calibri" w:cstheme="minorHAnsi"/>
          <w:color w:val="FF0000"/>
        </w:rPr>
        <w:t xml:space="preserve"> </w:t>
      </w:r>
      <w:r>
        <w:rPr>
          <w:rFonts w:eastAsia="Calibri" w:cstheme="minorHAnsi"/>
        </w:rPr>
        <w:t>–</w:t>
      </w:r>
      <w:r w:rsidRPr="0086050B">
        <w:rPr>
          <w:rFonts w:eastAsia="Calibri" w:cstheme="minorHAnsi"/>
          <w:color w:val="FF0000"/>
        </w:rPr>
        <w:t xml:space="preserve"> </w:t>
      </w:r>
      <w:r w:rsidRPr="0086050B">
        <w:rPr>
          <w:rFonts w:eastAsia="Calibri" w:cstheme="minorHAnsi"/>
        </w:rPr>
        <w:t>в</w:t>
      </w:r>
      <w:r w:rsidRPr="0086050B">
        <w:rPr>
          <w:rFonts w:eastAsia="Calibri" w:cstheme="minorHAnsi"/>
          <w:color w:val="FF0000"/>
        </w:rPr>
        <w:t xml:space="preserve"> </w:t>
      </w:r>
      <w:r w:rsidRPr="0086050B">
        <w:rPr>
          <w:rFonts w:eastAsia="Calibri" w:cstheme="minorHAnsi"/>
        </w:rPr>
        <w:t>реакциях на CD79a</w:t>
      </w:r>
      <w:r>
        <w:rPr>
          <w:rFonts w:eastAsia="Calibri" w:cstheme="minorHAnsi"/>
        </w:rPr>
        <w:t>;</w:t>
      </w:r>
      <w:r w:rsidRPr="0086050B">
        <w:rPr>
          <w:rFonts w:eastAsia="Calibri" w:cstheme="minorHAnsi"/>
        </w:rPr>
        <w:t xml:space="preserve"> гранулярная цитоплазматическая реакция - цитотоксические молекулы; окрашивание цитоплазмы или мембраны - в реакциях с антителами к CD3, тяжелым или легким цепям иммуноглобулинов; мембраны –</w:t>
      </w:r>
      <w:r>
        <w:rPr>
          <w:rFonts w:eastAsia="Calibri" w:cstheme="minorHAnsi"/>
        </w:rPr>
        <w:t xml:space="preserve"> в реакциях на CD20, CD10</w:t>
      </w:r>
      <w:r w:rsidRPr="0086050B">
        <w:rPr>
          <w:rFonts w:eastAsia="Calibri" w:cstheme="minorHAnsi"/>
        </w:rPr>
        <w:t>), интенсивность, особенности иммуногистоархитектоники. Представление результатов иммуногистохимических тестов только в виде «крестов» («плюсов») и перечня антител недопустимо.</w:t>
      </w:r>
    </w:p>
    <w:p w14:paraId="30112C76" w14:textId="77777777" w:rsidR="00A26422" w:rsidRPr="0086050B" w:rsidRDefault="002D4BC6" w:rsidP="00D22A46">
      <w:pPr>
        <w:pStyle w:val="afe"/>
        <w:numPr>
          <w:ilvl w:val="0"/>
          <w:numId w:val="26"/>
        </w:numPr>
        <w:rPr>
          <w:rFonts w:eastAsia="Calibri" w:cstheme="minorHAnsi"/>
        </w:rPr>
      </w:pPr>
      <w:r>
        <w:rPr>
          <w:rFonts w:eastAsia="Calibri" w:cstheme="minorHAnsi"/>
        </w:rPr>
        <w:t xml:space="preserve">Патолого-анатомическое </w:t>
      </w:r>
      <w:r w:rsidR="00A26422" w:rsidRPr="0086050B">
        <w:rPr>
          <w:rFonts w:eastAsia="Calibri" w:cstheme="minorHAnsi"/>
        </w:rPr>
        <w:t>заключение, сформулированное в соответствии с действующей редакцией классификации опухолей гемопоэтической и лимфоидной тканей (ВОЗ, 2017</w:t>
      </w:r>
      <w:r w:rsidR="00A26422">
        <w:rPr>
          <w:rFonts w:eastAsia="Calibri" w:cstheme="minorHAnsi"/>
        </w:rPr>
        <w:t> г.</w:t>
      </w:r>
      <w:r w:rsidR="00A26422" w:rsidRPr="0086050B">
        <w:rPr>
          <w:rFonts w:eastAsia="Calibri" w:cstheme="minorHAnsi"/>
        </w:rPr>
        <w:t>).</w:t>
      </w:r>
    </w:p>
    <w:p w14:paraId="30112C77" w14:textId="77777777" w:rsidR="00A26422" w:rsidRDefault="00A26422" w:rsidP="0064071E">
      <w:pPr>
        <w:ind w:firstLine="567"/>
        <w:rPr>
          <w:rFonts w:eastAsia="Calibri" w:cstheme="minorHAnsi"/>
        </w:rPr>
      </w:pPr>
      <w:r w:rsidRPr="004A68D8">
        <w:rPr>
          <w:rFonts w:eastAsia="Calibri" w:cstheme="minorHAnsi"/>
        </w:rPr>
        <w:t>Обязательным компонентом определения распространенности опухолевого процесса (стадии) является гистологическое исследование трепанобиоптата костного мозга. В процессе первичного обследования рекомендуется выполнять биопсию билатерально.</w:t>
      </w:r>
      <w:r>
        <w:rPr>
          <w:rFonts w:eastAsia="Calibri" w:cstheme="minorHAnsi"/>
        </w:rPr>
        <w:t xml:space="preserve"> </w:t>
      </w:r>
    </w:p>
    <w:p w14:paraId="30112C78" w14:textId="77777777" w:rsidR="00A26422" w:rsidRPr="006C0C64" w:rsidRDefault="002D4BC6" w:rsidP="00DF14AA">
      <w:pPr>
        <w:ind w:firstLine="567"/>
        <w:rPr>
          <w:rFonts w:eastAsia="Calibri" w:cstheme="minorHAnsi"/>
          <w:strike/>
          <w:color w:val="000000" w:themeColor="text1"/>
        </w:rPr>
      </w:pPr>
      <w:r>
        <w:rPr>
          <w:rFonts w:eastAsia="Calibri" w:cstheme="minorHAnsi"/>
        </w:rPr>
        <w:lastRenderedPageBreak/>
        <w:t xml:space="preserve">Патолого-анатомическое </w:t>
      </w:r>
      <w:r w:rsidR="00A26422" w:rsidRPr="004A68D8">
        <w:rPr>
          <w:rFonts w:eastAsia="Calibri" w:cstheme="minorHAnsi"/>
        </w:rPr>
        <w:t xml:space="preserve">исследование пунктата костного мозга (стернального или др.) </w:t>
      </w:r>
      <w:r w:rsidR="00A26422" w:rsidRPr="006C0C64">
        <w:rPr>
          <w:rFonts w:eastAsia="Calibri" w:cstheme="minorHAnsi"/>
          <w:color w:val="000000" w:themeColor="text1"/>
        </w:rPr>
        <w:t xml:space="preserve">не заменяет гистологическое исследование трепанобиоптата. </w:t>
      </w:r>
    </w:p>
    <w:p w14:paraId="30112C79" w14:textId="77777777" w:rsidR="00A26422" w:rsidRPr="004A68D8" w:rsidRDefault="00A26422" w:rsidP="00DF14AA">
      <w:pPr>
        <w:ind w:firstLine="567"/>
        <w:rPr>
          <w:rFonts w:eastAsia="Calibri" w:cstheme="minorHAnsi"/>
        </w:rPr>
      </w:pPr>
      <w:r w:rsidRPr="006C0C64">
        <w:rPr>
          <w:rFonts w:eastAsia="Calibri" w:cstheme="minorHAnsi"/>
          <w:color w:val="000000" w:themeColor="text1"/>
        </w:rPr>
        <w:t xml:space="preserve">При наличии в общем анализе крови или миелограмме лимфоцитоза, независимо от числа лейкоцитов, а также при преобладании лимфоидных клеточных элементов, </w:t>
      </w:r>
      <w:r w:rsidRPr="004A68D8">
        <w:rPr>
          <w:rFonts w:eastAsia="Calibri" w:cstheme="minorHAnsi"/>
        </w:rPr>
        <w:t>атипичных лимфоцитов или клеток с бластной морфологией в плевральной, асцитической или других биологических жидкостях необходимо выполн</w:t>
      </w:r>
      <w:r>
        <w:rPr>
          <w:rFonts w:eastAsia="Calibri" w:cstheme="minorHAnsi"/>
        </w:rPr>
        <w:t xml:space="preserve">ить </w:t>
      </w:r>
      <w:r w:rsidRPr="004A68D8">
        <w:rPr>
          <w:rFonts w:eastAsia="Calibri" w:cstheme="minorHAnsi"/>
        </w:rPr>
        <w:t>иммунофенотипировани</w:t>
      </w:r>
      <w:r>
        <w:rPr>
          <w:rFonts w:eastAsia="Calibri" w:cstheme="minorHAnsi"/>
        </w:rPr>
        <w:t>е</w:t>
      </w:r>
      <w:r w:rsidRPr="004A68D8">
        <w:rPr>
          <w:rFonts w:eastAsia="Calibri" w:cstheme="minorHAnsi"/>
        </w:rPr>
        <w:t xml:space="preserve"> методом проточной цитометрии. Проточная цитометрия позволяет быстро провести дифференциальную диагностику опухолевого и реактивного лимфоцитоза, что важно для определения дальнейшей тактики обследования пациента. Материалом для анализа методом проточной цитометрии могут служить клетки крови, костного мозга, выпотных жидкостей, бронхоальвеолярного смыва, ликвора, гомогенизированные образцы тканей (селезенка, лимфатические узлы и т.</w:t>
      </w:r>
      <w:r>
        <w:rPr>
          <w:rFonts w:eastAsia="Calibri" w:cstheme="minorHAnsi"/>
        </w:rPr>
        <w:t> </w:t>
      </w:r>
      <w:r w:rsidRPr="004A68D8">
        <w:rPr>
          <w:rFonts w:eastAsia="Calibri" w:cstheme="minorHAnsi"/>
        </w:rPr>
        <w:t>д.), клеточная суспензия, полученная при аспирационной тонкоигольной пункции лимфатических узлов.</w:t>
      </w:r>
    </w:p>
    <w:p w14:paraId="30112C7A" w14:textId="77777777" w:rsidR="00A26422" w:rsidRPr="004A68D8" w:rsidRDefault="00A26422" w:rsidP="00DF14AA">
      <w:pPr>
        <w:ind w:firstLine="567"/>
        <w:rPr>
          <w:rFonts w:eastAsia="Calibri" w:cstheme="minorHAnsi"/>
        </w:rPr>
      </w:pPr>
      <w:r w:rsidRPr="004A68D8">
        <w:rPr>
          <w:rFonts w:eastAsia="Calibri" w:cstheme="minorHAnsi"/>
        </w:rPr>
        <w:t>При определении стадии опухолевого процесса может потребоваться биопсия других очагов поражения, если нельзя исключить их опухолевую</w:t>
      </w:r>
      <w:r w:rsidRPr="004A68D8">
        <w:rPr>
          <w:rFonts w:eastAsia="Calibri" w:cstheme="minorHAnsi"/>
          <w:color w:val="1F497D"/>
        </w:rPr>
        <w:t xml:space="preserve"> </w:t>
      </w:r>
      <w:r w:rsidRPr="004A68D8">
        <w:rPr>
          <w:rFonts w:eastAsia="Calibri" w:cstheme="minorHAnsi"/>
        </w:rPr>
        <w:t>природу другими способами.</w:t>
      </w:r>
    </w:p>
    <w:p w14:paraId="30112C7B" w14:textId="77777777" w:rsidR="00A26422" w:rsidRPr="004A68D8" w:rsidRDefault="00A26422" w:rsidP="00DF14AA">
      <w:pPr>
        <w:ind w:firstLine="567"/>
        <w:rPr>
          <w:rFonts w:eastAsia="Calibri" w:cstheme="minorHAnsi"/>
        </w:rPr>
      </w:pPr>
      <w:r w:rsidRPr="004A68D8">
        <w:rPr>
          <w:rFonts w:eastAsia="Calibri" w:cstheme="minorHAnsi"/>
        </w:rPr>
        <w:t>При рецидиве или прогрессировании заболевания обязательно выполнение повторной биопсии и</w:t>
      </w:r>
      <w:r w:rsidR="002D4BC6">
        <w:rPr>
          <w:rFonts w:eastAsia="Calibri" w:cstheme="minorHAnsi"/>
        </w:rPr>
        <w:t xml:space="preserve"> патолого-анатомического</w:t>
      </w:r>
      <w:r w:rsidRPr="004A68D8">
        <w:rPr>
          <w:rFonts w:eastAsia="Calibri" w:cstheme="minorHAnsi"/>
        </w:rPr>
        <w:t xml:space="preserve"> исследования пораженных лимфатических узлов или </w:t>
      </w:r>
      <w:r>
        <w:rPr>
          <w:rFonts w:eastAsia="Calibri" w:cstheme="minorHAnsi"/>
        </w:rPr>
        <w:t xml:space="preserve">экстранодальных </w:t>
      </w:r>
      <w:r w:rsidRPr="004A68D8">
        <w:rPr>
          <w:rFonts w:eastAsia="Calibri" w:cstheme="minorHAnsi"/>
        </w:rPr>
        <w:t>очагов. Повторная биопсия также показана при наличии резидуальных очагов для подтверждения ремиссии.</w:t>
      </w:r>
      <w:r>
        <w:rPr>
          <w:rFonts w:eastAsia="Calibri" w:cstheme="minorHAnsi"/>
        </w:rPr>
        <w:t xml:space="preserve"> </w:t>
      </w:r>
      <w:r w:rsidRPr="004A68D8">
        <w:rPr>
          <w:rFonts w:eastAsia="Calibri" w:cstheme="minorHAnsi"/>
        </w:rPr>
        <w:t>Проведение повторной биопсии патологического очага является обязательным при первично-резистентном течении или рецидиве заболевания в целях подтверждения диагноза или верификации опухолевой</w:t>
      </w:r>
      <w:r>
        <w:rPr>
          <w:rFonts w:eastAsia="Calibri" w:cstheme="minorHAnsi"/>
        </w:rPr>
        <w:t xml:space="preserve"> </w:t>
      </w:r>
      <w:r w:rsidRPr="004A68D8">
        <w:rPr>
          <w:rFonts w:eastAsia="Calibri" w:cstheme="minorHAnsi"/>
        </w:rPr>
        <w:t>трансформации,</w:t>
      </w:r>
      <w:r>
        <w:rPr>
          <w:rFonts w:eastAsia="Calibri" w:cstheme="minorHAnsi"/>
        </w:rPr>
        <w:t xml:space="preserve"> </w:t>
      </w:r>
      <w:r w:rsidRPr="004A68D8">
        <w:rPr>
          <w:rFonts w:eastAsia="Calibri" w:cstheme="minorHAnsi"/>
        </w:rPr>
        <w:t>а также исключения второй опухоли, инфекционного процесса.</w:t>
      </w:r>
    </w:p>
    <w:p w14:paraId="30112C7C" w14:textId="77777777" w:rsidR="00A26422" w:rsidRPr="004A68D8" w:rsidRDefault="00A26422" w:rsidP="00DF14AA">
      <w:pPr>
        <w:ind w:firstLine="567"/>
        <w:rPr>
          <w:rFonts w:eastAsia="Calibri" w:cstheme="minorHAnsi"/>
        </w:rPr>
      </w:pPr>
      <w:r>
        <w:rPr>
          <w:rFonts w:eastAsia="Calibri" w:cstheme="minorHAnsi"/>
        </w:rPr>
        <w:t>Повторная</w:t>
      </w:r>
      <w:r w:rsidRPr="004A68D8">
        <w:rPr>
          <w:rFonts w:eastAsia="Calibri" w:cstheme="minorHAnsi"/>
        </w:rPr>
        <w:t xml:space="preserve"> аспирация и трепанобиопсия костного мозга выполняются для плановой оценки результатов лечения и при появлении клинически немотивированных цитопении и лихорадки. Аспират костного мозга может быть информативен для оценки регенерации и диспластических изменений миелопоэза. У</w:t>
      </w:r>
      <w:r w:rsidR="00F139FA">
        <w:rPr>
          <w:rFonts w:eastAsia="Calibri" w:cstheme="minorHAnsi"/>
        </w:rPr>
        <w:t xml:space="preserve"> пациентов</w:t>
      </w:r>
      <w:r w:rsidRPr="004A68D8">
        <w:rPr>
          <w:rFonts w:eastAsia="Calibri" w:cstheme="minorHAnsi"/>
        </w:rPr>
        <w:t xml:space="preserve"> с поражением костного мозга цитологическое исследование пунктата для оценки изменений объема опухолевой инфильтрации не всегда информативно. </w:t>
      </w:r>
    </w:p>
    <w:p w14:paraId="30112C7D" w14:textId="77777777" w:rsidR="00A26422" w:rsidRPr="00DF14AA" w:rsidRDefault="00A26422" w:rsidP="00DF14AA">
      <w:pPr>
        <w:pStyle w:val="2"/>
      </w:pPr>
      <w:bookmarkStart w:id="54" w:name="_Toc65108040"/>
      <w:r>
        <w:t>7.</w:t>
      </w:r>
      <w:r w:rsidR="0064071E">
        <w:t>2</w:t>
      </w:r>
      <w:r>
        <w:t xml:space="preserve"> </w:t>
      </w:r>
      <w:r w:rsidR="002D4BC6">
        <w:t xml:space="preserve">Патолого-анатомическая </w:t>
      </w:r>
      <w:r>
        <w:t xml:space="preserve">и иммуногистохимическая диагностика </w:t>
      </w:r>
      <w:r w:rsidR="00090D97">
        <w:t>ЛМЗ</w:t>
      </w:r>
      <w:bookmarkEnd w:id="54"/>
      <w:r>
        <w:t xml:space="preserve"> </w:t>
      </w:r>
    </w:p>
    <w:p w14:paraId="30112C7E" w14:textId="77777777" w:rsidR="0037117A" w:rsidRPr="0037117A" w:rsidRDefault="0037117A" w:rsidP="0037117A">
      <w:pPr>
        <w:ind w:firstLine="567"/>
        <w:rPr>
          <w:rFonts w:eastAsia="Times New Roman" w:cstheme="minorHAnsi"/>
          <w:bCs/>
          <w:lang w:eastAsia="ru-RU"/>
        </w:rPr>
      </w:pPr>
      <w:r w:rsidRPr="0037117A">
        <w:rPr>
          <w:rFonts w:eastAsia="Times New Roman" w:cstheme="minorHAnsi"/>
          <w:bCs/>
          <w:lang w:eastAsia="ru-RU"/>
        </w:rPr>
        <w:lastRenderedPageBreak/>
        <w:t>Группа лимфом из клеток маргинальной зоны (ЛМЗ) включает в себя следующие типы: нодальная ЛМЗ, экстранодальная ЛМЗ из лимфоидной ткани, ассоциированной со слизистыми оболочками (MALT-лимфома), ЛМЗ селезенки.</w:t>
      </w:r>
    </w:p>
    <w:p w14:paraId="30112C7F" w14:textId="77777777" w:rsidR="0037117A" w:rsidRPr="0037117A" w:rsidRDefault="0037117A" w:rsidP="0037117A">
      <w:pPr>
        <w:ind w:firstLine="567"/>
        <w:rPr>
          <w:rFonts w:eastAsia="Times New Roman" w:cstheme="minorHAnsi"/>
          <w:bCs/>
          <w:lang w:eastAsia="ru-RU"/>
        </w:rPr>
      </w:pPr>
      <w:r w:rsidRPr="0037117A">
        <w:rPr>
          <w:rFonts w:eastAsia="Times New Roman" w:cstheme="minorHAnsi"/>
          <w:bCs/>
          <w:lang w:eastAsia="ru-RU"/>
        </w:rPr>
        <w:t>ЛМЗ представляют собой В-клеточные лимфомы с нодулярным, интрафолликулярным, маргинальным, диффузным, внутрисинусным типами роста. Клеточный состав полиморфный: встречаются клетки типа малых лимфоцитов, центроцитоподобные, лимфоидные клетки с признаками плазмоцитарной дифференцировки, зрелые плазматические клетки, разрозненно расположенные крупные клетки с морфологией центробластов и иммунобластов; при экстранодальной локализации нередко присутствуют скопления опухолевых клеток с морфологией моноцитоидных В-клеток.</w:t>
      </w:r>
    </w:p>
    <w:p w14:paraId="30112C80" w14:textId="77777777" w:rsidR="0037117A" w:rsidRPr="0037117A" w:rsidRDefault="0037117A" w:rsidP="0037117A">
      <w:pPr>
        <w:ind w:firstLine="567"/>
        <w:rPr>
          <w:rFonts w:eastAsia="Times New Roman" w:cstheme="minorHAnsi"/>
          <w:bCs/>
          <w:lang w:eastAsia="ru-RU"/>
        </w:rPr>
      </w:pPr>
      <w:r w:rsidRPr="0037117A">
        <w:rPr>
          <w:rFonts w:eastAsia="Times New Roman" w:cstheme="minorHAnsi"/>
          <w:bCs/>
          <w:lang w:eastAsia="ru-RU"/>
        </w:rPr>
        <w:t>Иммуногистохимически диагноз ЛМЗ устанавливается путем исключения других вариантов мелкоклеточных В-клеточных лимфом и требует использования широкой панели антител. Иммунофенотип опухоли характеризуется экспрессией пан-В-клеточных антигенов, в частности CD20 (интенсивная мембранная экспрессия). В целом иммунофенотип нодальных и экстранодальных В-клеточных ЛМЗ идентичен: CD20+, CD19+, CD22+, CD5-, CD10-, CD23-, BCL-2+/-, BCL-6-, MUM.1 -/+ (слабая ядерная экспрессия в лимфоидных клетках опухолевого инфильтрата). В сложных случаях при преобладании диффузного роста рекомендуется дополнительное исследование экспрессии CD38 (как правило, отсутствует) и CD44 (часто присутствует). Резидуальные зародышевые центры фолликулов с признаками колонизации визуализируются с помощью антител к CD10, BCL-6, CD23 (сеть фолликулярных дендритических клеток). При ЛМЗ селезенки может наблюдаться коэкспрессия CD5 (до 20% случаев). «Уникальный» диагностический маркер для ЛМЗ отсутствует. В классификации ВОЗ 2017 в иммуногистохимическую панель включены антитела к MNDA, однако экспрессия этого маркера может наблюдаться и при некоторых нодальных В-клеточных мелкоклеточных лимфомах.</w:t>
      </w:r>
    </w:p>
    <w:p w14:paraId="30112C81" w14:textId="77777777" w:rsidR="00674635" w:rsidRDefault="0037117A" w:rsidP="0037117A">
      <w:pPr>
        <w:ind w:firstLine="567"/>
        <w:rPr>
          <w:rFonts w:eastAsia="Times New Roman" w:cstheme="minorHAnsi"/>
          <w:lang w:eastAsia="ru-RU"/>
        </w:rPr>
      </w:pPr>
      <w:r w:rsidRPr="0037117A">
        <w:rPr>
          <w:rFonts w:eastAsia="Times New Roman" w:cstheme="minorHAnsi"/>
          <w:bCs/>
          <w:lang w:eastAsia="ru-RU"/>
        </w:rPr>
        <w:t>Трансформация в диффузную В-клеточную крупноклеточную лимфому устанавливается при наличии крупноочаговых скоплений крупных клеток с морфологией центробластов/иммунобластов.</w:t>
      </w:r>
    </w:p>
    <w:p w14:paraId="30112C82" w14:textId="77777777" w:rsidR="002C7010" w:rsidRDefault="002C7010" w:rsidP="002C7010">
      <w:pPr>
        <w:pStyle w:val="2"/>
        <w:rPr>
          <w:color w:val="000000" w:themeColor="text1"/>
        </w:rPr>
      </w:pPr>
      <w:bookmarkStart w:id="55" w:name="_Toc65108041"/>
      <w:r w:rsidRPr="00F65B65">
        <w:rPr>
          <w:color w:val="000000" w:themeColor="text1"/>
        </w:rPr>
        <w:t>7.</w:t>
      </w:r>
      <w:r w:rsidR="0064071E" w:rsidRPr="00F65B65">
        <w:rPr>
          <w:color w:val="000000" w:themeColor="text1"/>
        </w:rPr>
        <w:t>3</w:t>
      </w:r>
      <w:r w:rsidRPr="00F65B65">
        <w:rPr>
          <w:color w:val="000000" w:themeColor="text1"/>
        </w:rPr>
        <w:t xml:space="preserve"> Стадирование</w:t>
      </w:r>
      <w:r w:rsidR="00AB1CCB">
        <w:rPr>
          <w:color w:val="000000" w:themeColor="text1"/>
        </w:rPr>
        <w:t xml:space="preserve"> </w:t>
      </w:r>
      <w:r w:rsidR="00090D97">
        <w:rPr>
          <w:color w:val="000000" w:themeColor="text1"/>
        </w:rPr>
        <w:t>ЛМЗ</w:t>
      </w:r>
      <w:bookmarkEnd w:id="55"/>
      <w:r w:rsidR="00F65B65">
        <w:rPr>
          <w:color w:val="000000" w:themeColor="text1"/>
        </w:rPr>
        <w:t xml:space="preserve"> </w:t>
      </w:r>
    </w:p>
    <w:p w14:paraId="30112C83" w14:textId="77777777" w:rsidR="00A54C2B" w:rsidRDefault="00442AB7" w:rsidP="00F65B65">
      <w:pPr>
        <w:ind w:firstLine="567"/>
        <w:rPr>
          <w:rFonts w:cs="Times New Roman"/>
          <w:bCs/>
          <w:lang w:eastAsia="ru-RU"/>
        </w:rPr>
      </w:pPr>
      <w:r w:rsidRPr="00442AB7">
        <w:rPr>
          <w:rFonts w:cs="Times New Roman"/>
          <w:bCs/>
          <w:lang w:eastAsia="ru-RU"/>
        </w:rPr>
        <w:t>MALT-лимфомы желудка стадируют согласно системе стадирования лимфом ЖКТ Лугано</w:t>
      </w:r>
      <w:r>
        <w:rPr>
          <w:rFonts w:cs="Times New Roman"/>
          <w:bCs/>
          <w:lang w:eastAsia="ru-RU"/>
        </w:rPr>
        <w:t xml:space="preserve"> (табл. 7.3.1)</w:t>
      </w:r>
      <w:r w:rsidRPr="00442AB7">
        <w:rPr>
          <w:rFonts w:cs="Times New Roman"/>
          <w:bCs/>
          <w:lang w:eastAsia="ru-RU"/>
        </w:rPr>
        <w:t>. Другие ЛМЗ стадируют согласно классификации Ann Arbor</w:t>
      </w:r>
      <w:r>
        <w:rPr>
          <w:rFonts w:cs="Times New Roman"/>
          <w:bCs/>
          <w:lang w:eastAsia="ru-RU"/>
        </w:rPr>
        <w:t xml:space="preserve"> (табл. 7.3.2)</w:t>
      </w:r>
      <w:r w:rsidR="00F65B65">
        <w:t>.</w:t>
      </w:r>
      <w:r w:rsidR="00F65B65">
        <w:rPr>
          <w:rFonts w:cs="Times New Roman"/>
          <w:bCs/>
          <w:lang w:eastAsia="ru-RU"/>
        </w:rPr>
        <w:t xml:space="preserve"> </w:t>
      </w:r>
    </w:p>
    <w:p w14:paraId="30112C84" w14:textId="77777777" w:rsidR="00442AB7" w:rsidRDefault="00442AB7" w:rsidP="00F65B65">
      <w:pPr>
        <w:spacing w:before="280" w:after="280"/>
        <w:rPr>
          <w:rFonts w:eastAsia="Times New Roman" w:cs="Times New Roman"/>
          <w:b/>
          <w:bCs/>
          <w:szCs w:val="24"/>
          <w:lang w:eastAsia="ru-RU"/>
        </w:rPr>
      </w:pPr>
      <w:r w:rsidRPr="00154AEE">
        <w:rPr>
          <w:rFonts w:eastAsia="Times New Roman" w:cs="Times New Roman"/>
          <w:b/>
          <w:bCs/>
          <w:szCs w:val="24"/>
          <w:lang w:eastAsia="ru-RU"/>
        </w:rPr>
        <w:lastRenderedPageBreak/>
        <w:t xml:space="preserve">Таблица </w:t>
      </w:r>
      <w:r>
        <w:rPr>
          <w:rFonts w:eastAsia="Times New Roman" w:cs="Times New Roman"/>
          <w:b/>
          <w:bCs/>
          <w:szCs w:val="24"/>
          <w:lang w:eastAsia="ru-RU"/>
        </w:rPr>
        <w:t>7.3.</w:t>
      </w:r>
      <w:r w:rsidRPr="00154AEE">
        <w:rPr>
          <w:rFonts w:eastAsia="Times New Roman" w:cs="Times New Roman"/>
          <w:b/>
          <w:bCs/>
          <w:szCs w:val="24"/>
          <w:lang w:eastAsia="ru-RU"/>
        </w:rPr>
        <w:t>1.</w:t>
      </w:r>
      <w:r>
        <w:rPr>
          <w:rFonts w:eastAsia="Times New Roman" w:cs="Times New Roman"/>
          <w:b/>
          <w:bCs/>
          <w:szCs w:val="24"/>
          <w:lang w:eastAsia="ru-RU"/>
        </w:rPr>
        <w:t xml:space="preserve"> </w:t>
      </w:r>
      <w:r w:rsidRPr="00442AB7">
        <w:rPr>
          <w:rFonts w:eastAsia="Times New Roman" w:cs="Times New Roman"/>
          <w:b/>
          <w:bCs/>
          <w:szCs w:val="24"/>
          <w:lang w:eastAsia="ru-RU"/>
        </w:rPr>
        <w:t>Стадирование лимфом желудка: сравнение классификаций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309"/>
        <w:gridCol w:w="1579"/>
        <w:gridCol w:w="1465"/>
        <w:gridCol w:w="2218"/>
      </w:tblGrid>
      <w:tr w:rsidR="00442AB7" w:rsidRPr="00442AB7" w14:paraId="30112C89" w14:textId="77777777" w:rsidTr="00442AB7">
        <w:tc>
          <w:tcPr>
            <w:tcW w:w="3488" w:type="dxa"/>
            <w:gridSpan w:val="2"/>
            <w:shd w:val="clear" w:color="auto" w:fill="auto"/>
          </w:tcPr>
          <w:p w14:paraId="30112C85" w14:textId="77777777" w:rsidR="00442AB7" w:rsidRPr="00442AB7" w:rsidRDefault="00442AB7" w:rsidP="00442AB7">
            <w:pPr>
              <w:ind w:firstLine="0"/>
              <w:rPr>
                <w:rFonts w:eastAsia="Calibri" w:cs="Times New Roman"/>
                <w:szCs w:val="24"/>
              </w:rPr>
            </w:pPr>
            <w:r w:rsidRPr="00442AB7">
              <w:rPr>
                <w:rFonts w:eastAsia="Calibri" w:cs="Times New Roman"/>
                <w:szCs w:val="24"/>
              </w:rPr>
              <w:t>Схема стадирования лимфом ЖКТ (Лугано, 1993 г.)</w:t>
            </w:r>
          </w:p>
        </w:tc>
        <w:tc>
          <w:tcPr>
            <w:tcW w:w="1866" w:type="dxa"/>
            <w:shd w:val="clear" w:color="auto" w:fill="auto"/>
          </w:tcPr>
          <w:p w14:paraId="30112C86" w14:textId="77777777" w:rsidR="00442AB7" w:rsidRPr="00442AB7" w:rsidRDefault="00442AB7" w:rsidP="00442AB7">
            <w:pPr>
              <w:ind w:firstLine="0"/>
              <w:rPr>
                <w:rFonts w:eastAsia="Calibri" w:cs="Times New Roman"/>
                <w:szCs w:val="24"/>
              </w:rPr>
            </w:pPr>
            <w:r w:rsidRPr="00442AB7">
              <w:rPr>
                <w:rFonts w:eastAsia="Calibri" w:cs="Times New Roman"/>
                <w:szCs w:val="24"/>
              </w:rPr>
              <w:t>Стадия по Ann Arbor</w:t>
            </w:r>
          </w:p>
        </w:tc>
        <w:tc>
          <w:tcPr>
            <w:tcW w:w="1572" w:type="dxa"/>
            <w:shd w:val="clear" w:color="auto" w:fill="auto"/>
          </w:tcPr>
          <w:p w14:paraId="30112C87" w14:textId="77777777" w:rsidR="00442AB7" w:rsidRPr="00442AB7" w:rsidRDefault="00442AB7" w:rsidP="00442AB7">
            <w:pPr>
              <w:ind w:firstLine="0"/>
              <w:rPr>
                <w:rFonts w:eastAsia="Calibri" w:cs="Times New Roman"/>
                <w:szCs w:val="24"/>
              </w:rPr>
            </w:pPr>
            <w:r w:rsidRPr="00442AB7">
              <w:rPr>
                <w:rFonts w:eastAsia="Calibri" w:cs="Times New Roman"/>
                <w:szCs w:val="24"/>
              </w:rPr>
              <w:t>Стадия по TNM</w:t>
            </w:r>
          </w:p>
        </w:tc>
        <w:tc>
          <w:tcPr>
            <w:tcW w:w="2311" w:type="dxa"/>
            <w:shd w:val="clear" w:color="auto" w:fill="auto"/>
          </w:tcPr>
          <w:p w14:paraId="30112C88" w14:textId="77777777" w:rsidR="00442AB7" w:rsidRPr="00442AB7" w:rsidRDefault="00442AB7" w:rsidP="00442AB7">
            <w:pPr>
              <w:ind w:firstLine="0"/>
              <w:rPr>
                <w:rFonts w:eastAsia="Calibri" w:cs="Times New Roman"/>
                <w:szCs w:val="24"/>
              </w:rPr>
            </w:pPr>
            <w:r w:rsidRPr="00442AB7">
              <w:rPr>
                <w:rFonts w:eastAsia="Calibri" w:cs="Times New Roman"/>
                <w:szCs w:val="24"/>
              </w:rPr>
              <w:t>Распространение опухоли</w:t>
            </w:r>
          </w:p>
        </w:tc>
      </w:tr>
      <w:tr w:rsidR="00442AB7" w:rsidRPr="00442AB7" w14:paraId="30112C8B" w14:textId="77777777" w:rsidTr="00442AB7">
        <w:tc>
          <w:tcPr>
            <w:tcW w:w="9237" w:type="dxa"/>
            <w:gridSpan w:val="5"/>
            <w:shd w:val="clear" w:color="auto" w:fill="auto"/>
          </w:tcPr>
          <w:p w14:paraId="30112C8A" w14:textId="77777777" w:rsidR="00442AB7" w:rsidRPr="00442AB7" w:rsidRDefault="00442AB7" w:rsidP="00442AB7">
            <w:pPr>
              <w:ind w:firstLine="0"/>
              <w:jc w:val="center"/>
              <w:rPr>
                <w:rFonts w:eastAsia="Calibri" w:cs="Times New Roman"/>
                <w:szCs w:val="24"/>
              </w:rPr>
            </w:pPr>
            <w:r w:rsidRPr="00442AB7">
              <w:rPr>
                <w:rFonts w:eastAsia="Calibri" w:cs="Times New Roman"/>
                <w:szCs w:val="24"/>
              </w:rPr>
              <w:t>Поражение ограничено ЖКТ</w:t>
            </w:r>
          </w:p>
        </w:tc>
      </w:tr>
      <w:tr w:rsidR="00442AB7" w:rsidRPr="00442AB7" w14:paraId="30112C91" w14:textId="77777777" w:rsidTr="00442AB7">
        <w:tc>
          <w:tcPr>
            <w:tcW w:w="1308" w:type="dxa"/>
            <w:shd w:val="clear" w:color="auto" w:fill="auto"/>
          </w:tcPr>
          <w:p w14:paraId="30112C8C" w14:textId="77777777" w:rsidR="00442AB7" w:rsidRPr="00442AB7" w:rsidRDefault="00442AB7" w:rsidP="00442AB7">
            <w:pPr>
              <w:ind w:firstLine="0"/>
              <w:rPr>
                <w:rFonts w:eastAsia="Calibri" w:cs="Times New Roman"/>
                <w:szCs w:val="24"/>
              </w:rPr>
            </w:pPr>
            <w:r w:rsidRPr="00442AB7">
              <w:rPr>
                <w:rFonts w:eastAsia="Calibri" w:cs="Times New Roman"/>
                <w:szCs w:val="24"/>
              </w:rPr>
              <w:t>IЕ1</w:t>
            </w:r>
          </w:p>
        </w:tc>
        <w:tc>
          <w:tcPr>
            <w:tcW w:w="2180" w:type="dxa"/>
            <w:shd w:val="clear" w:color="auto" w:fill="auto"/>
          </w:tcPr>
          <w:p w14:paraId="30112C8D" w14:textId="77777777" w:rsidR="00442AB7" w:rsidRPr="00442AB7" w:rsidRDefault="00442AB7" w:rsidP="00442AB7">
            <w:pPr>
              <w:ind w:firstLine="0"/>
              <w:rPr>
                <w:rFonts w:eastAsia="Calibri" w:cs="Times New Roman"/>
                <w:szCs w:val="24"/>
              </w:rPr>
            </w:pPr>
            <w:r w:rsidRPr="00442AB7">
              <w:rPr>
                <w:rFonts w:eastAsia="Calibri" w:cs="Times New Roman"/>
                <w:szCs w:val="24"/>
              </w:rPr>
              <w:t>Слизистая, подслизистая</w:t>
            </w:r>
          </w:p>
        </w:tc>
        <w:tc>
          <w:tcPr>
            <w:tcW w:w="1866" w:type="dxa"/>
            <w:shd w:val="clear" w:color="auto" w:fill="auto"/>
          </w:tcPr>
          <w:p w14:paraId="30112C8E" w14:textId="77777777" w:rsidR="00442AB7" w:rsidRPr="00442AB7" w:rsidRDefault="00442AB7" w:rsidP="00442AB7">
            <w:pPr>
              <w:ind w:firstLine="0"/>
              <w:rPr>
                <w:rFonts w:eastAsia="Calibri" w:cs="Times New Roman"/>
                <w:szCs w:val="24"/>
              </w:rPr>
            </w:pPr>
            <w:r w:rsidRPr="00442AB7">
              <w:rPr>
                <w:rFonts w:eastAsia="Calibri" w:cs="Times New Roman"/>
                <w:szCs w:val="24"/>
                <w:lang w:val="en-US"/>
              </w:rPr>
              <w:t>I</w:t>
            </w:r>
            <w:r w:rsidRPr="00442AB7">
              <w:rPr>
                <w:rFonts w:eastAsia="Calibri" w:cs="Times New Roman"/>
                <w:szCs w:val="24"/>
              </w:rPr>
              <w:t>Е</w:t>
            </w:r>
          </w:p>
        </w:tc>
        <w:tc>
          <w:tcPr>
            <w:tcW w:w="1572" w:type="dxa"/>
            <w:shd w:val="clear" w:color="auto" w:fill="auto"/>
          </w:tcPr>
          <w:p w14:paraId="30112C8F" w14:textId="77777777" w:rsidR="00442AB7" w:rsidRPr="00442AB7" w:rsidRDefault="00442AB7" w:rsidP="00442AB7">
            <w:pPr>
              <w:ind w:firstLine="0"/>
              <w:rPr>
                <w:rFonts w:eastAsia="Calibri" w:cs="Times New Roman"/>
                <w:szCs w:val="24"/>
                <w:lang w:val="en-US"/>
              </w:rPr>
            </w:pPr>
            <w:r w:rsidRPr="00442AB7">
              <w:rPr>
                <w:rFonts w:eastAsia="Calibri" w:cs="Times New Roman"/>
                <w:szCs w:val="24"/>
              </w:rPr>
              <w:t>T1</w:t>
            </w:r>
            <w:r w:rsidRPr="00442AB7">
              <w:rPr>
                <w:rFonts w:eastAsia="Calibri" w:cs="Times New Roman"/>
                <w:szCs w:val="24"/>
                <w:lang w:val="en-US"/>
              </w:rPr>
              <w:t> N</w:t>
            </w:r>
            <w:r w:rsidRPr="00442AB7">
              <w:rPr>
                <w:rFonts w:eastAsia="Calibri" w:cs="Times New Roman"/>
                <w:szCs w:val="24"/>
              </w:rPr>
              <w:t>0</w:t>
            </w:r>
            <w:r w:rsidRPr="00442AB7">
              <w:rPr>
                <w:rFonts w:eastAsia="Calibri" w:cs="Times New Roman"/>
                <w:szCs w:val="24"/>
                <w:lang w:val="en-US"/>
              </w:rPr>
              <w:t> M</w:t>
            </w:r>
            <w:r w:rsidRPr="00442AB7">
              <w:rPr>
                <w:rFonts w:eastAsia="Calibri" w:cs="Times New Roman"/>
                <w:szCs w:val="24"/>
              </w:rPr>
              <w:t>0</w:t>
            </w:r>
          </w:p>
        </w:tc>
        <w:tc>
          <w:tcPr>
            <w:tcW w:w="2311" w:type="dxa"/>
            <w:shd w:val="clear" w:color="auto" w:fill="auto"/>
          </w:tcPr>
          <w:p w14:paraId="30112C90" w14:textId="77777777" w:rsidR="00442AB7" w:rsidRPr="00442AB7" w:rsidRDefault="00442AB7" w:rsidP="00442AB7">
            <w:pPr>
              <w:ind w:firstLine="0"/>
              <w:rPr>
                <w:rFonts w:eastAsia="Calibri" w:cs="Times New Roman"/>
                <w:szCs w:val="24"/>
              </w:rPr>
            </w:pPr>
            <w:r w:rsidRPr="00442AB7">
              <w:rPr>
                <w:rFonts w:eastAsia="Calibri" w:cs="Times New Roman"/>
                <w:szCs w:val="24"/>
              </w:rPr>
              <w:t>Слизистая, подслизистая</w:t>
            </w:r>
          </w:p>
        </w:tc>
      </w:tr>
      <w:tr w:rsidR="00442AB7" w:rsidRPr="00442AB7" w14:paraId="30112C97" w14:textId="77777777" w:rsidTr="00442AB7">
        <w:tc>
          <w:tcPr>
            <w:tcW w:w="1308" w:type="dxa"/>
            <w:vMerge w:val="restart"/>
            <w:shd w:val="clear" w:color="auto" w:fill="auto"/>
          </w:tcPr>
          <w:p w14:paraId="30112C92" w14:textId="77777777" w:rsidR="00442AB7" w:rsidRPr="00442AB7" w:rsidRDefault="00442AB7" w:rsidP="00442AB7">
            <w:pPr>
              <w:ind w:firstLine="0"/>
              <w:rPr>
                <w:rFonts w:eastAsia="Calibri" w:cs="Times New Roman"/>
                <w:szCs w:val="24"/>
              </w:rPr>
            </w:pPr>
            <w:r w:rsidRPr="00442AB7">
              <w:rPr>
                <w:rFonts w:eastAsia="Calibri" w:cs="Times New Roman"/>
                <w:szCs w:val="24"/>
              </w:rPr>
              <w:t>IЕ2</w:t>
            </w:r>
          </w:p>
        </w:tc>
        <w:tc>
          <w:tcPr>
            <w:tcW w:w="2180" w:type="dxa"/>
            <w:vMerge w:val="restart"/>
            <w:shd w:val="clear" w:color="auto" w:fill="auto"/>
          </w:tcPr>
          <w:p w14:paraId="30112C93" w14:textId="77777777" w:rsidR="00442AB7" w:rsidRPr="00442AB7" w:rsidRDefault="00442AB7" w:rsidP="00442AB7">
            <w:pPr>
              <w:ind w:firstLine="0"/>
              <w:rPr>
                <w:rFonts w:eastAsia="Calibri" w:cs="Times New Roman"/>
                <w:szCs w:val="24"/>
              </w:rPr>
            </w:pPr>
            <w:r w:rsidRPr="00442AB7">
              <w:rPr>
                <w:rFonts w:eastAsia="Calibri" w:cs="Times New Roman"/>
                <w:szCs w:val="24"/>
              </w:rPr>
              <w:t>Мышечный слой, сероза</w:t>
            </w:r>
          </w:p>
        </w:tc>
        <w:tc>
          <w:tcPr>
            <w:tcW w:w="1866" w:type="dxa"/>
            <w:shd w:val="clear" w:color="auto" w:fill="auto"/>
          </w:tcPr>
          <w:p w14:paraId="30112C94" w14:textId="77777777" w:rsidR="00442AB7" w:rsidRPr="00442AB7" w:rsidRDefault="00442AB7" w:rsidP="00442AB7">
            <w:pPr>
              <w:ind w:firstLine="0"/>
              <w:rPr>
                <w:rFonts w:eastAsia="Calibri" w:cs="Times New Roman"/>
                <w:szCs w:val="24"/>
              </w:rPr>
            </w:pPr>
            <w:r w:rsidRPr="00442AB7">
              <w:rPr>
                <w:rFonts w:eastAsia="Calibri" w:cs="Times New Roman"/>
                <w:szCs w:val="24"/>
                <w:lang w:val="en-US"/>
              </w:rPr>
              <w:t>I</w:t>
            </w:r>
            <w:r w:rsidRPr="00442AB7">
              <w:rPr>
                <w:rFonts w:eastAsia="Calibri" w:cs="Times New Roman"/>
                <w:szCs w:val="24"/>
              </w:rPr>
              <w:t>Е</w:t>
            </w:r>
          </w:p>
        </w:tc>
        <w:tc>
          <w:tcPr>
            <w:tcW w:w="1572" w:type="dxa"/>
            <w:shd w:val="clear" w:color="auto" w:fill="auto"/>
          </w:tcPr>
          <w:p w14:paraId="30112C95" w14:textId="77777777" w:rsidR="00442AB7" w:rsidRPr="00442AB7" w:rsidRDefault="00442AB7" w:rsidP="00442AB7">
            <w:pPr>
              <w:ind w:firstLine="0"/>
              <w:rPr>
                <w:rFonts w:eastAsia="Calibri" w:cs="Times New Roman"/>
                <w:szCs w:val="24"/>
              </w:rPr>
            </w:pPr>
            <w:r w:rsidRPr="00442AB7">
              <w:rPr>
                <w:rFonts w:eastAsia="Calibri" w:cs="Times New Roman"/>
                <w:szCs w:val="24"/>
              </w:rPr>
              <w:t>T2</w:t>
            </w:r>
            <w:r w:rsidRPr="00442AB7">
              <w:rPr>
                <w:rFonts w:eastAsia="Calibri" w:cs="Times New Roman"/>
                <w:szCs w:val="24"/>
                <w:lang w:val="en-US"/>
              </w:rPr>
              <w:t> N</w:t>
            </w:r>
            <w:r w:rsidRPr="00442AB7">
              <w:rPr>
                <w:rFonts w:eastAsia="Calibri" w:cs="Times New Roman"/>
                <w:szCs w:val="24"/>
              </w:rPr>
              <w:t>0</w:t>
            </w:r>
            <w:r w:rsidRPr="00442AB7">
              <w:rPr>
                <w:rFonts w:eastAsia="Calibri" w:cs="Times New Roman"/>
                <w:szCs w:val="24"/>
                <w:lang w:val="en-US"/>
              </w:rPr>
              <w:t> M</w:t>
            </w:r>
            <w:r w:rsidRPr="00442AB7">
              <w:rPr>
                <w:rFonts w:eastAsia="Calibri" w:cs="Times New Roman"/>
                <w:szCs w:val="24"/>
              </w:rPr>
              <w:t>0</w:t>
            </w:r>
          </w:p>
        </w:tc>
        <w:tc>
          <w:tcPr>
            <w:tcW w:w="2311" w:type="dxa"/>
            <w:shd w:val="clear" w:color="auto" w:fill="auto"/>
          </w:tcPr>
          <w:p w14:paraId="30112C96" w14:textId="77777777" w:rsidR="00442AB7" w:rsidRPr="00442AB7" w:rsidRDefault="00442AB7" w:rsidP="00442AB7">
            <w:pPr>
              <w:ind w:firstLine="0"/>
              <w:rPr>
                <w:rFonts w:eastAsia="Calibri" w:cs="Times New Roman"/>
                <w:szCs w:val="24"/>
              </w:rPr>
            </w:pPr>
            <w:r w:rsidRPr="00442AB7">
              <w:rPr>
                <w:rFonts w:eastAsia="Calibri" w:cs="Times New Roman"/>
                <w:szCs w:val="24"/>
              </w:rPr>
              <w:t>Мышечный слой</w:t>
            </w:r>
          </w:p>
        </w:tc>
      </w:tr>
      <w:tr w:rsidR="00442AB7" w:rsidRPr="00442AB7" w14:paraId="30112C9D" w14:textId="77777777" w:rsidTr="00442AB7">
        <w:tc>
          <w:tcPr>
            <w:tcW w:w="1308" w:type="dxa"/>
            <w:vMerge/>
            <w:shd w:val="clear" w:color="auto" w:fill="auto"/>
          </w:tcPr>
          <w:p w14:paraId="30112C98" w14:textId="77777777" w:rsidR="00442AB7" w:rsidRPr="00442AB7" w:rsidRDefault="00442AB7" w:rsidP="00442AB7">
            <w:pPr>
              <w:ind w:firstLine="0"/>
              <w:rPr>
                <w:rFonts w:eastAsia="Calibri" w:cs="Times New Roman"/>
                <w:szCs w:val="24"/>
              </w:rPr>
            </w:pPr>
          </w:p>
        </w:tc>
        <w:tc>
          <w:tcPr>
            <w:tcW w:w="2180" w:type="dxa"/>
            <w:vMerge/>
            <w:shd w:val="clear" w:color="auto" w:fill="auto"/>
          </w:tcPr>
          <w:p w14:paraId="30112C99" w14:textId="77777777" w:rsidR="00442AB7" w:rsidRPr="00442AB7" w:rsidRDefault="00442AB7" w:rsidP="00442AB7">
            <w:pPr>
              <w:ind w:firstLine="0"/>
              <w:rPr>
                <w:rFonts w:eastAsia="Calibri" w:cs="Times New Roman"/>
                <w:szCs w:val="24"/>
              </w:rPr>
            </w:pPr>
          </w:p>
        </w:tc>
        <w:tc>
          <w:tcPr>
            <w:tcW w:w="1866" w:type="dxa"/>
            <w:shd w:val="clear" w:color="auto" w:fill="auto"/>
          </w:tcPr>
          <w:p w14:paraId="30112C9A" w14:textId="77777777" w:rsidR="00442AB7" w:rsidRPr="00442AB7" w:rsidRDefault="00442AB7" w:rsidP="00442AB7">
            <w:pPr>
              <w:ind w:firstLine="0"/>
              <w:rPr>
                <w:rFonts w:eastAsia="Calibri" w:cs="Times New Roman"/>
                <w:szCs w:val="24"/>
              </w:rPr>
            </w:pPr>
            <w:r w:rsidRPr="00442AB7">
              <w:rPr>
                <w:rFonts w:eastAsia="Calibri" w:cs="Times New Roman"/>
                <w:szCs w:val="24"/>
                <w:lang w:val="en-US"/>
              </w:rPr>
              <w:t>I</w:t>
            </w:r>
            <w:r w:rsidRPr="00442AB7">
              <w:rPr>
                <w:rFonts w:eastAsia="Calibri" w:cs="Times New Roman"/>
                <w:szCs w:val="24"/>
              </w:rPr>
              <w:t>Е</w:t>
            </w:r>
          </w:p>
        </w:tc>
        <w:tc>
          <w:tcPr>
            <w:tcW w:w="1572" w:type="dxa"/>
            <w:shd w:val="clear" w:color="auto" w:fill="auto"/>
          </w:tcPr>
          <w:p w14:paraId="30112C9B" w14:textId="77777777" w:rsidR="00442AB7" w:rsidRPr="00442AB7" w:rsidRDefault="00442AB7" w:rsidP="00442AB7">
            <w:pPr>
              <w:ind w:firstLine="0"/>
              <w:rPr>
                <w:rFonts w:eastAsia="Calibri" w:cs="Times New Roman"/>
                <w:szCs w:val="24"/>
              </w:rPr>
            </w:pPr>
            <w:r w:rsidRPr="00442AB7">
              <w:rPr>
                <w:rFonts w:eastAsia="Calibri" w:cs="Times New Roman"/>
                <w:szCs w:val="24"/>
              </w:rPr>
              <w:t>T3</w:t>
            </w:r>
            <w:r w:rsidRPr="00442AB7">
              <w:rPr>
                <w:rFonts w:eastAsia="Calibri" w:cs="Times New Roman"/>
                <w:szCs w:val="24"/>
                <w:lang w:val="en-US"/>
              </w:rPr>
              <w:t> N</w:t>
            </w:r>
            <w:r w:rsidRPr="00442AB7">
              <w:rPr>
                <w:rFonts w:eastAsia="Calibri" w:cs="Times New Roman"/>
                <w:szCs w:val="24"/>
              </w:rPr>
              <w:t>0</w:t>
            </w:r>
            <w:r w:rsidRPr="00442AB7">
              <w:rPr>
                <w:rFonts w:eastAsia="Calibri" w:cs="Times New Roman"/>
                <w:szCs w:val="24"/>
                <w:lang w:val="en-US"/>
              </w:rPr>
              <w:t> M</w:t>
            </w:r>
            <w:r w:rsidRPr="00442AB7">
              <w:rPr>
                <w:rFonts w:eastAsia="Calibri" w:cs="Times New Roman"/>
                <w:szCs w:val="24"/>
              </w:rPr>
              <w:t>0</w:t>
            </w:r>
          </w:p>
        </w:tc>
        <w:tc>
          <w:tcPr>
            <w:tcW w:w="2311" w:type="dxa"/>
            <w:shd w:val="clear" w:color="auto" w:fill="auto"/>
          </w:tcPr>
          <w:p w14:paraId="30112C9C" w14:textId="77777777" w:rsidR="00442AB7" w:rsidRPr="00442AB7" w:rsidRDefault="00442AB7" w:rsidP="00442AB7">
            <w:pPr>
              <w:ind w:firstLine="0"/>
              <w:rPr>
                <w:rFonts w:eastAsia="Calibri" w:cs="Times New Roman"/>
                <w:szCs w:val="24"/>
              </w:rPr>
            </w:pPr>
            <w:r w:rsidRPr="00442AB7">
              <w:rPr>
                <w:rFonts w:eastAsia="Calibri" w:cs="Times New Roman"/>
                <w:szCs w:val="24"/>
              </w:rPr>
              <w:t>Серозная оболочка</w:t>
            </w:r>
          </w:p>
        </w:tc>
      </w:tr>
      <w:tr w:rsidR="00442AB7" w:rsidRPr="00442AB7" w14:paraId="30112C9F" w14:textId="77777777" w:rsidTr="00442AB7">
        <w:tc>
          <w:tcPr>
            <w:tcW w:w="9237" w:type="dxa"/>
            <w:gridSpan w:val="5"/>
            <w:shd w:val="clear" w:color="auto" w:fill="auto"/>
          </w:tcPr>
          <w:p w14:paraId="30112C9E" w14:textId="77777777" w:rsidR="00442AB7" w:rsidRPr="00442AB7" w:rsidRDefault="00442AB7" w:rsidP="00442AB7">
            <w:pPr>
              <w:ind w:firstLine="0"/>
              <w:jc w:val="center"/>
              <w:rPr>
                <w:rFonts w:eastAsia="Calibri" w:cs="Times New Roman"/>
                <w:szCs w:val="24"/>
              </w:rPr>
            </w:pPr>
            <w:r w:rsidRPr="00442AB7">
              <w:rPr>
                <w:rFonts w:eastAsia="Calibri" w:cs="Times New Roman"/>
                <w:szCs w:val="24"/>
              </w:rPr>
              <w:t>Распространение на брюшную полость</w:t>
            </w:r>
          </w:p>
        </w:tc>
      </w:tr>
      <w:tr w:rsidR="00442AB7" w:rsidRPr="00442AB7" w14:paraId="30112CA5" w14:textId="77777777" w:rsidTr="00442AB7">
        <w:tc>
          <w:tcPr>
            <w:tcW w:w="1308" w:type="dxa"/>
            <w:shd w:val="clear" w:color="auto" w:fill="auto"/>
          </w:tcPr>
          <w:p w14:paraId="30112CA0" w14:textId="77777777" w:rsidR="00442AB7" w:rsidRPr="00442AB7" w:rsidRDefault="00442AB7" w:rsidP="00442AB7">
            <w:pPr>
              <w:ind w:firstLine="0"/>
              <w:rPr>
                <w:rFonts w:eastAsia="Calibri" w:cs="Times New Roman"/>
                <w:szCs w:val="24"/>
              </w:rPr>
            </w:pPr>
            <w:r w:rsidRPr="00442AB7">
              <w:rPr>
                <w:rFonts w:eastAsia="Calibri" w:cs="Times New Roman"/>
                <w:szCs w:val="24"/>
              </w:rPr>
              <w:t>IIЕ1</w:t>
            </w:r>
          </w:p>
        </w:tc>
        <w:tc>
          <w:tcPr>
            <w:tcW w:w="2180" w:type="dxa"/>
            <w:shd w:val="clear" w:color="auto" w:fill="auto"/>
          </w:tcPr>
          <w:p w14:paraId="30112CA1" w14:textId="77777777" w:rsidR="00442AB7" w:rsidRPr="00442AB7" w:rsidRDefault="00442AB7" w:rsidP="00442AB7">
            <w:pPr>
              <w:ind w:firstLine="0"/>
              <w:rPr>
                <w:rFonts w:eastAsia="Calibri" w:cs="Times New Roman"/>
                <w:szCs w:val="24"/>
              </w:rPr>
            </w:pPr>
            <w:r w:rsidRPr="00442AB7">
              <w:rPr>
                <w:rFonts w:eastAsia="Calibri" w:cs="Times New Roman"/>
                <w:szCs w:val="24"/>
              </w:rPr>
              <w:t>Вовлечение ближайших локальных л/у</w:t>
            </w:r>
          </w:p>
        </w:tc>
        <w:tc>
          <w:tcPr>
            <w:tcW w:w="1866" w:type="dxa"/>
            <w:shd w:val="clear" w:color="auto" w:fill="auto"/>
          </w:tcPr>
          <w:p w14:paraId="30112CA2" w14:textId="77777777" w:rsidR="00442AB7" w:rsidRPr="00442AB7" w:rsidRDefault="00442AB7" w:rsidP="00442AB7">
            <w:pPr>
              <w:ind w:firstLine="0"/>
              <w:rPr>
                <w:rFonts w:eastAsia="Calibri" w:cs="Times New Roman"/>
                <w:szCs w:val="24"/>
              </w:rPr>
            </w:pPr>
            <w:r w:rsidRPr="00442AB7">
              <w:rPr>
                <w:rFonts w:eastAsia="Calibri" w:cs="Times New Roman"/>
                <w:szCs w:val="24"/>
              </w:rPr>
              <w:t>IIE</w:t>
            </w:r>
          </w:p>
        </w:tc>
        <w:tc>
          <w:tcPr>
            <w:tcW w:w="1572" w:type="dxa"/>
            <w:shd w:val="clear" w:color="auto" w:fill="auto"/>
          </w:tcPr>
          <w:p w14:paraId="30112CA3" w14:textId="77777777" w:rsidR="00442AB7" w:rsidRPr="00442AB7" w:rsidRDefault="00442AB7" w:rsidP="00442AB7">
            <w:pPr>
              <w:ind w:firstLine="0"/>
              <w:rPr>
                <w:rFonts w:eastAsia="Calibri" w:cs="Times New Roman"/>
                <w:szCs w:val="24"/>
              </w:rPr>
            </w:pPr>
            <w:r w:rsidRPr="00442AB7">
              <w:rPr>
                <w:rFonts w:eastAsia="Calibri" w:cs="Times New Roman"/>
                <w:szCs w:val="24"/>
              </w:rPr>
              <w:t>T1-3</w:t>
            </w:r>
            <w:r w:rsidRPr="00442AB7">
              <w:rPr>
                <w:rFonts w:eastAsia="Calibri" w:cs="Times New Roman"/>
                <w:szCs w:val="24"/>
                <w:lang w:val="en-US"/>
              </w:rPr>
              <w:t> N</w:t>
            </w:r>
            <w:r w:rsidRPr="00442AB7">
              <w:rPr>
                <w:rFonts w:eastAsia="Calibri" w:cs="Times New Roman"/>
                <w:szCs w:val="24"/>
              </w:rPr>
              <w:t>1</w:t>
            </w:r>
            <w:r w:rsidRPr="00442AB7">
              <w:rPr>
                <w:rFonts w:eastAsia="Calibri" w:cs="Times New Roman"/>
                <w:szCs w:val="24"/>
                <w:lang w:val="en-US"/>
              </w:rPr>
              <w:t> M</w:t>
            </w:r>
            <w:r w:rsidRPr="00442AB7">
              <w:rPr>
                <w:rFonts w:eastAsia="Calibri" w:cs="Times New Roman"/>
                <w:szCs w:val="24"/>
              </w:rPr>
              <w:t>0</w:t>
            </w:r>
          </w:p>
        </w:tc>
        <w:tc>
          <w:tcPr>
            <w:tcW w:w="2311" w:type="dxa"/>
            <w:shd w:val="clear" w:color="auto" w:fill="auto"/>
          </w:tcPr>
          <w:p w14:paraId="30112CA4" w14:textId="77777777" w:rsidR="00442AB7" w:rsidRPr="00442AB7" w:rsidRDefault="00442AB7" w:rsidP="00442AB7">
            <w:pPr>
              <w:ind w:firstLine="0"/>
              <w:rPr>
                <w:rFonts w:eastAsia="Calibri" w:cs="Times New Roman"/>
                <w:szCs w:val="24"/>
              </w:rPr>
            </w:pPr>
            <w:r w:rsidRPr="00442AB7">
              <w:rPr>
                <w:rFonts w:eastAsia="Calibri" w:cs="Times New Roman"/>
                <w:szCs w:val="24"/>
              </w:rPr>
              <w:t>Перигастральные л/у</w:t>
            </w:r>
          </w:p>
        </w:tc>
      </w:tr>
      <w:tr w:rsidR="00442AB7" w:rsidRPr="00442AB7" w14:paraId="30112CAC" w14:textId="77777777" w:rsidTr="00442AB7">
        <w:tc>
          <w:tcPr>
            <w:tcW w:w="1308" w:type="dxa"/>
            <w:vMerge w:val="restart"/>
            <w:shd w:val="clear" w:color="auto" w:fill="auto"/>
          </w:tcPr>
          <w:p w14:paraId="30112CA6" w14:textId="77777777" w:rsidR="00442AB7" w:rsidRPr="00442AB7" w:rsidRDefault="00442AB7" w:rsidP="00442AB7">
            <w:pPr>
              <w:ind w:firstLine="0"/>
              <w:rPr>
                <w:rFonts w:eastAsia="Calibri" w:cs="Times New Roman"/>
                <w:szCs w:val="24"/>
              </w:rPr>
            </w:pPr>
            <w:r w:rsidRPr="00442AB7">
              <w:rPr>
                <w:rFonts w:eastAsia="Calibri" w:cs="Times New Roman"/>
                <w:szCs w:val="24"/>
              </w:rPr>
              <w:t>IIЕ2</w:t>
            </w:r>
          </w:p>
        </w:tc>
        <w:tc>
          <w:tcPr>
            <w:tcW w:w="2180" w:type="dxa"/>
            <w:shd w:val="clear" w:color="auto" w:fill="auto"/>
          </w:tcPr>
          <w:p w14:paraId="30112CA7" w14:textId="77777777" w:rsidR="00442AB7" w:rsidRPr="00442AB7" w:rsidRDefault="00442AB7" w:rsidP="00442AB7">
            <w:pPr>
              <w:ind w:firstLine="0"/>
              <w:rPr>
                <w:rFonts w:eastAsia="Calibri" w:cs="Times New Roman"/>
                <w:szCs w:val="24"/>
              </w:rPr>
            </w:pPr>
            <w:r w:rsidRPr="00442AB7">
              <w:rPr>
                <w:rFonts w:eastAsia="Calibri" w:cs="Times New Roman"/>
                <w:szCs w:val="24"/>
              </w:rPr>
              <w:t>Вовлечение</w:t>
            </w:r>
          </w:p>
          <w:p w14:paraId="30112CA8" w14:textId="77777777" w:rsidR="00442AB7" w:rsidRPr="00442AB7" w:rsidRDefault="00442AB7" w:rsidP="00442AB7">
            <w:pPr>
              <w:ind w:firstLine="0"/>
              <w:rPr>
                <w:rFonts w:eastAsia="Calibri" w:cs="Times New Roman"/>
                <w:color w:val="FF0000"/>
                <w:szCs w:val="24"/>
              </w:rPr>
            </w:pPr>
            <w:r w:rsidRPr="00442AB7">
              <w:rPr>
                <w:rFonts w:eastAsia="Calibri" w:cs="Times New Roman"/>
                <w:szCs w:val="24"/>
              </w:rPr>
              <w:t xml:space="preserve">отдаленных регионарных узлов </w:t>
            </w:r>
          </w:p>
        </w:tc>
        <w:tc>
          <w:tcPr>
            <w:tcW w:w="1866" w:type="dxa"/>
            <w:shd w:val="clear" w:color="auto" w:fill="auto"/>
          </w:tcPr>
          <w:p w14:paraId="30112CA9" w14:textId="77777777" w:rsidR="00442AB7" w:rsidRPr="00442AB7" w:rsidRDefault="00442AB7" w:rsidP="00442AB7">
            <w:pPr>
              <w:ind w:firstLine="0"/>
              <w:rPr>
                <w:rFonts w:eastAsia="Calibri" w:cs="Times New Roman"/>
                <w:szCs w:val="24"/>
              </w:rPr>
            </w:pPr>
            <w:r w:rsidRPr="00442AB7">
              <w:rPr>
                <w:rFonts w:eastAsia="Calibri" w:cs="Times New Roman"/>
                <w:szCs w:val="24"/>
              </w:rPr>
              <w:t>IIE</w:t>
            </w:r>
          </w:p>
        </w:tc>
        <w:tc>
          <w:tcPr>
            <w:tcW w:w="1572" w:type="dxa"/>
            <w:shd w:val="clear" w:color="auto" w:fill="auto"/>
          </w:tcPr>
          <w:p w14:paraId="30112CAA" w14:textId="77777777" w:rsidR="00442AB7" w:rsidRPr="00442AB7" w:rsidRDefault="00442AB7" w:rsidP="00442AB7">
            <w:pPr>
              <w:ind w:firstLine="0"/>
              <w:rPr>
                <w:rFonts w:eastAsia="Calibri" w:cs="Times New Roman"/>
                <w:szCs w:val="24"/>
              </w:rPr>
            </w:pPr>
            <w:r w:rsidRPr="00442AB7">
              <w:rPr>
                <w:rFonts w:eastAsia="Calibri" w:cs="Times New Roman"/>
                <w:szCs w:val="24"/>
              </w:rPr>
              <w:t>T1-3</w:t>
            </w:r>
            <w:r w:rsidRPr="00442AB7">
              <w:rPr>
                <w:rFonts w:eastAsia="Calibri" w:cs="Times New Roman"/>
                <w:szCs w:val="24"/>
                <w:lang w:val="en-US"/>
              </w:rPr>
              <w:t> N</w:t>
            </w:r>
            <w:r w:rsidRPr="00442AB7">
              <w:rPr>
                <w:rFonts w:eastAsia="Calibri" w:cs="Times New Roman"/>
                <w:szCs w:val="24"/>
              </w:rPr>
              <w:t>2</w:t>
            </w:r>
            <w:r w:rsidRPr="00442AB7">
              <w:rPr>
                <w:rFonts w:eastAsia="Calibri" w:cs="Times New Roman"/>
                <w:szCs w:val="24"/>
                <w:lang w:val="en-US"/>
              </w:rPr>
              <w:t> M</w:t>
            </w:r>
            <w:r w:rsidRPr="00442AB7">
              <w:rPr>
                <w:rFonts w:eastAsia="Calibri" w:cs="Times New Roman"/>
                <w:szCs w:val="24"/>
              </w:rPr>
              <w:t>0</w:t>
            </w:r>
          </w:p>
        </w:tc>
        <w:tc>
          <w:tcPr>
            <w:tcW w:w="2311" w:type="dxa"/>
            <w:shd w:val="clear" w:color="auto" w:fill="auto"/>
          </w:tcPr>
          <w:p w14:paraId="30112CAB" w14:textId="77777777" w:rsidR="00442AB7" w:rsidRPr="00442AB7" w:rsidRDefault="00442AB7" w:rsidP="00442AB7">
            <w:pPr>
              <w:ind w:firstLine="0"/>
              <w:rPr>
                <w:rFonts w:eastAsia="Calibri" w:cs="Times New Roman"/>
                <w:szCs w:val="24"/>
              </w:rPr>
            </w:pPr>
            <w:r w:rsidRPr="00442AB7">
              <w:rPr>
                <w:rFonts w:eastAsia="Calibri" w:cs="Times New Roman"/>
                <w:szCs w:val="24"/>
              </w:rPr>
              <w:t>Отдаленные л</w:t>
            </w:r>
            <w:r w:rsidRPr="00442AB7">
              <w:rPr>
                <w:rFonts w:eastAsia="Calibri" w:cs="Times New Roman"/>
                <w:szCs w:val="24"/>
                <w:lang w:val="en-US"/>
              </w:rPr>
              <w:t>/</w:t>
            </w:r>
            <w:r w:rsidRPr="00442AB7">
              <w:rPr>
                <w:rFonts w:eastAsia="Calibri" w:cs="Times New Roman"/>
                <w:szCs w:val="24"/>
              </w:rPr>
              <w:t>у</w:t>
            </w:r>
          </w:p>
        </w:tc>
      </w:tr>
      <w:tr w:rsidR="00442AB7" w:rsidRPr="00442AB7" w14:paraId="30112CB2" w14:textId="77777777" w:rsidTr="00442AB7">
        <w:tc>
          <w:tcPr>
            <w:tcW w:w="1308" w:type="dxa"/>
            <w:vMerge/>
            <w:shd w:val="clear" w:color="auto" w:fill="auto"/>
          </w:tcPr>
          <w:p w14:paraId="30112CAD" w14:textId="77777777" w:rsidR="00442AB7" w:rsidRPr="00442AB7" w:rsidRDefault="00442AB7" w:rsidP="00442AB7">
            <w:pPr>
              <w:ind w:firstLine="0"/>
              <w:rPr>
                <w:rFonts w:eastAsia="Calibri" w:cs="Times New Roman"/>
                <w:szCs w:val="24"/>
              </w:rPr>
            </w:pPr>
          </w:p>
        </w:tc>
        <w:tc>
          <w:tcPr>
            <w:tcW w:w="2180" w:type="dxa"/>
            <w:shd w:val="clear" w:color="auto" w:fill="auto"/>
          </w:tcPr>
          <w:p w14:paraId="30112CAE" w14:textId="77777777" w:rsidR="00442AB7" w:rsidRPr="00442AB7" w:rsidRDefault="00442AB7" w:rsidP="00442AB7">
            <w:pPr>
              <w:ind w:firstLine="0"/>
              <w:rPr>
                <w:rFonts w:eastAsia="Calibri" w:cs="Times New Roman"/>
                <w:szCs w:val="24"/>
              </w:rPr>
            </w:pPr>
            <w:r w:rsidRPr="00442AB7">
              <w:rPr>
                <w:rFonts w:eastAsia="Calibri" w:cs="Times New Roman"/>
                <w:szCs w:val="24"/>
              </w:rPr>
              <w:t>Пенетрация серозы и переход на соседние органы и ткани</w:t>
            </w:r>
          </w:p>
        </w:tc>
        <w:tc>
          <w:tcPr>
            <w:tcW w:w="1866" w:type="dxa"/>
            <w:shd w:val="clear" w:color="auto" w:fill="auto"/>
          </w:tcPr>
          <w:p w14:paraId="30112CAF" w14:textId="77777777" w:rsidR="00442AB7" w:rsidRPr="00442AB7" w:rsidRDefault="00442AB7" w:rsidP="00442AB7">
            <w:pPr>
              <w:ind w:firstLine="0"/>
              <w:rPr>
                <w:rFonts w:eastAsia="Calibri" w:cs="Times New Roman"/>
                <w:szCs w:val="24"/>
              </w:rPr>
            </w:pPr>
            <w:r w:rsidRPr="00442AB7">
              <w:rPr>
                <w:rFonts w:eastAsia="Calibri" w:cs="Times New Roman"/>
                <w:szCs w:val="24"/>
              </w:rPr>
              <w:t>IIE</w:t>
            </w:r>
          </w:p>
        </w:tc>
        <w:tc>
          <w:tcPr>
            <w:tcW w:w="1572" w:type="dxa"/>
            <w:shd w:val="clear" w:color="auto" w:fill="auto"/>
          </w:tcPr>
          <w:p w14:paraId="30112CB0" w14:textId="77777777" w:rsidR="00442AB7" w:rsidRPr="00442AB7" w:rsidRDefault="00442AB7" w:rsidP="00442AB7">
            <w:pPr>
              <w:ind w:firstLine="0"/>
              <w:rPr>
                <w:rFonts w:eastAsia="Calibri" w:cs="Times New Roman"/>
                <w:szCs w:val="24"/>
              </w:rPr>
            </w:pPr>
            <w:r w:rsidRPr="00442AB7">
              <w:rPr>
                <w:rFonts w:eastAsia="Calibri" w:cs="Times New Roman"/>
                <w:szCs w:val="24"/>
              </w:rPr>
              <w:t>T4</w:t>
            </w:r>
            <w:r w:rsidRPr="00442AB7">
              <w:rPr>
                <w:rFonts w:eastAsia="Calibri" w:cs="Times New Roman"/>
                <w:szCs w:val="24"/>
                <w:lang w:val="en-US"/>
              </w:rPr>
              <w:t> N</w:t>
            </w:r>
            <w:r w:rsidRPr="00442AB7">
              <w:rPr>
                <w:rFonts w:eastAsia="Calibri" w:cs="Times New Roman"/>
                <w:szCs w:val="24"/>
              </w:rPr>
              <w:t>0</w:t>
            </w:r>
            <w:r w:rsidRPr="00442AB7">
              <w:rPr>
                <w:rFonts w:eastAsia="Calibri" w:cs="Times New Roman"/>
                <w:szCs w:val="24"/>
                <w:lang w:val="en-US"/>
              </w:rPr>
              <w:t> M</w:t>
            </w:r>
            <w:r w:rsidRPr="00442AB7">
              <w:rPr>
                <w:rFonts w:eastAsia="Calibri" w:cs="Times New Roman"/>
                <w:szCs w:val="24"/>
              </w:rPr>
              <w:t>0</w:t>
            </w:r>
          </w:p>
        </w:tc>
        <w:tc>
          <w:tcPr>
            <w:tcW w:w="2311" w:type="dxa"/>
            <w:shd w:val="clear" w:color="auto" w:fill="auto"/>
          </w:tcPr>
          <w:p w14:paraId="30112CB1" w14:textId="77777777" w:rsidR="00442AB7" w:rsidRPr="00442AB7" w:rsidRDefault="00442AB7" w:rsidP="00442AB7">
            <w:pPr>
              <w:ind w:firstLine="0"/>
              <w:rPr>
                <w:rFonts w:eastAsia="Calibri" w:cs="Times New Roman"/>
                <w:szCs w:val="24"/>
              </w:rPr>
            </w:pPr>
            <w:r w:rsidRPr="00442AB7">
              <w:rPr>
                <w:rFonts w:eastAsia="Calibri" w:cs="Times New Roman"/>
                <w:szCs w:val="24"/>
              </w:rPr>
              <w:t>Инвазия прилежащих структур</w:t>
            </w:r>
          </w:p>
        </w:tc>
      </w:tr>
      <w:tr w:rsidR="00442AB7" w:rsidRPr="00442AB7" w14:paraId="30112CB8" w14:textId="77777777" w:rsidTr="00442AB7">
        <w:tc>
          <w:tcPr>
            <w:tcW w:w="1308" w:type="dxa"/>
            <w:vMerge w:val="restart"/>
            <w:shd w:val="clear" w:color="auto" w:fill="auto"/>
          </w:tcPr>
          <w:p w14:paraId="30112CB3" w14:textId="77777777" w:rsidR="00442AB7" w:rsidRPr="00442AB7" w:rsidRDefault="00442AB7" w:rsidP="00442AB7">
            <w:pPr>
              <w:ind w:firstLine="0"/>
              <w:rPr>
                <w:rFonts w:eastAsia="Calibri" w:cs="Times New Roman"/>
                <w:szCs w:val="24"/>
              </w:rPr>
            </w:pPr>
            <w:r w:rsidRPr="00442AB7">
              <w:rPr>
                <w:rFonts w:eastAsia="Calibri" w:cs="Times New Roman"/>
                <w:szCs w:val="24"/>
              </w:rPr>
              <w:t>IV</w:t>
            </w:r>
          </w:p>
        </w:tc>
        <w:tc>
          <w:tcPr>
            <w:tcW w:w="2180" w:type="dxa"/>
            <w:vMerge w:val="restart"/>
            <w:shd w:val="clear" w:color="auto" w:fill="auto"/>
          </w:tcPr>
          <w:p w14:paraId="30112CB4" w14:textId="77777777" w:rsidR="00442AB7" w:rsidRPr="00442AB7" w:rsidRDefault="00442AB7" w:rsidP="00442AB7">
            <w:pPr>
              <w:ind w:firstLine="0"/>
              <w:rPr>
                <w:rFonts w:eastAsia="Calibri" w:cs="Times New Roman"/>
                <w:szCs w:val="24"/>
              </w:rPr>
            </w:pPr>
            <w:r w:rsidRPr="00442AB7">
              <w:rPr>
                <w:rFonts w:eastAsia="Calibri" w:cs="Times New Roman"/>
                <w:szCs w:val="24"/>
              </w:rPr>
              <w:t>Диссеминированное экстранодальное поражение или поражение наддиафрагмальных л/у</w:t>
            </w:r>
          </w:p>
        </w:tc>
        <w:tc>
          <w:tcPr>
            <w:tcW w:w="1866" w:type="dxa"/>
            <w:shd w:val="clear" w:color="auto" w:fill="auto"/>
          </w:tcPr>
          <w:p w14:paraId="30112CB5" w14:textId="77777777" w:rsidR="00442AB7" w:rsidRPr="00442AB7" w:rsidRDefault="00442AB7" w:rsidP="00442AB7">
            <w:pPr>
              <w:ind w:firstLine="0"/>
              <w:rPr>
                <w:rFonts w:eastAsia="Calibri" w:cs="Times New Roman"/>
                <w:szCs w:val="24"/>
              </w:rPr>
            </w:pPr>
            <w:r w:rsidRPr="00442AB7">
              <w:rPr>
                <w:rFonts w:eastAsia="Calibri" w:cs="Times New Roman"/>
                <w:szCs w:val="24"/>
              </w:rPr>
              <w:t>IIIE</w:t>
            </w:r>
          </w:p>
        </w:tc>
        <w:tc>
          <w:tcPr>
            <w:tcW w:w="1572" w:type="dxa"/>
            <w:shd w:val="clear" w:color="auto" w:fill="auto"/>
          </w:tcPr>
          <w:p w14:paraId="30112CB6" w14:textId="77777777" w:rsidR="00442AB7" w:rsidRPr="00442AB7" w:rsidRDefault="00442AB7" w:rsidP="00442AB7">
            <w:pPr>
              <w:ind w:firstLine="0"/>
              <w:rPr>
                <w:rFonts w:eastAsia="Calibri" w:cs="Times New Roman"/>
                <w:szCs w:val="24"/>
              </w:rPr>
            </w:pPr>
            <w:r w:rsidRPr="00442AB7">
              <w:rPr>
                <w:rFonts w:eastAsia="Calibri" w:cs="Times New Roman"/>
                <w:szCs w:val="24"/>
              </w:rPr>
              <w:t>T1-4</w:t>
            </w:r>
            <w:r w:rsidRPr="00442AB7">
              <w:rPr>
                <w:rFonts w:eastAsia="Calibri" w:cs="Times New Roman"/>
                <w:szCs w:val="24"/>
                <w:lang w:val="en-US"/>
              </w:rPr>
              <w:t> N</w:t>
            </w:r>
            <w:r w:rsidRPr="00442AB7">
              <w:rPr>
                <w:rFonts w:eastAsia="Calibri" w:cs="Times New Roman"/>
                <w:szCs w:val="24"/>
              </w:rPr>
              <w:t>3</w:t>
            </w:r>
            <w:r w:rsidRPr="00442AB7">
              <w:rPr>
                <w:rFonts w:eastAsia="Calibri" w:cs="Times New Roman"/>
                <w:szCs w:val="24"/>
                <w:lang w:val="en-US"/>
              </w:rPr>
              <w:t> M</w:t>
            </w:r>
            <w:r w:rsidRPr="00442AB7">
              <w:rPr>
                <w:rFonts w:eastAsia="Calibri" w:cs="Times New Roman"/>
                <w:szCs w:val="24"/>
              </w:rPr>
              <w:t>0</w:t>
            </w:r>
          </w:p>
        </w:tc>
        <w:tc>
          <w:tcPr>
            <w:tcW w:w="2311" w:type="dxa"/>
            <w:vMerge w:val="restart"/>
            <w:shd w:val="clear" w:color="auto" w:fill="auto"/>
          </w:tcPr>
          <w:p w14:paraId="30112CB7" w14:textId="77777777" w:rsidR="00442AB7" w:rsidRPr="00442AB7" w:rsidRDefault="00442AB7" w:rsidP="00442AB7">
            <w:pPr>
              <w:ind w:firstLine="0"/>
              <w:rPr>
                <w:rFonts w:eastAsia="Calibri" w:cs="Times New Roman"/>
                <w:szCs w:val="24"/>
              </w:rPr>
            </w:pPr>
            <w:r w:rsidRPr="00442AB7">
              <w:rPr>
                <w:rFonts w:eastAsia="Calibri" w:cs="Times New Roman"/>
                <w:szCs w:val="24"/>
              </w:rPr>
              <w:t>Поражение л/у по обе стороны диафрагмы, отдаленные метастазы (КМ, дополнительные экстранодальные очаги)</w:t>
            </w:r>
          </w:p>
        </w:tc>
      </w:tr>
      <w:tr w:rsidR="00442AB7" w:rsidRPr="00442AB7" w14:paraId="30112CBE" w14:textId="77777777" w:rsidTr="00442AB7">
        <w:tc>
          <w:tcPr>
            <w:tcW w:w="1308" w:type="dxa"/>
            <w:vMerge/>
            <w:shd w:val="clear" w:color="auto" w:fill="auto"/>
          </w:tcPr>
          <w:p w14:paraId="30112CB9" w14:textId="77777777" w:rsidR="00442AB7" w:rsidRPr="00442AB7" w:rsidRDefault="00442AB7" w:rsidP="00442AB7">
            <w:pPr>
              <w:ind w:firstLine="0"/>
              <w:rPr>
                <w:rFonts w:eastAsia="Calibri" w:cs="Times New Roman"/>
                <w:szCs w:val="24"/>
              </w:rPr>
            </w:pPr>
          </w:p>
        </w:tc>
        <w:tc>
          <w:tcPr>
            <w:tcW w:w="2180" w:type="dxa"/>
            <w:vMerge/>
            <w:shd w:val="clear" w:color="auto" w:fill="auto"/>
          </w:tcPr>
          <w:p w14:paraId="30112CBA" w14:textId="77777777" w:rsidR="00442AB7" w:rsidRPr="00442AB7" w:rsidRDefault="00442AB7" w:rsidP="00442AB7">
            <w:pPr>
              <w:ind w:firstLine="0"/>
              <w:rPr>
                <w:rFonts w:eastAsia="Calibri" w:cs="Times New Roman"/>
                <w:szCs w:val="24"/>
              </w:rPr>
            </w:pPr>
          </w:p>
        </w:tc>
        <w:tc>
          <w:tcPr>
            <w:tcW w:w="1866" w:type="dxa"/>
            <w:shd w:val="clear" w:color="auto" w:fill="auto"/>
          </w:tcPr>
          <w:p w14:paraId="30112CBB" w14:textId="77777777" w:rsidR="00442AB7" w:rsidRPr="00442AB7" w:rsidRDefault="00442AB7" w:rsidP="00442AB7">
            <w:pPr>
              <w:ind w:firstLine="0"/>
              <w:rPr>
                <w:rFonts w:eastAsia="Calibri" w:cs="Times New Roman"/>
                <w:szCs w:val="24"/>
              </w:rPr>
            </w:pPr>
            <w:r w:rsidRPr="00442AB7">
              <w:rPr>
                <w:rFonts w:eastAsia="Calibri" w:cs="Times New Roman"/>
                <w:szCs w:val="24"/>
              </w:rPr>
              <w:t>IV</w:t>
            </w:r>
          </w:p>
        </w:tc>
        <w:tc>
          <w:tcPr>
            <w:tcW w:w="1572" w:type="dxa"/>
            <w:shd w:val="clear" w:color="auto" w:fill="auto"/>
          </w:tcPr>
          <w:p w14:paraId="30112CBC" w14:textId="77777777" w:rsidR="00442AB7" w:rsidRPr="00442AB7" w:rsidRDefault="00442AB7" w:rsidP="00442AB7">
            <w:pPr>
              <w:ind w:firstLine="0"/>
              <w:rPr>
                <w:rFonts w:eastAsia="Calibri" w:cs="Times New Roman"/>
                <w:szCs w:val="24"/>
              </w:rPr>
            </w:pPr>
            <w:r w:rsidRPr="00442AB7">
              <w:rPr>
                <w:rFonts w:eastAsia="Calibri" w:cs="Times New Roman"/>
                <w:szCs w:val="24"/>
              </w:rPr>
              <w:t>T1-4</w:t>
            </w:r>
            <w:r w:rsidRPr="00442AB7">
              <w:rPr>
                <w:rFonts w:eastAsia="Calibri" w:cs="Times New Roman"/>
                <w:szCs w:val="24"/>
                <w:lang w:val="en-US"/>
              </w:rPr>
              <w:t> N</w:t>
            </w:r>
            <w:r w:rsidRPr="00442AB7">
              <w:rPr>
                <w:rFonts w:eastAsia="Calibri" w:cs="Times New Roman"/>
                <w:szCs w:val="24"/>
              </w:rPr>
              <w:t>0</w:t>
            </w:r>
            <w:r w:rsidRPr="00442AB7">
              <w:rPr>
                <w:rFonts w:eastAsia="Calibri" w:cs="Times New Roman"/>
                <w:szCs w:val="24"/>
                <w:lang w:val="en-US"/>
              </w:rPr>
              <w:t>-3 M</w:t>
            </w:r>
            <w:r w:rsidRPr="00442AB7">
              <w:rPr>
                <w:rFonts w:eastAsia="Calibri" w:cs="Times New Roman"/>
                <w:szCs w:val="24"/>
              </w:rPr>
              <w:t>1</w:t>
            </w:r>
          </w:p>
        </w:tc>
        <w:tc>
          <w:tcPr>
            <w:tcW w:w="2311" w:type="dxa"/>
            <w:vMerge/>
            <w:shd w:val="clear" w:color="auto" w:fill="auto"/>
          </w:tcPr>
          <w:p w14:paraId="30112CBD" w14:textId="77777777" w:rsidR="00442AB7" w:rsidRPr="00442AB7" w:rsidRDefault="00442AB7" w:rsidP="00442AB7">
            <w:pPr>
              <w:ind w:firstLine="0"/>
              <w:rPr>
                <w:rFonts w:eastAsia="Calibri" w:cs="Times New Roman"/>
                <w:szCs w:val="24"/>
              </w:rPr>
            </w:pPr>
          </w:p>
        </w:tc>
      </w:tr>
    </w:tbl>
    <w:p w14:paraId="30112CBF" w14:textId="77777777" w:rsidR="00F65B65" w:rsidRPr="00BB7996" w:rsidRDefault="00F65B65" w:rsidP="00F65B65">
      <w:pPr>
        <w:spacing w:before="280" w:after="280"/>
        <w:rPr>
          <w:rFonts w:cs="Times New Roman"/>
          <w:szCs w:val="24"/>
        </w:rPr>
      </w:pPr>
      <w:r w:rsidRPr="00154AEE">
        <w:rPr>
          <w:rFonts w:eastAsia="Times New Roman" w:cs="Times New Roman"/>
          <w:b/>
          <w:bCs/>
          <w:szCs w:val="24"/>
          <w:lang w:eastAsia="ru-RU"/>
        </w:rPr>
        <w:t xml:space="preserve">Таблица </w:t>
      </w:r>
      <w:r>
        <w:rPr>
          <w:rFonts w:eastAsia="Times New Roman" w:cs="Times New Roman"/>
          <w:b/>
          <w:bCs/>
          <w:szCs w:val="24"/>
          <w:lang w:eastAsia="ru-RU"/>
        </w:rPr>
        <w:t>7.3.</w:t>
      </w:r>
      <w:r w:rsidR="00442AB7">
        <w:rPr>
          <w:rFonts w:eastAsia="Times New Roman" w:cs="Times New Roman"/>
          <w:b/>
          <w:bCs/>
          <w:szCs w:val="24"/>
          <w:lang w:eastAsia="ru-RU"/>
        </w:rPr>
        <w:t>2</w:t>
      </w:r>
      <w:r w:rsidRPr="00154AEE">
        <w:rPr>
          <w:rFonts w:eastAsia="Times New Roman" w:cs="Times New Roman"/>
          <w:b/>
          <w:bCs/>
          <w:szCs w:val="24"/>
          <w:lang w:eastAsia="ru-RU"/>
        </w:rPr>
        <w:t xml:space="preserve">. </w:t>
      </w:r>
      <w:r w:rsidRPr="00154AEE">
        <w:rPr>
          <w:rFonts w:cs="Times New Roman"/>
          <w:b/>
          <w:szCs w:val="24"/>
        </w:rPr>
        <w:t xml:space="preserve">Стадирование лимфом по </w:t>
      </w:r>
      <w:r w:rsidRPr="00154AEE">
        <w:rPr>
          <w:rFonts w:cs="Times New Roman"/>
          <w:b/>
          <w:szCs w:val="24"/>
          <w:lang w:val="en-US"/>
        </w:rPr>
        <w:t>Ann</w:t>
      </w:r>
      <w:r w:rsidRPr="00154AEE">
        <w:rPr>
          <w:rFonts w:cs="Times New Roman"/>
          <w:b/>
          <w:szCs w:val="24"/>
        </w:rPr>
        <w:t xml:space="preserve"> </w:t>
      </w:r>
      <w:r w:rsidRPr="00154AEE">
        <w:rPr>
          <w:rFonts w:cs="Times New Roman"/>
          <w:b/>
          <w:szCs w:val="24"/>
          <w:lang w:val="en-US"/>
        </w:rPr>
        <w:t>Arbor</w:t>
      </w:r>
      <w:r w:rsidRPr="00154AEE">
        <w:rPr>
          <w:rFonts w:cs="Times New Roman"/>
          <w:b/>
          <w:szCs w:val="24"/>
        </w:rPr>
        <w:t xml:space="preserve"> (модификация Лугано, 2014)</w:t>
      </w:r>
      <w:r w:rsidR="00BB7996">
        <w:rPr>
          <w:rFonts w:cs="Times New Roman"/>
          <w:b/>
          <w:szCs w:val="24"/>
        </w:rPr>
        <w:t xml:space="preserve"> </w:t>
      </w:r>
      <w:r w:rsidR="00BB7996">
        <w:rPr>
          <w:lang w:val="en-US"/>
        </w:rPr>
        <w:fldChar w:fldCharType="begin" w:fldLock="1"/>
      </w:r>
      <w:r w:rsidR="00F6217A">
        <w:rPr>
          <w:lang w:val="en-US"/>
        </w:rPr>
        <w:instrText>ADDIN</w:instrText>
      </w:r>
      <w:r w:rsidR="00F6217A" w:rsidRPr="00F6217A">
        <w:instrText xml:space="preserve"> </w:instrText>
      </w:r>
      <w:r w:rsidR="00F6217A">
        <w:rPr>
          <w:lang w:val="en-US"/>
        </w:rPr>
        <w:instrText>CSL</w:instrText>
      </w:r>
      <w:r w:rsidR="00F6217A" w:rsidRPr="00F6217A">
        <w:instrText>_</w:instrText>
      </w:r>
      <w:r w:rsidR="00F6217A">
        <w:rPr>
          <w:lang w:val="en-US"/>
        </w:rPr>
        <w:instrText>CITATION</w:instrText>
      </w:r>
      <w:r w:rsidR="00F6217A" w:rsidRPr="00F6217A">
        <w:instrText xml:space="preserve"> {"</w:instrText>
      </w:r>
      <w:r w:rsidR="00F6217A">
        <w:rPr>
          <w:lang w:val="en-US"/>
        </w:rPr>
        <w:instrText>citationItems</w:instrText>
      </w:r>
      <w:r w:rsidR="00F6217A" w:rsidRPr="00F6217A">
        <w:instrText>":[{"</w:instrText>
      </w:r>
      <w:r w:rsidR="00F6217A">
        <w:rPr>
          <w:lang w:val="en-US"/>
        </w:rPr>
        <w:instrText>id</w:instrText>
      </w:r>
      <w:r w:rsidR="00F6217A" w:rsidRPr="00F6217A">
        <w:instrText>":"</w:instrText>
      </w:r>
      <w:r w:rsidR="00F6217A">
        <w:rPr>
          <w:lang w:val="en-US"/>
        </w:rPr>
        <w:instrText>ITEM</w:instrText>
      </w:r>
      <w:r w:rsidR="00F6217A" w:rsidRPr="00F6217A">
        <w:instrText>-1","</w:instrText>
      </w:r>
      <w:r w:rsidR="00F6217A">
        <w:rPr>
          <w:lang w:val="en-US"/>
        </w:rPr>
        <w:instrText>itemData</w:instrText>
      </w:r>
      <w:r w:rsidR="00F6217A" w:rsidRPr="00F6217A">
        <w:instrText>":{"</w:instrText>
      </w:r>
      <w:r w:rsidR="00F6217A">
        <w:rPr>
          <w:lang w:val="en-US"/>
        </w:rPr>
        <w:instrText>DOI</w:instrText>
      </w:r>
      <w:r w:rsidR="00F6217A" w:rsidRPr="00F6217A">
        <w:instrText>":"10.1200/</w:instrText>
      </w:r>
      <w:r w:rsidR="00F6217A">
        <w:rPr>
          <w:lang w:val="en-US"/>
        </w:rPr>
        <w:instrText>JCO</w:instrText>
      </w:r>
      <w:r w:rsidR="00F6217A" w:rsidRPr="00F6217A">
        <w:instrText>.2013.54.8800","</w:instrText>
      </w:r>
      <w:r w:rsidR="00F6217A">
        <w:rPr>
          <w:lang w:val="en-US"/>
        </w:rPr>
        <w:instrText>ISSN</w:instrText>
      </w:r>
      <w:r w:rsidR="00F6217A" w:rsidRPr="00F6217A">
        <w:instrText>":"15277755","</w:instrText>
      </w:r>
      <w:r w:rsidR="00F6217A">
        <w:rPr>
          <w:lang w:val="en-US"/>
        </w:rPr>
        <w:instrText>PMID</w:instrText>
      </w:r>
      <w:r w:rsidR="00F6217A" w:rsidRPr="00F6217A">
        <w:instrText>":"25113753","</w:instrText>
      </w:r>
      <w:r w:rsidR="00F6217A">
        <w:rPr>
          <w:lang w:val="en-US"/>
        </w:rPr>
        <w:instrText>abstract</w:instrText>
      </w:r>
      <w:r w:rsidR="00F6217A" w:rsidRPr="00F6217A">
        <w:instrText>":"</w:instrText>
      </w:r>
      <w:r w:rsidR="00F6217A">
        <w:rPr>
          <w:lang w:val="en-US"/>
        </w:rPr>
        <w:instrText>The</w:instrText>
      </w:r>
      <w:r w:rsidR="00F6217A" w:rsidRPr="00F6217A">
        <w:instrText xml:space="preserve"> </w:instrText>
      </w:r>
      <w:r w:rsidR="00F6217A">
        <w:rPr>
          <w:lang w:val="en-US"/>
        </w:rPr>
        <w:instrText>purpose</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this</w:instrText>
      </w:r>
      <w:r w:rsidR="00F6217A" w:rsidRPr="00F6217A">
        <w:instrText xml:space="preserve"> </w:instrText>
      </w:r>
      <w:r w:rsidR="00F6217A">
        <w:rPr>
          <w:lang w:val="en-US"/>
        </w:rPr>
        <w:instrText>work</w:instrText>
      </w:r>
      <w:r w:rsidR="00F6217A" w:rsidRPr="00F6217A">
        <w:instrText xml:space="preserve"> </w:instrText>
      </w:r>
      <w:r w:rsidR="00F6217A">
        <w:rPr>
          <w:lang w:val="en-US"/>
        </w:rPr>
        <w:instrText>was</w:instrText>
      </w:r>
      <w:r w:rsidR="00F6217A" w:rsidRPr="00F6217A">
        <w:instrText xml:space="preserve"> </w:instrText>
      </w:r>
      <w:r w:rsidR="00F6217A">
        <w:rPr>
          <w:lang w:val="en-US"/>
        </w:rPr>
        <w:instrText>to</w:instrText>
      </w:r>
      <w:r w:rsidR="00F6217A" w:rsidRPr="00F6217A">
        <w:instrText xml:space="preserve"> </w:instrText>
      </w:r>
      <w:r w:rsidR="00F6217A">
        <w:rPr>
          <w:lang w:val="en-US"/>
        </w:rPr>
        <w:instrText>modernize</w:instrText>
      </w:r>
      <w:r w:rsidR="00F6217A" w:rsidRPr="00F6217A">
        <w:instrText xml:space="preserve"> </w:instrText>
      </w:r>
      <w:r w:rsidR="00F6217A">
        <w:rPr>
          <w:lang w:val="en-US"/>
        </w:rPr>
        <w:instrText>recommendations</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evaluation</w:instrText>
      </w:r>
      <w:r w:rsidR="00F6217A" w:rsidRPr="00F6217A">
        <w:instrText xml:space="preserve">, </w:instrText>
      </w:r>
      <w:r w:rsidR="00F6217A">
        <w:rPr>
          <w:lang w:val="en-US"/>
        </w:rPr>
        <w:instrText>staging</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response</w:instrText>
      </w:r>
      <w:r w:rsidR="00F6217A" w:rsidRPr="00F6217A">
        <w:instrText xml:space="preserve"> </w:instrText>
      </w:r>
      <w:r w:rsidR="00F6217A">
        <w:rPr>
          <w:lang w:val="en-US"/>
        </w:rPr>
        <w:instrText>assessment</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patients</w:instrText>
      </w:r>
      <w:r w:rsidR="00F6217A" w:rsidRPr="00F6217A">
        <w:instrText xml:space="preserve"> </w:instrText>
      </w:r>
      <w:r w:rsidR="00F6217A">
        <w:rPr>
          <w:lang w:val="en-US"/>
        </w:rPr>
        <w:instrText>with</w:instrText>
      </w:r>
      <w:r w:rsidR="00F6217A" w:rsidRPr="00F6217A">
        <w:instrText xml:space="preserve"> </w:instrText>
      </w:r>
      <w:r w:rsidR="00F6217A">
        <w:rPr>
          <w:lang w:val="en-US"/>
        </w:rPr>
        <w:instrText>Hodgkin</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HL</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non</w:instrText>
      </w:r>
      <w:r w:rsidR="00F6217A" w:rsidRPr="00F6217A">
        <w:instrText>-</w:instrText>
      </w:r>
      <w:r w:rsidR="00F6217A">
        <w:rPr>
          <w:lang w:val="en-US"/>
        </w:rPr>
        <w:instrText>Hodgkin</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NHL</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workshop</w:instrText>
      </w:r>
      <w:r w:rsidR="00F6217A" w:rsidRPr="00F6217A">
        <w:instrText xml:space="preserve"> </w:instrText>
      </w:r>
      <w:r w:rsidR="00F6217A">
        <w:rPr>
          <w:lang w:val="en-US"/>
        </w:rPr>
        <w:instrText>was</w:instrText>
      </w:r>
      <w:r w:rsidR="00F6217A" w:rsidRPr="00F6217A">
        <w:instrText xml:space="preserve"> </w:instrText>
      </w:r>
      <w:r w:rsidR="00F6217A">
        <w:rPr>
          <w:lang w:val="en-US"/>
        </w:rPr>
        <w:instrText>held</w:instrText>
      </w:r>
      <w:r w:rsidR="00F6217A" w:rsidRPr="00F6217A">
        <w:instrText xml:space="preserve"> </w:instrText>
      </w:r>
      <w:r w:rsidR="00F6217A">
        <w:rPr>
          <w:lang w:val="en-US"/>
        </w:rPr>
        <w:instrText>at</w:instrText>
      </w:r>
      <w:r w:rsidR="00F6217A" w:rsidRPr="00F6217A">
        <w:instrText xml:space="preserve"> </w:instrText>
      </w:r>
      <w:r w:rsidR="00F6217A">
        <w:rPr>
          <w:lang w:val="en-US"/>
        </w:rPr>
        <w:instrText>the</w:instrText>
      </w:r>
      <w:r w:rsidR="00F6217A" w:rsidRPr="00F6217A">
        <w:instrText xml:space="preserve"> 11</w:instrText>
      </w:r>
      <w:r w:rsidR="00F6217A">
        <w:rPr>
          <w:lang w:val="en-US"/>
        </w:rPr>
        <w:instrText>th</w:instrText>
      </w:r>
      <w:r w:rsidR="00F6217A" w:rsidRPr="00F6217A">
        <w:instrText xml:space="preserve"> </w:instrText>
      </w:r>
      <w:r w:rsidR="00F6217A">
        <w:rPr>
          <w:lang w:val="en-US"/>
        </w:rPr>
        <w:instrText>International</w:instrText>
      </w:r>
      <w:r w:rsidR="00F6217A" w:rsidRPr="00F6217A">
        <w:instrText xml:space="preserve"> </w:instrText>
      </w:r>
      <w:r w:rsidR="00F6217A">
        <w:rPr>
          <w:lang w:val="en-US"/>
        </w:rPr>
        <w:instrText>Conference</w:instrText>
      </w:r>
      <w:r w:rsidR="00F6217A" w:rsidRPr="00F6217A">
        <w:instrText xml:space="preserve"> </w:instrText>
      </w:r>
      <w:r w:rsidR="00F6217A">
        <w:rPr>
          <w:lang w:val="en-US"/>
        </w:rPr>
        <w:instrText>on</w:instrText>
      </w:r>
      <w:r w:rsidR="00F6217A" w:rsidRPr="00F6217A">
        <w:instrText xml:space="preserve"> </w:instrText>
      </w:r>
      <w:r w:rsidR="00F6217A">
        <w:rPr>
          <w:lang w:val="en-US"/>
        </w:rPr>
        <w:instrText>Malignant</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in</w:instrText>
      </w:r>
      <w:r w:rsidR="00F6217A" w:rsidRPr="00F6217A">
        <w:instrText xml:space="preserve"> </w:instrText>
      </w:r>
      <w:r w:rsidR="00F6217A">
        <w:rPr>
          <w:lang w:val="en-US"/>
        </w:rPr>
        <w:instrText>Lugano</w:instrText>
      </w:r>
      <w:r w:rsidR="00F6217A" w:rsidRPr="00F6217A">
        <w:instrText xml:space="preserve">, </w:instrText>
      </w:r>
      <w:r w:rsidR="00F6217A">
        <w:rPr>
          <w:lang w:val="en-US"/>
        </w:rPr>
        <w:instrText>Switzerland</w:instrText>
      </w:r>
      <w:r w:rsidR="00F6217A" w:rsidRPr="00F6217A">
        <w:instrText xml:space="preserve">, </w:instrText>
      </w:r>
      <w:r w:rsidR="00F6217A">
        <w:rPr>
          <w:lang w:val="en-US"/>
        </w:rPr>
        <w:instrText>in</w:instrText>
      </w:r>
      <w:r w:rsidR="00F6217A" w:rsidRPr="00F6217A">
        <w:instrText xml:space="preserve"> </w:instrText>
      </w:r>
      <w:r w:rsidR="00F6217A">
        <w:rPr>
          <w:lang w:val="en-US"/>
        </w:rPr>
        <w:instrText>June</w:instrText>
      </w:r>
      <w:r w:rsidR="00F6217A" w:rsidRPr="00F6217A">
        <w:instrText xml:space="preserve"> 2011, </w:instrText>
      </w:r>
      <w:r w:rsidR="00F6217A">
        <w:rPr>
          <w:lang w:val="en-US"/>
        </w:rPr>
        <w:instrText>that</w:instrText>
      </w:r>
      <w:r w:rsidR="00F6217A" w:rsidRPr="00F6217A">
        <w:instrText xml:space="preserve"> </w:instrText>
      </w:r>
      <w:r w:rsidR="00F6217A">
        <w:rPr>
          <w:lang w:val="en-US"/>
        </w:rPr>
        <w:instrText>included</w:instrText>
      </w:r>
      <w:r w:rsidR="00F6217A" w:rsidRPr="00F6217A">
        <w:instrText xml:space="preserve"> </w:instrText>
      </w:r>
      <w:r w:rsidR="00F6217A">
        <w:rPr>
          <w:lang w:val="en-US"/>
        </w:rPr>
        <w:instrText>leading</w:instrText>
      </w:r>
      <w:r w:rsidR="00F6217A" w:rsidRPr="00F6217A">
        <w:instrText xml:space="preserve"> </w:instrText>
      </w:r>
      <w:r w:rsidR="00F6217A">
        <w:rPr>
          <w:lang w:val="en-US"/>
        </w:rPr>
        <w:instrText>hematologists</w:instrText>
      </w:r>
      <w:r w:rsidR="00F6217A" w:rsidRPr="00F6217A">
        <w:instrText xml:space="preserve">, </w:instrText>
      </w:r>
      <w:r w:rsidR="00F6217A">
        <w:rPr>
          <w:lang w:val="en-US"/>
        </w:rPr>
        <w:instrText>oncologists</w:instrText>
      </w:r>
      <w:r w:rsidR="00F6217A" w:rsidRPr="00F6217A">
        <w:instrText xml:space="preserve">, </w:instrText>
      </w:r>
      <w:r w:rsidR="00F6217A">
        <w:rPr>
          <w:lang w:val="en-US"/>
        </w:rPr>
        <w:instrText>radiation</w:instrText>
      </w:r>
      <w:r w:rsidR="00F6217A" w:rsidRPr="00F6217A">
        <w:instrText xml:space="preserve"> </w:instrText>
      </w:r>
      <w:r w:rsidR="00F6217A">
        <w:rPr>
          <w:lang w:val="en-US"/>
        </w:rPr>
        <w:instrText>oncologists</w:instrText>
      </w:r>
      <w:r w:rsidR="00F6217A" w:rsidRPr="00F6217A">
        <w:instrText xml:space="preserve">, </w:instrText>
      </w:r>
      <w:r w:rsidR="00F6217A">
        <w:rPr>
          <w:lang w:val="en-US"/>
        </w:rPr>
        <w:instrText>pathologists</w:instrText>
      </w:r>
      <w:r w:rsidR="00F6217A" w:rsidRPr="00F6217A">
        <w:instrText xml:space="preserve">, </w:instrText>
      </w:r>
      <w:r w:rsidR="00F6217A">
        <w:rPr>
          <w:lang w:val="en-US"/>
        </w:rPr>
        <w:instrText>radiologists</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nuclear</w:instrText>
      </w:r>
      <w:r w:rsidR="00F6217A" w:rsidRPr="00F6217A">
        <w:instrText xml:space="preserve"> </w:instrText>
      </w:r>
      <w:r w:rsidR="00F6217A">
        <w:rPr>
          <w:lang w:val="en-US"/>
        </w:rPr>
        <w:instrText>medicine</w:instrText>
      </w:r>
      <w:r w:rsidR="00F6217A" w:rsidRPr="00F6217A">
        <w:instrText xml:space="preserve"> </w:instrText>
      </w:r>
      <w:r w:rsidR="00F6217A">
        <w:rPr>
          <w:lang w:val="en-US"/>
        </w:rPr>
        <w:instrText>physicians</w:instrText>
      </w:r>
      <w:r w:rsidR="00F6217A" w:rsidRPr="00F6217A">
        <w:instrText xml:space="preserve">, </w:instrText>
      </w:r>
      <w:r w:rsidR="00F6217A">
        <w:rPr>
          <w:lang w:val="en-US"/>
        </w:rPr>
        <w:instrText>representing</w:instrText>
      </w:r>
      <w:r w:rsidR="00F6217A" w:rsidRPr="00F6217A">
        <w:instrText xml:space="preserve"> </w:instrText>
      </w:r>
      <w:r w:rsidR="00F6217A">
        <w:rPr>
          <w:lang w:val="en-US"/>
        </w:rPr>
        <w:instrText>major</w:instrText>
      </w:r>
      <w:r w:rsidR="00F6217A" w:rsidRPr="00F6217A">
        <w:instrText xml:space="preserve"> </w:instrText>
      </w:r>
      <w:r w:rsidR="00F6217A">
        <w:rPr>
          <w:lang w:val="en-US"/>
        </w:rPr>
        <w:instrText>international</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clinical</w:instrText>
      </w:r>
      <w:r w:rsidR="00F6217A" w:rsidRPr="00F6217A">
        <w:instrText xml:space="preserve"> </w:instrText>
      </w:r>
      <w:r w:rsidR="00F6217A">
        <w:rPr>
          <w:lang w:val="en-US"/>
        </w:rPr>
        <w:instrText>trials</w:instrText>
      </w:r>
      <w:r w:rsidR="00F6217A" w:rsidRPr="00F6217A">
        <w:instrText xml:space="preserve"> </w:instrText>
      </w:r>
      <w:r w:rsidR="00F6217A">
        <w:rPr>
          <w:lang w:val="en-US"/>
        </w:rPr>
        <w:instrText>groups</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cancer</w:instrText>
      </w:r>
      <w:r w:rsidR="00F6217A" w:rsidRPr="00F6217A">
        <w:instrText xml:space="preserve"> </w:instrText>
      </w:r>
      <w:r w:rsidR="00F6217A">
        <w:rPr>
          <w:lang w:val="en-US"/>
        </w:rPr>
        <w:instrText>centers</w:instrText>
      </w:r>
      <w:r w:rsidR="00F6217A" w:rsidRPr="00F6217A">
        <w:instrText xml:space="preserve">. </w:instrText>
      </w:r>
      <w:r w:rsidR="00F6217A">
        <w:rPr>
          <w:lang w:val="en-US"/>
        </w:rPr>
        <w:instrText>Clinical</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imaging</w:instrText>
      </w:r>
      <w:r w:rsidR="00F6217A" w:rsidRPr="00F6217A">
        <w:instrText xml:space="preserve"> </w:instrText>
      </w:r>
      <w:r w:rsidR="00F6217A">
        <w:rPr>
          <w:lang w:val="en-US"/>
        </w:rPr>
        <w:instrText>subcommittees</w:instrText>
      </w:r>
      <w:r w:rsidR="00F6217A" w:rsidRPr="00F6217A">
        <w:instrText xml:space="preserve"> </w:instrText>
      </w:r>
      <w:r w:rsidR="00F6217A">
        <w:rPr>
          <w:lang w:val="en-US"/>
        </w:rPr>
        <w:instrText>presented</w:instrText>
      </w:r>
      <w:r w:rsidR="00F6217A" w:rsidRPr="00F6217A">
        <w:instrText xml:space="preserve"> </w:instrText>
      </w:r>
      <w:r w:rsidR="00F6217A">
        <w:rPr>
          <w:lang w:val="en-US"/>
        </w:rPr>
        <w:instrText>their</w:instrText>
      </w:r>
      <w:r w:rsidR="00F6217A" w:rsidRPr="00F6217A">
        <w:instrText xml:space="preserve"> </w:instrText>
      </w:r>
      <w:r w:rsidR="00F6217A">
        <w:rPr>
          <w:lang w:val="en-US"/>
        </w:rPr>
        <w:instrText>conclusions</w:instrText>
      </w:r>
      <w:r w:rsidR="00F6217A" w:rsidRPr="00F6217A">
        <w:instrText xml:space="preserve"> </w:instrText>
      </w:r>
      <w:r w:rsidR="00F6217A">
        <w:rPr>
          <w:lang w:val="en-US"/>
        </w:rPr>
        <w:instrText>at</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subsequent</w:instrText>
      </w:r>
      <w:r w:rsidR="00F6217A" w:rsidRPr="00F6217A">
        <w:instrText xml:space="preserve"> </w:instrText>
      </w:r>
      <w:r w:rsidR="00F6217A">
        <w:rPr>
          <w:lang w:val="en-US"/>
        </w:rPr>
        <w:instrText>workshop</w:instrText>
      </w:r>
      <w:r w:rsidR="00F6217A" w:rsidRPr="00F6217A">
        <w:instrText xml:space="preserve"> </w:instrText>
      </w:r>
      <w:r w:rsidR="00F6217A">
        <w:rPr>
          <w:lang w:val="en-US"/>
        </w:rPr>
        <w:instrText>at</w:instrText>
      </w:r>
      <w:r w:rsidR="00F6217A" w:rsidRPr="00F6217A">
        <w:instrText xml:space="preserve"> </w:instrText>
      </w:r>
      <w:r w:rsidR="00F6217A">
        <w:rPr>
          <w:lang w:val="en-US"/>
        </w:rPr>
        <w:instrText>the</w:instrText>
      </w:r>
      <w:r w:rsidR="00F6217A" w:rsidRPr="00F6217A">
        <w:instrText xml:space="preserve"> 12</w:instrText>
      </w:r>
      <w:r w:rsidR="00F6217A">
        <w:rPr>
          <w:lang w:val="en-US"/>
        </w:rPr>
        <w:instrText>th</w:instrText>
      </w:r>
      <w:r w:rsidR="00F6217A" w:rsidRPr="00F6217A">
        <w:instrText xml:space="preserve"> </w:instrText>
      </w:r>
      <w:r w:rsidR="00F6217A">
        <w:rPr>
          <w:lang w:val="en-US"/>
        </w:rPr>
        <w:instrText>International</w:instrText>
      </w:r>
      <w:r w:rsidR="00F6217A" w:rsidRPr="00F6217A">
        <w:instrText xml:space="preserve"> </w:instrText>
      </w:r>
      <w:r w:rsidR="00F6217A">
        <w:rPr>
          <w:lang w:val="en-US"/>
        </w:rPr>
        <w:instrText>Conference</w:instrText>
      </w:r>
      <w:r w:rsidR="00F6217A" w:rsidRPr="00F6217A">
        <w:instrText xml:space="preserve"> </w:instrText>
      </w:r>
      <w:r w:rsidR="00F6217A">
        <w:rPr>
          <w:lang w:val="en-US"/>
        </w:rPr>
        <w:instrText>on</w:instrText>
      </w:r>
      <w:r w:rsidR="00F6217A" w:rsidRPr="00F6217A">
        <w:instrText xml:space="preserve"> </w:instrText>
      </w:r>
      <w:r w:rsidR="00F6217A">
        <w:rPr>
          <w:lang w:val="en-US"/>
        </w:rPr>
        <w:instrText>Malignant</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leading</w:instrText>
      </w:r>
      <w:r w:rsidR="00F6217A" w:rsidRPr="00F6217A">
        <w:instrText xml:space="preserve"> </w:instrText>
      </w:r>
      <w:r w:rsidR="00F6217A">
        <w:rPr>
          <w:lang w:val="en-US"/>
        </w:rPr>
        <w:instrText>to</w:instrText>
      </w:r>
      <w:r w:rsidR="00F6217A" w:rsidRPr="00F6217A">
        <w:instrText xml:space="preserve"> </w:instrText>
      </w:r>
      <w:r w:rsidR="00F6217A">
        <w:rPr>
          <w:lang w:val="en-US"/>
        </w:rPr>
        <w:instrText>revised</w:instrText>
      </w:r>
      <w:r w:rsidR="00F6217A" w:rsidRPr="00F6217A">
        <w:instrText xml:space="preserve"> </w:instrText>
      </w:r>
      <w:r w:rsidR="00F6217A">
        <w:rPr>
          <w:lang w:val="en-US"/>
        </w:rPr>
        <w:instrText>criteria</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staging</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International</w:instrText>
      </w:r>
      <w:r w:rsidR="00F6217A" w:rsidRPr="00F6217A">
        <w:instrText xml:space="preserve"> </w:instrText>
      </w:r>
      <w:r w:rsidR="00F6217A">
        <w:rPr>
          <w:lang w:val="en-US"/>
        </w:rPr>
        <w:instrText>Working</w:instrText>
      </w:r>
      <w:r w:rsidR="00F6217A" w:rsidRPr="00F6217A">
        <w:instrText xml:space="preserve"> </w:instrText>
      </w:r>
      <w:r w:rsidR="00F6217A">
        <w:rPr>
          <w:lang w:val="en-US"/>
        </w:rPr>
        <w:instrText>Group</w:instrText>
      </w:r>
      <w:r w:rsidR="00F6217A" w:rsidRPr="00F6217A">
        <w:instrText xml:space="preserve"> </w:instrText>
      </w:r>
      <w:r w:rsidR="00F6217A">
        <w:rPr>
          <w:lang w:val="en-US"/>
        </w:rPr>
        <w:instrText>Guidelines</w:instrText>
      </w:r>
      <w:r w:rsidR="00F6217A" w:rsidRPr="00F6217A">
        <w:instrText xml:space="preserve"> </w:instrText>
      </w:r>
      <w:r w:rsidR="00F6217A">
        <w:rPr>
          <w:lang w:val="en-US"/>
        </w:rPr>
        <w:instrText>of</w:instrText>
      </w:r>
      <w:r w:rsidR="00F6217A" w:rsidRPr="00F6217A">
        <w:instrText xml:space="preserve"> 2007 </w:instrText>
      </w:r>
      <w:r w:rsidR="00F6217A">
        <w:rPr>
          <w:lang w:val="en-US"/>
        </w:rPr>
        <w:instrText>for</w:instrText>
      </w:r>
      <w:r w:rsidR="00F6217A" w:rsidRPr="00F6217A">
        <w:instrText xml:space="preserve"> </w:instrText>
      </w:r>
      <w:r w:rsidR="00F6217A">
        <w:rPr>
          <w:lang w:val="en-US"/>
        </w:rPr>
        <w:instrText>response</w:instrText>
      </w:r>
      <w:r w:rsidR="00F6217A" w:rsidRPr="00F6217A">
        <w:instrText xml:space="preserve">. </w:instrText>
      </w:r>
      <w:r w:rsidR="00F6217A">
        <w:rPr>
          <w:lang w:val="en-US"/>
        </w:rPr>
        <w:instrText>As</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result</w:instrText>
      </w:r>
      <w:r w:rsidR="00F6217A" w:rsidRPr="00F6217A">
        <w:instrText xml:space="preserve">, </w:instrText>
      </w:r>
      <w:r w:rsidR="00F6217A">
        <w:rPr>
          <w:lang w:val="en-US"/>
        </w:rPr>
        <w:instrText>fluorodeoxyglucose</w:instrText>
      </w:r>
      <w:r w:rsidR="00F6217A" w:rsidRPr="00F6217A">
        <w:instrText xml:space="preserve"> (</w:instrText>
      </w:r>
      <w:r w:rsidR="00F6217A">
        <w:rPr>
          <w:lang w:val="en-US"/>
        </w:rPr>
        <w:instrText>FDG</w:instrText>
      </w:r>
      <w:r w:rsidR="00F6217A" w:rsidRPr="00F6217A">
        <w:instrText xml:space="preserve">) </w:instrText>
      </w:r>
      <w:r w:rsidR="00F6217A">
        <w:rPr>
          <w:lang w:val="en-US"/>
        </w:rPr>
        <w:instrText>positron</w:instrText>
      </w:r>
      <w:r w:rsidR="00F6217A" w:rsidRPr="00F6217A">
        <w:instrText xml:space="preserve"> </w:instrText>
      </w:r>
      <w:r w:rsidR="00F6217A">
        <w:rPr>
          <w:lang w:val="en-US"/>
        </w:rPr>
        <w:instrText>emission</w:instrText>
      </w:r>
      <w:r w:rsidR="00F6217A" w:rsidRPr="00F6217A">
        <w:instrText xml:space="preserve"> </w:instrText>
      </w:r>
      <w:r w:rsidR="00F6217A">
        <w:rPr>
          <w:lang w:val="en-US"/>
        </w:rPr>
        <w:instrText>tomography</w:instrText>
      </w:r>
      <w:r w:rsidR="00F6217A" w:rsidRPr="00F6217A">
        <w:instrText xml:space="preserve"> (</w:instrText>
      </w:r>
      <w:r w:rsidR="00F6217A">
        <w:rPr>
          <w:lang w:val="en-US"/>
        </w:rPr>
        <w:instrText>PET</w:instrText>
      </w:r>
      <w:r w:rsidR="00F6217A" w:rsidRPr="00F6217A">
        <w:instrText>)-</w:instrText>
      </w:r>
      <w:r w:rsidR="00F6217A">
        <w:rPr>
          <w:lang w:val="en-US"/>
        </w:rPr>
        <w:instrText>computed</w:instrText>
      </w:r>
      <w:r w:rsidR="00F6217A" w:rsidRPr="00F6217A">
        <w:instrText xml:space="preserve"> </w:instrText>
      </w:r>
      <w:r w:rsidR="00F6217A">
        <w:rPr>
          <w:lang w:val="en-US"/>
        </w:rPr>
        <w:instrText>tomography</w:instrText>
      </w:r>
      <w:r w:rsidR="00F6217A" w:rsidRPr="00F6217A">
        <w:instrText xml:space="preserve"> (</w:instrText>
      </w:r>
      <w:r w:rsidR="00F6217A">
        <w:rPr>
          <w:lang w:val="en-US"/>
        </w:rPr>
        <w:instrText>CT</w:instrText>
      </w:r>
      <w:r w:rsidR="00F6217A" w:rsidRPr="00F6217A">
        <w:instrText xml:space="preserve">) </w:instrText>
      </w:r>
      <w:r w:rsidR="00F6217A">
        <w:rPr>
          <w:lang w:val="en-US"/>
        </w:rPr>
        <w:instrText>was</w:instrText>
      </w:r>
      <w:r w:rsidR="00F6217A" w:rsidRPr="00F6217A">
        <w:instrText xml:space="preserve"> </w:instrText>
      </w:r>
      <w:r w:rsidR="00F6217A">
        <w:rPr>
          <w:lang w:val="en-US"/>
        </w:rPr>
        <w:instrText>formally</w:instrText>
      </w:r>
      <w:r w:rsidR="00F6217A" w:rsidRPr="00F6217A">
        <w:instrText xml:space="preserve"> </w:instrText>
      </w:r>
      <w:r w:rsidR="00F6217A">
        <w:rPr>
          <w:lang w:val="en-US"/>
        </w:rPr>
        <w:instrText>incorporated</w:instrText>
      </w:r>
      <w:r w:rsidR="00F6217A" w:rsidRPr="00F6217A">
        <w:instrText xml:space="preserve"> </w:instrText>
      </w:r>
      <w:r w:rsidR="00F6217A">
        <w:rPr>
          <w:lang w:val="en-US"/>
        </w:rPr>
        <w:instrText>into</w:instrText>
      </w:r>
      <w:r w:rsidR="00F6217A" w:rsidRPr="00F6217A">
        <w:instrText xml:space="preserve"> </w:instrText>
      </w:r>
      <w:r w:rsidR="00F6217A">
        <w:rPr>
          <w:lang w:val="en-US"/>
        </w:rPr>
        <w:instrText>standard</w:instrText>
      </w:r>
      <w:r w:rsidR="00F6217A" w:rsidRPr="00F6217A">
        <w:instrText xml:space="preserve"> </w:instrText>
      </w:r>
      <w:r w:rsidR="00F6217A">
        <w:rPr>
          <w:lang w:val="en-US"/>
        </w:rPr>
        <w:instrText>staging</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FDG</w:instrText>
      </w:r>
      <w:r w:rsidR="00F6217A" w:rsidRPr="00F6217A">
        <w:instrText>-</w:instrText>
      </w:r>
      <w:r w:rsidR="00F6217A">
        <w:rPr>
          <w:lang w:val="en-US"/>
        </w:rPr>
        <w:instrText>avid</w:instrText>
      </w:r>
      <w:r w:rsidR="00F6217A" w:rsidRPr="00F6217A">
        <w:instrText xml:space="preserve"> </w:instrText>
      </w:r>
      <w:r w:rsidR="00F6217A">
        <w:rPr>
          <w:lang w:val="en-US"/>
        </w:rPr>
        <w:instrText>lymphomas</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modification</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Ann</w:instrText>
      </w:r>
      <w:r w:rsidR="00F6217A" w:rsidRPr="00F6217A">
        <w:instrText xml:space="preserve"> </w:instrText>
      </w:r>
      <w:r w:rsidR="00F6217A">
        <w:rPr>
          <w:lang w:val="en-US"/>
        </w:rPr>
        <w:instrText>Arbor</w:instrText>
      </w:r>
      <w:r w:rsidR="00F6217A" w:rsidRPr="00F6217A">
        <w:instrText xml:space="preserve"> </w:instrText>
      </w:r>
      <w:r w:rsidR="00F6217A">
        <w:rPr>
          <w:lang w:val="en-US"/>
        </w:rPr>
        <w:instrText>descriptive</w:instrText>
      </w:r>
      <w:r w:rsidR="00F6217A" w:rsidRPr="00F6217A">
        <w:instrText xml:space="preserve"> </w:instrText>
      </w:r>
      <w:r w:rsidR="00F6217A">
        <w:rPr>
          <w:lang w:val="en-US"/>
        </w:rPr>
        <w:instrText>terminology</w:instrText>
      </w:r>
      <w:r w:rsidR="00F6217A" w:rsidRPr="00F6217A">
        <w:instrText xml:space="preserve"> </w:instrText>
      </w:r>
      <w:r w:rsidR="00F6217A">
        <w:rPr>
          <w:lang w:val="en-US"/>
        </w:rPr>
        <w:instrText>will</w:instrText>
      </w:r>
      <w:r w:rsidR="00F6217A" w:rsidRPr="00F6217A">
        <w:instrText xml:space="preserve"> </w:instrText>
      </w:r>
      <w:r w:rsidR="00F6217A">
        <w:rPr>
          <w:lang w:val="en-US"/>
        </w:rPr>
        <w:instrText>be</w:instrText>
      </w:r>
      <w:r w:rsidR="00F6217A" w:rsidRPr="00F6217A">
        <w:instrText xml:space="preserve"> </w:instrText>
      </w:r>
      <w:r w:rsidR="00F6217A">
        <w:rPr>
          <w:lang w:val="en-US"/>
        </w:rPr>
        <w:instrText>used</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anatomic</w:instrText>
      </w:r>
      <w:r w:rsidR="00F6217A" w:rsidRPr="00F6217A">
        <w:instrText xml:space="preserve"> </w:instrText>
      </w:r>
      <w:r w:rsidR="00F6217A">
        <w:rPr>
          <w:lang w:val="en-US"/>
        </w:rPr>
        <w:instrText>distribution</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disease</w:instrText>
      </w:r>
      <w:r w:rsidR="00F6217A" w:rsidRPr="00F6217A">
        <w:instrText xml:space="preserve"> </w:instrText>
      </w:r>
      <w:r w:rsidR="00F6217A">
        <w:rPr>
          <w:lang w:val="en-US"/>
        </w:rPr>
        <w:instrText>extent</w:instrText>
      </w:r>
      <w:r w:rsidR="00F6217A" w:rsidRPr="00F6217A">
        <w:instrText xml:space="preserve">, </w:instrText>
      </w:r>
      <w:r w:rsidR="00F6217A">
        <w:rPr>
          <w:lang w:val="en-US"/>
        </w:rPr>
        <w:instrText>but</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suffixes</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or</w:instrText>
      </w:r>
      <w:r w:rsidR="00F6217A" w:rsidRPr="00F6217A">
        <w:instrText xml:space="preserve"> </w:instrText>
      </w:r>
      <w:r w:rsidR="00F6217A">
        <w:rPr>
          <w:lang w:val="en-US"/>
        </w:rPr>
        <w:instrText>B</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symptoms</w:instrText>
      </w:r>
      <w:r w:rsidR="00F6217A" w:rsidRPr="00F6217A">
        <w:instrText xml:space="preserve"> </w:instrText>
      </w:r>
      <w:r w:rsidR="00F6217A">
        <w:rPr>
          <w:lang w:val="en-US"/>
        </w:rPr>
        <w:instrText>will</w:instrText>
      </w:r>
      <w:r w:rsidR="00F6217A" w:rsidRPr="00F6217A">
        <w:instrText xml:space="preserve"> </w:instrText>
      </w:r>
      <w:r w:rsidR="00F6217A">
        <w:rPr>
          <w:lang w:val="en-US"/>
        </w:rPr>
        <w:instrText>only</w:instrText>
      </w:r>
      <w:r w:rsidR="00F6217A" w:rsidRPr="00F6217A">
        <w:instrText xml:space="preserve"> </w:instrText>
      </w:r>
      <w:r w:rsidR="00F6217A">
        <w:rPr>
          <w:lang w:val="en-US"/>
        </w:rPr>
        <w:instrText>be</w:instrText>
      </w:r>
      <w:r w:rsidR="00F6217A" w:rsidRPr="00F6217A">
        <w:instrText xml:space="preserve"> </w:instrText>
      </w:r>
      <w:r w:rsidR="00F6217A">
        <w:rPr>
          <w:lang w:val="en-US"/>
        </w:rPr>
        <w:instrText>included</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HL</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bone</w:instrText>
      </w:r>
      <w:r w:rsidR="00F6217A" w:rsidRPr="00F6217A">
        <w:instrText xml:space="preserve"> </w:instrText>
      </w:r>
      <w:r w:rsidR="00F6217A">
        <w:rPr>
          <w:lang w:val="en-US"/>
        </w:rPr>
        <w:instrText>marrow</w:instrText>
      </w:r>
      <w:r w:rsidR="00F6217A" w:rsidRPr="00F6217A">
        <w:instrText xml:space="preserve"> </w:instrText>
      </w:r>
      <w:r w:rsidR="00F6217A">
        <w:rPr>
          <w:lang w:val="en-US"/>
        </w:rPr>
        <w:instrText>biopsy</w:instrText>
      </w:r>
      <w:r w:rsidR="00F6217A" w:rsidRPr="00F6217A">
        <w:instrText xml:space="preserve"> </w:instrText>
      </w:r>
      <w:r w:rsidR="00F6217A">
        <w:rPr>
          <w:lang w:val="en-US"/>
        </w:rPr>
        <w:instrText>is</w:instrText>
      </w:r>
      <w:r w:rsidR="00F6217A" w:rsidRPr="00F6217A">
        <w:instrText xml:space="preserve"> </w:instrText>
      </w:r>
      <w:r w:rsidR="00F6217A">
        <w:rPr>
          <w:lang w:val="en-US"/>
        </w:rPr>
        <w:instrText>no</w:instrText>
      </w:r>
      <w:r w:rsidR="00F6217A" w:rsidRPr="00F6217A">
        <w:instrText xml:space="preserve"> </w:instrText>
      </w:r>
      <w:r w:rsidR="00F6217A">
        <w:rPr>
          <w:lang w:val="en-US"/>
        </w:rPr>
        <w:instrText>longer</w:instrText>
      </w:r>
      <w:r w:rsidR="00F6217A" w:rsidRPr="00F6217A">
        <w:instrText xml:space="preserve"> </w:instrText>
      </w:r>
      <w:r w:rsidR="00F6217A">
        <w:rPr>
          <w:lang w:val="en-US"/>
        </w:rPr>
        <w:instrText>indicated</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routine</w:instrText>
      </w:r>
      <w:r w:rsidR="00F6217A" w:rsidRPr="00F6217A">
        <w:instrText xml:space="preserve"> </w:instrText>
      </w:r>
      <w:r w:rsidR="00F6217A">
        <w:rPr>
          <w:lang w:val="en-US"/>
        </w:rPr>
        <w:instrText>staging</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HL</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most</w:instrText>
      </w:r>
      <w:r w:rsidR="00F6217A" w:rsidRPr="00F6217A">
        <w:instrText xml:space="preserve"> </w:instrText>
      </w:r>
      <w:r w:rsidR="00F6217A">
        <w:rPr>
          <w:lang w:val="en-US"/>
        </w:rPr>
        <w:instrText>diffuse</w:instrText>
      </w:r>
      <w:r w:rsidR="00F6217A" w:rsidRPr="00F6217A">
        <w:instrText xml:space="preserve"> </w:instrText>
      </w:r>
      <w:r w:rsidR="00F6217A">
        <w:rPr>
          <w:lang w:val="en-US"/>
        </w:rPr>
        <w:instrText>large</w:instrText>
      </w:r>
      <w:r w:rsidR="00F6217A" w:rsidRPr="00F6217A">
        <w:instrText xml:space="preserve"> </w:instrText>
      </w:r>
      <w:r w:rsidR="00F6217A">
        <w:rPr>
          <w:lang w:val="en-US"/>
        </w:rPr>
        <w:instrText>B</w:instrText>
      </w:r>
      <w:r w:rsidR="00F6217A" w:rsidRPr="00F6217A">
        <w:instrText>-</w:instrText>
      </w:r>
      <w:r w:rsidR="00F6217A">
        <w:rPr>
          <w:lang w:val="en-US"/>
        </w:rPr>
        <w:instrText>cell</w:instrText>
      </w:r>
      <w:r w:rsidR="00F6217A" w:rsidRPr="00F6217A">
        <w:instrText xml:space="preserve"> </w:instrText>
      </w:r>
      <w:r w:rsidR="00F6217A">
        <w:rPr>
          <w:lang w:val="en-US"/>
        </w:rPr>
        <w:instrText>lymphomas</w:instrText>
      </w:r>
      <w:r w:rsidR="00F6217A" w:rsidRPr="00F6217A">
        <w:instrText xml:space="preserve">. </w:instrText>
      </w:r>
      <w:r w:rsidR="00F6217A">
        <w:rPr>
          <w:lang w:val="en-US"/>
        </w:rPr>
        <w:instrText>However</w:instrText>
      </w:r>
      <w:r w:rsidR="00F6217A" w:rsidRPr="00F6217A">
        <w:instrText xml:space="preserve">, </w:instrText>
      </w:r>
      <w:r w:rsidR="00F6217A">
        <w:rPr>
          <w:lang w:val="en-US"/>
        </w:rPr>
        <w:instrText>regardless</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stage</w:instrText>
      </w:r>
      <w:r w:rsidR="00F6217A" w:rsidRPr="00F6217A">
        <w:instrText xml:space="preserve">, </w:instrText>
      </w:r>
      <w:r w:rsidR="00F6217A">
        <w:rPr>
          <w:lang w:val="en-US"/>
        </w:rPr>
        <w:instrText>general</w:instrText>
      </w:r>
      <w:r w:rsidR="00F6217A" w:rsidRPr="00F6217A">
        <w:instrText xml:space="preserve"> </w:instrText>
      </w:r>
      <w:r w:rsidR="00F6217A">
        <w:rPr>
          <w:lang w:val="en-US"/>
        </w:rPr>
        <w:instrText>practice</w:instrText>
      </w:r>
      <w:r w:rsidR="00F6217A" w:rsidRPr="00F6217A">
        <w:instrText xml:space="preserve"> </w:instrText>
      </w:r>
      <w:r w:rsidR="00F6217A">
        <w:rPr>
          <w:lang w:val="en-US"/>
        </w:rPr>
        <w:instrText>is</w:instrText>
      </w:r>
      <w:r w:rsidR="00F6217A" w:rsidRPr="00F6217A">
        <w:instrText xml:space="preserve"> </w:instrText>
      </w:r>
      <w:r w:rsidR="00F6217A">
        <w:rPr>
          <w:lang w:val="en-US"/>
        </w:rPr>
        <w:instrText>to</w:instrText>
      </w:r>
      <w:r w:rsidR="00F6217A" w:rsidRPr="00F6217A">
        <w:instrText xml:space="preserve"> </w:instrText>
      </w:r>
      <w:r w:rsidR="00F6217A">
        <w:rPr>
          <w:lang w:val="en-US"/>
        </w:rPr>
        <w:instrText>treat</w:instrText>
      </w:r>
      <w:r w:rsidR="00F6217A" w:rsidRPr="00F6217A">
        <w:instrText xml:space="preserve"> </w:instrText>
      </w:r>
      <w:r w:rsidR="00F6217A">
        <w:rPr>
          <w:lang w:val="en-US"/>
        </w:rPr>
        <w:instrText>patients</w:instrText>
      </w:r>
      <w:r w:rsidR="00F6217A" w:rsidRPr="00F6217A">
        <w:instrText xml:space="preserve"> </w:instrText>
      </w:r>
      <w:r w:rsidR="00F6217A">
        <w:rPr>
          <w:lang w:val="en-US"/>
        </w:rPr>
        <w:instrText>based</w:instrText>
      </w:r>
      <w:r w:rsidR="00F6217A" w:rsidRPr="00F6217A">
        <w:instrText xml:space="preserve"> </w:instrText>
      </w:r>
      <w:r w:rsidR="00F6217A">
        <w:rPr>
          <w:lang w:val="en-US"/>
        </w:rPr>
        <w:instrText>on</w:instrText>
      </w:r>
      <w:r w:rsidR="00F6217A" w:rsidRPr="00F6217A">
        <w:instrText xml:space="preserve"> </w:instrText>
      </w:r>
      <w:r w:rsidR="00F6217A">
        <w:rPr>
          <w:lang w:val="en-US"/>
        </w:rPr>
        <w:instrText>limited</w:instrText>
      </w:r>
      <w:r w:rsidR="00F6217A" w:rsidRPr="00F6217A">
        <w:instrText xml:space="preserve"> (</w:instrText>
      </w:r>
      <w:r w:rsidR="00F6217A">
        <w:rPr>
          <w:lang w:val="en-US"/>
        </w:rPr>
        <w:instrText>stages</w:instrText>
      </w:r>
      <w:r w:rsidR="00F6217A" w:rsidRPr="00F6217A">
        <w:instrText xml:space="preserve"> </w:instrText>
      </w:r>
      <w:r w:rsidR="00F6217A">
        <w:rPr>
          <w:lang w:val="en-US"/>
        </w:rPr>
        <w:instrText>I</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II</w:instrText>
      </w:r>
      <w:r w:rsidR="00F6217A" w:rsidRPr="00F6217A">
        <w:instrText xml:space="preserve">, </w:instrText>
      </w:r>
      <w:r w:rsidR="00F6217A">
        <w:rPr>
          <w:lang w:val="en-US"/>
        </w:rPr>
        <w:instrText>nonbulky</w:instrText>
      </w:r>
      <w:r w:rsidR="00F6217A" w:rsidRPr="00F6217A">
        <w:instrText xml:space="preserve">) </w:instrText>
      </w:r>
      <w:r w:rsidR="00F6217A">
        <w:rPr>
          <w:lang w:val="en-US"/>
        </w:rPr>
        <w:instrText>or</w:instrText>
      </w:r>
      <w:r w:rsidR="00F6217A" w:rsidRPr="00F6217A">
        <w:instrText xml:space="preserve"> </w:instrText>
      </w:r>
      <w:r w:rsidR="00F6217A">
        <w:rPr>
          <w:lang w:val="en-US"/>
        </w:rPr>
        <w:instrText>advanced</w:instrText>
      </w:r>
      <w:r w:rsidR="00F6217A" w:rsidRPr="00F6217A">
        <w:instrText xml:space="preserve"> (</w:instrText>
      </w:r>
      <w:r w:rsidR="00F6217A">
        <w:rPr>
          <w:lang w:val="en-US"/>
        </w:rPr>
        <w:instrText>stage</w:instrText>
      </w:r>
      <w:r w:rsidR="00F6217A" w:rsidRPr="00F6217A">
        <w:instrText xml:space="preserve"> </w:instrText>
      </w:r>
      <w:r w:rsidR="00F6217A">
        <w:rPr>
          <w:lang w:val="en-US"/>
        </w:rPr>
        <w:instrText>III</w:instrText>
      </w:r>
      <w:r w:rsidR="00F6217A" w:rsidRPr="00F6217A">
        <w:instrText xml:space="preserve"> </w:instrText>
      </w:r>
      <w:r w:rsidR="00F6217A">
        <w:rPr>
          <w:lang w:val="en-US"/>
        </w:rPr>
        <w:instrText>or</w:instrText>
      </w:r>
      <w:r w:rsidR="00F6217A" w:rsidRPr="00F6217A">
        <w:instrText xml:space="preserve"> </w:instrText>
      </w:r>
      <w:r w:rsidR="00F6217A">
        <w:rPr>
          <w:lang w:val="en-US"/>
        </w:rPr>
        <w:instrText>IV</w:instrText>
      </w:r>
      <w:r w:rsidR="00F6217A" w:rsidRPr="00F6217A">
        <w:instrText xml:space="preserve">) </w:instrText>
      </w:r>
      <w:r w:rsidR="00F6217A">
        <w:rPr>
          <w:lang w:val="en-US"/>
        </w:rPr>
        <w:instrText>disease</w:instrText>
      </w:r>
      <w:r w:rsidR="00F6217A" w:rsidRPr="00F6217A">
        <w:instrText xml:space="preserve">, </w:instrText>
      </w:r>
      <w:r w:rsidR="00F6217A">
        <w:rPr>
          <w:lang w:val="en-US"/>
        </w:rPr>
        <w:instrText>with</w:instrText>
      </w:r>
      <w:r w:rsidR="00F6217A" w:rsidRPr="00F6217A">
        <w:instrText xml:space="preserve"> </w:instrText>
      </w:r>
      <w:r w:rsidR="00F6217A">
        <w:rPr>
          <w:lang w:val="en-US"/>
        </w:rPr>
        <w:instrText>stage</w:instrText>
      </w:r>
      <w:r w:rsidR="00F6217A" w:rsidRPr="00F6217A">
        <w:instrText xml:space="preserve"> </w:instrText>
      </w:r>
      <w:r w:rsidR="00F6217A">
        <w:rPr>
          <w:lang w:val="en-US"/>
        </w:rPr>
        <w:instrText>II</w:instrText>
      </w:r>
      <w:r w:rsidR="00F6217A" w:rsidRPr="00F6217A">
        <w:instrText xml:space="preserve"> </w:instrText>
      </w:r>
      <w:r w:rsidR="00F6217A">
        <w:rPr>
          <w:lang w:val="en-US"/>
        </w:rPr>
        <w:instrText>bulky</w:instrText>
      </w:r>
      <w:r w:rsidR="00F6217A" w:rsidRPr="00F6217A">
        <w:instrText xml:space="preserve"> </w:instrText>
      </w:r>
      <w:r w:rsidR="00F6217A">
        <w:rPr>
          <w:lang w:val="en-US"/>
        </w:rPr>
        <w:instrText>disease</w:instrText>
      </w:r>
      <w:r w:rsidR="00F6217A" w:rsidRPr="00F6217A">
        <w:instrText xml:space="preserve"> </w:instrText>
      </w:r>
      <w:r w:rsidR="00F6217A">
        <w:rPr>
          <w:lang w:val="en-US"/>
        </w:rPr>
        <w:instrText>considered</w:instrText>
      </w:r>
      <w:r w:rsidR="00F6217A" w:rsidRPr="00F6217A">
        <w:instrText xml:space="preserve"> </w:instrText>
      </w:r>
      <w:r w:rsidR="00F6217A">
        <w:rPr>
          <w:lang w:val="en-US"/>
        </w:rPr>
        <w:instrText>as</w:instrText>
      </w:r>
      <w:r w:rsidR="00F6217A" w:rsidRPr="00F6217A">
        <w:instrText xml:space="preserve"> </w:instrText>
      </w:r>
      <w:r w:rsidR="00F6217A">
        <w:rPr>
          <w:lang w:val="en-US"/>
        </w:rPr>
        <w:instrText>limited</w:instrText>
      </w:r>
      <w:r w:rsidR="00F6217A" w:rsidRPr="00F6217A">
        <w:instrText xml:space="preserve"> </w:instrText>
      </w:r>
      <w:r w:rsidR="00F6217A">
        <w:rPr>
          <w:lang w:val="en-US"/>
        </w:rPr>
        <w:instrText>or</w:instrText>
      </w:r>
      <w:r w:rsidR="00F6217A" w:rsidRPr="00F6217A">
        <w:instrText xml:space="preserve"> </w:instrText>
      </w:r>
      <w:r w:rsidR="00F6217A">
        <w:rPr>
          <w:lang w:val="en-US"/>
        </w:rPr>
        <w:instrText>advanced</w:instrText>
      </w:r>
      <w:r w:rsidR="00F6217A" w:rsidRPr="00F6217A">
        <w:instrText xml:space="preserve"> </w:instrText>
      </w:r>
      <w:r w:rsidR="00F6217A">
        <w:rPr>
          <w:lang w:val="en-US"/>
        </w:rPr>
        <w:instrText>disease</w:instrText>
      </w:r>
      <w:r w:rsidR="00F6217A" w:rsidRPr="00F6217A">
        <w:instrText xml:space="preserve"> </w:instrText>
      </w:r>
      <w:r w:rsidR="00F6217A">
        <w:rPr>
          <w:lang w:val="en-US"/>
        </w:rPr>
        <w:instrText>based</w:instrText>
      </w:r>
      <w:r w:rsidR="00F6217A" w:rsidRPr="00F6217A">
        <w:instrText xml:space="preserve"> </w:instrText>
      </w:r>
      <w:r w:rsidR="00F6217A">
        <w:rPr>
          <w:lang w:val="en-US"/>
        </w:rPr>
        <w:instrText>on</w:instrText>
      </w:r>
      <w:r w:rsidR="00F6217A" w:rsidRPr="00F6217A">
        <w:instrText xml:space="preserve"> </w:instrText>
      </w:r>
      <w:r w:rsidR="00F6217A">
        <w:rPr>
          <w:lang w:val="en-US"/>
        </w:rPr>
        <w:instrText>histology</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number</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prognostic</w:instrText>
      </w:r>
      <w:r w:rsidR="00F6217A" w:rsidRPr="00F6217A">
        <w:instrText xml:space="preserve"> </w:instrText>
      </w:r>
      <w:r w:rsidR="00F6217A">
        <w:rPr>
          <w:lang w:val="en-US"/>
        </w:rPr>
        <w:instrText>factors</w:instrText>
      </w:r>
      <w:r w:rsidR="00F6217A" w:rsidRPr="00F6217A">
        <w:instrText xml:space="preserve">. </w:instrText>
      </w:r>
      <w:r w:rsidR="00F6217A">
        <w:rPr>
          <w:lang w:val="en-US"/>
        </w:rPr>
        <w:instrText>PET</w:instrText>
      </w:r>
      <w:r w:rsidR="00F6217A" w:rsidRPr="00F6217A">
        <w:instrText>-</w:instrText>
      </w:r>
      <w:r w:rsidR="00F6217A">
        <w:rPr>
          <w:lang w:val="en-US"/>
        </w:rPr>
        <w:instrText>CT</w:instrText>
      </w:r>
      <w:r w:rsidR="00F6217A" w:rsidRPr="00F6217A">
        <w:instrText xml:space="preserve"> </w:instrText>
      </w:r>
      <w:r w:rsidR="00F6217A">
        <w:rPr>
          <w:lang w:val="en-US"/>
        </w:rPr>
        <w:instrText>will</w:instrText>
      </w:r>
      <w:r w:rsidR="00F6217A" w:rsidRPr="00F6217A">
        <w:instrText xml:space="preserve"> </w:instrText>
      </w:r>
      <w:r w:rsidR="00F6217A">
        <w:rPr>
          <w:lang w:val="en-US"/>
        </w:rPr>
        <w:instrText>be</w:instrText>
      </w:r>
      <w:r w:rsidR="00F6217A" w:rsidRPr="00F6217A">
        <w:instrText xml:space="preserve"> </w:instrText>
      </w:r>
      <w:r w:rsidR="00F6217A">
        <w:rPr>
          <w:lang w:val="en-US"/>
        </w:rPr>
        <w:instrText>used</w:instrText>
      </w:r>
      <w:r w:rsidR="00F6217A" w:rsidRPr="00F6217A">
        <w:instrText xml:space="preserve"> </w:instrText>
      </w:r>
      <w:r w:rsidR="00F6217A">
        <w:rPr>
          <w:lang w:val="en-US"/>
        </w:rPr>
        <w:instrText>to</w:instrText>
      </w:r>
      <w:r w:rsidR="00F6217A" w:rsidRPr="00F6217A">
        <w:instrText xml:space="preserve"> </w:instrText>
      </w:r>
      <w:r w:rsidR="00F6217A">
        <w:rPr>
          <w:lang w:val="en-US"/>
        </w:rPr>
        <w:instrText>assess</w:instrText>
      </w:r>
      <w:r w:rsidR="00F6217A" w:rsidRPr="00F6217A">
        <w:instrText xml:space="preserve"> </w:instrText>
      </w:r>
      <w:r w:rsidR="00F6217A">
        <w:rPr>
          <w:lang w:val="en-US"/>
        </w:rPr>
        <w:instrText>response</w:instrText>
      </w:r>
      <w:r w:rsidR="00F6217A" w:rsidRPr="00F6217A">
        <w:instrText xml:space="preserve"> </w:instrText>
      </w:r>
      <w:r w:rsidR="00F6217A">
        <w:rPr>
          <w:lang w:val="en-US"/>
        </w:rPr>
        <w:instrText>in</w:instrText>
      </w:r>
      <w:r w:rsidR="00F6217A" w:rsidRPr="00F6217A">
        <w:instrText xml:space="preserve"> </w:instrText>
      </w:r>
      <w:r w:rsidR="00F6217A">
        <w:rPr>
          <w:lang w:val="en-US"/>
        </w:rPr>
        <w:instrText>FDG</w:instrText>
      </w:r>
      <w:r w:rsidR="00F6217A" w:rsidRPr="00F6217A">
        <w:instrText>-</w:instrText>
      </w:r>
      <w:r w:rsidR="00F6217A">
        <w:rPr>
          <w:lang w:val="en-US"/>
        </w:rPr>
        <w:instrText>avid</w:instrText>
      </w:r>
      <w:r w:rsidR="00F6217A" w:rsidRPr="00F6217A">
        <w:instrText xml:space="preserve"> </w:instrText>
      </w:r>
      <w:r w:rsidR="00F6217A">
        <w:rPr>
          <w:lang w:val="en-US"/>
        </w:rPr>
        <w:instrText>histologies</w:instrText>
      </w:r>
      <w:r w:rsidR="00F6217A" w:rsidRPr="00F6217A">
        <w:instrText xml:space="preserve"> </w:instrText>
      </w:r>
      <w:r w:rsidR="00F6217A">
        <w:rPr>
          <w:lang w:val="en-US"/>
        </w:rPr>
        <w:instrText>using</w:instrText>
      </w:r>
      <w:r w:rsidR="00F6217A" w:rsidRPr="00F6217A">
        <w:instrText xml:space="preserve"> </w:instrText>
      </w:r>
      <w:r w:rsidR="00F6217A">
        <w:rPr>
          <w:lang w:val="en-US"/>
        </w:rPr>
        <w:instrText>the</w:instrText>
      </w:r>
      <w:r w:rsidR="00F6217A" w:rsidRPr="00F6217A">
        <w:instrText xml:space="preserve"> 5-</w:instrText>
      </w:r>
      <w:r w:rsidR="00F6217A">
        <w:rPr>
          <w:lang w:val="en-US"/>
        </w:rPr>
        <w:instrText>point</w:instrText>
      </w:r>
      <w:r w:rsidR="00F6217A" w:rsidRPr="00F6217A">
        <w:instrText xml:space="preserve"> </w:instrText>
      </w:r>
      <w:r w:rsidR="00F6217A">
        <w:rPr>
          <w:lang w:val="en-US"/>
        </w:rPr>
        <w:instrText>scale</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product</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perpendicular</w:instrText>
      </w:r>
      <w:r w:rsidR="00F6217A" w:rsidRPr="00F6217A">
        <w:instrText xml:space="preserve"> </w:instrText>
      </w:r>
      <w:r w:rsidR="00F6217A">
        <w:rPr>
          <w:lang w:val="en-US"/>
        </w:rPr>
        <w:instrText>diameters</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a</w:instrText>
      </w:r>
      <w:r w:rsidR="00F6217A" w:rsidRPr="00F6217A">
        <w:instrText xml:space="preserve"> </w:instrText>
      </w:r>
      <w:r w:rsidR="00F6217A">
        <w:rPr>
          <w:lang w:val="en-US"/>
        </w:rPr>
        <w:instrText>single</w:instrText>
      </w:r>
      <w:r w:rsidR="00F6217A" w:rsidRPr="00F6217A">
        <w:instrText xml:space="preserve"> </w:instrText>
      </w:r>
      <w:r w:rsidR="00F6217A">
        <w:rPr>
          <w:lang w:val="en-US"/>
        </w:rPr>
        <w:instrText>node</w:instrText>
      </w:r>
      <w:r w:rsidR="00F6217A" w:rsidRPr="00F6217A">
        <w:instrText xml:space="preserve"> </w:instrText>
      </w:r>
      <w:r w:rsidR="00F6217A">
        <w:rPr>
          <w:lang w:val="en-US"/>
        </w:rPr>
        <w:instrText>can</w:instrText>
      </w:r>
      <w:r w:rsidR="00F6217A" w:rsidRPr="00F6217A">
        <w:instrText xml:space="preserve"> </w:instrText>
      </w:r>
      <w:r w:rsidR="00F6217A">
        <w:rPr>
          <w:lang w:val="en-US"/>
        </w:rPr>
        <w:instrText>be</w:instrText>
      </w:r>
      <w:r w:rsidR="00F6217A" w:rsidRPr="00F6217A">
        <w:instrText xml:space="preserve"> </w:instrText>
      </w:r>
      <w:r w:rsidR="00F6217A">
        <w:rPr>
          <w:lang w:val="en-US"/>
        </w:rPr>
        <w:instrText>used</w:instrText>
      </w:r>
      <w:r w:rsidR="00F6217A" w:rsidRPr="00F6217A">
        <w:instrText xml:space="preserve"> </w:instrText>
      </w:r>
      <w:r w:rsidR="00F6217A">
        <w:rPr>
          <w:lang w:val="en-US"/>
        </w:rPr>
        <w:instrText>to</w:instrText>
      </w:r>
      <w:r w:rsidR="00F6217A" w:rsidRPr="00F6217A">
        <w:instrText xml:space="preserve"> </w:instrText>
      </w:r>
      <w:r w:rsidR="00F6217A">
        <w:rPr>
          <w:lang w:val="en-US"/>
        </w:rPr>
        <w:instrText>identify</w:instrText>
      </w:r>
      <w:r w:rsidR="00F6217A" w:rsidRPr="00F6217A">
        <w:instrText xml:space="preserve"> </w:instrText>
      </w:r>
      <w:r w:rsidR="00F6217A">
        <w:rPr>
          <w:lang w:val="en-US"/>
        </w:rPr>
        <w:instrText>progressive</w:instrText>
      </w:r>
      <w:r w:rsidR="00F6217A" w:rsidRPr="00F6217A">
        <w:instrText xml:space="preserve"> </w:instrText>
      </w:r>
      <w:r w:rsidR="00F6217A">
        <w:rPr>
          <w:lang w:val="en-US"/>
        </w:rPr>
        <w:instrText>disease</w:instrText>
      </w:r>
      <w:r w:rsidR="00F6217A" w:rsidRPr="00F6217A">
        <w:instrText xml:space="preserve">. </w:instrText>
      </w:r>
      <w:r w:rsidR="00F6217A">
        <w:rPr>
          <w:lang w:val="en-US"/>
        </w:rPr>
        <w:instrText>Routine</w:instrText>
      </w:r>
      <w:r w:rsidR="00F6217A" w:rsidRPr="00F6217A">
        <w:instrText xml:space="preserve"> </w:instrText>
      </w:r>
      <w:r w:rsidR="00F6217A">
        <w:rPr>
          <w:lang w:val="en-US"/>
        </w:rPr>
        <w:instrText>surveillance</w:instrText>
      </w:r>
      <w:r w:rsidR="00F6217A" w:rsidRPr="00F6217A">
        <w:instrText xml:space="preserve"> </w:instrText>
      </w:r>
      <w:r w:rsidR="00F6217A">
        <w:rPr>
          <w:lang w:val="en-US"/>
        </w:rPr>
        <w:instrText>scans</w:instrText>
      </w:r>
      <w:r w:rsidR="00F6217A" w:rsidRPr="00F6217A">
        <w:instrText xml:space="preserve"> </w:instrText>
      </w:r>
      <w:r w:rsidR="00F6217A">
        <w:rPr>
          <w:lang w:val="en-US"/>
        </w:rPr>
        <w:instrText>are</w:instrText>
      </w:r>
      <w:r w:rsidR="00F6217A" w:rsidRPr="00F6217A">
        <w:instrText xml:space="preserve"> </w:instrText>
      </w:r>
      <w:r w:rsidR="00F6217A">
        <w:rPr>
          <w:lang w:val="en-US"/>
        </w:rPr>
        <w:instrText>discouraged</w:instrText>
      </w:r>
      <w:r w:rsidR="00F6217A" w:rsidRPr="00F6217A">
        <w:instrText xml:space="preserve">. </w:instrText>
      </w:r>
      <w:r w:rsidR="00F6217A">
        <w:rPr>
          <w:lang w:val="en-US"/>
        </w:rPr>
        <w:instrText>These</w:instrText>
      </w:r>
      <w:r w:rsidR="00F6217A" w:rsidRPr="00F6217A">
        <w:instrText xml:space="preserve"> </w:instrText>
      </w:r>
      <w:r w:rsidR="00F6217A">
        <w:rPr>
          <w:lang w:val="en-US"/>
        </w:rPr>
        <w:instrText>recommendations</w:instrText>
      </w:r>
      <w:r w:rsidR="00F6217A" w:rsidRPr="00F6217A">
        <w:instrText xml:space="preserve"> </w:instrText>
      </w:r>
      <w:r w:rsidR="00F6217A">
        <w:rPr>
          <w:lang w:val="en-US"/>
        </w:rPr>
        <w:instrText>should</w:instrText>
      </w:r>
      <w:r w:rsidR="00F6217A" w:rsidRPr="00F6217A">
        <w:instrText xml:space="preserve"> </w:instrText>
      </w:r>
      <w:r w:rsidR="00F6217A">
        <w:rPr>
          <w:lang w:val="en-US"/>
        </w:rPr>
        <w:instrText>improve</w:instrText>
      </w:r>
      <w:r w:rsidR="00F6217A" w:rsidRPr="00F6217A">
        <w:instrText xml:space="preserve"> </w:instrText>
      </w:r>
      <w:r w:rsidR="00F6217A">
        <w:rPr>
          <w:lang w:val="en-US"/>
        </w:rPr>
        <w:instrText>evaluation</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patients</w:instrText>
      </w:r>
      <w:r w:rsidR="00F6217A" w:rsidRPr="00F6217A">
        <w:instrText xml:space="preserve"> </w:instrText>
      </w:r>
      <w:r w:rsidR="00F6217A">
        <w:rPr>
          <w:lang w:val="en-US"/>
        </w:rPr>
        <w:instrText>with</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enhance</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ability</w:instrText>
      </w:r>
      <w:r w:rsidR="00F6217A" w:rsidRPr="00F6217A">
        <w:instrText xml:space="preserve"> </w:instrText>
      </w:r>
      <w:r w:rsidR="00F6217A">
        <w:rPr>
          <w:lang w:val="en-US"/>
        </w:rPr>
        <w:instrText>to</w:instrText>
      </w:r>
      <w:r w:rsidR="00F6217A" w:rsidRPr="00F6217A">
        <w:instrText xml:space="preserve"> </w:instrText>
      </w:r>
      <w:r w:rsidR="00F6217A">
        <w:rPr>
          <w:lang w:val="en-US"/>
        </w:rPr>
        <w:instrText>compare</w:instrText>
      </w:r>
      <w:r w:rsidR="00F6217A" w:rsidRPr="00F6217A">
        <w:instrText xml:space="preserve"> </w:instrText>
      </w:r>
      <w:r w:rsidR="00F6217A">
        <w:rPr>
          <w:lang w:val="en-US"/>
        </w:rPr>
        <w:instrText>outcomes</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clinical</w:instrText>
      </w:r>
      <w:r w:rsidR="00F6217A" w:rsidRPr="00F6217A">
        <w:instrText xml:space="preserve"> </w:instrText>
      </w:r>
      <w:r w:rsidR="00F6217A">
        <w:rPr>
          <w:lang w:val="en-US"/>
        </w:rPr>
        <w:instrText>trials</w:instrText>
      </w:r>
      <w:r w:rsidR="00F6217A" w:rsidRPr="00F6217A">
        <w:instrText>.","</w:instrText>
      </w:r>
      <w:r w:rsidR="00F6217A">
        <w:rPr>
          <w:lang w:val="en-US"/>
        </w:rPr>
        <w:instrText>author</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Cheson</w:instrText>
      </w:r>
      <w:r w:rsidR="00F6217A" w:rsidRPr="00F6217A">
        <w:instrText>","</w:instrText>
      </w:r>
      <w:r w:rsidR="00F6217A">
        <w:rPr>
          <w:lang w:val="en-US"/>
        </w:rPr>
        <w:instrText>given</w:instrText>
      </w:r>
      <w:r w:rsidR="00F6217A" w:rsidRPr="00F6217A">
        <w:instrText>":"</w:instrText>
      </w:r>
      <w:r w:rsidR="00F6217A">
        <w:rPr>
          <w:lang w:val="en-US"/>
        </w:rPr>
        <w:instrText>Bruce</w:instrText>
      </w:r>
      <w:r w:rsidR="00F6217A" w:rsidRPr="00F6217A">
        <w:instrText xml:space="preserve"> </w:instrText>
      </w:r>
      <w:r w:rsidR="00F6217A">
        <w:rPr>
          <w:lang w:val="en-US"/>
        </w:rPr>
        <w:instrText>D</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Fisher</w:instrText>
      </w:r>
      <w:r w:rsidR="00F6217A" w:rsidRPr="00F6217A">
        <w:instrText>","</w:instrText>
      </w:r>
      <w:r w:rsidR="00F6217A">
        <w:rPr>
          <w:lang w:val="en-US"/>
        </w:rPr>
        <w:instrText>given</w:instrText>
      </w:r>
      <w:r w:rsidR="00F6217A" w:rsidRPr="00F6217A">
        <w:instrText>":"</w:instrText>
      </w:r>
      <w:r w:rsidR="00F6217A">
        <w:rPr>
          <w:lang w:val="en-US"/>
        </w:rPr>
        <w:instrText>Richard</w:instrText>
      </w:r>
      <w:r w:rsidR="00F6217A" w:rsidRPr="00F6217A">
        <w:instrText xml:space="preserve"> </w:instrText>
      </w:r>
      <w:r w:rsidR="00F6217A">
        <w:rPr>
          <w:lang w:val="en-US"/>
        </w:rPr>
        <w:instrText>I</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Barrington</w:instrText>
      </w:r>
      <w:r w:rsidR="00F6217A" w:rsidRPr="00F6217A">
        <w:instrText>","</w:instrText>
      </w:r>
      <w:r w:rsidR="00F6217A">
        <w:rPr>
          <w:lang w:val="en-US"/>
        </w:rPr>
        <w:instrText>given</w:instrText>
      </w:r>
      <w:r w:rsidR="00F6217A" w:rsidRPr="00F6217A">
        <w:instrText>":"</w:instrText>
      </w:r>
      <w:r w:rsidR="00F6217A">
        <w:rPr>
          <w:lang w:val="en-US"/>
        </w:rPr>
        <w:instrText>Sally</w:instrText>
      </w:r>
      <w:r w:rsidR="00F6217A" w:rsidRPr="00F6217A">
        <w:instrText xml:space="preserve"> </w:instrText>
      </w:r>
      <w:r w:rsidR="00F6217A">
        <w:rPr>
          <w:lang w:val="en-US"/>
        </w:rPr>
        <w:instrText>F</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Cavalli</w:instrText>
      </w:r>
      <w:r w:rsidR="00F6217A" w:rsidRPr="00F6217A">
        <w:instrText>","</w:instrText>
      </w:r>
      <w:r w:rsidR="00F6217A">
        <w:rPr>
          <w:lang w:val="en-US"/>
        </w:rPr>
        <w:instrText>given</w:instrText>
      </w:r>
      <w:r w:rsidR="00F6217A" w:rsidRPr="00F6217A">
        <w:instrText>":"</w:instrText>
      </w:r>
      <w:r w:rsidR="00F6217A">
        <w:rPr>
          <w:lang w:val="en-US"/>
        </w:rPr>
        <w:instrText>Franco</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Schwartz</w:instrText>
      </w:r>
      <w:r w:rsidR="00F6217A" w:rsidRPr="00F6217A">
        <w:instrText>","</w:instrText>
      </w:r>
      <w:r w:rsidR="00F6217A">
        <w:rPr>
          <w:lang w:val="en-US"/>
        </w:rPr>
        <w:instrText>given</w:instrText>
      </w:r>
      <w:r w:rsidR="00F6217A" w:rsidRPr="00F6217A">
        <w:instrText>":"</w:instrText>
      </w:r>
      <w:r w:rsidR="00F6217A">
        <w:rPr>
          <w:lang w:val="en-US"/>
        </w:rPr>
        <w:instrText>Lawrence</w:instrText>
      </w:r>
      <w:r w:rsidR="00F6217A" w:rsidRPr="00F6217A">
        <w:instrText xml:space="preserve"> </w:instrText>
      </w:r>
      <w:r w:rsidR="00F6217A">
        <w:rPr>
          <w:lang w:val="en-US"/>
        </w:rPr>
        <w:instrText>H</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Zucca</w:instrText>
      </w:r>
      <w:r w:rsidR="00F6217A" w:rsidRPr="00F6217A">
        <w:instrText>","</w:instrText>
      </w:r>
      <w:r w:rsidR="00F6217A">
        <w:rPr>
          <w:lang w:val="en-US"/>
        </w:rPr>
        <w:instrText>given</w:instrText>
      </w:r>
      <w:r w:rsidR="00F6217A" w:rsidRPr="00F6217A">
        <w:instrText>":"</w:instrText>
      </w:r>
      <w:r w:rsidR="00F6217A">
        <w:rPr>
          <w:lang w:val="en-US"/>
        </w:rPr>
        <w:instrText>Emanuele</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family</w:instrText>
      </w:r>
      <w:r w:rsidR="00F6217A" w:rsidRPr="00F6217A">
        <w:instrText>":"</w:instrText>
      </w:r>
      <w:r w:rsidR="00F6217A">
        <w:rPr>
          <w:lang w:val="en-US"/>
        </w:rPr>
        <w:instrText>Lister</w:instrText>
      </w:r>
      <w:r w:rsidR="00F6217A" w:rsidRPr="00F6217A">
        <w:instrText>","</w:instrText>
      </w:r>
      <w:r w:rsidR="00F6217A">
        <w:rPr>
          <w:lang w:val="en-US"/>
        </w:rPr>
        <w:instrText>given</w:instrText>
      </w:r>
      <w:r w:rsidR="00F6217A" w:rsidRPr="00F6217A">
        <w:instrText>":"</w:instrText>
      </w:r>
      <w:r w:rsidR="00F6217A">
        <w:rPr>
          <w:lang w:val="en-US"/>
        </w:rPr>
        <w:instrText>T</w:instrText>
      </w:r>
      <w:r w:rsidR="00F6217A" w:rsidRPr="00F6217A">
        <w:instrText xml:space="preserve">. </w:instrText>
      </w:r>
      <w:r w:rsidR="00F6217A">
        <w:rPr>
          <w:lang w:val="en-US"/>
        </w:rPr>
        <w:instrText>Andrew</w:instrText>
      </w:r>
      <w:r w:rsidR="00F6217A" w:rsidRPr="00F6217A">
        <w:instrText>","</w:instrText>
      </w:r>
      <w:r w:rsidR="00F6217A">
        <w:rPr>
          <w:lang w:val="en-US"/>
        </w:rPr>
        <w:instrText>non</w:instrText>
      </w:r>
      <w:r w:rsidR="00F6217A" w:rsidRPr="00F6217A">
        <w:instrText>-</w:instrText>
      </w:r>
      <w:r w:rsidR="00F6217A">
        <w:rPr>
          <w:lang w:val="en-US"/>
        </w:rPr>
        <w:instrText>dropping</w:instrText>
      </w:r>
      <w:r w:rsidR="00F6217A" w:rsidRPr="00F6217A">
        <w:instrText>-</w:instrText>
      </w:r>
      <w:r w:rsidR="00F6217A">
        <w:rPr>
          <w:lang w:val="en-US"/>
        </w:rPr>
        <w:instrText>particle</w:instrText>
      </w:r>
      <w:r w:rsidR="00F6217A" w:rsidRPr="00F6217A">
        <w:instrText>":"","</w:instrText>
      </w:r>
      <w:r w:rsidR="00F6217A">
        <w:rPr>
          <w:lang w:val="en-US"/>
        </w:rPr>
        <w:instrText>parse</w:instrText>
      </w:r>
      <w:r w:rsidR="00F6217A" w:rsidRPr="00F6217A">
        <w:instrText>-</w:instrText>
      </w:r>
      <w:r w:rsidR="00F6217A">
        <w:rPr>
          <w:lang w:val="en-US"/>
        </w:rPr>
        <w:instrText>names</w:instrText>
      </w:r>
      <w:r w:rsidR="00F6217A" w:rsidRPr="00F6217A">
        <w:instrText>":</w:instrText>
      </w:r>
      <w:r w:rsidR="00F6217A">
        <w:rPr>
          <w:lang w:val="en-US"/>
        </w:rPr>
        <w:instrText>false</w:instrText>
      </w:r>
      <w:r w:rsidR="00F6217A" w:rsidRPr="00F6217A">
        <w:instrText>,"</w:instrText>
      </w:r>
      <w:r w:rsidR="00F6217A">
        <w:rPr>
          <w:lang w:val="en-US"/>
        </w:rPr>
        <w:instrText>suffix</w:instrText>
      </w:r>
      <w:r w:rsidR="00F6217A" w:rsidRPr="00F6217A">
        <w:instrText>":""}],"</w:instrText>
      </w:r>
      <w:r w:rsidR="00F6217A">
        <w:rPr>
          <w:lang w:val="en-US"/>
        </w:rPr>
        <w:instrText>container</w:instrText>
      </w:r>
      <w:r w:rsidR="00F6217A" w:rsidRPr="00F6217A">
        <w:instrText>-</w:instrText>
      </w:r>
      <w:r w:rsidR="00F6217A">
        <w:rPr>
          <w:lang w:val="en-US"/>
        </w:rPr>
        <w:instrText>title</w:instrText>
      </w:r>
      <w:r w:rsidR="00F6217A" w:rsidRPr="00F6217A">
        <w:instrText>":"</w:instrText>
      </w:r>
      <w:r w:rsidR="00F6217A">
        <w:rPr>
          <w:lang w:val="en-US"/>
        </w:rPr>
        <w:instrText>Journal</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Clinical</w:instrText>
      </w:r>
      <w:r w:rsidR="00F6217A" w:rsidRPr="00F6217A">
        <w:instrText xml:space="preserve"> </w:instrText>
      </w:r>
      <w:r w:rsidR="00F6217A">
        <w:rPr>
          <w:lang w:val="en-US"/>
        </w:rPr>
        <w:instrText>Oncology</w:instrText>
      </w:r>
      <w:r w:rsidR="00F6217A" w:rsidRPr="00F6217A">
        <w:instrText>","</w:instrText>
      </w:r>
      <w:r w:rsidR="00F6217A">
        <w:rPr>
          <w:lang w:val="en-US"/>
        </w:rPr>
        <w:instrText>id</w:instrText>
      </w:r>
      <w:r w:rsidR="00F6217A" w:rsidRPr="00F6217A">
        <w:instrText>":"</w:instrText>
      </w:r>
      <w:r w:rsidR="00F6217A">
        <w:rPr>
          <w:lang w:val="en-US"/>
        </w:rPr>
        <w:instrText>ITEM</w:instrText>
      </w:r>
      <w:r w:rsidR="00F6217A" w:rsidRPr="00F6217A">
        <w:instrText>-1","</w:instrText>
      </w:r>
      <w:r w:rsidR="00F6217A">
        <w:rPr>
          <w:lang w:val="en-US"/>
        </w:rPr>
        <w:instrText>issue</w:instrText>
      </w:r>
      <w:r w:rsidR="00F6217A" w:rsidRPr="00F6217A">
        <w:instrText>":"27","</w:instrText>
      </w:r>
      <w:r w:rsidR="00F6217A">
        <w:rPr>
          <w:lang w:val="en-US"/>
        </w:rPr>
        <w:instrText>issued</w:instrText>
      </w:r>
      <w:r w:rsidR="00F6217A" w:rsidRPr="00F6217A">
        <w:instrText>":{"</w:instrText>
      </w:r>
      <w:r w:rsidR="00F6217A">
        <w:rPr>
          <w:lang w:val="en-US"/>
        </w:rPr>
        <w:instrText>date</w:instrText>
      </w:r>
      <w:r w:rsidR="00F6217A" w:rsidRPr="00F6217A">
        <w:instrText>-</w:instrText>
      </w:r>
      <w:r w:rsidR="00F6217A">
        <w:rPr>
          <w:lang w:val="en-US"/>
        </w:rPr>
        <w:instrText>parts</w:instrText>
      </w:r>
      <w:r w:rsidR="00F6217A" w:rsidRPr="00F6217A">
        <w:instrText>":[["2014","9","20"]]},"</w:instrText>
      </w:r>
      <w:r w:rsidR="00F6217A">
        <w:rPr>
          <w:lang w:val="en-US"/>
        </w:rPr>
        <w:instrText>page</w:instrText>
      </w:r>
      <w:r w:rsidR="00F6217A" w:rsidRPr="00F6217A">
        <w:instrText>":"3059-3067","</w:instrText>
      </w:r>
      <w:r w:rsidR="00F6217A">
        <w:rPr>
          <w:lang w:val="en-US"/>
        </w:rPr>
        <w:instrText>publisher</w:instrText>
      </w:r>
      <w:r w:rsidR="00F6217A" w:rsidRPr="00F6217A">
        <w:instrText>":"</w:instrText>
      </w:r>
      <w:r w:rsidR="00F6217A">
        <w:rPr>
          <w:lang w:val="en-US"/>
        </w:rPr>
        <w:instrText>American</w:instrText>
      </w:r>
      <w:r w:rsidR="00F6217A" w:rsidRPr="00F6217A">
        <w:instrText xml:space="preserve"> </w:instrText>
      </w:r>
      <w:r w:rsidR="00F6217A">
        <w:rPr>
          <w:lang w:val="en-US"/>
        </w:rPr>
        <w:instrText>Society</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Clinical</w:instrText>
      </w:r>
      <w:r w:rsidR="00F6217A" w:rsidRPr="00F6217A">
        <w:instrText xml:space="preserve"> </w:instrText>
      </w:r>
      <w:r w:rsidR="00F6217A">
        <w:rPr>
          <w:lang w:val="en-US"/>
        </w:rPr>
        <w:instrText>Oncology</w:instrText>
      </w:r>
      <w:r w:rsidR="00F6217A" w:rsidRPr="00F6217A">
        <w:instrText>","</w:instrText>
      </w:r>
      <w:r w:rsidR="00F6217A">
        <w:rPr>
          <w:lang w:val="en-US"/>
        </w:rPr>
        <w:instrText>title</w:instrText>
      </w:r>
      <w:r w:rsidR="00F6217A" w:rsidRPr="00F6217A">
        <w:instrText>":"</w:instrText>
      </w:r>
      <w:r w:rsidR="00F6217A">
        <w:rPr>
          <w:lang w:val="en-US"/>
        </w:rPr>
        <w:instrText>Recommendations</w:instrText>
      </w:r>
      <w:r w:rsidR="00F6217A" w:rsidRPr="00F6217A">
        <w:instrText xml:space="preserve"> </w:instrText>
      </w:r>
      <w:r w:rsidR="00F6217A">
        <w:rPr>
          <w:lang w:val="en-US"/>
        </w:rPr>
        <w:instrText>for</w:instrText>
      </w:r>
      <w:r w:rsidR="00F6217A" w:rsidRPr="00F6217A">
        <w:instrText xml:space="preserve"> </w:instrText>
      </w:r>
      <w:r w:rsidR="00F6217A">
        <w:rPr>
          <w:lang w:val="en-US"/>
        </w:rPr>
        <w:instrText>initial</w:instrText>
      </w:r>
      <w:r w:rsidR="00F6217A" w:rsidRPr="00F6217A">
        <w:instrText xml:space="preserve"> </w:instrText>
      </w:r>
      <w:r w:rsidR="00F6217A">
        <w:rPr>
          <w:lang w:val="en-US"/>
        </w:rPr>
        <w:instrText>evaluation</w:instrText>
      </w:r>
      <w:r w:rsidR="00F6217A" w:rsidRPr="00F6217A">
        <w:instrText xml:space="preserve">, </w:instrText>
      </w:r>
      <w:r w:rsidR="00F6217A">
        <w:rPr>
          <w:lang w:val="en-US"/>
        </w:rPr>
        <w:instrText>staging</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response</w:instrText>
      </w:r>
      <w:r w:rsidR="00F6217A" w:rsidRPr="00F6217A">
        <w:instrText xml:space="preserve"> </w:instrText>
      </w:r>
      <w:r w:rsidR="00F6217A">
        <w:rPr>
          <w:lang w:val="en-US"/>
        </w:rPr>
        <w:instrText>assessment</w:instrText>
      </w:r>
      <w:r w:rsidR="00F6217A" w:rsidRPr="00F6217A">
        <w:instrText xml:space="preserve"> </w:instrText>
      </w:r>
      <w:r w:rsidR="00F6217A">
        <w:rPr>
          <w:lang w:val="en-US"/>
        </w:rPr>
        <w:instrText>of</w:instrText>
      </w:r>
      <w:r w:rsidR="00F6217A" w:rsidRPr="00F6217A">
        <w:instrText xml:space="preserve"> </w:instrText>
      </w:r>
      <w:r w:rsidR="00F6217A">
        <w:rPr>
          <w:lang w:val="en-US"/>
        </w:rPr>
        <w:instrText>hodgkin</w:instrText>
      </w:r>
      <w:r w:rsidR="00F6217A" w:rsidRPr="00F6217A">
        <w:instrText xml:space="preserve"> </w:instrText>
      </w:r>
      <w:r w:rsidR="00F6217A">
        <w:rPr>
          <w:lang w:val="en-US"/>
        </w:rPr>
        <w:instrText>and</w:instrText>
      </w:r>
      <w:r w:rsidR="00F6217A" w:rsidRPr="00F6217A">
        <w:instrText xml:space="preserve"> </w:instrText>
      </w:r>
      <w:r w:rsidR="00F6217A">
        <w:rPr>
          <w:lang w:val="en-US"/>
        </w:rPr>
        <w:instrText>non</w:instrText>
      </w:r>
      <w:r w:rsidR="00F6217A" w:rsidRPr="00F6217A">
        <w:instrText>-</w:instrText>
      </w:r>
      <w:r w:rsidR="00F6217A">
        <w:rPr>
          <w:lang w:val="en-US"/>
        </w:rPr>
        <w:instrText>hodgkin</w:instrText>
      </w:r>
      <w:r w:rsidR="00F6217A" w:rsidRPr="00F6217A">
        <w:instrText xml:space="preserve"> </w:instrText>
      </w:r>
      <w:r w:rsidR="00F6217A">
        <w:rPr>
          <w:lang w:val="en-US"/>
        </w:rPr>
        <w:instrText>lymphoma</w:instrText>
      </w:r>
      <w:r w:rsidR="00F6217A" w:rsidRPr="00F6217A">
        <w:instrText xml:space="preserve">: </w:instrText>
      </w:r>
      <w:r w:rsidR="00F6217A">
        <w:rPr>
          <w:lang w:val="en-US"/>
        </w:rPr>
        <w:instrText>The</w:instrText>
      </w:r>
      <w:r w:rsidR="00F6217A" w:rsidRPr="00F6217A">
        <w:instrText xml:space="preserve"> </w:instrText>
      </w:r>
      <w:r w:rsidR="00F6217A">
        <w:rPr>
          <w:lang w:val="en-US"/>
        </w:rPr>
        <w:instrText>lugano</w:instrText>
      </w:r>
      <w:r w:rsidR="00F6217A" w:rsidRPr="00F6217A">
        <w:instrText xml:space="preserve"> </w:instrText>
      </w:r>
      <w:r w:rsidR="00F6217A">
        <w:rPr>
          <w:lang w:val="en-US"/>
        </w:rPr>
        <w:instrText>classification</w:instrText>
      </w:r>
      <w:r w:rsidR="00F6217A" w:rsidRPr="00F6217A">
        <w:instrText>","</w:instrText>
      </w:r>
      <w:r w:rsidR="00F6217A">
        <w:rPr>
          <w:lang w:val="en-US"/>
        </w:rPr>
        <w:instrText>type</w:instrText>
      </w:r>
      <w:r w:rsidR="00F6217A" w:rsidRPr="00F6217A">
        <w:instrText>":"</w:instrText>
      </w:r>
      <w:r w:rsidR="00F6217A">
        <w:rPr>
          <w:lang w:val="en-US"/>
        </w:rPr>
        <w:instrText>article</w:instrText>
      </w:r>
      <w:r w:rsidR="00F6217A" w:rsidRPr="00F6217A">
        <w:instrText>","</w:instrText>
      </w:r>
      <w:r w:rsidR="00F6217A">
        <w:rPr>
          <w:lang w:val="en-US"/>
        </w:rPr>
        <w:instrText>volume</w:instrText>
      </w:r>
      <w:r w:rsidR="00F6217A" w:rsidRPr="00F6217A">
        <w:instrText>":"32"},"</w:instrText>
      </w:r>
      <w:r w:rsidR="00F6217A">
        <w:rPr>
          <w:lang w:val="en-US"/>
        </w:rPr>
        <w:instrText>uris</w:instrText>
      </w:r>
      <w:r w:rsidR="00F6217A" w:rsidRPr="00F6217A">
        <w:instrText>":["</w:instrText>
      </w:r>
      <w:r w:rsidR="00F6217A">
        <w:rPr>
          <w:lang w:val="en-US"/>
        </w:rPr>
        <w:instrText>http</w:instrText>
      </w:r>
      <w:r w:rsidR="00F6217A" w:rsidRPr="00F6217A">
        <w:instrText>://</w:instrText>
      </w:r>
      <w:r w:rsidR="00F6217A">
        <w:rPr>
          <w:lang w:val="en-US"/>
        </w:rPr>
        <w:instrText>www</w:instrText>
      </w:r>
      <w:r w:rsidR="00F6217A" w:rsidRPr="00F6217A">
        <w:instrText>.</w:instrText>
      </w:r>
      <w:r w:rsidR="00F6217A">
        <w:rPr>
          <w:lang w:val="en-US"/>
        </w:rPr>
        <w:instrText>mendeley</w:instrText>
      </w:r>
      <w:r w:rsidR="00F6217A" w:rsidRPr="00F6217A">
        <w:instrText>.</w:instrText>
      </w:r>
      <w:r w:rsidR="00F6217A">
        <w:rPr>
          <w:lang w:val="en-US"/>
        </w:rPr>
        <w:instrText>com</w:instrText>
      </w:r>
      <w:r w:rsidR="00F6217A" w:rsidRPr="00F6217A">
        <w:instrText>/</w:instrText>
      </w:r>
      <w:r w:rsidR="00F6217A">
        <w:rPr>
          <w:lang w:val="en-US"/>
        </w:rPr>
        <w:instrText>documents</w:instrText>
      </w:r>
      <w:r w:rsidR="00F6217A" w:rsidRPr="00F6217A">
        <w:instrText>/?</w:instrText>
      </w:r>
      <w:r w:rsidR="00F6217A">
        <w:rPr>
          <w:lang w:val="en-US"/>
        </w:rPr>
        <w:instrText>uuid</w:instrText>
      </w:r>
      <w:r w:rsidR="00F6217A" w:rsidRPr="00F6217A">
        <w:instrText>=3853</w:instrText>
      </w:r>
      <w:r w:rsidR="00F6217A">
        <w:rPr>
          <w:lang w:val="en-US"/>
        </w:rPr>
        <w:instrText>ddf</w:instrText>
      </w:r>
      <w:r w:rsidR="00F6217A" w:rsidRPr="00F6217A">
        <w:instrText>5-</w:instrText>
      </w:r>
      <w:r w:rsidR="00F6217A">
        <w:rPr>
          <w:lang w:val="en-US"/>
        </w:rPr>
        <w:instrText>ac</w:instrText>
      </w:r>
      <w:r w:rsidR="00F6217A" w:rsidRPr="00F6217A">
        <w:instrText>32-35</w:instrText>
      </w:r>
      <w:r w:rsidR="00F6217A">
        <w:rPr>
          <w:lang w:val="en-US"/>
        </w:rPr>
        <w:instrText>e</w:instrText>
      </w:r>
      <w:r w:rsidR="00F6217A" w:rsidRPr="00F6217A">
        <w:instrText>2-</w:instrText>
      </w:r>
      <w:r w:rsidR="00F6217A">
        <w:rPr>
          <w:lang w:val="en-US"/>
        </w:rPr>
        <w:instrText>bd</w:instrText>
      </w:r>
      <w:r w:rsidR="00F6217A" w:rsidRPr="00F6217A">
        <w:instrText>1</w:instrText>
      </w:r>
      <w:r w:rsidR="00F6217A">
        <w:rPr>
          <w:lang w:val="en-US"/>
        </w:rPr>
        <w:instrText>b</w:instrText>
      </w:r>
      <w:r w:rsidR="00F6217A" w:rsidRPr="00F6217A">
        <w:instrText>-3</w:instrText>
      </w:r>
      <w:r w:rsidR="00F6217A">
        <w:rPr>
          <w:lang w:val="en-US"/>
        </w:rPr>
        <w:instrText>ee</w:instrText>
      </w:r>
      <w:r w:rsidR="00F6217A" w:rsidRPr="00F6217A">
        <w:instrText>48</w:instrText>
      </w:r>
      <w:r w:rsidR="00F6217A">
        <w:rPr>
          <w:lang w:val="en-US"/>
        </w:rPr>
        <w:instrText>b</w:instrText>
      </w:r>
      <w:r w:rsidR="00F6217A" w:rsidRPr="00F6217A">
        <w:instrText>5</w:instrText>
      </w:r>
      <w:r w:rsidR="00F6217A">
        <w:rPr>
          <w:lang w:val="en-US"/>
        </w:rPr>
        <w:instrText>dd</w:instrText>
      </w:r>
      <w:r w:rsidR="00F6217A" w:rsidRPr="00F6217A">
        <w:instrText>16</w:instrText>
      </w:r>
      <w:r w:rsidR="00F6217A">
        <w:rPr>
          <w:lang w:val="en-US"/>
        </w:rPr>
        <w:instrText>a</w:instrText>
      </w:r>
      <w:r w:rsidR="00F6217A" w:rsidRPr="00F6217A">
        <w:instrText>"]}],"</w:instrText>
      </w:r>
      <w:r w:rsidR="00F6217A">
        <w:rPr>
          <w:lang w:val="en-US"/>
        </w:rPr>
        <w:instrText>mendeley</w:instrText>
      </w:r>
      <w:r w:rsidR="00F6217A" w:rsidRPr="00F6217A">
        <w:instrText>":{"</w:instrText>
      </w:r>
      <w:r w:rsidR="00F6217A">
        <w:rPr>
          <w:lang w:val="en-US"/>
        </w:rPr>
        <w:instrText>formattedCitation</w:instrText>
      </w:r>
      <w:r w:rsidR="00F6217A" w:rsidRPr="00F6217A">
        <w:instrText>":"[32]","</w:instrText>
      </w:r>
      <w:r w:rsidR="00F6217A">
        <w:rPr>
          <w:lang w:val="en-US"/>
        </w:rPr>
        <w:instrText>plainTextFormattedCitation</w:instrText>
      </w:r>
      <w:r w:rsidR="00F6217A" w:rsidRPr="00F6217A">
        <w:instrText>":"[32]","</w:instrText>
      </w:r>
      <w:r w:rsidR="00F6217A">
        <w:rPr>
          <w:lang w:val="en-US"/>
        </w:rPr>
        <w:instrText>previouslyFormattedCitation</w:instrText>
      </w:r>
      <w:r w:rsidR="00F6217A" w:rsidRPr="00F6217A">
        <w:instrText>":"[32]"},"</w:instrText>
      </w:r>
      <w:r w:rsidR="00F6217A">
        <w:rPr>
          <w:lang w:val="en-US"/>
        </w:rPr>
        <w:instrText>properties</w:instrText>
      </w:r>
      <w:r w:rsidR="00F6217A" w:rsidRPr="00F6217A">
        <w:instrText>":{"</w:instrText>
      </w:r>
      <w:r w:rsidR="00F6217A">
        <w:rPr>
          <w:lang w:val="en-US"/>
        </w:rPr>
        <w:instrText>noteIndex</w:instrText>
      </w:r>
      <w:r w:rsidR="00F6217A" w:rsidRPr="00F6217A">
        <w:instrText>":0},"</w:instrText>
      </w:r>
      <w:r w:rsidR="00F6217A">
        <w:rPr>
          <w:lang w:val="en-US"/>
        </w:rPr>
        <w:instrText>schema</w:instrText>
      </w:r>
      <w:r w:rsidR="00F6217A" w:rsidRPr="00F6217A">
        <w:instrText>":"</w:instrText>
      </w:r>
      <w:r w:rsidR="00F6217A">
        <w:rPr>
          <w:lang w:val="en-US"/>
        </w:rPr>
        <w:instrText>https</w:instrText>
      </w:r>
      <w:r w:rsidR="00F6217A" w:rsidRPr="00F6217A">
        <w:instrText>://</w:instrText>
      </w:r>
      <w:r w:rsidR="00F6217A">
        <w:rPr>
          <w:lang w:val="en-US"/>
        </w:rPr>
        <w:instrText>github</w:instrText>
      </w:r>
      <w:r w:rsidR="00F6217A" w:rsidRPr="00F6217A">
        <w:instrText>.</w:instrText>
      </w:r>
      <w:r w:rsidR="00F6217A">
        <w:rPr>
          <w:lang w:val="en-US"/>
        </w:rPr>
        <w:instrText>com</w:instrText>
      </w:r>
      <w:r w:rsidR="00F6217A" w:rsidRPr="00F6217A">
        <w:instrText>/</w:instrText>
      </w:r>
      <w:r w:rsidR="00F6217A">
        <w:rPr>
          <w:lang w:val="en-US"/>
        </w:rPr>
        <w:instrText>citation</w:instrText>
      </w:r>
      <w:r w:rsidR="00F6217A" w:rsidRPr="00F6217A">
        <w:instrText>-</w:instrText>
      </w:r>
      <w:r w:rsidR="00F6217A">
        <w:rPr>
          <w:lang w:val="en-US"/>
        </w:rPr>
        <w:instrText>style</w:instrText>
      </w:r>
      <w:r w:rsidR="00F6217A" w:rsidRPr="00F6217A">
        <w:instrText>-</w:instrText>
      </w:r>
      <w:r w:rsidR="00F6217A">
        <w:rPr>
          <w:lang w:val="en-US"/>
        </w:rPr>
        <w:instrText>language</w:instrText>
      </w:r>
      <w:r w:rsidR="00F6217A" w:rsidRPr="00F6217A">
        <w:instrText>/</w:instrText>
      </w:r>
      <w:r w:rsidR="00F6217A">
        <w:rPr>
          <w:lang w:val="en-US"/>
        </w:rPr>
        <w:instrText>schema</w:instrText>
      </w:r>
      <w:r w:rsidR="00F6217A" w:rsidRPr="00F6217A">
        <w:instrText>/</w:instrText>
      </w:r>
      <w:r w:rsidR="00F6217A">
        <w:rPr>
          <w:lang w:val="en-US"/>
        </w:rPr>
        <w:instrText>raw</w:instrText>
      </w:r>
      <w:r w:rsidR="00F6217A" w:rsidRPr="00F6217A">
        <w:instrText>/</w:instrText>
      </w:r>
      <w:r w:rsidR="00F6217A">
        <w:rPr>
          <w:lang w:val="en-US"/>
        </w:rPr>
        <w:instrText>master</w:instrText>
      </w:r>
      <w:r w:rsidR="00F6217A" w:rsidRPr="00F6217A">
        <w:instrText>/</w:instrText>
      </w:r>
      <w:r w:rsidR="00F6217A">
        <w:rPr>
          <w:lang w:val="en-US"/>
        </w:rPr>
        <w:instrText>csl</w:instrText>
      </w:r>
      <w:r w:rsidR="00F6217A" w:rsidRPr="00F6217A">
        <w:instrText>-</w:instrText>
      </w:r>
      <w:r w:rsidR="00F6217A">
        <w:rPr>
          <w:lang w:val="en-US"/>
        </w:rPr>
        <w:instrText>citation</w:instrText>
      </w:r>
      <w:r w:rsidR="00F6217A" w:rsidRPr="00F6217A">
        <w:instrText>.</w:instrText>
      </w:r>
      <w:r w:rsidR="00F6217A">
        <w:rPr>
          <w:lang w:val="en-US"/>
        </w:rPr>
        <w:instrText>json</w:instrText>
      </w:r>
      <w:r w:rsidR="00F6217A" w:rsidRPr="00F6217A">
        <w:instrText>"}</w:instrText>
      </w:r>
      <w:r w:rsidR="00BB7996">
        <w:rPr>
          <w:lang w:val="en-US"/>
        </w:rPr>
        <w:fldChar w:fldCharType="separate"/>
      </w:r>
      <w:r w:rsidR="00342C61" w:rsidRPr="00342C61">
        <w:rPr>
          <w:noProof/>
        </w:rPr>
        <w:t>[32]</w:t>
      </w:r>
      <w:r w:rsidR="00BB7996">
        <w:rPr>
          <w:lang w:val="en-US"/>
        </w:rPr>
        <w:fldChar w:fldCharType="end"/>
      </w:r>
      <w:r w:rsidR="00BB7996">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555"/>
        <w:gridCol w:w="3892"/>
        <w:gridCol w:w="3892"/>
      </w:tblGrid>
      <w:tr w:rsidR="00224547" w:rsidRPr="00224547" w14:paraId="30112CC3"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2CC0" w14:textId="77777777" w:rsidR="00224547" w:rsidRPr="00224547" w:rsidRDefault="00224547" w:rsidP="00224547">
            <w:pPr>
              <w:ind w:firstLine="0"/>
              <w:jc w:val="left"/>
              <w:rPr>
                <w:rFonts w:eastAsia="Times New Roman" w:cs="Times New Roman"/>
                <w:b/>
                <w:szCs w:val="24"/>
              </w:rPr>
            </w:pPr>
            <w:r w:rsidRPr="00224547">
              <w:rPr>
                <w:rFonts w:eastAsia="Times New Roman" w:cs="Times New Roman"/>
                <w:b/>
                <w:szCs w:val="24"/>
              </w:rPr>
              <w:t>Стадия</w:t>
            </w:r>
          </w:p>
        </w:tc>
        <w:tc>
          <w:tcPr>
            <w:tcW w:w="3892" w:type="dxa"/>
            <w:tcBorders>
              <w:top w:val="single" w:sz="4" w:space="0" w:color="000000"/>
              <w:left w:val="single" w:sz="4" w:space="0" w:color="000000"/>
              <w:right w:val="single" w:sz="4" w:space="0" w:color="000000"/>
            </w:tcBorders>
            <w:shd w:val="clear" w:color="auto" w:fill="auto"/>
          </w:tcPr>
          <w:p w14:paraId="30112CC1" w14:textId="77777777" w:rsidR="00224547" w:rsidRPr="00224547" w:rsidRDefault="00224547" w:rsidP="00224547">
            <w:pPr>
              <w:ind w:firstLine="0"/>
              <w:jc w:val="left"/>
              <w:rPr>
                <w:rFonts w:eastAsia="Times New Roman" w:cs="Times New Roman"/>
                <w:b/>
                <w:szCs w:val="24"/>
              </w:rPr>
            </w:pPr>
            <w:r w:rsidRPr="00224547">
              <w:rPr>
                <w:rFonts w:eastAsia="Times New Roman" w:cs="Times New Roman"/>
                <w:b/>
                <w:szCs w:val="24"/>
              </w:rPr>
              <w:t>Поражение лимфоузлов</w:t>
            </w:r>
          </w:p>
        </w:tc>
        <w:tc>
          <w:tcPr>
            <w:tcW w:w="3892" w:type="dxa"/>
            <w:tcBorders>
              <w:top w:val="single" w:sz="4" w:space="0" w:color="000000"/>
              <w:left w:val="single" w:sz="4" w:space="0" w:color="000000"/>
              <w:right w:val="single" w:sz="4" w:space="0" w:color="000000"/>
            </w:tcBorders>
            <w:shd w:val="clear" w:color="auto" w:fill="auto"/>
          </w:tcPr>
          <w:p w14:paraId="30112CC2" w14:textId="77777777" w:rsidR="00224547" w:rsidRPr="00224547" w:rsidRDefault="00224547" w:rsidP="00224547">
            <w:pPr>
              <w:ind w:firstLine="0"/>
              <w:jc w:val="left"/>
              <w:rPr>
                <w:rFonts w:cs="Times New Roman"/>
                <w:b/>
                <w:szCs w:val="24"/>
              </w:rPr>
            </w:pPr>
            <w:r w:rsidRPr="00224547">
              <w:rPr>
                <w:rFonts w:cs="Times New Roman"/>
                <w:b/>
                <w:szCs w:val="24"/>
              </w:rPr>
              <w:t>Экс</w:t>
            </w:r>
            <w:r>
              <w:rPr>
                <w:rFonts w:cs="Times New Roman"/>
                <w:b/>
                <w:szCs w:val="24"/>
              </w:rPr>
              <w:t>транодальное поражение</w:t>
            </w:r>
          </w:p>
        </w:tc>
      </w:tr>
      <w:tr w:rsidR="00224547" w:rsidRPr="00154AEE" w14:paraId="30112CC7"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2CC4" w14:textId="77777777" w:rsidR="00224547" w:rsidRPr="00154AEE" w:rsidRDefault="00224547" w:rsidP="00224547">
            <w:pPr>
              <w:ind w:firstLine="0"/>
              <w:jc w:val="left"/>
              <w:rPr>
                <w:rFonts w:eastAsia="Times New Roman" w:cs="Times New Roman"/>
                <w:b/>
                <w:szCs w:val="24"/>
              </w:rPr>
            </w:pPr>
            <w:r w:rsidRPr="00154AEE">
              <w:rPr>
                <w:rFonts w:eastAsia="Times New Roman" w:cs="Times New Roman"/>
                <w:b/>
                <w:szCs w:val="24"/>
              </w:rPr>
              <w:lastRenderedPageBreak/>
              <w:t>Стадия I</w:t>
            </w:r>
          </w:p>
        </w:tc>
        <w:tc>
          <w:tcPr>
            <w:tcW w:w="3892" w:type="dxa"/>
            <w:tcBorders>
              <w:top w:val="single" w:sz="4" w:space="0" w:color="000000"/>
              <w:left w:val="single" w:sz="4" w:space="0" w:color="000000"/>
              <w:right w:val="single" w:sz="4" w:space="0" w:color="000000"/>
            </w:tcBorders>
            <w:shd w:val="clear" w:color="auto" w:fill="auto"/>
          </w:tcPr>
          <w:p w14:paraId="30112CC5" w14:textId="77777777" w:rsidR="00224547" w:rsidRPr="00154AEE" w:rsidRDefault="00224547" w:rsidP="00224547">
            <w:pPr>
              <w:ind w:firstLine="0"/>
              <w:jc w:val="left"/>
              <w:rPr>
                <w:rFonts w:cs="Times New Roman"/>
                <w:szCs w:val="24"/>
              </w:rPr>
            </w:pPr>
            <w:r w:rsidRPr="00154AEE">
              <w:rPr>
                <w:rFonts w:eastAsia="Times New Roman" w:cs="Times New Roman"/>
                <w:szCs w:val="24"/>
              </w:rPr>
              <w:t>Вовлечение одн</w:t>
            </w:r>
            <w:r>
              <w:rPr>
                <w:rFonts w:eastAsia="Times New Roman" w:cs="Times New Roman"/>
                <w:szCs w:val="24"/>
              </w:rPr>
              <w:t>ого ЛУ или одной</w:t>
            </w:r>
            <w:r w:rsidRPr="00154AEE">
              <w:rPr>
                <w:rFonts w:eastAsia="Times New Roman" w:cs="Times New Roman"/>
                <w:szCs w:val="24"/>
              </w:rPr>
              <w:t xml:space="preserve"> группы</w:t>
            </w:r>
            <w:r>
              <w:rPr>
                <w:rFonts w:eastAsia="Times New Roman" w:cs="Times New Roman"/>
                <w:szCs w:val="24"/>
              </w:rPr>
              <w:t xml:space="preserve"> ЛУ</w:t>
            </w:r>
            <w:r w:rsidRPr="00154AEE">
              <w:rPr>
                <w:rFonts w:eastAsia="Times New Roman" w:cs="Times New Roman"/>
                <w:szCs w:val="24"/>
              </w:rPr>
              <w:t xml:space="preserve"> </w:t>
            </w:r>
          </w:p>
        </w:tc>
        <w:tc>
          <w:tcPr>
            <w:tcW w:w="3892" w:type="dxa"/>
            <w:tcBorders>
              <w:top w:val="single" w:sz="4" w:space="0" w:color="000000"/>
              <w:left w:val="single" w:sz="4" w:space="0" w:color="000000"/>
              <w:right w:val="single" w:sz="4" w:space="0" w:color="000000"/>
            </w:tcBorders>
            <w:shd w:val="clear" w:color="auto" w:fill="auto"/>
          </w:tcPr>
          <w:p w14:paraId="30112CC6" w14:textId="77777777" w:rsidR="00224547" w:rsidRPr="00154AEE" w:rsidRDefault="00224547" w:rsidP="00224547">
            <w:pPr>
              <w:ind w:firstLine="0"/>
              <w:jc w:val="left"/>
              <w:rPr>
                <w:rFonts w:cs="Times New Roman"/>
                <w:szCs w:val="24"/>
              </w:rPr>
            </w:pPr>
            <w:r>
              <w:rPr>
                <w:rFonts w:cs="Times New Roman"/>
                <w:szCs w:val="24"/>
              </w:rPr>
              <w:t>Локализованное поражение одного экстралимфатического органа или ткани без поражения ЛУ</w:t>
            </w:r>
          </w:p>
        </w:tc>
      </w:tr>
      <w:tr w:rsidR="00224547" w:rsidRPr="00154AEE" w14:paraId="30112CCC" w14:textId="77777777" w:rsidTr="00BB7996">
        <w:trPr>
          <w:trHeight w:val="128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2CC8" w14:textId="77777777" w:rsidR="00224547" w:rsidRPr="00154AEE" w:rsidRDefault="00224547" w:rsidP="00224547">
            <w:pPr>
              <w:ind w:firstLine="0"/>
              <w:jc w:val="left"/>
              <w:rPr>
                <w:rFonts w:eastAsia="Times New Roman" w:cs="Times New Roman"/>
                <w:b/>
                <w:szCs w:val="24"/>
              </w:rPr>
            </w:pPr>
            <w:r w:rsidRPr="00154AEE">
              <w:rPr>
                <w:rFonts w:eastAsia="Times New Roman" w:cs="Times New Roman"/>
                <w:b/>
                <w:szCs w:val="24"/>
              </w:rPr>
              <w:t>Стадия II</w:t>
            </w:r>
          </w:p>
        </w:tc>
        <w:tc>
          <w:tcPr>
            <w:tcW w:w="3892" w:type="dxa"/>
            <w:tcBorders>
              <w:left w:val="single" w:sz="4" w:space="0" w:color="000000"/>
              <w:right w:val="single" w:sz="4" w:space="0" w:color="000000"/>
            </w:tcBorders>
            <w:shd w:val="clear" w:color="auto" w:fill="auto"/>
          </w:tcPr>
          <w:p w14:paraId="30112CC9" w14:textId="77777777" w:rsidR="00224547" w:rsidRPr="00224547" w:rsidRDefault="00224547" w:rsidP="00224547">
            <w:pPr>
              <w:ind w:firstLine="0"/>
              <w:jc w:val="left"/>
              <w:rPr>
                <w:rFonts w:cs="Times New Roman"/>
                <w:szCs w:val="24"/>
              </w:rPr>
            </w:pPr>
            <w:r w:rsidRPr="00154AEE">
              <w:rPr>
                <w:rFonts w:eastAsia="Times New Roman" w:cs="Times New Roman"/>
                <w:szCs w:val="24"/>
              </w:rPr>
              <w:t>Вовлечение ≥ 2 групп ЛУ по одну сторону диафрагмы</w:t>
            </w:r>
          </w:p>
          <w:p w14:paraId="30112CCA" w14:textId="77777777" w:rsidR="00224547" w:rsidRPr="00154AEE" w:rsidRDefault="00224547" w:rsidP="00224547">
            <w:pPr>
              <w:ind w:firstLine="0"/>
              <w:jc w:val="left"/>
              <w:rPr>
                <w:rFonts w:cs="Times New Roman"/>
                <w:szCs w:val="24"/>
              </w:rPr>
            </w:pPr>
            <w:r>
              <w:rPr>
                <w:rFonts w:eastAsia="Times New Roman" w:cs="Times New Roman"/>
                <w:b/>
                <w:szCs w:val="24"/>
              </w:rPr>
              <w:t xml:space="preserve">Стадия </w:t>
            </w:r>
            <w:r w:rsidRPr="00154AEE">
              <w:rPr>
                <w:rFonts w:eastAsia="Times New Roman" w:cs="Times New Roman"/>
                <w:b/>
                <w:szCs w:val="24"/>
                <w:lang w:val="en-US"/>
              </w:rPr>
              <w:t>II</w:t>
            </w:r>
            <w:r w:rsidRPr="00154AEE">
              <w:rPr>
                <w:rFonts w:eastAsia="Times New Roman" w:cs="Times New Roman"/>
                <w:b/>
                <w:szCs w:val="24"/>
              </w:rPr>
              <w:t xml:space="preserve"> </w:t>
            </w:r>
            <w:r w:rsidRPr="00154AEE">
              <w:rPr>
                <w:rFonts w:eastAsia="Times New Roman" w:cs="Times New Roman"/>
                <w:b/>
                <w:szCs w:val="24"/>
                <w:lang w:val="en-US"/>
              </w:rPr>
              <w:t>bulky</w:t>
            </w:r>
            <w:r w:rsidRPr="00154AEE">
              <w:rPr>
                <w:rFonts w:eastAsia="Times New Roman" w:cs="Times New Roman"/>
                <w:b/>
                <w:szCs w:val="24"/>
              </w:rPr>
              <w:t xml:space="preserve"> </w:t>
            </w:r>
            <w:r>
              <w:rPr>
                <w:rFonts w:eastAsia="Times New Roman" w:cs="Times New Roman"/>
                <w:b/>
                <w:szCs w:val="24"/>
              </w:rPr>
              <w:t>–</w:t>
            </w:r>
            <w:r w:rsidRPr="00154AEE">
              <w:rPr>
                <w:rFonts w:eastAsia="Times New Roman" w:cs="Times New Roman"/>
                <w:b/>
                <w:szCs w:val="24"/>
              </w:rPr>
              <w:t xml:space="preserve"> </w:t>
            </w:r>
            <w:r w:rsidRPr="00224547">
              <w:rPr>
                <w:rFonts w:eastAsia="Times New Roman" w:cs="Times New Roman"/>
                <w:bCs/>
                <w:szCs w:val="24"/>
              </w:rPr>
              <w:t>стадия</w:t>
            </w:r>
            <w:r>
              <w:rPr>
                <w:rFonts w:eastAsia="Times New Roman" w:cs="Times New Roman"/>
                <w:b/>
                <w:szCs w:val="24"/>
              </w:rPr>
              <w:t xml:space="preserve"> </w:t>
            </w:r>
            <w:r w:rsidRPr="00224547">
              <w:rPr>
                <w:rFonts w:eastAsia="Times New Roman" w:cs="Times New Roman"/>
                <w:bCs/>
                <w:szCs w:val="24"/>
                <w:lang w:val="en-US"/>
              </w:rPr>
              <w:t>II</w:t>
            </w:r>
            <w:r w:rsidRPr="00154AEE">
              <w:rPr>
                <w:rFonts w:eastAsia="Times New Roman" w:cs="Times New Roman"/>
                <w:b/>
                <w:szCs w:val="24"/>
              </w:rPr>
              <w:t xml:space="preserve"> </w:t>
            </w:r>
            <w:r w:rsidRPr="00154AEE">
              <w:rPr>
                <w:rFonts w:eastAsia="Times New Roman" w:cs="Times New Roman"/>
                <w:szCs w:val="24"/>
                <w:lang w:val="en-US"/>
              </w:rPr>
              <w:t>c</w:t>
            </w:r>
            <w:r w:rsidRPr="00154AEE">
              <w:rPr>
                <w:rFonts w:eastAsia="Times New Roman" w:cs="Times New Roman"/>
                <w:szCs w:val="24"/>
              </w:rPr>
              <w:t xml:space="preserve"> массивным поражением ЛУ</w:t>
            </w:r>
          </w:p>
        </w:tc>
        <w:tc>
          <w:tcPr>
            <w:tcW w:w="3892" w:type="dxa"/>
            <w:tcBorders>
              <w:left w:val="single" w:sz="4" w:space="0" w:color="000000"/>
              <w:right w:val="single" w:sz="4" w:space="0" w:color="000000"/>
            </w:tcBorders>
            <w:shd w:val="clear" w:color="auto" w:fill="auto"/>
          </w:tcPr>
          <w:p w14:paraId="30112CCB" w14:textId="77777777" w:rsidR="00224547" w:rsidRPr="00154AEE" w:rsidRDefault="00BB7996" w:rsidP="00224547">
            <w:pPr>
              <w:ind w:firstLine="0"/>
              <w:jc w:val="left"/>
              <w:rPr>
                <w:rFonts w:cs="Times New Roman"/>
                <w:szCs w:val="24"/>
              </w:rPr>
            </w:pPr>
            <w:r w:rsidRPr="00154AEE">
              <w:rPr>
                <w:rFonts w:eastAsia="Times New Roman" w:cs="Times New Roman"/>
                <w:szCs w:val="24"/>
              </w:rPr>
              <w:t>Локализованное поражение экстралимфатического органа или ткани</w:t>
            </w:r>
            <w:r>
              <w:rPr>
                <w:rFonts w:eastAsia="Times New Roman" w:cs="Times New Roman"/>
                <w:szCs w:val="24"/>
              </w:rPr>
              <w:t xml:space="preserve"> + поражение регионарных ЛУ по одну сторону диафрагмы</w:t>
            </w:r>
            <w:r w:rsidR="00224547">
              <w:rPr>
                <w:rFonts w:eastAsia="Times New Roman" w:cs="Times New Roman"/>
                <w:szCs w:val="24"/>
              </w:rPr>
              <w:t xml:space="preserve"> </w:t>
            </w:r>
          </w:p>
        </w:tc>
      </w:tr>
      <w:tr w:rsidR="00224547" w:rsidRPr="00154AEE" w14:paraId="30112CCF"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2CCD" w14:textId="77777777" w:rsidR="00224547" w:rsidRPr="00154AEE" w:rsidRDefault="00224547" w:rsidP="00224547">
            <w:pPr>
              <w:ind w:firstLine="0"/>
              <w:jc w:val="left"/>
              <w:rPr>
                <w:rFonts w:eastAsia="Times New Roman" w:cs="Times New Roman"/>
                <w:b/>
                <w:szCs w:val="24"/>
              </w:rPr>
            </w:pPr>
            <w:r w:rsidRPr="00154AEE">
              <w:rPr>
                <w:rFonts w:eastAsia="Times New Roman" w:cs="Times New Roman"/>
                <w:b/>
                <w:szCs w:val="24"/>
              </w:rPr>
              <w:t>Стадия III</w:t>
            </w:r>
          </w:p>
        </w:tc>
        <w:tc>
          <w:tcPr>
            <w:tcW w:w="7784" w:type="dxa"/>
            <w:gridSpan w:val="2"/>
            <w:tcBorders>
              <w:left w:val="single" w:sz="4" w:space="0" w:color="000000"/>
              <w:right w:val="single" w:sz="4" w:space="0" w:color="000000"/>
            </w:tcBorders>
            <w:shd w:val="clear" w:color="auto" w:fill="auto"/>
          </w:tcPr>
          <w:p w14:paraId="30112CCE" w14:textId="77777777" w:rsidR="00224547" w:rsidRPr="00154AEE" w:rsidRDefault="00224547" w:rsidP="00224547">
            <w:pPr>
              <w:ind w:firstLine="0"/>
              <w:jc w:val="left"/>
              <w:rPr>
                <w:rFonts w:eastAsia="Times New Roman" w:cs="Times New Roman"/>
                <w:szCs w:val="24"/>
              </w:rPr>
            </w:pPr>
            <w:r w:rsidRPr="00154AEE">
              <w:rPr>
                <w:rFonts w:eastAsia="Times New Roman" w:cs="Times New Roman"/>
                <w:szCs w:val="24"/>
              </w:rPr>
              <w:t>Вовлечение ЛУ по обе стороны диафрагмы или вовлечение ЛУ выше диафрагмы с поражением селезенки</w:t>
            </w:r>
          </w:p>
        </w:tc>
      </w:tr>
      <w:tr w:rsidR="00224547" w:rsidRPr="00154AEE" w14:paraId="30112CD2" w14:textId="77777777" w:rsidTr="00BB7996">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2CD0" w14:textId="77777777" w:rsidR="00224547" w:rsidRPr="00154AEE" w:rsidRDefault="00224547" w:rsidP="00224547">
            <w:pPr>
              <w:ind w:firstLine="0"/>
              <w:jc w:val="left"/>
              <w:rPr>
                <w:rFonts w:eastAsia="Times New Roman" w:cs="Times New Roman"/>
                <w:b/>
                <w:szCs w:val="24"/>
              </w:rPr>
            </w:pPr>
            <w:r w:rsidRPr="00154AEE">
              <w:rPr>
                <w:rFonts w:eastAsia="Times New Roman" w:cs="Times New Roman"/>
                <w:b/>
                <w:szCs w:val="24"/>
              </w:rPr>
              <w:t>Стадия IV</w:t>
            </w:r>
          </w:p>
        </w:tc>
        <w:tc>
          <w:tcPr>
            <w:tcW w:w="7784" w:type="dxa"/>
            <w:gridSpan w:val="2"/>
            <w:tcBorders>
              <w:left w:val="single" w:sz="4" w:space="0" w:color="000000"/>
              <w:bottom w:val="single" w:sz="4" w:space="0" w:color="000000"/>
              <w:right w:val="single" w:sz="4" w:space="0" w:color="000000"/>
            </w:tcBorders>
            <w:shd w:val="clear" w:color="auto" w:fill="auto"/>
          </w:tcPr>
          <w:p w14:paraId="30112CD1" w14:textId="77777777" w:rsidR="00224547" w:rsidRPr="00154AEE" w:rsidRDefault="00224547" w:rsidP="00224547">
            <w:pPr>
              <w:ind w:firstLine="0"/>
              <w:jc w:val="left"/>
              <w:rPr>
                <w:rFonts w:eastAsia="Times New Roman" w:cs="Times New Roman"/>
                <w:szCs w:val="24"/>
              </w:rPr>
            </w:pPr>
            <w:r w:rsidRPr="00154AEE">
              <w:rPr>
                <w:rFonts w:eastAsia="Times New Roman" w:cs="Times New Roman"/>
                <w:szCs w:val="24"/>
              </w:rPr>
              <w:t>Диффузное или диссеминированное поражение экстралимфатического органа или ткани с/без вовлечения ЛУ</w:t>
            </w:r>
            <w:r>
              <w:rPr>
                <w:rFonts w:eastAsia="Times New Roman" w:cs="Times New Roman"/>
                <w:szCs w:val="24"/>
              </w:rPr>
              <w:t xml:space="preserve"> либо поражение экстранодальн</w:t>
            </w:r>
            <w:r w:rsidR="00BB7996">
              <w:rPr>
                <w:rFonts w:eastAsia="Times New Roman" w:cs="Times New Roman"/>
                <w:szCs w:val="24"/>
              </w:rPr>
              <w:t>ого органа или ткани + поражение нерегионарных ЛУ</w:t>
            </w:r>
          </w:p>
        </w:tc>
      </w:tr>
    </w:tbl>
    <w:p w14:paraId="30112CD3" w14:textId="77777777" w:rsidR="00F65B65" w:rsidRDefault="00F65B65" w:rsidP="00F65B65">
      <w:pPr>
        <w:spacing w:before="280" w:after="280"/>
        <w:rPr>
          <w:rFonts w:cs="Times New Roman"/>
          <w:i/>
          <w:iCs/>
          <w:szCs w:val="24"/>
        </w:rPr>
      </w:pPr>
      <w:r w:rsidRPr="00154AEE">
        <w:rPr>
          <w:rFonts w:cs="Times New Roman"/>
          <w:b/>
          <w:bCs/>
          <w:szCs w:val="24"/>
        </w:rPr>
        <w:t>Комментарии:</w:t>
      </w:r>
      <w:r w:rsidRPr="00154AEE">
        <w:rPr>
          <w:rFonts w:cs="Times New Roman"/>
          <w:szCs w:val="24"/>
        </w:rPr>
        <w:t xml:space="preserve"> </w:t>
      </w:r>
      <w:r w:rsidRPr="00154AEE">
        <w:rPr>
          <w:rFonts w:cs="Times New Roman"/>
          <w:i/>
          <w:iCs/>
          <w:szCs w:val="24"/>
        </w:rPr>
        <w:t>миндалины, кольцо</w:t>
      </w:r>
      <w:r w:rsidR="00BB7996">
        <w:rPr>
          <w:rFonts w:cs="Times New Roman"/>
          <w:i/>
          <w:iCs/>
          <w:szCs w:val="24"/>
        </w:rPr>
        <w:t xml:space="preserve"> Вальдейера</w:t>
      </w:r>
      <w:r w:rsidRPr="00154AEE">
        <w:rPr>
          <w:rFonts w:cs="Times New Roman"/>
          <w:i/>
          <w:iCs/>
          <w:szCs w:val="24"/>
        </w:rPr>
        <w:t>, селезенка относятся к нодальным образованиям</w:t>
      </w:r>
    </w:p>
    <w:p w14:paraId="30112CD4" w14:textId="77777777" w:rsidR="00546683" w:rsidRDefault="00546683" w:rsidP="00546683">
      <w:pPr>
        <w:pStyle w:val="2"/>
      </w:pPr>
      <w:bookmarkStart w:id="56" w:name="_Toc65108042"/>
      <w:r>
        <w:t>7.</w:t>
      </w:r>
      <w:r w:rsidR="004664C1">
        <w:t>4</w:t>
      </w:r>
      <w:r>
        <w:t>. Оценка ответа на лечение при лимфомах</w:t>
      </w:r>
      <w:bookmarkEnd w:id="56"/>
    </w:p>
    <w:p w14:paraId="30112CD5" w14:textId="77777777" w:rsidR="00546683" w:rsidRDefault="00546683" w:rsidP="008762E9">
      <w:r>
        <w:t xml:space="preserve">Оценка ответа на лечение проводится в соответствии с обновленными критериями, предложенными Международной рабочей группой по лимфомам в 2007 году </w:t>
      </w:r>
      <w:r>
        <w:fldChar w:fldCharType="begin" w:fldLock="1"/>
      </w:r>
      <w:r w:rsidR="00F6217A">
        <w:instrText>ADDIN CSL_CITATION {"citationItems":[{"id":"ITEM-1","itemData":{"DOI":"10.1200/JCO.2006.09.2403","ISSN":"0732183X","abstract":"PURPOSE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Oncology","id":"ITEM-1","issue":"5","issued":{"date-parts":[["2007"]]},"page":"579-586","title":"Revised response criteria for malignant lymphoma","type":"article","volume":"25"},"uris":["http://www.mendeley.com/documents/?uuid=54621e2a-fa6c-3787-a396-2fbb20883fe7"]}],"mendeley":{"formattedCitation":"[23]","plainTextFormattedCitation":"[23]","previouslyFormattedCitation":"[23]"},"properties":{"noteIndex":0},"schema":"https://github.com/citation-style-language/schema/raw/master/csl-citation.json"}</w:instrText>
      </w:r>
      <w:r>
        <w:fldChar w:fldCharType="separate"/>
      </w:r>
      <w:r w:rsidR="00342C61" w:rsidRPr="00342C61">
        <w:rPr>
          <w:noProof/>
        </w:rPr>
        <w:t>[23]</w:t>
      </w:r>
      <w:r>
        <w:fldChar w:fldCharType="end"/>
      </w:r>
      <w:r>
        <w:t>.</w:t>
      </w:r>
    </w:p>
    <w:p w14:paraId="30112CD6" w14:textId="77777777" w:rsidR="00546683" w:rsidRPr="00940BBC" w:rsidRDefault="00546683" w:rsidP="008762E9">
      <w:pPr>
        <w:rPr>
          <w:rFonts w:eastAsia="Calibri" w:cs="Times New Roman"/>
          <w:i/>
          <w:u w:val="single"/>
        </w:rPr>
      </w:pPr>
      <w:r w:rsidRPr="00940BBC">
        <w:rPr>
          <w:rFonts w:eastAsia="Calibri" w:cs="Times New Roman"/>
          <w:i/>
          <w:u w:val="single"/>
        </w:rPr>
        <w:t>Полная ремиссия</w:t>
      </w:r>
      <w:r w:rsidRPr="00940BBC">
        <w:rPr>
          <w:rFonts w:eastAsia="Calibri" w:cs="Times New Roman"/>
          <w:i/>
          <w:u w:val="single"/>
          <w:lang w:val="en-US"/>
        </w:rPr>
        <w:t xml:space="preserve"> (</w:t>
      </w:r>
      <w:r w:rsidRPr="00940BBC">
        <w:rPr>
          <w:rFonts w:eastAsia="Calibri" w:cs="Times New Roman"/>
          <w:i/>
          <w:u w:val="single"/>
        </w:rPr>
        <w:t>ПР</w:t>
      </w:r>
      <w:r w:rsidRPr="00940BBC">
        <w:rPr>
          <w:rFonts w:eastAsia="Calibri" w:cs="Times New Roman"/>
          <w:i/>
          <w:u w:val="single"/>
          <w:lang w:val="en-US"/>
        </w:rPr>
        <w:t>)</w:t>
      </w:r>
      <w:r w:rsidRPr="00940BBC">
        <w:rPr>
          <w:rFonts w:eastAsia="Calibri" w:cs="Times New Roman"/>
          <w:i/>
          <w:u w:val="single"/>
        </w:rPr>
        <w:t>:</w:t>
      </w:r>
    </w:p>
    <w:p w14:paraId="30112CD7" w14:textId="77777777" w:rsidR="00546683" w:rsidRPr="00940BBC" w:rsidRDefault="00546683" w:rsidP="00D22A46">
      <w:pPr>
        <w:numPr>
          <w:ilvl w:val="0"/>
          <w:numId w:val="21"/>
        </w:numPr>
        <w:contextualSpacing/>
        <w:rPr>
          <w:rFonts w:eastAsia="Calibri" w:cs="Times New Roman"/>
        </w:rPr>
      </w:pPr>
      <w:r w:rsidRPr="00940BBC">
        <w:rPr>
          <w:rFonts w:eastAsia="Calibri" w:cs="Times New Roman"/>
        </w:rPr>
        <w:t>Полное исчезновение всех проявлений заболевания, в том числе выявляемых при помощи лабораторных и лучевых методов диагностики, а также клинических симптомов, если они имели место до начала лечения.</w:t>
      </w:r>
    </w:p>
    <w:p w14:paraId="30112CD8" w14:textId="77777777" w:rsidR="00546683" w:rsidRPr="00940BBC" w:rsidRDefault="00546683" w:rsidP="00D22A46">
      <w:pPr>
        <w:numPr>
          <w:ilvl w:val="0"/>
          <w:numId w:val="21"/>
        </w:numPr>
        <w:contextualSpacing/>
        <w:rPr>
          <w:rFonts w:eastAsia="Calibri" w:cs="Times New Roman"/>
        </w:rPr>
      </w:pPr>
      <w:r w:rsidRPr="00940BBC">
        <w:rPr>
          <w:rFonts w:eastAsia="Calibri" w:cs="Times New Roman"/>
        </w:rPr>
        <w:t>Размеры лимфатических узлов:</w:t>
      </w:r>
    </w:p>
    <w:p w14:paraId="30112CD9" w14:textId="77777777" w:rsidR="00546683" w:rsidRPr="00940BBC" w:rsidRDefault="00546683" w:rsidP="00D22A46">
      <w:pPr>
        <w:numPr>
          <w:ilvl w:val="1"/>
          <w:numId w:val="21"/>
        </w:numPr>
        <w:contextualSpacing/>
        <w:rPr>
          <w:rFonts w:eastAsia="Calibri" w:cs="Times New Roman"/>
        </w:rPr>
      </w:pPr>
      <w:r w:rsidRPr="00940BBC">
        <w:rPr>
          <w:rFonts w:eastAsia="Calibri" w:cs="Times New Roman"/>
        </w:rPr>
        <w:t>≤ 1,5см по наибольшему диаметру, если до начала лечения размеры лимфатических узлов были больше 1,5 см</w:t>
      </w:r>
    </w:p>
    <w:p w14:paraId="30112CDA" w14:textId="77777777" w:rsidR="00546683" w:rsidRPr="00940BBC" w:rsidRDefault="00546683" w:rsidP="00D22A46">
      <w:pPr>
        <w:numPr>
          <w:ilvl w:val="1"/>
          <w:numId w:val="21"/>
        </w:numPr>
        <w:contextualSpacing/>
        <w:rPr>
          <w:rFonts w:eastAsia="Calibri" w:cs="Times New Roman"/>
        </w:rPr>
      </w:pPr>
      <w:r w:rsidRPr="00940BBC">
        <w:rPr>
          <w:rFonts w:eastAsia="Calibri" w:cs="Times New Roman"/>
        </w:rPr>
        <w:t>≤ 1,0см по наибольшему диаметру, если до начала лечения размеры лимфатических узлов были 1,5 – 1,1см</w:t>
      </w:r>
    </w:p>
    <w:p w14:paraId="30112CDB" w14:textId="77777777" w:rsidR="00546683" w:rsidRPr="00940BBC" w:rsidRDefault="00546683" w:rsidP="00D22A46">
      <w:pPr>
        <w:numPr>
          <w:ilvl w:val="0"/>
          <w:numId w:val="21"/>
        </w:numPr>
        <w:contextualSpacing/>
        <w:rPr>
          <w:rFonts w:eastAsia="Calibri" w:cs="Times New Roman"/>
        </w:rPr>
      </w:pPr>
      <w:r w:rsidRPr="00940BBC">
        <w:rPr>
          <w:rFonts w:eastAsia="Calibri" w:cs="Times New Roman"/>
        </w:rPr>
        <w:t>Печень, селезенка, если были увеличены до начала лечения, не пальпируются, по данным лучевых методов объемные образования в них не выявляются.</w:t>
      </w:r>
    </w:p>
    <w:p w14:paraId="30112CDC" w14:textId="77777777" w:rsidR="00546683" w:rsidRPr="00940BBC" w:rsidRDefault="00546683" w:rsidP="00D22A46">
      <w:pPr>
        <w:numPr>
          <w:ilvl w:val="0"/>
          <w:numId w:val="21"/>
        </w:numPr>
        <w:contextualSpacing/>
        <w:rPr>
          <w:rFonts w:eastAsia="Calibri" w:cs="Times New Roman"/>
        </w:rPr>
      </w:pPr>
      <w:r w:rsidRPr="00940BBC">
        <w:rPr>
          <w:rFonts w:eastAsia="Calibri" w:cs="Times New Roman"/>
        </w:rPr>
        <w:t xml:space="preserve">Костный мозг без признаков опухолевого поражения. Если результат морфологического исследования костного мозга неоднозначный, наличие или отсутствие поражения должно определяться иммуногистохимически. </w:t>
      </w:r>
    </w:p>
    <w:p w14:paraId="30112CDD" w14:textId="77777777" w:rsidR="0059411A" w:rsidRPr="0059411A" w:rsidRDefault="0059411A" w:rsidP="0059411A">
      <w:pPr>
        <w:pStyle w:val="afe"/>
        <w:ind w:firstLine="0"/>
        <w:rPr>
          <w:rFonts w:eastAsia="Calibri" w:cs="Times New Roman"/>
          <w:i/>
          <w:u w:val="single"/>
        </w:rPr>
      </w:pPr>
      <w:r w:rsidRPr="0059411A">
        <w:rPr>
          <w:rFonts w:eastAsia="Calibri" w:cs="Times New Roman"/>
          <w:i/>
          <w:u w:val="single"/>
        </w:rPr>
        <w:lastRenderedPageBreak/>
        <w:t>Неуверенная полная ремиссия (ПРн) констатируется только у</w:t>
      </w:r>
      <w:r w:rsidR="00F139FA">
        <w:rPr>
          <w:rFonts w:eastAsia="Calibri" w:cs="Times New Roman"/>
          <w:i/>
          <w:u w:val="single"/>
        </w:rPr>
        <w:t xml:space="preserve"> пациентов</w:t>
      </w:r>
      <w:r w:rsidRPr="0059411A">
        <w:rPr>
          <w:rFonts w:eastAsia="Calibri" w:cs="Times New Roman"/>
          <w:i/>
          <w:u w:val="single"/>
        </w:rPr>
        <w:t>, которым не выполнялась ПЭТ-КТ для оценки эффекта:</w:t>
      </w:r>
    </w:p>
    <w:p w14:paraId="30112CDE" w14:textId="77777777" w:rsidR="00546683" w:rsidRPr="00940BBC" w:rsidRDefault="00546683" w:rsidP="00D22A46">
      <w:pPr>
        <w:numPr>
          <w:ilvl w:val="0"/>
          <w:numId w:val="22"/>
        </w:numPr>
        <w:contextualSpacing/>
        <w:rPr>
          <w:rFonts w:eastAsia="Calibri" w:cs="Times New Roman"/>
        </w:rPr>
      </w:pPr>
      <w:r w:rsidRPr="00940BBC">
        <w:rPr>
          <w:rFonts w:eastAsia="Calibri" w:cs="Times New Roman"/>
        </w:rPr>
        <w:t>Остаточные изменения, выявляемые только при помощи лучевых методов исследования (особенно это касается остаточных объемных образований в месте массивного опухолевого поражения, чаще всего в средостении), в случае сокращения опухоли более чем на 75% от исходных размеров по сумме двух наибольших её диаметров. Эти остаточные изменения не должны увеличиваться в течение более чем 3 месяцев.</w:t>
      </w:r>
    </w:p>
    <w:p w14:paraId="30112CDF" w14:textId="77777777" w:rsidR="00546683" w:rsidRPr="00940BBC" w:rsidRDefault="00546683" w:rsidP="00D22A46">
      <w:pPr>
        <w:numPr>
          <w:ilvl w:val="0"/>
          <w:numId w:val="22"/>
        </w:numPr>
        <w:contextualSpacing/>
        <w:rPr>
          <w:rFonts w:eastAsia="Calibri" w:cs="Times New Roman"/>
        </w:rPr>
      </w:pPr>
      <w:r w:rsidRPr="00940BBC">
        <w:rPr>
          <w:rFonts w:eastAsia="Calibri" w:cs="Times New Roman"/>
        </w:rPr>
        <w:t>По другим показателям – соответствие критериям полной ремиссии.</w:t>
      </w:r>
    </w:p>
    <w:p w14:paraId="30112CE0" w14:textId="77777777" w:rsidR="00546683" w:rsidRPr="00940BBC" w:rsidRDefault="00546683" w:rsidP="008762E9">
      <w:pPr>
        <w:rPr>
          <w:rFonts w:eastAsia="Calibri" w:cs="Times New Roman"/>
          <w:i/>
          <w:u w:val="single"/>
        </w:rPr>
      </w:pPr>
      <w:r w:rsidRPr="00940BBC">
        <w:rPr>
          <w:rFonts w:eastAsia="Calibri" w:cs="Times New Roman"/>
          <w:i/>
          <w:u w:val="single"/>
        </w:rPr>
        <w:t>Частичная ремиссия (ЧР):</w:t>
      </w:r>
    </w:p>
    <w:p w14:paraId="30112CE1" w14:textId="77777777" w:rsidR="00546683" w:rsidRPr="00940BBC" w:rsidRDefault="00546683" w:rsidP="00D22A46">
      <w:pPr>
        <w:numPr>
          <w:ilvl w:val="0"/>
          <w:numId w:val="23"/>
        </w:numPr>
        <w:contextualSpacing/>
        <w:rPr>
          <w:rFonts w:eastAsia="Calibri" w:cs="Times New Roman"/>
        </w:rPr>
      </w:pPr>
      <w:r w:rsidRPr="00940BBC">
        <w:rPr>
          <w:rFonts w:eastAsia="Calibri" w:cs="Times New Roman"/>
        </w:rPr>
        <w:t>Уменьшение суммы диаметров всех измеряемых очагов (лимфоузлов и/или очагов экстранодального поражения) не менее чем на 50%. Если размеры пораженных очагов менее 3см по наибольшему диаметру, то 2 наибольших очага должны уменьшиться не менее, чем на 50% по наибольшему диаметру. При наличии более чем 6 очагов поражения более 3 см, достаточна оценка 6 наибольших очагов, доступных четкому измерению в двух перпендикулярных направлениях. При наличии медиастинальных и/или ретроперитонеальных очагов поражения, они обязательно должны учитываться при измерении.</w:t>
      </w:r>
    </w:p>
    <w:p w14:paraId="30112CE2" w14:textId="77777777" w:rsidR="00546683" w:rsidRPr="00940BBC" w:rsidRDefault="00546683" w:rsidP="00D22A46">
      <w:pPr>
        <w:numPr>
          <w:ilvl w:val="0"/>
          <w:numId w:val="23"/>
        </w:numPr>
        <w:ind w:left="714" w:hanging="357"/>
        <w:contextualSpacing/>
        <w:rPr>
          <w:rFonts w:eastAsia="Calibri" w:cs="Times New Roman"/>
        </w:rPr>
      </w:pPr>
      <w:r w:rsidRPr="00940BBC">
        <w:rPr>
          <w:rFonts w:eastAsia="Calibri" w:cs="Times New Roman"/>
        </w:rPr>
        <w:t>Отсутствие новых очагов поражения, отсутствие признаков увеличени</w:t>
      </w:r>
      <w:r w:rsidR="000A6EAB">
        <w:rPr>
          <w:rFonts w:eastAsia="Calibri" w:cs="Times New Roman"/>
        </w:rPr>
        <w:t>я</w:t>
      </w:r>
      <w:r w:rsidRPr="00940BBC">
        <w:rPr>
          <w:rFonts w:eastAsia="Calibri" w:cs="Times New Roman"/>
        </w:rPr>
        <w:t xml:space="preserve"> какого-либо из ранее диагностированных очагов поражения.</w:t>
      </w:r>
    </w:p>
    <w:p w14:paraId="30112CE3" w14:textId="77777777" w:rsidR="00546683" w:rsidRPr="00940BBC" w:rsidRDefault="00546683" w:rsidP="00D22A46">
      <w:pPr>
        <w:numPr>
          <w:ilvl w:val="0"/>
          <w:numId w:val="23"/>
        </w:numPr>
        <w:contextualSpacing/>
        <w:rPr>
          <w:rFonts w:eastAsia="Calibri" w:cs="Times New Roman"/>
        </w:rPr>
      </w:pPr>
      <w:r w:rsidRPr="00940BBC">
        <w:rPr>
          <w:rFonts w:eastAsia="Calibri" w:cs="Times New Roman"/>
        </w:rPr>
        <w:t>В случае исходного поражения костного мозга, статус костного мозга для определения ЧР не значим. Однако при сохранении поражения костного мозга в процессе и/или после завершения лечения, обязательно уточнение характеристики опухолевых клеток.</w:t>
      </w:r>
      <w:r w:rsidR="00F139FA">
        <w:rPr>
          <w:rFonts w:eastAsia="Calibri" w:cs="Times New Roman"/>
        </w:rPr>
        <w:t xml:space="preserve"> Пациенты</w:t>
      </w:r>
      <w:r w:rsidRPr="00940BBC">
        <w:rPr>
          <w:rFonts w:eastAsia="Calibri" w:cs="Times New Roman"/>
        </w:rPr>
        <w:t xml:space="preserve"> с исходным поражением костного мозга, у которых после завершения лечения клинически диагностируется ПР, но при этом сохраняется поражение костного мозга или костный мозг не может быть оценен, относятся к ЧР.</w:t>
      </w:r>
    </w:p>
    <w:p w14:paraId="30112CE4" w14:textId="77777777" w:rsidR="00546683" w:rsidRPr="00940BBC" w:rsidRDefault="00546683" w:rsidP="008762E9">
      <w:pPr>
        <w:rPr>
          <w:rFonts w:eastAsia="Calibri" w:cs="Times New Roman"/>
          <w:i/>
          <w:u w:val="single"/>
        </w:rPr>
      </w:pPr>
      <w:r w:rsidRPr="00940BBC">
        <w:rPr>
          <w:rFonts w:eastAsia="Calibri" w:cs="Times New Roman"/>
          <w:i/>
          <w:u w:val="single"/>
        </w:rPr>
        <w:t>Стабилизация</w:t>
      </w:r>
    </w:p>
    <w:p w14:paraId="30112CE5" w14:textId="77777777" w:rsidR="00546683" w:rsidRPr="00940BBC" w:rsidRDefault="00546683" w:rsidP="00582655">
      <w:pPr>
        <w:ind w:left="709" w:firstLine="0"/>
        <w:rPr>
          <w:rFonts w:eastAsia="Calibri" w:cs="Times New Roman"/>
        </w:rPr>
      </w:pPr>
      <w:r w:rsidRPr="00940BBC">
        <w:rPr>
          <w:rFonts w:eastAsia="Calibri" w:cs="Times New Roman"/>
        </w:rPr>
        <w:t>Показатели опухоли не соответствуют ни критериям ПР или ЧР, ни критериям прогрессирования.</w:t>
      </w:r>
    </w:p>
    <w:p w14:paraId="30112CE6" w14:textId="77777777" w:rsidR="00546683" w:rsidRPr="00940BBC" w:rsidRDefault="00546683" w:rsidP="008762E9">
      <w:pPr>
        <w:rPr>
          <w:rFonts w:eastAsia="Calibri" w:cs="Times New Roman"/>
          <w:i/>
          <w:u w:val="single"/>
        </w:rPr>
      </w:pPr>
      <w:r w:rsidRPr="00940BBC">
        <w:rPr>
          <w:rFonts w:eastAsia="Calibri" w:cs="Times New Roman"/>
          <w:i/>
          <w:u w:val="single"/>
        </w:rPr>
        <w:t>Рецидив (после ПР) или прогрессирование (после ЧР или ст</w:t>
      </w:r>
      <w:r>
        <w:rPr>
          <w:rFonts w:eastAsia="Calibri" w:cs="Times New Roman"/>
          <w:i/>
          <w:u w:val="single"/>
        </w:rPr>
        <w:t>абилизации</w:t>
      </w:r>
      <w:r w:rsidRPr="00940BBC">
        <w:rPr>
          <w:rFonts w:eastAsia="Calibri" w:cs="Times New Roman"/>
          <w:i/>
          <w:u w:val="single"/>
        </w:rPr>
        <w:t>)</w:t>
      </w:r>
    </w:p>
    <w:p w14:paraId="30112CE7" w14:textId="77777777" w:rsidR="00546683" w:rsidRPr="00940BBC" w:rsidRDefault="00546683" w:rsidP="00D22A46">
      <w:pPr>
        <w:numPr>
          <w:ilvl w:val="0"/>
          <w:numId w:val="24"/>
        </w:numPr>
        <w:contextualSpacing/>
        <w:rPr>
          <w:rFonts w:eastAsia="Calibri" w:cs="Times New Roman"/>
          <w:u w:val="single"/>
        </w:rPr>
      </w:pPr>
      <w:r w:rsidRPr="00940BBC">
        <w:rPr>
          <w:rFonts w:eastAsia="Calibri" w:cs="Times New Roman"/>
        </w:rPr>
        <w:t xml:space="preserve">Появление новых очагов (увеличение лимфатических узлов или объемных образований экстранодальных локализаций) более 1,5 см в наибольшем </w:t>
      </w:r>
      <w:r w:rsidRPr="00940BBC">
        <w:rPr>
          <w:rFonts w:eastAsia="Calibri" w:cs="Times New Roman"/>
        </w:rPr>
        <w:lastRenderedPageBreak/>
        <w:t>измерении в процессе или после завершения лечения, вне зависимости от изменения размеров других очагов поражения.</w:t>
      </w:r>
    </w:p>
    <w:p w14:paraId="30112CE8" w14:textId="77777777" w:rsidR="00546683" w:rsidRPr="00D3063E" w:rsidRDefault="00546683" w:rsidP="00D22A46">
      <w:pPr>
        <w:numPr>
          <w:ilvl w:val="0"/>
          <w:numId w:val="24"/>
        </w:numPr>
        <w:contextualSpacing/>
        <w:rPr>
          <w:rFonts w:eastAsia="Calibri" w:cs="Times New Roman"/>
          <w:u w:val="single"/>
        </w:rPr>
      </w:pPr>
      <w:r w:rsidRPr="00940BBC">
        <w:rPr>
          <w:rFonts w:eastAsia="Calibri" w:cs="Times New Roman"/>
        </w:rPr>
        <w:t xml:space="preserve">Увеличение как минимум одного уже известного очага более чем на 25% от минимального. Для очагов менее 1 см в наибольшем измерении – увеличение до 1,5 см и более. </w:t>
      </w:r>
    </w:p>
    <w:p w14:paraId="30112CE9" w14:textId="7D685A58" w:rsidR="00D3063E" w:rsidRDefault="00D3063E" w:rsidP="00D3063E">
      <w:pPr>
        <w:contextualSpacing/>
        <w:rPr>
          <w:rFonts w:eastAsia="Calibri" w:cs="Times New Roman"/>
        </w:rPr>
      </w:pPr>
    </w:p>
    <w:p w14:paraId="496BC6C2" w14:textId="22846E37" w:rsidR="008B402F" w:rsidRDefault="00356F3C" w:rsidP="008B402F">
      <w:pPr>
        <w:pStyle w:val="2"/>
      </w:pPr>
      <w:bookmarkStart w:id="57" w:name="_Toc65108043"/>
      <w:r>
        <w:t xml:space="preserve">7.5. </w:t>
      </w:r>
      <w:r w:rsidR="008B402F" w:rsidRPr="005E31D3">
        <w:rPr>
          <w:lang w:eastAsia="ru-RU"/>
        </w:rPr>
        <w:t>Профилактика и лечение тошноты и рвоты</w:t>
      </w:r>
      <w:bookmarkEnd w:id="57"/>
      <w:r w:rsidR="008B402F" w:rsidRPr="009600FA">
        <w:rPr>
          <w:lang w:eastAsia="ru-RU"/>
        </w:rPr>
        <w:t xml:space="preserve"> </w:t>
      </w:r>
    </w:p>
    <w:p w14:paraId="25614D7E" w14:textId="38C4FC8D" w:rsidR="008B402F" w:rsidRPr="001957E3" w:rsidRDefault="008B402F" w:rsidP="008B402F">
      <w:r w:rsidRPr="001957E3">
        <w:t xml:space="preserve">Одним из частых клинически значимых побочных эффектов </w:t>
      </w:r>
      <w:r>
        <w:t>П</w:t>
      </w:r>
      <w:r w:rsidRPr="001957E3">
        <w:t>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гемобластозами</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1957E3">
        <w:t xml:space="preserve">. </w:t>
      </w:r>
    </w:p>
    <w:p w14:paraId="20E6A9D3" w14:textId="77777777" w:rsidR="008B402F" w:rsidRPr="001957E3" w:rsidRDefault="008B402F" w:rsidP="008B402F">
      <w:r w:rsidRPr="001957E3">
        <w:t>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NK-1). Противорвотные препараты избирательно блокируют какой-либо из перечисленных нейротрансмиттеров.</w:t>
      </w:r>
    </w:p>
    <w:p w14:paraId="4C0DCF54" w14:textId="77777777" w:rsidR="008B402F" w:rsidRDefault="008B402F" w:rsidP="008B402F">
      <w:pPr>
        <w:pStyle w:val="Normal11"/>
        <w:tabs>
          <w:tab w:val="left" w:pos="0"/>
        </w:tabs>
        <w:spacing w:line="360" w:lineRule="auto"/>
        <w:ind w:firstLine="699"/>
        <w:jc w:val="both"/>
        <w:rPr>
          <w:rFonts w:cs="Times New Roman"/>
          <w:bCs/>
          <w:i/>
          <w:iCs/>
          <w:u w:val="single"/>
          <w:shd w:val="clear" w:color="auto" w:fill="FFFFFF"/>
        </w:rPr>
      </w:pPr>
    </w:p>
    <w:p w14:paraId="48D7B4E3" w14:textId="77777777" w:rsidR="008B402F" w:rsidRPr="00733870"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733870">
        <w:rPr>
          <w:rFonts w:cs="Times New Roman"/>
          <w:bCs/>
          <w:i/>
          <w:iCs/>
          <w:u w:val="single"/>
          <w:shd w:val="clear" w:color="auto" w:fill="FFFFFF"/>
        </w:rPr>
        <w:t>Типы тошноты и рвоты</w:t>
      </w:r>
    </w:p>
    <w:p w14:paraId="16434D79" w14:textId="77777777" w:rsidR="008B402F" w:rsidRPr="001957E3" w:rsidRDefault="008B402F" w:rsidP="00D22A46">
      <w:pPr>
        <w:pStyle w:val="afe"/>
        <w:numPr>
          <w:ilvl w:val="0"/>
          <w:numId w:val="40"/>
        </w:numPr>
        <w:contextualSpacing w:val="0"/>
      </w:pPr>
      <w:r w:rsidRPr="001957E3">
        <w:t xml:space="preserve">Острая рвота – развивается в первые 24 ч после </w:t>
      </w:r>
      <w:r>
        <w:t>П</w:t>
      </w:r>
      <w:r w:rsidRPr="001957E3">
        <w:t>ХТ; отличается высокой интенсивностью; редко сопровождается тошнотой.</w:t>
      </w:r>
    </w:p>
    <w:p w14:paraId="2EFFC8BD" w14:textId="77777777" w:rsidR="008B402F" w:rsidRPr="001957E3" w:rsidRDefault="008B402F" w:rsidP="00D22A46">
      <w:pPr>
        <w:pStyle w:val="afe"/>
        <w:numPr>
          <w:ilvl w:val="0"/>
          <w:numId w:val="40"/>
        </w:numPr>
        <w:contextualSpacing w:val="0"/>
      </w:pPr>
      <w:r w:rsidRPr="001957E3">
        <w:t xml:space="preserve">Отсроченная рвота – развивается на 2-5 сутки после начала </w:t>
      </w:r>
      <w:r>
        <w:t>П</w:t>
      </w:r>
      <w:r w:rsidRPr="001957E3">
        <w:t>ХТ; менее интенсивна, чем острая; часто сопровождается постоянной тошнотой.</w:t>
      </w:r>
    </w:p>
    <w:p w14:paraId="25C4D3D4" w14:textId="77777777" w:rsidR="008B402F" w:rsidRPr="001957E3" w:rsidRDefault="008B402F" w:rsidP="00D22A46">
      <w:pPr>
        <w:pStyle w:val="afe"/>
        <w:numPr>
          <w:ilvl w:val="0"/>
          <w:numId w:val="40"/>
        </w:numPr>
        <w:contextualSpacing w:val="0"/>
      </w:pPr>
      <w:r w:rsidRPr="001957E3">
        <w:t xml:space="preserve">Условно-рефлекторная рвота – развивается как условный рефлекс на </w:t>
      </w:r>
      <w:r>
        <w:t>П</w:t>
      </w:r>
      <w:r w:rsidRPr="001957E3">
        <w:t xml:space="preserve">ХТ и/или сопутствующие ей манипуляции и окружающую обстановку; риск ее развития увеличивается с количеством курсов </w:t>
      </w:r>
      <w:r>
        <w:t>П</w:t>
      </w:r>
      <w:r w:rsidRPr="001957E3">
        <w:t xml:space="preserve">ХТ; может сохраняться в течение длительного времени после окончания </w:t>
      </w:r>
      <w:r>
        <w:t>П</w:t>
      </w:r>
      <w:r w:rsidRPr="001957E3">
        <w:t>ХТ.</w:t>
      </w:r>
    </w:p>
    <w:p w14:paraId="0AFF2557" w14:textId="77777777" w:rsidR="008B402F" w:rsidRPr="001957E3" w:rsidRDefault="008B402F" w:rsidP="00D22A46">
      <w:pPr>
        <w:pStyle w:val="afe"/>
        <w:numPr>
          <w:ilvl w:val="0"/>
          <w:numId w:val="40"/>
        </w:numPr>
        <w:contextualSpacing w:val="0"/>
      </w:pPr>
      <w:r w:rsidRPr="001957E3">
        <w:lastRenderedPageBreak/>
        <w:t>Неконтролируемая тошнота и рвота – развивается на фоне адекватной антиэметической профилактики и требует дополнительной коррекции.</w:t>
      </w:r>
    </w:p>
    <w:p w14:paraId="79482C5B" w14:textId="77777777" w:rsidR="008B402F" w:rsidRPr="001957E3" w:rsidRDefault="008B402F" w:rsidP="00D22A46">
      <w:pPr>
        <w:pStyle w:val="afe"/>
        <w:numPr>
          <w:ilvl w:val="0"/>
          <w:numId w:val="40"/>
        </w:numPr>
        <w:contextualSpacing w:val="0"/>
      </w:pPr>
      <w:r w:rsidRPr="001957E3">
        <w:t xml:space="preserve">Рефрактерная рвота – возникает на последующих курсах </w:t>
      </w:r>
      <w:r>
        <w:t>П</w:t>
      </w:r>
      <w:r w:rsidRPr="001957E3">
        <w:t>ХТ при неэффективности противорвотной профилактики и / или препаратов резерва на предыдущих курсах лечения.</w:t>
      </w:r>
    </w:p>
    <w:p w14:paraId="60DA9046" w14:textId="77777777" w:rsidR="008B402F" w:rsidRDefault="008B402F" w:rsidP="008B402F">
      <w:pPr>
        <w:pStyle w:val="Normal11"/>
        <w:tabs>
          <w:tab w:val="left" w:pos="0"/>
        </w:tabs>
        <w:spacing w:line="360" w:lineRule="auto"/>
        <w:ind w:left="0" w:firstLine="0"/>
        <w:jc w:val="both"/>
        <w:rPr>
          <w:rFonts w:cs="Times New Roman"/>
          <w:b/>
          <w:shd w:val="clear" w:color="auto" w:fill="FFFFFF"/>
        </w:rPr>
      </w:pPr>
    </w:p>
    <w:p w14:paraId="3BDDB8F4" w14:textId="77777777" w:rsidR="008B402F" w:rsidRPr="00733870" w:rsidRDefault="008B402F" w:rsidP="008B402F">
      <w:pPr>
        <w:pStyle w:val="Normal11"/>
        <w:tabs>
          <w:tab w:val="left" w:pos="426"/>
        </w:tabs>
        <w:spacing w:line="360" w:lineRule="auto"/>
        <w:ind w:left="0" w:firstLine="426"/>
        <w:jc w:val="both"/>
        <w:rPr>
          <w:rFonts w:cs="Times New Roman"/>
          <w:bCs/>
          <w:i/>
          <w:iCs/>
          <w:u w:val="single"/>
          <w:shd w:val="clear" w:color="auto" w:fill="FFFFFF"/>
        </w:rPr>
      </w:pPr>
      <w:r w:rsidRPr="00733870">
        <w:rPr>
          <w:rFonts w:cs="Times New Roman"/>
          <w:bCs/>
          <w:i/>
          <w:iCs/>
          <w:u w:val="single"/>
          <w:shd w:val="clear" w:color="auto" w:fill="FFFFFF"/>
        </w:rPr>
        <w:t>Эметогенный потенциал противоопухолевых препаратов</w:t>
      </w:r>
    </w:p>
    <w:p w14:paraId="440D3538" w14:textId="181BCC5F" w:rsidR="008B402F" w:rsidRPr="001957E3" w:rsidRDefault="008B402F" w:rsidP="008B402F">
      <w:r w:rsidRPr="001957E3">
        <w:t>Эметогенность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r>
        <w:t xml:space="preserve"> (см. таблицу 1)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1957E3">
        <w:t>:</w:t>
      </w:r>
    </w:p>
    <w:p w14:paraId="49BF713F" w14:textId="77777777" w:rsidR="008B402F" w:rsidRPr="001957E3" w:rsidRDefault="008B402F" w:rsidP="00D22A46">
      <w:pPr>
        <w:pStyle w:val="afe"/>
        <w:numPr>
          <w:ilvl w:val="0"/>
          <w:numId w:val="41"/>
        </w:numPr>
        <w:contextualSpacing w:val="0"/>
      </w:pPr>
      <w:r w:rsidRPr="001957E3">
        <w:t xml:space="preserve">минимальный </w:t>
      </w:r>
      <w:r>
        <w:t>–</w:t>
      </w:r>
      <w:r w:rsidRPr="001957E3">
        <w:t xml:space="preserve"> развитие рвоты менее чем у 10% </w:t>
      </w:r>
      <w:r>
        <w:t>пациентов</w:t>
      </w:r>
      <w:r w:rsidRPr="001957E3">
        <w:t>;</w:t>
      </w:r>
    </w:p>
    <w:p w14:paraId="506857CD" w14:textId="77777777" w:rsidR="008B402F" w:rsidRPr="001957E3" w:rsidRDefault="008B402F" w:rsidP="00D22A46">
      <w:pPr>
        <w:pStyle w:val="afe"/>
        <w:numPr>
          <w:ilvl w:val="0"/>
          <w:numId w:val="41"/>
        </w:numPr>
        <w:contextualSpacing w:val="0"/>
      </w:pPr>
      <w:r w:rsidRPr="001957E3">
        <w:t xml:space="preserve">низкий </w:t>
      </w:r>
      <w:r>
        <w:t>–</w:t>
      </w:r>
      <w:r w:rsidRPr="001957E3">
        <w:t xml:space="preserve"> развитие рвоты у 10 - 30% </w:t>
      </w:r>
      <w:r>
        <w:t>пациентов</w:t>
      </w:r>
      <w:r w:rsidRPr="001957E3">
        <w:t>;</w:t>
      </w:r>
    </w:p>
    <w:p w14:paraId="4DFD2C1D" w14:textId="77777777" w:rsidR="008B402F" w:rsidRPr="001957E3" w:rsidRDefault="008B402F" w:rsidP="00D22A46">
      <w:pPr>
        <w:pStyle w:val="afe"/>
        <w:numPr>
          <w:ilvl w:val="0"/>
          <w:numId w:val="41"/>
        </w:numPr>
        <w:contextualSpacing w:val="0"/>
      </w:pPr>
      <w:r w:rsidRPr="001957E3">
        <w:t xml:space="preserve">средний </w:t>
      </w:r>
      <w:r>
        <w:t>–</w:t>
      </w:r>
      <w:r w:rsidRPr="001957E3">
        <w:t xml:space="preserve"> развитие рвоты у 30 - 90% </w:t>
      </w:r>
      <w:r>
        <w:t>пациентов</w:t>
      </w:r>
      <w:r w:rsidRPr="001957E3">
        <w:t>;</w:t>
      </w:r>
    </w:p>
    <w:p w14:paraId="049229CF" w14:textId="77777777" w:rsidR="008B402F" w:rsidRDefault="008B402F" w:rsidP="00D22A46">
      <w:pPr>
        <w:pStyle w:val="afe"/>
        <w:numPr>
          <w:ilvl w:val="0"/>
          <w:numId w:val="41"/>
        </w:numPr>
        <w:contextualSpacing w:val="0"/>
      </w:pPr>
      <w:r w:rsidRPr="001957E3">
        <w:t xml:space="preserve">высокий </w:t>
      </w:r>
      <w:r>
        <w:t>–</w:t>
      </w:r>
      <w:r w:rsidRPr="001957E3">
        <w:t xml:space="preserve"> развитие рвоты более чем у 90% </w:t>
      </w:r>
      <w:r>
        <w:t>пациентов</w:t>
      </w:r>
      <w:r w:rsidRPr="001957E3">
        <w:t>.</w:t>
      </w:r>
    </w:p>
    <w:p w14:paraId="765A926F" w14:textId="77777777" w:rsidR="008B402F" w:rsidRDefault="008B402F" w:rsidP="008B402F">
      <w:pPr>
        <w:ind w:firstLine="0"/>
      </w:pPr>
    </w:p>
    <w:p w14:paraId="0BB09AEC" w14:textId="77777777" w:rsidR="008B402F" w:rsidRPr="001957E3" w:rsidRDefault="008B402F" w:rsidP="008B402F">
      <w:pPr>
        <w:ind w:firstLine="0"/>
      </w:pPr>
      <w:r>
        <w:t>Таблица 1. Уровень эметогенности основных противоопухолевых препаратов</w:t>
      </w:r>
    </w:p>
    <w:tbl>
      <w:tblPr>
        <w:tblStyle w:val="aff9"/>
        <w:tblW w:w="0" w:type="auto"/>
        <w:tblInd w:w="10" w:type="dxa"/>
        <w:tblLook w:val="04A0" w:firstRow="1" w:lastRow="0" w:firstColumn="1" w:lastColumn="0" w:noHBand="0" w:noVBand="1"/>
      </w:tblPr>
      <w:tblGrid>
        <w:gridCol w:w="1837"/>
        <w:gridCol w:w="3595"/>
        <w:gridCol w:w="3337"/>
      </w:tblGrid>
      <w:tr w:rsidR="008B402F" w14:paraId="27B5C633" w14:textId="77777777" w:rsidTr="005A428D">
        <w:trPr>
          <w:trHeight w:val="692"/>
        </w:trPr>
        <w:tc>
          <w:tcPr>
            <w:tcW w:w="1837" w:type="dxa"/>
          </w:tcPr>
          <w:p w14:paraId="1134071C" w14:textId="77777777" w:rsidR="008B402F" w:rsidRPr="00DE20E4" w:rsidRDefault="008B402F" w:rsidP="005A428D">
            <w:pPr>
              <w:pStyle w:val="Normal11"/>
              <w:shd w:val="clear" w:color="auto" w:fill="auto"/>
              <w:tabs>
                <w:tab w:val="left" w:pos="0"/>
              </w:tabs>
              <w:spacing w:line="360" w:lineRule="auto"/>
              <w:ind w:left="57" w:right="57" w:firstLine="0"/>
              <w:jc w:val="both"/>
              <w:rPr>
                <w:rFonts w:cs="Times New Roman"/>
                <w:b/>
                <w:sz w:val="22"/>
                <w:szCs w:val="22"/>
                <w:shd w:val="clear" w:color="auto" w:fill="FFFFFF"/>
              </w:rPr>
            </w:pPr>
            <w:r w:rsidRPr="00DE20E4">
              <w:rPr>
                <w:rFonts w:cs="Times New Roman"/>
                <w:b/>
                <w:sz w:val="22"/>
                <w:szCs w:val="22"/>
                <w:shd w:val="clear" w:color="auto" w:fill="FFFFFF"/>
              </w:rPr>
              <w:t>Уровень эметогенности</w:t>
            </w:r>
          </w:p>
        </w:tc>
        <w:tc>
          <w:tcPr>
            <w:tcW w:w="3746" w:type="dxa"/>
          </w:tcPr>
          <w:p w14:paraId="14017991" w14:textId="77777777" w:rsidR="008B402F" w:rsidRPr="00DE20E4" w:rsidRDefault="008B402F" w:rsidP="005A428D">
            <w:pPr>
              <w:pStyle w:val="Normal11"/>
              <w:shd w:val="clear" w:color="auto" w:fill="auto"/>
              <w:tabs>
                <w:tab w:val="left" w:pos="0"/>
              </w:tabs>
              <w:spacing w:line="360" w:lineRule="auto"/>
              <w:ind w:left="57" w:right="57" w:firstLine="0"/>
              <w:rPr>
                <w:rFonts w:cs="Times New Roman"/>
                <w:b/>
                <w:sz w:val="22"/>
                <w:szCs w:val="22"/>
                <w:shd w:val="clear" w:color="auto" w:fill="FFFFFF"/>
              </w:rPr>
            </w:pPr>
            <w:r w:rsidRPr="00DE20E4">
              <w:rPr>
                <w:rFonts w:cs="Times New Roman"/>
                <w:b/>
                <w:sz w:val="22"/>
                <w:szCs w:val="22"/>
                <w:shd w:val="clear" w:color="auto" w:fill="FFFFFF"/>
              </w:rPr>
              <w:t>Противоопухолевые препараты для внутривенного введения</w:t>
            </w:r>
          </w:p>
        </w:tc>
        <w:tc>
          <w:tcPr>
            <w:tcW w:w="3746" w:type="dxa"/>
          </w:tcPr>
          <w:p w14:paraId="17A17297" w14:textId="77777777" w:rsidR="008B402F" w:rsidRPr="00DE20E4" w:rsidRDefault="008B402F" w:rsidP="005A428D">
            <w:pPr>
              <w:pStyle w:val="Normal11"/>
              <w:shd w:val="clear" w:color="auto" w:fill="auto"/>
              <w:tabs>
                <w:tab w:val="left" w:pos="0"/>
              </w:tabs>
              <w:spacing w:line="360" w:lineRule="auto"/>
              <w:ind w:left="57" w:right="57" w:firstLine="0"/>
              <w:rPr>
                <w:rFonts w:cs="Times New Roman"/>
                <w:b/>
                <w:sz w:val="22"/>
                <w:szCs w:val="22"/>
                <w:shd w:val="clear" w:color="auto" w:fill="FFFFFF"/>
              </w:rPr>
            </w:pPr>
            <w:r w:rsidRPr="00DE20E4">
              <w:rPr>
                <w:rFonts w:cs="Times New Roman"/>
                <w:b/>
                <w:sz w:val="22"/>
                <w:szCs w:val="22"/>
                <w:shd w:val="clear" w:color="auto" w:fill="FFFFFF"/>
              </w:rPr>
              <w:t xml:space="preserve">Противоопухолевые препараты для перорального приема </w:t>
            </w:r>
          </w:p>
        </w:tc>
      </w:tr>
      <w:tr w:rsidR="008B402F" w14:paraId="347FB818" w14:textId="77777777" w:rsidTr="005A428D">
        <w:trPr>
          <w:trHeight w:val="692"/>
        </w:trPr>
        <w:tc>
          <w:tcPr>
            <w:tcW w:w="1837" w:type="dxa"/>
          </w:tcPr>
          <w:p w14:paraId="038166FA" w14:textId="77777777" w:rsidR="008B402F" w:rsidRDefault="008B402F" w:rsidP="005A428D">
            <w:pPr>
              <w:pStyle w:val="Normal11"/>
              <w:shd w:val="clear" w:color="auto" w:fill="auto"/>
              <w:tabs>
                <w:tab w:val="left" w:pos="0"/>
              </w:tabs>
              <w:spacing w:line="360" w:lineRule="auto"/>
              <w:ind w:left="57" w:right="57" w:firstLine="0"/>
              <w:jc w:val="both"/>
              <w:rPr>
                <w:sz w:val="22"/>
                <w:szCs w:val="22"/>
              </w:rPr>
            </w:pPr>
            <w:r w:rsidRPr="00DE20E4">
              <w:rPr>
                <w:sz w:val="22"/>
                <w:szCs w:val="22"/>
              </w:rPr>
              <w:t xml:space="preserve">Высокий </w:t>
            </w:r>
          </w:p>
          <w:p w14:paraId="16582D22" w14:textId="77777777" w:rsidR="008B402F" w:rsidRPr="00DE20E4" w:rsidRDefault="008B402F" w:rsidP="005A428D">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w:t>
            </w:r>
            <w:r w:rsidRPr="00DE20E4">
              <w:rPr>
                <w:rFonts w:cs="Times New Roman"/>
                <w:sz w:val="22"/>
                <w:szCs w:val="22"/>
                <w:shd w:val="clear" w:color="auto" w:fill="FFFFFF"/>
              </w:rPr>
              <w:t>&gt;</w:t>
            </w:r>
            <w:r>
              <w:rPr>
                <w:sz w:val="22"/>
                <w:szCs w:val="22"/>
              </w:rPr>
              <w:t>90 %</w:t>
            </w:r>
            <w:r w:rsidRPr="00DE20E4">
              <w:rPr>
                <w:sz w:val="22"/>
                <w:szCs w:val="22"/>
              </w:rPr>
              <w:t>)</w:t>
            </w:r>
          </w:p>
        </w:tc>
        <w:tc>
          <w:tcPr>
            <w:tcW w:w="3746" w:type="dxa"/>
          </w:tcPr>
          <w:p w14:paraId="4FC8408D"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комбинация антрациклин / циклофосфамид </w:t>
            </w:r>
          </w:p>
          <w:p w14:paraId="50613AD6"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дакарбазин</w:t>
            </w:r>
          </w:p>
          <w:p w14:paraId="3D1B06DF"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кармустин</w:t>
            </w:r>
          </w:p>
          <w:p w14:paraId="50E37EC3"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мехлорэтамин</w:t>
            </w:r>
          </w:p>
          <w:p w14:paraId="4282F24E"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стрептозоцин</w:t>
            </w:r>
          </w:p>
          <w:p w14:paraId="349670A8"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 ≥ 1500 мг / м</w:t>
            </w:r>
            <w:r w:rsidRPr="00046796">
              <w:rPr>
                <w:rFonts w:cs="Times New Roman"/>
                <w:sz w:val="22"/>
                <w:szCs w:val="22"/>
                <w:shd w:val="clear" w:color="auto" w:fill="FFFFFF"/>
                <w:vertAlign w:val="superscript"/>
              </w:rPr>
              <w:t>2</w:t>
            </w:r>
          </w:p>
          <w:p w14:paraId="0A6C9A1A" w14:textId="77777777" w:rsidR="008B402F" w:rsidRPr="00DE20E4" w:rsidRDefault="008B402F" w:rsidP="00D22A46">
            <w:pPr>
              <w:pStyle w:val="Normal11"/>
              <w:numPr>
                <w:ilvl w:val="0"/>
                <w:numId w:val="36"/>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цисплатин</w:t>
            </w:r>
          </w:p>
        </w:tc>
        <w:tc>
          <w:tcPr>
            <w:tcW w:w="3746" w:type="dxa"/>
          </w:tcPr>
          <w:p w14:paraId="03608C59" w14:textId="77777777" w:rsidR="008B402F" w:rsidRPr="00DE20E4" w:rsidRDefault="008B402F" w:rsidP="00D22A46">
            <w:pPr>
              <w:pStyle w:val="Normal11"/>
              <w:numPr>
                <w:ilvl w:val="0"/>
                <w:numId w:val="36"/>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гексаметилмеламин</w:t>
            </w:r>
          </w:p>
          <w:p w14:paraId="29F4EEF3" w14:textId="77777777" w:rsidR="008B402F" w:rsidRPr="00DE20E4" w:rsidRDefault="008B402F" w:rsidP="00D22A46">
            <w:pPr>
              <w:pStyle w:val="Normal11"/>
              <w:numPr>
                <w:ilvl w:val="0"/>
                <w:numId w:val="36"/>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прокарбазин</w:t>
            </w:r>
          </w:p>
        </w:tc>
      </w:tr>
      <w:tr w:rsidR="008B402F" w14:paraId="45BD4935" w14:textId="77777777" w:rsidTr="005A428D">
        <w:trPr>
          <w:trHeight w:val="692"/>
        </w:trPr>
        <w:tc>
          <w:tcPr>
            <w:tcW w:w="1837" w:type="dxa"/>
          </w:tcPr>
          <w:p w14:paraId="22C64610" w14:textId="77777777" w:rsidR="008B402F" w:rsidRPr="00DE20E4" w:rsidRDefault="008B402F" w:rsidP="005A428D">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Умеренный (30–90 %)</w:t>
            </w:r>
          </w:p>
        </w:tc>
        <w:tc>
          <w:tcPr>
            <w:tcW w:w="3746" w:type="dxa"/>
          </w:tcPr>
          <w:p w14:paraId="2B7AA962"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азацитидин</w:t>
            </w:r>
          </w:p>
          <w:p w14:paraId="1BC0D8B7"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алемтузумаб</w:t>
            </w:r>
          </w:p>
          <w:p w14:paraId="50469C3A"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бендамустин</w:t>
            </w:r>
          </w:p>
          <w:p w14:paraId="3FE43C4E"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бусульфан</w:t>
            </w:r>
          </w:p>
          <w:p w14:paraId="31EA5102"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даунорубицин</w:t>
            </w:r>
          </w:p>
          <w:p w14:paraId="053276F2"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доксорубицин</w:t>
            </w:r>
          </w:p>
          <w:p w14:paraId="7C09E4BF"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идарубицин</w:t>
            </w:r>
          </w:p>
          <w:p w14:paraId="2299747E"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иринотекан</w:t>
            </w:r>
          </w:p>
          <w:p w14:paraId="7416B80C" w14:textId="77777777" w:rsidR="008B402F" w:rsidRPr="002C441B"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lastRenderedPageBreak/>
              <w:t xml:space="preserve">иринотекан </w:t>
            </w:r>
            <w:r w:rsidRPr="002C441B">
              <w:rPr>
                <w:rFonts w:cs="Times New Roman"/>
                <w:sz w:val="22"/>
                <w:szCs w:val="22"/>
                <w:shd w:val="clear" w:color="auto" w:fill="FFFFFF"/>
              </w:rPr>
              <w:t>[</w:t>
            </w:r>
            <w:r w:rsidRPr="00DE20E4">
              <w:rPr>
                <w:rFonts w:cs="Times New Roman"/>
                <w:sz w:val="22"/>
                <w:szCs w:val="22"/>
                <w:shd w:val="clear" w:color="auto" w:fill="FFFFFF"/>
              </w:rPr>
              <w:t>липосомальная форма</w:t>
            </w:r>
            <w:r w:rsidRPr="002C441B">
              <w:rPr>
                <w:rFonts w:cs="Times New Roman"/>
                <w:sz w:val="22"/>
                <w:szCs w:val="22"/>
                <w:shd w:val="clear" w:color="auto" w:fill="FFFFFF"/>
              </w:rPr>
              <w:t>]</w:t>
            </w:r>
          </w:p>
          <w:p w14:paraId="269F9FFE"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ифосфамид</w:t>
            </w:r>
          </w:p>
          <w:p w14:paraId="54C9A206"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карбоплатин</w:t>
            </w:r>
          </w:p>
          <w:p w14:paraId="56599659"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клофарабин</w:t>
            </w:r>
          </w:p>
          <w:p w14:paraId="45E9A9D3"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оксалиплатин</w:t>
            </w:r>
          </w:p>
          <w:p w14:paraId="3024E729"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ромидепсин </w:t>
            </w:r>
          </w:p>
          <w:p w14:paraId="12C4CBC4"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темозоломид</w:t>
            </w:r>
          </w:p>
          <w:p w14:paraId="22C9D6B3"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тиотепа</w:t>
            </w:r>
          </w:p>
          <w:p w14:paraId="343E6938"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трабектедин</w:t>
            </w:r>
          </w:p>
          <w:p w14:paraId="59575B2A"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 &lt;1500 мг / м</w:t>
            </w:r>
            <w:r w:rsidRPr="00046796">
              <w:rPr>
                <w:rFonts w:cs="Times New Roman"/>
                <w:sz w:val="22"/>
                <w:szCs w:val="22"/>
                <w:shd w:val="clear" w:color="auto" w:fill="FFFFFF"/>
                <w:vertAlign w:val="superscript"/>
              </w:rPr>
              <w:t>2</w:t>
            </w:r>
          </w:p>
          <w:p w14:paraId="07514196"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цитарабин</w:t>
            </w:r>
            <w:r>
              <w:rPr>
                <w:rFonts w:cs="Times New Roman"/>
                <w:sz w:val="22"/>
                <w:szCs w:val="22"/>
                <w:shd w:val="clear" w:color="auto" w:fill="FFFFFF"/>
              </w:rPr>
              <w:t xml:space="preserve"> </w:t>
            </w:r>
            <w:r w:rsidRPr="00DE20E4">
              <w:rPr>
                <w:rFonts w:cs="Times New Roman"/>
                <w:sz w:val="22"/>
                <w:szCs w:val="22"/>
                <w:shd w:val="clear" w:color="auto" w:fill="FFFFFF"/>
              </w:rPr>
              <w:t>&gt;1000 мг / м</w:t>
            </w:r>
            <w:r w:rsidRPr="00046796">
              <w:rPr>
                <w:rFonts w:cs="Times New Roman"/>
                <w:sz w:val="22"/>
                <w:szCs w:val="22"/>
                <w:shd w:val="clear" w:color="auto" w:fill="FFFFFF"/>
                <w:vertAlign w:val="superscript"/>
              </w:rPr>
              <w:t>2</w:t>
            </w:r>
          </w:p>
          <w:p w14:paraId="534DDD79" w14:textId="77777777" w:rsidR="008B402F" w:rsidRPr="00DE20E4" w:rsidRDefault="008B402F" w:rsidP="00D22A46">
            <w:pPr>
              <w:pStyle w:val="Normal11"/>
              <w:numPr>
                <w:ilvl w:val="0"/>
                <w:numId w:val="37"/>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эпирубицин</w:t>
            </w:r>
          </w:p>
        </w:tc>
        <w:tc>
          <w:tcPr>
            <w:tcW w:w="3746" w:type="dxa"/>
          </w:tcPr>
          <w:p w14:paraId="6D365DD2"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lastRenderedPageBreak/>
              <w:t>б</w:t>
            </w:r>
            <w:r w:rsidRPr="00DE20E4">
              <w:rPr>
                <w:rFonts w:cs="Times New Roman"/>
                <w:sz w:val="22"/>
                <w:szCs w:val="22"/>
                <w:shd w:val="clear" w:color="auto" w:fill="FFFFFF"/>
              </w:rPr>
              <w:t>осутиниб</w:t>
            </w:r>
          </w:p>
          <w:p w14:paraId="59BA2C96"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винорельбин</w:t>
            </w:r>
          </w:p>
          <w:p w14:paraId="564D5487" w14:textId="77777777" w:rsidR="008B402F" w:rsidRDefault="008B402F" w:rsidP="00D22A46">
            <w:pPr>
              <w:pStyle w:val="Normal11"/>
              <w:numPr>
                <w:ilvl w:val="0"/>
                <w:numId w:val="37"/>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иматиниб</w:t>
            </w:r>
          </w:p>
          <w:p w14:paraId="6FB0974E" w14:textId="77777777" w:rsidR="008B402F" w:rsidRPr="00DE20E4" w:rsidRDefault="008B402F" w:rsidP="00D22A46">
            <w:pPr>
              <w:pStyle w:val="Normal11"/>
              <w:numPr>
                <w:ilvl w:val="0"/>
                <w:numId w:val="37"/>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кабозантиниб</w:t>
            </w:r>
          </w:p>
          <w:p w14:paraId="64A98A7D"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кризотиниб</w:t>
            </w:r>
          </w:p>
          <w:p w14:paraId="5732C0B0"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ленватиниб</w:t>
            </w:r>
          </w:p>
          <w:p w14:paraId="511713A0" w14:textId="77777777" w:rsidR="008B402F"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темозоломид</w:t>
            </w:r>
          </w:p>
          <w:p w14:paraId="7D58CC58"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трифлуридин-типирацил</w:t>
            </w:r>
          </w:p>
          <w:p w14:paraId="52A44966" w14:textId="77777777" w:rsidR="008B402F" w:rsidRPr="00DE20E4" w:rsidRDefault="008B402F" w:rsidP="00D22A46">
            <w:pPr>
              <w:pStyle w:val="Normal11"/>
              <w:numPr>
                <w:ilvl w:val="0"/>
                <w:numId w:val="37"/>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lastRenderedPageBreak/>
              <w:t>церитиниб</w:t>
            </w:r>
          </w:p>
          <w:p w14:paraId="03A0AA98" w14:textId="77777777" w:rsidR="008B402F" w:rsidRPr="00DE20E4" w:rsidRDefault="008B402F" w:rsidP="00D22A46">
            <w:pPr>
              <w:pStyle w:val="Normal11"/>
              <w:numPr>
                <w:ilvl w:val="0"/>
                <w:numId w:val="37"/>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w:t>
            </w:r>
          </w:p>
        </w:tc>
      </w:tr>
      <w:tr w:rsidR="008B402F" w14:paraId="483334A0" w14:textId="77777777" w:rsidTr="005A428D">
        <w:trPr>
          <w:trHeight w:val="692"/>
        </w:trPr>
        <w:tc>
          <w:tcPr>
            <w:tcW w:w="1837" w:type="dxa"/>
          </w:tcPr>
          <w:p w14:paraId="09AE54BE" w14:textId="77777777" w:rsidR="008B402F" w:rsidRDefault="008B402F" w:rsidP="005A428D">
            <w:pPr>
              <w:pStyle w:val="Normal11"/>
              <w:shd w:val="clear" w:color="auto" w:fill="auto"/>
              <w:tabs>
                <w:tab w:val="left" w:pos="0"/>
              </w:tabs>
              <w:spacing w:line="360" w:lineRule="auto"/>
              <w:ind w:left="57" w:right="57" w:firstLine="0"/>
              <w:jc w:val="both"/>
              <w:rPr>
                <w:sz w:val="22"/>
                <w:szCs w:val="22"/>
              </w:rPr>
            </w:pPr>
            <w:r w:rsidRPr="00DE20E4">
              <w:rPr>
                <w:sz w:val="22"/>
                <w:szCs w:val="22"/>
              </w:rPr>
              <w:lastRenderedPageBreak/>
              <w:t xml:space="preserve">Низкий </w:t>
            </w:r>
          </w:p>
          <w:p w14:paraId="7FF5B25E" w14:textId="77777777" w:rsidR="008B402F" w:rsidRPr="00DE20E4" w:rsidRDefault="008B402F" w:rsidP="005A428D">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t>(10–30 %)</w:t>
            </w:r>
          </w:p>
        </w:tc>
        <w:tc>
          <w:tcPr>
            <w:tcW w:w="3746" w:type="dxa"/>
          </w:tcPr>
          <w:p w14:paraId="0FC8CCF1"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тезолизумаб</w:t>
            </w:r>
          </w:p>
          <w:p w14:paraId="256AF8B8"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флиберцепт</w:t>
            </w:r>
          </w:p>
          <w:p w14:paraId="13D4630B"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елиностат</w:t>
            </w:r>
          </w:p>
          <w:p w14:paraId="55E85950"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блинатумомаб</w:t>
            </w:r>
          </w:p>
          <w:p w14:paraId="4DB7345E"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бортезомиб</w:t>
            </w:r>
          </w:p>
          <w:p w14:paraId="0860DFFB"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брентуксимаб</w:t>
            </w:r>
          </w:p>
          <w:p w14:paraId="077D4DE5"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винфлунин</w:t>
            </w:r>
          </w:p>
          <w:p w14:paraId="6D21F606"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гемцитабин</w:t>
            </w:r>
          </w:p>
          <w:p w14:paraId="4AE827FC"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доксорубици</w:t>
            </w:r>
            <w:r>
              <w:rPr>
                <w:rFonts w:cs="Times New Roman"/>
                <w:sz w:val="22"/>
                <w:szCs w:val="22"/>
                <w:shd w:val="clear" w:color="auto" w:fill="FFFFFF"/>
              </w:rPr>
              <w:t xml:space="preserve">н </w:t>
            </w:r>
            <w:r w:rsidRPr="00DE20E4">
              <w:rPr>
                <w:rFonts w:cs="Times New Roman"/>
                <w:sz w:val="22"/>
                <w:szCs w:val="22"/>
                <w:shd w:val="clear" w:color="auto" w:fill="FFFFFF"/>
              </w:rPr>
              <w:t>пегилированный</w:t>
            </w:r>
            <w:r>
              <w:rPr>
                <w:rFonts w:cs="Times New Roman"/>
                <w:sz w:val="22"/>
                <w:szCs w:val="22"/>
                <w:shd w:val="clear" w:color="auto" w:fill="FFFFFF"/>
              </w:rPr>
              <w:t xml:space="preserve"> </w:t>
            </w:r>
            <w:r w:rsidRPr="00DE20E4">
              <w:rPr>
                <w:rFonts w:cs="Times New Roman"/>
                <w:sz w:val="22"/>
                <w:szCs w:val="22"/>
                <w:shd w:val="clear" w:color="auto" w:fill="FFFFFF"/>
              </w:rPr>
              <w:t>липосомальный</w:t>
            </w:r>
          </w:p>
          <w:p w14:paraId="4752C64A"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доцетаксел</w:t>
            </w:r>
          </w:p>
          <w:p w14:paraId="4D8DD342"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иксабепилон</w:t>
            </w:r>
          </w:p>
          <w:p w14:paraId="54EE64AA"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ипилимумаб</w:t>
            </w:r>
          </w:p>
          <w:p w14:paraId="5898B7DB"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кабазитаксел</w:t>
            </w:r>
          </w:p>
          <w:p w14:paraId="75D22E30"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карфилзомиб</w:t>
            </w:r>
          </w:p>
          <w:p w14:paraId="1B42DB47"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катумаксумаб</w:t>
            </w:r>
          </w:p>
          <w:p w14:paraId="6EE305BC"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метотрексат</w:t>
            </w:r>
          </w:p>
          <w:p w14:paraId="1660006D"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митоксантрон</w:t>
            </w:r>
          </w:p>
          <w:p w14:paraId="7BFD0446"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митомицин</w:t>
            </w:r>
          </w:p>
          <w:p w14:paraId="3499F7DA"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наб-паклитаксел</w:t>
            </w:r>
          </w:p>
          <w:p w14:paraId="11C63AF1"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нецитумумаб</w:t>
            </w:r>
          </w:p>
          <w:p w14:paraId="7CCFF3BB"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паклитаксел</w:t>
            </w:r>
          </w:p>
          <w:p w14:paraId="50C65860"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lastRenderedPageBreak/>
              <w:t>панитумумаб</w:t>
            </w:r>
          </w:p>
          <w:p w14:paraId="64393610"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пеметрексед</w:t>
            </w:r>
          </w:p>
          <w:p w14:paraId="01DBDFD4"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пертузумаб</w:t>
            </w:r>
          </w:p>
          <w:p w14:paraId="6B267D96"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темсиролимус</w:t>
            </w:r>
          </w:p>
          <w:p w14:paraId="3EACDED4"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топотекан</w:t>
            </w:r>
          </w:p>
          <w:p w14:paraId="08ED34D3"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трастузумаб-эмтанзин</w:t>
            </w:r>
          </w:p>
          <w:p w14:paraId="0F1032E9"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цетуксимаб</w:t>
            </w:r>
          </w:p>
          <w:p w14:paraId="7B7DC738"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цитарабин ≤ 1000 мг / м</w:t>
            </w:r>
            <w:r w:rsidRPr="00046796">
              <w:rPr>
                <w:rFonts w:cs="Times New Roman"/>
                <w:sz w:val="22"/>
                <w:szCs w:val="22"/>
                <w:shd w:val="clear" w:color="auto" w:fill="FFFFFF"/>
                <w:vertAlign w:val="superscript"/>
              </w:rPr>
              <w:t>2</w:t>
            </w:r>
          </w:p>
          <w:p w14:paraId="2350A07D"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элотузумаб</w:t>
            </w:r>
          </w:p>
          <w:p w14:paraId="672999AC" w14:textId="77777777" w:rsidR="008B402F" w:rsidRPr="00DE20E4" w:rsidRDefault="008B402F" w:rsidP="00D22A46">
            <w:pPr>
              <w:pStyle w:val="Normal11"/>
              <w:numPr>
                <w:ilvl w:val="0"/>
                <w:numId w:val="38"/>
              </w:numPr>
              <w:tabs>
                <w:tab w:val="left" w:pos="0"/>
                <w:tab w:val="left" w:pos="1515"/>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эрибулин</w:t>
            </w:r>
            <w:r w:rsidRPr="00DE20E4">
              <w:rPr>
                <w:rFonts w:cs="Times New Roman"/>
                <w:sz w:val="22"/>
                <w:szCs w:val="22"/>
                <w:shd w:val="clear" w:color="auto" w:fill="FFFFFF"/>
              </w:rPr>
              <w:tab/>
            </w:r>
          </w:p>
          <w:p w14:paraId="41F95984"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этопозид</w:t>
            </w:r>
          </w:p>
          <w:p w14:paraId="15EBE45D" w14:textId="77777777" w:rsidR="008B402F" w:rsidRPr="00DE20E4" w:rsidRDefault="008B402F" w:rsidP="00D22A46">
            <w:pPr>
              <w:pStyle w:val="Normal11"/>
              <w:numPr>
                <w:ilvl w:val="0"/>
                <w:numId w:val="38"/>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5</w:t>
            </w:r>
            <w:r w:rsidRPr="00DE20E4">
              <w:rPr>
                <w:rFonts w:ascii="MS Mincho" w:eastAsia="MS Mincho" w:hAnsi="MS Mincho" w:cs="MS Mincho" w:hint="eastAsia"/>
                <w:sz w:val="22"/>
                <w:szCs w:val="22"/>
                <w:shd w:val="clear" w:color="auto" w:fill="FFFFFF"/>
              </w:rPr>
              <w:t>‑</w:t>
            </w:r>
            <w:r w:rsidRPr="00DE20E4">
              <w:rPr>
                <w:rFonts w:cs="Times New Roman"/>
                <w:sz w:val="22"/>
                <w:szCs w:val="22"/>
                <w:shd w:val="clear" w:color="auto" w:fill="FFFFFF"/>
              </w:rPr>
              <w:t>фторурацил</w:t>
            </w:r>
          </w:p>
        </w:tc>
        <w:tc>
          <w:tcPr>
            <w:tcW w:w="3746" w:type="dxa"/>
          </w:tcPr>
          <w:p w14:paraId="15A47B3C"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lastRenderedPageBreak/>
              <w:t>а</w:t>
            </w:r>
            <w:r w:rsidRPr="00DE20E4">
              <w:rPr>
                <w:rFonts w:cs="Times New Roman"/>
                <w:sz w:val="22"/>
                <w:szCs w:val="22"/>
                <w:shd w:val="clear" w:color="auto" w:fill="FFFFFF"/>
              </w:rPr>
              <w:t>ксатиниб</w:t>
            </w:r>
          </w:p>
          <w:p w14:paraId="62187028"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а</w:t>
            </w:r>
            <w:r w:rsidRPr="00015EAB">
              <w:rPr>
                <w:rFonts w:cs="Times New Roman"/>
                <w:sz w:val="22"/>
                <w:szCs w:val="22"/>
                <w:shd w:val="clear" w:color="auto" w:fill="FFFFFF"/>
              </w:rPr>
              <w:t xml:space="preserve">лектиниб </w:t>
            </w:r>
          </w:p>
          <w:p w14:paraId="5E9393AF"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афатиниб</w:t>
            </w:r>
          </w:p>
          <w:p w14:paraId="5E9582A7"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вандетаниб</w:t>
            </w:r>
          </w:p>
          <w:p w14:paraId="28C237F5"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венетоклакс</w:t>
            </w:r>
          </w:p>
          <w:p w14:paraId="3DE96C13"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вориностат</w:t>
            </w:r>
          </w:p>
          <w:p w14:paraId="3EE3E5FA"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дабрафениб</w:t>
            </w:r>
          </w:p>
          <w:p w14:paraId="47FA6FD4"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дазатиниб</w:t>
            </w:r>
          </w:p>
          <w:p w14:paraId="6DA0E0D8"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ибрутиниб</w:t>
            </w:r>
          </w:p>
          <w:p w14:paraId="4FDEAD96"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 xml:space="preserve">иделалисиб </w:t>
            </w:r>
          </w:p>
          <w:p w14:paraId="2CB63BB8"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иксазомиб</w:t>
            </w:r>
          </w:p>
          <w:p w14:paraId="661DCEB8"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капецитабин</w:t>
            </w:r>
          </w:p>
          <w:p w14:paraId="2090509F"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кобиметиниб</w:t>
            </w:r>
          </w:p>
          <w:p w14:paraId="5B71AD31"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лапатиниб</w:t>
            </w:r>
          </w:p>
          <w:p w14:paraId="330E0AF1"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леналидомид</w:t>
            </w:r>
          </w:p>
          <w:p w14:paraId="3CC686BC"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нилотиниб</w:t>
            </w:r>
          </w:p>
          <w:p w14:paraId="272BA334"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олапариб</w:t>
            </w:r>
          </w:p>
          <w:p w14:paraId="5020D19D"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осимертиниб</w:t>
            </w:r>
          </w:p>
          <w:p w14:paraId="16165811"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пазопаниб</w:t>
            </w:r>
          </w:p>
          <w:p w14:paraId="723D4A75"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палбоциклиб</w:t>
            </w:r>
          </w:p>
          <w:p w14:paraId="345E52E1"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панобиностат</w:t>
            </w:r>
          </w:p>
          <w:p w14:paraId="219E5CA1"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понатиниб</w:t>
            </w:r>
          </w:p>
          <w:p w14:paraId="53544CA0"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lastRenderedPageBreak/>
              <w:t>регорафениб</w:t>
            </w:r>
          </w:p>
          <w:p w14:paraId="640C828B" w14:textId="77777777" w:rsidR="008B402F" w:rsidRPr="00015EAB"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015EAB">
              <w:rPr>
                <w:rFonts w:cs="Times New Roman"/>
                <w:sz w:val="22"/>
                <w:szCs w:val="22"/>
                <w:shd w:val="clear" w:color="auto" w:fill="FFFFFF"/>
              </w:rPr>
              <w:t>сонидегиб</w:t>
            </w:r>
          </w:p>
          <w:p w14:paraId="4EF90854"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сунитиниб</w:t>
            </w:r>
          </w:p>
          <w:p w14:paraId="42C165B1"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талидомид</w:t>
            </w:r>
          </w:p>
          <w:p w14:paraId="106715B7"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тегафур-урацил</w:t>
            </w:r>
          </w:p>
          <w:p w14:paraId="5DB8BBDC"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траметиниб</w:t>
            </w:r>
          </w:p>
          <w:p w14:paraId="130BD179" w14:textId="77777777" w:rsidR="008B402F" w:rsidRPr="00DE20E4" w:rsidRDefault="008B402F" w:rsidP="00D22A46">
            <w:pPr>
              <w:pStyle w:val="Normal11"/>
              <w:numPr>
                <w:ilvl w:val="0"/>
                <w:numId w:val="38"/>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флударабин</w:t>
            </w:r>
          </w:p>
          <w:p w14:paraId="476FCDAC" w14:textId="77777777" w:rsidR="008B402F" w:rsidRPr="00DE20E4" w:rsidRDefault="008B402F" w:rsidP="00D22A46">
            <w:pPr>
              <w:pStyle w:val="Normal11"/>
              <w:numPr>
                <w:ilvl w:val="0"/>
                <w:numId w:val="38"/>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эверолимус</w:t>
            </w:r>
          </w:p>
          <w:p w14:paraId="27321A99" w14:textId="77777777" w:rsidR="008B402F" w:rsidRPr="00DE20E4" w:rsidRDefault="008B402F" w:rsidP="00D22A46">
            <w:pPr>
              <w:pStyle w:val="Normal11"/>
              <w:numPr>
                <w:ilvl w:val="0"/>
                <w:numId w:val="38"/>
              </w:numPr>
              <w:shd w:val="clear" w:color="auto" w:fill="auto"/>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этопозид </w:t>
            </w:r>
          </w:p>
        </w:tc>
      </w:tr>
      <w:tr w:rsidR="008B402F" w14:paraId="0329338D" w14:textId="77777777" w:rsidTr="005A428D">
        <w:trPr>
          <w:trHeight w:val="692"/>
        </w:trPr>
        <w:tc>
          <w:tcPr>
            <w:tcW w:w="1837" w:type="dxa"/>
          </w:tcPr>
          <w:p w14:paraId="6F76BE2E" w14:textId="77777777" w:rsidR="008B402F" w:rsidRPr="00DE20E4" w:rsidRDefault="008B402F" w:rsidP="005A428D">
            <w:pPr>
              <w:pStyle w:val="Normal11"/>
              <w:shd w:val="clear" w:color="auto" w:fill="auto"/>
              <w:tabs>
                <w:tab w:val="left" w:pos="0"/>
              </w:tabs>
              <w:spacing w:line="360" w:lineRule="auto"/>
              <w:ind w:left="57" w:right="57" w:firstLine="0"/>
              <w:jc w:val="both"/>
              <w:rPr>
                <w:rFonts w:cs="Times New Roman"/>
                <w:sz w:val="22"/>
                <w:szCs w:val="22"/>
                <w:shd w:val="clear" w:color="auto" w:fill="FFFFFF"/>
              </w:rPr>
            </w:pPr>
            <w:r w:rsidRPr="00DE20E4">
              <w:rPr>
                <w:sz w:val="22"/>
                <w:szCs w:val="22"/>
              </w:rPr>
              <w:lastRenderedPageBreak/>
              <w:t>Минимальный (&lt;10 %)</w:t>
            </w:r>
          </w:p>
        </w:tc>
        <w:tc>
          <w:tcPr>
            <w:tcW w:w="3746" w:type="dxa"/>
          </w:tcPr>
          <w:p w14:paraId="396AE5AB"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евацизумаб</w:t>
            </w:r>
          </w:p>
          <w:p w14:paraId="54F9ADCE"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блеомицин</w:t>
            </w:r>
          </w:p>
          <w:p w14:paraId="098DAC21"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винбластин</w:t>
            </w:r>
          </w:p>
          <w:p w14:paraId="1B111DDF"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винкристин</w:t>
            </w:r>
          </w:p>
          <w:p w14:paraId="7AB3AA1B"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винорельбин</w:t>
            </w:r>
          </w:p>
          <w:p w14:paraId="5991D38E"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даратумумаб</w:t>
            </w:r>
          </w:p>
          <w:p w14:paraId="4A6DD144"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кладрибин</w:t>
            </w:r>
          </w:p>
          <w:p w14:paraId="72020002"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ниволумаб</w:t>
            </w:r>
          </w:p>
          <w:p w14:paraId="51C7328E"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обинутузумаб</w:t>
            </w:r>
          </w:p>
          <w:p w14:paraId="61EB45BB"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офатумумаб</w:t>
            </w:r>
          </w:p>
          <w:p w14:paraId="19DEF01A"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пембролизумаб</w:t>
            </w:r>
          </w:p>
          <w:p w14:paraId="18ADCEC5"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пиксантрон</w:t>
            </w:r>
          </w:p>
          <w:p w14:paraId="5EE20D51"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пралатрексат</w:t>
            </w:r>
          </w:p>
          <w:p w14:paraId="2125CDA5"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рамуцирумаб</w:t>
            </w:r>
          </w:p>
          <w:p w14:paraId="424EF807" w14:textId="77777777" w:rsidR="008B402F" w:rsidRPr="00FA793D"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ритуксимаб</w:t>
            </w:r>
          </w:p>
          <w:p w14:paraId="6A8DEA26" w14:textId="77777777" w:rsidR="008B402F" w:rsidRPr="00FA793D"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трастузумаб</w:t>
            </w:r>
          </w:p>
          <w:p w14:paraId="615CAA31" w14:textId="77777777" w:rsidR="008B402F" w:rsidRPr="00FA793D" w:rsidRDefault="008B402F" w:rsidP="00D22A46">
            <w:pPr>
              <w:pStyle w:val="Normal11"/>
              <w:numPr>
                <w:ilvl w:val="0"/>
                <w:numId w:val="39"/>
              </w:numPr>
              <w:shd w:val="clear" w:color="auto" w:fill="auto"/>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флударабин</w:t>
            </w:r>
          </w:p>
          <w:p w14:paraId="3AF9F357" w14:textId="77777777" w:rsidR="008B402F" w:rsidRPr="00DE20E4" w:rsidRDefault="008B402F" w:rsidP="00D22A46">
            <w:pPr>
              <w:pStyle w:val="Normal11"/>
              <w:numPr>
                <w:ilvl w:val="0"/>
                <w:numId w:val="39"/>
              </w:numPr>
              <w:shd w:val="clear" w:color="auto" w:fill="auto"/>
              <w:tabs>
                <w:tab w:val="left" w:pos="0"/>
              </w:tabs>
              <w:spacing w:line="360" w:lineRule="auto"/>
              <w:ind w:left="57" w:right="57"/>
              <w:rPr>
                <w:rFonts w:cs="Times New Roman"/>
                <w:sz w:val="22"/>
                <w:szCs w:val="22"/>
                <w:shd w:val="clear" w:color="auto" w:fill="FFFFFF"/>
              </w:rPr>
            </w:pPr>
            <w:r w:rsidRPr="00FA793D">
              <w:rPr>
                <w:rFonts w:cs="Times New Roman"/>
                <w:sz w:val="22"/>
                <w:szCs w:val="22"/>
                <w:shd w:val="clear" w:color="auto" w:fill="FFFFFF"/>
              </w:rPr>
              <w:t>2-хлордеоксиаденозин</w:t>
            </w:r>
          </w:p>
        </w:tc>
        <w:tc>
          <w:tcPr>
            <w:tcW w:w="3746" w:type="dxa"/>
          </w:tcPr>
          <w:p w14:paraId="21F92CC5"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усульфан</w:t>
            </w:r>
          </w:p>
          <w:p w14:paraId="6F374513"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Pr>
                <w:rFonts w:cs="Times New Roman"/>
                <w:sz w:val="22"/>
                <w:szCs w:val="22"/>
                <w:shd w:val="clear" w:color="auto" w:fill="FFFFFF"/>
              </w:rPr>
              <w:t>в</w:t>
            </w:r>
            <w:r w:rsidRPr="00DE20E4">
              <w:rPr>
                <w:rFonts w:cs="Times New Roman"/>
                <w:sz w:val="22"/>
                <w:szCs w:val="22"/>
                <w:shd w:val="clear" w:color="auto" w:fill="FFFFFF"/>
              </w:rPr>
              <w:t>емурафениб</w:t>
            </w:r>
          </w:p>
          <w:p w14:paraId="3661DCFE"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висмодегиб</w:t>
            </w:r>
          </w:p>
          <w:p w14:paraId="6367D61C"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гефитиниб</w:t>
            </w:r>
          </w:p>
          <w:p w14:paraId="218DE836"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гидроксиуреа</w:t>
            </w:r>
          </w:p>
          <w:p w14:paraId="5C1212A4"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мелфалан</w:t>
            </w:r>
          </w:p>
          <w:p w14:paraId="3C62122B"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метотрексат</w:t>
            </w:r>
          </w:p>
          <w:p w14:paraId="195FC760"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помалидомид</w:t>
            </w:r>
          </w:p>
          <w:p w14:paraId="0A7079DB"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руксолитиниб</w:t>
            </w:r>
          </w:p>
          <w:p w14:paraId="17FF8115"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сорафениб</w:t>
            </w:r>
          </w:p>
          <w:p w14:paraId="4007B0C9"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хлорамбуцил</w:t>
            </w:r>
          </w:p>
          <w:p w14:paraId="0215E4AB"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эрлотиниб</w:t>
            </w:r>
          </w:p>
          <w:p w14:paraId="1CF218D7" w14:textId="77777777" w:rsidR="008B402F" w:rsidRPr="00DE20E4" w:rsidRDefault="008B402F" w:rsidP="00D22A46">
            <w:pPr>
              <w:pStyle w:val="Normal11"/>
              <w:numPr>
                <w:ilvl w:val="0"/>
                <w:numId w:val="39"/>
              </w:numPr>
              <w:tabs>
                <w:tab w:val="left" w:pos="0"/>
              </w:tabs>
              <w:spacing w:line="360" w:lineRule="auto"/>
              <w:ind w:left="57" w:right="57"/>
              <w:rPr>
                <w:rFonts w:cs="Times New Roman"/>
                <w:sz w:val="22"/>
                <w:szCs w:val="22"/>
                <w:shd w:val="clear" w:color="auto" w:fill="FFFFFF"/>
              </w:rPr>
            </w:pPr>
            <w:r w:rsidRPr="00DE20E4">
              <w:rPr>
                <w:rFonts w:cs="Times New Roman"/>
                <w:sz w:val="22"/>
                <w:szCs w:val="22"/>
                <w:shd w:val="clear" w:color="auto" w:fill="FFFFFF"/>
              </w:rPr>
              <w:t>6</w:t>
            </w:r>
            <w:r w:rsidRPr="00DE20E4">
              <w:rPr>
                <w:rFonts w:ascii="MS Mincho" w:eastAsia="MS Mincho" w:hAnsi="MS Mincho" w:cs="MS Mincho" w:hint="eastAsia"/>
                <w:sz w:val="22"/>
                <w:szCs w:val="22"/>
                <w:shd w:val="clear" w:color="auto" w:fill="FFFFFF"/>
              </w:rPr>
              <w:t>‑</w:t>
            </w:r>
            <w:r w:rsidRPr="00DE20E4">
              <w:rPr>
                <w:rFonts w:cs="Times New Roman"/>
                <w:sz w:val="22"/>
                <w:szCs w:val="22"/>
                <w:shd w:val="clear" w:color="auto" w:fill="FFFFFF"/>
              </w:rPr>
              <w:t>тиогуанин</w:t>
            </w:r>
          </w:p>
          <w:p w14:paraId="0EAFA3BD" w14:textId="77777777" w:rsidR="008B402F" w:rsidRPr="00DE20E4" w:rsidRDefault="008B402F" w:rsidP="005A428D">
            <w:pPr>
              <w:pStyle w:val="Normal11"/>
              <w:shd w:val="clear" w:color="auto" w:fill="auto"/>
              <w:tabs>
                <w:tab w:val="left" w:pos="0"/>
              </w:tabs>
              <w:spacing w:line="360" w:lineRule="auto"/>
              <w:ind w:left="57" w:right="57" w:firstLine="0"/>
              <w:rPr>
                <w:rFonts w:cs="Times New Roman"/>
                <w:sz w:val="22"/>
                <w:szCs w:val="22"/>
                <w:shd w:val="clear" w:color="auto" w:fill="FFFFFF"/>
              </w:rPr>
            </w:pPr>
          </w:p>
        </w:tc>
      </w:tr>
    </w:tbl>
    <w:p w14:paraId="5EAB49F0" w14:textId="77777777" w:rsidR="008B402F" w:rsidRDefault="008B402F" w:rsidP="008B402F"/>
    <w:p w14:paraId="6C407259" w14:textId="13EE4663" w:rsidR="008B402F" w:rsidRDefault="008B402F" w:rsidP="008B402F">
      <w:r w:rsidRPr="001957E3">
        <w:t>Рекомендации экспертов по принципам противорвотного (антиэметогенного) лечения основываются на том, в какую категорию эметогенного потенциала входит цитостатик</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1957E3">
        <w:t xml:space="preserve">. Эметогенный потенциал препаратов для внутривенного введения определяется, как правило, для режима однодневного введения, то есть </w:t>
      </w:r>
      <w:r w:rsidRPr="001957E3">
        <w:lastRenderedPageBreak/>
        <w:t xml:space="preserve">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w:t>
      </w:r>
      <w:r>
        <w:t>П</w:t>
      </w:r>
      <w:r w:rsidRPr="001957E3">
        <w:t>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эметогенность режима в целом.</w:t>
      </w:r>
    </w:p>
    <w:p w14:paraId="7F6FC254" w14:textId="77777777" w:rsidR="008B402F" w:rsidRPr="001957E3" w:rsidRDefault="008B402F" w:rsidP="008B402F"/>
    <w:p w14:paraId="7D7F1669" w14:textId="77777777" w:rsidR="008B402F" w:rsidRPr="00376A77"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376A77">
        <w:rPr>
          <w:rFonts w:cs="Times New Roman"/>
          <w:bCs/>
          <w:i/>
          <w:iCs/>
          <w:u w:val="single"/>
          <w:shd w:val="clear" w:color="auto" w:fill="FFFFFF"/>
        </w:rPr>
        <w:t>Противорвотные препараты</w:t>
      </w:r>
    </w:p>
    <w:p w14:paraId="0F8BAAC4" w14:textId="77D64375" w:rsidR="008B402F" w:rsidRPr="0030741F" w:rsidRDefault="008B402F" w:rsidP="008B402F">
      <w:r w:rsidRPr="0030741F">
        <w:t>Для клинического применения используется 5 групп препаратов, обладающих противорвотным действием</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30741F">
        <w:t>:</w:t>
      </w:r>
    </w:p>
    <w:p w14:paraId="7C22D4FA" w14:textId="77777777" w:rsidR="008B402F" w:rsidRDefault="008B402F" w:rsidP="00D22A46">
      <w:pPr>
        <w:pStyle w:val="afe"/>
        <w:numPr>
          <w:ilvl w:val="0"/>
          <w:numId w:val="42"/>
        </w:numPr>
        <w:contextualSpacing w:val="0"/>
      </w:pPr>
      <w:r w:rsidRPr="00340360">
        <w:rPr>
          <w:i/>
          <w:iCs/>
        </w:rPr>
        <w:t>Антагонисты 5-HT3-рецепторов (HT - гидрокситриптамин)</w:t>
      </w:r>
      <w:r>
        <w:t xml:space="preserve">. </w:t>
      </w:r>
      <w:r w:rsidRPr="00376A77">
        <w:t xml:space="preserve">Эта группа препаратов включает ондансетрон, гранисетрон, трописетрон, палоносетрон. Механизм действия препаратов обусловлен способностью селективно блокировать серотониновые 5-HT3-рецепторы, предупреждая возникновение рвотного рефлекса вследствие стимуляции афферентных волокон блуждающего нерва серотонином, выделяющимся из энтерохромаффинных клеток слизистой оболочки ЖКТ. Антагонисты 5-HT3-рецепторов также угнетают центральные звенья рвотного рефлекса, блокируя 5-HT3-рецепторы дна IV желудочка головного мозга. Препараты назначаются за 30-60 минут до ХТ. В таблице </w:t>
      </w:r>
      <w:r>
        <w:t>А3.</w:t>
      </w:r>
      <w:r w:rsidRPr="00376A77">
        <w:t>2</w:t>
      </w:r>
      <w:r>
        <w:t>.2</w:t>
      </w:r>
      <w:r w:rsidRPr="00376A77">
        <w:t xml:space="preserve"> указан режим дозирования антагонистов 5-HT3-рецепторов.</w:t>
      </w:r>
      <w:r>
        <w:t xml:space="preserve"> Необходим</w:t>
      </w:r>
      <w:r w:rsidRPr="00F4328A">
        <w:t xml:space="preserve"> мониторинг ЭКГ, электролитов у больных с признаками кардиальных нарушений. Антагонисты 5-HT3-рецепторов могут удлинять интервал QT, в связи с чем у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w:t>
      </w:r>
      <w:r>
        <w:t>П</w:t>
      </w:r>
      <w:r w:rsidRPr="00F4328A">
        <w:t xml:space="preserve">ХТ и через день - при многодневном курсе </w:t>
      </w:r>
      <w:r>
        <w:t>П</w:t>
      </w:r>
      <w:r w:rsidRPr="00F4328A">
        <w:t>ХТ.</w:t>
      </w:r>
    </w:p>
    <w:p w14:paraId="5F51685D" w14:textId="77777777" w:rsidR="008B402F" w:rsidRDefault="008B402F" w:rsidP="008B402F">
      <w:pPr>
        <w:pStyle w:val="Normal11"/>
        <w:tabs>
          <w:tab w:val="left" w:pos="0"/>
        </w:tabs>
        <w:spacing w:line="360" w:lineRule="auto"/>
        <w:jc w:val="both"/>
        <w:rPr>
          <w:rFonts w:cs="Times New Roman"/>
          <w:bCs/>
        </w:rPr>
      </w:pPr>
    </w:p>
    <w:p w14:paraId="511DA734" w14:textId="77777777" w:rsidR="008B402F" w:rsidRPr="0070602A" w:rsidRDefault="008B402F" w:rsidP="008B402F">
      <w:pPr>
        <w:pStyle w:val="Normal11"/>
        <w:tabs>
          <w:tab w:val="left" w:pos="0"/>
        </w:tabs>
        <w:spacing w:line="360" w:lineRule="auto"/>
        <w:jc w:val="both"/>
        <w:rPr>
          <w:rFonts w:cs="Times New Roman"/>
          <w:bCs/>
        </w:rPr>
      </w:pPr>
      <w:r w:rsidRPr="0070602A">
        <w:rPr>
          <w:rFonts w:cs="Times New Roman"/>
          <w:bCs/>
        </w:rPr>
        <w:t xml:space="preserve">Таблица </w:t>
      </w:r>
      <w:r>
        <w:rPr>
          <w:rFonts w:cs="Times New Roman"/>
          <w:bCs/>
        </w:rPr>
        <w:t>А3.2.</w:t>
      </w:r>
      <w:r w:rsidRPr="0070602A">
        <w:rPr>
          <w:rFonts w:cs="Times New Roman"/>
          <w:bCs/>
        </w:rPr>
        <w:t xml:space="preserve">2. Режим дозирования антагонистов 5-HT3-рецепторов </w:t>
      </w:r>
    </w:p>
    <w:tbl>
      <w:tblPr>
        <w:tblStyle w:val="aff9"/>
        <w:tblW w:w="0" w:type="auto"/>
        <w:jc w:val="center"/>
        <w:tblLook w:val="04A0" w:firstRow="1" w:lastRow="0" w:firstColumn="1" w:lastColumn="0" w:noHBand="0" w:noVBand="1"/>
      </w:tblPr>
      <w:tblGrid>
        <w:gridCol w:w="2220"/>
        <w:gridCol w:w="2756"/>
        <w:gridCol w:w="3557"/>
      </w:tblGrid>
      <w:tr w:rsidR="008B402F" w:rsidRPr="0079248E" w14:paraId="3804BC77" w14:textId="77777777" w:rsidTr="005A428D">
        <w:trPr>
          <w:jc w:val="center"/>
        </w:trPr>
        <w:tc>
          <w:tcPr>
            <w:tcW w:w="2220" w:type="dxa"/>
          </w:tcPr>
          <w:p w14:paraId="79A4538C" w14:textId="77777777" w:rsidR="008B402F" w:rsidRPr="0079248E" w:rsidRDefault="008B402F" w:rsidP="005A428D">
            <w:pPr>
              <w:tabs>
                <w:tab w:val="left" w:pos="0"/>
              </w:tabs>
              <w:ind w:left="57" w:right="57" w:firstLine="0"/>
              <w:jc w:val="center"/>
              <w:rPr>
                <w:szCs w:val="24"/>
                <w:lang w:eastAsia="ru-RU"/>
              </w:rPr>
            </w:pPr>
            <w:r w:rsidRPr="0079248E">
              <w:rPr>
                <w:szCs w:val="24"/>
                <w:lang w:eastAsia="ru-RU"/>
              </w:rPr>
              <w:t>Препарат</w:t>
            </w:r>
          </w:p>
        </w:tc>
        <w:tc>
          <w:tcPr>
            <w:tcW w:w="2756" w:type="dxa"/>
          </w:tcPr>
          <w:p w14:paraId="30262403" w14:textId="77777777" w:rsidR="008B402F" w:rsidRPr="0079248E" w:rsidRDefault="008B402F" w:rsidP="005A428D">
            <w:pPr>
              <w:tabs>
                <w:tab w:val="left" w:pos="0"/>
              </w:tabs>
              <w:ind w:left="57" w:right="57" w:firstLine="0"/>
              <w:jc w:val="center"/>
              <w:rPr>
                <w:szCs w:val="24"/>
                <w:lang w:eastAsia="ru-RU"/>
              </w:rPr>
            </w:pPr>
            <w:r w:rsidRPr="0079248E">
              <w:rPr>
                <w:szCs w:val="24"/>
                <w:lang w:eastAsia="ru-RU"/>
              </w:rPr>
              <w:t>Разовая доза, мг</w:t>
            </w:r>
          </w:p>
        </w:tc>
        <w:tc>
          <w:tcPr>
            <w:tcW w:w="3557" w:type="dxa"/>
          </w:tcPr>
          <w:p w14:paraId="42404E32" w14:textId="77777777" w:rsidR="008B402F" w:rsidRPr="0079248E" w:rsidRDefault="008B402F" w:rsidP="005A428D">
            <w:pPr>
              <w:tabs>
                <w:tab w:val="left" w:pos="0"/>
              </w:tabs>
              <w:ind w:left="57" w:right="57" w:firstLine="0"/>
              <w:jc w:val="center"/>
              <w:rPr>
                <w:szCs w:val="24"/>
                <w:lang w:eastAsia="ru-RU"/>
              </w:rPr>
            </w:pPr>
            <w:r w:rsidRPr="00835D9B">
              <w:rPr>
                <w:szCs w:val="24"/>
                <w:lang w:eastAsia="ru-RU"/>
              </w:rPr>
              <w:t>Способ применения</w:t>
            </w:r>
            <w:r>
              <w:rPr>
                <w:szCs w:val="24"/>
                <w:lang w:eastAsia="ru-RU"/>
              </w:rPr>
              <w:t xml:space="preserve"> </w:t>
            </w:r>
          </w:p>
        </w:tc>
      </w:tr>
      <w:tr w:rsidR="008B402F" w:rsidRPr="0030741F" w14:paraId="172F4A1D" w14:textId="77777777" w:rsidTr="005A428D">
        <w:trPr>
          <w:jc w:val="center"/>
        </w:trPr>
        <w:tc>
          <w:tcPr>
            <w:tcW w:w="2220" w:type="dxa"/>
          </w:tcPr>
          <w:p w14:paraId="28BEF514" w14:textId="77777777" w:rsidR="008B402F" w:rsidRPr="0030741F" w:rsidRDefault="008B402F" w:rsidP="005A428D">
            <w:pPr>
              <w:tabs>
                <w:tab w:val="left" w:pos="0"/>
              </w:tabs>
              <w:ind w:left="57" w:right="57" w:firstLine="0"/>
              <w:rPr>
                <w:szCs w:val="24"/>
                <w:lang w:eastAsia="ru-RU"/>
              </w:rPr>
            </w:pPr>
            <w:r w:rsidRPr="0030741F">
              <w:rPr>
                <w:szCs w:val="24"/>
                <w:lang w:eastAsia="ru-RU"/>
              </w:rPr>
              <w:lastRenderedPageBreak/>
              <w:t>Ондансетрон</w:t>
            </w:r>
          </w:p>
        </w:tc>
        <w:tc>
          <w:tcPr>
            <w:tcW w:w="2756" w:type="dxa"/>
          </w:tcPr>
          <w:p w14:paraId="40CCBD8F" w14:textId="77777777" w:rsidR="008B402F" w:rsidRPr="0030741F" w:rsidRDefault="008B402F" w:rsidP="005A428D">
            <w:pPr>
              <w:tabs>
                <w:tab w:val="left" w:pos="0"/>
              </w:tabs>
              <w:ind w:left="57" w:right="57" w:firstLine="0"/>
              <w:rPr>
                <w:szCs w:val="24"/>
                <w:lang w:eastAsia="ru-RU"/>
              </w:rPr>
            </w:pPr>
            <w:r w:rsidRPr="0030741F">
              <w:rPr>
                <w:szCs w:val="24"/>
                <w:lang w:eastAsia="ru-RU"/>
              </w:rPr>
              <w:t>8</w:t>
            </w:r>
          </w:p>
          <w:p w14:paraId="0990E0C2" w14:textId="77777777" w:rsidR="008B402F" w:rsidRDefault="008B402F" w:rsidP="005A428D">
            <w:pPr>
              <w:tabs>
                <w:tab w:val="left" w:pos="0"/>
              </w:tabs>
              <w:ind w:left="57" w:right="57" w:firstLine="0"/>
              <w:rPr>
                <w:szCs w:val="24"/>
                <w:lang w:eastAsia="ru-RU"/>
              </w:rPr>
            </w:pPr>
            <w:r w:rsidRPr="0030741F">
              <w:rPr>
                <w:szCs w:val="24"/>
                <w:lang w:eastAsia="ru-RU"/>
              </w:rPr>
              <w:t xml:space="preserve">16 </w:t>
            </w:r>
          </w:p>
          <w:p w14:paraId="160B22BC" w14:textId="77777777" w:rsidR="008B402F" w:rsidRPr="0030741F" w:rsidRDefault="008B402F" w:rsidP="005A428D">
            <w:pPr>
              <w:tabs>
                <w:tab w:val="left" w:pos="0"/>
              </w:tabs>
              <w:ind w:left="57" w:right="57" w:firstLine="0"/>
              <w:rPr>
                <w:szCs w:val="24"/>
                <w:lang w:eastAsia="ru-RU"/>
              </w:rPr>
            </w:pPr>
            <w:r>
              <w:rPr>
                <w:szCs w:val="24"/>
                <w:lang w:eastAsia="ru-RU"/>
              </w:rPr>
              <w:t>8</w:t>
            </w:r>
          </w:p>
        </w:tc>
        <w:tc>
          <w:tcPr>
            <w:tcW w:w="3557" w:type="dxa"/>
          </w:tcPr>
          <w:p w14:paraId="444038E0" w14:textId="77777777" w:rsidR="008B402F" w:rsidRPr="00C36F88" w:rsidRDefault="008B402F" w:rsidP="005A428D">
            <w:pPr>
              <w:tabs>
                <w:tab w:val="left" w:pos="0"/>
              </w:tabs>
              <w:ind w:left="57" w:right="57" w:firstLine="0"/>
              <w:rPr>
                <w:szCs w:val="24"/>
                <w:lang w:eastAsia="ru-RU"/>
              </w:rPr>
            </w:pPr>
            <w:r w:rsidRPr="00C36F88">
              <w:rPr>
                <w:szCs w:val="24"/>
                <w:lang w:eastAsia="ru-RU"/>
              </w:rPr>
              <w:t xml:space="preserve">в/в </w:t>
            </w:r>
          </w:p>
          <w:p w14:paraId="6ED2B427" w14:textId="77777777" w:rsidR="008B402F" w:rsidRPr="00C36F88" w:rsidRDefault="008B402F" w:rsidP="005A428D">
            <w:pPr>
              <w:tabs>
                <w:tab w:val="left" w:pos="0"/>
              </w:tabs>
              <w:ind w:left="57" w:right="57" w:firstLine="0"/>
              <w:rPr>
                <w:szCs w:val="24"/>
                <w:lang w:eastAsia="ru-RU"/>
              </w:rPr>
            </w:pPr>
            <w:r w:rsidRPr="00C36F88">
              <w:rPr>
                <w:szCs w:val="24"/>
                <w:lang w:eastAsia="ru-RU"/>
              </w:rPr>
              <w:t>внутрь</w:t>
            </w:r>
          </w:p>
          <w:p w14:paraId="245620A6" w14:textId="77777777" w:rsidR="008B402F" w:rsidRPr="00C36F88" w:rsidRDefault="008B402F" w:rsidP="005A428D">
            <w:pPr>
              <w:tabs>
                <w:tab w:val="left" w:pos="0"/>
              </w:tabs>
              <w:ind w:left="57" w:right="57" w:firstLine="0"/>
              <w:rPr>
                <w:szCs w:val="24"/>
                <w:lang w:eastAsia="ru-RU"/>
              </w:rPr>
            </w:pPr>
            <w:r w:rsidRPr="00C36F88">
              <w:rPr>
                <w:szCs w:val="24"/>
                <w:lang w:eastAsia="ru-RU"/>
              </w:rPr>
              <w:t>суппозитории ректальные</w:t>
            </w:r>
          </w:p>
        </w:tc>
      </w:tr>
      <w:tr w:rsidR="008B402F" w:rsidRPr="0030741F" w14:paraId="569144CE" w14:textId="77777777" w:rsidTr="005A428D">
        <w:trPr>
          <w:jc w:val="center"/>
        </w:trPr>
        <w:tc>
          <w:tcPr>
            <w:tcW w:w="2220" w:type="dxa"/>
          </w:tcPr>
          <w:p w14:paraId="0C3AEACB" w14:textId="77777777" w:rsidR="008B402F" w:rsidRPr="0030741F" w:rsidRDefault="008B402F" w:rsidP="005A428D">
            <w:pPr>
              <w:tabs>
                <w:tab w:val="left" w:pos="0"/>
              </w:tabs>
              <w:ind w:left="57" w:right="57" w:firstLine="0"/>
              <w:rPr>
                <w:szCs w:val="24"/>
                <w:lang w:eastAsia="ru-RU"/>
              </w:rPr>
            </w:pPr>
            <w:r w:rsidRPr="0030741F">
              <w:rPr>
                <w:szCs w:val="24"/>
                <w:lang w:eastAsia="ru-RU"/>
              </w:rPr>
              <w:t>Гранисетрон</w:t>
            </w:r>
          </w:p>
        </w:tc>
        <w:tc>
          <w:tcPr>
            <w:tcW w:w="2756" w:type="dxa"/>
          </w:tcPr>
          <w:p w14:paraId="4B4E2053" w14:textId="77777777" w:rsidR="008B402F" w:rsidRPr="0030741F" w:rsidRDefault="008B402F" w:rsidP="005A428D">
            <w:pPr>
              <w:tabs>
                <w:tab w:val="left" w:pos="0"/>
              </w:tabs>
              <w:ind w:left="57" w:right="57" w:firstLine="0"/>
              <w:rPr>
                <w:szCs w:val="24"/>
                <w:lang w:eastAsia="ru-RU"/>
              </w:rPr>
            </w:pPr>
            <w:r w:rsidRPr="0030741F">
              <w:rPr>
                <w:szCs w:val="24"/>
                <w:lang w:eastAsia="ru-RU"/>
              </w:rPr>
              <w:t>1-3</w:t>
            </w:r>
          </w:p>
          <w:p w14:paraId="0F3ADAEF" w14:textId="77777777" w:rsidR="008B402F" w:rsidRPr="0030741F" w:rsidRDefault="008B402F" w:rsidP="005A428D">
            <w:pPr>
              <w:tabs>
                <w:tab w:val="left" w:pos="0"/>
              </w:tabs>
              <w:ind w:left="57" w:right="57" w:firstLine="0"/>
              <w:rPr>
                <w:szCs w:val="24"/>
                <w:lang w:eastAsia="ru-RU"/>
              </w:rPr>
            </w:pPr>
            <w:r w:rsidRPr="0030741F">
              <w:rPr>
                <w:szCs w:val="24"/>
                <w:lang w:eastAsia="ru-RU"/>
              </w:rPr>
              <w:t>2</w:t>
            </w:r>
          </w:p>
        </w:tc>
        <w:tc>
          <w:tcPr>
            <w:tcW w:w="3557" w:type="dxa"/>
          </w:tcPr>
          <w:p w14:paraId="5FEDC0F0" w14:textId="77777777" w:rsidR="008B402F" w:rsidRPr="0030741F" w:rsidRDefault="008B402F" w:rsidP="005A428D">
            <w:pPr>
              <w:tabs>
                <w:tab w:val="left" w:pos="0"/>
              </w:tabs>
              <w:ind w:left="57" w:right="57" w:firstLine="0"/>
              <w:rPr>
                <w:szCs w:val="24"/>
                <w:lang w:eastAsia="ru-RU"/>
              </w:rPr>
            </w:pPr>
            <w:r w:rsidRPr="0030741F">
              <w:rPr>
                <w:szCs w:val="24"/>
                <w:lang w:eastAsia="ru-RU"/>
              </w:rPr>
              <w:t xml:space="preserve">в/в  </w:t>
            </w:r>
          </w:p>
          <w:p w14:paraId="3F0FA748" w14:textId="77777777" w:rsidR="008B402F" w:rsidRPr="0030741F" w:rsidRDefault="008B402F" w:rsidP="005A428D">
            <w:pPr>
              <w:ind w:left="57" w:right="57" w:firstLine="0"/>
              <w:rPr>
                <w:szCs w:val="24"/>
              </w:rPr>
            </w:pPr>
            <w:r w:rsidRPr="0030741F">
              <w:rPr>
                <w:szCs w:val="24"/>
                <w:lang w:eastAsia="ru-RU"/>
              </w:rPr>
              <w:t>внутрь</w:t>
            </w:r>
          </w:p>
        </w:tc>
      </w:tr>
      <w:tr w:rsidR="008B402F" w:rsidRPr="0030741F" w14:paraId="05ABFBB4" w14:textId="77777777" w:rsidTr="005A428D">
        <w:trPr>
          <w:jc w:val="center"/>
        </w:trPr>
        <w:tc>
          <w:tcPr>
            <w:tcW w:w="2220" w:type="dxa"/>
          </w:tcPr>
          <w:p w14:paraId="1E096FE6" w14:textId="77777777" w:rsidR="008B402F" w:rsidRPr="0030741F" w:rsidRDefault="008B402F" w:rsidP="005A428D">
            <w:pPr>
              <w:tabs>
                <w:tab w:val="left" w:pos="0"/>
              </w:tabs>
              <w:ind w:left="57" w:right="57" w:firstLine="0"/>
              <w:rPr>
                <w:szCs w:val="24"/>
                <w:lang w:eastAsia="ru-RU"/>
              </w:rPr>
            </w:pPr>
            <w:r w:rsidRPr="0030741F">
              <w:rPr>
                <w:szCs w:val="24"/>
                <w:lang w:eastAsia="ru-RU"/>
              </w:rPr>
              <w:t>Трописетрон</w:t>
            </w:r>
          </w:p>
        </w:tc>
        <w:tc>
          <w:tcPr>
            <w:tcW w:w="2756" w:type="dxa"/>
          </w:tcPr>
          <w:p w14:paraId="6B1694F5" w14:textId="77777777" w:rsidR="008B402F" w:rsidRPr="0030741F" w:rsidRDefault="008B402F" w:rsidP="005A428D">
            <w:pPr>
              <w:tabs>
                <w:tab w:val="left" w:pos="0"/>
              </w:tabs>
              <w:ind w:left="57" w:right="57" w:firstLine="0"/>
              <w:rPr>
                <w:szCs w:val="24"/>
                <w:lang w:eastAsia="ru-RU"/>
              </w:rPr>
            </w:pPr>
            <w:r w:rsidRPr="0030741F">
              <w:rPr>
                <w:szCs w:val="24"/>
                <w:lang w:eastAsia="ru-RU"/>
              </w:rPr>
              <w:t xml:space="preserve">5 </w:t>
            </w:r>
          </w:p>
        </w:tc>
        <w:tc>
          <w:tcPr>
            <w:tcW w:w="3557" w:type="dxa"/>
          </w:tcPr>
          <w:p w14:paraId="5C5D6301" w14:textId="77777777" w:rsidR="008B402F" w:rsidRPr="0030741F" w:rsidRDefault="008B402F" w:rsidP="005A428D">
            <w:pPr>
              <w:ind w:left="57" w:right="57" w:firstLine="0"/>
              <w:rPr>
                <w:szCs w:val="24"/>
              </w:rPr>
            </w:pPr>
            <w:r w:rsidRPr="0030741F">
              <w:rPr>
                <w:szCs w:val="24"/>
                <w:lang w:eastAsia="ru-RU"/>
              </w:rPr>
              <w:t>в/в или внутрь</w:t>
            </w:r>
          </w:p>
        </w:tc>
      </w:tr>
      <w:tr w:rsidR="008B402F" w:rsidRPr="0030741F" w14:paraId="6061864A" w14:textId="77777777" w:rsidTr="005A428D">
        <w:trPr>
          <w:jc w:val="center"/>
        </w:trPr>
        <w:tc>
          <w:tcPr>
            <w:tcW w:w="2220" w:type="dxa"/>
          </w:tcPr>
          <w:p w14:paraId="31E3CFCE" w14:textId="77777777" w:rsidR="008B402F" w:rsidRPr="0030741F" w:rsidRDefault="008B402F" w:rsidP="005A428D">
            <w:pPr>
              <w:tabs>
                <w:tab w:val="left" w:pos="0"/>
              </w:tabs>
              <w:ind w:left="57" w:right="57" w:firstLine="0"/>
              <w:rPr>
                <w:szCs w:val="24"/>
                <w:lang w:eastAsia="ru-RU"/>
              </w:rPr>
            </w:pPr>
            <w:r w:rsidRPr="0030741F">
              <w:rPr>
                <w:szCs w:val="24"/>
              </w:rPr>
              <w:t>Палоносетрон</w:t>
            </w:r>
          </w:p>
        </w:tc>
        <w:tc>
          <w:tcPr>
            <w:tcW w:w="2756" w:type="dxa"/>
          </w:tcPr>
          <w:p w14:paraId="0BA7DA25" w14:textId="77777777" w:rsidR="008B402F" w:rsidRPr="0030741F" w:rsidRDefault="008B402F" w:rsidP="005A428D">
            <w:pPr>
              <w:tabs>
                <w:tab w:val="left" w:pos="0"/>
              </w:tabs>
              <w:ind w:left="57" w:right="57" w:firstLine="0"/>
              <w:rPr>
                <w:szCs w:val="24"/>
                <w:lang w:eastAsia="ru-RU"/>
              </w:rPr>
            </w:pPr>
            <w:r w:rsidRPr="0030741F">
              <w:rPr>
                <w:szCs w:val="24"/>
                <w:lang w:eastAsia="ru-RU"/>
              </w:rPr>
              <w:t>0,25</w:t>
            </w:r>
          </w:p>
        </w:tc>
        <w:tc>
          <w:tcPr>
            <w:tcW w:w="3557" w:type="dxa"/>
          </w:tcPr>
          <w:p w14:paraId="41687BC8" w14:textId="77777777" w:rsidR="008B402F" w:rsidRPr="0030741F" w:rsidRDefault="008B402F" w:rsidP="005A428D">
            <w:pPr>
              <w:ind w:left="57" w:right="57" w:firstLine="0"/>
              <w:rPr>
                <w:szCs w:val="24"/>
              </w:rPr>
            </w:pPr>
            <w:r w:rsidRPr="0030741F">
              <w:rPr>
                <w:szCs w:val="24"/>
                <w:lang w:eastAsia="ru-RU"/>
              </w:rPr>
              <w:t>в/в</w:t>
            </w:r>
          </w:p>
        </w:tc>
      </w:tr>
    </w:tbl>
    <w:p w14:paraId="1869AE89" w14:textId="77777777" w:rsidR="008B402F" w:rsidRPr="0030741F" w:rsidRDefault="008B402F" w:rsidP="008B402F"/>
    <w:p w14:paraId="29597598" w14:textId="77777777" w:rsidR="008B402F" w:rsidRPr="0030741F" w:rsidRDefault="008B402F" w:rsidP="00D22A46">
      <w:pPr>
        <w:pStyle w:val="afe"/>
        <w:numPr>
          <w:ilvl w:val="0"/>
          <w:numId w:val="42"/>
        </w:numPr>
        <w:contextualSpacing w:val="0"/>
      </w:pPr>
      <w:r w:rsidRPr="00E04057">
        <w:rPr>
          <w:i/>
          <w:iCs/>
        </w:rPr>
        <w:t>Кортикостероиды</w:t>
      </w:r>
      <w:r>
        <w:t>.</w:t>
      </w:r>
      <w:r w:rsidRPr="00E04057">
        <w:t xml:space="preserve"> </w:t>
      </w:r>
      <w:r>
        <w:t>Если схема ХТ содержит кортикостероиды, дополнительного назначения дексаметазона с противорвотной целью не требуется. Добавление дексаметазона к антагонистам серотониновых рецепторов позволяет уменьшить риск появления острой тошноты и рвоты и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Препарат назначается в дозе 12 мг внутривенно 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6801080E" w14:textId="77777777" w:rsidR="008B402F" w:rsidRDefault="008B402F" w:rsidP="00D22A46">
      <w:pPr>
        <w:pStyle w:val="afe"/>
        <w:numPr>
          <w:ilvl w:val="0"/>
          <w:numId w:val="42"/>
        </w:numPr>
        <w:contextualSpacing w:val="0"/>
      </w:pPr>
      <w:r w:rsidRPr="00E04057">
        <w:rPr>
          <w:i/>
          <w:iCs/>
        </w:rPr>
        <w:t>Антагонисты рецепторов нейрокинина-1 (NK-1)</w:t>
      </w:r>
      <w:r>
        <w:t xml:space="preserve">. В эту группу препаратов входят апрепитант и фосапрепитант. Апрепитант – селективный высокоаффинный антагонист рецепторов NK-1 центрального механизма действия (за счет связывания с NK1-рецепторами головного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(так,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связи с чем в комбинации с апрепитантом доза </w:t>
      </w:r>
      <w:r>
        <w:lastRenderedPageBreak/>
        <w:t>дексаметазона должна быть снижена приблизительно на 50%; у пациентов, поручающих варфарин, необходимо дополнительно контролировать уровень международного нормализованного отношения). Антагонисты NK1-рецепторов применяют в комбинации с кортикостероидами и антагонистами серотониновых 5-НТ3-рецепторов. Апрепитант принимается за час до ХТ, фосапрепитант вводится за 30 минут до ХТ в дозах, представленных в таблице А3.2.3.</w:t>
      </w:r>
    </w:p>
    <w:p w14:paraId="0A9EF800" w14:textId="77777777" w:rsidR="008B402F" w:rsidRDefault="008B402F" w:rsidP="008B402F">
      <w:pPr>
        <w:ind w:firstLine="0"/>
        <w:rPr>
          <w:bCs/>
          <w:szCs w:val="24"/>
        </w:rPr>
      </w:pPr>
    </w:p>
    <w:p w14:paraId="0F9CD598" w14:textId="77777777" w:rsidR="008B402F" w:rsidRPr="008578C0" w:rsidRDefault="008B402F" w:rsidP="008B402F">
      <w:pPr>
        <w:ind w:firstLine="0"/>
        <w:rPr>
          <w:bCs/>
          <w:szCs w:val="24"/>
          <w:lang w:eastAsia="ru-RU"/>
        </w:rPr>
      </w:pPr>
      <w:r w:rsidRPr="008578C0">
        <w:rPr>
          <w:bCs/>
          <w:szCs w:val="24"/>
        </w:rPr>
        <w:t xml:space="preserve">Таблица </w:t>
      </w:r>
      <w:r>
        <w:rPr>
          <w:bCs/>
          <w:szCs w:val="24"/>
        </w:rPr>
        <w:t>А.</w:t>
      </w:r>
      <w:r w:rsidRPr="008578C0">
        <w:rPr>
          <w:bCs/>
          <w:szCs w:val="24"/>
        </w:rPr>
        <w:t>3</w:t>
      </w:r>
      <w:r>
        <w:rPr>
          <w:bCs/>
          <w:szCs w:val="24"/>
        </w:rPr>
        <w:t>.2.3</w:t>
      </w:r>
      <w:r w:rsidRPr="008578C0">
        <w:rPr>
          <w:bCs/>
          <w:szCs w:val="24"/>
        </w:rPr>
        <w:t xml:space="preserve">. Режим дозирования антагонистов </w:t>
      </w:r>
      <w:r w:rsidRPr="008578C0">
        <w:rPr>
          <w:bCs/>
          <w:szCs w:val="24"/>
          <w:lang w:eastAsia="ru-RU"/>
        </w:rPr>
        <w:t>NK1-рецепторов</w:t>
      </w:r>
    </w:p>
    <w:tbl>
      <w:tblPr>
        <w:tblStyle w:val="aff9"/>
        <w:tblW w:w="0" w:type="auto"/>
        <w:jc w:val="center"/>
        <w:tblLook w:val="04A0" w:firstRow="1" w:lastRow="0" w:firstColumn="1" w:lastColumn="0" w:noHBand="0" w:noVBand="1"/>
      </w:tblPr>
      <w:tblGrid>
        <w:gridCol w:w="2240"/>
        <w:gridCol w:w="2039"/>
        <w:gridCol w:w="4500"/>
      </w:tblGrid>
      <w:tr w:rsidR="008B402F" w:rsidRPr="003F4776" w14:paraId="6BCB3551" w14:textId="77777777" w:rsidTr="005A428D">
        <w:trPr>
          <w:jc w:val="center"/>
        </w:trPr>
        <w:tc>
          <w:tcPr>
            <w:tcW w:w="2263" w:type="dxa"/>
          </w:tcPr>
          <w:p w14:paraId="0EBAE789" w14:textId="77777777" w:rsidR="008B402F" w:rsidRPr="003F4776" w:rsidRDefault="008B402F" w:rsidP="005A428D">
            <w:pPr>
              <w:tabs>
                <w:tab w:val="left" w:pos="0"/>
              </w:tabs>
              <w:ind w:left="57" w:right="57" w:firstLine="0"/>
              <w:rPr>
                <w:bCs/>
                <w:szCs w:val="24"/>
                <w:lang w:eastAsia="ru-RU"/>
              </w:rPr>
            </w:pPr>
            <w:r w:rsidRPr="003F4776">
              <w:rPr>
                <w:bCs/>
                <w:szCs w:val="24"/>
                <w:lang w:eastAsia="ru-RU"/>
              </w:rPr>
              <w:t>Препарат</w:t>
            </w:r>
          </w:p>
        </w:tc>
        <w:tc>
          <w:tcPr>
            <w:tcW w:w="2103" w:type="dxa"/>
          </w:tcPr>
          <w:p w14:paraId="335138E7" w14:textId="77777777" w:rsidR="008B402F" w:rsidRPr="003F4776" w:rsidRDefault="008B402F" w:rsidP="005A428D">
            <w:pPr>
              <w:tabs>
                <w:tab w:val="left" w:pos="0"/>
              </w:tabs>
              <w:ind w:left="57" w:right="57" w:firstLine="0"/>
              <w:rPr>
                <w:bCs/>
                <w:szCs w:val="24"/>
                <w:lang w:eastAsia="ru-RU"/>
              </w:rPr>
            </w:pPr>
            <w:r w:rsidRPr="003F4776">
              <w:rPr>
                <w:bCs/>
                <w:szCs w:val="24"/>
                <w:lang w:eastAsia="ru-RU"/>
              </w:rPr>
              <w:t>Разовая доза, мг</w:t>
            </w:r>
          </w:p>
        </w:tc>
        <w:tc>
          <w:tcPr>
            <w:tcW w:w="4701" w:type="dxa"/>
          </w:tcPr>
          <w:p w14:paraId="4E00D05B" w14:textId="77777777" w:rsidR="008B402F" w:rsidRPr="003F4776" w:rsidRDefault="008B402F" w:rsidP="005A428D">
            <w:pPr>
              <w:tabs>
                <w:tab w:val="left" w:pos="0"/>
              </w:tabs>
              <w:ind w:left="57" w:right="57" w:firstLine="0"/>
              <w:rPr>
                <w:bCs/>
                <w:szCs w:val="24"/>
                <w:lang w:eastAsia="ru-RU"/>
              </w:rPr>
            </w:pPr>
            <w:r w:rsidRPr="003F4776">
              <w:rPr>
                <w:bCs/>
                <w:szCs w:val="24"/>
                <w:lang w:eastAsia="ru-RU"/>
              </w:rPr>
              <w:t xml:space="preserve">Способ применения  / </w:t>
            </w:r>
          </w:p>
          <w:p w14:paraId="1046161E" w14:textId="77777777" w:rsidR="008B402F" w:rsidRPr="003F4776" w:rsidRDefault="008B402F" w:rsidP="005A428D">
            <w:pPr>
              <w:tabs>
                <w:tab w:val="left" w:pos="0"/>
              </w:tabs>
              <w:ind w:left="57" w:right="57" w:firstLine="0"/>
              <w:rPr>
                <w:bCs/>
                <w:szCs w:val="24"/>
                <w:lang w:eastAsia="ru-RU"/>
              </w:rPr>
            </w:pPr>
            <w:r w:rsidRPr="003F4776">
              <w:rPr>
                <w:bCs/>
                <w:szCs w:val="24"/>
                <w:lang w:eastAsia="ru-RU"/>
              </w:rPr>
              <w:t>Режим дозирования</w:t>
            </w:r>
          </w:p>
        </w:tc>
      </w:tr>
      <w:tr w:rsidR="008B402F" w:rsidRPr="0030741F" w14:paraId="2A7E9C05" w14:textId="77777777" w:rsidTr="005A428D">
        <w:trPr>
          <w:jc w:val="center"/>
        </w:trPr>
        <w:tc>
          <w:tcPr>
            <w:tcW w:w="2263" w:type="dxa"/>
          </w:tcPr>
          <w:p w14:paraId="6DC95C02" w14:textId="77777777" w:rsidR="008B402F" w:rsidRPr="0030741F" w:rsidRDefault="008B402F" w:rsidP="005A428D">
            <w:pPr>
              <w:tabs>
                <w:tab w:val="left" w:pos="0"/>
              </w:tabs>
              <w:ind w:left="57" w:right="57" w:firstLine="0"/>
              <w:rPr>
                <w:szCs w:val="24"/>
                <w:lang w:eastAsia="ru-RU"/>
              </w:rPr>
            </w:pPr>
            <w:r w:rsidRPr="0030741F">
              <w:rPr>
                <w:szCs w:val="24"/>
                <w:lang w:eastAsia="ru-RU"/>
              </w:rPr>
              <w:t>Апрепитант</w:t>
            </w:r>
          </w:p>
        </w:tc>
        <w:tc>
          <w:tcPr>
            <w:tcW w:w="2103" w:type="dxa"/>
          </w:tcPr>
          <w:p w14:paraId="60DBB508" w14:textId="77777777" w:rsidR="008B402F" w:rsidRPr="0030741F" w:rsidRDefault="008B402F" w:rsidP="005A428D">
            <w:pPr>
              <w:tabs>
                <w:tab w:val="left" w:pos="0"/>
              </w:tabs>
              <w:ind w:left="57" w:right="57" w:firstLine="0"/>
              <w:rPr>
                <w:szCs w:val="24"/>
                <w:lang w:eastAsia="ru-RU"/>
              </w:rPr>
            </w:pPr>
            <w:r w:rsidRPr="0030741F">
              <w:rPr>
                <w:szCs w:val="24"/>
                <w:lang w:eastAsia="ru-RU"/>
              </w:rPr>
              <w:t xml:space="preserve">125  </w:t>
            </w:r>
          </w:p>
          <w:p w14:paraId="67BCDAEE" w14:textId="77777777" w:rsidR="008B402F" w:rsidRPr="0030741F" w:rsidRDefault="008B402F" w:rsidP="005A428D">
            <w:pPr>
              <w:tabs>
                <w:tab w:val="left" w:pos="0"/>
              </w:tabs>
              <w:ind w:left="57" w:right="57" w:firstLine="0"/>
              <w:rPr>
                <w:szCs w:val="24"/>
                <w:lang w:eastAsia="ru-RU"/>
              </w:rPr>
            </w:pPr>
            <w:r w:rsidRPr="0030741F">
              <w:rPr>
                <w:szCs w:val="24"/>
                <w:lang w:eastAsia="ru-RU"/>
              </w:rPr>
              <w:t xml:space="preserve">80 </w:t>
            </w:r>
          </w:p>
        </w:tc>
        <w:tc>
          <w:tcPr>
            <w:tcW w:w="4701" w:type="dxa"/>
          </w:tcPr>
          <w:p w14:paraId="5327D34C" w14:textId="77777777" w:rsidR="008B402F" w:rsidRPr="0030741F" w:rsidRDefault="008B402F" w:rsidP="005A428D">
            <w:pPr>
              <w:tabs>
                <w:tab w:val="left" w:pos="0"/>
              </w:tabs>
              <w:ind w:left="57" w:right="57" w:firstLine="0"/>
              <w:rPr>
                <w:szCs w:val="24"/>
                <w:lang w:eastAsia="ru-RU"/>
              </w:rPr>
            </w:pPr>
            <w:r w:rsidRPr="0030741F">
              <w:rPr>
                <w:szCs w:val="24"/>
                <w:lang w:eastAsia="ru-RU"/>
              </w:rPr>
              <w:t>Внутрь в 1 день</w:t>
            </w:r>
          </w:p>
          <w:p w14:paraId="39E1E799" w14:textId="77777777" w:rsidR="008B402F" w:rsidRPr="0030741F" w:rsidRDefault="008B402F" w:rsidP="005A428D">
            <w:pPr>
              <w:tabs>
                <w:tab w:val="left" w:pos="0"/>
              </w:tabs>
              <w:ind w:left="57" w:right="57" w:firstLine="0"/>
              <w:rPr>
                <w:szCs w:val="24"/>
                <w:lang w:eastAsia="ru-RU"/>
              </w:rPr>
            </w:pPr>
            <w:r w:rsidRPr="0030741F">
              <w:rPr>
                <w:szCs w:val="24"/>
                <w:lang w:eastAsia="ru-RU"/>
              </w:rPr>
              <w:t xml:space="preserve">Внутрь во 2 и </w:t>
            </w:r>
            <w:r>
              <w:rPr>
                <w:szCs w:val="24"/>
                <w:lang w:eastAsia="ru-RU"/>
              </w:rPr>
              <w:t>3</w:t>
            </w:r>
            <w:r w:rsidRPr="0030741F">
              <w:rPr>
                <w:szCs w:val="24"/>
                <w:lang w:eastAsia="ru-RU"/>
              </w:rPr>
              <w:t xml:space="preserve"> дни </w:t>
            </w:r>
            <w:r>
              <w:rPr>
                <w:szCs w:val="24"/>
                <w:lang w:eastAsia="ru-RU"/>
              </w:rPr>
              <w:t>П</w:t>
            </w:r>
            <w:r w:rsidRPr="0030741F">
              <w:rPr>
                <w:szCs w:val="24"/>
                <w:lang w:eastAsia="ru-RU"/>
              </w:rPr>
              <w:t>ХТ</w:t>
            </w:r>
          </w:p>
        </w:tc>
      </w:tr>
      <w:tr w:rsidR="008B402F" w:rsidRPr="0030741F" w14:paraId="3131E18B" w14:textId="77777777" w:rsidTr="005A428D">
        <w:trPr>
          <w:jc w:val="center"/>
        </w:trPr>
        <w:tc>
          <w:tcPr>
            <w:tcW w:w="2263" w:type="dxa"/>
          </w:tcPr>
          <w:p w14:paraId="56343193" w14:textId="77777777" w:rsidR="008B402F" w:rsidRPr="0030741F" w:rsidRDefault="008B402F" w:rsidP="005A428D">
            <w:pPr>
              <w:tabs>
                <w:tab w:val="left" w:pos="0"/>
              </w:tabs>
              <w:ind w:left="57" w:right="57" w:firstLine="0"/>
              <w:rPr>
                <w:szCs w:val="24"/>
                <w:lang w:eastAsia="ru-RU"/>
              </w:rPr>
            </w:pPr>
            <w:r w:rsidRPr="0030741F">
              <w:rPr>
                <w:bCs/>
                <w:szCs w:val="24"/>
              </w:rPr>
              <w:t>Фосапрепитант</w:t>
            </w:r>
          </w:p>
        </w:tc>
        <w:tc>
          <w:tcPr>
            <w:tcW w:w="2103" w:type="dxa"/>
          </w:tcPr>
          <w:p w14:paraId="2B5EB25D" w14:textId="77777777" w:rsidR="008B402F" w:rsidRPr="0030741F" w:rsidRDefault="008B402F" w:rsidP="005A428D">
            <w:pPr>
              <w:tabs>
                <w:tab w:val="left" w:pos="0"/>
              </w:tabs>
              <w:ind w:left="57" w:right="57" w:firstLine="0"/>
              <w:rPr>
                <w:szCs w:val="24"/>
                <w:lang w:eastAsia="ru-RU"/>
              </w:rPr>
            </w:pPr>
            <w:r w:rsidRPr="0030741F">
              <w:rPr>
                <w:szCs w:val="24"/>
                <w:lang w:eastAsia="ru-RU"/>
              </w:rPr>
              <w:t>150</w:t>
            </w:r>
          </w:p>
        </w:tc>
        <w:tc>
          <w:tcPr>
            <w:tcW w:w="4701" w:type="dxa"/>
          </w:tcPr>
          <w:p w14:paraId="6AED6B14" w14:textId="77777777" w:rsidR="008B402F" w:rsidRPr="0030741F" w:rsidRDefault="008B402F" w:rsidP="005A428D">
            <w:pPr>
              <w:tabs>
                <w:tab w:val="left" w:pos="0"/>
              </w:tabs>
              <w:ind w:left="57" w:right="57" w:firstLine="0"/>
              <w:rPr>
                <w:szCs w:val="24"/>
              </w:rPr>
            </w:pPr>
            <w:r w:rsidRPr="0030741F">
              <w:rPr>
                <w:szCs w:val="24"/>
                <w:lang w:eastAsia="ru-RU"/>
              </w:rPr>
              <w:t>В/в однократно</w:t>
            </w:r>
          </w:p>
        </w:tc>
      </w:tr>
    </w:tbl>
    <w:p w14:paraId="61A64DF6" w14:textId="77777777" w:rsidR="008B402F" w:rsidRPr="0030741F" w:rsidRDefault="008B402F" w:rsidP="008B402F">
      <w:pPr>
        <w:pStyle w:val="afe"/>
        <w:ind w:left="1069" w:firstLine="0"/>
      </w:pPr>
    </w:p>
    <w:p w14:paraId="4409C69C" w14:textId="77777777" w:rsidR="008B402F" w:rsidRPr="0030741F" w:rsidRDefault="008B402F" w:rsidP="00D22A46">
      <w:pPr>
        <w:pStyle w:val="afe"/>
        <w:numPr>
          <w:ilvl w:val="0"/>
          <w:numId w:val="42"/>
        </w:numPr>
        <w:contextualSpacing w:val="0"/>
      </w:pPr>
      <w:r w:rsidRPr="003F4776">
        <w:rPr>
          <w:i/>
          <w:iCs/>
        </w:rPr>
        <w:t>Блокаторы рецепторов допамина</w:t>
      </w:r>
      <w:r>
        <w:t>. В эту группу входят бензамиды (метоклопрамид, итоприд), фенотиазины (хлорпромазин или аминазин, прометазин, метопемазин), бутирофеноны (дроперидол, галоперидол), бензодиазепины (диазепам, лоразепам, альпрозолам). Препараты обладают седативными и анксиолитическими свойствами. Метоклопрамид, широко использовавшийся ранее в высоких дозах для профилактики острой тошноты и рвоты после высоко- и среднеэметогенной ПХТ, в 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 Добавление блокаторов рецепторов допамина к схеме противорвотной терапии проводится по показаниям на усмотрение лечащего врача.</w:t>
      </w:r>
    </w:p>
    <w:p w14:paraId="46152C42" w14:textId="77777777" w:rsidR="008B402F" w:rsidRDefault="008B402F" w:rsidP="00D22A46">
      <w:pPr>
        <w:pStyle w:val="afe"/>
        <w:numPr>
          <w:ilvl w:val="0"/>
          <w:numId w:val="42"/>
        </w:numPr>
        <w:contextualSpacing w:val="0"/>
      </w:pPr>
      <w:r w:rsidRPr="000F06CA">
        <w:rPr>
          <w:i/>
          <w:iCs/>
        </w:rPr>
        <w:t>Нейролептики</w:t>
      </w:r>
      <w:r>
        <w:t xml:space="preserve">. </w:t>
      </w:r>
      <w:r w:rsidRPr="00B328AA">
        <w:t xml:space="preserve">Добавление нейролептиков к схеме противорвотной терапии проводится по показаниям на усмотрение лечащего врача </w:t>
      </w:r>
      <w:r w:rsidRPr="00B328AA">
        <w:lastRenderedPageBreak/>
        <w:t xml:space="preserve">(например, при возникновении неконтролируемой тошноты и рвоты – оланзапин 5–10 мг в сутки внутрь). </w:t>
      </w:r>
    </w:p>
    <w:p w14:paraId="354FB4CC" w14:textId="77777777" w:rsidR="008B402F" w:rsidRPr="00B328AA" w:rsidRDefault="008B402F" w:rsidP="008B402F"/>
    <w:p w14:paraId="4DD7C143" w14:textId="77777777" w:rsidR="008B402F" w:rsidRPr="00F10383"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10383">
        <w:rPr>
          <w:rFonts w:cs="Times New Roman"/>
          <w:bCs/>
          <w:i/>
          <w:iCs/>
          <w:u w:val="single"/>
          <w:shd w:val="clear" w:color="auto" w:fill="FFFFFF"/>
        </w:rPr>
        <w:t xml:space="preserve">Принципы профилактики и терапии тошноты и рвоты. </w:t>
      </w:r>
    </w:p>
    <w:p w14:paraId="691E084B" w14:textId="0167F71C" w:rsidR="008B402F" w:rsidRPr="00B328AA" w:rsidRDefault="008B402F" w:rsidP="008B402F">
      <w:r w:rsidRPr="00B328AA">
        <w:t>Эксперты Международной ассоциации по поддерживающему лечению в онкологии (MASCC) разработали принципы антиэметической терапии, согласно которым используются следующие алогритм и методы профилактики тошноты и рвоты</w:t>
      </w:r>
      <w:r>
        <w:t xml:space="preserve"> </w:t>
      </w:r>
      <w:r>
        <w:fldChar w:fldCharType="begin" w:fldLock="1"/>
      </w:r>
      <w:r w:rsidR="00AD5514">
        <w:instrText>ADDIN CSL_CITATION {"citationItems":[{"id":"ITEM-1","itemData":{"DOI":"10.1007/s00520-018-4464-y","ISSN":"14337339","PMID":"30284039","abstract":"Chemotherapy-induced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Cancer","id":"ITEM-1","issue":"1","issued":{"date-parts":[["2019","1","1"]]},"page":"87-95","publisher":"Springer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-2","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онкологии.","id":"ITEM-2","issued":{"date-parts":[["2018"]]},"page":"502-511","title":"Практические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[27,38]","plainTextFormattedCitation":"[27,38]","previouslyFormattedCitation":"[27,38]"},"properties":{"noteIndex":0},"schema":"https://github.com/citation-style-language/schema/raw/master/csl-citation.json"}</w:instrText>
      </w:r>
      <w:r>
        <w:fldChar w:fldCharType="separate"/>
      </w:r>
      <w:r w:rsidR="00A83C66" w:rsidRPr="00A83C66">
        <w:rPr>
          <w:noProof/>
        </w:rPr>
        <w:t>[27,38]</w:t>
      </w:r>
      <w:r>
        <w:fldChar w:fldCharType="end"/>
      </w:r>
      <w:r w:rsidRPr="00B328AA">
        <w:t xml:space="preserve">. </w:t>
      </w:r>
    </w:p>
    <w:p w14:paraId="40312719" w14:textId="77777777" w:rsidR="008B402F" w:rsidRPr="00FB3FAC" w:rsidRDefault="008B402F" w:rsidP="008B402F">
      <w:pPr>
        <w:tabs>
          <w:tab w:val="left" w:pos="0"/>
        </w:tabs>
        <w:rPr>
          <w:bCs/>
          <w:szCs w:val="24"/>
        </w:rPr>
      </w:pPr>
      <w:r w:rsidRPr="00FB3FAC">
        <w:rPr>
          <w:bCs/>
          <w:szCs w:val="24"/>
        </w:rPr>
        <w:t>Алгоритм профилактики и терапии тошноты и рвоты:</w:t>
      </w:r>
    </w:p>
    <w:p w14:paraId="38B5BB9B" w14:textId="77777777" w:rsidR="008B402F" w:rsidRPr="00B328AA" w:rsidRDefault="008B402F" w:rsidP="00D22A46">
      <w:pPr>
        <w:pStyle w:val="afe"/>
        <w:numPr>
          <w:ilvl w:val="0"/>
          <w:numId w:val="42"/>
        </w:numPr>
        <w:contextualSpacing w:val="0"/>
      </w:pPr>
      <w:r w:rsidRPr="00B328AA">
        <w:t xml:space="preserve">Определить эметогенный потенциал назначенного режима ХТ </w:t>
      </w:r>
    </w:p>
    <w:p w14:paraId="2EEAF4C3" w14:textId="77777777" w:rsidR="008B402F" w:rsidRPr="00B328AA" w:rsidRDefault="008B402F" w:rsidP="00D22A46">
      <w:pPr>
        <w:pStyle w:val="afe"/>
        <w:numPr>
          <w:ilvl w:val="0"/>
          <w:numId w:val="42"/>
        </w:numPr>
        <w:contextualSpacing w:val="0"/>
      </w:pPr>
      <w:r w:rsidRPr="00B328AA">
        <w:t>Назначить профилактическую терапию, исходя из эметогенности режима ХТ, начиная с первого курса</w:t>
      </w:r>
    </w:p>
    <w:p w14:paraId="06BCB350" w14:textId="77777777" w:rsidR="008B402F" w:rsidRPr="00B328AA" w:rsidRDefault="008B402F" w:rsidP="00D22A46">
      <w:pPr>
        <w:pStyle w:val="afe"/>
        <w:numPr>
          <w:ilvl w:val="0"/>
          <w:numId w:val="42"/>
        </w:numPr>
        <w:contextualSpacing w:val="0"/>
      </w:pPr>
      <w:r w:rsidRPr="00B328AA">
        <w:t>Назначить лечение в случае развития тошноты и рвоты на фоне профилактической терапии</w:t>
      </w:r>
    </w:p>
    <w:p w14:paraId="1037A8B5" w14:textId="77777777" w:rsidR="008B402F" w:rsidRPr="00B328AA" w:rsidRDefault="008B402F" w:rsidP="00D22A46">
      <w:pPr>
        <w:pStyle w:val="afe"/>
        <w:numPr>
          <w:ilvl w:val="0"/>
          <w:numId w:val="42"/>
        </w:numPr>
        <w:contextualSpacing w:val="0"/>
      </w:pPr>
      <w:r w:rsidRPr="00B328AA">
        <w:t>В случае развития тошноты и рвоты внести изменения в профилактическую терапию на последующих циклах ХТ</w:t>
      </w:r>
    </w:p>
    <w:p w14:paraId="424FD469" w14:textId="77777777" w:rsidR="008B402F" w:rsidRPr="00B328AA" w:rsidRDefault="008B402F" w:rsidP="00D22A46">
      <w:pPr>
        <w:pStyle w:val="afe"/>
        <w:numPr>
          <w:ilvl w:val="0"/>
          <w:numId w:val="42"/>
        </w:numPr>
        <w:contextualSpacing w:val="0"/>
      </w:pPr>
      <w:r w:rsidRPr="00B328AA">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0B94A3E1" w14:textId="77777777" w:rsidR="008B402F" w:rsidRDefault="008B402F" w:rsidP="008B402F">
      <w:pPr>
        <w:tabs>
          <w:tab w:val="left" w:pos="0"/>
        </w:tabs>
        <w:rPr>
          <w:b/>
          <w:szCs w:val="24"/>
        </w:rPr>
      </w:pPr>
    </w:p>
    <w:p w14:paraId="605F9925" w14:textId="77777777" w:rsidR="008B402F" w:rsidRPr="00FB3FAC"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высоко-эметогенной ХТ</w:t>
      </w:r>
    </w:p>
    <w:p w14:paraId="4E83194D" w14:textId="1A5644B7" w:rsidR="008B402F" w:rsidRPr="00B328AA" w:rsidRDefault="008B402F" w:rsidP="008B402F">
      <w:r w:rsidRPr="00B328AA">
        <w:t xml:space="preserve">Профилактика тошноты и рвоты должна начинаться до начала ХТ и проводиться не менее 2-3 дней после ее окончания. Антиэметики назначают во все дни ХТ ежедневно (исключение: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основе компонента ХТ, обладающего наибольшей эметогенностью. 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 (не добавляют при наличии дексаметазона в схеме ХТ). Дополнительно по показаниям на усмотрение лечащего врача могут применяться бензодиазепины, </w:t>
      </w:r>
      <w:r w:rsidRPr="00B328AA">
        <w:lastRenderedPageBreak/>
        <w:t>блокаторы H2-рецепторов гистамина, ингибиторы протонной помпы. Может быть назначен апрепитант в дозе 125 мг в 1 день и 80 мг в последующие дни</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B328AA">
        <w:t>.</w:t>
      </w:r>
    </w:p>
    <w:p w14:paraId="166E784A" w14:textId="77777777" w:rsidR="008B402F" w:rsidRPr="0030741F" w:rsidRDefault="008B402F" w:rsidP="008B402F">
      <w:pPr>
        <w:tabs>
          <w:tab w:val="left" w:pos="0"/>
        </w:tabs>
        <w:rPr>
          <w:szCs w:val="24"/>
        </w:rPr>
      </w:pPr>
    </w:p>
    <w:p w14:paraId="27097624" w14:textId="77777777" w:rsidR="008B402F" w:rsidRPr="00FB3FAC"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умеренно-эметогенной ХТ</w:t>
      </w:r>
    </w:p>
    <w:p w14:paraId="310612F4" w14:textId="22F587A6" w:rsidR="008B402F" w:rsidRPr="00B328AA" w:rsidRDefault="008B402F" w:rsidP="008B402F">
      <w:r w:rsidRPr="00B328AA">
        <w:t>Профилактика тошноты и рвоты должна начинаться до начала ХТ и проводиться при необходимости еще 2-3 дня после ее окончания.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 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B328AA">
        <w:t>.</w:t>
      </w:r>
    </w:p>
    <w:p w14:paraId="5111E63E" w14:textId="77777777" w:rsidR="008B402F" w:rsidRDefault="008B402F" w:rsidP="008B402F">
      <w:pPr>
        <w:pStyle w:val="Normal11"/>
        <w:tabs>
          <w:tab w:val="left" w:pos="0"/>
        </w:tabs>
        <w:spacing w:line="360" w:lineRule="auto"/>
        <w:ind w:firstLine="699"/>
        <w:jc w:val="both"/>
        <w:rPr>
          <w:rFonts w:cs="Times New Roman"/>
          <w:bCs/>
          <w:i/>
          <w:iCs/>
          <w:u w:val="single"/>
          <w:shd w:val="clear" w:color="auto" w:fill="FFFFFF"/>
        </w:rPr>
      </w:pPr>
    </w:p>
    <w:p w14:paraId="36BABCEE" w14:textId="77777777" w:rsidR="008B402F" w:rsidRPr="00FB3FAC"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низко-эметогенной и минимально-эметогенной ХТ</w:t>
      </w:r>
    </w:p>
    <w:p w14:paraId="34EEB939" w14:textId="153ECACF" w:rsidR="008B402F" w:rsidRPr="00B328AA" w:rsidRDefault="008B402F" w:rsidP="008B402F">
      <w:r w:rsidRPr="00B328AA">
        <w:t>Для профилактики тошноты и рвоты при химиотерапии с низкой эметогенностью следует использовать только один из препаратов: дексаметазон, антагонист 5-HT3-рецепторов или антагонист рецепторов допамина (например, метоклопрамид). При минимально-эметогенной ХТ профилактика тошноты и рвоты не требуется</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B328AA">
        <w:t>.</w:t>
      </w:r>
    </w:p>
    <w:p w14:paraId="4544937A" w14:textId="77777777" w:rsidR="008B402F" w:rsidRDefault="008B402F" w:rsidP="008B402F">
      <w:pPr>
        <w:pStyle w:val="Normal11"/>
        <w:tabs>
          <w:tab w:val="left" w:pos="0"/>
        </w:tabs>
        <w:spacing w:line="360" w:lineRule="auto"/>
        <w:ind w:firstLine="699"/>
        <w:jc w:val="both"/>
        <w:rPr>
          <w:rFonts w:cs="Times New Roman"/>
          <w:bCs/>
          <w:i/>
          <w:iCs/>
          <w:u w:val="single"/>
          <w:shd w:val="clear" w:color="auto" w:fill="FFFFFF"/>
        </w:rPr>
      </w:pPr>
    </w:p>
    <w:p w14:paraId="72DA8C01" w14:textId="77777777" w:rsidR="008B402F" w:rsidRPr="00FB3FAC"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 xml:space="preserve">Профилактика тошноты и рвоты при лучевой терапии </w:t>
      </w:r>
    </w:p>
    <w:p w14:paraId="4539F6A7" w14:textId="5A49B22F" w:rsidR="008B402F" w:rsidRPr="00B328AA" w:rsidRDefault="008B402F" w:rsidP="008B402F">
      <w:r w:rsidRPr="00B328AA">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B328AA">
        <w:t>.</w:t>
      </w:r>
    </w:p>
    <w:p w14:paraId="5BB83AE9" w14:textId="77777777" w:rsidR="008B402F" w:rsidRDefault="008B402F" w:rsidP="008B402F">
      <w:pPr>
        <w:pStyle w:val="Normal11"/>
        <w:tabs>
          <w:tab w:val="left" w:pos="0"/>
        </w:tabs>
        <w:spacing w:line="360" w:lineRule="auto"/>
        <w:ind w:firstLine="699"/>
        <w:jc w:val="both"/>
        <w:rPr>
          <w:rFonts w:cs="Times New Roman"/>
          <w:bCs/>
          <w:i/>
          <w:iCs/>
          <w:u w:val="single"/>
          <w:shd w:val="clear" w:color="auto" w:fill="FFFFFF"/>
        </w:rPr>
      </w:pPr>
    </w:p>
    <w:p w14:paraId="45B8D91B" w14:textId="77777777" w:rsidR="008B402F" w:rsidRPr="00FB3FAC"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Терапия неконтролируемой тошноты и рвоты</w:t>
      </w:r>
    </w:p>
    <w:p w14:paraId="5F6DC031" w14:textId="5126B432" w:rsidR="008B402F" w:rsidRPr="00B328AA" w:rsidRDefault="008B402F" w:rsidP="008B402F">
      <w:r w:rsidRPr="00B328AA">
        <w:lastRenderedPageBreak/>
        <w:t>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необходимо исключить причины, не связанные с непосредственным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В случае их исключения необходимо перевести пациента на схему профилактики с низко-эметогенного потенциала на умеренно-эметогенный и с умеренно-эметогенного на высоко-эметогенный. 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B328AA">
        <w:t xml:space="preserve">. </w:t>
      </w:r>
    </w:p>
    <w:p w14:paraId="1072FA69" w14:textId="77777777" w:rsidR="008B402F" w:rsidRPr="00B328AA" w:rsidRDefault="008B402F" w:rsidP="008B402F">
      <w:r w:rsidRPr="00B328AA">
        <w:t>Развитие неконтролируемой или рефрактерной рвоты может развиться у пациентов с так называемым сверхбыстрым метаболическим фенотипом (ускоренный метаболизм антагонистов 5-HT3-рецепторов в печени). В таком случае целесообразна смена 5-HT3-блокатора на другой антиэметик данного класса препаратов.</w:t>
      </w:r>
    </w:p>
    <w:p w14:paraId="25FD431F" w14:textId="77777777" w:rsidR="008B402F" w:rsidRPr="00B328AA" w:rsidRDefault="008B402F" w:rsidP="008B402F">
      <w:r w:rsidRPr="00B328AA">
        <w:t>Кроме того, следует выполнять ряд общих принципов профилактики и лечения тошноты и рвоты:</w:t>
      </w:r>
    </w:p>
    <w:p w14:paraId="0004BFDA" w14:textId="77777777" w:rsidR="008B402F" w:rsidRPr="00B328AA" w:rsidRDefault="008B402F" w:rsidP="00D22A46">
      <w:pPr>
        <w:pStyle w:val="afe"/>
        <w:numPr>
          <w:ilvl w:val="0"/>
          <w:numId w:val="42"/>
        </w:numPr>
        <w:contextualSpacing w:val="0"/>
      </w:pPr>
      <w:r w:rsidRPr="00B328AA">
        <w:t>Назначать антиэметики строго по часам, а не при появлении тошноты или рвоты.</w:t>
      </w:r>
    </w:p>
    <w:p w14:paraId="5140BB87" w14:textId="77777777" w:rsidR="008B402F" w:rsidRPr="00B328AA" w:rsidRDefault="008B402F" w:rsidP="00D22A46">
      <w:pPr>
        <w:pStyle w:val="afe"/>
        <w:numPr>
          <w:ilvl w:val="0"/>
          <w:numId w:val="42"/>
        </w:numPr>
        <w:contextualSpacing w:val="0"/>
      </w:pPr>
      <w:r w:rsidRPr="00B328AA">
        <w:t xml:space="preserve">Оценивать предпочтительный путь введения препаратов (парентерально, в ректальных суппозиториях, или внутрь). </w:t>
      </w:r>
    </w:p>
    <w:p w14:paraId="3B66FFC3" w14:textId="77777777" w:rsidR="008B402F" w:rsidRPr="00B328AA" w:rsidRDefault="008B402F" w:rsidP="00D22A46">
      <w:pPr>
        <w:pStyle w:val="afe"/>
        <w:numPr>
          <w:ilvl w:val="0"/>
          <w:numId w:val="42"/>
        </w:numPr>
        <w:contextualSpacing w:val="0"/>
      </w:pPr>
      <w:r w:rsidRPr="00B328AA">
        <w:t>Осуществлять адекватную гидратацию и коррекцию электролитов.</w:t>
      </w:r>
    </w:p>
    <w:p w14:paraId="796EBBBF" w14:textId="77777777" w:rsidR="008B402F" w:rsidRPr="00B328AA" w:rsidRDefault="008B402F" w:rsidP="00D22A46">
      <w:pPr>
        <w:pStyle w:val="afe"/>
        <w:numPr>
          <w:ilvl w:val="0"/>
          <w:numId w:val="42"/>
        </w:numPr>
        <w:contextualSpacing w:val="0"/>
      </w:pPr>
      <w:r w:rsidRPr="00B328AA">
        <w:t>Добавлять при диспепсии Н2-блокаторы или блокаторы протонной помпы.</w:t>
      </w:r>
    </w:p>
    <w:p w14:paraId="28257B69" w14:textId="77777777" w:rsidR="008B402F" w:rsidRPr="0006238A" w:rsidRDefault="008B402F" w:rsidP="008B402F">
      <w:pPr>
        <w:tabs>
          <w:tab w:val="left" w:pos="0"/>
        </w:tabs>
        <w:rPr>
          <w:rFonts w:eastAsia="GaramondC-Light"/>
          <w:color w:val="000000"/>
          <w:szCs w:val="24"/>
        </w:rPr>
      </w:pPr>
      <w:r w:rsidRPr="0006238A">
        <w:rPr>
          <w:rFonts w:eastAsia="GaramondC-Light"/>
          <w:color w:val="000000"/>
          <w:szCs w:val="24"/>
        </w:rPr>
        <w:t>При возникновении неконтролируемой тошноты и рвоты на фоне трехкомпонентной противорвотной схемы стандартного подхода нет</w:t>
      </w:r>
      <w:r>
        <w:rPr>
          <w:rFonts w:eastAsia="GaramondC-Light"/>
          <w:color w:val="000000"/>
          <w:szCs w:val="24"/>
        </w:rPr>
        <w:t>, с</w:t>
      </w:r>
      <w:r w:rsidRPr="0006238A">
        <w:rPr>
          <w:rFonts w:eastAsia="GaramondC-Light"/>
          <w:color w:val="000000"/>
          <w:szCs w:val="24"/>
        </w:rPr>
        <w:t xml:space="preserve">ледует рассмотреть добавление препаратов иного класса из </w:t>
      </w:r>
      <w:r>
        <w:rPr>
          <w:rFonts w:eastAsia="GaramondC-Light"/>
          <w:color w:val="000000"/>
          <w:szCs w:val="24"/>
        </w:rPr>
        <w:t xml:space="preserve">группы </w:t>
      </w:r>
      <w:r w:rsidRPr="0006238A">
        <w:rPr>
          <w:rFonts w:eastAsia="GaramondC-Light"/>
          <w:color w:val="000000"/>
          <w:szCs w:val="24"/>
        </w:rPr>
        <w:t>резерва:</w:t>
      </w:r>
      <w:r>
        <w:rPr>
          <w:rFonts w:eastAsia="GaramondC-Light"/>
          <w:color w:val="000000"/>
          <w:szCs w:val="24"/>
        </w:rPr>
        <w:t xml:space="preserve"> </w:t>
      </w:r>
    </w:p>
    <w:p w14:paraId="40FC29B6" w14:textId="77777777" w:rsidR="008B402F" w:rsidRPr="00B328AA" w:rsidRDefault="008B402F" w:rsidP="00D22A46">
      <w:pPr>
        <w:pStyle w:val="afe"/>
        <w:numPr>
          <w:ilvl w:val="0"/>
          <w:numId w:val="42"/>
        </w:numPr>
        <w:contextualSpacing w:val="0"/>
      </w:pPr>
      <w:r w:rsidRPr="00B328AA">
        <w:t>бензодиазепины (например, лоразепам по 0,5–2 мг каждые 4–6 ч);</w:t>
      </w:r>
    </w:p>
    <w:p w14:paraId="24D8F84C" w14:textId="77777777" w:rsidR="008B402F" w:rsidRPr="00B328AA" w:rsidRDefault="008B402F" w:rsidP="00D22A46">
      <w:pPr>
        <w:pStyle w:val="afe"/>
        <w:numPr>
          <w:ilvl w:val="0"/>
          <w:numId w:val="42"/>
        </w:numPr>
        <w:contextualSpacing w:val="0"/>
      </w:pPr>
      <w:r w:rsidRPr="00B328AA">
        <w:t>блокаторы рецепторов допамина (например, метоклопрамид по 20 мг каждые 6 ч);</w:t>
      </w:r>
    </w:p>
    <w:p w14:paraId="32BA3288" w14:textId="77777777" w:rsidR="008B402F" w:rsidRPr="00B328AA" w:rsidRDefault="008B402F" w:rsidP="00D22A46">
      <w:pPr>
        <w:pStyle w:val="afe"/>
        <w:numPr>
          <w:ilvl w:val="0"/>
          <w:numId w:val="42"/>
        </w:numPr>
        <w:contextualSpacing w:val="0"/>
      </w:pPr>
      <w:r w:rsidRPr="00B328AA">
        <w:t>фенотиазины (например, аминазин 25 мг 4 раза в сутки);</w:t>
      </w:r>
    </w:p>
    <w:p w14:paraId="2C316AB7" w14:textId="77777777" w:rsidR="008B402F" w:rsidRPr="00B328AA" w:rsidRDefault="008B402F" w:rsidP="00D22A46">
      <w:pPr>
        <w:pStyle w:val="afe"/>
        <w:numPr>
          <w:ilvl w:val="0"/>
          <w:numId w:val="42"/>
        </w:numPr>
        <w:contextualSpacing w:val="0"/>
      </w:pPr>
      <w:r w:rsidRPr="00B328AA">
        <w:t>бутирофеноны (например, галоперидол 1–2 мг каждые 4–6 ч).</w:t>
      </w:r>
    </w:p>
    <w:p w14:paraId="7ED7CA1D" w14:textId="77777777" w:rsidR="008B402F" w:rsidRPr="00B328AA" w:rsidRDefault="008B402F" w:rsidP="008B402F">
      <w:r w:rsidRPr="00B328AA">
        <w:t>Возможно также использование альтернативного варианта профилактики тошноты и рвоты:</w:t>
      </w:r>
    </w:p>
    <w:p w14:paraId="3771C05C" w14:textId="77777777" w:rsidR="008B402F" w:rsidRPr="00B53E48" w:rsidRDefault="008B402F" w:rsidP="00D22A46">
      <w:pPr>
        <w:pStyle w:val="afe"/>
        <w:numPr>
          <w:ilvl w:val="0"/>
          <w:numId w:val="42"/>
        </w:numPr>
        <w:contextualSpacing w:val="0"/>
      </w:pPr>
      <w:r w:rsidRPr="00B53E48">
        <w:lastRenderedPageBreak/>
        <w:t>оланзапин 5–10 мг в сутки внутрь с 1 по 3 дни;</w:t>
      </w:r>
    </w:p>
    <w:p w14:paraId="21ED4CC9" w14:textId="77777777" w:rsidR="008B402F" w:rsidRPr="00B53E48" w:rsidRDefault="008B402F" w:rsidP="00D22A46">
      <w:pPr>
        <w:pStyle w:val="afe"/>
        <w:numPr>
          <w:ilvl w:val="0"/>
          <w:numId w:val="42"/>
        </w:numPr>
        <w:contextualSpacing w:val="0"/>
      </w:pPr>
      <w:r w:rsidRPr="00B53E48">
        <w:t>палоносетрон 0,25 мг в/в за 60 минут до ХТ в 1 день однократно;</w:t>
      </w:r>
    </w:p>
    <w:p w14:paraId="27A779D0" w14:textId="77777777" w:rsidR="008B402F" w:rsidRPr="00B53E48" w:rsidRDefault="008B402F" w:rsidP="00D22A46">
      <w:pPr>
        <w:pStyle w:val="afe"/>
        <w:numPr>
          <w:ilvl w:val="0"/>
          <w:numId w:val="42"/>
        </w:numPr>
        <w:contextualSpacing w:val="0"/>
      </w:pPr>
      <w:r w:rsidRPr="00B53E48">
        <w:t>дексаметазон 20 мг в/в за 30 минут до ХТ в 1 день.</w:t>
      </w:r>
    </w:p>
    <w:p w14:paraId="5EF8DC47" w14:textId="77777777" w:rsidR="008B402F" w:rsidRDefault="008B402F" w:rsidP="008B402F">
      <w:pPr>
        <w:pStyle w:val="Normal11"/>
        <w:tabs>
          <w:tab w:val="left" w:pos="0"/>
        </w:tabs>
        <w:spacing w:line="360" w:lineRule="auto"/>
        <w:ind w:firstLine="699"/>
        <w:jc w:val="both"/>
        <w:rPr>
          <w:rFonts w:cs="Times New Roman"/>
          <w:bCs/>
          <w:i/>
          <w:iCs/>
          <w:u w:val="single"/>
          <w:shd w:val="clear" w:color="auto" w:fill="FFFFFF"/>
        </w:rPr>
      </w:pPr>
    </w:p>
    <w:p w14:paraId="0C278715" w14:textId="77777777" w:rsidR="008B402F" w:rsidRPr="00FB3FAC" w:rsidRDefault="008B402F" w:rsidP="008B402F">
      <w:pPr>
        <w:pStyle w:val="Normal11"/>
        <w:tabs>
          <w:tab w:val="left" w:pos="0"/>
        </w:tabs>
        <w:spacing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и терапия условно-рефлекторной рвоты</w:t>
      </w:r>
    </w:p>
    <w:p w14:paraId="6375EAB2" w14:textId="3967D354" w:rsidR="008B402F" w:rsidRDefault="008B402F" w:rsidP="008B402F">
      <w:r w:rsidRPr="00B328AA">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r>
        <w:t xml:space="preserve"> </w:t>
      </w:r>
      <w:r>
        <w:fldChar w:fldCharType="begin" w:fldLock="1"/>
      </w:r>
      <w:r w:rsidR="00AD5514">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[27,33–38]","plainTextFormattedCitation":"[27,33–38]","previouslyFormattedCitation":"[27,33–38]"},"properties":{"noteIndex":0},"schema":"https://github.com/citation-style-language/schema/raw/master/csl-citation.json"}</w:instrText>
      </w:r>
      <w:r>
        <w:fldChar w:fldCharType="separate"/>
      </w:r>
      <w:r w:rsidR="00A83C66" w:rsidRPr="00A83C66">
        <w:rPr>
          <w:noProof/>
        </w:rPr>
        <w:t>[27,33–38]</w:t>
      </w:r>
      <w:r>
        <w:fldChar w:fldCharType="end"/>
      </w:r>
      <w:r w:rsidRPr="00B328AA">
        <w:t>.</w:t>
      </w:r>
    </w:p>
    <w:p w14:paraId="3DB9A61A" w14:textId="77777777" w:rsidR="008B402F" w:rsidRPr="0046237C" w:rsidRDefault="008B402F" w:rsidP="008B402F">
      <w:pPr>
        <w:pStyle w:val="Normal11"/>
        <w:tabs>
          <w:tab w:val="left" w:pos="0"/>
        </w:tabs>
        <w:spacing w:line="360" w:lineRule="auto"/>
        <w:ind w:firstLine="699"/>
        <w:jc w:val="both"/>
        <w:rPr>
          <w:rFonts w:cs="Times New Roman"/>
          <w:noProof/>
        </w:rPr>
      </w:pPr>
    </w:p>
    <w:p w14:paraId="115A11F0" w14:textId="445882DA" w:rsidR="00AD5514" w:rsidRPr="003C1AEB" w:rsidRDefault="00A83C66" w:rsidP="00AD5514">
      <w:pPr>
        <w:pStyle w:val="2"/>
      </w:pPr>
      <w:bookmarkStart w:id="58" w:name="_Toc65108044"/>
      <w:r>
        <w:t xml:space="preserve">7.6. </w:t>
      </w:r>
      <w:bookmarkStart w:id="59" w:name="_Toc64295967"/>
      <w:bookmarkStart w:id="60" w:name="_Toc64479399"/>
      <w:r w:rsidR="00AD5514" w:rsidRPr="003C1AEB">
        <w:rPr>
          <w:u w:color="000000"/>
          <w:lang w:eastAsia="ru-RU"/>
        </w:rPr>
        <w:t>Профилактика язвенной болезни желудка и 12-перстной кишки на фоне терапии глюкокортикостероидами</w:t>
      </w:r>
      <w:bookmarkEnd w:id="58"/>
      <w:bookmarkEnd w:id="59"/>
      <w:bookmarkEnd w:id="60"/>
    </w:p>
    <w:p w14:paraId="0160116D" w14:textId="2D7D7507" w:rsidR="00AD5514" w:rsidRDefault="00AD5514" w:rsidP="00AD5514">
      <w:r w:rsidRPr="00C96416">
        <w:t xml:space="preserve">В абсолютное большинство протоколов противоопухолевого лечения </w:t>
      </w:r>
      <w:r>
        <w:t>онко</w:t>
      </w:r>
      <w:r w:rsidRPr="003A77F4">
        <w:t>гематологических заболеваний</w:t>
      </w:r>
      <w:r w:rsidRPr="00C96416">
        <w:t xml:space="preserve">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w:t>
      </w:r>
      <w:r>
        <w:t xml:space="preserve">ГКС с </w:t>
      </w:r>
      <w:r w:rsidRPr="00C96416">
        <w:t>нестероидны</w:t>
      </w:r>
      <w:r>
        <w:t>ми</w:t>
      </w:r>
      <w:r w:rsidRPr="00C96416">
        <w:t xml:space="preserve"> противовоспалительны</w:t>
      </w:r>
      <w:r>
        <w:t>ми</w:t>
      </w:r>
      <w:r w:rsidRPr="00C96416">
        <w:t xml:space="preserve"> средств</w:t>
      </w:r>
      <w:r>
        <w:t xml:space="preserve">ами и антикоагулянтами </w:t>
      </w:r>
      <w:r w:rsidRPr="00C96416">
        <w:t>риск развития стероидных язв возрастает.</w:t>
      </w:r>
      <w:r>
        <w:t xml:space="preserve"> В связи с ульцерогенностью, при использовании ГКС необходимо проводить антисекреторную терапию с целью профилактики стероидных язв </w:t>
      </w:r>
      <w:r>
        <w:fldChar w:fldCharType="begin" w:fldLock="1"/>
      </w:r>
      <w:r w:rsidR="00AA297E">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[39,40]","plainTextFormattedCitation":"[39,40]","previouslyFormattedCitation":"[39,40]"},"properties":{"noteIndex":0},"schema":"https://github.com/citation-style-language/schema/raw/master/csl-citation.json"}</w:instrText>
      </w:r>
      <w:r>
        <w:fldChar w:fldCharType="separate"/>
      </w:r>
      <w:r w:rsidRPr="00AD5514">
        <w:rPr>
          <w:noProof/>
        </w:rPr>
        <w:t>[39,40]</w:t>
      </w:r>
      <w:r>
        <w:fldChar w:fldCharType="end"/>
      </w:r>
      <w:r>
        <w:t>.</w:t>
      </w:r>
    </w:p>
    <w:p w14:paraId="5D893AA4" w14:textId="77777777" w:rsidR="00AD5514" w:rsidRDefault="00AD5514" w:rsidP="00AD5514"/>
    <w:p w14:paraId="749BA0AF" w14:textId="77777777" w:rsidR="00AD5514" w:rsidRPr="00A56C81" w:rsidRDefault="00AD5514" w:rsidP="00AD5514">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Диагностика язвенной болезни желудка и 12-перстной кишки при применении ГСК</w:t>
      </w:r>
    </w:p>
    <w:p w14:paraId="11704F97" w14:textId="77777777" w:rsidR="00AD5514" w:rsidRDefault="00AD5514" w:rsidP="00AD5514">
      <w:r w:rsidRPr="00C96416">
        <w:t xml:space="preserve">Формирование язв </w:t>
      </w:r>
      <w:r>
        <w:t xml:space="preserve">ЖКТ </w:t>
      </w:r>
      <w:r w:rsidRPr="00C96416">
        <w:t xml:space="preserve">может проявляться диспепсическими явлениями и </w:t>
      </w:r>
      <w:r>
        <w:t xml:space="preserve">абдоминальными </w:t>
      </w:r>
      <w:r w:rsidRPr="00C96416">
        <w:t>болями, но нередко протекает и бессимптомно, манифестируя кровотечением или пер</w:t>
      </w:r>
      <w:r>
        <w:t xml:space="preserve">форацией. </w:t>
      </w:r>
    </w:p>
    <w:p w14:paraId="1CAA0AA1" w14:textId="77777777" w:rsidR="00AD5514" w:rsidRPr="003A77F4" w:rsidRDefault="00AD5514" w:rsidP="00AD5514">
      <w:r>
        <w:t>Для диагностики язвенного поражения ЖКТ применяется э</w:t>
      </w:r>
      <w:r w:rsidRPr="006252FA">
        <w:t>зофагодуоденоскопия</w:t>
      </w:r>
      <w:r>
        <w:t xml:space="preserve">, при необходимости </w:t>
      </w:r>
      <w:r w:rsidRPr="003A77F4">
        <w:t xml:space="preserve">с биопсийным исследованием и тестом на наличие </w:t>
      </w:r>
      <w:r w:rsidRPr="003A77F4">
        <w:rPr>
          <w:lang w:val="en-US"/>
        </w:rPr>
        <w:t>H</w:t>
      </w:r>
      <w:r w:rsidRPr="003A77F4">
        <w:t xml:space="preserve">. </w:t>
      </w:r>
      <w:r w:rsidRPr="003A77F4">
        <w:rPr>
          <w:lang w:val="en-US"/>
        </w:rPr>
        <w:t>Pylori</w:t>
      </w:r>
      <w:r w:rsidRPr="003A77F4">
        <w:t>.</w:t>
      </w:r>
    </w:p>
    <w:p w14:paraId="426693DC" w14:textId="77777777" w:rsidR="00AD5514" w:rsidRDefault="00AD5514" w:rsidP="00AD5514">
      <w:pPr>
        <w:pStyle w:val="Normal11"/>
        <w:tabs>
          <w:tab w:val="left" w:pos="0"/>
        </w:tabs>
        <w:spacing w:line="360" w:lineRule="auto"/>
        <w:ind w:firstLine="699"/>
        <w:jc w:val="both"/>
        <w:rPr>
          <w:rFonts w:cs="Times New Roman"/>
          <w:bCs/>
          <w:i/>
          <w:iCs/>
          <w:u w:val="single"/>
          <w:shd w:val="clear" w:color="auto" w:fill="FFFFFF"/>
        </w:rPr>
      </w:pPr>
    </w:p>
    <w:p w14:paraId="744342CC" w14:textId="77777777" w:rsidR="00AD5514" w:rsidRPr="00A56C81" w:rsidRDefault="00AD5514" w:rsidP="00AD5514">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lastRenderedPageBreak/>
        <w:t>Профилактика язвенной болезни желудка и 12-перстной кишки при применении ГКС.</w:t>
      </w:r>
    </w:p>
    <w:p w14:paraId="5366912E" w14:textId="109F5D47" w:rsidR="00AD5514" w:rsidRDefault="00AD5514" w:rsidP="00AD5514">
      <w:r w:rsidRPr="00A56C81">
        <w:t xml:space="preserve">По результатам </w:t>
      </w:r>
      <w:r w:rsidRPr="00C96416">
        <w:t>мета</w:t>
      </w:r>
      <w:r>
        <w:t>-</w:t>
      </w:r>
      <w:r w:rsidRPr="00C96416">
        <w:t>анализа 300 работ</w:t>
      </w:r>
      <w:r>
        <w:fldChar w:fldCharType="begin" w:fldLock="1"/>
      </w:r>
      <w:r w:rsidR="00AA297E">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[41]","plainTextFormattedCitation":"[41]","previouslyFormattedCitation":"[41]"},"properties":{"noteIndex":0},"schema":"https://github.com/citation-style-language/schema/raw/master/csl-citation.json"}</w:instrText>
      </w:r>
      <w:r>
        <w:fldChar w:fldCharType="separate"/>
      </w:r>
      <w:r w:rsidRPr="00AD5514">
        <w:rPr>
          <w:noProof/>
        </w:rPr>
        <w:t>[41]</w:t>
      </w:r>
      <w:r>
        <w:fldChar w:fldCharType="end"/>
      </w:r>
      <w:r>
        <w:t xml:space="preserve">, </w:t>
      </w:r>
      <w:r w:rsidRPr="00C96416">
        <w:t>язвы желудка и двенадцатиперстной кишки рубцуются практически во всех случаях, если рН внутрижелудочного содержимого поддерживается более 3</w:t>
      </w:r>
      <w:r>
        <w:t xml:space="preserve"> </w:t>
      </w:r>
      <w:r w:rsidRPr="00C96416">
        <w:t xml:space="preserve">в течение суток </w:t>
      </w:r>
      <w:r>
        <w:t>на протяжении</w:t>
      </w:r>
      <w:r w:rsidRPr="00C96416">
        <w:t xml:space="preserve"> 18 часо</w:t>
      </w:r>
      <w:r>
        <w:t>в</w:t>
      </w:r>
      <w:r w:rsidRPr="00C96416">
        <w:t xml:space="preserve">.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w:t>
      </w:r>
      <w:r>
        <w:t>(</w:t>
      </w:r>
      <w:r w:rsidRPr="00C96416">
        <w:t>ИПП</w:t>
      </w:r>
      <w:r>
        <w:t>)</w:t>
      </w:r>
      <w:r w:rsidRPr="00C96416">
        <w:t>. Согласно одному из последних мета</w:t>
      </w:r>
      <w:r>
        <w:t>-</w:t>
      </w:r>
      <w:r w:rsidRPr="00C96416">
        <w:t xml:space="preserve">анализов, при использовании </w:t>
      </w:r>
      <w:r>
        <w:t xml:space="preserve">ИПП </w:t>
      </w:r>
      <w:r w:rsidRPr="00C96416">
        <w:t>и</w:t>
      </w:r>
      <w:r>
        <w:t>ли</w:t>
      </w:r>
      <w:r w:rsidRPr="00C96416">
        <w:t xml:space="preserve"> блокатор</w:t>
      </w:r>
      <w:r>
        <w:t>ов</w:t>
      </w:r>
      <w:r w:rsidRPr="00C96416">
        <w:t xml:space="preserve"> Н2-гистаминовых рецепторов достоверно эффективнее достигается рубцевание язвенного дефекта, а также снижается риск повторного крово</w:t>
      </w:r>
      <w:r>
        <w:t>течения</w:t>
      </w:r>
      <w:r w:rsidRPr="00C96416">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20DC8255" w14:textId="196958BF" w:rsidR="00AD5514" w:rsidRPr="00C96416" w:rsidRDefault="00AD5514" w:rsidP="00AD5514">
      <w:r w:rsidRPr="00A56C81">
        <w:t>В настоящее время с антисекреторной целью для п</w:t>
      </w:r>
      <w:r w:rsidRPr="00294C11">
        <w:t>рофилактик</w:t>
      </w:r>
      <w:r>
        <w:t xml:space="preserve">и </w:t>
      </w:r>
      <w:r w:rsidRPr="00294C11">
        <w:t>язвенной болезни желудка и двенадцатиперстной кишки, в том числе на фоне терапии глюкокортикостероидами</w:t>
      </w:r>
      <w:r>
        <w:t xml:space="preserve">, </w:t>
      </w:r>
      <w:r w:rsidRPr="00A56C81">
        <w:t>применяются два класса п</w:t>
      </w:r>
      <w:r w:rsidRPr="00C96416">
        <w:t>репаратов: ингибиторы протонной помпы и блокаторы Н2-гистаминовых рецепторов</w:t>
      </w:r>
      <w:r>
        <w:t xml:space="preserve"> </w:t>
      </w:r>
      <w:r>
        <w:fldChar w:fldCharType="begin" w:fldLock="1"/>
      </w:r>
      <w:r w:rsidR="00AA297E">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[42,43]","plainTextFormattedCitation":"[42,43]","previouslyFormattedCitation":"[42,43]"},"properties":{"noteIndex":0},"schema":"https://github.com/citation-style-language/schema/raw/master/csl-citation.json"}</w:instrText>
      </w:r>
      <w:r>
        <w:fldChar w:fldCharType="separate"/>
      </w:r>
      <w:r w:rsidRPr="00AD5514">
        <w:rPr>
          <w:noProof/>
        </w:rPr>
        <w:t>[42,43]</w:t>
      </w:r>
      <w:r>
        <w:fldChar w:fldCharType="end"/>
      </w:r>
      <w:r w:rsidRPr="00C96416">
        <w:t>.</w:t>
      </w:r>
    </w:p>
    <w:p w14:paraId="4680AA94" w14:textId="77777777" w:rsidR="00AD5514" w:rsidRDefault="00AD5514" w:rsidP="00AD5514">
      <w:pPr>
        <w:pStyle w:val="Normal11"/>
        <w:tabs>
          <w:tab w:val="left" w:pos="0"/>
        </w:tabs>
        <w:spacing w:line="360" w:lineRule="auto"/>
        <w:ind w:firstLine="699"/>
        <w:jc w:val="both"/>
        <w:rPr>
          <w:rFonts w:cs="Times New Roman"/>
          <w:bCs/>
          <w:i/>
          <w:iCs/>
          <w:u w:val="single"/>
          <w:shd w:val="clear" w:color="auto" w:fill="FFFFFF"/>
        </w:rPr>
      </w:pPr>
    </w:p>
    <w:p w14:paraId="511CD657" w14:textId="77777777" w:rsidR="00AD5514" w:rsidRPr="00A56C81" w:rsidRDefault="00AD5514" w:rsidP="00AD5514">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Ингибиторы протонной помпы (ИПП)</w:t>
      </w:r>
    </w:p>
    <w:p w14:paraId="5A57BAFE" w14:textId="217C6057" w:rsidR="00AD5514" w:rsidRDefault="00AD5514" w:rsidP="00AD5514">
      <w:r w:rsidRPr="00C96416">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w:t>
      </w:r>
      <w:r>
        <w:t xml:space="preserve">препараты, </w:t>
      </w:r>
      <w:r w:rsidRPr="00C96416">
        <w:t>блокир</w:t>
      </w:r>
      <w:r>
        <w:t>ующие Н+/К+-АТФазу</w:t>
      </w:r>
      <w:r w:rsidRPr="00C96416">
        <w:t xml:space="preserve"> обкладочных (париетальных) клеток слизистой оболочки желудка</w:t>
      </w:r>
      <w:r>
        <w:t xml:space="preserve"> и уменьшающие </w:t>
      </w:r>
      <w:r w:rsidRPr="00C96416">
        <w:t>секреци</w:t>
      </w:r>
      <w:r>
        <w:t>ю</w:t>
      </w:r>
      <w:r w:rsidRPr="00C96416">
        <w:t xml:space="preserve"> соляной кислоты</w:t>
      </w:r>
      <w:r>
        <w:t xml:space="preserve">, путем </w:t>
      </w:r>
      <w:r w:rsidRPr="00C96416">
        <w:t>проник</w:t>
      </w:r>
      <w:r>
        <w:t>новения</w:t>
      </w:r>
      <w:r w:rsidRPr="00C96416">
        <w:t xml:space="preserve"> в париетальные клетки слизистой оболочки желудка</w:t>
      </w:r>
      <w:r>
        <w:t xml:space="preserve">, </w:t>
      </w:r>
      <w:r w:rsidRPr="00C96416">
        <w:t>концентр</w:t>
      </w:r>
      <w:r>
        <w:t>ации</w:t>
      </w:r>
      <w:r w:rsidRPr="00C96416">
        <w:t xml:space="preserve"> в секреторных канальцах</w:t>
      </w:r>
      <w:r>
        <w:t>, и активации</w:t>
      </w:r>
      <w:r w:rsidRPr="00C96416">
        <w:t xml:space="preserve"> при кислом значении рН. </w:t>
      </w:r>
      <w:r>
        <w:t xml:space="preserve">При активации </w:t>
      </w:r>
      <w:r w:rsidRPr="00C96416">
        <w:t>ИПП образуют прочные ковалентные связи с меркаптогруппами цистеиновых остатков Н+/К+-АТФазы, блокиру</w:t>
      </w:r>
      <w:r>
        <w:t>я</w:t>
      </w:r>
      <w:r w:rsidRPr="00C96416">
        <w:t xml:space="preserve"> действие протонной помпы</w:t>
      </w:r>
      <w:r>
        <w:t xml:space="preserve"> так</w:t>
      </w:r>
      <w:r w:rsidRPr="00C96416">
        <w:t xml:space="preserve">, </w:t>
      </w:r>
      <w:r>
        <w:t xml:space="preserve">что </w:t>
      </w:r>
      <w:r w:rsidRPr="00C96416">
        <w:t xml:space="preserve">она </w:t>
      </w:r>
      <w:r>
        <w:t>необратимо исключается</w:t>
      </w:r>
      <w:r w:rsidRPr="00C96416">
        <w:t xml:space="preserve">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w:t>
      </w:r>
      <w:r>
        <w:t xml:space="preserve"> соляной кислоты независимо от</w:t>
      </w:r>
      <w:r w:rsidRPr="00C96416">
        <w:t xml:space="preserve"> фактора</w:t>
      </w:r>
      <w:r>
        <w:t xml:space="preserve"> его вызывающего</w:t>
      </w:r>
      <w:r w:rsidRPr="00C96416">
        <w:t>.</w:t>
      </w:r>
      <w:r>
        <w:t xml:space="preserve"> В группу препаратов ИПП входят о</w:t>
      </w:r>
      <w:r w:rsidRPr="00C96416">
        <w:t>мепразол</w:t>
      </w:r>
      <w:r>
        <w:t>, лансопразол, п</w:t>
      </w:r>
      <w:r w:rsidRPr="00C96416">
        <w:t>антопразол</w:t>
      </w:r>
      <w:r>
        <w:t xml:space="preserve">, рабепразол, </w:t>
      </w:r>
      <w:r w:rsidRPr="00C96416">
        <w:t>зомепразол</w:t>
      </w:r>
      <w:r>
        <w:t xml:space="preserve">, применяемые во время </w:t>
      </w:r>
      <w:r>
        <w:lastRenderedPageBreak/>
        <w:t xml:space="preserve">проведения курсов специфической противоопухолевой терапии, включающей системные ГКС, в указанных в таблице 1 дозах </w:t>
      </w:r>
      <w:r>
        <w:fldChar w:fldCharType="begin" w:fldLock="1"/>
      </w:r>
      <w:r w:rsidR="00AA297E">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Gastroenterology","id":"ITEM-3","issue":"1","issued":{"date-parts":[["2017","1","1"]]},"page":"11","publisher":"Medknow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[42–44]","plainTextFormattedCitation":"[42–44]","previouslyFormattedCitation":"[42–44]"},"properties":{"noteIndex":0},"schema":"https://github.com/citation-style-language/schema/raw/master/csl-citation.json"}</w:instrText>
      </w:r>
      <w:r>
        <w:fldChar w:fldCharType="separate"/>
      </w:r>
      <w:r w:rsidRPr="00AD5514">
        <w:rPr>
          <w:noProof/>
        </w:rPr>
        <w:t>[42–44]</w:t>
      </w:r>
      <w:r>
        <w:fldChar w:fldCharType="end"/>
      </w:r>
      <w:r>
        <w:t xml:space="preserve">. </w:t>
      </w:r>
    </w:p>
    <w:p w14:paraId="72AD97FC" w14:textId="77777777" w:rsidR="00AD5514" w:rsidRDefault="00AD5514" w:rsidP="00AD5514">
      <w:pPr>
        <w:rPr>
          <w:b/>
        </w:rPr>
      </w:pPr>
    </w:p>
    <w:p w14:paraId="08AC861A" w14:textId="12C3C711" w:rsidR="00AD5514" w:rsidRPr="005B1687" w:rsidRDefault="00AD5514" w:rsidP="00AD5514">
      <w:pPr>
        <w:rPr>
          <w:bCs/>
        </w:rPr>
      </w:pPr>
      <w:r w:rsidRPr="005B1687">
        <w:rPr>
          <w:bCs/>
        </w:rPr>
        <w:t>Таблица 1. Режим дозирования ИПП с целью профилактики язвенной болезни</w:t>
      </w:r>
    </w:p>
    <w:tbl>
      <w:tblPr>
        <w:tblStyle w:val="aff9"/>
        <w:tblW w:w="0" w:type="auto"/>
        <w:jc w:val="center"/>
        <w:tblLook w:val="04A0" w:firstRow="1" w:lastRow="0" w:firstColumn="1" w:lastColumn="0" w:noHBand="0" w:noVBand="1"/>
      </w:tblPr>
      <w:tblGrid>
        <w:gridCol w:w="2220"/>
        <w:gridCol w:w="2344"/>
        <w:gridCol w:w="3713"/>
      </w:tblGrid>
      <w:tr w:rsidR="00AD5514" w:rsidRPr="00C96416" w14:paraId="63050174" w14:textId="77777777" w:rsidTr="005A428D">
        <w:trPr>
          <w:jc w:val="center"/>
        </w:trPr>
        <w:tc>
          <w:tcPr>
            <w:tcW w:w="2220" w:type="dxa"/>
          </w:tcPr>
          <w:p w14:paraId="5DA1481E" w14:textId="77777777" w:rsidR="00AD5514" w:rsidRPr="00C96416" w:rsidRDefault="00AD5514" w:rsidP="005A428D">
            <w:pPr>
              <w:tabs>
                <w:tab w:val="left" w:pos="0"/>
              </w:tabs>
              <w:ind w:left="57" w:right="57" w:firstLine="0"/>
              <w:rPr>
                <w:b/>
                <w:szCs w:val="24"/>
                <w:lang w:eastAsia="ru-RU"/>
              </w:rPr>
            </w:pPr>
            <w:r>
              <w:rPr>
                <w:b/>
                <w:szCs w:val="24"/>
                <w:lang w:eastAsia="ru-RU"/>
              </w:rPr>
              <w:t>Препарат</w:t>
            </w:r>
          </w:p>
        </w:tc>
        <w:tc>
          <w:tcPr>
            <w:tcW w:w="2344" w:type="dxa"/>
          </w:tcPr>
          <w:p w14:paraId="0F589B57" w14:textId="77777777" w:rsidR="00AD5514" w:rsidRPr="00C96416" w:rsidRDefault="00AD5514" w:rsidP="005A428D">
            <w:pPr>
              <w:tabs>
                <w:tab w:val="left" w:pos="0"/>
              </w:tabs>
              <w:ind w:left="57" w:right="57"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554C166C" w14:textId="77777777" w:rsidR="00AD5514" w:rsidRPr="00C96416" w:rsidRDefault="00AD5514" w:rsidP="005A428D">
            <w:pPr>
              <w:tabs>
                <w:tab w:val="left" w:pos="0"/>
              </w:tabs>
              <w:ind w:left="57" w:right="57" w:firstLine="0"/>
              <w:rPr>
                <w:b/>
                <w:szCs w:val="24"/>
                <w:lang w:eastAsia="ru-RU"/>
              </w:rPr>
            </w:pPr>
            <w:r>
              <w:rPr>
                <w:b/>
                <w:szCs w:val="24"/>
                <w:lang w:eastAsia="ru-RU"/>
              </w:rPr>
              <w:t>Способ применения и р</w:t>
            </w:r>
            <w:r w:rsidRPr="00C96416">
              <w:rPr>
                <w:b/>
                <w:szCs w:val="24"/>
                <w:lang w:eastAsia="ru-RU"/>
              </w:rPr>
              <w:t>ежим дозирования</w:t>
            </w:r>
          </w:p>
        </w:tc>
      </w:tr>
      <w:tr w:rsidR="00AD5514" w:rsidRPr="00C96416" w14:paraId="2EDADD85" w14:textId="77777777" w:rsidTr="005A428D">
        <w:trPr>
          <w:jc w:val="center"/>
        </w:trPr>
        <w:tc>
          <w:tcPr>
            <w:tcW w:w="2220" w:type="dxa"/>
          </w:tcPr>
          <w:p w14:paraId="52159F46" w14:textId="77777777" w:rsidR="00AD5514" w:rsidRPr="00C96416" w:rsidRDefault="00AD5514" w:rsidP="005A428D">
            <w:pPr>
              <w:tabs>
                <w:tab w:val="left" w:pos="0"/>
              </w:tabs>
              <w:ind w:left="57" w:right="57" w:firstLine="0"/>
              <w:rPr>
                <w:szCs w:val="24"/>
                <w:lang w:eastAsia="ru-RU"/>
              </w:rPr>
            </w:pPr>
            <w:r w:rsidRPr="00C96416">
              <w:rPr>
                <w:szCs w:val="24"/>
                <w:lang w:eastAsia="ru-RU"/>
              </w:rPr>
              <w:t>Омепразол</w:t>
            </w:r>
          </w:p>
        </w:tc>
        <w:tc>
          <w:tcPr>
            <w:tcW w:w="2344" w:type="dxa"/>
          </w:tcPr>
          <w:p w14:paraId="228C1BFF" w14:textId="77777777" w:rsidR="00AD5514" w:rsidRDefault="00AD5514" w:rsidP="005A428D">
            <w:pPr>
              <w:tabs>
                <w:tab w:val="left" w:pos="0"/>
              </w:tabs>
              <w:ind w:left="57" w:right="57" w:firstLine="0"/>
              <w:rPr>
                <w:szCs w:val="24"/>
                <w:lang w:eastAsia="ru-RU"/>
              </w:rPr>
            </w:pPr>
            <w:r w:rsidRPr="00C96416">
              <w:rPr>
                <w:szCs w:val="24"/>
                <w:lang w:eastAsia="ru-RU"/>
              </w:rPr>
              <w:t>20</w:t>
            </w:r>
          </w:p>
          <w:p w14:paraId="741AB7C3" w14:textId="77777777" w:rsidR="00AD5514" w:rsidRPr="00C96416" w:rsidRDefault="00AD5514" w:rsidP="005A428D">
            <w:pPr>
              <w:tabs>
                <w:tab w:val="left" w:pos="0"/>
              </w:tabs>
              <w:ind w:left="57" w:right="57" w:firstLine="0"/>
              <w:rPr>
                <w:szCs w:val="24"/>
                <w:lang w:eastAsia="ru-RU"/>
              </w:rPr>
            </w:pPr>
            <w:r>
              <w:rPr>
                <w:szCs w:val="24"/>
                <w:lang w:eastAsia="ru-RU"/>
              </w:rPr>
              <w:t>40</w:t>
            </w:r>
          </w:p>
        </w:tc>
        <w:tc>
          <w:tcPr>
            <w:tcW w:w="3713" w:type="dxa"/>
          </w:tcPr>
          <w:p w14:paraId="4008A189" w14:textId="77777777" w:rsidR="00AD5514" w:rsidRPr="00B56E4C" w:rsidRDefault="00AD5514" w:rsidP="005A428D">
            <w:pPr>
              <w:tabs>
                <w:tab w:val="left" w:pos="0"/>
              </w:tabs>
              <w:ind w:left="57" w:right="57" w:firstLine="0"/>
              <w:rPr>
                <w:szCs w:val="24"/>
                <w:lang w:eastAsia="ru-RU"/>
              </w:rPr>
            </w:pPr>
            <w:r>
              <w:rPr>
                <w:szCs w:val="24"/>
                <w:lang w:eastAsia="ru-RU"/>
              </w:rPr>
              <w:t>Внутрь, 1 раз в сутки;</w:t>
            </w:r>
          </w:p>
          <w:p w14:paraId="2629DB9D" w14:textId="77777777" w:rsidR="00AD5514" w:rsidRPr="00D221D8" w:rsidRDefault="00AD5514" w:rsidP="005A428D">
            <w:pPr>
              <w:tabs>
                <w:tab w:val="left" w:pos="0"/>
              </w:tabs>
              <w:ind w:left="57" w:right="57" w:firstLine="0"/>
              <w:rPr>
                <w:szCs w:val="24"/>
                <w:lang w:eastAsia="ru-RU"/>
              </w:rPr>
            </w:pPr>
            <w:r>
              <w:rPr>
                <w:szCs w:val="24"/>
                <w:lang w:eastAsia="ru-RU"/>
              </w:rPr>
              <w:t xml:space="preserve"> в/в, 1 раз в сутки</w:t>
            </w:r>
          </w:p>
        </w:tc>
      </w:tr>
      <w:tr w:rsidR="00AD5514" w:rsidRPr="00C96416" w14:paraId="0BA7272C" w14:textId="77777777" w:rsidTr="005A428D">
        <w:trPr>
          <w:jc w:val="center"/>
        </w:trPr>
        <w:tc>
          <w:tcPr>
            <w:tcW w:w="2220" w:type="dxa"/>
          </w:tcPr>
          <w:p w14:paraId="1D70F5BC" w14:textId="77777777" w:rsidR="00AD5514" w:rsidRPr="00C96416" w:rsidRDefault="00AD5514" w:rsidP="005A428D">
            <w:pPr>
              <w:tabs>
                <w:tab w:val="left" w:pos="0"/>
              </w:tabs>
              <w:ind w:left="57" w:right="57" w:firstLine="0"/>
              <w:rPr>
                <w:szCs w:val="24"/>
                <w:lang w:eastAsia="ru-RU"/>
              </w:rPr>
            </w:pPr>
            <w:r w:rsidRPr="00C96416">
              <w:rPr>
                <w:szCs w:val="24"/>
                <w:lang w:eastAsia="ru-RU"/>
              </w:rPr>
              <w:t>Лансопразол</w:t>
            </w:r>
          </w:p>
        </w:tc>
        <w:tc>
          <w:tcPr>
            <w:tcW w:w="2344" w:type="dxa"/>
          </w:tcPr>
          <w:p w14:paraId="118FEC8A" w14:textId="77777777" w:rsidR="00AD5514" w:rsidRPr="00C96416" w:rsidRDefault="00AD5514" w:rsidP="005A428D">
            <w:pPr>
              <w:tabs>
                <w:tab w:val="left" w:pos="0"/>
              </w:tabs>
              <w:ind w:left="57" w:right="57" w:firstLine="0"/>
              <w:rPr>
                <w:szCs w:val="24"/>
                <w:lang w:eastAsia="ru-RU"/>
              </w:rPr>
            </w:pPr>
            <w:r w:rsidRPr="00C96416">
              <w:rPr>
                <w:szCs w:val="24"/>
                <w:lang w:eastAsia="ru-RU"/>
              </w:rPr>
              <w:t>30</w:t>
            </w:r>
          </w:p>
        </w:tc>
        <w:tc>
          <w:tcPr>
            <w:tcW w:w="3713" w:type="dxa"/>
          </w:tcPr>
          <w:p w14:paraId="5972294C" w14:textId="77777777" w:rsidR="00AD5514" w:rsidRDefault="00AD5514" w:rsidP="005A428D">
            <w:pPr>
              <w:ind w:left="57" w:right="57" w:firstLine="0"/>
            </w:pPr>
            <w:r w:rsidRPr="00826EC3">
              <w:rPr>
                <w:szCs w:val="24"/>
                <w:lang w:eastAsia="ru-RU"/>
              </w:rPr>
              <w:t>Внутрь, 1 раз в сутки</w:t>
            </w:r>
          </w:p>
        </w:tc>
      </w:tr>
      <w:tr w:rsidR="00AD5514" w:rsidRPr="00C96416" w14:paraId="5418B3E8" w14:textId="77777777" w:rsidTr="005A428D">
        <w:trPr>
          <w:jc w:val="center"/>
        </w:trPr>
        <w:tc>
          <w:tcPr>
            <w:tcW w:w="2220" w:type="dxa"/>
          </w:tcPr>
          <w:p w14:paraId="26967F4E" w14:textId="77777777" w:rsidR="00AD5514" w:rsidRPr="00C96416" w:rsidRDefault="00AD5514" w:rsidP="005A428D">
            <w:pPr>
              <w:tabs>
                <w:tab w:val="left" w:pos="0"/>
              </w:tabs>
              <w:ind w:left="57" w:right="57" w:firstLine="0"/>
              <w:rPr>
                <w:szCs w:val="24"/>
                <w:lang w:eastAsia="ru-RU"/>
              </w:rPr>
            </w:pPr>
            <w:r>
              <w:rPr>
                <w:szCs w:val="24"/>
                <w:lang w:eastAsia="ru-RU"/>
              </w:rPr>
              <w:t>П</w:t>
            </w:r>
            <w:r w:rsidRPr="00C96416">
              <w:rPr>
                <w:szCs w:val="24"/>
                <w:lang w:eastAsia="ru-RU"/>
              </w:rPr>
              <w:t>антопразол</w:t>
            </w:r>
          </w:p>
        </w:tc>
        <w:tc>
          <w:tcPr>
            <w:tcW w:w="2344" w:type="dxa"/>
          </w:tcPr>
          <w:p w14:paraId="769E8F47" w14:textId="77777777" w:rsidR="00AD5514" w:rsidRPr="00C96416" w:rsidRDefault="00AD5514" w:rsidP="005A428D">
            <w:pPr>
              <w:tabs>
                <w:tab w:val="left" w:pos="0"/>
              </w:tabs>
              <w:ind w:left="57" w:right="57" w:firstLine="0"/>
              <w:rPr>
                <w:szCs w:val="24"/>
                <w:lang w:eastAsia="ru-RU"/>
              </w:rPr>
            </w:pPr>
            <w:r w:rsidRPr="00C96416">
              <w:rPr>
                <w:szCs w:val="24"/>
                <w:lang w:eastAsia="ru-RU"/>
              </w:rPr>
              <w:t>40</w:t>
            </w:r>
          </w:p>
        </w:tc>
        <w:tc>
          <w:tcPr>
            <w:tcW w:w="3713" w:type="dxa"/>
          </w:tcPr>
          <w:p w14:paraId="3BEB7C9F" w14:textId="77777777" w:rsidR="00AD5514" w:rsidRDefault="00AD5514" w:rsidP="005A428D">
            <w:pPr>
              <w:ind w:left="57" w:right="57" w:firstLine="0"/>
            </w:pPr>
            <w:r w:rsidRPr="00826EC3">
              <w:rPr>
                <w:szCs w:val="24"/>
                <w:lang w:eastAsia="ru-RU"/>
              </w:rPr>
              <w:t>Внутрь, 1 раз в сутки</w:t>
            </w:r>
          </w:p>
        </w:tc>
      </w:tr>
      <w:tr w:rsidR="00AD5514" w:rsidRPr="00C96416" w14:paraId="33B0DB62" w14:textId="77777777" w:rsidTr="005A428D">
        <w:trPr>
          <w:jc w:val="center"/>
        </w:trPr>
        <w:tc>
          <w:tcPr>
            <w:tcW w:w="2220" w:type="dxa"/>
          </w:tcPr>
          <w:p w14:paraId="52BAA472" w14:textId="77777777" w:rsidR="00AD5514" w:rsidRPr="00C96416" w:rsidRDefault="00AD5514" w:rsidP="005A428D">
            <w:pPr>
              <w:tabs>
                <w:tab w:val="left" w:pos="0"/>
              </w:tabs>
              <w:ind w:left="57" w:right="57" w:firstLine="0"/>
              <w:rPr>
                <w:szCs w:val="24"/>
                <w:lang w:eastAsia="ru-RU"/>
              </w:rPr>
            </w:pPr>
            <w:r>
              <w:rPr>
                <w:szCs w:val="24"/>
              </w:rPr>
              <w:t>Р</w:t>
            </w:r>
            <w:r w:rsidRPr="00C96416">
              <w:rPr>
                <w:szCs w:val="24"/>
              </w:rPr>
              <w:t>абепразол</w:t>
            </w:r>
          </w:p>
        </w:tc>
        <w:tc>
          <w:tcPr>
            <w:tcW w:w="2344" w:type="dxa"/>
          </w:tcPr>
          <w:p w14:paraId="5D438919" w14:textId="77777777" w:rsidR="00AD5514" w:rsidRPr="00C96416" w:rsidRDefault="00AD5514" w:rsidP="005A428D">
            <w:pPr>
              <w:tabs>
                <w:tab w:val="left" w:pos="0"/>
              </w:tabs>
              <w:ind w:left="57" w:right="57" w:firstLine="0"/>
              <w:rPr>
                <w:szCs w:val="24"/>
                <w:lang w:eastAsia="ru-RU"/>
              </w:rPr>
            </w:pPr>
            <w:r w:rsidRPr="00C96416">
              <w:rPr>
                <w:szCs w:val="24"/>
                <w:lang w:eastAsia="ru-RU"/>
              </w:rPr>
              <w:t>20</w:t>
            </w:r>
          </w:p>
        </w:tc>
        <w:tc>
          <w:tcPr>
            <w:tcW w:w="3713" w:type="dxa"/>
          </w:tcPr>
          <w:p w14:paraId="02EF5C34" w14:textId="77777777" w:rsidR="00AD5514" w:rsidRDefault="00AD5514" w:rsidP="005A428D">
            <w:pPr>
              <w:ind w:left="57" w:right="57" w:firstLine="0"/>
            </w:pPr>
            <w:r w:rsidRPr="00826EC3">
              <w:rPr>
                <w:szCs w:val="24"/>
                <w:lang w:eastAsia="ru-RU"/>
              </w:rPr>
              <w:t>Внутрь, 1 раз в сутки</w:t>
            </w:r>
          </w:p>
        </w:tc>
      </w:tr>
      <w:tr w:rsidR="00AD5514" w:rsidRPr="00C96416" w14:paraId="5D983213" w14:textId="77777777" w:rsidTr="005A428D">
        <w:trPr>
          <w:jc w:val="center"/>
        </w:trPr>
        <w:tc>
          <w:tcPr>
            <w:tcW w:w="2220" w:type="dxa"/>
          </w:tcPr>
          <w:p w14:paraId="22DD03B1" w14:textId="77777777" w:rsidR="00AD5514" w:rsidRPr="00C96416" w:rsidRDefault="00AD5514" w:rsidP="005A428D">
            <w:pPr>
              <w:tabs>
                <w:tab w:val="left" w:pos="0"/>
              </w:tabs>
              <w:ind w:left="57" w:right="57" w:firstLine="0"/>
              <w:rPr>
                <w:szCs w:val="24"/>
              </w:rPr>
            </w:pPr>
            <w:r>
              <w:rPr>
                <w:szCs w:val="24"/>
              </w:rPr>
              <w:t>Э</w:t>
            </w:r>
            <w:r w:rsidRPr="00C96416">
              <w:rPr>
                <w:szCs w:val="24"/>
              </w:rPr>
              <w:t>зомепразол</w:t>
            </w:r>
          </w:p>
        </w:tc>
        <w:tc>
          <w:tcPr>
            <w:tcW w:w="2344" w:type="dxa"/>
          </w:tcPr>
          <w:p w14:paraId="13E3538D" w14:textId="77777777" w:rsidR="00AD5514" w:rsidRPr="00C96416" w:rsidRDefault="00AD5514" w:rsidP="005A428D">
            <w:pPr>
              <w:tabs>
                <w:tab w:val="left" w:pos="0"/>
              </w:tabs>
              <w:ind w:left="57" w:right="57" w:firstLine="0"/>
              <w:rPr>
                <w:szCs w:val="24"/>
                <w:lang w:eastAsia="ru-RU"/>
              </w:rPr>
            </w:pPr>
            <w:r w:rsidRPr="00C96416">
              <w:rPr>
                <w:szCs w:val="24"/>
                <w:lang w:eastAsia="ru-RU"/>
              </w:rPr>
              <w:t>20</w:t>
            </w:r>
          </w:p>
        </w:tc>
        <w:tc>
          <w:tcPr>
            <w:tcW w:w="3713" w:type="dxa"/>
          </w:tcPr>
          <w:p w14:paraId="13090F2F" w14:textId="77777777" w:rsidR="00AD5514" w:rsidRDefault="00AD5514" w:rsidP="005A428D">
            <w:pPr>
              <w:ind w:left="57" w:right="57" w:firstLine="0"/>
            </w:pPr>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32C5DEFE" w14:textId="77777777" w:rsidR="00AD5514" w:rsidRDefault="00AD5514" w:rsidP="00AD5514">
      <w:pPr>
        <w:pStyle w:val="Normal11"/>
        <w:tabs>
          <w:tab w:val="left" w:pos="0"/>
        </w:tabs>
        <w:spacing w:line="360" w:lineRule="auto"/>
        <w:ind w:left="0" w:firstLine="0"/>
        <w:jc w:val="both"/>
        <w:rPr>
          <w:rFonts w:cs="Times New Roman"/>
        </w:rPr>
      </w:pPr>
    </w:p>
    <w:p w14:paraId="6C0872D0" w14:textId="77777777" w:rsidR="00AD5514" w:rsidRPr="00C96416" w:rsidRDefault="00AD5514" w:rsidP="00AD5514">
      <w: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1B298CC7" w14:textId="77777777" w:rsidR="00AD5514" w:rsidRDefault="00AD5514" w:rsidP="00AD5514">
      <w:pPr>
        <w:pStyle w:val="Normal11"/>
        <w:tabs>
          <w:tab w:val="left" w:pos="0"/>
        </w:tabs>
        <w:spacing w:line="360" w:lineRule="auto"/>
        <w:ind w:firstLine="699"/>
        <w:jc w:val="both"/>
        <w:rPr>
          <w:rFonts w:cs="Times New Roman"/>
          <w:bCs/>
          <w:i/>
          <w:iCs/>
          <w:u w:val="single"/>
          <w:shd w:val="clear" w:color="auto" w:fill="FFFFFF"/>
        </w:rPr>
      </w:pPr>
    </w:p>
    <w:p w14:paraId="240A6179" w14:textId="77777777" w:rsidR="00AD5514" w:rsidRPr="00A56C81" w:rsidRDefault="00AD5514" w:rsidP="00AD5514">
      <w:pPr>
        <w:pStyle w:val="Normal11"/>
        <w:tabs>
          <w:tab w:val="left" w:pos="0"/>
        </w:tabs>
        <w:spacing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 xml:space="preserve">Блокаторы Н2-гистаминовых рецепторов </w:t>
      </w:r>
    </w:p>
    <w:p w14:paraId="3D4A14C2" w14:textId="77777777" w:rsidR="00AD5514" w:rsidRPr="00A56C81" w:rsidRDefault="00AD5514" w:rsidP="00AD5514">
      <w:r w:rsidRPr="00A56C81">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 </w:t>
      </w:r>
    </w:p>
    <w:p w14:paraId="5E0B19FC" w14:textId="53EB4A14" w:rsidR="00AD5514" w:rsidRDefault="00AD5514" w:rsidP="00AD5514">
      <w:r w:rsidRPr="00A56C81">
        <w:t xml:space="preserve">В группу препаратов – блокаторов Н2-гистаминовых рецепторов входят ранитидин, фамотидин, применяемые во время проведения курсов противоопухолевой терапии, включающей системные ГКС, в указанных в таблице </w:t>
      </w:r>
      <w:r>
        <w:t>А3.3.</w:t>
      </w:r>
      <w:r w:rsidRPr="00A56C81">
        <w:t>2 дозах</w:t>
      </w:r>
      <w:r w:rsidRPr="0016000A">
        <w:t xml:space="preserve"> </w:t>
      </w:r>
      <w:r>
        <w:t xml:space="preserve"> </w:t>
      </w:r>
      <w:r>
        <w:fldChar w:fldCharType="begin" w:fldLock="1"/>
      </w:r>
      <w:r w:rsidR="00AA297E">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author":[{"dropping-particle":"","family":"Poynard","given":"T.","non-dropping-particle":"","parse-names":false,"suffix":""},{"dropping-particle":"","family":"Lemaire","given":"M.","non-dropping-particle":"","parse-names":false,"suffix":""},{"dropping-particle":"","family":"Agostini","given":"H.","non-dropping-particle":"","parse-names":false,"suffix":""}],"container-title":"European Journal of Gastroenterology and Hepatology","id":"ITEM-3","issue":"7","issued":{"date-parts":[["1995"]]},"page":"661-665","title":"Meta-analysis of randomized clinical trials comparing lansoprazole with ranitidine or famotidine in the treatment of acute duodenal ulcer","type":"article-journal","volume":"7"},"uris":["http://www.mendeley.com/documents/?uuid=5db0b11d-6521-4aed-b5ed-29192f1bbc07"]}],"mendeley":{"formattedCitation":"[42,43,45]","plainTextFormattedCitation":"[42,43,45]","previouslyFormattedCitation":"[42,43,45]"},"properties":{"noteIndex":0},"schema":"https://github.com/citation-style-language/schema/raw/master/csl-citation.json"}</w:instrText>
      </w:r>
      <w:r>
        <w:fldChar w:fldCharType="separate"/>
      </w:r>
      <w:r w:rsidRPr="00AD5514">
        <w:rPr>
          <w:noProof/>
        </w:rPr>
        <w:t>[42,43,45]</w:t>
      </w:r>
      <w:r>
        <w:fldChar w:fldCharType="end"/>
      </w:r>
      <w:r w:rsidRPr="00A56C81">
        <w:t>.</w:t>
      </w:r>
    </w:p>
    <w:p w14:paraId="6AF0CBA2" w14:textId="77777777" w:rsidR="00AD5514" w:rsidRDefault="00AD5514" w:rsidP="00AD5514">
      <w:pPr>
        <w:rPr>
          <w:b/>
          <w:szCs w:val="24"/>
        </w:rPr>
      </w:pPr>
    </w:p>
    <w:p w14:paraId="32C1060E" w14:textId="77777777" w:rsidR="00AD5514" w:rsidRPr="00F76AD4" w:rsidRDefault="00AD5514" w:rsidP="00AD5514">
      <w:pPr>
        <w:rPr>
          <w:bCs/>
        </w:rPr>
      </w:pPr>
      <w:r w:rsidRPr="00F76AD4">
        <w:rPr>
          <w:bCs/>
          <w:szCs w:val="24"/>
        </w:rPr>
        <w:lastRenderedPageBreak/>
        <w:t xml:space="preserve">Таблица 2 . Режим дозирования блокаторов Н2-гистаминовых рецепторов </w:t>
      </w:r>
    </w:p>
    <w:tbl>
      <w:tblPr>
        <w:tblStyle w:val="aff9"/>
        <w:tblW w:w="0" w:type="auto"/>
        <w:jc w:val="center"/>
        <w:tblLook w:val="04A0" w:firstRow="1" w:lastRow="0" w:firstColumn="1" w:lastColumn="0" w:noHBand="0" w:noVBand="1"/>
      </w:tblPr>
      <w:tblGrid>
        <w:gridCol w:w="1942"/>
        <w:gridCol w:w="2268"/>
        <w:gridCol w:w="3358"/>
      </w:tblGrid>
      <w:tr w:rsidR="00AD5514" w:rsidRPr="00C96416" w14:paraId="55663267" w14:textId="77777777" w:rsidTr="005A428D">
        <w:trPr>
          <w:jc w:val="center"/>
        </w:trPr>
        <w:tc>
          <w:tcPr>
            <w:tcW w:w="1942" w:type="dxa"/>
          </w:tcPr>
          <w:p w14:paraId="321218D5" w14:textId="77777777" w:rsidR="00AD5514" w:rsidRPr="00C96416" w:rsidRDefault="00AD5514" w:rsidP="005A428D">
            <w:pPr>
              <w:tabs>
                <w:tab w:val="left" w:pos="0"/>
              </w:tabs>
              <w:ind w:firstLine="0"/>
              <w:rPr>
                <w:b/>
                <w:szCs w:val="24"/>
                <w:lang w:eastAsia="ru-RU"/>
              </w:rPr>
            </w:pPr>
            <w:r w:rsidRPr="00C96416">
              <w:rPr>
                <w:b/>
                <w:szCs w:val="24"/>
                <w:lang w:eastAsia="ru-RU"/>
              </w:rPr>
              <w:t>Препараты</w:t>
            </w:r>
          </w:p>
        </w:tc>
        <w:tc>
          <w:tcPr>
            <w:tcW w:w="2268" w:type="dxa"/>
          </w:tcPr>
          <w:p w14:paraId="7B4F83BC" w14:textId="77777777" w:rsidR="00AD5514" w:rsidRPr="00C96416" w:rsidRDefault="00AD5514" w:rsidP="005A428D">
            <w:pPr>
              <w:tabs>
                <w:tab w:val="left" w:pos="0"/>
              </w:tabs>
              <w:ind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347DB3C4" w14:textId="77777777" w:rsidR="00AD5514" w:rsidRPr="00C96416" w:rsidRDefault="00AD5514" w:rsidP="005A428D">
            <w:pPr>
              <w:tabs>
                <w:tab w:val="left" w:pos="0"/>
              </w:tabs>
              <w:ind w:firstLine="0"/>
              <w:rPr>
                <w:b/>
                <w:szCs w:val="24"/>
                <w:lang w:eastAsia="ru-RU"/>
              </w:rPr>
            </w:pPr>
            <w:r w:rsidRPr="00C96416">
              <w:rPr>
                <w:b/>
                <w:szCs w:val="24"/>
                <w:lang w:eastAsia="ru-RU"/>
              </w:rPr>
              <w:t>Режим дозирования</w:t>
            </w:r>
          </w:p>
        </w:tc>
      </w:tr>
      <w:tr w:rsidR="00AD5514" w:rsidRPr="00C96416" w14:paraId="5519E7AC" w14:textId="77777777" w:rsidTr="005A428D">
        <w:trPr>
          <w:jc w:val="center"/>
        </w:trPr>
        <w:tc>
          <w:tcPr>
            <w:tcW w:w="1942" w:type="dxa"/>
          </w:tcPr>
          <w:p w14:paraId="4CA88F34" w14:textId="77777777" w:rsidR="00AD5514" w:rsidRPr="00C96416" w:rsidRDefault="00AD5514" w:rsidP="005A428D">
            <w:pPr>
              <w:tabs>
                <w:tab w:val="left" w:pos="0"/>
              </w:tabs>
              <w:ind w:firstLine="0"/>
              <w:rPr>
                <w:szCs w:val="24"/>
                <w:lang w:eastAsia="ru-RU"/>
              </w:rPr>
            </w:pPr>
            <w:r>
              <w:rPr>
                <w:szCs w:val="24"/>
                <w:lang w:eastAsia="ru-RU"/>
              </w:rPr>
              <w:t>Ранитидин</w:t>
            </w:r>
          </w:p>
        </w:tc>
        <w:tc>
          <w:tcPr>
            <w:tcW w:w="2268" w:type="dxa"/>
          </w:tcPr>
          <w:p w14:paraId="798AAC68" w14:textId="77777777" w:rsidR="00AD5514" w:rsidRPr="00C96416" w:rsidRDefault="00AD5514" w:rsidP="005A428D">
            <w:pPr>
              <w:tabs>
                <w:tab w:val="left" w:pos="0"/>
              </w:tabs>
              <w:rPr>
                <w:szCs w:val="24"/>
                <w:lang w:eastAsia="ru-RU"/>
              </w:rPr>
            </w:pPr>
            <w:r>
              <w:rPr>
                <w:szCs w:val="24"/>
                <w:lang w:eastAsia="ru-RU"/>
              </w:rPr>
              <w:t>150</w:t>
            </w:r>
          </w:p>
        </w:tc>
        <w:tc>
          <w:tcPr>
            <w:tcW w:w="3358" w:type="dxa"/>
          </w:tcPr>
          <w:p w14:paraId="58050EE9" w14:textId="77777777" w:rsidR="00AD5514" w:rsidRPr="00C96416" w:rsidRDefault="00AD5514" w:rsidP="005A428D">
            <w:pPr>
              <w:tabs>
                <w:tab w:val="left" w:pos="0"/>
              </w:tabs>
              <w:ind w:firstLine="0"/>
              <w:rPr>
                <w:szCs w:val="24"/>
                <w:lang w:eastAsia="ru-RU"/>
              </w:rPr>
            </w:pPr>
            <w:r>
              <w:rPr>
                <w:szCs w:val="24"/>
                <w:lang w:eastAsia="ru-RU"/>
              </w:rPr>
              <w:t>Внутрь, 1 раз в сутки, на ночь</w:t>
            </w:r>
          </w:p>
        </w:tc>
      </w:tr>
      <w:tr w:rsidR="00AD5514" w:rsidRPr="00C96416" w14:paraId="3D6BA2E0" w14:textId="77777777" w:rsidTr="005A428D">
        <w:trPr>
          <w:jc w:val="center"/>
        </w:trPr>
        <w:tc>
          <w:tcPr>
            <w:tcW w:w="1942" w:type="dxa"/>
          </w:tcPr>
          <w:p w14:paraId="5DD981F5" w14:textId="77777777" w:rsidR="00AD5514" w:rsidRPr="00C96416" w:rsidRDefault="00AD5514" w:rsidP="005A428D">
            <w:pPr>
              <w:tabs>
                <w:tab w:val="left" w:pos="0"/>
              </w:tabs>
              <w:ind w:firstLine="0"/>
              <w:rPr>
                <w:szCs w:val="24"/>
                <w:lang w:eastAsia="ru-RU"/>
              </w:rPr>
            </w:pPr>
            <w:r>
              <w:rPr>
                <w:szCs w:val="24"/>
                <w:lang w:eastAsia="ru-RU"/>
              </w:rPr>
              <w:t>Фамотидин</w:t>
            </w:r>
          </w:p>
        </w:tc>
        <w:tc>
          <w:tcPr>
            <w:tcW w:w="2268" w:type="dxa"/>
          </w:tcPr>
          <w:p w14:paraId="7C5B70FD" w14:textId="77777777" w:rsidR="00AD5514" w:rsidRPr="00C96416" w:rsidRDefault="00AD5514" w:rsidP="005A428D">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5B0A83B5" w14:textId="77777777" w:rsidR="00AD5514" w:rsidRDefault="00AD5514" w:rsidP="005A428D">
            <w:pPr>
              <w:ind w:firstLine="0"/>
            </w:pPr>
            <w:r w:rsidRPr="00826EC3">
              <w:rPr>
                <w:szCs w:val="24"/>
                <w:lang w:eastAsia="ru-RU"/>
              </w:rPr>
              <w:t>Внутрь, 1 раз в сутки</w:t>
            </w:r>
            <w:r>
              <w:rPr>
                <w:szCs w:val="24"/>
                <w:lang w:eastAsia="ru-RU"/>
              </w:rPr>
              <w:t>, на ночь</w:t>
            </w:r>
          </w:p>
        </w:tc>
      </w:tr>
    </w:tbl>
    <w:p w14:paraId="65544955" w14:textId="5916A34A" w:rsidR="00AD5514" w:rsidRDefault="00AD5514" w:rsidP="00AD5514">
      <w:pPr>
        <w:pStyle w:val="afe"/>
        <w:tabs>
          <w:tab w:val="left" w:pos="0"/>
        </w:tabs>
        <w:ind w:left="0" w:firstLine="567"/>
        <w:rPr>
          <w:szCs w:val="24"/>
        </w:rPr>
      </w:pPr>
    </w:p>
    <w:p w14:paraId="72AD3687" w14:textId="0D185343" w:rsidR="00AA297E" w:rsidRDefault="009B6587" w:rsidP="00AA297E">
      <w:pPr>
        <w:pStyle w:val="2"/>
      </w:pPr>
      <w:bookmarkStart w:id="61" w:name="_Toc65108045"/>
      <w:r>
        <w:t>7.7</w:t>
      </w:r>
      <w:r w:rsidR="00AA297E">
        <w:t>.</w:t>
      </w:r>
      <w:r>
        <w:t xml:space="preserve"> </w:t>
      </w:r>
      <w:bookmarkStart w:id="62" w:name="_Toc64295957"/>
      <w:bookmarkStart w:id="63" w:name="_Toc64479345"/>
      <w:bookmarkStart w:id="64" w:name="_Toc11747750"/>
      <w:bookmarkStart w:id="65" w:name="_Toc24572135"/>
      <w:r w:rsidR="00AA297E">
        <w:t>Профилактика, диагностика и лечение тромботических осложнений</w:t>
      </w:r>
      <w:bookmarkEnd w:id="61"/>
      <w:bookmarkEnd w:id="62"/>
      <w:bookmarkEnd w:id="63"/>
    </w:p>
    <w:p w14:paraId="7A11C84F" w14:textId="108F63E1" w:rsidR="00AA297E" w:rsidRDefault="00AA297E" w:rsidP="00AA297E">
      <w:pPr>
        <w:rPr>
          <w:rFonts w:eastAsia="Times New Roman"/>
          <w:szCs w:val="24"/>
          <w:lang w:eastAsia="ru-RU"/>
        </w:rPr>
      </w:pPr>
      <w:r>
        <w:rPr>
          <w:szCs w:val="24"/>
          <w:lang w:eastAsia="ru-RU"/>
        </w:rPr>
        <w:t>При гематологических заболеваниях, как первично, так и в процессе их лечения часто возникают тромботические осложнения, требующие профилактики и терапии. Частота тромботических нарушений при опухолях системы крови различна, проведение химиотерапии (ХТ) увеличивает частоту тромботических осложнений практически в 2 раза с 2.21% до 4.24% относительно исходного уровня</w:t>
      </w:r>
      <w:r w:rsidRPr="002470CB">
        <w:rPr>
          <w:szCs w:val="24"/>
          <w:lang w:eastAsia="ru-RU"/>
        </w:rPr>
        <w:t xml:space="preserve"> </w:t>
      </w:r>
      <w:r>
        <w:rPr>
          <w:szCs w:val="24"/>
          <w:lang w:eastAsia="ru-RU"/>
        </w:rPr>
        <w:fldChar w:fldCharType="begin" w:fldLock="1"/>
      </w:r>
      <w:r w:rsidR="004F1D40">
        <w:rPr>
          <w:szCs w:val="24"/>
          <w:lang w:eastAsia="ru-RU"/>
        </w:rPr>
        <w:instrText>ADDIN CSL_CITATION {"citationItems":[{"id":"ITEM-1","itemData":{"DOI":"10.1016/j.critrevonc.2018.02.003","ISSN":"18790461","PMID":"29548485","abstract":"Venous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Oncology/Hematology","id":"ITEM-1","issued":{"date-parts":[["2018","4","1"]]},"page":"41-50","publisher":"Elsevier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literature","type":"article","volume":"124"},"uris":["http://www.mendeley.com/documents/?uuid=22f80e37-ad15-39e0-a4bd-123ad1adb983"]},{"id":"ITEM-2","itemData":{"DOI":"10.1097/CCO.0b013e3283592331","ISSN":"10408746","PMID":"23014188","abstract":"Purpose of Review: This review summarizes the current knowledge of the epidemiology, prophylaxis, and treatment of venous thromboembolism (VTE) in patients with lymphoma, multiple myeloma or acute leukemia. Recent Findings: Hematologic malignancies are associated with a high risk of thrombotic complications. The incidence of these events is greatly variable and is influenced by many factors, including the type and the stage of disease, antitumor therapies, and the use of central venous device (CVD). Epidemiological data allow an estimate of the incidence of VTE in acute leukemia, lymphomas, and multiple myeloma. The effect of chemotherapy on the incidence of thrombosis is particularly evident in acute leukemia as it causes the exacerbation of the clotting/bleeding syndrome typical of this disease. The role of chemotherapy is also relevant in lymphoma, and in multiple myeloma, in which the use of immunomodulating agents, in combination with chemotherapy and steroids significantly increases the risk of VTE. Summary: Thrombotic complications have a significant impact on morbidity and mortality of hematological cancer patients, therefore, in this setting, the issue of thromboprophylaxis to prevent VTE is important. However, no clear recommendation in these conditions is available, with the exception of multiple myeloma. Large prospective randomized clinical trials are needed to establish the best practice for prevention and treatment of VTE in these types of malignant diseases. © 2012 Wolters Kluwer Health | Lippincott Williams &amp; Wilkins.","author":[{"dropping-particle":"","family":"Falanga","given":"Anna","non-dropping-particle":"","parse-names":false,"suffix":""},{"dropping-particle":"","family":"Marchetti","given":"Marina","non-dropping-particle":"","parse-names":false,"suffix":""},{"dropping-particle":"","family":"Russo","given":"Laura","non-dropping-particle":"","parse-names":false,"suffix":""}],"container-title":"Current Opinion in Oncology","id":"ITEM-2","issue":"6","issued":{"date-parts":[["2012","11"]]},"page":"702-710","publisher":"Curr Opin Oncol","title":"Venous thromboembolism in the hematologic malignancies","type":"article","volume":"24"},"uris":["http://www.mendeley.com/documents/?uuid=59d797ff-66d3-3605-b564-548d92885ee6"]}],"mendeley":{"formattedCitation":"[46,47]","plainTextFormattedCitation":"[46,47]","previouslyFormattedCitation":"[46,47]"},"properties":{"noteIndex":0},"schema":"https://github.com/citation-style-language/schema/raw/master/csl-citation.json"}</w:instrText>
      </w:r>
      <w:r>
        <w:rPr>
          <w:szCs w:val="24"/>
          <w:lang w:eastAsia="ru-RU"/>
        </w:rPr>
        <w:fldChar w:fldCharType="separate"/>
      </w:r>
      <w:r w:rsidRPr="00AA297E">
        <w:rPr>
          <w:noProof/>
          <w:szCs w:val="24"/>
          <w:lang w:eastAsia="ru-RU"/>
        </w:rPr>
        <w:t>[46,47]</w:t>
      </w:r>
      <w:r>
        <w:rPr>
          <w:szCs w:val="24"/>
          <w:lang w:eastAsia="ru-RU"/>
        </w:rPr>
        <w:fldChar w:fldCharType="end"/>
      </w:r>
      <w:r>
        <w:rPr>
          <w:szCs w:val="24"/>
          <w:lang w:eastAsia="ru-RU"/>
        </w:rPr>
        <w:t xml:space="preserve">. </w:t>
      </w:r>
      <w:r>
        <w:rPr>
          <w:rFonts w:eastAsia="Times New Roman"/>
          <w:szCs w:val="24"/>
          <w:lang w:eastAsia="ru-RU"/>
        </w:rPr>
        <w:t xml:space="preserve">Причинами тромбозов у пациентов онкогематологическими заболеваниями, в частности с лимфомами, могут быть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[48]","plainTextFormattedCitation":"[48]","previouslyFormattedCitation":"[48]"},"properties":{"noteIndex":0},"schema":"https://github.com/citation-style-language/schema/raw/master/csl-citation.json"}</w:instrText>
      </w:r>
      <w:r>
        <w:fldChar w:fldCharType="separate"/>
      </w:r>
      <w:r w:rsidRPr="00AA297E">
        <w:rPr>
          <w:noProof/>
        </w:rPr>
        <w:t>[48]</w:t>
      </w:r>
      <w:r>
        <w:fldChar w:fldCharType="end"/>
      </w:r>
      <w:r>
        <w:rPr>
          <w:rFonts w:eastAsia="Times New Roman"/>
          <w:szCs w:val="24"/>
          <w:lang w:eastAsia="ru-RU"/>
        </w:rPr>
        <w:t>:</w:t>
      </w:r>
    </w:p>
    <w:p w14:paraId="173E74DD" w14:textId="77777777" w:rsidR="00AA297E" w:rsidRPr="00F62DEE" w:rsidRDefault="00AA297E" w:rsidP="00D22A46">
      <w:pPr>
        <w:numPr>
          <w:ilvl w:val="0"/>
          <w:numId w:val="49"/>
        </w:numPr>
        <w:rPr>
          <w:rFonts w:eastAsia="Times New Roman"/>
          <w:szCs w:val="24"/>
          <w:lang w:eastAsia="ru-RU"/>
        </w:rPr>
      </w:pPr>
      <w:r w:rsidRPr="00E5560E">
        <w:rPr>
          <w:rFonts w:eastAsia="Times New Roman"/>
          <w:szCs w:val="24"/>
          <w:lang w:eastAsia="ru-RU"/>
        </w:rPr>
        <w:t>механические факторы (сдавление опухолью кровеносного сосуда, центральный или периферический венозные катетеры, нарушение целостности эндотелия некоторыми химиопрепаратами и др.);</w:t>
      </w:r>
    </w:p>
    <w:p w14:paraId="521606FE" w14:textId="77777777" w:rsidR="00AA297E" w:rsidRPr="00F62DEE" w:rsidRDefault="00AA297E" w:rsidP="00D22A46">
      <w:pPr>
        <w:numPr>
          <w:ilvl w:val="0"/>
          <w:numId w:val="49"/>
        </w:numPr>
        <w:rPr>
          <w:rFonts w:eastAsia="Times New Roman"/>
          <w:szCs w:val="24"/>
          <w:lang w:eastAsia="ru-RU"/>
        </w:rPr>
      </w:pPr>
      <w:r w:rsidRPr="00E5560E">
        <w:rPr>
          <w:rFonts w:eastAsia="Times New Roman"/>
          <w:szCs w:val="24"/>
          <w:lang w:eastAsia="ru-RU"/>
        </w:rPr>
        <w:t>коагулогические факторы (повышение или снижение активности факторов свертывания крови, повышение агрегационных свойств тромбоцитов и гипертромбоцитоз);</w:t>
      </w:r>
    </w:p>
    <w:p w14:paraId="32172DC5" w14:textId="77777777" w:rsidR="00AA297E" w:rsidRPr="00F62DEE" w:rsidRDefault="00AA297E" w:rsidP="00D22A46">
      <w:pPr>
        <w:numPr>
          <w:ilvl w:val="0"/>
          <w:numId w:val="49"/>
        </w:numPr>
        <w:rPr>
          <w:rFonts w:eastAsia="Times New Roman"/>
          <w:szCs w:val="24"/>
          <w:lang w:eastAsia="ru-RU"/>
        </w:rPr>
      </w:pPr>
      <w:r w:rsidRPr="00E5560E">
        <w:rPr>
          <w:rFonts w:eastAsia="Times New Roman"/>
          <w:szCs w:val="24"/>
          <w:lang w:eastAsia="ru-RU"/>
        </w:rPr>
        <w:t xml:space="preserve">реологические факторы (в том числе за счет гиперлейкоцитоза, эритроцитоза, гипертромбоцитоза); </w:t>
      </w:r>
    </w:p>
    <w:p w14:paraId="3E439CD5" w14:textId="77777777" w:rsidR="00AA297E" w:rsidRPr="00F62DEE" w:rsidRDefault="00AA297E" w:rsidP="00D22A46">
      <w:pPr>
        <w:numPr>
          <w:ilvl w:val="0"/>
          <w:numId w:val="49"/>
        </w:numPr>
        <w:rPr>
          <w:rFonts w:eastAsia="Times New Roman"/>
          <w:szCs w:val="24"/>
          <w:lang w:eastAsia="ru-RU"/>
        </w:rPr>
      </w:pPr>
      <w:r w:rsidRPr="00E5560E">
        <w:rPr>
          <w:rFonts w:eastAsia="Times New Roman"/>
          <w:szCs w:val="24"/>
          <w:lang w:eastAsia="ru-RU"/>
        </w:rPr>
        <w:t>химиолучевая терапия.</w:t>
      </w:r>
    </w:p>
    <w:p w14:paraId="42E46F0C" w14:textId="77777777" w:rsidR="00AA297E" w:rsidRDefault="00AA297E" w:rsidP="00AA297E">
      <w:pPr>
        <w:rPr>
          <w:rFonts w:eastAsia="Times New Roman"/>
          <w:szCs w:val="24"/>
          <w:lang w:eastAsia="ru-RU"/>
        </w:rPr>
      </w:pPr>
      <w:r>
        <w:rPr>
          <w:rFonts w:eastAsia="Times New Roman"/>
          <w:szCs w:val="24"/>
          <w:lang w:eastAsia="ru-RU"/>
        </w:rPr>
        <w:t>Эти факторы часто сочетаются друг с другом.</w:t>
      </w:r>
    </w:p>
    <w:p w14:paraId="5084E6C4" w14:textId="77777777" w:rsidR="00AA297E" w:rsidRDefault="00AA297E" w:rsidP="00AA297E">
      <w:pPr>
        <w:ind w:firstLine="567"/>
        <w:rPr>
          <w:rFonts w:eastAsia="Times New Roman"/>
          <w:szCs w:val="24"/>
          <w:lang w:eastAsia="ru-RU"/>
        </w:rPr>
      </w:pPr>
    </w:p>
    <w:p w14:paraId="1595CB04" w14:textId="77777777" w:rsidR="00AA297E" w:rsidRPr="00E5560E" w:rsidRDefault="00AA297E" w:rsidP="00AA297E">
      <w:pPr>
        <w:rPr>
          <w:rFonts w:eastAsia="Times New Roman"/>
          <w:i/>
          <w:iCs/>
          <w:szCs w:val="24"/>
          <w:u w:val="single"/>
          <w:lang w:eastAsia="ru-RU"/>
        </w:rPr>
      </w:pPr>
      <w:r w:rsidRPr="00E5560E">
        <w:rPr>
          <w:rFonts w:eastAsia="Times New Roman"/>
          <w:i/>
          <w:iCs/>
          <w:szCs w:val="24"/>
          <w:u w:val="single"/>
          <w:lang w:eastAsia="ru-RU"/>
        </w:rPr>
        <w:t>Клинические проявления тромботических осложнений.</w:t>
      </w:r>
    </w:p>
    <w:p w14:paraId="2E9A1BD1" w14:textId="77777777" w:rsidR="00AA297E" w:rsidRDefault="00AA297E" w:rsidP="00AA297E">
      <w:pPr>
        <w:rPr>
          <w:rFonts w:eastAsia="Times New Roman"/>
          <w:szCs w:val="24"/>
          <w:lang w:eastAsia="ru-RU"/>
        </w:rPr>
      </w:pPr>
      <w:r>
        <w:rPr>
          <w:rFonts w:eastAsia="Times New Roman"/>
          <w:szCs w:val="24"/>
          <w:lang w:eastAsia="ru-RU"/>
        </w:rPr>
        <w:t xml:space="preserve">Тромботические осложнения имеют гетерогенные проявления и подтверждаются различными лабораторными (коагулологическими, молекулярно-генетическими, биохимическими, цитологическими) и инструментальными методами. </w:t>
      </w:r>
    </w:p>
    <w:p w14:paraId="6929DFB7" w14:textId="1DCF64BF" w:rsidR="00AA297E" w:rsidRDefault="00AA297E" w:rsidP="00AA297E">
      <w:pPr>
        <w:rPr>
          <w:rFonts w:eastAsia="Times New Roman"/>
          <w:szCs w:val="24"/>
          <w:lang w:eastAsia="ru-RU"/>
        </w:rPr>
      </w:pPr>
      <w:r>
        <w:rPr>
          <w:rFonts w:eastAsia="Times New Roman"/>
          <w:szCs w:val="24"/>
          <w:lang w:eastAsia="ru-RU"/>
        </w:rPr>
        <w:t xml:space="preserve">Для тромбозов характерны следующие признаки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rPr>
          <w:rFonts w:eastAsia="Times New Roman"/>
          <w:szCs w:val="24"/>
          <w:lang w:eastAsia="ru-RU"/>
        </w:rPr>
        <w:t xml:space="preserve">: </w:t>
      </w:r>
    </w:p>
    <w:p w14:paraId="06785191" w14:textId="77777777" w:rsidR="00AA297E" w:rsidRDefault="00AA297E" w:rsidP="00D22A46">
      <w:pPr>
        <w:numPr>
          <w:ilvl w:val="0"/>
          <w:numId w:val="54"/>
        </w:numPr>
        <w:rPr>
          <w:rFonts w:eastAsia="Times New Roman"/>
          <w:szCs w:val="24"/>
          <w:lang w:eastAsia="ru-RU"/>
        </w:rPr>
      </w:pPr>
      <w:r>
        <w:rPr>
          <w:rFonts w:eastAsia="Times New Roman"/>
          <w:szCs w:val="24"/>
          <w:lang w:eastAsia="ru-RU"/>
        </w:rPr>
        <w:t>отек на месте тромбоза (венозный тромбоз);</w:t>
      </w:r>
    </w:p>
    <w:p w14:paraId="50DDD23C" w14:textId="77777777" w:rsidR="00AA297E" w:rsidRDefault="00AA297E" w:rsidP="00D22A46">
      <w:pPr>
        <w:numPr>
          <w:ilvl w:val="0"/>
          <w:numId w:val="54"/>
        </w:numPr>
        <w:rPr>
          <w:rFonts w:eastAsia="Times New Roman"/>
          <w:szCs w:val="24"/>
          <w:lang w:eastAsia="ru-RU"/>
        </w:rPr>
      </w:pPr>
      <w:r>
        <w:rPr>
          <w:rFonts w:eastAsia="Times New Roman"/>
          <w:szCs w:val="24"/>
          <w:lang w:eastAsia="ru-RU"/>
        </w:rPr>
        <w:t>умеренные болевые ощущения - чувство распирания, постоянные локальные боли (венозные и артериальные тромбозы);</w:t>
      </w:r>
    </w:p>
    <w:p w14:paraId="68D7283A" w14:textId="77777777" w:rsidR="00AA297E" w:rsidRDefault="00AA297E" w:rsidP="00D22A46">
      <w:pPr>
        <w:numPr>
          <w:ilvl w:val="0"/>
          <w:numId w:val="54"/>
        </w:numPr>
        <w:rPr>
          <w:rFonts w:eastAsia="Times New Roman"/>
          <w:szCs w:val="24"/>
          <w:lang w:eastAsia="ru-RU"/>
        </w:rPr>
      </w:pPr>
      <w:r>
        <w:rPr>
          <w:rFonts w:eastAsia="Times New Roman"/>
          <w:szCs w:val="24"/>
          <w:lang w:eastAsia="ru-RU"/>
        </w:rPr>
        <w:lastRenderedPageBreak/>
        <w:t xml:space="preserve">повышение кожной температуры непосредственно в области тромбоза (венозные тромбозы); </w:t>
      </w:r>
    </w:p>
    <w:p w14:paraId="212F3082" w14:textId="77777777" w:rsidR="00AA297E" w:rsidRDefault="00AA297E" w:rsidP="00D22A46">
      <w:pPr>
        <w:numPr>
          <w:ilvl w:val="0"/>
          <w:numId w:val="54"/>
        </w:numPr>
        <w:rPr>
          <w:rFonts w:eastAsia="Times New Roman"/>
          <w:szCs w:val="24"/>
          <w:lang w:eastAsia="ru-RU"/>
        </w:rPr>
      </w:pPr>
      <w:r>
        <w:rPr>
          <w:rFonts w:eastAsia="Times New Roman"/>
          <w:szCs w:val="24"/>
          <w:lang w:eastAsia="ru-RU"/>
        </w:rPr>
        <w:t>резкая болезненность, цианоз (синюшность), снижение температуры в области тромбообразования и прилежащих тканях (артериальные тромбозы);</w:t>
      </w:r>
    </w:p>
    <w:p w14:paraId="2A64B33C" w14:textId="77777777" w:rsidR="00AA297E" w:rsidRDefault="00AA297E" w:rsidP="00D22A46">
      <w:pPr>
        <w:numPr>
          <w:ilvl w:val="0"/>
          <w:numId w:val="54"/>
        </w:numPr>
        <w:rPr>
          <w:rFonts w:eastAsia="Times New Roman"/>
          <w:szCs w:val="24"/>
          <w:lang w:eastAsia="ru-RU"/>
        </w:rPr>
      </w:pPr>
      <w:r>
        <w:rPr>
          <w:rFonts w:eastAsia="Times New Roman"/>
          <w:szCs w:val="24"/>
          <w:lang w:eastAsia="ru-RU"/>
        </w:rPr>
        <w:t>перемежающаяся хромота (артериальные тромбозы);</w:t>
      </w:r>
    </w:p>
    <w:p w14:paraId="743CCDA0" w14:textId="77777777" w:rsidR="00AA297E" w:rsidRDefault="00AA297E" w:rsidP="00D22A46">
      <w:pPr>
        <w:numPr>
          <w:ilvl w:val="0"/>
          <w:numId w:val="54"/>
        </w:numPr>
        <w:rPr>
          <w:rFonts w:eastAsia="Times New Roman"/>
          <w:szCs w:val="24"/>
          <w:lang w:eastAsia="ru-RU"/>
        </w:rPr>
      </w:pPr>
      <w:r>
        <w:rPr>
          <w:rFonts w:eastAsia="Times New Roman"/>
          <w:szCs w:val="24"/>
          <w:lang w:eastAsia="ru-RU"/>
        </w:rPr>
        <w:t>при незначительных неокклюзирующих венозных и артериальных тромбозах клинические проявления могут быть минимальными или отсутствовать;</w:t>
      </w:r>
    </w:p>
    <w:p w14:paraId="5BA9623E" w14:textId="77777777" w:rsidR="00AA297E" w:rsidRDefault="00AA297E" w:rsidP="00D22A46">
      <w:pPr>
        <w:numPr>
          <w:ilvl w:val="0"/>
          <w:numId w:val="54"/>
        </w:numPr>
        <w:rPr>
          <w:rFonts w:eastAsia="Times New Roman"/>
          <w:szCs w:val="24"/>
          <w:lang w:eastAsia="ru-RU"/>
        </w:rPr>
      </w:pPr>
      <w:r>
        <w:rPr>
          <w:rFonts w:eastAsia="Times New Roman"/>
          <w:szCs w:val="24"/>
          <w:lang w:eastAsia="ru-RU"/>
        </w:rPr>
        <w:t>головные боли, неврологическая симптоматика, нарушение сознания (признаки ишемического инсульта).</w:t>
      </w:r>
    </w:p>
    <w:p w14:paraId="0C2ACCC1" w14:textId="77777777" w:rsidR="00AA297E" w:rsidRDefault="00AA297E" w:rsidP="00D22A46">
      <w:pPr>
        <w:numPr>
          <w:ilvl w:val="0"/>
          <w:numId w:val="54"/>
        </w:numPr>
        <w:rPr>
          <w:rFonts w:eastAsia="Times New Roman"/>
          <w:szCs w:val="24"/>
          <w:lang w:eastAsia="ru-RU"/>
        </w:rPr>
      </w:pPr>
      <w:r>
        <w:rPr>
          <w:szCs w:val="24"/>
        </w:rPr>
        <w:t>синдром сдавления венозного ствола или вены;</w:t>
      </w:r>
    </w:p>
    <w:p w14:paraId="60FDAEA0" w14:textId="77777777" w:rsidR="00AA297E" w:rsidRDefault="00AA297E" w:rsidP="00D22A46">
      <w:pPr>
        <w:numPr>
          <w:ilvl w:val="0"/>
          <w:numId w:val="54"/>
        </w:numPr>
        <w:rPr>
          <w:rFonts w:eastAsia="Times New Roman"/>
          <w:szCs w:val="24"/>
          <w:lang w:eastAsia="ru-RU"/>
        </w:rPr>
      </w:pPr>
      <w:r>
        <w:rPr>
          <w:szCs w:val="24"/>
        </w:rPr>
        <w:t>расширение венозной сети;</w:t>
      </w:r>
    </w:p>
    <w:p w14:paraId="7F2117E6" w14:textId="77777777" w:rsidR="00AA297E" w:rsidRDefault="00AA297E" w:rsidP="00D22A46">
      <w:pPr>
        <w:numPr>
          <w:ilvl w:val="0"/>
          <w:numId w:val="54"/>
        </w:numPr>
        <w:rPr>
          <w:rFonts w:eastAsia="Times New Roman"/>
          <w:szCs w:val="24"/>
          <w:lang w:eastAsia="ru-RU"/>
        </w:rPr>
      </w:pPr>
      <w:r>
        <w:rPr>
          <w:szCs w:val="24"/>
        </w:rPr>
        <w:t xml:space="preserve"> признаки дыхательной недостаточности при тромбоэмболии легочной артерии (ТЭЛА).</w:t>
      </w:r>
    </w:p>
    <w:p w14:paraId="339EC259" w14:textId="77777777" w:rsidR="00AA297E" w:rsidRDefault="00AA297E" w:rsidP="00AA297E">
      <w:pPr>
        <w:rPr>
          <w:rFonts w:eastAsia="Times New Roman"/>
          <w:szCs w:val="24"/>
          <w:lang w:eastAsia="ru-RU"/>
        </w:rPr>
      </w:pPr>
      <w:r>
        <w:rPr>
          <w:szCs w:val="24"/>
        </w:rPr>
        <w:t xml:space="preserve">Для оценки риска развития тромботических нарушений и их рецидивов при лимфоме необходим тщательный сбор анамнеза с уточнением наличия тромбозов у пациента и родственников первой линии, а также оценка общего состояния пациента и выявление сопутствующих заболеваний. </w:t>
      </w:r>
    </w:p>
    <w:p w14:paraId="6C92AA78" w14:textId="77777777" w:rsidR="00AA297E" w:rsidRDefault="00AA297E" w:rsidP="00AA297E">
      <w:pPr>
        <w:pStyle w:val="Numlist"/>
        <w:spacing w:line="360" w:lineRule="auto"/>
        <w:ind w:firstLine="360"/>
        <w:jc w:val="both"/>
        <w:rPr>
          <w:b/>
        </w:rPr>
      </w:pPr>
    </w:p>
    <w:p w14:paraId="51A2AB23" w14:textId="46E3A1F7" w:rsidR="00AA297E" w:rsidRDefault="00AA297E" w:rsidP="00AA297E">
      <w:pPr>
        <w:pStyle w:val="Numlist"/>
        <w:spacing w:line="360" w:lineRule="auto"/>
        <w:ind w:firstLine="360"/>
        <w:jc w:val="both"/>
      </w:pPr>
      <w:r w:rsidRPr="00D74B57">
        <w:rPr>
          <w:bCs/>
          <w:i/>
          <w:iCs/>
          <w:u w:val="single"/>
        </w:rPr>
        <w:t>Лабораторная диагностика</w:t>
      </w:r>
      <w:r>
        <w:rPr>
          <w:b/>
        </w:rPr>
        <w:t xml:space="preserve"> </w:t>
      </w:r>
      <w:r>
        <w:t xml:space="preserve">тромботических осложнений должна включать следующие исследования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t xml:space="preserve">: </w:t>
      </w:r>
    </w:p>
    <w:p w14:paraId="688C4D22" w14:textId="77777777" w:rsidR="00AA297E" w:rsidRDefault="00AA297E" w:rsidP="00AA297E">
      <w:r>
        <w:t xml:space="preserve">1) </w:t>
      </w:r>
      <w:r>
        <w:rPr>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t>.</w:t>
      </w:r>
    </w:p>
    <w:p w14:paraId="6977EF02" w14:textId="77777777" w:rsidR="00AA297E" w:rsidRDefault="00AA297E" w:rsidP="00AA297E">
      <w:pPr>
        <w:rPr>
          <w:szCs w:val="24"/>
        </w:rPr>
      </w:pPr>
      <w:r>
        <w:rPr>
          <w:szCs w:val="24"/>
        </w:rPr>
        <w:t>2) Коагулограмма с определением следующих показателей:</w:t>
      </w:r>
    </w:p>
    <w:p w14:paraId="391921E1" w14:textId="77777777" w:rsidR="00AA297E" w:rsidRDefault="00AA297E" w:rsidP="00D22A46">
      <w:pPr>
        <w:pStyle w:val="afe"/>
        <w:widowControl w:val="0"/>
        <w:numPr>
          <w:ilvl w:val="0"/>
          <w:numId w:val="48"/>
        </w:numPr>
        <w:ind w:left="1418" w:hanging="567"/>
        <w:rPr>
          <w:szCs w:val="24"/>
        </w:rPr>
      </w:pPr>
      <w:r>
        <w:rPr>
          <w:szCs w:val="24"/>
        </w:rPr>
        <w:t>активированное частичное тромбопластиновое время (АЧТВ);</w:t>
      </w:r>
    </w:p>
    <w:p w14:paraId="14357BC6" w14:textId="77777777" w:rsidR="00AA297E" w:rsidRDefault="00AA297E" w:rsidP="00D22A46">
      <w:pPr>
        <w:pStyle w:val="afe"/>
        <w:widowControl w:val="0"/>
        <w:numPr>
          <w:ilvl w:val="0"/>
          <w:numId w:val="48"/>
        </w:numPr>
        <w:ind w:left="1418" w:hanging="567"/>
        <w:rPr>
          <w:szCs w:val="24"/>
        </w:rPr>
      </w:pPr>
      <w:r>
        <w:rPr>
          <w:szCs w:val="24"/>
        </w:rPr>
        <w:t>тромбиновое время (ТВ);</w:t>
      </w:r>
    </w:p>
    <w:p w14:paraId="62DA15E5" w14:textId="77777777" w:rsidR="00AA297E" w:rsidRDefault="00AA297E" w:rsidP="00D22A46">
      <w:pPr>
        <w:pStyle w:val="afe"/>
        <w:widowControl w:val="0"/>
        <w:numPr>
          <w:ilvl w:val="0"/>
          <w:numId w:val="48"/>
        </w:numPr>
        <w:ind w:left="1418" w:hanging="567"/>
        <w:rPr>
          <w:szCs w:val="24"/>
        </w:rPr>
      </w:pPr>
      <w:r>
        <w:rPr>
          <w:szCs w:val="24"/>
        </w:rPr>
        <w:t>протромбин по Квику (международное нормализованное отношение - МНО);</w:t>
      </w:r>
    </w:p>
    <w:p w14:paraId="6386F085" w14:textId="77777777" w:rsidR="00AA297E" w:rsidRDefault="00AA297E" w:rsidP="00D22A46">
      <w:pPr>
        <w:pStyle w:val="afe"/>
        <w:widowControl w:val="0"/>
        <w:numPr>
          <w:ilvl w:val="0"/>
          <w:numId w:val="48"/>
        </w:numPr>
        <w:ind w:left="1418" w:hanging="567"/>
        <w:rPr>
          <w:szCs w:val="24"/>
        </w:rPr>
      </w:pPr>
      <w:r>
        <w:rPr>
          <w:szCs w:val="24"/>
        </w:rPr>
        <w:t>плазменная концентрация фибриногена;</w:t>
      </w:r>
    </w:p>
    <w:p w14:paraId="4AC60199" w14:textId="77777777" w:rsidR="00AA297E" w:rsidRDefault="00AA297E" w:rsidP="00D22A46">
      <w:pPr>
        <w:pStyle w:val="afe"/>
        <w:widowControl w:val="0"/>
        <w:numPr>
          <w:ilvl w:val="0"/>
          <w:numId w:val="48"/>
        </w:numPr>
        <w:ind w:left="1418" w:hanging="567"/>
        <w:rPr>
          <w:szCs w:val="24"/>
        </w:rPr>
      </w:pPr>
      <w:r>
        <w:rPr>
          <w:szCs w:val="24"/>
        </w:rPr>
        <w:t xml:space="preserve">плазменная концентрация антитромбина III (АТ </w:t>
      </w:r>
      <w:r>
        <w:rPr>
          <w:szCs w:val="24"/>
          <w:lang w:val="en-US"/>
        </w:rPr>
        <w:t>III</w:t>
      </w:r>
      <w:r>
        <w:rPr>
          <w:szCs w:val="24"/>
        </w:rPr>
        <w:t xml:space="preserve">), особенно для групп </w:t>
      </w:r>
      <w:r>
        <w:rPr>
          <w:szCs w:val="24"/>
        </w:rPr>
        <w:lastRenderedPageBreak/>
        <w:t>высокого риска, в частности, получающих L-аспарагиназу;</w:t>
      </w:r>
    </w:p>
    <w:p w14:paraId="293817E9" w14:textId="77777777" w:rsidR="00AA297E" w:rsidRDefault="00AA297E" w:rsidP="00D22A46">
      <w:pPr>
        <w:pStyle w:val="afe"/>
        <w:widowControl w:val="0"/>
        <w:numPr>
          <w:ilvl w:val="0"/>
          <w:numId w:val="48"/>
        </w:numPr>
        <w:ind w:left="1418" w:hanging="567"/>
        <w:rPr>
          <w:szCs w:val="24"/>
        </w:rPr>
      </w:pPr>
      <w:r>
        <w:rPr>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14:paraId="67FA0A80" w14:textId="30B24631" w:rsidR="00AA297E" w:rsidRDefault="00AA297E" w:rsidP="00D22A46">
      <w:pPr>
        <w:pStyle w:val="afe"/>
        <w:widowControl w:val="0"/>
        <w:numPr>
          <w:ilvl w:val="0"/>
          <w:numId w:val="48"/>
        </w:numPr>
        <w:ind w:left="1418" w:hanging="567"/>
        <w:rPr>
          <w:szCs w:val="24"/>
        </w:rPr>
      </w:pPr>
      <w:r>
        <w:rPr>
          <w:szCs w:val="24"/>
        </w:rPr>
        <w:t>D-димер</w:t>
      </w:r>
      <w:r>
        <w:rPr>
          <w:szCs w:val="24"/>
          <w:lang w:val="en-US"/>
        </w:rPr>
        <w:t xml:space="preserve"> </w:t>
      </w:r>
      <w:r>
        <w:rPr>
          <w:szCs w:val="24"/>
          <w:lang w:val="en-US"/>
        </w:rPr>
        <w:fldChar w:fldCharType="begin" w:fldLock="1"/>
      </w:r>
      <w:r w:rsidR="004F1D40">
        <w:rPr>
          <w:szCs w:val="24"/>
          <w:lang w:val="en-US"/>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[50]","plainTextFormattedCitation":"[50]","previouslyFormattedCitation":"[50]"},"properties":{"noteIndex":0},"schema":"https://github.com/citation-style-language/schema/raw/master/csl-citation.json"}</w:instrText>
      </w:r>
      <w:r>
        <w:rPr>
          <w:szCs w:val="24"/>
          <w:lang w:val="en-US"/>
        </w:rPr>
        <w:fldChar w:fldCharType="separate"/>
      </w:r>
      <w:r w:rsidRPr="00AA297E">
        <w:rPr>
          <w:noProof/>
          <w:szCs w:val="24"/>
          <w:lang w:val="en-US"/>
        </w:rPr>
        <w:t>[50]</w:t>
      </w:r>
      <w:r>
        <w:rPr>
          <w:szCs w:val="24"/>
          <w:lang w:val="en-US"/>
        </w:rPr>
        <w:fldChar w:fldCharType="end"/>
      </w:r>
      <w:r>
        <w:rPr>
          <w:szCs w:val="24"/>
        </w:rPr>
        <w:t>;</w:t>
      </w:r>
    </w:p>
    <w:p w14:paraId="7E71CDED" w14:textId="77777777" w:rsidR="00AA297E" w:rsidRDefault="00AA297E" w:rsidP="00D22A46">
      <w:pPr>
        <w:pStyle w:val="afe"/>
        <w:widowControl w:val="0"/>
        <w:numPr>
          <w:ilvl w:val="0"/>
          <w:numId w:val="48"/>
        </w:numPr>
        <w:ind w:left="1418" w:hanging="567"/>
        <w:rPr>
          <w:szCs w:val="24"/>
        </w:rPr>
      </w:pPr>
      <w:r>
        <w:rPr>
          <w:szCs w:val="24"/>
        </w:rPr>
        <w:t>протеин С;</w:t>
      </w:r>
    </w:p>
    <w:p w14:paraId="6EF5FFD8" w14:textId="77777777" w:rsidR="00AA297E" w:rsidRDefault="00AA297E" w:rsidP="00D22A46">
      <w:pPr>
        <w:pStyle w:val="afe"/>
        <w:widowControl w:val="0"/>
        <w:numPr>
          <w:ilvl w:val="0"/>
          <w:numId w:val="48"/>
        </w:numPr>
        <w:ind w:left="1418" w:hanging="567"/>
        <w:rPr>
          <w:szCs w:val="24"/>
        </w:rPr>
      </w:pPr>
      <w:r>
        <w:rPr>
          <w:szCs w:val="24"/>
        </w:rPr>
        <w:t xml:space="preserve">протеин </w:t>
      </w:r>
      <w:r>
        <w:rPr>
          <w:szCs w:val="24"/>
          <w:lang w:val="en-US"/>
        </w:rPr>
        <w:t>S</w:t>
      </w:r>
      <w:r>
        <w:rPr>
          <w:szCs w:val="24"/>
        </w:rPr>
        <w:t>;</w:t>
      </w:r>
    </w:p>
    <w:p w14:paraId="6E650052" w14:textId="77777777" w:rsidR="00AA297E" w:rsidRDefault="00AA297E" w:rsidP="00D22A46">
      <w:pPr>
        <w:pStyle w:val="afe"/>
        <w:widowControl w:val="0"/>
        <w:numPr>
          <w:ilvl w:val="0"/>
          <w:numId w:val="48"/>
        </w:numPr>
        <w:ind w:left="1418" w:hanging="567"/>
        <w:rPr>
          <w:szCs w:val="24"/>
        </w:rPr>
      </w:pPr>
      <w:r>
        <w:rPr>
          <w:szCs w:val="24"/>
        </w:rPr>
        <w:t>XIIa-зависимый фибринолиз;</w:t>
      </w:r>
    </w:p>
    <w:p w14:paraId="33CA378F" w14:textId="77777777" w:rsidR="00AA297E" w:rsidRDefault="00AA297E" w:rsidP="00AA297E">
      <w:pPr>
        <w:widowControl w:val="0"/>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в течение 2-х часов после забора крови.  Достоверность результатов агрегабельности тромбоцитов можно оценить только при содержании в крови тромбоцитов ≥ 100 х 10</w:t>
      </w:r>
      <w:r>
        <w:rPr>
          <w:szCs w:val="24"/>
          <w:vertAlign w:val="superscript"/>
        </w:rPr>
        <w:t>9</w:t>
      </w:r>
      <w:r>
        <w:rPr>
          <w:szCs w:val="24"/>
        </w:rPr>
        <w:t>/л.</w:t>
      </w:r>
    </w:p>
    <w:p w14:paraId="6FC246D5" w14:textId="4187CE48" w:rsidR="00AA297E" w:rsidRDefault="00AA297E" w:rsidP="00AA297E">
      <w:pPr>
        <w:widowControl w:val="0"/>
        <w:rPr>
          <w:szCs w:val="24"/>
        </w:rPr>
      </w:pPr>
      <w:r>
        <w:rPr>
          <w:szCs w:val="24"/>
        </w:rPr>
        <w:t xml:space="preserve">Повышенная концентрация </w:t>
      </w:r>
      <w:r>
        <w:rPr>
          <w:szCs w:val="24"/>
          <w:lang w:val="en-US"/>
        </w:rPr>
        <w:t>D</w:t>
      </w:r>
      <w:r>
        <w:rPr>
          <w:szCs w:val="24"/>
        </w:rPr>
        <w:t>-димера у онкогематологических больных встречается при различных ситуациях, не всегда обусловленных венозными тромбо-эмболическими осложнениями (ВТЭО): синдром диссеминированного внутрисосудистого свертывания (ДВС-синдром), гиперфибринолиз, сепсис, поражения печени, серповидноклеточная анемия и др</w:t>
      </w:r>
      <w:r w:rsidRPr="00B06F48">
        <w:rPr>
          <w:szCs w:val="24"/>
        </w:rPr>
        <w:t xml:space="preserve"> </w:t>
      </w:r>
      <w:r>
        <w:rPr>
          <w:szCs w:val="24"/>
        </w:rPr>
        <w:fldChar w:fldCharType="begin" w:fldLock="1"/>
      </w:r>
      <w:r w:rsidR="004F1D40">
        <w:rPr>
          <w:szCs w:val="24"/>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[50]","plainTextFormattedCitation":"[50]","previouslyFormattedCitation":"[50]"},"properties":{"noteIndex":0},"schema":"https://github.com/citation-style-language/schema/raw/master/csl-citation.json"}</w:instrText>
      </w:r>
      <w:r>
        <w:rPr>
          <w:szCs w:val="24"/>
        </w:rPr>
        <w:fldChar w:fldCharType="separate"/>
      </w:r>
      <w:r w:rsidRPr="00AA297E">
        <w:rPr>
          <w:noProof/>
          <w:szCs w:val="24"/>
        </w:rPr>
        <w:t>[50]</w:t>
      </w:r>
      <w:r>
        <w:rPr>
          <w:szCs w:val="24"/>
        </w:rPr>
        <w:fldChar w:fldCharType="end"/>
      </w:r>
      <w:r>
        <w:rPr>
          <w:szCs w:val="24"/>
        </w:rPr>
        <w:t xml:space="preserve">. Поэтому не рекомендуется начинать тромбопрофилактику ориентируясь только на повышенную концентрацию </w:t>
      </w:r>
      <w:r>
        <w:rPr>
          <w:szCs w:val="24"/>
          <w:lang w:val="en-US"/>
        </w:rPr>
        <w:t>D</w:t>
      </w:r>
      <w:r>
        <w:rPr>
          <w:szCs w:val="24"/>
        </w:rPr>
        <w:t>-димера. При концентрации D-димера выше порогового значения рекомендуется дополнительное проведение инструментальных методов обследования.</w:t>
      </w:r>
    </w:p>
    <w:p w14:paraId="0B244A13" w14:textId="77777777" w:rsidR="00AA297E" w:rsidRPr="00494FA4" w:rsidRDefault="00AA297E" w:rsidP="00AA297E">
      <w:pPr>
        <w:rPr>
          <w:szCs w:val="24"/>
        </w:rPr>
      </w:pPr>
      <w:r>
        <w:rPr>
          <w:szCs w:val="24"/>
        </w:rPr>
        <w:t xml:space="preserve">3) Биохимический анализ крови: общий белок, альбумины, общий и прямой/непрямой билирубин, АСТ, АЛТ, ЛДГ, мочевая кислота, мочевина, креатинин, щелочная фосфатаза, </w:t>
      </w:r>
      <w:r w:rsidRPr="002B7BF0">
        <w:rPr>
          <w:szCs w:val="24"/>
        </w:rPr>
        <w:t xml:space="preserve">холестерин, триглицериды, индекс атерогенности </w:t>
      </w:r>
      <w:r>
        <w:rPr>
          <w:szCs w:val="24"/>
        </w:rPr>
        <w:t xml:space="preserve">– на этапе диагностике, далее по показаниям. </w:t>
      </w:r>
      <w:r w:rsidRPr="00494FA4">
        <w:rPr>
          <w:rStyle w:val="affb"/>
          <w:iCs/>
          <w:shd w:val="clear" w:color="auto" w:fill="FFFFFF"/>
        </w:rPr>
        <w:t>В</w:t>
      </w:r>
      <w:r w:rsidRPr="00111FC7">
        <w:rPr>
          <w:rStyle w:val="affc"/>
        </w:rPr>
        <w:t xml:space="preserve">ыполнение биохимического анализа крови необходимо для уточнения функциональной способности печени, что важно для выбора адекватной терапии. </w:t>
      </w:r>
    </w:p>
    <w:p w14:paraId="0A3A7593" w14:textId="77777777" w:rsidR="00AA297E" w:rsidRDefault="00AA297E" w:rsidP="00AA297E">
      <w:pPr>
        <w:rPr>
          <w:szCs w:val="24"/>
        </w:rPr>
      </w:pPr>
      <w:r>
        <w:rPr>
          <w:szCs w:val="24"/>
        </w:rPr>
        <w:t>4) Определение концентрации гомоцистеина – важно в диагностике гипергомоцистеинемии.</w:t>
      </w:r>
    </w:p>
    <w:p w14:paraId="7FBD447E" w14:textId="77777777" w:rsidR="00AA297E" w:rsidRDefault="00AA297E" w:rsidP="00AA297E">
      <w:r>
        <w:t xml:space="preserve">5) Исследование мутации генов факторов, участвующих в гемостазе (протромбина G20210A, фактора V Лейден, </w:t>
      </w:r>
      <w:r w:rsidRPr="00A042E1">
        <w:t>метилентетрагидрофолатредуктазы</w:t>
      </w:r>
      <w:r>
        <w:t>), важно для верификации формы и варианта наследственных тромбофилий, определяется по показаниям.</w:t>
      </w:r>
    </w:p>
    <w:p w14:paraId="1AF9898A" w14:textId="77777777" w:rsidR="00AA297E" w:rsidRPr="00494FA4" w:rsidRDefault="00AA297E" w:rsidP="00AA297E">
      <w:pPr>
        <w:rPr>
          <w:szCs w:val="24"/>
        </w:rPr>
      </w:pPr>
      <w:r>
        <w:lastRenderedPageBreak/>
        <w:t xml:space="preserve">6) Тромбоэластография, пространственная тромбодинамика и определение тромбинового потенциала – по показаниям. </w:t>
      </w:r>
    </w:p>
    <w:p w14:paraId="721E3F08" w14:textId="77777777" w:rsidR="00AA297E" w:rsidRDefault="00AA297E" w:rsidP="00AA297E">
      <w:pPr>
        <w:pStyle w:val="Numlist"/>
        <w:spacing w:line="360" w:lineRule="auto"/>
        <w:jc w:val="both"/>
      </w:pPr>
      <w:r>
        <w:t>Лабораторную оценку состояния системы свертывания крови осуществляют при первичном обследовании больного, до начала проведения специфической терапии, в том числе перед каждым курсом ХТ (по показаниям), а также в случае развития тромботических нарушений на любом этапе диагностики, наблюдения, лечения.</w:t>
      </w:r>
    </w:p>
    <w:p w14:paraId="0D651630" w14:textId="77777777" w:rsidR="00AA297E" w:rsidRDefault="00AA297E" w:rsidP="00AA297E">
      <w:pPr>
        <w:rPr>
          <w:b/>
          <w:szCs w:val="24"/>
        </w:rPr>
      </w:pPr>
    </w:p>
    <w:p w14:paraId="7A10E1B6" w14:textId="67D0B938" w:rsidR="00AA297E" w:rsidRDefault="00AA297E" w:rsidP="00AA297E">
      <w:pPr>
        <w:rPr>
          <w:szCs w:val="24"/>
        </w:rPr>
      </w:pPr>
      <w:r w:rsidRPr="004C1787">
        <w:rPr>
          <w:bCs/>
          <w:i/>
          <w:iCs/>
          <w:szCs w:val="24"/>
          <w:u w:val="single"/>
        </w:rPr>
        <w:t>Инструментальная диагностика</w:t>
      </w:r>
      <w:r>
        <w:rPr>
          <w:szCs w:val="24"/>
        </w:rPr>
        <w:t xml:space="preserve"> рекомендуется для определения выраженности и уточнения локализации тромботических осложнений. Выбор метода зависит от клинической картины и данных лабораторного обследования. Проводятся следующие виды исследования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rPr>
          <w:szCs w:val="24"/>
        </w:rPr>
        <w:t>:</w:t>
      </w:r>
    </w:p>
    <w:p w14:paraId="74AFFEBF" w14:textId="77777777" w:rsidR="00AA297E" w:rsidRDefault="00AA297E" w:rsidP="00D22A46">
      <w:pPr>
        <w:pStyle w:val="afe"/>
        <w:numPr>
          <w:ilvl w:val="0"/>
          <w:numId w:val="53"/>
        </w:numPr>
        <w:spacing w:after="200"/>
        <w:ind w:left="1134"/>
        <w:rPr>
          <w:szCs w:val="24"/>
        </w:rPr>
      </w:pPr>
      <w:r>
        <w:rPr>
          <w:szCs w:val="24"/>
        </w:rPr>
        <w:t>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14:paraId="1ECCDA81" w14:textId="77777777" w:rsidR="00AA297E" w:rsidRDefault="00AA297E" w:rsidP="00D22A46">
      <w:pPr>
        <w:pStyle w:val="afe"/>
        <w:numPr>
          <w:ilvl w:val="0"/>
          <w:numId w:val="53"/>
        </w:numPr>
        <w:ind w:left="1134"/>
        <w:rPr>
          <w:bCs/>
          <w:szCs w:val="24"/>
        </w:rPr>
      </w:pPr>
      <w:r>
        <w:rPr>
          <w:bCs/>
          <w:szCs w:val="24"/>
        </w:rPr>
        <w:t xml:space="preserve">УЗИ органов брюшной полости (размеры печени, селезенки, </w:t>
      </w:r>
      <w:r w:rsidRPr="00A042E1">
        <w:rPr>
          <w:bCs/>
          <w:szCs w:val="24"/>
        </w:rPr>
        <w:t>вены портальной системы и собственные вены печени</w:t>
      </w:r>
      <w:r>
        <w:rPr>
          <w:bCs/>
          <w:szCs w:val="24"/>
        </w:rPr>
        <w:t>), гемодинамические критерии портальной гипертензии при органомегалии и подозрении на тромбоз.</w:t>
      </w:r>
    </w:p>
    <w:p w14:paraId="33E736BE" w14:textId="77777777" w:rsidR="00AA297E" w:rsidRDefault="00AA297E" w:rsidP="00D22A46">
      <w:pPr>
        <w:pStyle w:val="afe"/>
        <w:numPr>
          <w:ilvl w:val="0"/>
          <w:numId w:val="53"/>
        </w:numPr>
        <w:ind w:left="1134"/>
        <w:rPr>
          <w:bCs/>
          <w:szCs w:val="24"/>
        </w:rPr>
      </w:pPr>
      <w:r w:rsidRPr="0065075D">
        <w:rPr>
          <w:iCs/>
          <w:szCs w:val="24"/>
        </w:rPr>
        <w:t xml:space="preserve">КТ </w:t>
      </w:r>
      <w:r w:rsidRPr="0065075D">
        <w:rPr>
          <w:bCs/>
          <w:szCs w:val="24"/>
        </w:rPr>
        <w:t xml:space="preserve">органов грудной клетки и брюшной полости с внутривенным контрастным </w:t>
      </w:r>
      <w:r>
        <w:rPr>
          <w:bCs/>
          <w:szCs w:val="24"/>
        </w:rPr>
        <w:t xml:space="preserve">усилением </w:t>
      </w:r>
      <w:r w:rsidRPr="0065075D">
        <w:rPr>
          <w:bCs/>
          <w:szCs w:val="24"/>
        </w:rPr>
        <w:t>для диагностики ТЭЛА, тромбоза вен и артерий брюшной полости, инфарктов паренхиматозных органов, оценки коллатералей.</w:t>
      </w:r>
    </w:p>
    <w:p w14:paraId="482BF37C" w14:textId="77777777" w:rsidR="00AA297E" w:rsidRPr="004C1787" w:rsidRDefault="00AA297E" w:rsidP="00D22A46">
      <w:pPr>
        <w:pStyle w:val="afe"/>
        <w:numPr>
          <w:ilvl w:val="0"/>
          <w:numId w:val="53"/>
        </w:numPr>
        <w:ind w:left="1134"/>
        <w:rPr>
          <w:bCs/>
          <w:szCs w:val="24"/>
        </w:rPr>
      </w:pPr>
      <w:r w:rsidRPr="004C1787">
        <w:rPr>
          <w:iCs/>
          <w:color w:val="000000"/>
          <w:szCs w:val="24"/>
        </w:rPr>
        <w:t>Магнитно-резонансная томография (МРТ)</w:t>
      </w:r>
      <w:r w:rsidRPr="004C1787">
        <w:rPr>
          <w:i/>
          <w:iCs/>
          <w:color w:val="000000"/>
          <w:szCs w:val="24"/>
        </w:rPr>
        <w:t xml:space="preserve"> </w:t>
      </w:r>
      <w:r w:rsidRPr="004C1787">
        <w:rPr>
          <w:szCs w:val="24"/>
        </w:rPr>
        <w:t>с внутривенным контрастным усилением головного мозга для выявления тромботических изменений в сосудах 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14:paraId="5928BB6E" w14:textId="77777777" w:rsidR="00AA297E" w:rsidRPr="004C1787" w:rsidRDefault="00AA297E" w:rsidP="00D22A46">
      <w:pPr>
        <w:pStyle w:val="afe"/>
        <w:numPr>
          <w:ilvl w:val="0"/>
          <w:numId w:val="53"/>
        </w:numPr>
        <w:ind w:left="1134"/>
        <w:rPr>
          <w:bCs/>
          <w:szCs w:val="24"/>
        </w:rPr>
      </w:pPr>
      <w:r w:rsidRPr="004C1787">
        <w:rPr>
          <w:iCs/>
          <w:szCs w:val="24"/>
        </w:rPr>
        <w:t xml:space="preserve">Эзофагогастродуоденоскопия (ЭГДС) </w:t>
      </w:r>
      <w:r w:rsidRPr="004C1787">
        <w:rPr>
          <w:szCs w:val="24"/>
        </w:rPr>
        <w:t xml:space="preserve">с целью определения наличия варикозно расширенных вен пищевода и желудка даже при отсутствии симптоматики портальной гипертензии (в том числе и портальной гипертензионной гастропатии). Этот метод исследования может носить как диагностический, так и лечебный характер в отношении источника возникшего кровотечения. Желудочно-кишечное кровотечение, в том </w:t>
      </w:r>
      <w:r w:rsidRPr="004C1787">
        <w:rPr>
          <w:szCs w:val="24"/>
        </w:rPr>
        <w:lastRenderedPageBreak/>
        <w:t>числе и анамнестическое, должно рассматриваться как абсолютное показание к неотложному эндоскопическому исследованию, которое тем эффективнее, чем раньше выполнено от начала кровотечения. Очень важным моментом диагностической ЭГДС является определение источника кровотечения: варикозно расширенные вены пищевода и/или язвы желудка или двенадцатиперстной кишки, а</w:t>
      </w:r>
      <w:r w:rsidRPr="004C1787">
        <w:rPr>
          <w:i/>
          <w:color w:val="4472C4" w:themeColor="accent5"/>
          <w:szCs w:val="24"/>
        </w:rPr>
        <w:t xml:space="preserve"> </w:t>
      </w:r>
      <w:r w:rsidRPr="004C1787">
        <w:rPr>
          <w:szCs w:val="24"/>
        </w:rPr>
        <w:t>также оценка степени</w:t>
      </w:r>
      <w:r w:rsidRPr="004C1787">
        <w:rPr>
          <w:i/>
          <w:color w:val="4472C4" w:themeColor="accent5"/>
          <w:szCs w:val="24"/>
        </w:rPr>
        <w:t xml:space="preserve"> </w:t>
      </w:r>
      <w:r w:rsidRPr="004C1787">
        <w:rPr>
          <w:szCs w:val="24"/>
        </w:rPr>
        <w:t>устойчивости гемостаза из обнаруженных источников. Исследование выполняется всем пациентам на этапе диагностики, далее проводится мониторинг при выявлении патологии каждые 6 месяцев, и по показаниям.</w:t>
      </w:r>
    </w:p>
    <w:p w14:paraId="0AAB4D92" w14:textId="77777777" w:rsidR="00AA297E" w:rsidRPr="004C1787" w:rsidRDefault="00AA297E" w:rsidP="00D22A46">
      <w:pPr>
        <w:pStyle w:val="afe"/>
        <w:numPr>
          <w:ilvl w:val="0"/>
          <w:numId w:val="53"/>
        </w:numPr>
        <w:ind w:left="1134"/>
        <w:rPr>
          <w:bCs/>
          <w:szCs w:val="24"/>
        </w:rPr>
      </w:pPr>
      <w:r w:rsidRPr="004C1787">
        <w:rPr>
          <w:iCs/>
          <w:szCs w:val="24"/>
        </w:rPr>
        <w:t xml:space="preserve">Рентгенологическое исследование пищевода и желудка </w:t>
      </w:r>
      <w:r w:rsidRPr="004C1787">
        <w:rPr>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14:paraId="68CB8F03" w14:textId="77777777" w:rsidR="00AA297E" w:rsidRPr="004C1787" w:rsidRDefault="00AA297E" w:rsidP="00D22A46">
      <w:pPr>
        <w:pStyle w:val="afe"/>
        <w:numPr>
          <w:ilvl w:val="0"/>
          <w:numId w:val="53"/>
        </w:numPr>
        <w:ind w:left="1134"/>
        <w:rPr>
          <w:bCs/>
          <w:szCs w:val="24"/>
        </w:rPr>
      </w:pPr>
      <w:r w:rsidRPr="004C1787">
        <w:rPr>
          <w:szCs w:val="24"/>
        </w:rPr>
        <w:t>Контрастные артерио- и венографии выявляют локализацию и анатомические особенности тромботических процессов.</w:t>
      </w:r>
    </w:p>
    <w:p w14:paraId="643A5009" w14:textId="77777777" w:rsidR="00AA297E" w:rsidRPr="004C1787" w:rsidRDefault="00AA297E" w:rsidP="00D22A46">
      <w:pPr>
        <w:pStyle w:val="afe"/>
        <w:numPr>
          <w:ilvl w:val="0"/>
          <w:numId w:val="53"/>
        </w:numPr>
        <w:ind w:left="1134"/>
        <w:rPr>
          <w:bCs/>
          <w:szCs w:val="24"/>
        </w:rPr>
      </w:pPr>
      <w:r w:rsidRPr="004C1787">
        <w:rPr>
          <w:szCs w:val="24"/>
        </w:rPr>
        <w:t>ЭхоКГ для оценки легочной гипертензии.</w:t>
      </w:r>
    </w:p>
    <w:p w14:paraId="2C1D6354" w14:textId="77777777" w:rsidR="00AA297E" w:rsidRPr="004C1787" w:rsidRDefault="00AA297E" w:rsidP="00D22A46">
      <w:pPr>
        <w:pStyle w:val="afe"/>
        <w:numPr>
          <w:ilvl w:val="0"/>
          <w:numId w:val="53"/>
        </w:numPr>
        <w:ind w:left="1134"/>
        <w:rPr>
          <w:bCs/>
          <w:szCs w:val="24"/>
        </w:rPr>
      </w:pPr>
      <w: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14:paraId="7E78633B" w14:textId="77777777" w:rsidR="00AA297E" w:rsidRDefault="00AA297E" w:rsidP="00AA297E">
      <w:pPr>
        <w:pStyle w:val="Numlist"/>
        <w:spacing w:line="360" w:lineRule="auto"/>
        <w:ind w:firstLine="709"/>
        <w:jc w:val="both"/>
        <w:rPr>
          <w:b/>
        </w:rPr>
      </w:pPr>
    </w:p>
    <w:p w14:paraId="6B83C6D7" w14:textId="7DCAE6BE" w:rsidR="00AA297E" w:rsidRDefault="00AA297E" w:rsidP="00AA297E">
      <w:pPr>
        <w:pStyle w:val="Numlist"/>
        <w:spacing w:line="360" w:lineRule="auto"/>
        <w:ind w:firstLine="709"/>
        <w:jc w:val="both"/>
      </w:pPr>
      <w:r w:rsidRPr="004C1787">
        <w:rPr>
          <w:bCs/>
          <w:i/>
          <w:iCs/>
        </w:rPr>
        <w:t>Консультации специалистов</w:t>
      </w:r>
      <w: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[48]","plainTextFormattedCitation":"[48]","previouslyFormattedCitation":"[48]"},"properties":{"noteIndex":0},"schema":"https://github.com/citation-style-language/schema/raw/master/csl-citation.json"}</w:instrText>
      </w:r>
      <w:r>
        <w:fldChar w:fldCharType="separate"/>
      </w:r>
      <w:r w:rsidRPr="00AA297E">
        <w:rPr>
          <w:noProof/>
        </w:rPr>
        <w:t>[48]</w:t>
      </w:r>
      <w:r>
        <w:fldChar w:fldCharType="end"/>
      </w:r>
      <w:r>
        <w:t>.</w:t>
      </w:r>
    </w:p>
    <w:p w14:paraId="3970226A" w14:textId="77777777" w:rsidR="00AA297E" w:rsidRDefault="00AA297E" w:rsidP="00AA297E">
      <w:pPr>
        <w:rPr>
          <w:b/>
          <w:szCs w:val="24"/>
        </w:rPr>
      </w:pPr>
    </w:p>
    <w:p w14:paraId="1DE4FD2C" w14:textId="77777777" w:rsidR="00AA297E" w:rsidRPr="004C1787" w:rsidRDefault="00AA297E" w:rsidP="00AA297E">
      <w:pPr>
        <w:rPr>
          <w:bCs/>
          <w:i/>
          <w:iCs/>
          <w:szCs w:val="24"/>
          <w:u w:val="single"/>
        </w:rPr>
      </w:pPr>
      <w:r w:rsidRPr="004C1787">
        <w:rPr>
          <w:bCs/>
          <w:i/>
          <w:iCs/>
          <w:szCs w:val="24"/>
          <w:u w:val="single"/>
        </w:rPr>
        <w:t xml:space="preserve">Общие принципы профилактики ВТЭО у гематологических больных. </w:t>
      </w:r>
    </w:p>
    <w:p w14:paraId="74D15174" w14:textId="77777777" w:rsidR="00AA297E" w:rsidRDefault="00AA297E" w:rsidP="00AA297E">
      <w:pPr>
        <w:pStyle w:val="Numlist"/>
        <w:spacing w:line="360" w:lineRule="auto"/>
        <w:jc w:val="both"/>
      </w:pPr>
      <w:r>
        <w:t xml:space="preserve">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w:t>
      </w:r>
      <w:r>
        <w:lastRenderedPageBreak/>
        <w:t>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14:paraId="1D2ED27E" w14:textId="77777777" w:rsidR="00AA297E" w:rsidRPr="00F855C8" w:rsidRDefault="00AA297E" w:rsidP="00AA297E">
      <w:pPr>
        <w:rPr>
          <w:szCs w:val="24"/>
        </w:rPr>
      </w:pP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284DEF49" w14:textId="16CE8326" w:rsidR="00AA297E" w:rsidRPr="00111FC7" w:rsidRDefault="00AA297E" w:rsidP="00AA297E">
      <w:pPr>
        <w:ind w:firstLine="708"/>
        <w:rPr>
          <w:szCs w:val="24"/>
        </w:rPr>
      </w:pPr>
      <w:r w:rsidRPr="00111FC7">
        <w:rPr>
          <w:szCs w:val="24"/>
        </w:rPr>
        <w:t>Профилактические мероприятия следует проводить у всех больных, относящихся к группам риска</w:t>
      </w:r>
      <w:r>
        <w:rPr>
          <w:szCs w:val="24"/>
        </w:rPr>
        <w:t xml:space="preserve">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rsidRPr="00111FC7">
        <w:rPr>
          <w:szCs w:val="24"/>
        </w:rPr>
        <w:t>:</w:t>
      </w:r>
    </w:p>
    <w:p w14:paraId="50E1903F" w14:textId="77777777" w:rsidR="00AA297E" w:rsidRDefault="00AA297E" w:rsidP="00D22A46">
      <w:pPr>
        <w:pStyle w:val="afe"/>
        <w:numPr>
          <w:ilvl w:val="0"/>
          <w:numId w:val="44"/>
        </w:numPr>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78679AB9" w14:textId="77777777" w:rsidR="00AA297E" w:rsidRDefault="00AA297E" w:rsidP="00D22A46">
      <w:pPr>
        <w:pStyle w:val="afe"/>
        <w:numPr>
          <w:ilvl w:val="0"/>
          <w:numId w:val="44"/>
        </w:numPr>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39A7A33E" w14:textId="77777777" w:rsidR="00AA297E" w:rsidRPr="0019724D" w:rsidRDefault="00AA297E" w:rsidP="00D22A46">
      <w:pPr>
        <w:pStyle w:val="afe"/>
        <w:numPr>
          <w:ilvl w:val="0"/>
          <w:numId w:val="44"/>
        </w:numPr>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6F2E5B0F" w14:textId="77777777" w:rsidR="00AA297E" w:rsidRDefault="00AA297E" w:rsidP="00D22A46">
      <w:pPr>
        <w:pStyle w:val="afe"/>
        <w:numPr>
          <w:ilvl w:val="0"/>
          <w:numId w:val="44"/>
        </w:numPr>
        <w:rPr>
          <w:szCs w:val="24"/>
        </w:rPr>
      </w:pPr>
      <w:r>
        <w:rPr>
          <w:szCs w:val="24"/>
        </w:rPr>
        <w:t>у больных с крайне высоким риском ВТЭО медикаментозная и механическая профилактика должны сочетаться;</w:t>
      </w:r>
    </w:p>
    <w:p w14:paraId="606850F9" w14:textId="77777777" w:rsidR="00AA297E" w:rsidRDefault="00AA297E" w:rsidP="00D22A46">
      <w:pPr>
        <w:pStyle w:val="afe"/>
        <w:numPr>
          <w:ilvl w:val="0"/>
          <w:numId w:val="44"/>
        </w:numPr>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14:paraId="1CF74A7C" w14:textId="77777777" w:rsidR="00AA297E" w:rsidRDefault="00AA297E" w:rsidP="00D22A46">
      <w:pPr>
        <w:pStyle w:val="afe"/>
        <w:numPr>
          <w:ilvl w:val="0"/>
          <w:numId w:val="44"/>
        </w:numPr>
        <w:rPr>
          <w:szCs w:val="24"/>
        </w:rPr>
      </w:pPr>
      <w:r>
        <w:rPr>
          <w:szCs w:val="24"/>
        </w:rPr>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55F12B59" w14:textId="77777777" w:rsidR="00AA297E" w:rsidRDefault="00AA297E" w:rsidP="00D22A46">
      <w:pPr>
        <w:pStyle w:val="afe"/>
        <w:numPr>
          <w:ilvl w:val="0"/>
          <w:numId w:val="44"/>
        </w:numPr>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2018C6EE" w14:textId="77777777" w:rsidR="00AA297E" w:rsidRDefault="00AA297E" w:rsidP="00D22A46">
      <w:pPr>
        <w:pStyle w:val="afe"/>
        <w:numPr>
          <w:ilvl w:val="0"/>
          <w:numId w:val="44"/>
        </w:numPr>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14:paraId="71946AE1" w14:textId="77777777" w:rsidR="00AA297E" w:rsidRDefault="00AA297E" w:rsidP="00D22A46">
      <w:pPr>
        <w:pStyle w:val="afe"/>
        <w:numPr>
          <w:ilvl w:val="0"/>
          <w:numId w:val="43"/>
        </w:numPr>
        <w:rPr>
          <w:szCs w:val="24"/>
        </w:rPr>
      </w:pPr>
      <w:r>
        <w:rPr>
          <w:szCs w:val="24"/>
        </w:rPr>
        <w:lastRenderedPageBreak/>
        <w:t>Проводить профилактику следует до тех пор, пока сохраняется высокий риск развития тромботических осложнений (месяцы и годы).</w:t>
      </w:r>
    </w:p>
    <w:p w14:paraId="65D53272" w14:textId="77777777" w:rsidR="00AA297E" w:rsidRDefault="00AA297E" w:rsidP="00AA297E">
      <w:pPr>
        <w:pStyle w:val="3"/>
        <w:keepLines w:val="0"/>
        <w:spacing w:before="0"/>
        <w:rPr>
          <w:rFonts w:ascii="Times New Roman" w:hAnsi="Times New Roman"/>
          <w:b/>
          <w:bCs/>
          <w:i/>
          <w:iCs/>
          <w:color w:val="auto"/>
          <w:u w:val="single"/>
          <w:lang w:eastAsia="ru-RU"/>
        </w:rPr>
      </w:pPr>
    </w:p>
    <w:p w14:paraId="3EFD313B" w14:textId="77777777" w:rsidR="00AA297E" w:rsidRPr="00F149A1" w:rsidRDefault="00AA297E" w:rsidP="00AA297E">
      <w:pPr>
        <w:pStyle w:val="afd"/>
        <w:spacing w:beforeAutospacing="0" w:afterAutospacing="0"/>
        <w:rPr>
          <w:i/>
          <w:iCs/>
          <w:u w:val="single"/>
        </w:rPr>
      </w:pPr>
      <w:r w:rsidRPr="00F149A1">
        <w:rPr>
          <w:i/>
          <w:iCs/>
          <w:u w:val="single"/>
        </w:rPr>
        <w:t>Профилактика и лечение тромботических нарушений у онкогематологических пациентов.</w:t>
      </w:r>
    </w:p>
    <w:p w14:paraId="12567AE7" w14:textId="773D104E" w:rsidR="00AA297E" w:rsidRDefault="00AA297E" w:rsidP="00AA297E">
      <w:pPr>
        <w:ind w:firstLine="360"/>
        <w:contextualSpacing/>
        <w:rPr>
          <w:rFonts w:eastAsia="Times New Roman"/>
          <w:szCs w:val="24"/>
          <w:lang w:eastAsia="ru-RU"/>
        </w:rPr>
      </w:pPr>
      <w:r>
        <w:rPr>
          <w:rFonts w:eastAsia="Times New Roman"/>
          <w:szCs w:val="24"/>
          <w:lang w:eastAsia="ru-RU"/>
        </w:rPr>
        <w:t xml:space="preserve">При выявлении ВТЭО и определении его давности, локализации, распространенности, назначается соответствующая терапия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rPr>
          <w:rFonts w:eastAsia="Times New Roman"/>
          <w:szCs w:val="24"/>
          <w:lang w:eastAsia="ru-RU"/>
        </w:rPr>
        <w:t>.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1AB5BAEC" w14:textId="77777777" w:rsidR="00AA297E" w:rsidRDefault="00AA297E" w:rsidP="00AA297E">
      <w:pPr>
        <w:rPr>
          <w:rFonts w:eastAsia="Times New Roman"/>
          <w:szCs w:val="24"/>
          <w:u w:val="single"/>
          <w:lang w:eastAsia="ru-RU"/>
        </w:rPr>
      </w:pPr>
    </w:p>
    <w:p w14:paraId="48D0C2C1" w14:textId="77777777" w:rsidR="00AA297E" w:rsidRDefault="00AA297E" w:rsidP="00AA297E">
      <w:pPr>
        <w:rPr>
          <w:rFonts w:eastAsia="Times New Roman"/>
          <w:szCs w:val="24"/>
          <w:u w:val="single"/>
          <w:lang w:eastAsia="ru-RU"/>
        </w:rPr>
      </w:pPr>
      <w:r>
        <w:rPr>
          <w:rFonts w:eastAsia="Times New Roman"/>
          <w:szCs w:val="24"/>
          <w:u w:val="single"/>
          <w:lang w:eastAsia="ru-RU"/>
        </w:rPr>
        <w:t>Медикаментозная терапия.</w:t>
      </w:r>
    </w:p>
    <w:p w14:paraId="0BCC49D9" w14:textId="0F7179AD" w:rsidR="00AA297E" w:rsidRPr="003F7AC3" w:rsidRDefault="00AA297E" w:rsidP="00AA297E">
      <w:pPr>
        <w:ind w:firstLine="708"/>
        <w:rPr>
          <w:rFonts w:eastAsia="Times New Roman"/>
          <w:szCs w:val="24"/>
          <w:lang w:eastAsia="ru-RU"/>
        </w:rPr>
      </w:pPr>
      <w:r w:rsidRPr="003F7AC3">
        <w:rPr>
          <w:rFonts w:eastAsia="Times New Roman"/>
          <w:szCs w:val="24"/>
          <w:lang w:eastAsia="ru-RU"/>
        </w:rPr>
        <w:t>1) Антикоагулянтная терапия</w:t>
      </w:r>
      <w:r>
        <w:rPr>
          <w:rFonts w:eastAsia="Times New Roman"/>
          <w:szCs w:val="24"/>
          <w:lang w:eastAsia="ru-RU"/>
        </w:rPr>
        <w:t xml:space="preserve">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Oncology/Hematology","id":"ITEM-2","issued":{"date-parts":[["2018","4","1"]]},"page":"41-50","publisher":"Elsevier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-3","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-3","issued":{"date-parts":[["2010"]]},"number-of-pages":"192","title":"Практическая коагулология","type":"book"},"uris":["http://www.mendeley.com/documents/?uuid=36d7b04e-d654-47d2-a073-3cc2bb6e80ce"]}],"mendeley":{"formattedCitation":"[46,48,49]","plainTextFormattedCitation":"[46,48,49]","previouslyFormattedCitation":"[46,48,49]"},"properties":{"noteIndex":0},"schema":"https://github.com/citation-style-language/schema/raw/master/csl-citation.json"}</w:instrText>
      </w:r>
      <w:r>
        <w:fldChar w:fldCharType="separate"/>
      </w:r>
      <w:r w:rsidRPr="00AA297E">
        <w:rPr>
          <w:noProof/>
        </w:rPr>
        <w:t>[46,48,49]</w:t>
      </w:r>
      <w:r>
        <w:fldChar w:fldCharType="end"/>
      </w:r>
      <w:r>
        <w:rPr>
          <w:rFonts w:eastAsia="Times New Roman"/>
          <w:szCs w:val="24"/>
          <w:lang w:eastAsia="ru-RU"/>
        </w:rPr>
        <w:t>.</w:t>
      </w:r>
    </w:p>
    <w:p w14:paraId="3739B43E" w14:textId="3291B359" w:rsidR="00AA297E" w:rsidRDefault="00AA297E" w:rsidP="00AA297E">
      <w:pPr>
        <w:widowControl w:val="0"/>
        <w:rPr>
          <w:rFonts w:eastAsia="Times New Roman"/>
          <w:szCs w:val="24"/>
          <w:lang w:eastAsia="ru-RU"/>
        </w:rPr>
      </w:pPr>
      <w:r>
        <w:rPr>
          <w:rFonts w:eastAsia="Times New Roman"/>
          <w:szCs w:val="24"/>
          <w:lang w:eastAsia="ru-RU"/>
        </w:rPr>
        <w:t>Осуществляется лечение нефракционированным гепарином (НФГ), предпочтительно путем постоянного внутривенного введения при помощи инфузомата</w:t>
      </w:r>
      <w:r w:rsidRPr="00987C04">
        <w:rPr>
          <w:rFonts w:eastAsia="Times New Roman"/>
          <w:szCs w:val="24"/>
          <w:lang w:eastAsia="ru-RU"/>
        </w:rPr>
        <w:t xml:space="preserve"> </w:t>
      </w:r>
      <w:r>
        <w:rPr>
          <w:rFonts w:eastAsia="Times New Roman"/>
          <w:szCs w:val="24"/>
          <w:lang w:eastAsia="ru-RU"/>
        </w:rPr>
        <w:fldChar w:fldCharType="begin" w:fldLock="1"/>
      </w:r>
      <w:r w:rsidR="004F1D40">
        <w:rPr>
          <w:rFonts w:eastAsia="Times New Roman"/>
          <w:szCs w:val="24"/>
          <w:lang w:eastAsia="ru-RU"/>
        </w:rPr>
        <w:instrText>ADDIN CSL_CITATION {"citationItems":[{"id":"ITEM-1","itemData":{"author":[{"dropping-particle":"","family":"Weitz","given":"I. C.","non-dropping-particle":"","parse-names":false,"suffix":""},{"dropping-particle":"","family":"Israel","given":"V. K.","non-dropping-particle":"","parse-names":false,"suffix":""},{"dropping-particle":"","family":"Waisman","given":"James R","non-dropping-particle":"","parse-names":false,"suffix":""},{"dropping-particle":"","family":"Presant","given":"Cary A","non-dropping-particle":"","parse-names":false,"suffix":""},{"dropping-particle":"","family":"Rochanda","given":"Leanne","non-dropping-particle":"","parse-names":false,"suffix":""},{"dropping-particle":"","family":"Liebman","given":"Howard A","non-dropping-particle":"","parse-names":false,"suffix":""}],"container-title":"Thrombosis and Haemostasis","id":"ITEM-1","issue":"2","issued":{"date-parts":[["2002"]]},"page":"213-220","title":"Chemotherapy-induced activation of hemostasis: effect of a low molecular weight heparin (dalteparin sodium) on plasma markers of hemostatic activation","type":"article-journal","volume":"88"},"uris":["http://www.mendeley.com/documents/?uuid=4bd2d375-bafa-4614-b494-989a99e4214d"]}],"mendeley":{"formattedCitation":"[51]","plainTextFormattedCitation":"[51]","previouslyFormattedCitation":"[51]"},"properties":{"noteIndex":0},"schema":"https://github.com/citation-style-language/schema/raw/master/csl-citation.json"}</w:instrText>
      </w:r>
      <w:r>
        <w:rPr>
          <w:rFonts w:eastAsia="Times New Roman"/>
          <w:szCs w:val="24"/>
          <w:lang w:eastAsia="ru-RU"/>
        </w:rPr>
        <w:fldChar w:fldCharType="separate"/>
      </w:r>
      <w:r w:rsidRPr="00AA297E">
        <w:rPr>
          <w:rFonts w:eastAsia="Times New Roman"/>
          <w:noProof/>
          <w:szCs w:val="24"/>
          <w:lang w:eastAsia="ru-RU"/>
        </w:rPr>
        <w:t>[51]</w:t>
      </w:r>
      <w:r>
        <w:rPr>
          <w:rFonts w:eastAsia="Times New Roman"/>
          <w:szCs w:val="24"/>
          <w:lang w:eastAsia="ru-RU"/>
        </w:rPr>
        <w:fldChar w:fldCharType="end"/>
      </w:r>
      <w:r>
        <w:rPr>
          <w:rFonts w:eastAsia="Times New Roman"/>
          <w:szCs w:val="24"/>
          <w:lang w:eastAsia="ru-RU"/>
        </w:rPr>
        <w:t xml:space="preserve">. Доза гепарина подбирается по АЧТВ, которое должно составлять 1,5-2 нормы. Начальная доза гепарина составляет 1000 МЕ/час. Профилактические и лечебные режимы введения НФГ представлены в таблицах 1 и 2. </w:t>
      </w:r>
    </w:p>
    <w:p w14:paraId="3BC48105" w14:textId="55EBF38F" w:rsidR="00AA297E" w:rsidRDefault="00AA297E" w:rsidP="00AA297E">
      <w:pPr>
        <w:widowControl w:val="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 отменяют. При развитии геморрагического синдрома любой тяжести введение НФГ прекращают и вводят протамина сульфат или свежезамороженную плазму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Pr>
          <w:szCs w:val="24"/>
        </w:rPr>
        <w:t>ривароксабан, дабигатран, апиксабан)</w:t>
      </w:r>
      <w:r w:rsidRPr="00E425CD">
        <w:rPr>
          <w:szCs w:val="24"/>
        </w:rPr>
        <w:t xml:space="preserve"> </w:t>
      </w:r>
      <w:r>
        <w:rPr>
          <w:szCs w:val="24"/>
        </w:rPr>
        <w:fldChar w:fldCharType="begin" w:fldLock="1"/>
      </w:r>
      <w:r w:rsidR="004F1D40">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[52]","plainTextFormattedCitation":"[52]","previouslyFormattedCitation":"[52]"},"properties":{"noteIndex":0},"schema":"https://github.com/citation-style-language/schema/raw/master/csl-citation.json"}</w:instrText>
      </w:r>
      <w:r>
        <w:rPr>
          <w:szCs w:val="24"/>
        </w:rPr>
        <w:fldChar w:fldCharType="separate"/>
      </w:r>
      <w:r w:rsidRPr="00AA297E">
        <w:rPr>
          <w:noProof/>
          <w:szCs w:val="24"/>
        </w:rPr>
        <w:t>[52]</w:t>
      </w:r>
      <w:r>
        <w:rPr>
          <w:szCs w:val="24"/>
        </w:rPr>
        <w:fldChar w:fldCharType="end"/>
      </w:r>
      <w:r>
        <w:rPr>
          <w:szCs w:val="24"/>
        </w:rPr>
        <w:t xml:space="preserve">. </w:t>
      </w:r>
    </w:p>
    <w:p w14:paraId="7C967621" w14:textId="77777777" w:rsidR="00AA297E" w:rsidRDefault="00AA297E" w:rsidP="00AA297E">
      <w:pPr>
        <w:widowControl w:val="0"/>
        <w:rPr>
          <w:szCs w:val="24"/>
        </w:rPr>
      </w:pPr>
      <w:r>
        <w:rPr>
          <w:szCs w:val="24"/>
        </w:rPr>
        <w:t>ГИТ необходимо дифференцировать с миелотоксической тромбоцитопенией. Дифференциальным признаком является панцитопения при миелотоксичности и изолированная тромбоцитопения при ГИТ. Изолированное снижение тромбоцитов может быть и при инфекционных осложнениях – как признак потребления при микротромбировании.</w:t>
      </w:r>
    </w:p>
    <w:p w14:paraId="333EBD9C" w14:textId="77777777" w:rsidR="00AA297E" w:rsidRDefault="00AA297E" w:rsidP="00AA297E">
      <w:pPr>
        <w:widowControl w:val="0"/>
        <w:rPr>
          <w:rFonts w:eastAsia="Times New Roman"/>
          <w:szCs w:val="24"/>
          <w:lang w:eastAsia="ru-RU"/>
        </w:rPr>
      </w:pPr>
      <w:r>
        <w:rPr>
          <w:rFonts w:eastAsia="Times New Roman"/>
          <w:szCs w:val="24"/>
          <w:lang w:eastAsia="ru-RU"/>
        </w:rPr>
        <w:t xml:space="preserve">Альтернативой НФГ является подкожное введение низкомолекулярного </w:t>
      </w:r>
      <w:r>
        <w:rPr>
          <w:rFonts w:eastAsia="Times New Roman"/>
          <w:szCs w:val="24"/>
          <w:lang w:eastAsia="ru-RU"/>
        </w:rPr>
        <w:lastRenderedPageBreak/>
        <w:t>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и лечебные режимы введения НМГ представлены в таблицах 1 и 2. </w:t>
      </w:r>
    </w:p>
    <w:p w14:paraId="08FCD9A0" w14:textId="77777777" w:rsidR="00AA297E" w:rsidRDefault="00AA297E" w:rsidP="00AA297E">
      <w:pPr>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67357B55" w14:textId="77777777" w:rsidR="00AA297E" w:rsidRDefault="00AA297E" w:rsidP="00D22A46">
      <w:pPr>
        <w:pStyle w:val="afe"/>
        <w:numPr>
          <w:ilvl w:val="0"/>
          <w:numId w:val="43"/>
        </w:numPr>
        <w:ind w:left="1134"/>
        <w:rPr>
          <w:szCs w:val="24"/>
        </w:rPr>
      </w:pPr>
      <w:r>
        <w:rPr>
          <w:szCs w:val="24"/>
        </w:rPr>
        <w:t xml:space="preserve">при профилактической дозе НМГ – 0,3-0,4 МЕ/мл плазмы, </w:t>
      </w:r>
    </w:p>
    <w:p w14:paraId="09C94C2A" w14:textId="77777777" w:rsidR="00AA297E" w:rsidRDefault="00AA297E" w:rsidP="00D22A46">
      <w:pPr>
        <w:pStyle w:val="afe"/>
        <w:numPr>
          <w:ilvl w:val="0"/>
          <w:numId w:val="45"/>
        </w:numPr>
        <w:ind w:left="1134"/>
        <w:rPr>
          <w:szCs w:val="24"/>
        </w:rPr>
      </w:pPr>
      <w:r>
        <w:rPr>
          <w:szCs w:val="24"/>
        </w:rPr>
        <w:t>при лечебной дозе НМГ при введении 2 р/сут – 0,5-1,0 МЕ/мл плазмы,</w:t>
      </w:r>
    </w:p>
    <w:p w14:paraId="0A7BAA66" w14:textId="77777777" w:rsidR="00AA297E" w:rsidRDefault="00AA297E" w:rsidP="00D22A46">
      <w:pPr>
        <w:pStyle w:val="afe"/>
        <w:numPr>
          <w:ilvl w:val="0"/>
          <w:numId w:val="45"/>
        </w:numPr>
        <w:ind w:left="1134"/>
        <w:rPr>
          <w:szCs w:val="24"/>
        </w:rPr>
      </w:pPr>
      <w:r>
        <w:rPr>
          <w:szCs w:val="24"/>
        </w:rPr>
        <w:t>при лечебной дозе НМГ при введении 1 р/сут – 1,0-2,0 МЕ/мл плазмы.</w:t>
      </w:r>
    </w:p>
    <w:p w14:paraId="4544B4F1" w14:textId="77777777" w:rsidR="00AA297E" w:rsidRDefault="00AA297E" w:rsidP="00AA297E">
      <w:pPr>
        <w:ind w:left="708"/>
        <w:rPr>
          <w:bCs/>
          <w:szCs w:val="24"/>
        </w:rPr>
      </w:pPr>
    </w:p>
    <w:p w14:paraId="77DE49A1" w14:textId="77777777" w:rsidR="00AA297E" w:rsidRPr="00B46409" w:rsidRDefault="00AA297E" w:rsidP="00AA297E">
      <w:pPr>
        <w:ind w:firstLine="0"/>
        <w:rPr>
          <w:bCs/>
          <w:szCs w:val="24"/>
        </w:rPr>
      </w:pPr>
      <w:r>
        <w:rPr>
          <w:bCs/>
          <w:szCs w:val="24"/>
        </w:rPr>
        <w:t>Таблица 1</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w:t>
      </w:r>
    </w:p>
    <w:tbl>
      <w:tblPr>
        <w:tblStyle w:val="1f7"/>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AA297E" w:rsidRPr="00B46409" w14:paraId="5AB3C45E" w14:textId="77777777" w:rsidTr="005A428D">
        <w:trPr>
          <w:trHeight w:val="452"/>
        </w:trPr>
        <w:tc>
          <w:tcPr>
            <w:tcW w:w="3998" w:type="dxa"/>
            <w:shd w:val="clear" w:color="auto" w:fill="auto"/>
          </w:tcPr>
          <w:p w14:paraId="25BB9BA7" w14:textId="77777777" w:rsidR="00AA297E" w:rsidRPr="00B46409" w:rsidRDefault="00AA297E" w:rsidP="005A428D">
            <w:pPr>
              <w:ind w:firstLine="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294F1A61" w14:textId="77777777" w:rsidR="00AA297E" w:rsidRPr="00B46409" w:rsidRDefault="00AA297E" w:rsidP="005A428D">
            <w:pPr>
              <w:ind w:firstLine="0"/>
              <w:jc w:val="center"/>
              <w:rPr>
                <w:rFonts w:cs="Times New Roman"/>
                <w:bCs/>
                <w:szCs w:val="24"/>
              </w:rPr>
            </w:pPr>
            <w:r w:rsidRPr="00B46409">
              <w:rPr>
                <w:rFonts w:eastAsiaTheme="majorEastAsia" w:cs="Times New Roman"/>
                <w:bCs/>
                <w:szCs w:val="24"/>
              </w:rPr>
              <w:t>Дозы</w:t>
            </w:r>
          </w:p>
        </w:tc>
      </w:tr>
      <w:tr w:rsidR="00AA297E" w:rsidRPr="00B46409" w14:paraId="4A2A27C6" w14:textId="77777777" w:rsidTr="005A428D">
        <w:trPr>
          <w:trHeight w:val="452"/>
        </w:trPr>
        <w:tc>
          <w:tcPr>
            <w:tcW w:w="3998" w:type="dxa"/>
            <w:shd w:val="clear" w:color="auto" w:fill="auto"/>
          </w:tcPr>
          <w:p w14:paraId="3D812EC7" w14:textId="77777777" w:rsidR="00AA297E" w:rsidRPr="00B46409" w:rsidRDefault="00AA297E" w:rsidP="005A428D">
            <w:pPr>
              <w:ind w:firstLine="0"/>
              <w:rPr>
                <w:rFonts w:cs="Times New Roman"/>
                <w:bCs/>
                <w:szCs w:val="24"/>
              </w:rPr>
            </w:pPr>
            <w:r w:rsidRPr="00B46409">
              <w:rPr>
                <w:rFonts w:eastAsiaTheme="majorEastAsia" w:cs="Times New Roman"/>
                <w:bCs/>
                <w:szCs w:val="24"/>
              </w:rPr>
              <w:t>Нефракционированный гепарин</w:t>
            </w:r>
          </w:p>
        </w:tc>
        <w:tc>
          <w:tcPr>
            <w:tcW w:w="4678" w:type="dxa"/>
            <w:shd w:val="clear" w:color="auto" w:fill="auto"/>
          </w:tcPr>
          <w:p w14:paraId="1FEC5FF6" w14:textId="77777777" w:rsidR="00AA297E" w:rsidRPr="00B46409" w:rsidRDefault="00AA297E" w:rsidP="005A428D">
            <w:pPr>
              <w:ind w:firstLine="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AA297E" w:rsidRPr="00B46409" w14:paraId="10D3B4C2" w14:textId="77777777" w:rsidTr="005A428D">
        <w:trPr>
          <w:trHeight w:val="452"/>
        </w:trPr>
        <w:tc>
          <w:tcPr>
            <w:tcW w:w="3998" w:type="dxa"/>
            <w:shd w:val="clear" w:color="auto" w:fill="auto"/>
          </w:tcPr>
          <w:p w14:paraId="4E44B4BD" w14:textId="77777777" w:rsidR="00AA297E" w:rsidRPr="00B46409" w:rsidRDefault="00AA297E" w:rsidP="005A428D">
            <w:pPr>
              <w:ind w:firstLine="0"/>
              <w:rPr>
                <w:rFonts w:cs="Times New Roman"/>
                <w:bCs/>
                <w:szCs w:val="24"/>
              </w:rPr>
            </w:pPr>
            <w:r w:rsidRPr="00B46409">
              <w:rPr>
                <w:rFonts w:eastAsiaTheme="majorEastAsia" w:cs="Times New Roman"/>
                <w:bCs/>
                <w:szCs w:val="24"/>
              </w:rPr>
              <w:t>Далтепарин натрия</w:t>
            </w:r>
          </w:p>
        </w:tc>
        <w:tc>
          <w:tcPr>
            <w:tcW w:w="4678" w:type="dxa"/>
            <w:shd w:val="clear" w:color="auto" w:fill="auto"/>
          </w:tcPr>
          <w:p w14:paraId="3CD6A062" w14:textId="77777777" w:rsidR="00AA297E" w:rsidRPr="00B46409" w:rsidRDefault="00AA297E" w:rsidP="005A428D">
            <w:pPr>
              <w:ind w:firstLine="0"/>
              <w:rPr>
                <w:rFonts w:cs="Times New Roman"/>
                <w:bCs/>
                <w:szCs w:val="24"/>
              </w:rPr>
            </w:pPr>
            <w:r w:rsidRPr="00B46409">
              <w:rPr>
                <w:rFonts w:eastAsiaTheme="majorEastAsia" w:cs="Times New Roman"/>
                <w:bCs/>
                <w:szCs w:val="24"/>
              </w:rPr>
              <w:t>5000 МЕ 1 раз в день, п/к</w:t>
            </w:r>
          </w:p>
        </w:tc>
      </w:tr>
      <w:tr w:rsidR="00AA297E" w:rsidRPr="00B46409" w14:paraId="6CD6216C" w14:textId="77777777" w:rsidTr="005A428D">
        <w:trPr>
          <w:trHeight w:val="452"/>
        </w:trPr>
        <w:tc>
          <w:tcPr>
            <w:tcW w:w="3998" w:type="dxa"/>
            <w:shd w:val="clear" w:color="auto" w:fill="auto"/>
          </w:tcPr>
          <w:p w14:paraId="24CA3232" w14:textId="77777777" w:rsidR="00AA297E" w:rsidRPr="00B46409" w:rsidRDefault="00AA297E" w:rsidP="005A428D">
            <w:pPr>
              <w:ind w:firstLine="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14:paraId="7BF47915" w14:textId="77777777" w:rsidR="00AA297E" w:rsidRPr="00B46409" w:rsidRDefault="00AA297E" w:rsidP="005A428D">
            <w:pPr>
              <w:ind w:firstLine="0"/>
              <w:rPr>
                <w:rFonts w:cs="Times New Roman"/>
                <w:bCs/>
                <w:szCs w:val="24"/>
              </w:rPr>
            </w:pPr>
            <w:r w:rsidRPr="00B46409">
              <w:rPr>
                <w:rFonts w:eastAsiaTheme="majorEastAsia" w:cs="Times New Roman"/>
                <w:bCs/>
                <w:szCs w:val="24"/>
              </w:rPr>
              <w:t>0,4 мл 1 раз в день, п/к</w:t>
            </w:r>
          </w:p>
        </w:tc>
      </w:tr>
      <w:tr w:rsidR="00AA297E" w:rsidRPr="00B46409" w14:paraId="65660570" w14:textId="77777777" w:rsidTr="005A428D">
        <w:trPr>
          <w:trHeight w:val="452"/>
        </w:trPr>
        <w:tc>
          <w:tcPr>
            <w:tcW w:w="3998" w:type="dxa"/>
            <w:shd w:val="clear" w:color="auto" w:fill="auto"/>
          </w:tcPr>
          <w:p w14:paraId="6DCD23BE" w14:textId="77777777" w:rsidR="00AA297E" w:rsidRPr="00B46409" w:rsidRDefault="00AA297E" w:rsidP="005A428D">
            <w:pPr>
              <w:ind w:firstLine="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71E1256F" w14:textId="77777777" w:rsidR="00AA297E" w:rsidRPr="00B46409" w:rsidRDefault="00AA297E" w:rsidP="005A428D">
            <w:pPr>
              <w:ind w:firstLine="0"/>
              <w:rPr>
                <w:rFonts w:cs="Times New Roman"/>
                <w:bCs/>
                <w:szCs w:val="24"/>
              </w:rPr>
            </w:pPr>
            <w:r w:rsidRPr="00B46409">
              <w:rPr>
                <w:rFonts w:eastAsiaTheme="majorEastAsia" w:cs="Times New Roman"/>
                <w:bCs/>
                <w:szCs w:val="24"/>
              </w:rPr>
              <w:t>0,3 мл 1 раз в день, п/к</w:t>
            </w:r>
          </w:p>
        </w:tc>
      </w:tr>
      <w:tr w:rsidR="00AA297E" w:rsidRPr="00B46409" w14:paraId="7EED9901" w14:textId="77777777" w:rsidTr="005A428D">
        <w:trPr>
          <w:trHeight w:val="452"/>
        </w:trPr>
        <w:tc>
          <w:tcPr>
            <w:tcW w:w="3998" w:type="dxa"/>
            <w:shd w:val="clear" w:color="auto" w:fill="auto"/>
          </w:tcPr>
          <w:p w14:paraId="15EB8C1B" w14:textId="77777777" w:rsidR="00AA297E" w:rsidRPr="00B46409" w:rsidRDefault="00AA297E" w:rsidP="005A428D">
            <w:pPr>
              <w:ind w:firstLine="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086AA94D" w14:textId="77777777" w:rsidR="00AA297E" w:rsidRPr="00B46409" w:rsidRDefault="00AA297E" w:rsidP="005A428D">
            <w:pPr>
              <w:ind w:firstLine="0"/>
              <w:rPr>
                <w:rFonts w:cs="Times New Roman"/>
                <w:bCs/>
                <w:szCs w:val="24"/>
              </w:rPr>
            </w:pPr>
            <w:r w:rsidRPr="00B46409">
              <w:rPr>
                <w:rFonts w:eastAsiaTheme="majorEastAsia" w:cs="Times New Roman"/>
                <w:bCs/>
                <w:szCs w:val="24"/>
              </w:rPr>
              <w:t>2,5 мг 1 раз в день, п/к</w:t>
            </w:r>
          </w:p>
        </w:tc>
      </w:tr>
      <w:tr w:rsidR="00AA297E" w:rsidRPr="00B46409" w14:paraId="696B12F6" w14:textId="77777777" w:rsidTr="005A428D">
        <w:trPr>
          <w:trHeight w:val="452"/>
        </w:trPr>
        <w:tc>
          <w:tcPr>
            <w:tcW w:w="3998" w:type="dxa"/>
            <w:shd w:val="clear" w:color="auto" w:fill="auto"/>
          </w:tcPr>
          <w:p w14:paraId="7C13B7BE"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14:paraId="1B7CE1F2"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20F4C660"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AA297E" w:rsidRPr="00B46409" w14:paraId="51F9B8E6" w14:textId="77777777" w:rsidTr="005A428D">
        <w:trPr>
          <w:trHeight w:val="452"/>
        </w:trPr>
        <w:tc>
          <w:tcPr>
            <w:tcW w:w="3998" w:type="dxa"/>
            <w:shd w:val="clear" w:color="auto" w:fill="auto"/>
          </w:tcPr>
          <w:p w14:paraId="4BC34926"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4678" w:type="dxa"/>
            <w:shd w:val="clear" w:color="auto" w:fill="auto"/>
          </w:tcPr>
          <w:p w14:paraId="1DDA1238" w14:textId="77777777" w:rsidR="00AA297E" w:rsidRPr="00A4634E" w:rsidRDefault="00AA297E" w:rsidP="005A428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AA297E" w:rsidRPr="00B46409" w14:paraId="265FF33B" w14:textId="77777777" w:rsidTr="005A428D">
        <w:trPr>
          <w:trHeight w:val="452"/>
        </w:trPr>
        <w:tc>
          <w:tcPr>
            <w:tcW w:w="3998" w:type="dxa"/>
            <w:shd w:val="clear" w:color="auto" w:fill="auto"/>
          </w:tcPr>
          <w:p w14:paraId="74371F20"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14:paraId="01B20B16" w14:textId="77777777" w:rsidR="00AA297E" w:rsidRPr="00A4634E" w:rsidRDefault="00AA297E" w:rsidP="005A428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AA297E" w:rsidRPr="00B46409" w14:paraId="067E6DD4" w14:textId="77777777" w:rsidTr="005A428D">
        <w:trPr>
          <w:trHeight w:val="452"/>
        </w:trPr>
        <w:tc>
          <w:tcPr>
            <w:tcW w:w="3998" w:type="dxa"/>
            <w:shd w:val="clear" w:color="auto" w:fill="auto"/>
          </w:tcPr>
          <w:p w14:paraId="4A02E6AB"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14:paraId="6C57FC7E" w14:textId="77777777" w:rsidR="00AA297E" w:rsidRPr="00A4634E" w:rsidRDefault="00AA297E" w:rsidP="005A428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3B4821D4" w14:textId="77777777" w:rsidR="00AA297E" w:rsidRDefault="00AA297E" w:rsidP="00AA297E">
      <w:pPr>
        <w:rPr>
          <w:b/>
          <w:bCs/>
          <w:szCs w:val="24"/>
        </w:rPr>
      </w:pPr>
    </w:p>
    <w:p w14:paraId="59468440" w14:textId="77777777" w:rsidR="00AA297E" w:rsidRPr="00A4634E" w:rsidRDefault="00AA297E" w:rsidP="00AA297E">
      <w:pPr>
        <w:ind w:firstLine="0"/>
        <w:rPr>
          <w:szCs w:val="24"/>
        </w:rPr>
      </w:pPr>
      <w:r w:rsidRPr="00A4634E">
        <w:rPr>
          <w:bCs/>
          <w:szCs w:val="24"/>
        </w:rPr>
        <w:t xml:space="preserve">Таблица </w:t>
      </w:r>
      <w:r>
        <w:rPr>
          <w:bCs/>
          <w:szCs w:val="24"/>
        </w:rPr>
        <w:t>2</w:t>
      </w:r>
      <w:r w:rsidRPr="00A4634E">
        <w:rPr>
          <w:bCs/>
          <w:szCs w:val="24"/>
        </w:rPr>
        <w:t xml:space="preserve">. Режимы антикоагулянтной терапии </w:t>
      </w:r>
      <w:r w:rsidRPr="00A4634E">
        <w:rPr>
          <w:bCs/>
          <w:iCs/>
          <w:szCs w:val="24"/>
        </w:rPr>
        <w:t xml:space="preserve">для лечения </w:t>
      </w:r>
      <w:r w:rsidRPr="00A4634E">
        <w:rPr>
          <w:bCs/>
          <w:szCs w:val="24"/>
        </w:rPr>
        <w:t>тромботических осложнений</w:t>
      </w:r>
    </w:p>
    <w:tbl>
      <w:tblPr>
        <w:tblStyle w:val="1f7"/>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73"/>
        <w:gridCol w:w="5103"/>
      </w:tblGrid>
      <w:tr w:rsidR="00AA297E" w:rsidRPr="00A4634E" w14:paraId="68EBAF01" w14:textId="77777777" w:rsidTr="005A428D">
        <w:trPr>
          <w:trHeight w:val="333"/>
        </w:trPr>
        <w:tc>
          <w:tcPr>
            <w:tcW w:w="3573" w:type="dxa"/>
            <w:shd w:val="clear" w:color="auto" w:fill="auto"/>
          </w:tcPr>
          <w:p w14:paraId="014C7AF9" w14:textId="77777777" w:rsidR="00AA297E" w:rsidRPr="00A4634E" w:rsidRDefault="00AA297E" w:rsidP="005A428D">
            <w:pPr>
              <w:ind w:firstLine="0"/>
              <w:jc w:val="center"/>
              <w:rPr>
                <w:rFonts w:eastAsia="Times New Roman" w:cs="Times New Roman"/>
                <w:szCs w:val="24"/>
                <w:lang w:eastAsia="ru-RU"/>
              </w:rPr>
            </w:pPr>
            <w:r>
              <w:rPr>
                <w:rFonts w:eastAsia="Times New Roman" w:cs="Times New Roman"/>
                <w:bCs/>
                <w:color w:val="000000" w:themeColor="text1" w:themeShade="BF"/>
                <w:kern w:val="2"/>
                <w:szCs w:val="24"/>
                <w:lang w:eastAsia="ru-RU"/>
              </w:rPr>
              <w:t>Препарат</w:t>
            </w:r>
          </w:p>
        </w:tc>
        <w:tc>
          <w:tcPr>
            <w:tcW w:w="5103" w:type="dxa"/>
            <w:shd w:val="clear" w:color="auto" w:fill="auto"/>
          </w:tcPr>
          <w:p w14:paraId="6E164F43" w14:textId="77777777" w:rsidR="00AA297E" w:rsidRPr="00A4634E" w:rsidRDefault="00AA297E" w:rsidP="005A428D">
            <w:pPr>
              <w:ind w:firstLine="0"/>
              <w:jc w:val="center"/>
              <w:rPr>
                <w:rFonts w:eastAsia="Times New Roman" w:cs="Times New Roman"/>
                <w:szCs w:val="24"/>
                <w:lang w:eastAsia="ru-RU"/>
              </w:rPr>
            </w:pPr>
            <w:r w:rsidRPr="00A4634E">
              <w:rPr>
                <w:rFonts w:eastAsia="Times New Roman" w:cs="Times New Roman"/>
                <w:bCs/>
                <w:color w:val="000000" w:themeColor="text1" w:themeShade="BF"/>
                <w:kern w:val="2"/>
                <w:szCs w:val="24"/>
                <w:lang w:eastAsia="ru-RU"/>
              </w:rPr>
              <w:t>Доза</w:t>
            </w:r>
          </w:p>
        </w:tc>
      </w:tr>
      <w:tr w:rsidR="00AA297E" w:rsidRPr="00A4634E" w14:paraId="113ADD09" w14:textId="77777777" w:rsidTr="005A428D">
        <w:trPr>
          <w:trHeight w:val="574"/>
        </w:trPr>
        <w:tc>
          <w:tcPr>
            <w:tcW w:w="3573" w:type="dxa"/>
            <w:shd w:val="clear" w:color="auto" w:fill="auto"/>
          </w:tcPr>
          <w:p w14:paraId="34A5B3DF"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Нефракционированный гепарин</w:t>
            </w:r>
          </w:p>
        </w:tc>
        <w:tc>
          <w:tcPr>
            <w:tcW w:w="5103" w:type="dxa"/>
            <w:shd w:val="clear" w:color="auto" w:fill="auto"/>
          </w:tcPr>
          <w:p w14:paraId="53F24B2D" w14:textId="77777777" w:rsidR="00AA297E" w:rsidRPr="00A4634E" w:rsidRDefault="00AA297E" w:rsidP="005A428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1000 МЕ/час 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AA297E" w:rsidRPr="00A4634E" w14:paraId="42415F5B" w14:textId="77777777" w:rsidTr="005A428D">
        <w:trPr>
          <w:trHeight w:val="574"/>
        </w:trPr>
        <w:tc>
          <w:tcPr>
            <w:tcW w:w="3573" w:type="dxa"/>
            <w:shd w:val="clear" w:color="auto" w:fill="auto"/>
          </w:tcPr>
          <w:p w14:paraId="1A3E5406"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Далтепарин натрия</w:t>
            </w:r>
          </w:p>
        </w:tc>
        <w:tc>
          <w:tcPr>
            <w:tcW w:w="5103" w:type="dxa"/>
            <w:shd w:val="clear" w:color="auto" w:fill="auto"/>
          </w:tcPr>
          <w:p w14:paraId="642A3508" w14:textId="77777777" w:rsidR="00AA297E" w:rsidRPr="00A4634E" w:rsidRDefault="00AA297E" w:rsidP="005A428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 xml:space="preserve">100 МЕ/кг каждые 12 ч или 200 МЕ/кг 1 раз в день, </w:t>
            </w:r>
            <w:r w:rsidRPr="00A4634E">
              <w:rPr>
                <w:rFonts w:eastAsia="Times New Roman" w:cs="Times New Roman"/>
                <w:bCs/>
                <w:color w:val="000000" w:themeColor="dark1" w:themeShade="BF"/>
                <w:kern w:val="2"/>
                <w:szCs w:val="24"/>
                <w:lang w:eastAsia="ru-RU"/>
              </w:rPr>
              <w:t>п/к</w:t>
            </w:r>
          </w:p>
        </w:tc>
      </w:tr>
      <w:tr w:rsidR="00AA297E" w:rsidRPr="00A4634E" w14:paraId="35AB97FB" w14:textId="77777777" w:rsidTr="005A428D">
        <w:trPr>
          <w:trHeight w:val="333"/>
        </w:trPr>
        <w:tc>
          <w:tcPr>
            <w:tcW w:w="3573" w:type="dxa"/>
            <w:shd w:val="clear" w:color="auto" w:fill="auto"/>
          </w:tcPr>
          <w:p w14:paraId="60F3EBAA"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lastRenderedPageBreak/>
              <w:t>Эноксапарин натрия</w:t>
            </w:r>
          </w:p>
        </w:tc>
        <w:tc>
          <w:tcPr>
            <w:tcW w:w="5103" w:type="dxa"/>
            <w:shd w:val="clear" w:color="auto" w:fill="auto"/>
          </w:tcPr>
          <w:p w14:paraId="08A4CF26"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100 МЕ/кг каждые 12 ч </w:t>
            </w:r>
            <w:r>
              <w:rPr>
                <w:rFonts w:eastAsia="Times New Roman" w:cs="Times New Roman"/>
                <w:bCs/>
                <w:color w:val="000000" w:themeColor="dark1" w:themeShade="BF"/>
                <w:kern w:val="2"/>
                <w:szCs w:val="24"/>
                <w:lang w:eastAsia="ru-RU"/>
              </w:rPr>
              <w:t>или</w:t>
            </w:r>
            <w:r w:rsidRPr="00A4634E">
              <w:rPr>
                <w:rFonts w:eastAsia="Times New Roman" w:cs="Times New Roman"/>
                <w:bCs/>
                <w:color w:val="000000" w:themeColor="dark1" w:themeShade="BF"/>
                <w:kern w:val="2"/>
                <w:szCs w:val="24"/>
                <w:lang w:eastAsia="ru-RU"/>
              </w:rPr>
              <w:t xml:space="preserve"> 1,5 мг/кг 1 раз в день, п/к</w:t>
            </w:r>
          </w:p>
        </w:tc>
      </w:tr>
      <w:tr w:rsidR="00AA297E" w:rsidRPr="00A4634E" w14:paraId="47A63432" w14:textId="77777777" w:rsidTr="005A428D">
        <w:trPr>
          <w:trHeight w:val="333"/>
        </w:trPr>
        <w:tc>
          <w:tcPr>
            <w:tcW w:w="3573" w:type="dxa"/>
            <w:shd w:val="clear" w:color="auto" w:fill="auto"/>
          </w:tcPr>
          <w:p w14:paraId="12F25459"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Надропарин кальция</w:t>
            </w:r>
          </w:p>
        </w:tc>
        <w:tc>
          <w:tcPr>
            <w:tcW w:w="5103" w:type="dxa"/>
            <w:shd w:val="clear" w:color="auto" w:fill="auto"/>
          </w:tcPr>
          <w:p w14:paraId="759A9DD7"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86 МЕ/кг х 2 раза в день, п/к</w:t>
            </w:r>
          </w:p>
        </w:tc>
      </w:tr>
      <w:tr w:rsidR="00AA297E" w:rsidRPr="00A4634E" w14:paraId="34C32F9F" w14:textId="77777777" w:rsidTr="005A428D">
        <w:trPr>
          <w:trHeight w:val="821"/>
        </w:trPr>
        <w:tc>
          <w:tcPr>
            <w:tcW w:w="3573" w:type="dxa"/>
            <w:shd w:val="clear" w:color="auto" w:fill="auto"/>
          </w:tcPr>
          <w:p w14:paraId="4E2D3C01"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Фондапаринукс натрия</w:t>
            </w:r>
          </w:p>
        </w:tc>
        <w:tc>
          <w:tcPr>
            <w:tcW w:w="5103" w:type="dxa"/>
            <w:shd w:val="clear" w:color="auto" w:fill="auto"/>
          </w:tcPr>
          <w:p w14:paraId="3863C409"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менее 50 кг: 5 мг 1 раз в день</w:t>
            </w:r>
            <w:r>
              <w:rPr>
                <w:rFonts w:eastAsia="Times New Roman" w:cs="Times New Roman"/>
                <w:bCs/>
                <w:color w:val="000000" w:themeColor="dark1" w:themeShade="BF"/>
                <w:kern w:val="2"/>
                <w:szCs w:val="24"/>
                <w:lang w:eastAsia="ru-RU"/>
              </w:rPr>
              <w:t>, п/к</w:t>
            </w:r>
          </w:p>
          <w:p w14:paraId="666466A8"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50—100 кг: 7,5 мг 1 раз в д</w:t>
            </w:r>
            <w:r>
              <w:rPr>
                <w:rFonts w:eastAsia="Times New Roman" w:cs="Times New Roman"/>
                <w:bCs/>
                <w:color w:val="000000" w:themeColor="dark1" w:themeShade="BF"/>
                <w:kern w:val="2"/>
                <w:szCs w:val="24"/>
                <w:lang w:eastAsia="ru-RU"/>
              </w:rPr>
              <w:t xml:space="preserve">ень, п/к                         </w:t>
            </w:r>
            <w:r w:rsidRPr="00A4634E">
              <w:rPr>
                <w:rFonts w:eastAsia="Times New Roman" w:cs="Times New Roman"/>
                <w:bCs/>
                <w:color w:val="000000" w:themeColor="dark1" w:themeShade="BF"/>
                <w:kern w:val="2"/>
                <w:szCs w:val="24"/>
                <w:lang w:eastAsia="ru-RU"/>
              </w:rPr>
              <w:t>более 100 кг: 10 мг 1 раз в день</w:t>
            </w:r>
            <w:r>
              <w:rPr>
                <w:rFonts w:eastAsia="Times New Roman" w:cs="Times New Roman"/>
                <w:bCs/>
                <w:color w:val="000000" w:themeColor="dark1" w:themeShade="BF"/>
                <w:kern w:val="2"/>
                <w:szCs w:val="24"/>
                <w:lang w:eastAsia="ru-RU"/>
              </w:rPr>
              <w:t>, п/к</w:t>
            </w:r>
          </w:p>
        </w:tc>
      </w:tr>
      <w:tr w:rsidR="00AA297E" w:rsidRPr="00A4634E" w14:paraId="62AA6890" w14:textId="77777777" w:rsidTr="005A428D">
        <w:trPr>
          <w:trHeight w:val="821"/>
        </w:trPr>
        <w:tc>
          <w:tcPr>
            <w:tcW w:w="3573" w:type="dxa"/>
            <w:shd w:val="clear" w:color="auto" w:fill="auto"/>
          </w:tcPr>
          <w:p w14:paraId="3F06B284"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5103" w:type="dxa"/>
            <w:shd w:val="clear" w:color="auto" w:fill="auto"/>
          </w:tcPr>
          <w:p w14:paraId="7EFB3DED"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целевые значения МНО: 2.0—3.0, </w:t>
            </w:r>
          </w:p>
          <w:p w14:paraId="0783B459"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AA297E" w:rsidRPr="00A4634E" w14:paraId="380A2A73" w14:textId="77777777" w:rsidTr="005A428D">
        <w:trPr>
          <w:trHeight w:val="387"/>
        </w:trPr>
        <w:tc>
          <w:tcPr>
            <w:tcW w:w="3573" w:type="dxa"/>
            <w:shd w:val="clear" w:color="auto" w:fill="auto"/>
          </w:tcPr>
          <w:p w14:paraId="3E7A38ED"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5103" w:type="dxa"/>
            <w:shd w:val="clear" w:color="auto" w:fill="auto"/>
          </w:tcPr>
          <w:p w14:paraId="71E6A30D"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 мг х 2 р/сутки в течение 21 дня, далее 20 мг утром, перорально</w:t>
            </w:r>
          </w:p>
        </w:tc>
      </w:tr>
      <w:tr w:rsidR="00AA297E" w:rsidRPr="00A4634E" w14:paraId="7D1B3A94" w14:textId="77777777" w:rsidTr="005A428D">
        <w:trPr>
          <w:trHeight w:val="333"/>
        </w:trPr>
        <w:tc>
          <w:tcPr>
            <w:tcW w:w="3573" w:type="dxa"/>
            <w:shd w:val="clear" w:color="auto" w:fill="auto"/>
          </w:tcPr>
          <w:p w14:paraId="790B5A03"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5103" w:type="dxa"/>
            <w:shd w:val="clear" w:color="auto" w:fill="auto"/>
          </w:tcPr>
          <w:p w14:paraId="438915EF"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 мг х 2 р/сутки, перорально</w:t>
            </w:r>
          </w:p>
        </w:tc>
      </w:tr>
      <w:tr w:rsidR="00AA297E" w:rsidRPr="00A4634E" w14:paraId="7FFED76D" w14:textId="77777777" w:rsidTr="005A428D">
        <w:trPr>
          <w:trHeight w:val="333"/>
        </w:trPr>
        <w:tc>
          <w:tcPr>
            <w:tcW w:w="3573" w:type="dxa"/>
            <w:shd w:val="clear" w:color="auto" w:fill="auto"/>
          </w:tcPr>
          <w:p w14:paraId="18A327EB"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5103" w:type="dxa"/>
            <w:shd w:val="clear" w:color="auto" w:fill="auto"/>
          </w:tcPr>
          <w:p w14:paraId="463F286E" w14:textId="77777777" w:rsidR="00AA297E" w:rsidRPr="00A4634E" w:rsidRDefault="00AA297E" w:rsidP="005A428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150 мг х 2р/сутки, перорально</w:t>
            </w:r>
          </w:p>
        </w:tc>
      </w:tr>
    </w:tbl>
    <w:p w14:paraId="6E9B7E22" w14:textId="77777777" w:rsidR="00AA297E" w:rsidRDefault="00AA297E" w:rsidP="00AA297E">
      <w:pPr>
        <w:rPr>
          <w:szCs w:val="24"/>
        </w:rPr>
      </w:pPr>
    </w:p>
    <w:p w14:paraId="5E42E333" w14:textId="77777777" w:rsidR="00AA297E" w:rsidRDefault="00AA297E" w:rsidP="00AA297E">
      <w:pPr>
        <w:ind w:firstLine="360"/>
        <w:rPr>
          <w:rFonts w:eastAsia="Times New Roman"/>
          <w:szCs w:val="24"/>
          <w:lang w:eastAsia="ru-RU"/>
        </w:rPr>
      </w:pPr>
    </w:p>
    <w:p w14:paraId="4712F750" w14:textId="77777777" w:rsidR="00AA297E" w:rsidRDefault="00AA297E" w:rsidP="00AA297E">
      <w:pPr>
        <w:rPr>
          <w:szCs w:val="24"/>
        </w:rPr>
      </w:pPr>
      <w:r>
        <w:rPr>
          <w:rFonts w:eastAsia="Times New Roman"/>
          <w:szCs w:val="24"/>
          <w:lang w:eastAsia="ru-RU"/>
        </w:rPr>
        <w:t>При длительной терапии НМГ рекомендуется мониторинг анти-Ха активности и коррекция дозы НМГ (при необходимости) один раз в месяц.</w:t>
      </w:r>
    </w:p>
    <w:p w14:paraId="3DA6A575" w14:textId="77777777" w:rsidR="00AA297E" w:rsidRDefault="00AA297E" w:rsidP="00AA297E">
      <w:pPr>
        <w:rPr>
          <w:rFonts w:eastAsia="Times New Roman"/>
          <w:szCs w:val="24"/>
          <w:lang w:eastAsia="ru-RU"/>
        </w:rPr>
      </w:pPr>
      <w:r>
        <w:rPr>
          <w:szCs w:val="24"/>
        </w:rPr>
        <w:t xml:space="preserve">Мониторинг анти-Ха активности абсолютно необходим в случае рецидивирующего тромбоза при использовании терапевтических доз НМГ или у пациентов с почечной недостаточностью. </w:t>
      </w:r>
      <w:r>
        <w:rPr>
          <w:rFonts w:eastAsia="Times New Roman"/>
          <w:szCs w:val="24"/>
          <w:lang w:eastAsia="ru-RU"/>
        </w:rPr>
        <w:t>Больным с нарушением функции почек рекомендуется коррекция дозы НМГ и мониторинг анти-Ха активности с частотой один раз в неделю. Для больных с клинически выраженной почечной недостаточностью (клиренс креатинина &lt;30 мл/мин) дозу НМГ корректируют таким образом, чтобы она соответствовала уровню анти-Ха 0,2</w:t>
      </w:r>
      <w:r>
        <w:rPr>
          <w:i/>
          <w:szCs w:val="24"/>
        </w:rPr>
        <w:t>—</w:t>
      </w:r>
      <w:r>
        <w:rPr>
          <w:rFonts w:eastAsia="Times New Roman"/>
          <w:szCs w:val="24"/>
          <w:lang w:eastAsia="ru-RU"/>
        </w:rPr>
        <w:t xml:space="preserve">0,3 </w:t>
      </w:r>
      <w:r>
        <w:rPr>
          <w:szCs w:val="24"/>
        </w:rPr>
        <w:t>анти-</w:t>
      </w:r>
      <w:r>
        <w:rPr>
          <w:szCs w:val="24"/>
          <w:lang w:val="en-US"/>
        </w:rPr>
        <w:t>Xa</w:t>
      </w:r>
      <w:r>
        <w:rPr>
          <w:szCs w:val="24"/>
        </w:rPr>
        <w:t xml:space="preserve"> МЕ</w:t>
      </w:r>
      <w:r>
        <w:rPr>
          <w:rFonts w:eastAsia="Times New Roman"/>
          <w:szCs w:val="24"/>
          <w:lang w:eastAsia="ru-RU"/>
        </w:rPr>
        <w:t xml:space="preserve">/мл. </w:t>
      </w:r>
    </w:p>
    <w:p w14:paraId="3D265AD6" w14:textId="77777777" w:rsidR="00AA297E" w:rsidRDefault="00AA297E" w:rsidP="00AA297E">
      <w:pPr>
        <w:rPr>
          <w:szCs w:val="24"/>
        </w:rPr>
      </w:pPr>
      <w:r>
        <w:rPr>
          <w:szCs w:val="24"/>
        </w:rPr>
        <w:t>Для выявления возможного накопления НМГ после нескольких введений следует проанализировать анти-Ха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03779BB6" w14:textId="77777777" w:rsidR="00AA297E" w:rsidRDefault="00AA297E" w:rsidP="00AA297E">
      <w:pPr>
        <w:rPr>
          <w:szCs w:val="24"/>
        </w:rPr>
      </w:pPr>
      <w:r>
        <w:rPr>
          <w:szCs w:val="24"/>
        </w:rPr>
        <w:t>Коррекция дозы НМГ у онкогематологических пациентов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1E9D5209" w14:textId="77777777" w:rsidR="00AA297E" w:rsidRDefault="00AA297E" w:rsidP="00AA297E">
      <w:pPr>
        <w:rPr>
          <w:rFonts w:eastAsia="Times New Roman"/>
          <w:szCs w:val="24"/>
          <w:lang w:eastAsia="ru-RU"/>
        </w:rPr>
      </w:pPr>
      <w:r>
        <w:rPr>
          <w:rFonts w:eastAsia="Times New Roman"/>
          <w:szCs w:val="24"/>
          <w:lang w:eastAsia="ru-RU"/>
        </w:rPr>
        <w:lastRenderedPageBreak/>
        <w:t xml:space="preserve">В отдельных случаях тромбозов, а также при ГИТ </w:t>
      </w:r>
      <w:r>
        <w:rPr>
          <w:rFonts w:eastAsia="Times New Roman"/>
          <w:szCs w:val="24"/>
          <w:lang w:val="en-US" w:eastAsia="ru-RU"/>
        </w:rPr>
        <w:t>II</w:t>
      </w:r>
      <w:r>
        <w:rPr>
          <w:rFonts w:eastAsia="Times New Roman"/>
          <w:szCs w:val="24"/>
          <w:lang w:eastAsia="ru-RU"/>
        </w:rPr>
        <w:t xml:space="preserve"> применяется фондапаринукс 5 мг подкожно (п/к) 1 раз в день при весе пациента более 50кг. При весе пациента 75 кг и более фондапаринукс вводится в дозе 7,5 мг.</w:t>
      </w:r>
    </w:p>
    <w:p w14:paraId="1460F099" w14:textId="1FA1D1A3" w:rsidR="00AA297E" w:rsidRDefault="00AA297E" w:rsidP="00AA297E">
      <w:pPr>
        <w:rPr>
          <w:rFonts w:eastAsia="Times New Roman"/>
          <w:szCs w:val="24"/>
          <w:lang w:eastAsia="ru-RU"/>
        </w:rPr>
      </w:pPr>
      <w:r>
        <w:rPr>
          <w:rFonts w:eastAsia="Times New Roman"/>
          <w:szCs w:val="24"/>
          <w:lang w:eastAsia="ru-RU"/>
        </w:rPr>
        <w:t>Прямые оральные антикоагулянты (ПОАК)</w:t>
      </w:r>
      <w:r>
        <w:rPr>
          <w:rFonts w:eastAsia="Times New Roman"/>
          <w:szCs w:val="24"/>
          <w:lang w:val="en-US" w:eastAsia="ru-RU"/>
        </w:rPr>
        <w:t xml:space="preserve"> </w:t>
      </w:r>
      <w:r>
        <w:rPr>
          <w:szCs w:val="24"/>
        </w:rPr>
        <w:fldChar w:fldCharType="begin" w:fldLock="1"/>
      </w:r>
      <w:r w:rsidR="004F1D40">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[52]","plainTextFormattedCitation":"[52]","previouslyFormattedCitation":"[52]"},"properties":{"noteIndex":0},"schema":"https://github.com/citation-style-language/schema/raw/master/csl-citation.json"}</w:instrText>
      </w:r>
      <w:r>
        <w:rPr>
          <w:szCs w:val="24"/>
        </w:rPr>
        <w:fldChar w:fldCharType="separate"/>
      </w:r>
      <w:r w:rsidRPr="00AA297E">
        <w:rPr>
          <w:noProof/>
          <w:szCs w:val="24"/>
        </w:rPr>
        <w:t>[52]</w:t>
      </w:r>
      <w:r>
        <w:rPr>
          <w:szCs w:val="24"/>
        </w:rPr>
        <w:fldChar w:fldCharType="end"/>
      </w:r>
      <w:r>
        <w:rPr>
          <w:rFonts w:eastAsia="Times New Roman"/>
          <w:szCs w:val="24"/>
          <w:lang w:eastAsia="ru-RU"/>
        </w:rPr>
        <w:t xml:space="preserve">: </w:t>
      </w:r>
    </w:p>
    <w:p w14:paraId="65FAE270" w14:textId="77777777" w:rsidR="00AA297E" w:rsidRPr="00C83EC0" w:rsidRDefault="00AA297E" w:rsidP="00D22A46">
      <w:pPr>
        <w:pStyle w:val="afe"/>
        <w:numPr>
          <w:ilvl w:val="0"/>
          <w:numId w:val="55"/>
        </w:numPr>
        <w:ind w:left="1134"/>
        <w:contextualSpacing w:val="0"/>
        <w:rPr>
          <w:szCs w:val="24"/>
        </w:rPr>
      </w:pPr>
      <w:r w:rsidRPr="00C83EC0">
        <w:rPr>
          <w:szCs w:val="24"/>
        </w:rPr>
        <w:t>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64CDE01E" w14:textId="77777777" w:rsidR="00AA297E" w:rsidRPr="00C83EC0" w:rsidRDefault="00AA297E" w:rsidP="00D22A46">
      <w:pPr>
        <w:pStyle w:val="afe"/>
        <w:numPr>
          <w:ilvl w:val="0"/>
          <w:numId w:val="55"/>
        </w:numPr>
        <w:ind w:left="1134"/>
        <w:contextualSpacing w:val="0"/>
        <w:rPr>
          <w:rFonts w:eastAsia="Times New Roman"/>
          <w:szCs w:val="24"/>
          <w:lang w:eastAsia="ru-RU"/>
        </w:rPr>
      </w:pPr>
      <w:r w:rsidRPr="00C83EC0">
        <w:rPr>
          <w:rFonts w:eastAsia="Times New Roman"/>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C83EC0">
        <w:rPr>
          <w:i/>
          <w:szCs w:val="24"/>
        </w:rPr>
        <w:t>—</w:t>
      </w:r>
      <w:r w:rsidRPr="00C83EC0">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491BBB49" w14:textId="77777777" w:rsidR="00AA297E" w:rsidRPr="00C83EC0" w:rsidRDefault="00AA297E" w:rsidP="00D22A46">
      <w:pPr>
        <w:pStyle w:val="afe"/>
        <w:numPr>
          <w:ilvl w:val="0"/>
          <w:numId w:val="55"/>
        </w:numPr>
        <w:ind w:left="1134"/>
        <w:contextualSpacing w:val="0"/>
        <w:rPr>
          <w:rFonts w:eastAsia="Times New Roman"/>
          <w:szCs w:val="24"/>
          <w:lang w:eastAsia="ru-RU"/>
        </w:rPr>
      </w:pPr>
      <w:r w:rsidRPr="00C83EC0">
        <w:rPr>
          <w:rFonts w:eastAsia="Times New Roman"/>
          <w:szCs w:val="24"/>
          <w:lang w:eastAsia="ru-RU"/>
        </w:rPr>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47ECB7EF" w14:textId="77777777" w:rsidR="00AA297E" w:rsidRPr="00C83EC0" w:rsidRDefault="00AA297E" w:rsidP="00D22A46">
      <w:pPr>
        <w:pStyle w:val="afe"/>
        <w:numPr>
          <w:ilvl w:val="0"/>
          <w:numId w:val="55"/>
        </w:numPr>
        <w:ind w:left="1134"/>
        <w:contextualSpacing w:val="0"/>
        <w:rPr>
          <w:rFonts w:eastAsia="Times New Roman"/>
          <w:szCs w:val="24"/>
          <w:lang w:eastAsia="ru-RU"/>
        </w:rPr>
      </w:pPr>
      <w:r w:rsidRPr="00C83EC0">
        <w:rPr>
          <w:rFonts w:eastAsia="Times New Roman"/>
          <w:szCs w:val="24"/>
          <w:lang w:eastAsia="ru-RU"/>
        </w:rPr>
        <w:t>сулодексид 250 ЛЕ х 2 раза в день.</w:t>
      </w:r>
    </w:p>
    <w:p w14:paraId="5F59328D" w14:textId="77777777" w:rsidR="00AA297E" w:rsidRDefault="00AA297E" w:rsidP="00AA297E">
      <w:pPr>
        <w:rPr>
          <w:szCs w:val="24"/>
        </w:rPr>
      </w:pPr>
      <w:r>
        <w:rPr>
          <w:rFonts w:eastAsia="Times New Roman"/>
          <w:szCs w:val="24"/>
          <w:lang w:eastAsia="ru-RU"/>
        </w:rPr>
        <w:t xml:space="preserve">Антагонист витамина К (АВК)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3. В дальнейшем лабораторный контроль проводят регулярно каждые 4-8 недель.</w:t>
      </w:r>
    </w:p>
    <w:p w14:paraId="7BF5262F" w14:textId="77777777" w:rsidR="00AA297E" w:rsidRDefault="00AA297E" w:rsidP="00AA297E">
      <w:pPr>
        <w:ind w:firstLine="708"/>
        <w:rPr>
          <w:szCs w:val="24"/>
        </w:rPr>
      </w:pPr>
    </w:p>
    <w:p w14:paraId="06C6C68C" w14:textId="77777777" w:rsidR="00AA297E" w:rsidRPr="00B46409" w:rsidRDefault="00AA297E" w:rsidP="00AA297E">
      <w:pPr>
        <w:ind w:firstLine="0"/>
        <w:rPr>
          <w:szCs w:val="24"/>
        </w:rPr>
      </w:pPr>
      <w:r w:rsidRPr="00B46409">
        <w:rPr>
          <w:szCs w:val="24"/>
        </w:rPr>
        <w:t xml:space="preserve">Таблица </w:t>
      </w:r>
      <w:r>
        <w:rPr>
          <w:szCs w:val="24"/>
        </w:rPr>
        <w:t>3</w:t>
      </w:r>
      <w:r w:rsidRPr="00B46409">
        <w:rPr>
          <w:szCs w:val="24"/>
        </w:rPr>
        <w:t xml:space="preserve">. </w:t>
      </w:r>
      <w:r w:rsidRPr="00B46409">
        <w:rPr>
          <w:bCs/>
          <w:szCs w:val="24"/>
        </w:rPr>
        <w:t>Коррекция дозы варфарина в зависимости от МНО</w:t>
      </w:r>
    </w:p>
    <w:tbl>
      <w:tblPr>
        <w:tblStyle w:val="1f7"/>
        <w:tblW w:w="89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AA297E" w14:paraId="7114092F" w14:textId="77777777" w:rsidTr="005A428D">
        <w:trPr>
          <w:trHeight w:val="374"/>
        </w:trPr>
        <w:tc>
          <w:tcPr>
            <w:tcW w:w="4394" w:type="dxa"/>
            <w:shd w:val="clear" w:color="auto" w:fill="auto"/>
          </w:tcPr>
          <w:p w14:paraId="12BBAAE0" w14:textId="77777777" w:rsidR="00AA297E" w:rsidRPr="007C4816" w:rsidRDefault="00AA297E" w:rsidP="005A428D">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14:paraId="449707D3" w14:textId="77777777" w:rsidR="00AA297E" w:rsidRPr="007C4816" w:rsidRDefault="00AA297E" w:rsidP="005A428D">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AA297E" w14:paraId="71D34C36" w14:textId="77777777" w:rsidTr="005A428D">
        <w:trPr>
          <w:trHeight w:val="714"/>
        </w:trPr>
        <w:tc>
          <w:tcPr>
            <w:tcW w:w="4394" w:type="dxa"/>
            <w:shd w:val="clear" w:color="auto" w:fill="auto"/>
          </w:tcPr>
          <w:p w14:paraId="28B1409E" w14:textId="77777777" w:rsidR="00AA297E" w:rsidRPr="007C4816" w:rsidRDefault="00AA297E" w:rsidP="005A428D">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3308C0A5" w14:textId="77777777" w:rsidR="00AA297E" w:rsidRPr="007C4816" w:rsidRDefault="00AA297E" w:rsidP="005A428D">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AA297E" w14:paraId="498159E6" w14:textId="77777777" w:rsidTr="005A428D">
        <w:trPr>
          <w:trHeight w:val="515"/>
        </w:trPr>
        <w:tc>
          <w:tcPr>
            <w:tcW w:w="4394" w:type="dxa"/>
            <w:shd w:val="clear" w:color="auto" w:fill="auto"/>
          </w:tcPr>
          <w:p w14:paraId="521F9E64" w14:textId="77777777" w:rsidR="00AA297E" w:rsidRPr="007C4816" w:rsidRDefault="00AA297E" w:rsidP="005A428D">
            <w:pPr>
              <w:ind w:firstLine="0"/>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220C3606" w14:textId="77777777" w:rsidR="00AA297E" w:rsidRPr="007C4816" w:rsidRDefault="00AA297E" w:rsidP="005A428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AA297E" w14:paraId="5BE1BE8C" w14:textId="77777777" w:rsidTr="005A428D">
        <w:trPr>
          <w:trHeight w:val="539"/>
        </w:trPr>
        <w:tc>
          <w:tcPr>
            <w:tcW w:w="4394" w:type="dxa"/>
            <w:shd w:val="clear" w:color="auto" w:fill="auto"/>
          </w:tcPr>
          <w:p w14:paraId="02629E9B" w14:textId="77777777" w:rsidR="00AA297E" w:rsidRPr="007C4816" w:rsidRDefault="00AA297E" w:rsidP="005A428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1C6B4FD1" w14:textId="77777777" w:rsidR="00AA297E" w:rsidRPr="007C4816" w:rsidRDefault="00AA297E" w:rsidP="005A428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AA297E" w14:paraId="176DFAD3" w14:textId="77777777" w:rsidTr="005A428D">
        <w:trPr>
          <w:trHeight w:val="437"/>
        </w:trPr>
        <w:tc>
          <w:tcPr>
            <w:tcW w:w="4394" w:type="dxa"/>
            <w:shd w:val="clear" w:color="auto" w:fill="auto"/>
          </w:tcPr>
          <w:p w14:paraId="7E57E57C" w14:textId="77777777" w:rsidR="00AA297E" w:rsidRPr="007C4816" w:rsidRDefault="00AA297E" w:rsidP="005A428D">
            <w:pPr>
              <w:ind w:firstLine="0"/>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0D0BC414" w14:textId="77777777" w:rsidR="00AA297E" w:rsidRPr="007C4816" w:rsidRDefault="00AA297E" w:rsidP="005A428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AA297E" w14:paraId="70087893" w14:textId="77777777" w:rsidTr="005A428D">
        <w:trPr>
          <w:trHeight w:val="565"/>
        </w:trPr>
        <w:tc>
          <w:tcPr>
            <w:tcW w:w="4394" w:type="dxa"/>
            <w:vMerge w:val="restart"/>
            <w:shd w:val="clear" w:color="auto" w:fill="auto"/>
          </w:tcPr>
          <w:p w14:paraId="713C3609" w14:textId="77777777" w:rsidR="00AA297E" w:rsidRPr="007C4816" w:rsidRDefault="00AA297E" w:rsidP="005A428D">
            <w:pPr>
              <w:ind w:firstLine="0"/>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2DF1D8C1" w14:textId="77777777" w:rsidR="00AA297E" w:rsidRPr="007C4816" w:rsidRDefault="00AA297E" w:rsidP="005A428D">
            <w:pPr>
              <w:ind w:firstLine="0"/>
              <w:jc w:val="center"/>
              <w:rPr>
                <w:rFonts w:cs="Times New Roman"/>
                <w:szCs w:val="24"/>
              </w:rPr>
            </w:pPr>
          </w:p>
        </w:tc>
        <w:tc>
          <w:tcPr>
            <w:tcW w:w="4570" w:type="dxa"/>
            <w:shd w:val="clear" w:color="auto" w:fill="auto"/>
          </w:tcPr>
          <w:p w14:paraId="321523BB" w14:textId="77777777" w:rsidR="00AA297E" w:rsidRPr="007C4816" w:rsidRDefault="00AA297E" w:rsidP="005A428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AA297E" w14:paraId="18357BA0" w14:textId="77777777" w:rsidTr="005A428D">
        <w:trPr>
          <w:trHeight w:val="755"/>
        </w:trPr>
        <w:tc>
          <w:tcPr>
            <w:tcW w:w="4394" w:type="dxa"/>
            <w:vMerge/>
            <w:shd w:val="clear" w:color="auto" w:fill="auto"/>
          </w:tcPr>
          <w:p w14:paraId="10068FB9" w14:textId="77777777" w:rsidR="00AA297E" w:rsidRPr="007C4816" w:rsidRDefault="00AA297E" w:rsidP="005A428D">
            <w:pPr>
              <w:ind w:firstLine="0"/>
              <w:jc w:val="center"/>
              <w:rPr>
                <w:rFonts w:eastAsiaTheme="majorEastAsia" w:cs="Times New Roman"/>
                <w:bCs/>
                <w:szCs w:val="24"/>
              </w:rPr>
            </w:pPr>
          </w:p>
        </w:tc>
        <w:tc>
          <w:tcPr>
            <w:tcW w:w="4570" w:type="dxa"/>
            <w:shd w:val="clear" w:color="auto" w:fill="auto"/>
          </w:tcPr>
          <w:p w14:paraId="66C46A78" w14:textId="77777777" w:rsidR="00AA297E" w:rsidRPr="007C4816" w:rsidRDefault="00AA297E" w:rsidP="005A428D">
            <w:pPr>
              <w:ind w:firstLine="0"/>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14:paraId="56D47088" w14:textId="77777777" w:rsidR="00AA297E" w:rsidRDefault="00AA297E" w:rsidP="00AA297E">
      <w:pPr>
        <w:rPr>
          <w:strike/>
          <w:szCs w:val="24"/>
        </w:rPr>
      </w:pPr>
    </w:p>
    <w:p w14:paraId="2EEDEF38" w14:textId="77777777" w:rsidR="00AA297E" w:rsidRDefault="00AA297E" w:rsidP="00AA297E">
      <w:pPr>
        <w:rPr>
          <w:rFonts w:eastAsia="Times New Roman"/>
          <w:szCs w:val="24"/>
          <w:lang w:eastAsia="ru-RU"/>
        </w:rPr>
      </w:pPr>
      <w:r>
        <w:rPr>
          <w:rFonts w:eastAsia="Times New Roman"/>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78FEFAB3" w14:textId="77777777" w:rsidR="00AA297E" w:rsidRDefault="00AA297E" w:rsidP="00AA297E">
      <w:pPr>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68E4B08B" w14:textId="77777777" w:rsidR="00AA297E" w:rsidRDefault="00AA297E" w:rsidP="00D22A46">
      <w:pPr>
        <w:pStyle w:val="afe"/>
        <w:numPr>
          <w:ilvl w:val="0"/>
          <w:numId w:val="46"/>
        </w:numPr>
        <w:ind w:left="1134"/>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2855A6BB" w14:textId="77777777" w:rsidR="00AA297E" w:rsidRDefault="00AA297E" w:rsidP="00D22A46">
      <w:pPr>
        <w:pStyle w:val="afe"/>
        <w:numPr>
          <w:ilvl w:val="0"/>
          <w:numId w:val="46"/>
        </w:numPr>
        <w:ind w:left="1134"/>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14:paraId="78EA0C6D" w14:textId="77777777" w:rsidR="00AA297E" w:rsidRDefault="00AA297E" w:rsidP="00AA297E">
      <w:pPr>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14:paraId="45EBB027" w14:textId="77777777" w:rsidR="00AA297E" w:rsidRDefault="00AA297E" w:rsidP="00AA297E">
      <w:pPr>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7DD19A10" w14:textId="77777777" w:rsidR="00AA297E" w:rsidRDefault="00AA297E" w:rsidP="00D22A46">
      <w:pPr>
        <w:pStyle w:val="afe"/>
        <w:numPr>
          <w:ilvl w:val="0"/>
          <w:numId w:val="47"/>
        </w:numPr>
        <w:ind w:left="1134"/>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14:paraId="6D10461B" w14:textId="77777777" w:rsidR="00AA297E" w:rsidRDefault="00AA297E" w:rsidP="00D22A46">
      <w:pPr>
        <w:pStyle w:val="afe"/>
        <w:numPr>
          <w:ilvl w:val="0"/>
          <w:numId w:val="47"/>
        </w:numPr>
        <w:ind w:left="1134"/>
        <w:rPr>
          <w:szCs w:val="24"/>
        </w:rPr>
      </w:pPr>
      <w:r>
        <w:rPr>
          <w:szCs w:val="24"/>
        </w:rPr>
        <w:t>для апиксабана – выждать 12 часов с приема последней дозы и ввести парентеральный антикоагулянт.</w:t>
      </w:r>
    </w:p>
    <w:p w14:paraId="245E6209" w14:textId="77777777" w:rsidR="00AA297E" w:rsidRDefault="00AA297E" w:rsidP="00AA297E">
      <w:pPr>
        <w:ind w:firstLine="708"/>
        <w:rPr>
          <w:bCs/>
          <w:szCs w:val="24"/>
        </w:rPr>
      </w:pPr>
      <w:r>
        <w:rPr>
          <w:bCs/>
          <w:szCs w:val="24"/>
        </w:rPr>
        <w:t>Гематологическим пациентам с высоким риском тромботических осложнений необходимо обязательное проведение антитромботической профилактики в случае проведения хирургического вмешательства. Дозы и режимы лекарственных препаратов представлены в таблице 4.</w:t>
      </w:r>
    </w:p>
    <w:p w14:paraId="53E3C038" w14:textId="77777777" w:rsidR="00AA297E" w:rsidRDefault="00AA297E" w:rsidP="00AA297E">
      <w:pPr>
        <w:ind w:firstLine="0"/>
        <w:rPr>
          <w:bCs/>
          <w:szCs w:val="24"/>
        </w:rPr>
      </w:pPr>
    </w:p>
    <w:p w14:paraId="63521316" w14:textId="77777777" w:rsidR="00AA297E" w:rsidRPr="00B46409" w:rsidRDefault="00AA297E" w:rsidP="00AA297E">
      <w:pPr>
        <w:ind w:firstLine="0"/>
        <w:rPr>
          <w:bCs/>
          <w:szCs w:val="24"/>
        </w:rPr>
      </w:pPr>
      <w:r w:rsidRPr="00B46409">
        <w:rPr>
          <w:bCs/>
          <w:szCs w:val="24"/>
        </w:rPr>
        <w:t xml:space="preserve">Таблица </w:t>
      </w:r>
      <w:r>
        <w:rPr>
          <w:bCs/>
          <w:szCs w:val="24"/>
        </w:rPr>
        <w:t>4</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 при проведении хирургических вмешательств</w:t>
      </w:r>
    </w:p>
    <w:tbl>
      <w:tblPr>
        <w:tblStyle w:val="1f7"/>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58"/>
        <w:gridCol w:w="4680"/>
      </w:tblGrid>
      <w:tr w:rsidR="00AA297E" w:rsidRPr="00B46409" w14:paraId="22445318" w14:textId="77777777" w:rsidTr="005A428D">
        <w:trPr>
          <w:trHeight w:val="452"/>
        </w:trPr>
        <w:tc>
          <w:tcPr>
            <w:tcW w:w="3258" w:type="dxa"/>
            <w:shd w:val="clear" w:color="auto" w:fill="auto"/>
          </w:tcPr>
          <w:p w14:paraId="5EB31EAA" w14:textId="77777777" w:rsidR="00AA297E" w:rsidRPr="00B46409" w:rsidRDefault="00AA297E" w:rsidP="005A428D">
            <w:pPr>
              <w:ind w:firstLine="0"/>
              <w:rPr>
                <w:rFonts w:cs="Times New Roman"/>
                <w:bCs/>
                <w:szCs w:val="24"/>
              </w:rPr>
            </w:pPr>
            <w:r w:rsidRPr="00B46409">
              <w:rPr>
                <w:rFonts w:eastAsiaTheme="majorEastAsia" w:cs="Times New Roman"/>
                <w:bCs/>
                <w:szCs w:val="24"/>
              </w:rPr>
              <w:t>Нефракционированный гепарин</w:t>
            </w:r>
          </w:p>
        </w:tc>
        <w:tc>
          <w:tcPr>
            <w:tcW w:w="4680" w:type="dxa"/>
            <w:shd w:val="clear" w:color="auto" w:fill="auto"/>
          </w:tcPr>
          <w:p w14:paraId="18AC3A46" w14:textId="77777777" w:rsidR="00AA297E" w:rsidRPr="00B46409" w:rsidRDefault="00AA297E" w:rsidP="005A428D">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AA297E" w:rsidRPr="00B46409" w14:paraId="236375EE" w14:textId="77777777" w:rsidTr="005A428D">
        <w:trPr>
          <w:trHeight w:val="452"/>
        </w:trPr>
        <w:tc>
          <w:tcPr>
            <w:tcW w:w="3258" w:type="dxa"/>
            <w:shd w:val="clear" w:color="auto" w:fill="auto"/>
          </w:tcPr>
          <w:p w14:paraId="32347405" w14:textId="77777777" w:rsidR="00AA297E" w:rsidRPr="00B46409" w:rsidRDefault="00AA297E" w:rsidP="005A428D">
            <w:pPr>
              <w:ind w:firstLine="0"/>
              <w:rPr>
                <w:rFonts w:cs="Times New Roman"/>
                <w:bCs/>
                <w:szCs w:val="24"/>
              </w:rPr>
            </w:pPr>
            <w:r w:rsidRPr="00B46409">
              <w:rPr>
                <w:rFonts w:eastAsiaTheme="majorEastAsia" w:cs="Times New Roman"/>
                <w:bCs/>
                <w:szCs w:val="24"/>
              </w:rPr>
              <w:t>Далтепарин натрия</w:t>
            </w:r>
          </w:p>
        </w:tc>
        <w:tc>
          <w:tcPr>
            <w:tcW w:w="4680" w:type="dxa"/>
            <w:shd w:val="clear" w:color="auto" w:fill="auto"/>
          </w:tcPr>
          <w:p w14:paraId="2153B56A" w14:textId="77777777" w:rsidR="00AA297E" w:rsidRPr="00B46409" w:rsidRDefault="00AA297E" w:rsidP="005A428D">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AA297E" w:rsidRPr="00B46409" w14:paraId="76E43243" w14:textId="77777777" w:rsidTr="005A428D">
        <w:trPr>
          <w:trHeight w:val="561"/>
        </w:trPr>
        <w:tc>
          <w:tcPr>
            <w:tcW w:w="3258" w:type="dxa"/>
            <w:shd w:val="clear" w:color="auto" w:fill="auto"/>
          </w:tcPr>
          <w:p w14:paraId="39AFFDCF" w14:textId="77777777" w:rsidR="00AA297E" w:rsidRPr="00B46409" w:rsidRDefault="00AA297E" w:rsidP="005A428D">
            <w:pPr>
              <w:ind w:firstLine="0"/>
              <w:rPr>
                <w:rFonts w:cs="Times New Roman"/>
                <w:bCs/>
                <w:szCs w:val="24"/>
              </w:rPr>
            </w:pPr>
            <w:r w:rsidRPr="00B46409">
              <w:rPr>
                <w:rFonts w:eastAsiaTheme="majorEastAsia" w:cs="Times New Roman"/>
                <w:bCs/>
                <w:szCs w:val="24"/>
              </w:rPr>
              <w:t>Эноксапарин натрия</w:t>
            </w:r>
          </w:p>
        </w:tc>
        <w:tc>
          <w:tcPr>
            <w:tcW w:w="4680" w:type="dxa"/>
            <w:shd w:val="clear" w:color="auto" w:fill="auto"/>
          </w:tcPr>
          <w:p w14:paraId="2FA8B994" w14:textId="77777777" w:rsidR="00AA297E" w:rsidRPr="00B46409" w:rsidRDefault="00AA297E" w:rsidP="005A428D">
            <w:pPr>
              <w:ind w:firstLine="0"/>
              <w:rPr>
                <w:rFonts w:cs="Times New Roman"/>
                <w:bCs/>
                <w:szCs w:val="24"/>
              </w:rPr>
            </w:pPr>
            <w:r w:rsidRPr="00B46409">
              <w:rPr>
                <w:rFonts w:eastAsiaTheme="majorEastAsia" w:cs="Times New Roman"/>
                <w:bCs/>
                <w:szCs w:val="24"/>
              </w:rPr>
              <w:t>0,4 мл за 10—12 ч перед операцией и 0,4 мл 1 раз в день после, п/к</w:t>
            </w:r>
          </w:p>
        </w:tc>
      </w:tr>
      <w:tr w:rsidR="00AA297E" w:rsidRPr="00B46409" w14:paraId="689946A5" w14:textId="77777777" w:rsidTr="005A428D">
        <w:trPr>
          <w:trHeight w:val="452"/>
        </w:trPr>
        <w:tc>
          <w:tcPr>
            <w:tcW w:w="3258" w:type="dxa"/>
            <w:shd w:val="clear" w:color="auto" w:fill="auto"/>
          </w:tcPr>
          <w:p w14:paraId="2B6929D4" w14:textId="77777777" w:rsidR="00AA297E" w:rsidRPr="00B46409" w:rsidRDefault="00AA297E" w:rsidP="005A428D">
            <w:pPr>
              <w:ind w:firstLine="0"/>
              <w:rPr>
                <w:rFonts w:cs="Times New Roman"/>
                <w:bCs/>
                <w:szCs w:val="24"/>
              </w:rPr>
            </w:pPr>
            <w:r w:rsidRPr="00B46409">
              <w:rPr>
                <w:rFonts w:eastAsiaTheme="majorEastAsia" w:cs="Times New Roman"/>
                <w:bCs/>
                <w:szCs w:val="24"/>
              </w:rPr>
              <w:t>Надропарин кальция</w:t>
            </w:r>
          </w:p>
        </w:tc>
        <w:tc>
          <w:tcPr>
            <w:tcW w:w="4680" w:type="dxa"/>
            <w:shd w:val="clear" w:color="auto" w:fill="auto"/>
          </w:tcPr>
          <w:p w14:paraId="7C767CA8" w14:textId="77777777" w:rsidR="00AA297E" w:rsidRPr="00B46409" w:rsidRDefault="00AA297E" w:rsidP="005A428D">
            <w:pPr>
              <w:ind w:firstLine="0"/>
              <w:rPr>
                <w:rFonts w:cs="Times New Roman"/>
                <w:bCs/>
                <w:szCs w:val="24"/>
              </w:rPr>
            </w:pPr>
            <w:r w:rsidRPr="00B46409">
              <w:rPr>
                <w:rFonts w:eastAsiaTheme="majorEastAsia" w:cs="Times New Roman"/>
                <w:bCs/>
                <w:szCs w:val="24"/>
              </w:rPr>
              <w:t>0,3 мл за 10—12 ч перед операцией и 0,3 мл 1 раз в день после, п/к</w:t>
            </w:r>
          </w:p>
        </w:tc>
      </w:tr>
      <w:tr w:rsidR="00AA297E" w:rsidRPr="00B46409" w14:paraId="3D3F21D9" w14:textId="77777777" w:rsidTr="005A428D">
        <w:trPr>
          <w:trHeight w:val="780"/>
        </w:trPr>
        <w:tc>
          <w:tcPr>
            <w:tcW w:w="3258" w:type="dxa"/>
            <w:shd w:val="clear" w:color="auto" w:fill="auto"/>
          </w:tcPr>
          <w:p w14:paraId="5B380D78" w14:textId="77777777" w:rsidR="00AA297E" w:rsidRPr="00B46409" w:rsidRDefault="00AA297E" w:rsidP="005A428D">
            <w:pPr>
              <w:ind w:firstLine="0"/>
              <w:rPr>
                <w:rFonts w:cs="Times New Roman"/>
                <w:bCs/>
                <w:szCs w:val="24"/>
              </w:rPr>
            </w:pPr>
            <w:r w:rsidRPr="00B46409">
              <w:rPr>
                <w:rFonts w:eastAsiaTheme="majorEastAsia" w:cs="Times New Roman"/>
                <w:bCs/>
                <w:szCs w:val="24"/>
              </w:rPr>
              <w:t>Фондапаринукс натрия</w:t>
            </w:r>
          </w:p>
        </w:tc>
        <w:tc>
          <w:tcPr>
            <w:tcW w:w="4680" w:type="dxa"/>
            <w:shd w:val="clear" w:color="auto" w:fill="auto"/>
          </w:tcPr>
          <w:p w14:paraId="10699328" w14:textId="77777777" w:rsidR="00AA297E" w:rsidRPr="00B46409" w:rsidRDefault="00AA297E" w:rsidP="005A428D">
            <w:pPr>
              <w:ind w:firstLine="0"/>
              <w:rPr>
                <w:rFonts w:cs="Times New Roman"/>
                <w:bCs/>
                <w:szCs w:val="24"/>
              </w:rPr>
            </w:pPr>
            <w:r w:rsidRPr="00B46409">
              <w:rPr>
                <w:rFonts w:eastAsiaTheme="majorEastAsia" w:cs="Times New Roman"/>
                <w:bCs/>
                <w:szCs w:val="24"/>
              </w:rPr>
              <w:t>2,5 мг ежедневно 1 раз в день перед оперативным лечением и через 6—8 ч после, п/к</w:t>
            </w:r>
          </w:p>
        </w:tc>
      </w:tr>
    </w:tbl>
    <w:p w14:paraId="3A026423" w14:textId="77777777" w:rsidR="00AA297E" w:rsidRDefault="00AA297E" w:rsidP="00AA297E">
      <w:pPr>
        <w:rPr>
          <w:b/>
          <w:bCs/>
          <w:szCs w:val="24"/>
        </w:rPr>
      </w:pPr>
    </w:p>
    <w:p w14:paraId="08C8788C" w14:textId="77777777" w:rsidR="00AA297E" w:rsidRPr="00C14067" w:rsidRDefault="00AA297E" w:rsidP="00AA297E">
      <w:pPr>
        <w:rPr>
          <w:rFonts w:eastAsia="Times New Roman"/>
          <w:szCs w:val="24"/>
          <w:lang w:eastAsia="ru-RU"/>
        </w:rPr>
      </w:pPr>
      <w:r>
        <w:rPr>
          <w:rFonts w:eastAsia="Times New Roman"/>
          <w:szCs w:val="24"/>
          <w:lang w:eastAsia="ru-RU"/>
        </w:rPr>
        <w:t>Длительность терапии определяется причиной, видом и локализацией тромботического осложнения. Обязательно учитываются данные анамнеза пациента по предшествующим тромботическим событиям. В некоторых ситуациях антикоагулянтная терапия проводится пожизненно.</w:t>
      </w:r>
    </w:p>
    <w:p w14:paraId="0DC54092" w14:textId="77777777" w:rsidR="00AA297E" w:rsidRDefault="00AA297E" w:rsidP="00AA297E">
      <w:pPr>
        <w:rPr>
          <w:rFonts w:eastAsia="Times New Roman"/>
          <w:szCs w:val="24"/>
          <w:u w:val="single"/>
          <w:lang w:eastAsia="ru-RU"/>
        </w:rPr>
      </w:pPr>
    </w:p>
    <w:p w14:paraId="634ACCDF" w14:textId="15B34512" w:rsidR="00AA297E" w:rsidRPr="00307C3E" w:rsidRDefault="00AA297E" w:rsidP="00AA297E">
      <w:pPr>
        <w:rPr>
          <w:rFonts w:eastAsia="Times New Roman"/>
          <w:szCs w:val="24"/>
          <w:lang w:eastAsia="ru-RU"/>
        </w:rPr>
      </w:pPr>
      <w:r w:rsidRPr="00307C3E">
        <w:rPr>
          <w:rFonts w:eastAsia="Times New Roman"/>
          <w:szCs w:val="24"/>
          <w:lang w:eastAsia="ru-RU"/>
        </w:rPr>
        <w:t>2) Фибринолитическая терапия</w:t>
      </w:r>
      <w:r>
        <w:rPr>
          <w:rFonts w:eastAsia="Times New Roman"/>
          <w:szCs w:val="24"/>
          <w:lang w:eastAsia="ru-RU"/>
        </w:rPr>
        <w:t xml:space="preserve">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rsidRPr="00307C3E">
        <w:rPr>
          <w:rFonts w:eastAsia="Times New Roman"/>
          <w:szCs w:val="24"/>
          <w:lang w:eastAsia="ru-RU"/>
        </w:rPr>
        <w:t>.</w:t>
      </w:r>
    </w:p>
    <w:p w14:paraId="47A26AD1" w14:textId="77777777" w:rsidR="00AA297E" w:rsidRDefault="00AA297E" w:rsidP="00AA297E">
      <w:pPr>
        <w:rPr>
          <w:rFonts w:eastAsia="Times New Roman"/>
          <w:sz w:val="28"/>
          <w:szCs w:val="28"/>
          <w:lang w:eastAsia="ru-RU"/>
        </w:rPr>
      </w:pPr>
      <w:r>
        <w:rPr>
          <w:rFonts w:eastAsia="Times New Roman"/>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14:paraId="3CE8ABAB" w14:textId="77777777" w:rsidR="00AA297E" w:rsidRDefault="00AA297E" w:rsidP="00AA297E">
      <w:pPr>
        <w:rPr>
          <w:rFonts w:eastAsia="Times New Roman"/>
          <w:szCs w:val="24"/>
          <w:u w:val="single"/>
          <w:lang w:eastAsia="ru-RU"/>
        </w:rPr>
      </w:pPr>
    </w:p>
    <w:p w14:paraId="450E8D7F" w14:textId="1F2F2FBF" w:rsidR="00AA297E" w:rsidRPr="00307C3E" w:rsidRDefault="00AA297E" w:rsidP="00AA297E">
      <w:pPr>
        <w:rPr>
          <w:rFonts w:eastAsia="Times New Roman"/>
          <w:szCs w:val="24"/>
          <w:lang w:eastAsia="ru-RU"/>
        </w:rPr>
      </w:pPr>
      <w:r w:rsidRPr="00307C3E">
        <w:rPr>
          <w:rFonts w:eastAsia="Times New Roman"/>
          <w:szCs w:val="24"/>
          <w:lang w:eastAsia="ru-RU"/>
        </w:rPr>
        <w:t>3) Антиагрегантная терапия</w:t>
      </w:r>
      <w:r>
        <w:rPr>
          <w:rFonts w:eastAsia="Times New Roman"/>
          <w:szCs w:val="24"/>
          <w:lang w:eastAsia="ru-RU"/>
        </w:rPr>
        <w:t xml:space="preserve">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[48,49]","plainTextFormattedCitation":"[48,49]","previouslyFormattedCitation":"[48,49]"},"properties":{"noteIndex":0},"schema":"https://github.com/citation-style-language/schema/raw/master/csl-citation.json"}</w:instrText>
      </w:r>
      <w:r>
        <w:fldChar w:fldCharType="separate"/>
      </w:r>
      <w:r w:rsidRPr="00AA297E">
        <w:rPr>
          <w:noProof/>
        </w:rPr>
        <w:t>[48,49]</w:t>
      </w:r>
      <w:r>
        <w:fldChar w:fldCharType="end"/>
      </w:r>
      <w:r w:rsidRPr="00307C3E">
        <w:rPr>
          <w:rFonts w:eastAsia="Times New Roman"/>
          <w:szCs w:val="24"/>
          <w:lang w:eastAsia="ru-RU"/>
        </w:rPr>
        <w:t>.</w:t>
      </w:r>
    </w:p>
    <w:p w14:paraId="5A571AD3" w14:textId="77777777" w:rsidR="00AA297E" w:rsidRDefault="00AA297E" w:rsidP="00AA297E">
      <w:pPr>
        <w:rPr>
          <w:rFonts w:eastAsia="Times New Roman"/>
          <w:szCs w:val="24"/>
          <w:lang w:eastAsia="ru-RU"/>
        </w:rPr>
      </w:pPr>
      <w:r w:rsidRPr="00A4634E">
        <w:rPr>
          <w:rFonts w:eastAsia="Times New Roman"/>
          <w:szCs w:val="24"/>
          <w:lang w:eastAsia="ru-RU"/>
        </w:rPr>
        <w:t>Антиагрегантная терапия</w:t>
      </w:r>
      <w:r>
        <w:rPr>
          <w:rFonts w:eastAsia="Times New Roman"/>
          <w:szCs w:val="24"/>
          <w:lang w:eastAsia="ru-RU"/>
        </w:rPr>
        <w:t xml:space="preserve"> применяется при артериальных тромбозах, венозных тромбозах, гипертромбоцитозах.  Используются следующие препараты:</w:t>
      </w:r>
    </w:p>
    <w:p w14:paraId="5AACFAC0" w14:textId="77777777" w:rsidR="00AA297E" w:rsidRDefault="00AA297E" w:rsidP="00D22A46">
      <w:pPr>
        <w:numPr>
          <w:ilvl w:val="0"/>
          <w:numId w:val="50"/>
        </w:numPr>
        <w:ind w:left="1134"/>
        <w:rPr>
          <w:rFonts w:eastAsia="Times New Roman"/>
          <w:szCs w:val="24"/>
          <w:lang w:eastAsia="ru-RU"/>
        </w:rPr>
      </w:pPr>
      <w:r>
        <w:rPr>
          <w:rFonts w:eastAsia="Times New Roman"/>
          <w:szCs w:val="24"/>
          <w:lang w:eastAsia="ru-RU"/>
        </w:rPr>
        <w:t xml:space="preserve">Ацетилсалициловая кислота 75-150 мг в сутки. Подбор осуществляют с учетом показателей адреналин-индуцированной агрегации тромбоцитов. Агрегация должна составлять менее 50%. </w:t>
      </w:r>
    </w:p>
    <w:p w14:paraId="391C7962" w14:textId="77777777" w:rsidR="00AA297E" w:rsidRDefault="00AA297E" w:rsidP="00D22A46">
      <w:pPr>
        <w:pStyle w:val="afe"/>
        <w:numPr>
          <w:ilvl w:val="0"/>
          <w:numId w:val="50"/>
        </w:numPr>
        <w:ind w:left="1134"/>
        <w:rPr>
          <w:rFonts w:eastAsia="Times New Roman"/>
          <w:szCs w:val="24"/>
          <w:lang w:eastAsia="ru-RU"/>
        </w:rPr>
      </w:pPr>
      <w:r w:rsidRPr="00A4634E">
        <w:rPr>
          <w:rFonts w:eastAsia="Times New Roman"/>
          <w:szCs w:val="24"/>
          <w:lang w:eastAsia="ru-RU"/>
        </w:rPr>
        <w:t xml:space="preserve">Клопидогрел (непрямой ингибитор АДФ-рецептора тромбоцитов </w:t>
      </w:r>
      <w:r w:rsidRPr="00A4634E">
        <w:rPr>
          <w:rFonts w:eastAsia="Times New Roman"/>
          <w:szCs w:val="24"/>
          <w:lang w:val="en-US" w:eastAsia="ru-RU"/>
        </w:rPr>
        <w:t>P</w:t>
      </w:r>
      <w:r w:rsidRPr="00A4634E">
        <w:rPr>
          <w:rFonts w:eastAsia="Times New Roman"/>
          <w:szCs w:val="24"/>
          <w:lang w:eastAsia="ru-RU"/>
        </w:rPr>
        <w:t>2</w:t>
      </w:r>
      <w:r w:rsidRPr="00A4634E">
        <w:rPr>
          <w:rFonts w:eastAsia="Times New Roman"/>
          <w:szCs w:val="24"/>
          <w:lang w:val="en-US" w:eastAsia="ru-RU"/>
        </w:rPr>
        <w:t>Y</w:t>
      </w:r>
      <w:r w:rsidRPr="00A4634E">
        <w:rPr>
          <w:rFonts w:eastAsia="Times New Roman"/>
          <w:szCs w:val="24"/>
          <w:lang w:eastAsia="ru-RU"/>
        </w:rPr>
        <w:t>12) 75 мг/сут; в острых случаях клопидогрел принимается внутрь в дозе 300–600 мг/сут. Подбор осуществляют с учетом АДФ-индуцированной агрегации тромбоцитов. Агрегация должна составлять менее 45</w:t>
      </w:r>
      <w:r w:rsidRPr="00A4634E">
        <w:rPr>
          <w:i/>
          <w:szCs w:val="24"/>
        </w:rPr>
        <w:t>—</w:t>
      </w:r>
      <w:r w:rsidRPr="00A4634E">
        <w:rPr>
          <w:rFonts w:eastAsia="Times New Roman"/>
          <w:szCs w:val="24"/>
          <w:lang w:eastAsia="ru-RU"/>
        </w:rPr>
        <w:t xml:space="preserve">50%. </w:t>
      </w:r>
    </w:p>
    <w:p w14:paraId="14697215" w14:textId="77777777" w:rsidR="00AA297E" w:rsidRPr="00A4634E" w:rsidRDefault="00AA297E" w:rsidP="00D22A46">
      <w:pPr>
        <w:pStyle w:val="afe"/>
        <w:numPr>
          <w:ilvl w:val="0"/>
          <w:numId w:val="50"/>
        </w:numPr>
        <w:ind w:left="1134"/>
        <w:rPr>
          <w:rFonts w:eastAsia="Times New Roman"/>
          <w:szCs w:val="24"/>
          <w:lang w:eastAsia="ru-RU"/>
        </w:rPr>
      </w:pPr>
      <w:r w:rsidRPr="00A4634E">
        <w:rPr>
          <w:rFonts w:eastAsia="Times New Roman"/>
          <w:szCs w:val="24"/>
          <w:lang w:eastAsia="ru-RU"/>
        </w:rPr>
        <w:t>Дипиридамол 25-75 мг/сут.</w:t>
      </w:r>
    </w:p>
    <w:p w14:paraId="2C4A3C10" w14:textId="77777777" w:rsidR="00AA297E" w:rsidRDefault="00AA297E" w:rsidP="00D22A46">
      <w:pPr>
        <w:numPr>
          <w:ilvl w:val="0"/>
          <w:numId w:val="50"/>
        </w:numPr>
        <w:ind w:left="1134"/>
        <w:rPr>
          <w:rFonts w:eastAsia="Times New Roman"/>
          <w:szCs w:val="24"/>
          <w:lang w:eastAsia="ru-RU"/>
        </w:rPr>
      </w:pPr>
      <w:r>
        <w:rPr>
          <w:rFonts w:eastAsia="Times New Roman"/>
          <w:szCs w:val="24"/>
          <w:lang w:eastAsia="ru-RU"/>
        </w:rPr>
        <w:t>Пентоксифиллин 0,1 х 3 раза в день; или 400 мг 2-3раза в день.</w:t>
      </w:r>
    </w:p>
    <w:p w14:paraId="36EF00A3" w14:textId="77777777" w:rsidR="00AA297E" w:rsidRPr="003A104D" w:rsidRDefault="00AA297E" w:rsidP="00D22A46">
      <w:pPr>
        <w:pStyle w:val="afe"/>
        <w:numPr>
          <w:ilvl w:val="0"/>
          <w:numId w:val="50"/>
        </w:numPr>
        <w:spacing w:after="200"/>
        <w:ind w:left="1134"/>
      </w:pPr>
      <w:r>
        <w:rPr>
          <w:rFonts w:eastAsia="Times New Roman"/>
          <w:szCs w:val="24"/>
          <w:lang w:eastAsia="ru-RU"/>
        </w:rPr>
        <w:t>Тикагрелор (прямой ингибитор АДФ-рецептора тромбоцитов Р2</w:t>
      </w:r>
      <w:r>
        <w:rPr>
          <w:rFonts w:eastAsia="Times New Roman"/>
          <w:szCs w:val="24"/>
          <w:lang w:val="en-US" w:eastAsia="ru-RU"/>
        </w:rPr>
        <w:t>Y</w:t>
      </w:r>
      <w:r>
        <w:rPr>
          <w:rFonts w:eastAsia="Times New Roman"/>
          <w:szCs w:val="24"/>
          <w:lang w:eastAsia="ru-RU"/>
        </w:rPr>
        <w:t>12) 90 мг х 2 раза в день совместно с ацетилсалициловой кислотой. Применяется при проведении химиотерапии у больных ишемической болезнью сердца. Подбор осуществляют с учетом АДФ-индуцированной агрегации тромбоцитов. Агрегация должна составлять менее 30</w:t>
      </w:r>
      <w:r>
        <w:rPr>
          <w:szCs w:val="24"/>
        </w:rPr>
        <w:t>—4</w:t>
      </w:r>
      <w:r>
        <w:rPr>
          <w:rFonts w:eastAsia="Times New Roman"/>
          <w:szCs w:val="24"/>
          <w:lang w:eastAsia="ru-RU"/>
        </w:rPr>
        <w:t>0%.</w:t>
      </w:r>
    </w:p>
    <w:p w14:paraId="09F84A5B" w14:textId="77777777" w:rsidR="00AA297E" w:rsidRPr="00A4634E" w:rsidRDefault="00AA297E" w:rsidP="00D22A46">
      <w:pPr>
        <w:pStyle w:val="afe"/>
        <w:numPr>
          <w:ilvl w:val="0"/>
          <w:numId w:val="50"/>
        </w:numPr>
        <w:spacing w:after="200"/>
        <w:ind w:left="1134"/>
      </w:pPr>
      <w:r w:rsidRPr="00A4634E">
        <w:rPr>
          <w:rFonts w:eastAsia="Times New Roman"/>
          <w:szCs w:val="24"/>
          <w:lang w:eastAsia="ru-RU"/>
        </w:rPr>
        <w:t>Прасугрел (прямой ингибитор АДФ-рецептора тромбоцитов P2Y12) 10мг: 1 день 6 таб., затем 1 таб. в день с ацетилсалициловой кислотой. Применяется при проведении химиотерапии у больных с ишемической болезнью сердца. Подбор осуществляется с учетом АДФ-индуцир</w:t>
      </w:r>
      <w:r>
        <w:rPr>
          <w:rFonts w:eastAsia="Times New Roman"/>
          <w:szCs w:val="24"/>
          <w:lang w:eastAsia="ru-RU"/>
        </w:rPr>
        <w:t>ованной агрегации тромбоцитов (а</w:t>
      </w:r>
      <w:r w:rsidRPr="00A4634E">
        <w:rPr>
          <w:rFonts w:eastAsia="Times New Roman"/>
          <w:szCs w:val="24"/>
          <w:lang w:eastAsia="ru-RU"/>
        </w:rPr>
        <w:t>грегация должна составлять менее 30-40%</w:t>
      </w:r>
      <w:r>
        <w:rPr>
          <w:rFonts w:eastAsia="Times New Roman"/>
          <w:szCs w:val="24"/>
          <w:lang w:eastAsia="ru-RU"/>
        </w:rPr>
        <w:t>)</w:t>
      </w:r>
      <w:r w:rsidRPr="00A4634E">
        <w:rPr>
          <w:rFonts w:eastAsia="Times New Roman"/>
          <w:szCs w:val="24"/>
          <w:lang w:eastAsia="ru-RU"/>
        </w:rPr>
        <w:t>.</w:t>
      </w:r>
    </w:p>
    <w:p w14:paraId="15493012" w14:textId="64C596C3" w:rsidR="00AA297E" w:rsidRPr="003A104D" w:rsidRDefault="00AA297E" w:rsidP="00D22A46">
      <w:pPr>
        <w:pStyle w:val="afe"/>
        <w:numPr>
          <w:ilvl w:val="0"/>
          <w:numId w:val="50"/>
        </w:numPr>
        <w:spacing w:after="200"/>
        <w:ind w:left="1134"/>
      </w:pPr>
      <w:r w:rsidRPr="00AA297E">
        <w:rPr>
          <w:szCs w:val="24"/>
        </w:rPr>
        <w:t>Изосорбида мононитрат</w:t>
      </w:r>
      <w:r w:rsidRPr="003A104D">
        <w:rPr>
          <w:rFonts w:eastAsia="Times New Roman"/>
          <w:szCs w:val="24"/>
          <w:lang w:eastAsia="ru-RU"/>
        </w:rPr>
        <w:t xml:space="preserve"> 40 мг х 1-2 раза в день. Обладает наряду с дезагрегационными свойствами выраженным сосудорасширяющим эффектом.</w:t>
      </w:r>
    </w:p>
    <w:p w14:paraId="33C5E00E" w14:textId="77777777" w:rsidR="00AA297E" w:rsidRDefault="00AA297E" w:rsidP="00D22A46">
      <w:pPr>
        <w:pStyle w:val="afe"/>
        <w:numPr>
          <w:ilvl w:val="0"/>
          <w:numId w:val="50"/>
        </w:numPr>
        <w:spacing w:after="200"/>
        <w:ind w:left="1134"/>
      </w:pPr>
      <w:r w:rsidRPr="003A104D">
        <w:rPr>
          <w:rFonts w:eastAsia="Times New Roman"/>
          <w:szCs w:val="24"/>
          <w:lang w:eastAsia="ru-RU"/>
        </w:rPr>
        <w:t>Возможно использование никотиновой кислоты в инъекционной или таблетированной формах. Доза никотиновой кислоты подбирается по эритематозному эффекту, который проявляется легким покраснением лица и верхней половины туловища, тахикардией, небольшим чувством жара.</w:t>
      </w:r>
    </w:p>
    <w:p w14:paraId="493157CC" w14:textId="0A5192AB" w:rsidR="00AA297E" w:rsidRDefault="00AA297E" w:rsidP="00AA297E">
      <w:pPr>
        <w:rPr>
          <w:rFonts w:eastAsia="Times New Roman"/>
          <w:szCs w:val="24"/>
          <w:lang w:eastAsia="ru-RU"/>
        </w:rPr>
      </w:pPr>
      <w:r w:rsidRPr="006F5CEC">
        <w:rPr>
          <w:rFonts w:eastAsia="Times New Roman"/>
          <w:szCs w:val="24"/>
          <w:lang w:eastAsia="ru-RU"/>
        </w:rPr>
        <w:t>4)  Вазопротекторная терапия</w:t>
      </w:r>
      <w:r>
        <w:rPr>
          <w:rFonts w:eastAsia="Times New Roman"/>
          <w:szCs w:val="24"/>
          <w:lang w:eastAsia="ru-RU"/>
        </w:rPr>
        <w:t xml:space="preserve">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[48]","plainTextFormattedCitation":"[48]","previouslyFormattedCitation":"[48]"},"properties":{"noteIndex":0},"schema":"https://github.com/citation-style-language/schema/raw/master/csl-citation.json"}</w:instrText>
      </w:r>
      <w:r>
        <w:fldChar w:fldCharType="separate"/>
      </w:r>
      <w:r w:rsidRPr="00AA297E">
        <w:rPr>
          <w:noProof/>
        </w:rPr>
        <w:t>[48]</w:t>
      </w:r>
      <w:r>
        <w:fldChar w:fldCharType="end"/>
      </w:r>
      <w:r w:rsidRPr="006F5CEC">
        <w:rPr>
          <w:rFonts w:eastAsia="Times New Roman"/>
          <w:szCs w:val="24"/>
          <w:lang w:eastAsia="ru-RU"/>
        </w:rPr>
        <w:t>:</w:t>
      </w:r>
    </w:p>
    <w:p w14:paraId="0501F75E" w14:textId="77777777" w:rsidR="00AA297E" w:rsidRDefault="00AA297E" w:rsidP="00D22A46">
      <w:pPr>
        <w:pStyle w:val="afe"/>
        <w:numPr>
          <w:ilvl w:val="0"/>
          <w:numId w:val="56"/>
        </w:numPr>
        <w:contextualSpacing w:val="0"/>
        <w:rPr>
          <w:rFonts w:eastAsia="Times New Roman"/>
          <w:szCs w:val="24"/>
          <w:lang w:eastAsia="ru-RU"/>
        </w:rPr>
      </w:pPr>
      <w:r w:rsidRPr="00440427">
        <w:rPr>
          <w:color w:val="333333"/>
          <w:szCs w:val="24"/>
        </w:rPr>
        <w:t>сухой экстракт красных листьев винограда</w:t>
      </w:r>
      <w:r w:rsidRPr="00440427">
        <w:rPr>
          <w:rFonts w:eastAsia="Times New Roman"/>
          <w:szCs w:val="24"/>
          <w:lang w:eastAsia="ru-RU"/>
        </w:rPr>
        <w:t xml:space="preserve"> 2 капс. утром натощак;</w:t>
      </w:r>
    </w:p>
    <w:p w14:paraId="377B84DA" w14:textId="77777777" w:rsidR="00AA297E" w:rsidRDefault="00AA297E" w:rsidP="00D22A46">
      <w:pPr>
        <w:pStyle w:val="afe"/>
        <w:numPr>
          <w:ilvl w:val="0"/>
          <w:numId w:val="56"/>
        </w:numPr>
        <w:contextualSpacing w:val="0"/>
        <w:rPr>
          <w:rFonts w:eastAsia="Times New Roman"/>
          <w:szCs w:val="24"/>
          <w:lang w:eastAsia="ru-RU"/>
        </w:rPr>
      </w:pPr>
      <w:r w:rsidRPr="00440427">
        <w:rPr>
          <w:rFonts w:eastAsia="Times New Roman"/>
          <w:szCs w:val="24"/>
          <w:lang w:eastAsia="ru-RU"/>
        </w:rPr>
        <w:t>диосмин-содержащие препараты;</w:t>
      </w:r>
    </w:p>
    <w:p w14:paraId="18A45F69" w14:textId="77777777" w:rsidR="00AA297E" w:rsidRPr="00440427" w:rsidRDefault="00AA297E" w:rsidP="00D22A46">
      <w:pPr>
        <w:pStyle w:val="afe"/>
        <w:numPr>
          <w:ilvl w:val="0"/>
          <w:numId w:val="56"/>
        </w:numPr>
        <w:contextualSpacing w:val="0"/>
        <w:rPr>
          <w:rFonts w:eastAsia="Times New Roman"/>
          <w:szCs w:val="24"/>
          <w:lang w:eastAsia="ru-RU"/>
        </w:rPr>
      </w:pPr>
      <w:r w:rsidRPr="00440427">
        <w:rPr>
          <w:rFonts w:eastAsia="Times New Roman"/>
          <w:szCs w:val="24"/>
          <w:lang w:eastAsia="ru-RU"/>
        </w:rPr>
        <w:t>алпростадил 20 мкг в/в капельно 1 раз в  сутки 10-14 дней.</w:t>
      </w:r>
    </w:p>
    <w:p w14:paraId="74ED0C2B" w14:textId="77777777" w:rsidR="00AA297E" w:rsidRDefault="00AA297E" w:rsidP="00AA297E">
      <w:pPr>
        <w:rPr>
          <w:rFonts w:eastAsia="Times New Roman"/>
          <w:szCs w:val="24"/>
          <w:u w:val="single"/>
          <w:lang w:eastAsia="ru-RU"/>
        </w:rPr>
      </w:pPr>
    </w:p>
    <w:p w14:paraId="44F8C355" w14:textId="37C7ED0D" w:rsidR="00AA297E" w:rsidRDefault="00AA297E" w:rsidP="00AA297E">
      <w:pPr>
        <w:rPr>
          <w:rFonts w:eastAsia="Times New Roman"/>
          <w:szCs w:val="24"/>
          <w:lang w:eastAsia="ru-RU"/>
        </w:rPr>
      </w:pPr>
      <w:r w:rsidRPr="00440427">
        <w:rPr>
          <w:rFonts w:eastAsia="Times New Roman"/>
          <w:szCs w:val="24"/>
          <w:lang w:eastAsia="ru-RU"/>
        </w:rPr>
        <w:t>5) Коррекция тромбофилических состояний</w:t>
      </w:r>
      <w:r>
        <w:rPr>
          <w:rFonts w:eastAsia="Times New Roman"/>
          <w:szCs w:val="24"/>
          <w:lang w:eastAsia="ru-RU"/>
        </w:rPr>
        <w:t xml:space="preserve">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[48]","plainTextFormattedCitation":"[48]","previouslyFormattedCitation":"[48]"},"properties":{"noteIndex":0},"schema":"https://github.com/citation-style-language/schema/raw/master/csl-citation.json"}</w:instrText>
      </w:r>
      <w:r>
        <w:fldChar w:fldCharType="separate"/>
      </w:r>
      <w:r w:rsidRPr="00AA297E">
        <w:rPr>
          <w:noProof/>
        </w:rPr>
        <w:t>[48]</w:t>
      </w:r>
      <w:r>
        <w:fldChar w:fldCharType="end"/>
      </w:r>
      <w:r w:rsidRPr="00440427">
        <w:rPr>
          <w:rFonts w:eastAsia="Times New Roman"/>
          <w:szCs w:val="24"/>
          <w:lang w:eastAsia="ru-RU"/>
        </w:rPr>
        <w:t>:</w:t>
      </w:r>
    </w:p>
    <w:p w14:paraId="166A7B82" w14:textId="77777777" w:rsidR="00AA297E" w:rsidRDefault="00AA297E" w:rsidP="00D22A46">
      <w:pPr>
        <w:pStyle w:val="afe"/>
        <w:numPr>
          <w:ilvl w:val="0"/>
          <w:numId w:val="58"/>
        </w:numPr>
        <w:contextualSpacing w:val="0"/>
        <w:rPr>
          <w:rFonts w:eastAsia="Times New Roman"/>
          <w:szCs w:val="24"/>
          <w:lang w:eastAsia="ru-RU"/>
        </w:rPr>
      </w:pPr>
      <w:r w:rsidRPr="00B54A88">
        <w:rPr>
          <w:rFonts w:eastAsia="Times New Roman"/>
          <w:szCs w:val="24"/>
          <w:lang w:eastAsia="ru-RU"/>
        </w:rPr>
        <w:t>При гипергомоцистеинемии используются витамины В6, В12, фолиевая кислота.</w:t>
      </w:r>
    </w:p>
    <w:p w14:paraId="0E10E5B9" w14:textId="77777777" w:rsidR="00AA297E" w:rsidRPr="00B54A88" w:rsidRDefault="00AA297E" w:rsidP="00D22A46">
      <w:pPr>
        <w:pStyle w:val="afe"/>
        <w:numPr>
          <w:ilvl w:val="0"/>
          <w:numId w:val="58"/>
        </w:numPr>
        <w:contextualSpacing w:val="0"/>
        <w:rPr>
          <w:rFonts w:eastAsia="Times New Roman"/>
          <w:szCs w:val="24"/>
          <w:lang w:eastAsia="ru-RU"/>
        </w:rPr>
      </w:pPr>
      <w:r w:rsidRPr="00B54A88">
        <w:rPr>
          <w:rFonts w:eastAsia="Times New Roman"/>
          <w:szCs w:val="24"/>
          <w:lang w:eastAsia="ru-RU"/>
        </w:rPr>
        <w:t xml:space="preserve">При применении гепаринов может развиться резистентность к ним, наиболее часто обусловленная дефицитом АТ III вследствие его увеличенного потребления, длительной гепаринотерапией, патологией печени и действием лекарственных препаратов. Препарат Антитромбин </w:t>
      </w:r>
      <w:r w:rsidRPr="00B54A88">
        <w:rPr>
          <w:rFonts w:eastAsia="Times New Roman"/>
          <w:szCs w:val="24"/>
          <w:lang w:val="en-US" w:eastAsia="ru-RU"/>
        </w:rPr>
        <w:t>III</w:t>
      </w:r>
      <w:r w:rsidRPr="00B54A88">
        <w:rPr>
          <w:rFonts w:eastAsia="Times New Roman"/>
          <w:szCs w:val="24"/>
          <w:lang w:eastAsia="ru-RU"/>
        </w:rPr>
        <w:t xml:space="preserve"> показан также при наследственном и приобретенном дефиците АТ </w:t>
      </w:r>
      <w:r w:rsidRPr="00B54A88">
        <w:rPr>
          <w:rFonts w:eastAsia="Times New Roman"/>
          <w:szCs w:val="24"/>
          <w:lang w:val="en-US" w:eastAsia="ru-RU"/>
        </w:rPr>
        <w:t>III</w:t>
      </w:r>
      <w:r w:rsidRPr="00B54A88">
        <w:rPr>
          <w:rFonts w:eastAsia="Times New Roman"/>
          <w:szCs w:val="24"/>
          <w:lang w:eastAsia="ru-RU"/>
        </w:rPr>
        <w:t>.</w:t>
      </w:r>
    </w:p>
    <w:p w14:paraId="3949A63A" w14:textId="77777777" w:rsidR="00AA297E" w:rsidRPr="00B54A88" w:rsidRDefault="00AA297E" w:rsidP="00D22A46">
      <w:pPr>
        <w:pStyle w:val="afe"/>
        <w:numPr>
          <w:ilvl w:val="0"/>
          <w:numId w:val="57"/>
        </w:numPr>
        <w:contextualSpacing w:val="0"/>
        <w:rPr>
          <w:rFonts w:eastAsia="Times New Roman"/>
          <w:szCs w:val="24"/>
          <w:lang w:eastAsia="ru-RU"/>
        </w:rPr>
      </w:pPr>
      <w:r w:rsidRPr="00B54A88">
        <w:rPr>
          <w:rFonts w:eastAsia="Times New Roman"/>
          <w:szCs w:val="24"/>
          <w:lang w:eastAsia="ru-RU"/>
        </w:rPr>
        <w:t xml:space="preserve">Для коррекции дефицита АТ </w:t>
      </w:r>
      <w:r w:rsidRPr="00B54A88">
        <w:rPr>
          <w:rFonts w:eastAsia="Times New Roman"/>
          <w:szCs w:val="24"/>
          <w:lang w:val="en-US" w:eastAsia="ru-RU"/>
        </w:rPr>
        <w:t>III</w:t>
      </w:r>
      <w:r w:rsidRPr="00B54A88">
        <w:rPr>
          <w:rFonts w:eastAsia="Times New Roman"/>
          <w:szCs w:val="24"/>
          <w:lang w:eastAsia="ru-RU"/>
        </w:rPr>
        <w:t xml:space="preserve"> используют СЗП или концентрат АТ III в дозе, рассчитываемой по формуле:</w:t>
      </w:r>
    </w:p>
    <w:p w14:paraId="597AC580" w14:textId="77777777" w:rsidR="00AA297E" w:rsidRDefault="00AA297E" w:rsidP="00D22A46">
      <w:pPr>
        <w:pStyle w:val="afe"/>
        <w:numPr>
          <w:ilvl w:val="0"/>
          <w:numId w:val="57"/>
        </w:numPr>
        <w:contextualSpacing w:val="0"/>
        <w:rPr>
          <w:rFonts w:eastAsia="Times New Roman"/>
          <w:szCs w:val="24"/>
          <w:lang w:eastAsia="ru-RU"/>
        </w:rPr>
      </w:pPr>
      <w:r w:rsidRPr="00B54A88">
        <w:rPr>
          <w:rFonts w:eastAsia="Times New Roman"/>
          <w:szCs w:val="24"/>
          <w:lang w:eastAsia="ru-RU"/>
        </w:rPr>
        <w:t xml:space="preserve">Необходимая доза АТ </w:t>
      </w:r>
      <w:r w:rsidRPr="00B54A88">
        <w:rPr>
          <w:rFonts w:eastAsia="Times New Roman"/>
          <w:szCs w:val="24"/>
          <w:lang w:val="en-US" w:eastAsia="ru-RU"/>
        </w:rPr>
        <w:t>III</w:t>
      </w:r>
      <w:r w:rsidRPr="00B54A88">
        <w:rPr>
          <w:rFonts w:eastAsia="Times New Roman"/>
          <w:szCs w:val="24"/>
          <w:lang w:eastAsia="ru-RU"/>
        </w:rPr>
        <w:t xml:space="preserve"> (ME) = масса тела (кг) × (целевое значение – исходная  активность АТ </w:t>
      </w:r>
      <w:r w:rsidRPr="00B54A88">
        <w:rPr>
          <w:rFonts w:eastAsia="Times New Roman"/>
          <w:szCs w:val="24"/>
          <w:lang w:val="en-US" w:eastAsia="ru-RU"/>
        </w:rPr>
        <w:t>III</w:t>
      </w:r>
      <w:r w:rsidRPr="00B54A88">
        <w:rPr>
          <w:rFonts w:eastAsia="Times New Roman"/>
          <w:szCs w:val="24"/>
          <w:lang w:eastAsia="ru-RU"/>
        </w:rPr>
        <w:t xml:space="preserve"> (%)) × 0.5</w:t>
      </w:r>
    </w:p>
    <w:p w14:paraId="55F7B5D0" w14:textId="77777777" w:rsidR="00AA297E" w:rsidRDefault="00AA297E" w:rsidP="00D22A46">
      <w:pPr>
        <w:pStyle w:val="afe"/>
        <w:numPr>
          <w:ilvl w:val="0"/>
          <w:numId w:val="57"/>
        </w:numPr>
        <w:contextualSpacing w:val="0"/>
        <w:rPr>
          <w:rFonts w:eastAsia="Times New Roman"/>
          <w:szCs w:val="24"/>
          <w:lang w:eastAsia="ru-RU"/>
        </w:rPr>
      </w:pPr>
      <w:r w:rsidRPr="00B54A88">
        <w:rPr>
          <w:rFonts w:eastAsia="Times New Roman"/>
          <w:szCs w:val="24"/>
          <w:lang w:eastAsia="ru-RU"/>
        </w:rPr>
        <w:t xml:space="preserve">При дефиците плазменных антикоагулянтов, таких как АТ </w:t>
      </w:r>
      <w:r w:rsidRPr="00B54A88">
        <w:rPr>
          <w:rFonts w:eastAsia="Times New Roman"/>
          <w:szCs w:val="24"/>
          <w:lang w:val="en-US" w:eastAsia="ru-RU"/>
        </w:rPr>
        <w:t>III</w:t>
      </w:r>
      <w:r w:rsidRPr="00B54A88">
        <w:rPr>
          <w:rFonts w:eastAsia="Times New Roman"/>
          <w:szCs w:val="24"/>
          <w:lang w:eastAsia="ru-RU"/>
        </w:rPr>
        <w:t xml:space="preserve">, протеин С, протеин </w:t>
      </w:r>
      <w:r w:rsidRPr="00B54A88">
        <w:rPr>
          <w:rFonts w:eastAsia="Times New Roman"/>
          <w:szCs w:val="24"/>
          <w:lang w:val="en-US" w:eastAsia="ru-RU"/>
        </w:rPr>
        <w:t>S</w:t>
      </w:r>
      <w:r w:rsidRPr="00B54A88">
        <w:rPr>
          <w:rFonts w:eastAsia="Times New Roman"/>
          <w:szCs w:val="24"/>
          <w:lang w:eastAsia="ru-RU"/>
        </w:rPr>
        <w:t xml:space="preserve"> применяется СЗП. </w:t>
      </w:r>
    </w:p>
    <w:p w14:paraId="1B06BF23" w14:textId="77777777" w:rsidR="00AA297E" w:rsidRDefault="00AA297E" w:rsidP="00D22A46">
      <w:pPr>
        <w:pStyle w:val="afe"/>
        <w:numPr>
          <w:ilvl w:val="0"/>
          <w:numId w:val="57"/>
        </w:numPr>
        <w:contextualSpacing w:val="0"/>
        <w:rPr>
          <w:rFonts w:eastAsia="Times New Roman"/>
          <w:szCs w:val="24"/>
          <w:lang w:eastAsia="ru-RU"/>
        </w:rPr>
      </w:pPr>
      <w:r w:rsidRPr="00B54A88">
        <w:rPr>
          <w:rFonts w:eastAsia="Times New Roman"/>
          <w:szCs w:val="24"/>
          <w:lang w:eastAsia="ru-RU"/>
        </w:rPr>
        <w:t xml:space="preserve">При глубоком дефиците протеина С возможно использование препарата очищенного протеина С (Сепротин).  </w:t>
      </w:r>
    </w:p>
    <w:p w14:paraId="6CDF5BA2" w14:textId="77777777" w:rsidR="00AA297E" w:rsidRPr="00B54A88" w:rsidRDefault="00AA297E" w:rsidP="00D22A46">
      <w:pPr>
        <w:pStyle w:val="afe"/>
        <w:numPr>
          <w:ilvl w:val="0"/>
          <w:numId w:val="57"/>
        </w:numPr>
        <w:contextualSpacing w:val="0"/>
        <w:rPr>
          <w:rFonts w:eastAsia="Times New Roman"/>
          <w:szCs w:val="24"/>
          <w:lang w:eastAsia="ru-RU"/>
        </w:rPr>
      </w:pPr>
      <w:r w:rsidRPr="00B54A88">
        <w:rPr>
          <w:rFonts w:eastAsia="Times New Roman"/>
          <w:szCs w:val="24"/>
          <w:lang w:eastAsia="ru-RU"/>
        </w:rPr>
        <w:t>В комплексной терапии АФС может быть эффективна комбинация: дипиридамол, витамин Е, плаквенил.</w:t>
      </w:r>
    </w:p>
    <w:p w14:paraId="4FCB3F5A" w14:textId="77777777" w:rsidR="00AA297E" w:rsidRDefault="00AA297E" w:rsidP="00AA297E">
      <w:pPr>
        <w:rPr>
          <w:rFonts w:eastAsia="Times New Roman"/>
          <w:szCs w:val="24"/>
          <w:lang w:eastAsia="ru-RU"/>
        </w:rPr>
      </w:pPr>
    </w:p>
    <w:p w14:paraId="434A2FF2" w14:textId="77777777" w:rsidR="00AA297E" w:rsidRDefault="00AA297E" w:rsidP="00AA297E">
      <w:pPr>
        <w:rPr>
          <w:rFonts w:eastAsia="Times New Roman"/>
          <w:szCs w:val="24"/>
          <w:u w:val="single"/>
          <w:lang w:eastAsia="ru-RU"/>
        </w:rPr>
      </w:pPr>
      <w:r>
        <w:rPr>
          <w:rFonts w:eastAsia="Times New Roman"/>
          <w:szCs w:val="24"/>
          <w:u w:val="single"/>
          <w:lang w:eastAsia="ru-RU"/>
        </w:rPr>
        <w:t xml:space="preserve">Инструментальные методы лечения. </w:t>
      </w:r>
    </w:p>
    <w:p w14:paraId="101E1F00" w14:textId="3142A6E0" w:rsidR="00AA297E" w:rsidRDefault="00AA297E" w:rsidP="00AA297E">
      <w:pPr>
        <w:widowControl w:val="0"/>
        <w:rPr>
          <w:szCs w:val="24"/>
        </w:rPr>
      </w:pPr>
      <w:r w:rsidRPr="00482DE7">
        <w:rPr>
          <w:rFonts w:eastAsia="Times New Roman"/>
          <w:szCs w:val="24"/>
          <w:lang w:eastAsia="ru-RU"/>
        </w:rPr>
        <w:t>1)  Кава-фильтр</w:t>
      </w:r>
      <w:r>
        <w:rPr>
          <w:rFonts w:eastAsia="Times New Roman"/>
          <w:szCs w:val="24"/>
          <w:lang w:eastAsia="ru-RU"/>
        </w:rPr>
        <w:t xml:space="preserve"> устанавливается либо для профилактики ТЭЛА (если были эпизоды ТЭЛА ранее), либо при наличии флотирующего тромба в крупных венозных стволах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[48]","plainTextFormattedCitation":"[48]","previouslyFormattedCitation":"[48]"},"properties":{"noteIndex":0},"schema":"https://github.com/citation-style-language/schema/raw/master/csl-citation.json"}</w:instrText>
      </w:r>
      <w:r>
        <w:fldChar w:fldCharType="separate"/>
      </w:r>
      <w:r w:rsidRPr="00AA297E">
        <w:rPr>
          <w:noProof/>
        </w:rPr>
        <w:t>[48]</w:t>
      </w:r>
      <w:r>
        <w:fldChar w:fldCharType="end"/>
      </w:r>
      <w:r>
        <w:rPr>
          <w:rFonts w:eastAsia="Times New Roman"/>
          <w:szCs w:val="24"/>
          <w:lang w:eastAsia="ru-RU"/>
        </w:rPr>
        <w:t>.</w:t>
      </w:r>
      <w:r>
        <w:rPr>
          <w:szCs w:val="24"/>
        </w:rPr>
        <w:t xml:space="preserve"> Показаниями для постановки венозного кава-фильтра является неэффективность или невозможность проведения антикоагулянтной терапии у больных с тромбозами глубоких вен нижних конечностей в следующих случаях:</w:t>
      </w:r>
    </w:p>
    <w:p w14:paraId="6E97EC6F" w14:textId="77777777" w:rsidR="00AA297E" w:rsidRPr="005650C3" w:rsidRDefault="00AA297E" w:rsidP="00D22A46">
      <w:pPr>
        <w:pStyle w:val="afe"/>
        <w:numPr>
          <w:ilvl w:val="0"/>
          <w:numId w:val="57"/>
        </w:numPr>
        <w:contextualSpacing w:val="0"/>
        <w:rPr>
          <w:rFonts w:eastAsia="Times New Roman"/>
          <w:szCs w:val="24"/>
          <w:lang w:eastAsia="ru-RU"/>
        </w:rPr>
      </w:pPr>
      <w:r w:rsidRPr="005650C3">
        <w:rPr>
          <w:rFonts w:eastAsia="Times New Roman"/>
          <w:szCs w:val="24"/>
          <w:lang w:eastAsia="ru-RU"/>
        </w:rPr>
        <w:t>рецидивирующая ТЭЛА, несмотря на адекватную антикоагулянтную терапию;</w:t>
      </w:r>
    </w:p>
    <w:p w14:paraId="55564952" w14:textId="77777777" w:rsidR="00AA297E" w:rsidRPr="005650C3" w:rsidRDefault="00AA297E" w:rsidP="00D22A46">
      <w:pPr>
        <w:pStyle w:val="afe"/>
        <w:numPr>
          <w:ilvl w:val="0"/>
          <w:numId w:val="57"/>
        </w:numPr>
        <w:contextualSpacing w:val="0"/>
        <w:rPr>
          <w:rFonts w:eastAsia="Times New Roman"/>
          <w:szCs w:val="24"/>
          <w:lang w:eastAsia="ru-RU"/>
        </w:rPr>
      </w:pPr>
      <w:r w:rsidRPr="005650C3">
        <w:rPr>
          <w:rFonts w:eastAsia="Times New Roman"/>
          <w:szCs w:val="24"/>
          <w:lang w:eastAsia="ru-RU"/>
        </w:rPr>
        <w:t>наличие противопоказаний к антикоагулянтной терапии;</w:t>
      </w:r>
    </w:p>
    <w:p w14:paraId="6A47B750" w14:textId="77777777" w:rsidR="00AA297E" w:rsidRPr="005650C3" w:rsidRDefault="00AA297E" w:rsidP="00D22A46">
      <w:pPr>
        <w:pStyle w:val="afe"/>
        <w:numPr>
          <w:ilvl w:val="0"/>
          <w:numId w:val="57"/>
        </w:numPr>
        <w:contextualSpacing w:val="0"/>
        <w:rPr>
          <w:rFonts w:eastAsia="Times New Roman"/>
          <w:szCs w:val="24"/>
          <w:lang w:eastAsia="ru-RU"/>
        </w:rPr>
      </w:pPr>
      <w:r w:rsidRPr="005650C3">
        <w:rPr>
          <w:rFonts w:eastAsia="Times New Roman"/>
          <w:szCs w:val="24"/>
          <w:lang w:eastAsia="ru-RU"/>
        </w:rPr>
        <w:t>осложнения антикоагулянтной терапии, делающие невозможным</w:t>
      </w:r>
    </w:p>
    <w:p w14:paraId="5C5060D0" w14:textId="77777777" w:rsidR="00AA297E" w:rsidRPr="005650C3" w:rsidRDefault="00AA297E" w:rsidP="00D22A46">
      <w:pPr>
        <w:pStyle w:val="afe"/>
        <w:numPr>
          <w:ilvl w:val="0"/>
          <w:numId w:val="57"/>
        </w:numPr>
        <w:contextualSpacing w:val="0"/>
        <w:rPr>
          <w:rFonts w:eastAsia="Times New Roman"/>
          <w:szCs w:val="24"/>
          <w:lang w:eastAsia="ru-RU"/>
        </w:rPr>
      </w:pPr>
      <w:r w:rsidRPr="005650C3">
        <w:rPr>
          <w:rFonts w:eastAsia="Times New Roman"/>
          <w:szCs w:val="24"/>
          <w:lang w:eastAsia="ru-RU"/>
        </w:rPr>
        <w:t>дальнейшую гипокоагуляцию;</w:t>
      </w:r>
    </w:p>
    <w:p w14:paraId="129EE2DB" w14:textId="77777777" w:rsidR="00AA297E" w:rsidRPr="005650C3" w:rsidRDefault="00AA297E" w:rsidP="00D22A46">
      <w:pPr>
        <w:pStyle w:val="afe"/>
        <w:numPr>
          <w:ilvl w:val="0"/>
          <w:numId w:val="57"/>
        </w:numPr>
        <w:contextualSpacing w:val="0"/>
        <w:rPr>
          <w:rFonts w:eastAsia="Times New Roman"/>
          <w:szCs w:val="24"/>
          <w:lang w:eastAsia="ru-RU"/>
        </w:rPr>
      </w:pPr>
      <w:r w:rsidRPr="005650C3">
        <w:rPr>
          <w:rFonts w:eastAsia="Times New Roman"/>
          <w:szCs w:val="24"/>
          <w:lang w:eastAsia="ru-RU"/>
        </w:rPr>
        <w:t>невозможность достигнуть или поддерживать лечебный антикоагулянтный эффект.</w:t>
      </w:r>
    </w:p>
    <w:p w14:paraId="7471B67C" w14:textId="77777777" w:rsidR="00AA297E" w:rsidRPr="00A13E2A" w:rsidRDefault="00AA297E" w:rsidP="00AA297E">
      <w:pPr>
        <w:rPr>
          <w:rFonts w:eastAsia="Times New Roman"/>
          <w:szCs w:val="24"/>
          <w:lang w:eastAsia="ru-RU"/>
        </w:rPr>
      </w:pPr>
      <w:r w:rsidRPr="00A13E2A">
        <w:rPr>
          <w:rFonts w:eastAsia="Times New Roman"/>
          <w:szCs w:val="24"/>
          <w:lang w:eastAsia="ru-RU"/>
        </w:rPr>
        <w:t>При исчезновении угрозы ВТЭО кава-фильтр удаляется (обычно через 1,5-2 мес).</w:t>
      </w:r>
    </w:p>
    <w:p w14:paraId="4972A576" w14:textId="77777777" w:rsidR="00AA297E" w:rsidRDefault="00AA297E" w:rsidP="00AA297E">
      <w:pPr>
        <w:ind w:left="1459"/>
        <w:rPr>
          <w:rFonts w:eastAsia="Times New Roman"/>
          <w:szCs w:val="24"/>
          <w:lang w:eastAsia="ru-RU"/>
        </w:rPr>
      </w:pPr>
    </w:p>
    <w:p w14:paraId="4E4287CB" w14:textId="3006E4ED" w:rsidR="00AA297E" w:rsidRDefault="00AA297E" w:rsidP="00AA297E">
      <w:pPr>
        <w:rPr>
          <w:rFonts w:eastAsia="Times New Roman"/>
          <w:szCs w:val="24"/>
          <w:lang w:eastAsia="ru-RU"/>
        </w:rPr>
      </w:pPr>
      <w:r w:rsidRPr="00482DE7">
        <w:rPr>
          <w:rFonts w:eastAsia="Times New Roman"/>
          <w:szCs w:val="24"/>
          <w:lang w:eastAsia="ru-RU"/>
        </w:rPr>
        <w:t>2) Эндоваскулярная тромбоэкстракция</w:t>
      </w:r>
      <w:r>
        <w:rPr>
          <w:rFonts w:eastAsia="Times New Roman"/>
          <w:szCs w:val="24"/>
          <w:lang w:eastAsia="ru-RU"/>
        </w:rPr>
        <w:t xml:space="preserve"> используется при острых тромбозах сосудов головного мозга, ТЭЛА, остром коронарном синдроме, а также при угрозе формирования некрозов тканей и органов </w:t>
      </w:r>
      <w:r>
        <w:fldChar w:fldCharType="begin" w:fldLock="1"/>
      </w:r>
      <w:r w:rsidR="004F1D40">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[48]","plainTextFormattedCitation":"[48]","previouslyFormattedCitation":"[48]"},"properties":{"noteIndex":0},"schema":"https://github.com/citation-style-language/schema/raw/master/csl-citation.json"}</w:instrText>
      </w:r>
      <w:r>
        <w:fldChar w:fldCharType="separate"/>
      </w:r>
      <w:r w:rsidRPr="00AA297E">
        <w:rPr>
          <w:noProof/>
        </w:rPr>
        <w:t>[48]</w:t>
      </w:r>
      <w:r>
        <w:fldChar w:fldCharType="end"/>
      </w:r>
      <w:r>
        <w:rPr>
          <w:rFonts w:eastAsia="Times New Roman"/>
          <w:szCs w:val="24"/>
          <w:lang w:eastAsia="ru-RU"/>
        </w:rPr>
        <w:t xml:space="preserve">. При необходимости устанавливаются различные сосудистые стенты. </w:t>
      </w:r>
    </w:p>
    <w:p w14:paraId="69604E1C" w14:textId="77777777" w:rsidR="00AA297E" w:rsidRDefault="00AA297E" w:rsidP="00AA297E">
      <w:pPr>
        <w:ind w:left="708" w:firstLine="708"/>
        <w:rPr>
          <w:rFonts w:eastAsia="Times New Roman"/>
          <w:szCs w:val="24"/>
          <w:lang w:eastAsia="ru-RU"/>
        </w:rPr>
      </w:pPr>
    </w:p>
    <w:p w14:paraId="2EA1806F" w14:textId="77777777" w:rsidR="00AA297E" w:rsidRDefault="00AA297E" w:rsidP="00AA297E">
      <w:pPr>
        <w:rPr>
          <w:rFonts w:eastAsia="Times New Roman"/>
          <w:szCs w:val="24"/>
          <w:lang w:eastAsia="ru-RU"/>
        </w:rPr>
      </w:pPr>
      <w:r w:rsidRPr="00482DE7">
        <w:rPr>
          <w:rFonts w:eastAsia="Times New Roman"/>
          <w:szCs w:val="24"/>
          <w:lang w:eastAsia="ru-RU"/>
        </w:rPr>
        <w:t>3) Плазмаферез (ПФ)</w:t>
      </w:r>
      <w:r>
        <w:rPr>
          <w:rFonts w:eastAsia="Times New Roman"/>
          <w:szCs w:val="24"/>
          <w:lang w:eastAsia="ru-RU"/>
        </w:rPr>
        <w:t xml:space="preserve"> эффективен в комплексной терапии АФС и катастрофического АФС, ТТП и других видах ТМА, гипергомоцистеинемии, повышении активности факторов свертывания крови, при рецидивирующих тромбозах с угрозой развития тяжелых трофических нарушений. Объем, интенсивность, способы замещения ПФ зависят от характеристики заболеваний. </w:t>
      </w:r>
    </w:p>
    <w:p w14:paraId="04C8EA42" w14:textId="77777777" w:rsidR="00AA297E" w:rsidRDefault="00AA297E" w:rsidP="00AA297E">
      <w:pPr>
        <w:ind w:left="1429"/>
        <w:rPr>
          <w:rFonts w:eastAsia="Times New Roman"/>
          <w:szCs w:val="24"/>
          <w:lang w:eastAsia="ru-RU"/>
        </w:rPr>
      </w:pPr>
    </w:p>
    <w:p w14:paraId="2ACFA7D7" w14:textId="77777777" w:rsidR="00AA297E" w:rsidRPr="00111FC7" w:rsidRDefault="00AA297E" w:rsidP="00AA297E">
      <w:pPr>
        <w:ind w:firstLine="708"/>
        <w:rPr>
          <w:rFonts w:eastAsia="Times New Roman"/>
          <w:szCs w:val="24"/>
          <w:u w:val="single"/>
          <w:lang w:eastAsia="ru-RU"/>
        </w:rPr>
      </w:pPr>
      <w:r w:rsidRPr="00111FC7">
        <w:rPr>
          <w:rFonts w:eastAsia="Times New Roman"/>
          <w:szCs w:val="24"/>
          <w:u w:val="single"/>
          <w:lang w:eastAsia="ru-RU"/>
        </w:rPr>
        <w:t xml:space="preserve">Хирургическое лечение.   </w:t>
      </w:r>
    </w:p>
    <w:p w14:paraId="7B66AFFB" w14:textId="77777777" w:rsidR="00AA297E" w:rsidRPr="00A13E2A" w:rsidRDefault="00AA297E" w:rsidP="00AA297E">
      <w:pPr>
        <w:contextualSpacing/>
        <w:rPr>
          <w:rFonts w:eastAsia="Times New Roman"/>
          <w:b/>
          <w:szCs w:val="24"/>
          <w:lang w:eastAsia="ru-RU"/>
        </w:rPr>
      </w:pPr>
      <w:r w:rsidRPr="00A13E2A">
        <w:rPr>
          <w:rFonts w:eastAsia="Times New Roman"/>
          <w:szCs w:val="24"/>
          <w:lang w:eastAsia="ru-RU"/>
        </w:rPr>
        <w:t xml:space="preserve">Диагностику и лечение артериальных тромбозов необходимо строго осуществлять совместно с ангиохирургом, часто в условиях специализированного ангиологического хирургического стационара. При ТЭЛА с тяжелыми гемодинамическими расстройствами (АД в легочной артерии более 60-65 мм.рт.ст.) показано хирургическое удаление тромбов из легочной артерии.  </w:t>
      </w:r>
    </w:p>
    <w:p w14:paraId="2D7A17F6" w14:textId="77777777" w:rsidR="00AA297E" w:rsidRPr="00A13E2A" w:rsidRDefault="00AA297E" w:rsidP="00AA297E">
      <w:pPr>
        <w:rPr>
          <w:rFonts w:eastAsia="Times New Roman"/>
          <w:b/>
          <w:szCs w:val="24"/>
          <w:lang w:eastAsia="ru-RU"/>
        </w:rPr>
      </w:pPr>
      <w:r w:rsidRPr="00A13E2A">
        <w:rPr>
          <w:rFonts w:eastAsia="Times New Roman"/>
          <w:szCs w:val="24"/>
          <w:lang w:eastAsia="ru-RU"/>
        </w:rPr>
        <w:t>При развитии некротических изменений в результате окклюзирующих тромбозов показано экстренное хирургическое пособие.</w:t>
      </w:r>
    </w:p>
    <w:p w14:paraId="3FF601DF" w14:textId="77777777" w:rsidR="00AA297E" w:rsidRPr="00A13E2A" w:rsidRDefault="00AA297E" w:rsidP="00AA297E">
      <w:pPr>
        <w:rPr>
          <w:rFonts w:eastAsia="Times New Roman"/>
          <w:b/>
          <w:szCs w:val="24"/>
          <w:lang w:eastAsia="ru-RU"/>
        </w:rPr>
      </w:pPr>
      <w:r w:rsidRPr="00A13E2A">
        <w:rPr>
          <w:rFonts w:eastAsia="Times New Roman"/>
          <w:szCs w:val="24"/>
          <w:lang w:eastAsia="ru-RU"/>
        </w:rPr>
        <w:t xml:space="preserve">При флотирующих тромбах возможны применение эндоваскулярной тромбоэкстракции, установка кава-фильтра, хирургическая перевязка сосудов, прошивание нижней полой вены и др. </w:t>
      </w:r>
    </w:p>
    <w:p w14:paraId="5BB2A91E" w14:textId="77777777" w:rsidR="00AA297E" w:rsidRDefault="00AA297E" w:rsidP="00AA297E">
      <w:pPr>
        <w:rPr>
          <w:rFonts w:eastAsia="Times New Roman"/>
          <w:szCs w:val="24"/>
          <w:lang w:eastAsia="ru-RU"/>
        </w:rPr>
      </w:pPr>
      <w:r>
        <w:rPr>
          <w:rFonts w:eastAsia="Times New Roman"/>
          <w:szCs w:val="24"/>
          <w:lang w:eastAsia="ru-RU"/>
        </w:rPr>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14:paraId="700ECD52" w14:textId="77777777" w:rsidR="00AA297E" w:rsidRDefault="00AA297E" w:rsidP="00AA297E">
      <w:pPr>
        <w:rPr>
          <w:szCs w:val="24"/>
        </w:rPr>
      </w:pPr>
      <w:r>
        <w:rPr>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Pr>
          <w:szCs w:val="24"/>
          <w:lang w:val="en-US"/>
        </w:rPr>
        <w:t>III</w:t>
      </w:r>
      <w:r>
        <w:rPr>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Pr>
          <w:szCs w:val="24"/>
          <w:lang w:val="en-US"/>
        </w:rPr>
        <w:t>D</w:t>
      </w:r>
      <w:r>
        <w:rPr>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14:paraId="02E7B270" w14:textId="77777777" w:rsidR="00AA297E" w:rsidRDefault="00AA297E" w:rsidP="00AA297E">
      <w:pPr>
        <w:pStyle w:val="afd"/>
        <w:spacing w:beforeAutospacing="0" w:afterAutospacing="0"/>
      </w:pPr>
    </w:p>
    <w:p w14:paraId="0DB518AE" w14:textId="77777777" w:rsidR="00AA297E" w:rsidRPr="00670BE6" w:rsidRDefault="00AA297E" w:rsidP="00D22A46">
      <w:pPr>
        <w:pStyle w:val="afd"/>
        <w:spacing w:beforeAutospacing="0" w:afterAutospacing="0"/>
        <w:ind w:firstLine="0"/>
        <w:rPr>
          <w:i/>
          <w:iCs/>
          <w:u w:val="single"/>
        </w:rPr>
      </w:pPr>
      <w:r w:rsidRPr="00D22A46">
        <w:rPr>
          <w:i/>
          <w:iCs/>
          <w:u w:val="single"/>
        </w:rPr>
        <w:t xml:space="preserve">Особенности профилактики и лечения ВТЭО </w:t>
      </w:r>
      <w:bookmarkStart w:id="66" w:name="_Toc535849609"/>
      <w:r w:rsidRPr="00D22A46">
        <w:rPr>
          <w:i/>
          <w:iCs/>
          <w:u w:val="single"/>
        </w:rPr>
        <w:t>при лимфо</w:t>
      </w:r>
      <w:bookmarkEnd w:id="66"/>
      <w:r w:rsidRPr="00D22A46">
        <w:rPr>
          <w:i/>
          <w:iCs/>
          <w:u w:val="single"/>
        </w:rPr>
        <w:t>мах</w:t>
      </w:r>
    </w:p>
    <w:p w14:paraId="77808235" w14:textId="1E9893FA" w:rsidR="00AA297E" w:rsidRDefault="00AA297E" w:rsidP="00AA297E">
      <w:r>
        <w:rPr>
          <w:szCs w:val="24"/>
        </w:rPr>
        <w:t>Частота возникновения ВТЭО при лимфомах колеблется от 1,5 до 59,5% и зависит от варианта лимфомы, стадии заболевания, ее локализации</w:t>
      </w:r>
      <w:r w:rsidRPr="00EF10DB">
        <w:rPr>
          <w:szCs w:val="24"/>
        </w:rPr>
        <w:t xml:space="preserve"> </w:t>
      </w:r>
      <w:r>
        <w:rPr>
          <w:szCs w:val="24"/>
        </w:rPr>
        <w:fldChar w:fldCharType="begin" w:fldLock="1"/>
      </w:r>
      <w:r w:rsidR="004F1D40">
        <w:rPr>
          <w:szCs w:val="24"/>
        </w:rPr>
        <w:instrText>ADDIN CSL_CITATION {"citationItems":[{"id":"ITEM-1","itemData":{"DOI":"10.1016/j.thromres.2016.05.008","ISSN":"18792472","PMID":"27208462","abstract":"Introduction Patients with non-Hodgkin lymphoma (NHL) have an increased risk of venous thromboembolism (VTE). Current risk-prediction models classify NHL as a single entity. We aimed to quantify the difference in VTE risk in follicular lymphoma (FL) versus diffuse large B cell lymphoma (DLBCL). Methods Using a prospective cohort study, we identified 2730 patients (2037 DLBCL; 693 FL) within the Veteran's Administration Central Cancer Registry. A competing risk model assessed the association between VTE risk and histology in the first year after NHL diagnosis. We assessed the effect of additional risk factors for VTE in NHL. Results In univariate analysis, DLBCL was associated with increased risk of VTE compared to FL in the first year after diagnosis; this association was no longer significant in adjusted analysis (adjusted hazard ratio (aHR) 1.52; 95% CI 0.97-2.40). Major risk factors for VTE included history of VTE before NHL diagnosis (aHR 4.73, p ≤ 0.0001) and time period during chemotherapy administration (aHR 7.60, p ≤ 0.0001). Additional risk factors included: stage III/IV disease (p = 0.02), BMI ≥ 30 (p = 0.02), B-symptoms (p = 0.02), and doxorubicin (p = 0.04). The cumulative incidence of VTE was highest in the period following diagnosis and decreased over time for both histologies. Conclusion DLBCL is associated with increased risk of VTE compared to FL. This risk is markedly attenuated when adjusting for additional risk factors. The strongest predictors for development of VTE included: time period during chemotherapy administration (especially doxorubicin) and history of VTE. This knowledge can assist clinicians in identifying NHL patients at high risk for VTE.","author":[{"dropping-particle":"","family":"Sanfilippo","given":"K. M.","non-dropping-particle":"","parse-names":false,"suffix":""},{"dropping-particle":"","family":"Wang","given":"T. F.","non-dropping-particle":"","parse-names":false,"suffix":""},{"dropping-particle":"","family":"Gage","given":"B. F.","non-dropping-particle":"","parse-names":false,"suffix":""},{"dropping-particle":"","family":"Luo","given":"S.","non-dropping-particle":"","parse-names":false,"suffix":""},{"dropping-particle":"","family":"Riedell","given":"P.","non-dropping-particle":"","parse-names":false,"suffix":""},{"dropping-particle":"","family":"Carson","given":"K. R.","non-dropping-particle":"","parse-names":false,"suffix":""}],"container-title":"Thrombosis Research","id":"ITEM-1","issued":{"date-parts":[["2016","7","1"]]},"page":"86-90","publisher":"Elsevier Ltd","title":"Incidence of venous thromboembolism in patients with non-Hodgkin lymphoma","type":"article-journal","volume":"143"},"uris":["http://www.mendeley.com/documents/?uuid=7b8bbbe4-fc75-35bc-b4a6-c3fcc6ae90cc"]},{"id":"ITEM-2","itemData":{"DOI":"10.1016/j.thromres.2012.03.019","ISSN":"18792472","PMID":"22507288","abstract":"Introduction: Venous thromboembolism (VTE) may be associated with treatment failure rate and quality of life deterioration in lymphoma patients. However, the majority of data regarding VTE has come from retrospective studies done in Western countries. Materials and methods: We analyzed VTE, including pulmonary embolism and deep vein thrombosis, from Asian patients enrolled a prospective cohort study. All patients were newly diagnosed Hodgkin's lymphoma (HL) and non-Hodgkin's lymphoma (NHL). Results: A total of 686 patients were analyzed, and the median follow-up duration was 21.8 months. There were 54 cases of VTE including deep vein thrombosis alone (33/54, 61.1%) and pulmonary embolism (21/54, 38.9%). The median time to VTE was 1.97 months, and the one-year actuarial incidence was 7.9%. The global incidence of VTE was higher in patients with NHL (51/641, 8.0%) than HL (3/45, 6.7%). All cases of VTE occurred in patients receiving chemotherapy whereas no VTE in patients without chemotherapy. VTE was also independently associated with age older than 60 years and primary central nervous system (CNS) lymphoma. No VTE-related deaths were reported among all cases of VTE. Thus, overall survival was not different between patients with and without VTE. The subgroup analysis of patients with diffuse large B-cell lymphoma showed 8.9% of one-year actuarial incidence, but the occurrence of VTE did not influence its overall survival, either. Conclusions: The incidence of VTE in our study population was comparable to that of Western countries, and VTE was associated with chemotherapy, brain involvement and old age. © 2012 Elsevier Ltd.","author":[{"dropping-particle":"","family":"Park","given":"Lee Chun","non-dropping-particle":"","parse-names":false,"suffix":""},{"dropping-particle":"","family":"Woo","given":"Sook Young","non-dropping-particle":"","parse-names":false,"suffix":""},{"dropping-particle":"","family":"Kim","given":"Seonwoo","non-dropping-particle":"","parse-names":false,"suffix":""},{"dropping-particle":"","family":"Jeon","given":"Hyeji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Seog","non-dropping-particle":"","parse-names":false,"suffix":""}],"container-title":"Thrombosis Research","id":"ITEM-2","issue":"3","issued":{"date-parts":[["2012"]]},"page":"e6","publisher":"Elsevier Ltd","title":"Incidence, risk factors and clinical features of venous thromboembolism in newly diagnosed lymphoma patients: Results from a prospective cohort study with Asian population","type":"article-journal","volume":"130"},"uris":["http://www.mendeley.com/documents/?uuid=3cf2b606-ef7e-3c57-a3c7-2a7b45850867"]}],"mendeley":{"formattedCitation":"[53,54]","plainTextFormattedCitation":"[53,54]","previouslyFormattedCitation":"[53,54]"},"properties":{"noteIndex":0},"schema":"https://github.com/citation-style-language/schema/raw/master/csl-citation.json"}</w:instrText>
      </w:r>
      <w:r>
        <w:rPr>
          <w:szCs w:val="24"/>
        </w:rPr>
        <w:fldChar w:fldCharType="separate"/>
      </w:r>
      <w:r w:rsidRPr="00AA297E">
        <w:rPr>
          <w:noProof/>
          <w:szCs w:val="24"/>
        </w:rPr>
        <w:t>[53,54]</w:t>
      </w:r>
      <w:r>
        <w:rPr>
          <w:szCs w:val="24"/>
        </w:rPr>
        <w:fldChar w:fldCharType="end"/>
      </w:r>
      <w:r>
        <w:rPr>
          <w:szCs w:val="24"/>
        </w:rPr>
        <w:t xml:space="preserve">. Наибольшая частота ВТЭО отмечается у больных лимфомами ЦНС, при которых риск их возникновения увеличивается в 4,19 раз, а также при первичной медиастинальный В-крупноклеточной лимфоме. При лимфомах высокой степени злокачественности риск ВТЭО выше, чем при лимфомах низкой степени злокачественности (8.3% против 6.3%). Развитию ВТЭО способствует сдавление венозных сосудов опухолевой массой, которое встречается у 22% больных лимфомами </w:t>
      </w:r>
      <w:r>
        <w:rPr>
          <w:szCs w:val="24"/>
        </w:rPr>
        <w:fldChar w:fldCharType="begin" w:fldLock="1"/>
      </w:r>
      <w:r w:rsidR="004F1D40">
        <w:rPr>
          <w:szCs w:val="24"/>
        </w:rPr>
        <w:instrText>ADDIN CSL_CITATION {"citationItems":[{"id":"ITEM-1","itemData":{"DOI":"10.1016/j.thromres.2016.05.008","ISSN":"18792472","PMID":"27208462","abstract":"Introduction Patients with non-Hodgkin lymphoma (NHL) have an increased risk of venous thromboembolism (VTE). Current risk-prediction models classify NHL as a single entity. We aimed to quantify the difference in VTE risk in follicular lymphoma (FL) versus diffuse large B cell lymphoma (DLBCL). Methods Using a prospective cohort study, we identified 2730 patients (2037 DLBCL; 693 FL) within the Veteran's Administration Central Cancer Registry. A competing risk model assessed the association between VTE risk and histology in the first year after NHL diagnosis. We assessed the effect of additional risk factors for VTE in NHL. Results In univariate analysis, DLBCL was associated with increased risk of VTE compared to FL in the first year after diagnosis; this association was no longer significant in adjusted analysis (adjusted hazard ratio (aHR) 1.52; 95% CI 0.97-2.40). Major risk factors for VTE included history of VTE before NHL diagnosis (aHR 4.73, p ≤ 0.0001) and time period during chemotherapy administration (aHR 7.60, p ≤ 0.0001). Additional risk factors included: stage III/IV disease (p = 0.02), BMI ≥ 30 (p = 0.02), B-symptoms (p = 0.02), and doxorubicin (p = 0.04). The cumulative incidence of VTE was highest in the period following diagnosis and decreased over time for both histologies. Conclusion DLBCL is associated with increased risk of VTE compared to FL. This risk is markedly attenuated when adjusting for additional risk factors. The strongest predictors for development of VTE included: time period during chemotherapy administration (especially doxorubicin) and history of VTE. This knowledge can assist clinicians in identifying NHL patients at high risk for VTE.","author":[{"dropping-particle":"","family":"Sanfilippo","given":"K. M.","non-dropping-particle":"","parse-names":false,"suffix":""},{"dropping-particle":"","family":"Wang","given":"T. F.","non-dropping-particle":"","parse-names":false,"suffix":""},{"dropping-particle":"","family":"Gage","given":"B. F.","non-dropping-particle":"","parse-names":false,"suffix":""},{"dropping-particle":"","family":"Luo","given":"S.","non-dropping-particle":"","parse-names":false,"suffix":""},{"dropping-particle":"","family":"Riedell","given":"P.","non-dropping-particle":"","parse-names":false,"suffix":""},{"dropping-particle":"","family":"Carson","given":"K. R.","non-dropping-particle":"","parse-names":false,"suffix":""}],"container-title":"Thrombosis Research","id":"ITEM-1","issued":{"date-parts":[["2016","7","1"]]},"page":"86-90","publisher":"Elsevier Ltd","title":"Incidence of venous thromboembolism in patients with non-Hodgkin lymphoma","type":"article-journal","volume":"143"},"uris":["http://www.mendeley.com/documents/?uuid=7b8bbbe4-fc75-35bc-b4a6-c3fcc6ae90cc"]},{"id":"ITEM-2","itemData":{"DOI":"10.1016/j.thromres.2012.03.019","ISSN":"18792472","PMID":"22507288","abstract":"Introduction: Venous thromboembolism (VTE) may be associated with treatment failure rate and quality of life deterioration in lymphoma patients. However, the majority of data regarding VTE has come from retrospective studies done in Western countries. Materials and methods: We analyzed VTE, including pulmonary embolism and deep vein thrombosis, from Asian patients enrolled a prospective cohort study. All patients were newly diagnosed Hodgkin's lymphoma (HL) and non-Hodgkin's lymphoma (NHL). Results: A total of 686 patients were analyzed, and the median follow-up duration was 21.8 months. There were 54 cases of VTE including deep vein thrombosis alone (33/54, 61.1%) and pulmonary embolism (21/54, 38.9%). The median time to VTE was 1.97 months, and the one-year actuarial incidence was 7.9%. The global incidence of VTE was higher in patients with NHL (51/641, 8.0%) than HL (3/45, 6.7%). All cases of VTE occurred in patients receiving chemotherapy whereas no VTE in patients without chemotherapy. VTE was also independently associated with age older than 60 years and primary central nervous system (CNS) lymphoma. No VTE-related deaths were reported among all cases of VTE. Thus, overall survival was not different between patients with and without VTE. The subgroup analysis of patients with diffuse large B-cell lymphoma showed 8.9% of one-year actuarial incidence, but the occurrence of VTE did not influence its overall survival, either. Conclusions: The incidence of VTE in our study population was comparable to that of Western countries, and VTE was associated with chemotherapy, brain involvement and old age. © 2012 Elsevier Ltd.","author":[{"dropping-particle":"","family":"Park","given":"Lee Chun","non-dropping-particle":"","parse-names":false,"suffix":""},{"dropping-particle":"","family":"Woo","given":"Sook Young","non-dropping-particle":"","parse-names":false,"suffix":""},{"dropping-particle":"","family":"Kim","given":"Seonwoo","non-dropping-particle":"","parse-names":false,"suffix":""},{"dropping-particle":"","family":"Jeon","given":"Hyeji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Seog","non-dropping-particle":"","parse-names":false,"suffix":""}],"container-title":"Thrombosis Research","id":"ITEM-2","issue":"3","issued":{"date-parts":[["2012"]]},"page":"e6","publisher":"Elsevier Ltd","title":"Incidence, risk factors and clinical features of venous thromboembolism in newly diagnosed lymphoma patients: Results from a prospective cohort study with Asian population","type":"article-journal","volume":"130"},"uris":["http://www.mendeley.com/documents/?uuid=3cf2b606-ef7e-3c57-a3c7-2a7b45850867"]}],"mendeley":{"formattedCitation":"[53,54]","plainTextFormattedCitation":"[53,54]","previouslyFormattedCitation":"[53,54]"},"properties":{"noteIndex":0},"schema":"https://github.com/citation-style-language/schema/raw/master/csl-citation.json"}</w:instrText>
      </w:r>
      <w:r>
        <w:rPr>
          <w:szCs w:val="24"/>
        </w:rPr>
        <w:fldChar w:fldCharType="separate"/>
      </w:r>
      <w:r w:rsidRPr="00AA297E">
        <w:rPr>
          <w:noProof/>
          <w:szCs w:val="24"/>
        </w:rPr>
        <w:t>[53,54]</w:t>
      </w:r>
      <w:r>
        <w:rPr>
          <w:szCs w:val="24"/>
        </w:rPr>
        <w:fldChar w:fldCharType="end"/>
      </w:r>
      <w:r>
        <w:rPr>
          <w:szCs w:val="24"/>
        </w:rPr>
        <w:t>.</w:t>
      </w:r>
    </w:p>
    <w:p w14:paraId="18102889" w14:textId="77777777" w:rsidR="00AA297E" w:rsidRDefault="00AA297E" w:rsidP="00AA297E">
      <w:pPr>
        <w:rPr>
          <w:szCs w:val="24"/>
        </w:rPr>
      </w:pPr>
      <w:r>
        <w:rPr>
          <w:szCs w:val="24"/>
        </w:rPr>
        <w:t xml:space="preserve">При лимфомах факторами риска ВТЭО являются возраст старше 60 лет, интоксикационный синдром, а также ХТ и лучевая терапия. В частности, после ХТ в течение первых 3 мес. лечения более, чем в 70% случаев, у больных регистрируются ВТЭО.  </w:t>
      </w:r>
    </w:p>
    <w:p w14:paraId="3EEFDE38" w14:textId="77777777" w:rsidR="00AA297E" w:rsidRDefault="00AA297E" w:rsidP="00AA297E">
      <w:pPr>
        <w:widowControl w:val="0"/>
        <w:rPr>
          <w:szCs w:val="24"/>
        </w:rPr>
      </w:pPr>
      <w:r w:rsidRPr="00C86B9A">
        <w:rPr>
          <w:szCs w:val="24"/>
        </w:rPr>
        <w:t>Среди больных, которым проведена ауто- или аллоТГСК, ВТЭО выявляется в 4,6%</w:t>
      </w:r>
      <w:r>
        <w:rPr>
          <w:szCs w:val="24"/>
        </w:rPr>
        <w:t xml:space="preserve"> случаев. Риск ВТЭО выше у больных с тромбоцитопенией потребления, с предшествующими тромбозами и при наличии реакции «трансплантат против хозяина». </w:t>
      </w:r>
    </w:p>
    <w:p w14:paraId="132CEB01" w14:textId="77777777" w:rsidR="00AA297E" w:rsidRDefault="00AA297E" w:rsidP="00AA297E">
      <w:pPr>
        <w:rPr>
          <w:szCs w:val="24"/>
        </w:rPr>
      </w:pPr>
      <w:r>
        <w:rPr>
          <w:szCs w:val="24"/>
        </w:rPr>
        <w:t xml:space="preserve">При решении вопроса о проведения профилактики необходимо учитывать индивидуальный риск развития ВТЭО (табл. 5). </w:t>
      </w:r>
    </w:p>
    <w:p w14:paraId="3D4044FA" w14:textId="77777777" w:rsidR="00AA297E" w:rsidRDefault="00AA297E" w:rsidP="00AA297E">
      <w:pPr>
        <w:ind w:firstLine="0"/>
        <w:rPr>
          <w:szCs w:val="24"/>
        </w:rPr>
      </w:pPr>
    </w:p>
    <w:p w14:paraId="65A30CD3" w14:textId="77777777" w:rsidR="00AA297E" w:rsidRPr="00947086" w:rsidRDefault="00AA297E" w:rsidP="00AA297E">
      <w:pPr>
        <w:ind w:firstLine="0"/>
        <w:rPr>
          <w:szCs w:val="24"/>
        </w:rPr>
      </w:pPr>
      <w:r w:rsidRPr="00947086">
        <w:rPr>
          <w:szCs w:val="24"/>
        </w:rPr>
        <w:t>Таблица 5. Оценка риска развития ВТЭО у пациентов с лимфомами и множественной миеломой</w:t>
      </w:r>
    </w:p>
    <w:tbl>
      <w:tblPr>
        <w:tblStyle w:val="aff9"/>
        <w:tblW w:w="8080" w:type="dxa"/>
        <w:tblInd w:w="817" w:type="dxa"/>
        <w:tblLook w:val="04A0" w:firstRow="1" w:lastRow="0" w:firstColumn="1" w:lastColumn="0" w:noHBand="0" w:noVBand="1"/>
      </w:tblPr>
      <w:tblGrid>
        <w:gridCol w:w="4536"/>
        <w:gridCol w:w="3544"/>
      </w:tblGrid>
      <w:tr w:rsidR="00AA297E" w14:paraId="58C98100" w14:textId="77777777" w:rsidTr="005A428D">
        <w:tc>
          <w:tcPr>
            <w:tcW w:w="4536" w:type="dxa"/>
            <w:shd w:val="clear" w:color="auto" w:fill="auto"/>
          </w:tcPr>
          <w:p w14:paraId="3B2FEAF8" w14:textId="77777777" w:rsidR="00AA297E" w:rsidRPr="00947086" w:rsidRDefault="00AA297E" w:rsidP="005A428D">
            <w:pPr>
              <w:ind w:firstLine="0"/>
              <w:jc w:val="center"/>
              <w:rPr>
                <w:szCs w:val="24"/>
              </w:rPr>
            </w:pPr>
            <w:r w:rsidRPr="00947086">
              <w:rPr>
                <w:szCs w:val="24"/>
              </w:rPr>
              <w:t>Факторы риска</w:t>
            </w:r>
          </w:p>
        </w:tc>
        <w:tc>
          <w:tcPr>
            <w:tcW w:w="3544" w:type="dxa"/>
            <w:shd w:val="clear" w:color="auto" w:fill="auto"/>
          </w:tcPr>
          <w:p w14:paraId="385610A6" w14:textId="77777777" w:rsidR="00AA297E" w:rsidRPr="00947086" w:rsidRDefault="00AA297E" w:rsidP="005A428D">
            <w:pPr>
              <w:ind w:firstLine="0"/>
              <w:jc w:val="center"/>
              <w:rPr>
                <w:szCs w:val="24"/>
              </w:rPr>
            </w:pPr>
            <w:r w:rsidRPr="00947086">
              <w:rPr>
                <w:szCs w:val="24"/>
              </w:rPr>
              <w:t>Рекомендуемые действия</w:t>
            </w:r>
          </w:p>
        </w:tc>
      </w:tr>
      <w:tr w:rsidR="00AA297E" w14:paraId="54677E5A" w14:textId="77777777" w:rsidTr="005A428D">
        <w:tc>
          <w:tcPr>
            <w:tcW w:w="4536" w:type="dxa"/>
            <w:shd w:val="clear" w:color="auto" w:fill="auto"/>
          </w:tcPr>
          <w:p w14:paraId="4566CEE4" w14:textId="77777777" w:rsidR="00AA297E" w:rsidRDefault="00AA297E" w:rsidP="005A428D">
            <w:pPr>
              <w:rPr>
                <w:szCs w:val="24"/>
              </w:rPr>
            </w:pPr>
            <w:r>
              <w:rPr>
                <w:szCs w:val="24"/>
              </w:rPr>
              <w:t>Индивидуальные для пациента:</w:t>
            </w:r>
          </w:p>
          <w:p w14:paraId="141BDE44" w14:textId="77777777" w:rsidR="00AA297E" w:rsidRDefault="00AA297E" w:rsidP="00D22A46">
            <w:pPr>
              <w:pStyle w:val="afe"/>
              <w:numPr>
                <w:ilvl w:val="0"/>
                <w:numId w:val="51"/>
              </w:numPr>
              <w:jc w:val="left"/>
              <w:rPr>
                <w:szCs w:val="24"/>
              </w:rPr>
            </w:pPr>
            <w:r>
              <w:rPr>
                <w:szCs w:val="24"/>
              </w:rPr>
              <w:t>ожирение (ИМТ ≥ 30 кг/м</w:t>
            </w:r>
            <w:r>
              <w:rPr>
                <w:szCs w:val="24"/>
                <w:vertAlign w:val="superscript"/>
              </w:rPr>
              <w:t>2</w:t>
            </w:r>
            <w:r>
              <w:rPr>
                <w:szCs w:val="24"/>
              </w:rPr>
              <w:t>)</w:t>
            </w:r>
          </w:p>
          <w:p w14:paraId="0C2A9D97" w14:textId="77777777" w:rsidR="00AA297E" w:rsidRDefault="00AA297E" w:rsidP="00D22A46">
            <w:pPr>
              <w:pStyle w:val="afe"/>
              <w:numPr>
                <w:ilvl w:val="0"/>
                <w:numId w:val="51"/>
              </w:numPr>
              <w:jc w:val="left"/>
              <w:rPr>
                <w:szCs w:val="24"/>
              </w:rPr>
            </w:pPr>
            <w:r>
              <w:rPr>
                <w:szCs w:val="24"/>
              </w:rPr>
              <w:t>ВТЭО в анамнезе</w:t>
            </w:r>
          </w:p>
          <w:p w14:paraId="59EC56E3" w14:textId="77777777" w:rsidR="00AA297E" w:rsidRDefault="00AA297E" w:rsidP="00D22A46">
            <w:pPr>
              <w:pStyle w:val="afe"/>
              <w:numPr>
                <w:ilvl w:val="0"/>
                <w:numId w:val="51"/>
              </w:numPr>
              <w:jc w:val="left"/>
              <w:rPr>
                <w:szCs w:val="24"/>
              </w:rPr>
            </w:pPr>
            <w:r>
              <w:rPr>
                <w:szCs w:val="24"/>
              </w:rPr>
              <w:t>ЦВК или водители ритма</w:t>
            </w:r>
          </w:p>
          <w:p w14:paraId="5ACE22AC" w14:textId="77777777" w:rsidR="00AA297E" w:rsidRDefault="00AA297E" w:rsidP="00D22A46">
            <w:pPr>
              <w:pStyle w:val="afe"/>
              <w:numPr>
                <w:ilvl w:val="0"/>
                <w:numId w:val="51"/>
              </w:numPr>
              <w:jc w:val="left"/>
              <w:rPr>
                <w:szCs w:val="24"/>
              </w:rPr>
            </w:pPr>
            <w:r>
              <w:rPr>
                <w:szCs w:val="24"/>
              </w:rPr>
              <w:t>сопутствующие заболевания (ИБС, ХБП, сахарный диабет, инфекции, иммобилизация)</w:t>
            </w:r>
          </w:p>
          <w:p w14:paraId="31150304" w14:textId="77777777" w:rsidR="00AA297E" w:rsidRDefault="00AA297E" w:rsidP="00D22A46">
            <w:pPr>
              <w:pStyle w:val="afe"/>
              <w:numPr>
                <w:ilvl w:val="0"/>
                <w:numId w:val="51"/>
              </w:numPr>
              <w:jc w:val="left"/>
              <w:rPr>
                <w:szCs w:val="24"/>
              </w:rPr>
            </w:pPr>
            <w:r>
              <w:rPr>
                <w:szCs w:val="24"/>
              </w:rPr>
              <w:t>хирургия, анестезия, травмы</w:t>
            </w:r>
          </w:p>
          <w:p w14:paraId="0E2184D3" w14:textId="77777777" w:rsidR="00AA297E" w:rsidRDefault="00AA297E" w:rsidP="00D22A46">
            <w:pPr>
              <w:pStyle w:val="afe"/>
              <w:numPr>
                <w:ilvl w:val="0"/>
                <w:numId w:val="51"/>
              </w:numPr>
              <w:jc w:val="left"/>
              <w:rPr>
                <w:szCs w:val="24"/>
              </w:rPr>
            </w:pPr>
            <w:r>
              <w:rPr>
                <w:szCs w:val="24"/>
              </w:rPr>
              <w:t>применение эритропоэтина</w:t>
            </w:r>
          </w:p>
          <w:p w14:paraId="36F15A5C" w14:textId="77777777" w:rsidR="00AA297E" w:rsidRDefault="00AA297E" w:rsidP="00D22A46">
            <w:pPr>
              <w:pStyle w:val="afe"/>
              <w:numPr>
                <w:ilvl w:val="0"/>
                <w:numId w:val="51"/>
              </w:numPr>
              <w:jc w:val="left"/>
              <w:rPr>
                <w:b/>
                <w:szCs w:val="24"/>
              </w:rPr>
            </w:pPr>
            <w:r>
              <w:rPr>
                <w:szCs w:val="24"/>
              </w:rPr>
              <w:t>тромбофилии</w:t>
            </w:r>
          </w:p>
        </w:tc>
        <w:tc>
          <w:tcPr>
            <w:tcW w:w="3544" w:type="dxa"/>
            <w:vMerge w:val="restart"/>
            <w:shd w:val="clear" w:color="auto" w:fill="auto"/>
            <w:vAlign w:val="center"/>
          </w:tcPr>
          <w:p w14:paraId="64244EBE" w14:textId="77777777" w:rsidR="00AA297E" w:rsidRPr="00947086" w:rsidRDefault="00AA297E" w:rsidP="005A428D">
            <w:pPr>
              <w:pStyle w:val="afe"/>
              <w:ind w:firstLine="0"/>
              <w:rPr>
                <w:szCs w:val="24"/>
                <w:u w:val="single"/>
              </w:rPr>
            </w:pPr>
            <w:r w:rsidRPr="00947086">
              <w:rPr>
                <w:szCs w:val="24"/>
                <w:u w:val="single"/>
              </w:rPr>
              <w:t>0– 1 факторов риска:</w:t>
            </w:r>
          </w:p>
          <w:p w14:paraId="5FEDA843" w14:textId="77777777" w:rsidR="00AA297E" w:rsidRDefault="00AA297E" w:rsidP="005A428D">
            <w:pPr>
              <w:ind w:firstLine="0"/>
              <w:jc w:val="center"/>
              <w:rPr>
                <w:szCs w:val="24"/>
              </w:rPr>
            </w:pPr>
            <w:r>
              <w:rPr>
                <w:szCs w:val="24"/>
              </w:rPr>
              <w:t>- ацетилсалициловая кислота 75-325 мг/сут</w:t>
            </w:r>
          </w:p>
          <w:p w14:paraId="3B5CF8FE" w14:textId="77777777" w:rsidR="00AA297E" w:rsidRDefault="00AA297E" w:rsidP="005A428D">
            <w:pPr>
              <w:pStyle w:val="afe"/>
              <w:ind w:left="375" w:firstLine="0"/>
              <w:jc w:val="center"/>
              <w:rPr>
                <w:szCs w:val="24"/>
              </w:rPr>
            </w:pPr>
          </w:p>
          <w:p w14:paraId="78C8FC44" w14:textId="77777777" w:rsidR="00AA297E" w:rsidRPr="00947086" w:rsidRDefault="00AA297E" w:rsidP="005A428D">
            <w:pPr>
              <w:ind w:firstLine="0"/>
              <w:jc w:val="center"/>
              <w:rPr>
                <w:szCs w:val="24"/>
                <w:u w:val="single"/>
              </w:rPr>
            </w:pPr>
            <w:r w:rsidRPr="00947086">
              <w:rPr>
                <w:szCs w:val="24"/>
                <w:u w:val="single"/>
              </w:rPr>
              <w:t>≥ 2 фактора риска:</w:t>
            </w:r>
          </w:p>
          <w:p w14:paraId="5182AE4B" w14:textId="77777777" w:rsidR="00AA297E" w:rsidRDefault="00AA297E" w:rsidP="005A428D">
            <w:pPr>
              <w:ind w:firstLine="0"/>
              <w:rPr>
                <w:szCs w:val="24"/>
              </w:rPr>
            </w:pPr>
            <w:r>
              <w:rPr>
                <w:szCs w:val="24"/>
              </w:rPr>
              <w:t>- НМГ (эквивалентно 40 мг/сут эноксапарина натрия) или</w:t>
            </w:r>
          </w:p>
          <w:p w14:paraId="1D655B2D" w14:textId="77777777" w:rsidR="00AA297E" w:rsidRDefault="00AA297E" w:rsidP="005A428D">
            <w:pPr>
              <w:ind w:firstLine="0"/>
              <w:rPr>
                <w:b/>
                <w:szCs w:val="24"/>
              </w:rPr>
            </w:pPr>
            <w:r>
              <w:rPr>
                <w:b/>
                <w:szCs w:val="24"/>
              </w:rPr>
              <w:t xml:space="preserve">- </w:t>
            </w:r>
            <w:r w:rsidRPr="00AD6DDA">
              <w:rPr>
                <w:szCs w:val="24"/>
              </w:rPr>
              <w:t>Прямые оральные антикоагулянты</w:t>
            </w:r>
          </w:p>
        </w:tc>
      </w:tr>
      <w:tr w:rsidR="00AA297E" w14:paraId="10CED234" w14:textId="77777777" w:rsidTr="005A428D">
        <w:tc>
          <w:tcPr>
            <w:tcW w:w="4536" w:type="dxa"/>
            <w:shd w:val="clear" w:color="auto" w:fill="auto"/>
          </w:tcPr>
          <w:p w14:paraId="21671498" w14:textId="77777777" w:rsidR="00AA297E" w:rsidRDefault="00AA297E" w:rsidP="005A428D">
            <w:pPr>
              <w:rPr>
                <w:szCs w:val="24"/>
              </w:rPr>
            </w:pPr>
            <w:r>
              <w:rPr>
                <w:szCs w:val="24"/>
              </w:rPr>
              <w:t>У пациентов с ММ:</w:t>
            </w:r>
          </w:p>
          <w:p w14:paraId="0A8DD327" w14:textId="77777777" w:rsidR="00AA297E" w:rsidRDefault="00AA297E" w:rsidP="00D22A46">
            <w:pPr>
              <w:pStyle w:val="afe"/>
              <w:numPr>
                <w:ilvl w:val="0"/>
                <w:numId w:val="52"/>
              </w:numPr>
              <w:jc w:val="left"/>
              <w:rPr>
                <w:szCs w:val="24"/>
              </w:rPr>
            </w:pPr>
            <w:r>
              <w:rPr>
                <w:szCs w:val="24"/>
              </w:rPr>
              <w:t>гипервискозный синдром</w:t>
            </w:r>
          </w:p>
          <w:p w14:paraId="7DEA4107" w14:textId="77777777" w:rsidR="00AA297E" w:rsidRDefault="00AA297E" w:rsidP="00D22A46">
            <w:pPr>
              <w:pStyle w:val="afe"/>
              <w:numPr>
                <w:ilvl w:val="0"/>
                <w:numId w:val="52"/>
              </w:numPr>
              <w:jc w:val="left"/>
              <w:rPr>
                <w:szCs w:val="24"/>
              </w:rPr>
            </w:pPr>
            <w:r>
              <w:rPr>
                <w:szCs w:val="24"/>
              </w:rPr>
              <w:t>применение ингибиторов ангиогенеза в комбинации с</w:t>
            </w:r>
          </w:p>
          <w:p w14:paraId="1ECD9CC9" w14:textId="77777777" w:rsidR="00AA297E" w:rsidRDefault="00AA297E" w:rsidP="005A428D">
            <w:pPr>
              <w:rPr>
                <w:szCs w:val="24"/>
              </w:rPr>
            </w:pPr>
            <w:r>
              <w:rPr>
                <w:szCs w:val="24"/>
              </w:rPr>
              <w:t>- высокими дозами дексаметазона (≥ 480 мг/мес);</w:t>
            </w:r>
          </w:p>
          <w:p w14:paraId="51048C95" w14:textId="77777777" w:rsidR="00AA297E" w:rsidRDefault="00AA297E" w:rsidP="005A428D">
            <w:pPr>
              <w:rPr>
                <w:szCs w:val="24"/>
              </w:rPr>
            </w:pPr>
            <w:r>
              <w:rPr>
                <w:szCs w:val="24"/>
              </w:rPr>
              <w:t>- доксорубицином;</w:t>
            </w:r>
          </w:p>
          <w:p w14:paraId="3692077F" w14:textId="77777777" w:rsidR="00AA297E" w:rsidRDefault="00AA297E" w:rsidP="005A428D">
            <w:pPr>
              <w:rPr>
                <w:b/>
                <w:szCs w:val="24"/>
              </w:rPr>
            </w:pPr>
            <w:r>
              <w:rPr>
                <w:szCs w:val="24"/>
              </w:rPr>
              <w:t>- в схемах ПХТ</w:t>
            </w:r>
          </w:p>
        </w:tc>
        <w:tc>
          <w:tcPr>
            <w:tcW w:w="3544" w:type="dxa"/>
            <w:vMerge/>
            <w:shd w:val="clear" w:color="auto" w:fill="auto"/>
          </w:tcPr>
          <w:p w14:paraId="1B366509" w14:textId="77777777" w:rsidR="00AA297E" w:rsidRDefault="00AA297E" w:rsidP="005A428D">
            <w:pPr>
              <w:jc w:val="center"/>
              <w:rPr>
                <w:b/>
                <w:szCs w:val="24"/>
              </w:rPr>
            </w:pPr>
          </w:p>
        </w:tc>
      </w:tr>
    </w:tbl>
    <w:p w14:paraId="6962D6C0" w14:textId="77777777" w:rsidR="00AA297E" w:rsidRDefault="00AA297E" w:rsidP="00AA297E">
      <w:pPr>
        <w:rPr>
          <w:szCs w:val="24"/>
        </w:rPr>
      </w:pPr>
    </w:p>
    <w:p w14:paraId="0FD576FE" w14:textId="77777777" w:rsidR="00AA297E" w:rsidRDefault="00AA297E" w:rsidP="00AA297E">
      <w:pPr>
        <w:ind w:firstLine="708"/>
        <w:rPr>
          <w:szCs w:val="24"/>
        </w:rPr>
      </w:pPr>
      <w:r>
        <w:rPr>
          <w:szCs w:val="24"/>
        </w:rPr>
        <w:t xml:space="preserve">Определение продолжительности антитромботической профилактики должно проводиться на основании оценки сохранения/прекращения действия факторов риска развития тромбоза. К таким факторам, в первую очередь, относятся активность основного заболевания, химио- и лучевая терапия, ограничение подвижности пациента, наличие у него воспалительной активности инфекционного или неинфекционного генеза, дыхательной или сердечной недостаточности. В случае неполного устранения провоцирующих тромбоз факторов и сохранения высокого риска развития ВТЭО необходимо продолжение антитромботической профилактики. На начальной стадии антитромботической профилактики у пациентов с 0-1 фактором риска ВТЭО может применяться ацетилсалициловая кислота; у пациентов с ≥ 2 факторами риска препаратами выбора являются НМГ или ПОАК. Нет однозначных преимуществ тех или иных НМГ или ПОАК. </w:t>
      </w:r>
    </w:p>
    <w:p w14:paraId="0B42AFB0" w14:textId="77777777" w:rsidR="00AA297E" w:rsidRDefault="00AA297E" w:rsidP="00AA297E">
      <w:pPr>
        <w:spacing w:line="240" w:lineRule="auto"/>
        <w:ind w:firstLine="0"/>
        <w:jc w:val="left"/>
        <w:rPr>
          <w:color w:val="FF0000"/>
          <w:lang w:eastAsia="ru-RU" w:bidi="ru-RU"/>
        </w:rPr>
      </w:pPr>
    </w:p>
    <w:p w14:paraId="5423BF58" w14:textId="3610538E" w:rsidR="004F1D40" w:rsidRDefault="00D22A46" w:rsidP="004F1D40">
      <w:pPr>
        <w:pStyle w:val="2"/>
      </w:pPr>
      <w:bookmarkStart w:id="67" w:name="_Toc65108046"/>
      <w:bookmarkEnd w:id="64"/>
      <w:bookmarkEnd w:id="65"/>
      <w:r>
        <w:t xml:space="preserve">7.8. </w:t>
      </w:r>
      <w:bookmarkStart w:id="68" w:name="_Toc57985408"/>
      <w:bookmarkStart w:id="69" w:name="_Toc64295959"/>
      <w:r w:rsidR="004F1D40" w:rsidRPr="00761653">
        <w:t xml:space="preserve">Диагностика и лечение </w:t>
      </w:r>
      <w:r w:rsidR="004F1D40">
        <w:t xml:space="preserve">бактериальных </w:t>
      </w:r>
      <w:r w:rsidR="004F1D40" w:rsidRPr="00761653">
        <w:t>инфекционных осложнений</w:t>
      </w:r>
      <w:bookmarkEnd w:id="67"/>
      <w:bookmarkEnd w:id="68"/>
      <w:bookmarkEnd w:id="69"/>
    </w:p>
    <w:p w14:paraId="7A706FF4" w14:textId="3CC5CE86" w:rsidR="004F1D40" w:rsidRDefault="004F1D40" w:rsidP="004F1D40">
      <w:pPr>
        <w:contextualSpacing/>
      </w:pPr>
      <w:r w:rsidRPr="00761653">
        <w:t xml:space="preserve">Инфекции являются ведущими осложнениями при лечении заболеваний системы крови. Наиболее высокая частота определяется у </w:t>
      </w:r>
      <w:r>
        <w:t>пациентов с</w:t>
      </w:r>
      <w:r w:rsidRPr="00761653">
        <w:t xml:space="preserve"> острыми лейкозами и у реципиентов аллогенного трансплантата стволовых гемопоэтических клеток (ТГСК), варьирует от 30 до 90%. </w:t>
      </w:r>
      <w:r>
        <w:t>Так, у</w:t>
      </w:r>
      <w:r w:rsidRPr="00761653">
        <w:t xml:space="preserve"> </w:t>
      </w:r>
      <w:r>
        <w:t>пациентов с</w:t>
      </w:r>
      <w:r w:rsidRPr="00761653">
        <w:t xml:space="preserve"> острыми миелоидными лейкозами инфекционные осложнения составляют 80-90% на этап</w:t>
      </w:r>
      <w:r>
        <w:t>ах</w:t>
      </w:r>
      <w:r w:rsidRPr="00761653">
        <w:t xml:space="preserve"> индукции</w:t>
      </w:r>
      <w:r>
        <w:t xml:space="preserve"> и</w:t>
      </w:r>
      <w:r w:rsidRPr="00761653">
        <w:t xml:space="preserve"> консолидации</w:t>
      </w:r>
      <w:r>
        <w:t xml:space="preserve"> ремиссии</w:t>
      </w:r>
      <w:r w:rsidRPr="00761653">
        <w:t xml:space="preserve">; у </w:t>
      </w:r>
      <w:r>
        <w:t>пациентов</w:t>
      </w:r>
      <w:r w:rsidRPr="00761653">
        <w:t xml:space="preserve">острыми лимфоидными лейкозами </w:t>
      </w:r>
      <w:r>
        <w:t xml:space="preserve">инфекции развиваются </w:t>
      </w:r>
      <w:r w:rsidRPr="00761653">
        <w:t xml:space="preserve">преимущественно </w:t>
      </w:r>
      <w:r>
        <w:t>на этапе</w:t>
      </w:r>
      <w:r w:rsidRPr="00761653">
        <w:t xml:space="preserve"> индукции </w:t>
      </w:r>
      <w:r>
        <w:t xml:space="preserve">ремиссии </w:t>
      </w:r>
      <w:r w:rsidRPr="00761653">
        <w:t xml:space="preserve">(55%), реже – в </w:t>
      </w:r>
      <w:r>
        <w:t xml:space="preserve">период </w:t>
      </w:r>
      <w:r w:rsidRPr="00761653">
        <w:t xml:space="preserve">консолидации </w:t>
      </w:r>
      <w:r>
        <w:t xml:space="preserve">ремиссии </w:t>
      </w:r>
      <w:r w:rsidRPr="00761653">
        <w:t xml:space="preserve">(10%), у реципиентов аллогенных ТГСК </w:t>
      </w:r>
      <w:r>
        <w:t xml:space="preserve">– </w:t>
      </w:r>
      <w:r w:rsidRPr="00761653">
        <w:t>в период гранулоцитопении на этапе приживления гемопоэтических клеток (40-70%) и при развитии реакции “трансплантат против хозяина” (10-70%)</w:t>
      </w:r>
      <w:r>
        <w:t xml:space="preserve"> </w:t>
      </w:r>
      <w:r>
        <w:fldChar w:fldCharType="begin" w:fldLock="1"/>
      </w:r>
      <w:r w:rsidR="00F333D2">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[55,56]","plainTextFormattedCitation":"[55,56]","previouslyFormattedCitation":"[55,56]"},"properties":{"noteIndex":0},"schema":"https://github.com/citation-style-language/schema/raw/master/csl-citation.json"}</w:instrText>
      </w:r>
      <w:r>
        <w:fldChar w:fldCharType="separate"/>
      </w:r>
      <w:r w:rsidRPr="004F1D40">
        <w:rPr>
          <w:noProof/>
        </w:rPr>
        <w:t>[55,56]</w:t>
      </w:r>
      <w:r>
        <w:fldChar w:fldCharType="end"/>
      </w:r>
      <w:r w:rsidRPr="00761653">
        <w:t xml:space="preserve">. У других категорий </w:t>
      </w:r>
      <w:r>
        <w:t>пациентов</w:t>
      </w:r>
      <w:r w:rsidRPr="00761653">
        <w:t xml:space="preserve"> </w:t>
      </w:r>
      <w:r>
        <w:t xml:space="preserve">с лейкозами и лимфомами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p>
    <w:p w14:paraId="4683CD70" w14:textId="77777777" w:rsidR="004F1D40" w:rsidRPr="00761653" w:rsidRDefault="004F1D40" w:rsidP="004F1D40">
      <w:pPr>
        <w:ind w:firstLine="708"/>
      </w:pPr>
      <w:r w:rsidRPr="00761653">
        <w:t xml:space="preserve">Инфекционные осложнения у </w:t>
      </w:r>
      <w:r>
        <w:t>пациентов</w:t>
      </w:r>
      <w:r w:rsidRPr="00761653">
        <w:t xml:space="preserve"> с </w:t>
      </w:r>
      <w:r>
        <w:t>лимфомами</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t xml:space="preserve">представлен комплекс лабораторных исследований для диагностики инфекционных осложнений, а также подходы к их терапии, которые отличаются </w:t>
      </w:r>
      <w:r>
        <w:t>в зависимости от наличия/отсутствия</w:t>
      </w:r>
      <w:r w:rsidRPr="00761653">
        <w:t xml:space="preserve"> нейтропении.</w:t>
      </w:r>
    </w:p>
    <w:p w14:paraId="496D2DCF" w14:textId="77777777" w:rsidR="004F1D40" w:rsidRDefault="004F1D40" w:rsidP="004F1D40">
      <w:pPr>
        <w:widowControl w:val="0"/>
        <w:autoSpaceDE w:val="0"/>
        <w:autoSpaceDN w:val="0"/>
        <w:adjustRightInd w:val="0"/>
        <w:ind w:right="49"/>
        <w:contextualSpacing/>
      </w:pPr>
      <w:r w:rsidRPr="00761653">
        <w:t xml:space="preserve">Основным фактором, определяющим развитие инфекционных осложнений у </w:t>
      </w:r>
      <w:r>
        <w:t xml:space="preserve">гематологических пациентов,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7C833C28" w14:textId="77777777" w:rsidR="004F1D40" w:rsidRDefault="004F1D40" w:rsidP="004F1D40">
      <w:pPr>
        <w:widowControl w:val="0"/>
        <w:autoSpaceDE w:val="0"/>
        <w:autoSpaceDN w:val="0"/>
        <w:adjustRightInd w:val="0"/>
        <w:ind w:right="49"/>
        <w:contextualSpacing/>
        <w:rPr>
          <w:b/>
        </w:rPr>
      </w:pPr>
    </w:p>
    <w:p w14:paraId="51A7C231" w14:textId="77777777" w:rsidR="004F1D40" w:rsidRPr="005A451C" w:rsidRDefault="004F1D40" w:rsidP="004F1D40">
      <w:pPr>
        <w:widowControl w:val="0"/>
        <w:autoSpaceDE w:val="0"/>
        <w:autoSpaceDN w:val="0"/>
        <w:adjustRightInd w:val="0"/>
        <w:ind w:right="49"/>
        <w:contextualSpacing/>
        <w:rPr>
          <w:bCs/>
          <w:i/>
          <w:iCs/>
          <w:u w:val="single"/>
        </w:rPr>
      </w:pPr>
      <w:r w:rsidRPr="005A451C">
        <w:rPr>
          <w:bCs/>
          <w:i/>
          <w:iCs/>
          <w:u w:val="single"/>
        </w:rPr>
        <w:t>Этиология инфекционных осложнений</w:t>
      </w:r>
    </w:p>
    <w:p w14:paraId="2BD1AECA" w14:textId="45E8F82A" w:rsidR="004F1D40" w:rsidRPr="00761653" w:rsidRDefault="004F1D40" w:rsidP="004F1D40">
      <w:pPr>
        <w:widowControl w:val="0"/>
        <w:autoSpaceDE w:val="0"/>
        <w:autoSpaceDN w:val="0"/>
        <w:adjustRightInd w:val="0"/>
        <w:ind w:right="49"/>
        <w:contextualSpacing/>
      </w:pPr>
      <w:r w:rsidRPr="00761653">
        <w:t xml:space="preserve">Этиологическая структура возбудителей у </w:t>
      </w:r>
      <w:r>
        <w:t>гематологических пациентов, в том числе, пациентов с лимфомами,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F333D2">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[55]","plainTextFormattedCitation":"[55]","previouslyFormattedCitation":"[55]"},"properties":{"noteIndex":0},"schema":"https://github.com/citation-style-language/schema/raw/master/csl-citation.json"}</w:instrText>
      </w:r>
      <w:r>
        <w:fldChar w:fldCharType="separate"/>
      </w:r>
      <w:r w:rsidRPr="004F1D40">
        <w:rPr>
          <w:noProof/>
        </w:rPr>
        <w:t>[55]</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F333D2">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[57]","plainTextFormattedCitation":"[57]","previouslyFormattedCitation":"[57]"},"properties":{"noteIndex":0},"schema":"https://github.com/citation-style-language/schema/raw/master/csl-citation.json"}</w:instrText>
      </w:r>
      <w:r>
        <w:fldChar w:fldCharType="separate"/>
      </w:r>
      <w:r w:rsidRPr="004F1D40">
        <w:rPr>
          <w:noProof/>
        </w:rPr>
        <w:t>[57]</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262B3ED2" w14:textId="082833CE" w:rsidR="004F1D40" w:rsidRPr="00761653" w:rsidRDefault="004F1D40" w:rsidP="004F1D40">
      <w:pPr>
        <w:widowControl w:val="0"/>
        <w:autoSpaceDE w:val="0"/>
        <w:autoSpaceDN w:val="0"/>
        <w:adjustRightInd w:val="0"/>
        <w:ind w:right="4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F333D2">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[58]","plainTextFormattedCitation":"[58]","previouslyFormattedCitation":"[58]"},"properties":{"noteIndex":0},"schema":"https://github.com/citation-style-language/schema/raw/master/csl-citation.json"}</w:instrText>
      </w:r>
      <w:r>
        <w:fldChar w:fldCharType="separate"/>
      </w:r>
      <w:r w:rsidRPr="004F1D40">
        <w:rPr>
          <w:noProof/>
        </w:rPr>
        <w:t>[58]</w:t>
      </w:r>
      <w:r>
        <w:fldChar w:fldCharType="end"/>
      </w:r>
      <w:r w:rsidRPr="00761653">
        <w:t xml:space="preserve">. Среди грамположительных бактерий отмечена устойчивость </w:t>
      </w:r>
      <w:r w:rsidRPr="00761653">
        <w:rPr>
          <w:i/>
          <w:iCs/>
        </w:rPr>
        <w:t xml:space="preserve">Enterococcus faecium </w:t>
      </w:r>
      <w:r w:rsidRPr="00761653">
        <w:t xml:space="preserve">к ванкомицину (15%).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Pr>
          <w:i/>
          <w:iCs/>
        </w:rPr>
        <w:t xml:space="preserve"> </w:t>
      </w:r>
      <w:r>
        <w:rPr>
          <w:i/>
          <w:iCs/>
        </w:rPr>
        <w:fldChar w:fldCharType="begin" w:fldLock="1"/>
      </w:r>
      <w:r w:rsidR="00F333D2">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[57]","plainTextFormattedCitation":"[57]","previouslyFormattedCitation":"[57]"},"properties":{"noteIndex":0},"schema":"https://github.com/citation-style-language/schema/raw/master/csl-citation.json"}</w:instrText>
      </w:r>
      <w:r>
        <w:rPr>
          <w:i/>
          <w:iCs/>
        </w:rPr>
        <w:fldChar w:fldCharType="separate"/>
      </w:r>
      <w:r w:rsidRPr="004F1D40">
        <w:rPr>
          <w:iCs/>
          <w:noProof/>
        </w:rPr>
        <w:t>[57]</w:t>
      </w:r>
      <w:r>
        <w:rPr>
          <w:i/>
          <w:iCs/>
        </w:rPr>
        <w:fldChar w:fldCharType="end"/>
      </w:r>
      <w:r w:rsidRPr="00761653">
        <w:t>.</w:t>
      </w:r>
    </w:p>
    <w:p w14:paraId="6415C40C" w14:textId="77777777" w:rsidR="004F1D40" w:rsidRDefault="004F1D40" w:rsidP="004F1D40">
      <w:pPr>
        <w:widowControl w:val="0"/>
        <w:autoSpaceDE w:val="0"/>
        <w:autoSpaceDN w:val="0"/>
        <w:adjustRightInd w:val="0"/>
        <w:ind w:right="49"/>
        <w:contextualSpacing/>
        <w:rPr>
          <w:b/>
        </w:rPr>
      </w:pPr>
    </w:p>
    <w:p w14:paraId="320EDE52" w14:textId="77777777" w:rsidR="004F1D40" w:rsidRPr="00CD4DE7" w:rsidRDefault="004F1D40" w:rsidP="004F1D40">
      <w:pPr>
        <w:widowControl w:val="0"/>
        <w:autoSpaceDE w:val="0"/>
        <w:autoSpaceDN w:val="0"/>
        <w:adjustRightInd w:val="0"/>
        <w:ind w:right="49"/>
        <w:contextualSpacing/>
        <w:rPr>
          <w:bCs/>
          <w:i/>
          <w:iCs/>
          <w:u w:val="single"/>
        </w:rPr>
      </w:pPr>
      <w:r w:rsidRPr="00CD4DE7">
        <w:rPr>
          <w:bCs/>
          <w:i/>
          <w:iCs/>
          <w:u w:val="single"/>
        </w:rPr>
        <w:t>Клинические проявления инфекций</w:t>
      </w:r>
    </w:p>
    <w:p w14:paraId="7F73C115" w14:textId="77777777" w:rsidR="004F1D40" w:rsidRDefault="004F1D40" w:rsidP="004F1D40">
      <w:pPr>
        <w:widowControl w:val="0"/>
        <w:autoSpaceDE w:val="0"/>
        <w:autoSpaceDN w:val="0"/>
        <w:adjustRightInd w:val="0"/>
        <w:ind w:right="49"/>
        <w:contextualSpacing/>
      </w:pPr>
      <w:r w:rsidRPr="00761653">
        <w:t xml:space="preserve">Для инфекций периода нейтропении/лейкопении характерными признаками являются </w:t>
      </w:r>
    </w:p>
    <w:p w14:paraId="16C345E8" w14:textId="77777777" w:rsidR="004F1D40" w:rsidRDefault="004F1D40" w:rsidP="000768AC">
      <w:pPr>
        <w:pStyle w:val="afe"/>
        <w:widowControl w:val="0"/>
        <w:numPr>
          <w:ilvl w:val="0"/>
          <w:numId w:val="59"/>
        </w:numPr>
        <w:autoSpaceDE w:val="0"/>
        <w:autoSpaceDN w:val="0"/>
        <w:adjustRightInd w:val="0"/>
        <w:ind w:right="49"/>
      </w:pPr>
      <w:r w:rsidRPr="00940E71">
        <w:t xml:space="preserve">скудность </w:t>
      </w:r>
      <w:r>
        <w:t xml:space="preserve">клинических проявлений; </w:t>
      </w:r>
    </w:p>
    <w:p w14:paraId="5C5D91BF" w14:textId="77777777" w:rsidR="004F1D40" w:rsidRDefault="004F1D40" w:rsidP="000768AC">
      <w:pPr>
        <w:pStyle w:val="afe"/>
        <w:widowControl w:val="0"/>
        <w:numPr>
          <w:ilvl w:val="0"/>
          <w:numId w:val="59"/>
        </w:numPr>
        <w:autoSpaceDE w:val="0"/>
        <w:autoSpaceDN w:val="0"/>
        <w:adjustRightInd w:val="0"/>
        <w:ind w:right="49"/>
      </w:pPr>
      <w:r w:rsidRPr="00940E71">
        <w:t>вероятность наличия одновременно разных возбудителей и разной локал</w:t>
      </w:r>
      <w:r>
        <w:t xml:space="preserve">изации инфекционного процесса; </w:t>
      </w:r>
    </w:p>
    <w:p w14:paraId="0CAD3CA2" w14:textId="77777777" w:rsidR="004F1D40" w:rsidRPr="00940E71" w:rsidRDefault="004F1D40" w:rsidP="000768AC">
      <w:pPr>
        <w:pStyle w:val="afe"/>
        <w:widowControl w:val="0"/>
        <w:numPr>
          <w:ilvl w:val="0"/>
          <w:numId w:val="59"/>
        </w:numPr>
        <w:autoSpaceDE w:val="0"/>
        <w:autoSpaceDN w:val="0"/>
        <w:adjustRightInd w:val="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6CFBCA12" w14:textId="77777777" w:rsidR="004F1D40" w:rsidRPr="00761653" w:rsidRDefault="004F1D40" w:rsidP="004F1D40">
      <w:pPr>
        <w:widowControl w:val="0"/>
        <w:autoSpaceDE w:val="0"/>
        <w:autoSpaceDN w:val="0"/>
        <w:adjustRightInd w:val="0"/>
        <w:ind w:right="4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12840FB9" w14:textId="77777777" w:rsidR="004F1D40" w:rsidRPr="00761653" w:rsidRDefault="004F1D40" w:rsidP="004F1D40">
      <w:pPr>
        <w:widowControl w:val="0"/>
        <w:autoSpaceDE w:val="0"/>
        <w:autoSpaceDN w:val="0"/>
        <w:adjustRightInd w:val="0"/>
        <w:ind w:right="4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6F5BF75C" w14:textId="77777777" w:rsidR="004F1D40" w:rsidRDefault="004F1D40" w:rsidP="004F1D40">
      <w:pPr>
        <w:widowControl w:val="0"/>
        <w:autoSpaceDE w:val="0"/>
        <w:autoSpaceDN w:val="0"/>
        <w:adjustRightInd w:val="0"/>
        <w:ind w:right="49"/>
        <w:contextualSpacing/>
        <w:rPr>
          <w:b/>
        </w:rPr>
      </w:pPr>
    </w:p>
    <w:p w14:paraId="362D6561" w14:textId="77777777" w:rsidR="004F1D40" w:rsidRPr="00CD4DE7" w:rsidRDefault="004F1D40" w:rsidP="004F1D40">
      <w:pPr>
        <w:widowControl w:val="0"/>
        <w:autoSpaceDE w:val="0"/>
        <w:autoSpaceDN w:val="0"/>
        <w:adjustRightInd w:val="0"/>
        <w:ind w:right="49"/>
        <w:contextualSpacing/>
        <w:rPr>
          <w:bCs/>
          <w:i/>
          <w:iCs/>
          <w:u w:val="single"/>
        </w:rPr>
      </w:pPr>
      <w:r w:rsidRPr="00CD4DE7">
        <w:rPr>
          <w:bCs/>
          <w:i/>
          <w:iCs/>
          <w:u w:val="single"/>
        </w:rPr>
        <w:t>Диагностика инфекционных осложнений.</w:t>
      </w:r>
    </w:p>
    <w:p w14:paraId="069715E1" w14:textId="77777777" w:rsidR="004F1D40" w:rsidRPr="0076198F" w:rsidRDefault="004F1D40" w:rsidP="004F1D40">
      <w:pPr>
        <w:tabs>
          <w:tab w:val="left" w:pos="0"/>
          <w:tab w:val="left" w:pos="567"/>
        </w:tabs>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6D2F11D5" w14:textId="77777777" w:rsidR="004F1D40" w:rsidRPr="0076198F" w:rsidRDefault="004F1D40" w:rsidP="004F1D40">
      <w:pPr>
        <w:tabs>
          <w:tab w:val="left" w:pos="0"/>
          <w:tab w:val="left" w:pos="567"/>
        </w:tabs>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41CC01F4" w14:textId="77777777" w:rsidR="004F1D40" w:rsidRPr="0076198F" w:rsidRDefault="004F1D40" w:rsidP="004F1D40">
      <w:pPr>
        <w:tabs>
          <w:tab w:val="left" w:pos="0"/>
          <w:tab w:val="left" w:pos="567"/>
        </w:tabs>
      </w:pPr>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4A73C4EF" w14:textId="77777777" w:rsidR="004F1D40" w:rsidRPr="0076198F" w:rsidRDefault="004F1D40" w:rsidP="000768AC">
      <w:pPr>
        <w:pStyle w:val="afe"/>
        <w:numPr>
          <w:ilvl w:val="0"/>
          <w:numId w:val="80"/>
        </w:numPr>
        <w:tabs>
          <w:tab w:val="left" w:pos="0"/>
          <w:tab w:val="left" w:pos="567"/>
        </w:tabs>
        <w:ind w:left="993" w:hanging="426"/>
        <w:contextualSpacing w:val="0"/>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5656CFC0" w14:textId="77777777" w:rsidR="004F1D40" w:rsidRPr="0076198F" w:rsidRDefault="004F1D40" w:rsidP="000768AC">
      <w:pPr>
        <w:pStyle w:val="afe"/>
        <w:numPr>
          <w:ilvl w:val="0"/>
          <w:numId w:val="80"/>
        </w:numPr>
        <w:tabs>
          <w:tab w:val="left" w:pos="0"/>
          <w:tab w:val="left" w:pos="567"/>
        </w:tabs>
        <w:ind w:left="993" w:hanging="426"/>
        <w:contextualSpacing w:val="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5B6CEB2A" w14:textId="77777777" w:rsidR="004F1D40" w:rsidRPr="0076198F" w:rsidRDefault="004F1D40" w:rsidP="000768AC">
      <w:pPr>
        <w:pStyle w:val="afe"/>
        <w:numPr>
          <w:ilvl w:val="0"/>
          <w:numId w:val="80"/>
        </w:numPr>
        <w:tabs>
          <w:tab w:val="left" w:pos="0"/>
          <w:tab w:val="left" w:pos="567"/>
        </w:tabs>
        <w:ind w:left="993" w:hanging="426"/>
        <w:contextualSpacing w:val="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7C86921B" w14:textId="77777777" w:rsidR="004F1D40" w:rsidRPr="0076198F" w:rsidRDefault="004F1D40" w:rsidP="000768AC">
      <w:pPr>
        <w:pStyle w:val="afe"/>
        <w:numPr>
          <w:ilvl w:val="0"/>
          <w:numId w:val="80"/>
        </w:numPr>
        <w:tabs>
          <w:tab w:val="left" w:pos="0"/>
          <w:tab w:val="left" w:pos="567"/>
        </w:tabs>
        <w:ind w:left="993" w:hanging="426"/>
        <w:contextualSpacing w:val="0"/>
      </w:pPr>
      <w:r w:rsidRPr="0076198F">
        <w:t>осмотр места установки венозного катетера</w:t>
      </w:r>
      <w:r>
        <w:t>;</w:t>
      </w:r>
      <w:r w:rsidRPr="0076198F">
        <w:t xml:space="preserve"> </w:t>
      </w:r>
    </w:p>
    <w:p w14:paraId="51A00C92" w14:textId="77777777" w:rsidR="004F1D40" w:rsidRPr="0076198F" w:rsidRDefault="004F1D40" w:rsidP="000768AC">
      <w:pPr>
        <w:pStyle w:val="afe"/>
        <w:numPr>
          <w:ilvl w:val="0"/>
          <w:numId w:val="80"/>
        </w:numPr>
        <w:tabs>
          <w:tab w:val="left" w:pos="0"/>
          <w:tab w:val="left" w:pos="567"/>
        </w:tabs>
        <w:ind w:left="993" w:hanging="426"/>
        <w:contextualSpacing w:val="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040F1323" w14:textId="77777777" w:rsidR="004F1D40" w:rsidRPr="0076198F" w:rsidRDefault="004F1D40" w:rsidP="000768AC">
      <w:pPr>
        <w:pStyle w:val="afe"/>
        <w:numPr>
          <w:ilvl w:val="0"/>
          <w:numId w:val="80"/>
        </w:numPr>
        <w:tabs>
          <w:tab w:val="left" w:pos="0"/>
          <w:tab w:val="left" w:pos="567"/>
        </w:tabs>
        <w:ind w:left="993" w:hanging="426"/>
        <w:contextualSpacing w:val="0"/>
      </w:pPr>
      <w:r w:rsidRPr="0076198F">
        <w:t>тщательная пальпация живота</w:t>
      </w:r>
      <w:r>
        <w:t xml:space="preserve"> (п</w:t>
      </w:r>
      <w:r w:rsidRPr="0076198F">
        <w:t>ервые симптомы псевдомембранозного колита —</w:t>
      </w:r>
      <w:r>
        <w:t xml:space="preserve"> </w:t>
      </w:r>
      <w:r w:rsidRPr="0076198F">
        <w:t>появление боли или «урчание» при пальпации в правой подвздошной области (область слепой кишки).</w:t>
      </w:r>
    </w:p>
    <w:p w14:paraId="515DCDE0" w14:textId="77777777" w:rsidR="004F1D40" w:rsidRDefault="004F1D40" w:rsidP="004F1D40">
      <w:pPr>
        <w:widowControl w:val="0"/>
        <w:autoSpaceDE w:val="0"/>
        <w:autoSpaceDN w:val="0"/>
        <w:adjustRightInd w:val="0"/>
        <w:ind w:right="49"/>
        <w:contextualSpacing/>
      </w:pPr>
      <w:r w:rsidRPr="00761653">
        <w:t xml:space="preserve">Для </w:t>
      </w:r>
      <w:r w:rsidRPr="00284D51">
        <w:rPr>
          <w:i/>
          <w:iCs/>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16AFF201" w14:textId="77777777" w:rsidR="004F1D40" w:rsidRPr="00761653" w:rsidRDefault="004F1D40" w:rsidP="004F1D40">
      <w:pPr>
        <w:widowControl w:val="0"/>
        <w:autoSpaceDE w:val="0"/>
        <w:autoSpaceDN w:val="0"/>
        <w:adjustRightInd w:val="0"/>
        <w:ind w:right="49"/>
        <w:contextualSpacing/>
      </w:pPr>
      <w:r w:rsidRPr="00284D51">
        <w:rPr>
          <w:i/>
          <w:iCs/>
        </w:rPr>
        <w:t>Центральный венозный катетер (ЦВК) удаляют и направляют на 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76E3CBDA" w14:textId="77777777" w:rsidR="004F1D40" w:rsidRPr="00761653" w:rsidRDefault="004F1D40" w:rsidP="004F1D40">
      <w:pPr>
        <w:widowControl w:val="0"/>
        <w:autoSpaceDE w:val="0"/>
        <w:autoSpaceDN w:val="0"/>
        <w:adjustRightInd w:val="0"/>
        <w:ind w:right="4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1C1072F1" w14:textId="77777777" w:rsidR="004F1D40" w:rsidRPr="00761653" w:rsidRDefault="004F1D40" w:rsidP="004F1D40">
      <w:pPr>
        <w:widowControl w:val="0"/>
        <w:tabs>
          <w:tab w:val="left" w:pos="0"/>
        </w:tabs>
        <w:autoSpaceDE w:val="0"/>
        <w:autoSpaceDN w:val="0"/>
        <w:adjustRightInd w:val="0"/>
        <w:ind w:right="49"/>
        <w:contextualSpacing/>
      </w:pPr>
      <w:r w:rsidRPr="00761653">
        <w:t>Показаниями для</w:t>
      </w:r>
      <w:r>
        <w:t xml:space="preserve"> </w:t>
      </w:r>
      <w:r w:rsidRPr="00284D51">
        <w:rPr>
          <w:i/>
          <w:iCs/>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3E164E0F" w14:textId="77777777" w:rsidR="004F1D40" w:rsidRPr="00761653" w:rsidRDefault="004F1D40" w:rsidP="004F1D40">
      <w:pPr>
        <w:widowControl w:val="0"/>
        <w:tabs>
          <w:tab w:val="left" w:pos="0"/>
        </w:tabs>
        <w:autoSpaceDE w:val="0"/>
        <w:autoSpaceDN w:val="0"/>
        <w:adjustRightInd w:val="0"/>
        <w:ind w:right="49"/>
        <w:contextualSpacing/>
      </w:pPr>
      <w:r w:rsidRPr="00761653">
        <w:t>Показания к</w:t>
      </w:r>
      <w:r>
        <w:t xml:space="preserve"> </w:t>
      </w:r>
      <w:r w:rsidRPr="00284D51">
        <w:rPr>
          <w:i/>
          <w:iCs/>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78BD6C5D" w14:textId="77777777" w:rsidR="004F1D40" w:rsidRPr="00C73751" w:rsidRDefault="004F1D40" w:rsidP="004F1D40">
      <w:pPr>
        <w:widowControl w:val="0"/>
        <w:tabs>
          <w:tab w:val="left" w:pos="0"/>
        </w:tabs>
        <w:autoSpaceDE w:val="0"/>
        <w:autoSpaceDN w:val="0"/>
        <w:adjustRightInd w:val="0"/>
        <w:ind w:right="49"/>
        <w:contextualSpacing/>
      </w:pPr>
      <w:r w:rsidRPr="00284D51">
        <w:rPr>
          <w:i/>
          <w:iCs/>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15F3209A" w14:textId="77777777" w:rsidR="004F1D40" w:rsidRPr="00761653" w:rsidRDefault="004F1D40" w:rsidP="004F1D40">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2B366E51" w14:textId="77777777" w:rsidR="004F1D40" w:rsidRPr="00761653" w:rsidRDefault="004F1D40" w:rsidP="004F1D40">
      <w:pPr>
        <w:widowControl w:val="0"/>
        <w:autoSpaceDE w:val="0"/>
        <w:autoSpaceDN w:val="0"/>
        <w:adjustRightInd w:val="0"/>
        <w:ind w:right="49"/>
        <w:contextualSpacing/>
      </w:pPr>
      <w:r w:rsidRPr="00284D51">
        <w:rPr>
          <w:i/>
          <w:iCs/>
        </w:rPr>
        <w:t>Микробиологическое исследование соскоба или биоптата со слизистой оболочки пищевода</w:t>
      </w:r>
      <w:r w:rsidRPr="00284D51">
        <w:rPr>
          <w:b/>
          <w:bCs/>
        </w:rPr>
        <w:t xml:space="preserve"> </w:t>
      </w:r>
      <w:r w:rsidRPr="00284D51">
        <w:t>проводят при клиническоой картине эзофагита, боли по ходу пищевода. Во</w:t>
      </w:r>
      <w:r w:rsidRPr="00761653">
        <w:t xml:space="preserve">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6232E002" w14:textId="77777777" w:rsidR="004F1D40" w:rsidRPr="00761653" w:rsidRDefault="004F1D40" w:rsidP="004F1D40">
      <w:pPr>
        <w:widowControl w:val="0"/>
        <w:autoSpaceDE w:val="0"/>
        <w:autoSpaceDN w:val="0"/>
        <w:adjustRightInd w:val="0"/>
        <w:ind w:right="49"/>
        <w:contextualSpacing/>
      </w:pPr>
      <w:r w:rsidRPr="00284D51">
        <w:rPr>
          <w:i/>
          <w:iCs/>
        </w:rPr>
        <w:t>Микробиологическое исследование ректальных мазков</w:t>
      </w:r>
      <w:r w:rsidRPr="00284D51">
        <w:rPr>
          <w:b/>
          <w:bCs/>
        </w:rPr>
        <w:t xml:space="preserve"> </w:t>
      </w:r>
      <w:r w:rsidRPr="00284D51">
        <w:t>проводят с целью детекции</w:t>
      </w:r>
      <w:r w:rsidRPr="00761653">
        <w:t xml:space="preserve">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54C88A9C" w14:textId="77777777" w:rsidR="004F1D40" w:rsidRDefault="004F1D40" w:rsidP="004F1D40">
      <w:pPr>
        <w:widowControl w:val="0"/>
        <w:tabs>
          <w:tab w:val="left" w:pos="0"/>
        </w:tabs>
        <w:autoSpaceDE w:val="0"/>
        <w:autoSpaceDN w:val="0"/>
        <w:adjustRightInd w:val="0"/>
        <w:ind w:right="49"/>
        <w:contextualSpacing/>
      </w:pPr>
      <w:r w:rsidRPr="00761653">
        <w:t xml:space="preserve">Исследование </w:t>
      </w:r>
      <w:r>
        <w:t>показано:</w:t>
      </w:r>
      <w:r w:rsidRPr="00761653">
        <w:t xml:space="preserve"> </w:t>
      </w:r>
    </w:p>
    <w:p w14:paraId="2C7A735E" w14:textId="77777777" w:rsidR="004F1D40" w:rsidRPr="00C73751" w:rsidRDefault="004F1D40" w:rsidP="000768AC">
      <w:pPr>
        <w:pStyle w:val="afe"/>
        <w:widowControl w:val="0"/>
        <w:numPr>
          <w:ilvl w:val="0"/>
          <w:numId w:val="60"/>
        </w:numPr>
        <w:tabs>
          <w:tab w:val="left" w:pos="0"/>
        </w:tabs>
        <w:autoSpaceDE w:val="0"/>
        <w:autoSpaceDN w:val="0"/>
        <w:adjustRightInd w:val="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70A897D1" w14:textId="77777777" w:rsidR="004F1D40" w:rsidRDefault="004F1D40" w:rsidP="000768AC">
      <w:pPr>
        <w:pStyle w:val="afe"/>
        <w:widowControl w:val="0"/>
        <w:numPr>
          <w:ilvl w:val="0"/>
          <w:numId w:val="60"/>
        </w:numPr>
        <w:tabs>
          <w:tab w:val="left" w:pos="0"/>
        </w:tabs>
        <w:autoSpaceDE w:val="0"/>
        <w:autoSpaceDN w:val="0"/>
        <w:adjustRightInd w:val="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0ED50F63" w14:textId="77777777" w:rsidR="004F1D40" w:rsidRDefault="004F1D40" w:rsidP="000768AC">
      <w:pPr>
        <w:pStyle w:val="afe"/>
        <w:widowControl w:val="0"/>
        <w:numPr>
          <w:ilvl w:val="0"/>
          <w:numId w:val="60"/>
        </w:numPr>
        <w:tabs>
          <w:tab w:val="left" w:pos="0"/>
        </w:tabs>
        <w:autoSpaceDE w:val="0"/>
        <w:autoSpaceDN w:val="0"/>
        <w:adjustRightInd w:val="0"/>
        <w:ind w:right="49"/>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1EBBF028" w14:textId="77777777" w:rsidR="004F1D40" w:rsidRPr="00CB604C" w:rsidRDefault="004F1D40" w:rsidP="004F1D40">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2AF8E1EF" w14:textId="77777777" w:rsidR="004F1D40" w:rsidRDefault="004F1D40" w:rsidP="004F1D40">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носовых ходов</w:t>
      </w:r>
      <w:r w:rsidRPr="00225D7F">
        <w:rPr>
          <w:i/>
          <w:iCs/>
          <w:u w:val="single"/>
        </w:rPr>
        <w:t xml:space="preserve"> </w:t>
      </w:r>
      <w:r>
        <w:t>проводят по следующим показаниям:</w:t>
      </w:r>
    </w:p>
    <w:p w14:paraId="29005888" w14:textId="77777777" w:rsidR="004F1D40" w:rsidRDefault="004F1D40" w:rsidP="000768AC">
      <w:pPr>
        <w:pStyle w:val="afe"/>
        <w:widowControl w:val="0"/>
        <w:numPr>
          <w:ilvl w:val="0"/>
          <w:numId w:val="61"/>
        </w:numPr>
        <w:tabs>
          <w:tab w:val="left" w:pos="0"/>
        </w:tabs>
        <w:autoSpaceDE w:val="0"/>
        <w:autoSpaceDN w:val="0"/>
        <w:adjustRightInd w:val="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0D51108F" w14:textId="77777777" w:rsidR="004F1D40" w:rsidRPr="00CB604C" w:rsidRDefault="004F1D40" w:rsidP="000768AC">
      <w:pPr>
        <w:pStyle w:val="afe"/>
        <w:widowControl w:val="0"/>
        <w:numPr>
          <w:ilvl w:val="0"/>
          <w:numId w:val="61"/>
        </w:numPr>
        <w:tabs>
          <w:tab w:val="left" w:pos="0"/>
        </w:tabs>
        <w:autoSpaceDE w:val="0"/>
        <w:autoSpaceDN w:val="0"/>
        <w:adjustRightInd w:val="0"/>
        <w:ind w:right="49"/>
      </w:pPr>
      <w:r w:rsidRPr="00CB604C">
        <w:t xml:space="preserve">исследование колонизации </w:t>
      </w:r>
      <w:r w:rsidRPr="00CB604C">
        <w:rPr>
          <w:i/>
        </w:rPr>
        <w:t>Staphylococcus aureus</w:t>
      </w:r>
      <w:r w:rsidRPr="00CB604C">
        <w:t xml:space="preserve"> у больных с пиодермией.  </w:t>
      </w:r>
    </w:p>
    <w:p w14:paraId="79F4E56F" w14:textId="77777777" w:rsidR="004F1D40" w:rsidRPr="00761653" w:rsidRDefault="004F1D40" w:rsidP="004F1D40">
      <w:pPr>
        <w:widowControl w:val="0"/>
        <w:autoSpaceDE w:val="0"/>
        <w:autoSpaceDN w:val="0"/>
        <w:adjustRightInd w:val="0"/>
        <w:ind w:right="-93"/>
        <w:contextualSpacing/>
        <w:rPr>
          <w:b/>
          <w:bCs/>
        </w:rPr>
      </w:pPr>
      <w:r w:rsidRPr="00284D51">
        <w:rPr>
          <w:i/>
          <w:iCs/>
        </w:rPr>
        <w:t>Микробиологическое исследование биоптатов / соскобов / отделяемого пораженных участков кожи</w:t>
      </w:r>
      <w:r w:rsidRPr="00284D51">
        <w:rPr>
          <w:b/>
          <w:bCs/>
        </w:rPr>
        <w:t xml:space="preserve"> </w:t>
      </w:r>
      <w:r w:rsidRPr="00284D51">
        <w:t>проводят при наличии септикопиемических очагов кожи (инфильтраты в</w:t>
      </w:r>
      <w:r w:rsidRPr="00761653">
        <w:t xml:space="preserve">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4312C8F6" w14:textId="77777777" w:rsidR="004F1D40" w:rsidRPr="009F2603" w:rsidRDefault="004F1D40" w:rsidP="004F1D40">
      <w:pPr>
        <w:widowControl w:val="0"/>
        <w:autoSpaceDE w:val="0"/>
        <w:autoSpaceDN w:val="0"/>
        <w:adjustRightInd w:val="0"/>
        <w:contextualSpacing/>
        <w:rPr>
          <w:b/>
          <w:bCs/>
        </w:rPr>
      </w:pPr>
      <w:r w:rsidRPr="00284D51">
        <w:rPr>
          <w:i/>
          <w:iCs/>
        </w:rPr>
        <w:t>Исследование жидкости бронхоальвеолярного лаважа</w:t>
      </w:r>
      <w:r w:rsidRPr="00284D51">
        <w:t xml:space="preserve"> (БАЛ) проводят при наличии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42B4661A" w14:textId="77777777" w:rsidR="004F1D40" w:rsidRPr="00284D51" w:rsidRDefault="004F1D40" w:rsidP="004F1D40">
      <w:pPr>
        <w:widowControl w:val="0"/>
        <w:tabs>
          <w:tab w:val="left" w:pos="1134"/>
        </w:tabs>
        <w:autoSpaceDE w:val="0"/>
        <w:autoSpaceDN w:val="0"/>
        <w:adjustRightInd w:val="0"/>
        <w:contextualSpacing/>
        <w:rPr>
          <w:b/>
        </w:rPr>
      </w:pPr>
      <w:r w:rsidRPr="00284D51">
        <w:rPr>
          <w:i/>
          <w:iCs/>
        </w:rPr>
        <w:t>Определение антигена Legionella pneumophila в моче</w:t>
      </w:r>
      <w:r w:rsidRPr="00284D51">
        <w:rPr>
          <w:b/>
        </w:rPr>
        <w:t xml:space="preserve"> </w:t>
      </w:r>
      <w:r w:rsidRPr="00284D51">
        <w:t>проводится при наличии</w:t>
      </w:r>
      <w:r w:rsidRPr="00761653">
        <w:t xml:space="preserve"> </w:t>
      </w:r>
      <w:r w:rsidRPr="00284D51">
        <w:t>пневмонии с очагами консолидации.</w:t>
      </w:r>
    </w:p>
    <w:p w14:paraId="1DBDBA08" w14:textId="77777777" w:rsidR="004F1D40" w:rsidRPr="00284D51" w:rsidRDefault="004F1D40" w:rsidP="004F1D40">
      <w:pPr>
        <w:widowControl w:val="0"/>
        <w:autoSpaceDE w:val="0"/>
        <w:autoSpaceDN w:val="0"/>
        <w:adjustRightInd w:val="0"/>
        <w:contextualSpacing/>
        <w:rPr>
          <w:bCs/>
        </w:rPr>
      </w:pPr>
      <w:r w:rsidRPr="00284D51">
        <w:rPr>
          <w:i/>
          <w:iCs/>
        </w:rPr>
        <w:t>Исследование антигена Aspergillus (галактоманнан) в сыворотке крови, в жидкости БАЛ, в СМЖ</w:t>
      </w:r>
      <w:r w:rsidRPr="00284D51">
        <w:rPr>
          <w:bCs/>
          <w:iCs/>
        </w:rPr>
        <w:t xml:space="preserve"> показано в следующих клинических ситуациях:</w:t>
      </w:r>
      <w:r w:rsidRPr="00284D51">
        <w:rPr>
          <w:bCs/>
        </w:rPr>
        <w:t xml:space="preserve"> </w:t>
      </w:r>
    </w:p>
    <w:p w14:paraId="12967C6E" w14:textId="77777777" w:rsidR="004F1D40" w:rsidRPr="00833774" w:rsidRDefault="004F1D40" w:rsidP="000768AC">
      <w:pPr>
        <w:pStyle w:val="afe"/>
        <w:widowControl w:val="0"/>
        <w:numPr>
          <w:ilvl w:val="0"/>
          <w:numId w:val="62"/>
        </w:numPr>
        <w:tabs>
          <w:tab w:val="left" w:pos="0"/>
        </w:tabs>
        <w:autoSpaceDE w:val="0"/>
        <w:autoSpaceDN w:val="0"/>
        <w:adjustRightInd w:val="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3230524A" w14:textId="77777777" w:rsidR="004F1D40" w:rsidRDefault="004F1D40" w:rsidP="000768AC">
      <w:pPr>
        <w:pStyle w:val="afe"/>
        <w:widowControl w:val="0"/>
        <w:numPr>
          <w:ilvl w:val="0"/>
          <w:numId w:val="62"/>
        </w:numPr>
        <w:tabs>
          <w:tab w:val="left" w:pos="0"/>
        </w:tabs>
        <w:autoSpaceDE w:val="0"/>
        <w:autoSpaceDN w:val="0"/>
        <w:adjustRightInd w:val="0"/>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02D1C1EB" w14:textId="77777777" w:rsidR="004F1D40" w:rsidRDefault="004F1D40" w:rsidP="000768AC">
      <w:pPr>
        <w:pStyle w:val="afe"/>
        <w:widowControl w:val="0"/>
        <w:numPr>
          <w:ilvl w:val="0"/>
          <w:numId w:val="62"/>
        </w:numPr>
        <w:tabs>
          <w:tab w:val="left" w:pos="0"/>
        </w:tabs>
        <w:autoSpaceDE w:val="0"/>
        <w:autoSpaceDN w:val="0"/>
        <w:adjustRightInd w:val="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44091077" w14:textId="0BA59439" w:rsidR="004F1D40" w:rsidRPr="00761653" w:rsidRDefault="004F1D40" w:rsidP="004F1D40">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F333D2">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[59]","plainTextFormattedCitation":"[59]","previouslyFormattedCitation":"[59]"},"properties":{"noteIndex":0},"schema":"https://github.com/citation-style-language/schema/raw/master/csl-citation.json"}</w:instrText>
      </w:r>
      <w:r>
        <w:fldChar w:fldCharType="separate"/>
      </w:r>
      <w:r w:rsidRPr="004F1D40">
        <w:rPr>
          <w:noProof/>
        </w:rPr>
        <w:t>[59]</w:t>
      </w:r>
      <w:r>
        <w:fldChar w:fldCharType="end"/>
      </w:r>
      <w:r w:rsidRPr="00761653">
        <w:t xml:space="preserve">. </w:t>
      </w:r>
    </w:p>
    <w:p w14:paraId="2AC972A3" w14:textId="77777777" w:rsidR="004F1D40" w:rsidRPr="00284D51" w:rsidRDefault="004F1D40" w:rsidP="004F1D40">
      <w:pPr>
        <w:widowControl w:val="0"/>
        <w:tabs>
          <w:tab w:val="left" w:pos="0"/>
        </w:tabs>
        <w:autoSpaceDE w:val="0"/>
        <w:autoSpaceDN w:val="0"/>
        <w:adjustRightInd w:val="0"/>
        <w:contextualSpacing/>
      </w:pPr>
      <w:r w:rsidRPr="00284D51">
        <w:rPr>
          <w:i/>
          <w:iCs/>
        </w:rPr>
        <w:t>Исследование антигена Candida (маннан) и антител Candida (антиманнан) в сыворотке крови</w:t>
      </w:r>
      <w:r w:rsidRPr="00284D51">
        <w:t xml:space="preserve"> проводят по следующим показаниям:</w:t>
      </w:r>
    </w:p>
    <w:p w14:paraId="0D3F93AF" w14:textId="77777777" w:rsidR="004F1D40" w:rsidRDefault="004F1D40" w:rsidP="000768AC">
      <w:pPr>
        <w:pStyle w:val="afe"/>
        <w:widowControl w:val="0"/>
        <w:numPr>
          <w:ilvl w:val="0"/>
          <w:numId w:val="63"/>
        </w:numPr>
        <w:tabs>
          <w:tab w:val="left" w:pos="0"/>
        </w:tabs>
        <w:autoSpaceDE w:val="0"/>
        <w:autoSpaceDN w:val="0"/>
        <w:adjustRightInd w:val="0"/>
      </w:pPr>
      <w:r w:rsidRPr="00315F82">
        <w:t xml:space="preserve">множественные очаги в печени и/или селезенке (подозрение на гепатолиенальный кандидоз); </w:t>
      </w:r>
    </w:p>
    <w:p w14:paraId="5B116A74" w14:textId="77777777" w:rsidR="004F1D40" w:rsidRDefault="004F1D40" w:rsidP="000768AC">
      <w:pPr>
        <w:pStyle w:val="afe"/>
        <w:widowControl w:val="0"/>
        <w:numPr>
          <w:ilvl w:val="0"/>
          <w:numId w:val="63"/>
        </w:numPr>
        <w:tabs>
          <w:tab w:val="left" w:pos="0"/>
        </w:tabs>
        <w:autoSpaceDE w:val="0"/>
        <w:autoSpaceDN w:val="0"/>
        <w:adjustRightInd w:val="0"/>
      </w:pPr>
      <w:r w:rsidRPr="00315F82">
        <w:t xml:space="preserve">предполагаемый инвазивный кандидоз у больных с длительной (более 7-10 дней) персистирующей температурой. </w:t>
      </w:r>
    </w:p>
    <w:p w14:paraId="462DC1BA" w14:textId="77777777" w:rsidR="004F1D40" w:rsidRPr="00315F82" w:rsidRDefault="004F1D40" w:rsidP="004F1D40">
      <w:pPr>
        <w:widowControl w:val="0"/>
        <w:tabs>
          <w:tab w:val="left" w:pos="0"/>
        </w:tabs>
        <w:autoSpaceDE w:val="0"/>
        <w:autoSpaceDN w:val="0"/>
        <w:adjustRightInd w:val="0"/>
      </w:pPr>
      <w:r>
        <w:tab/>
      </w:r>
      <w:r w:rsidRPr="00315F82">
        <w:t xml:space="preserve">Образец для исследования </w:t>
      </w:r>
      <w:r>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646DD163" w14:textId="77777777" w:rsidR="004F1D40" w:rsidRPr="00284D51" w:rsidRDefault="004F1D40" w:rsidP="004F1D40">
      <w:pPr>
        <w:widowControl w:val="0"/>
        <w:autoSpaceDE w:val="0"/>
        <w:autoSpaceDN w:val="0"/>
        <w:adjustRightInd w:val="0"/>
        <w:contextualSpacing/>
      </w:pPr>
      <w:r w:rsidRPr="00284D51">
        <w:rPr>
          <w:i/>
          <w:iCs/>
        </w:rPr>
        <w:t>Определение антигена Cryptocococcus (глюкуроноксиломаннан)</w:t>
      </w:r>
      <w:r w:rsidRPr="00284D51">
        <w:t xml:space="preserve"> выполняется при</w:t>
      </w:r>
      <w:r>
        <w:t xml:space="preserve">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xml:space="preserve">.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w:t>
      </w:r>
      <w:r w:rsidRPr="00284D51">
        <w:t>(качественный анализ).</w:t>
      </w:r>
    </w:p>
    <w:p w14:paraId="6406B47B" w14:textId="77777777" w:rsidR="004F1D40" w:rsidRPr="00284D51" w:rsidRDefault="004F1D40" w:rsidP="004F1D40">
      <w:pPr>
        <w:widowControl w:val="0"/>
        <w:autoSpaceDE w:val="0"/>
        <w:autoSpaceDN w:val="0"/>
        <w:adjustRightInd w:val="0"/>
        <w:contextualSpacing/>
      </w:pPr>
      <w:r w:rsidRPr="00284D51">
        <w:rPr>
          <w:i/>
          <w:iCs/>
        </w:rPr>
        <w:t>Исследование антитела Мycoplasma pneumoniae (IgM, IgG), Chlamydophila pneumoniae (IgM, IgG) в крови выполняется</w:t>
      </w:r>
      <w:r w:rsidRPr="00284D51">
        <w:t xml:space="preserve"> при пневмонии, возникшей амбулаторно.</w:t>
      </w:r>
    </w:p>
    <w:p w14:paraId="7046B3A3" w14:textId="77777777" w:rsidR="004F1D40" w:rsidRPr="00284D51" w:rsidRDefault="004F1D40" w:rsidP="004F1D40">
      <w:pPr>
        <w:widowControl w:val="0"/>
        <w:tabs>
          <w:tab w:val="left" w:pos="0"/>
        </w:tabs>
        <w:autoSpaceDE w:val="0"/>
        <w:autoSpaceDN w:val="0"/>
        <w:adjustRightInd w:val="0"/>
        <w:contextualSpacing/>
      </w:pPr>
      <w:r w:rsidRPr="00284D51">
        <w:t xml:space="preserve">Показаниями к проведению </w:t>
      </w:r>
      <w:r w:rsidRPr="00284D51">
        <w:rPr>
          <w:i/>
          <w:iCs/>
        </w:rPr>
        <w:t>КТ/СКТ органов грудной полости являются:</w:t>
      </w:r>
    </w:p>
    <w:p w14:paraId="63667610" w14:textId="77777777" w:rsidR="004F1D40" w:rsidRDefault="004F1D40" w:rsidP="000768AC">
      <w:pPr>
        <w:pStyle w:val="afe"/>
        <w:widowControl w:val="0"/>
        <w:numPr>
          <w:ilvl w:val="0"/>
          <w:numId w:val="64"/>
        </w:numPr>
        <w:tabs>
          <w:tab w:val="left" w:pos="0"/>
        </w:tabs>
        <w:autoSpaceDE w:val="0"/>
        <w:autoSpaceDN w:val="0"/>
        <w:adjustRightInd w:val="0"/>
      </w:pPr>
      <w:r w:rsidRPr="00016F8E">
        <w:t xml:space="preserve">пневмония (аускультативные признаки); </w:t>
      </w:r>
    </w:p>
    <w:p w14:paraId="6CCC3BC5" w14:textId="77777777" w:rsidR="004F1D40" w:rsidRDefault="004F1D40" w:rsidP="000768AC">
      <w:pPr>
        <w:pStyle w:val="afe"/>
        <w:widowControl w:val="0"/>
        <w:numPr>
          <w:ilvl w:val="0"/>
          <w:numId w:val="64"/>
        </w:numPr>
        <w:tabs>
          <w:tab w:val="left" w:pos="0"/>
        </w:tabs>
        <w:autoSpaceDE w:val="0"/>
        <w:autoSpaceDN w:val="0"/>
        <w:adjustRightInd w:val="0"/>
      </w:pPr>
      <w:r w:rsidRPr="00016F8E">
        <w:t xml:space="preserve">персистирующая фебрильная нейтропения от 3 дней и более, независимо от физикальной картины в легких; </w:t>
      </w:r>
    </w:p>
    <w:p w14:paraId="721DED59" w14:textId="77777777" w:rsidR="004F1D40" w:rsidRDefault="004F1D40" w:rsidP="000768AC">
      <w:pPr>
        <w:pStyle w:val="afe"/>
        <w:widowControl w:val="0"/>
        <w:numPr>
          <w:ilvl w:val="0"/>
          <w:numId w:val="64"/>
        </w:numPr>
        <w:tabs>
          <w:tab w:val="left" w:pos="0"/>
        </w:tabs>
        <w:autoSpaceDE w:val="0"/>
        <w:autoSpaceDN w:val="0"/>
        <w:adjustRightInd w:val="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0127680C" w14:textId="77777777" w:rsidR="004F1D40" w:rsidRPr="00761653" w:rsidRDefault="004F1D40" w:rsidP="004F1D40">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5FCF3973" w14:textId="77777777" w:rsidR="004F1D40" w:rsidRPr="008572A7" w:rsidRDefault="004F1D40" w:rsidP="004F1D40">
      <w:pPr>
        <w:widowControl w:val="0"/>
        <w:autoSpaceDE w:val="0"/>
        <w:autoSpaceDN w:val="0"/>
        <w:adjustRightInd w:val="0"/>
        <w:contextualSpacing/>
        <w:rPr>
          <w:b/>
          <w:bCs/>
          <w:u w:val="single"/>
        </w:rPr>
      </w:pPr>
      <w:r w:rsidRPr="00284D51">
        <w:rPr>
          <w:i/>
          <w:iCs/>
        </w:rPr>
        <w:t>Ультразвуковое исследование (УЗИ), КТ/СКТ, МРТ органов брюшной полости</w:t>
      </w:r>
      <w:r w:rsidRPr="00284D51">
        <w:rPr>
          <w:b/>
          <w:bCs/>
        </w:rPr>
        <w:t xml:space="preserve"> </w:t>
      </w:r>
      <w:r w:rsidRPr="00284D51">
        <w:t>для</w:t>
      </w:r>
      <w:r>
        <w:t xml:space="preserve"> уточнения инфекционного процесса проводят по клиническим показаниям, в том числе:</w:t>
      </w:r>
    </w:p>
    <w:p w14:paraId="2BDBC73F" w14:textId="77777777" w:rsidR="004F1D40" w:rsidRDefault="004F1D40" w:rsidP="000768AC">
      <w:pPr>
        <w:pStyle w:val="afe"/>
        <w:widowControl w:val="0"/>
        <w:numPr>
          <w:ilvl w:val="0"/>
          <w:numId w:val="65"/>
        </w:numPr>
        <w:tabs>
          <w:tab w:val="left" w:pos="0"/>
        </w:tabs>
        <w:autoSpaceDE w:val="0"/>
        <w:autoSpaceDN w:val="0"/>
        <w:adjustRightInd w:val="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2977925B" w14:textId="77777777" w:rsidR="004F1D40" w:rsidRDefault="004F1D40" w:rsidP="000768AC">
      <w:pPr>
        <w:pStyle w:val="afe"/>
        <w:widowControl w:val="0"/>
        <w:numPr>
          <w:ilvl w:val="0"/>
          <w:numId w:val="65"/>
        </w:numPr>
        <w:tabs>
          <w:tab w:val="left" w:pos="0"/>
        </w:tabs>
        <w:autoSpaceDE w:val="0"/>
        <w:autoSpaceDN w:val="0"/>
        <w:adjustRightInd w:val="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6B36780F" w14:textId="77777777" w:rsidR="004F1D40" w:rsidRDefault="004F1D40" w:rsidP="000768AC">
      <w:pPr>
        <w:pStyle w:val="afe"/>
        <w:widowControl w:val="0"/>
        <w:numPr>
          <w:ilvl w:val="0"/>
          <w:numId w:val="65"/>
        </w:numPr>
        <w:tabs>
          <w:tab w:val="left" w:pos="0"/>
        </w:tabs>
        <w:autoSpaceDE w:val="0"/>
        <w:autoSpaceDN w:val="0"/>
        <w:adjustRightInd w:val="0"/>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23A8D0D6" w14:textId="77777777" w:rsidR="004F1D40" w:rsidRPr="00016F8E" w:rsidRDefault="004F1D40" w:rsidP="004F1D40">
      <w:pPr>
        <w:widowControl w:val="0"/>
        <w:tabs>
          <w:tab w:val="left" w:pos="0"/>
        </w:tabs>
        <w:autoSpaceDE w:val="0"/>
        <w:autoSpaceDN w:val="0"/>
        <w:adjustRightInd w:val="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1E605F1C" w14:textId="77777777" w:rsidR="004F1D40" w:rsidRPr="008572A7" w:rsidRDefault="004F1D40" w:rsidP="004F1D40">
      <w:pPr>
        <w:widowControl w:val="0"/>
        <w:tabs>
          <w:tab w:val="left" w:pos="0"/>
        </w:tabs>
        <w:autoSpaceDE w:val="0"/>
        <w:autoSpaceDN w:val="0"/>
        <w:adjustRightInd w:val="0"/>
        <w:contextualSpacing/>
        <w:rPr>
          <w:b/>
          <w:u w:val="single"/>
        </w:rPr>
      </w:pPr>
      <w:r w:rsidRPr="00284D51">
        <w:rPr>
          <w:i/>
          <w:iCs/>
        </w:rPr>
        <w:t>КТ или МРТ головного мозга</w:t>
      </w:r>
      <w:r w:rsidRPr="00284D51">
        <w:rPr>
          <w:bCs/>
        </w:rPr>
        <w:t xml:space="preserve"> </w:t>
      </w:r>
      <w:r w:rsidRPr="00284D51">
        <w:t>проводят для исключения инфекционного поражения</w:t>
      </w:r>
      <w:r>
        <w:t xml:space="preserve"> головного мозга:</w:t>
      </w:r>
    </w:p>
    <w:p w14:paraId="722D85F1" w14:textId="77777777" w:rsidR="004F1D40" w:rsidRDefault="004F1D40" w:rsidP="000768AC">
      <w:pPr>
        <w:pStyle w:val="afe"/>
        <w:widowControl w:val="0"/>
        <w:numPr>
          <w:ilvl w:val="0"/>
          <w:numId w:val="66"/>
        </w:numPr>
        <w:tabs>
          <w:tab w:val="left" w:pos="0"/>
        </w:tabs>
        <w:autoSpaceDE w:val="0"/>
        <w:autoSpaceDN w:val="0"/>
        <w:adjustRightInd w:val="0"/>
      </w:pPr>
      <w:r>
        <w:t>при наличии</w:t>
      </w:r>
      <w:r w:rsidRPr="00016F8E">
        <w:t xml:space="preserve"> симптомов </w:t>
      </w:r>
      <w:r>
        <w:t>поражения</w:t>
      </w:r>
      <w:r w:rsidRPr="00016F8E">
        <w:t xml:space="preserve"> центральной нервной системы (ЦНС)</w:t>
      </w:r>
      <w:r>
        <w:t>;</w:t>
      </w:r>
    </w:p>
    <w:p w14:paraId="57786769" w14:textId="77777777" w:rsidR="004F1D40" w:rsidRPr="00016F8E" w:rsidRDefault="004F1D40" w:rsidP="000768AC">
      <w:pPr>
        <w:pStyle w:val="afe"/>
        <w:widowControl w:val="0"/>
        <w:numPr>
          <w:ilvl w:val="0"/>
          <w:numId w:val="66"/>
        </w:numPr>
        <w:tabs>
          <w:tab w:val="left" w:pos="0"/>
        </w:tabs>
        <w:autoSpaceDE w:val="0"/>
        <w:autoSpaceDN w:val="0"/>
        <w:adjustRightInd w:val="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41240089" w14:textId="77777777" w:rsidR="004F1D40" w:rsidRPr="00284D51" w:rsidRDefault="004F1D40" w:rsidP="004F1D40">
      <w:pPr>
        <w:widowControl w:val="0"/>
        <w:tabs>
          <w:tab w:val="left" w:pos="0"/>
        </w:tabs>
        <w:autoSpaceDE w:val="0"/>
        <w:autoSpaceDN w:val="0"/>
        <w:adjustRightInd w:val="0"/>
        <w:contextualSpacing/>
        <w:rPr>
          <w:i/>
          <w:iCs/>
        </w:rPr>
      </w:pPr>
      <w:r w:rsidRPr="00284D51">
        <w:rPr>
          <w:i/>
          <w:iCs/>
        </w:rPr>
        <w:t>Эхокардиография (ЭхоКГ), включая чрезпищеводную ЭхоКГ</w:t>
      </w:r>
    </w:p>
    <w:p w14:paraId="1D3555FF" w14:textId="77777777" w:rsidR="004F1D40" w:rsidRDefault="004F1D40" w:rsidP="004F1D40">
      <w:pPr>
        <w:widowControl w:val="0"/>
        <w:tabs>
          <w:tab w:val="left" w:pos="0"/>
        </w:tabs>
        <w:autoSpaceDE w:val="0"/>
        <w:autoSpaceDN w:val="0"/>
        <w:adjustRightInd w:val="0"/>
        <w:contextualSpacing/>
      </w:pPr>
      <w:r>
        <w:t>Проводится для исключения бактериального эндокардита, особенно в случае:</w:t>
      </w:r>
    </w:p>
    <w:p w14:paraId="2230E364" w14:textId="77777777" w:rsidR="004F1D40" w:rsidRDefault="004F1D40" w:rsidP="000768AC">
      <w:pPr>
        <w:pStyle w:val="afe"/>
        <w:widowControl w:val="0"/>
        <w:numPr>
          <w:ilvl w:val="0"/>
          <w:numId w:val="67"/>
        </w:numPr>
        <w:tabs>
          <w:tab w:val="left" w:pos="0"/>
        </w:tabs>
        <w:autoSpaceDE w:val="0"/>
        <w:autoSpaceDN w:val="0"/>
        <w:adjustRightInd w:val="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48903F4E" w14:textId="77777777" w:rsidR="004F1D40" w:rsidRDefault="004F1D40" w:rsidP="000768AC">
      <w:pPr>
        <w:pStyle w:val="afe"/>
        <w:widowControl w:val="0"/>
        <w:numPr>
          <w:ilvl w:val="0"/>
          <w:numId w:val="67"/>
        </w:numPr>
        <w:tabs>
          <w:tab w:val="left" w:pos="0"/>
        </w:tabs>
        <w:autoSpaceDE w:val="0"/>
        <w:autoSpaceDN w:val="0"/>
        <w:adjustRightInd w:val="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60D97437" w14:textId="77777777" w:rsidR="004F1D40" w:rsidRPr="00016F8E" w:rsidRDefault="004F1D40" w:rsidP="004F1D40">
      <w:pPr>
        <w:widowControl w:val="0"/>
        <w:tabs>
          <w:tab w:val="left" w:pos="0"/>
        </w:tabs>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114C5CDE" w14:textId="77777777" w:rsidR="004F1D40" w:rsidRPr="00761653" w:rsidRDefault="004F1D40" w:rsidP="004F1D40">
      <w:pPr>
        <w:widowControl w:val="0"/>
        <w:autoSpaceDE w:val="0"/>
        <w:autoSpaceDN w:val="0"/>
        <w:adjustRightInd w:val="0"/>
        <w:contextualSpacing/>
      </w:pPr>
      <w:r w:rsidRPr="00761653">
        <w:t>В табл. 1 суммированы диагностические исследования у больных с гематологическими заболеваниями и инфекциями.</w:t>
      </w:r>
    </w:p>
    <w:p w14:paraId="39935FEE" w14:textId="77777777" w:rsidR="004F1D40" w:rsidRDefault="004F1D40" w:rsidP="004F1D40">
      <w:pPr>
        <w:widowControl w:val="0"/>
        <w:autoSpaceDE w:val="0"/>
        <w:autoSpaceDN w:val="0"/>
        <w:adjustRightInd w:val="0"/>
        <w:ind w:firstLine="0"/>
        <w:contextualSpacing/>
      </w:pPr>
    </w:p>
    <w:p w14:paraId="65D3F889" w14:textId="77777777" w:rsidR="004F1D40" w:rsidRPr="00761653" w:rsidRDefault="004F1D40" w:rsidP="004F1D40">
      <w:pPr>
        <w:widowControl w:val="0"/>
        <w:autoSpaceDE w:val="0"/>
        <w:autoSpaceDN w:val="0"/>
        <w:adjustRightInd w:val="0"/>
        <w:ind w:firstLine="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4F1D40" w:rsidRPr="00761653" w14:paraId="0FC2D02A" w14:textId="77777777" w:rsidTr="005A428D">
        <w:trPr>
          <w:trHeight w:val="93"/>
        </w:trPr>
        <w:tc>
          <w:tcPr>
            <w:tcW w:w="3510" w:type="dxa"/>
            <w:tcMar>
              <w:top w:w="100" w:type="nil"/>
              <w:right w:w="100" w:type="nil"/>
            </w:tcMar>
            <w:vAlign w:val="center"/>
          </w:tcPr>
          <w:p w14:paraId="0FF2A020" w14:textId="77777777" w:rsidR="004F1D40" w:rsidRPr="00761653" w:rsidRDefault="004F1D40" w:rsidP="005A428D">
            <w:pPr>
              <w:widowControl w:val="0"/>
              <w:autoSpaceDE w:val="0"/>
              <w:autoSpaceDN w:val="0"/>
              <w:adjustRightInd w:val="0"/>
              <w:spacing w:line="240" w:lineRule="auto"/>
              <w:ind w:left="57" w:right="57" w:firstLine="0"/>
              <w:jc w:val="center"/>
              <w:rPr>
                <w:b/>
                <w:bCs/>
              </w:rPr>
            </w:pPr>
            <w:r w:rsidRPr="00761653">
              <w:rPr>
                <w:b/>
                <w:bCs/>
              </w:rPr>
              <w:t>Показания</w:t>
            </w:r>
          </w:p>
        </w:tc>
        <w:tc>
          <w:tcPr>
            <w:tcW w:w="6096" w:type="dxa"/>
            <w:tcMar>
              <w:top w:w="100" w:type="nil"/>
              <w:right w:w="100" w:type="nil"/>
            </w:tcMar>
            <w:vAlign w:val="center"/>
          </w:tcPr>
          <w:p w14:paraId="69F5A4DE" w14:textId="77777777" w:rsidR="004F1D40" w:rsidRPr="00761653" w:rsidRDefault="004F1D40" w:rsidP="005A428D">
            <w:pPr>
              <w:widowControl w:val="0"/>
              <w:autoSpaceDE w:val="0"/>
              <w:autoSpaceDN w:val="0"/>
              <w:adjustRightInd w:val="0"/>
              <w:spacing w:line="240" w:lineRule="auto"/>
              <w:ind w:left="57" w:right="57" w:firstLine="0"/>
              <w:jc w:val="center"/>
              <w:rPr>
                <w:b/>
                <w:bCs/>
              </w:rPr>
            </w:pPr>
            <w:r w:rsidRPr="00761653">
              <w:rPr>
                <w:b/>
                <w:bCs/>
              </w:rPr>
              <w:t>Исследование</w:t>
            </w:r>
          </w:p>
        </w:tc>
      </w:tr>
      <w:tr w:rsidR="004F1D40" w:rsidRPr="00265B67" w14:paraId="7BD47DAD" w14:textId="77777777" w:rsidTr="005A428D">
        <w:trPr>
          <w:trHeight w:val="702"/>
        </w:trPr>
        <w:tc>
          <w:tcPr>
            <w:tcW w:w="3510" w:type="dxa"/>
            <w:tcMar>
              <w:top w:w="100" w:type="nil"/>
              <w:right w:w="100" w:type="nil"/>
            </w:tcMar>
            <w:vAlign w:val="center"/>
          </w:tcPr>
          <w:p w14:paraId="3FB883DF" w14:textId="77777777" w:rsidR="004F1D40" w:rsidRPr="00761653" w:rsidRDefault="004F1D40" w:rsidP="005A428D">
            <w:pPr>
              <w:widowControl w:val="0"/>
              <w:autoSpaceDE w:val="0"/>
              <w:autoSpaceDN w:val="0"/>
              <w:adjustRightInd w:val="0"/>
              <w:spacing w:line="240" w:lineRule="auto"/>
              <w:ind w:left="57" w:right="57" w:firstLine="0"/>
            </w:pPr>
            <w:r w:rsidRPr="00761653">
              <w:t xml:space="preserve">Температура ≥38°С, </w:t>
            </w:r>
          </w:p>
          <w:p w14:paraId="24A7C6B9" w14:textId="77777777" w:rsidR="004F1D40" w:rsidRPr="00761653" w:rsidRDefault="004F1D40" w:rsidP="005A428D">
            <w:pPr>
              <w:widowControl w:val="0"/>
              <w:autoSpaceDE w:val="0"/>
              <w:autoSpaceDN w:val="0"/>
              <w:adjustRightInd w:val="0"/>
              <w:spacing w:line="240" w:lineRule="auto"/>
              <w:ind w:left="57" w:right="57" w:firstLine="0"/>
            </w:pPr>
            <w:r w:rsidRPr="00761653">
              <w:t>впервые возникшая</w:t>
            </w:r>
          </w:p>
        </w:tc>
        <w:tc>
          <w:tcPr>
            <w:tcW w:w="6096" w:type="dxa"/>
            <w:tcMar>
              <w:top w:w="100" w:type="nil"/>
              <w:right w:w="100" w:type="nil"/>
            </w:tcMar>
            <w:vAlign w:val="center"/>
          </w:tcPr>
          <w:p w14:paraId="537F7056" w14:textId="77777777" w:rsidR="004F1D40" w:rsidRPr="00761653" w:rsidRDefault="004F1D40" w:rsidP="005A428D">
            <w:pPr>
              <w:widowControl w:val="0"/>
              <w:autoSpaceDE w:val="0"/>
              <w:autoSpaceDN w:val="0"/>
              <w:adjustRightInd w:val="0"/>
              <w:spacing w:line="240" w:lineRule="auto"/>
              <w:ind w:left="57" w:right="57" w:firstLine="0"/>
            </w:pPr>
            <w:r w:rsidRPr="00761653">
              <w:t xml:space="preserve">Взятие крови в 2 флакона для гемокультуры </w:t>
            </w:r>
          </w:p>
          <w:p w14:paraId="5B0577DF" w14:textId="77777777" w:rsidR="004F1D40" w:rsidRPr="00761653" w:rsidRDefault="004F1D40" w:rsidP="005A428D">
            <w:pPr>
              <w:widowControl w:val="0"/>
              <w:autoSpaceDE w:val="0"/>
              <w:autoSpaceDN w:val="0"/>
              <w:adjustRightInd w:val="0"/>
              <w:spacing w:line="240" w:lineRule="auto"/>
              <w:ind w:left="57" w:right="57" w:firstLine="0"/>
            </w:pPr>
            <w:r w:rsidRPr="00761653">
              <w:t>(вена-катетер или вена-вена)</w:t>
            </w:r>
          </w:p>
        </w:tc>
      </w:tr>
      <w:tr w:rsidR="004F1D40" w:rsidRPr="00265B67" w14:paraId="22B90651" w14:textId="77777777" w:rsidTr="005A428D">
        <w:trPr>
          <w:trHeight w:val="841"/>
        </w:trPr>
        <w:tc>
          <w:tcPr>
            <w:tcW w:w="3510" w:type="dxa"/>
            <w:tcMar>
              <w:top w:w="100" w:type="nil"/>
              <w:right w:w="100" w:type="nil"/>
            </w:tcMar>
            <w:vAlign w:val="center"/>
          </w:tcPr>
          <w:p w14:paraId="21E6439F" w14:textId="77777777" w:rsidR="004F1D40" w:rsidRPr="00761653" w:rsidRDefault="004F1D40" w:rsidP="005A428D">
            <w:pPr>
              <w:widowControl w:val="0"/>
              <w:autoSpaceDE w:val="0"/>
              <w:autoSpaceDN w:val="0"/>
              <w:adjustRightInd w:val="0"/>
              <w:spacing w:line="240" w:lineRule="auto"/>
              <w:ind w:left="57" w:right="57" w:firstLine="0"/>
            </w:pPr>
            <w:r w:rsidRPr="00761653">
              <w:t>Температура ≥38°С в течение</w:t>
            </w:r>
          </w:p>
          <w:p w14:paraId="19BCE249" w14:textId="77777777" w:rsidR="004F1D40" w:rsidRPr="00761653" w:rsidRDefault="004F1D40" w:rsidP="005A428D">
            <w:pPr>
              <w:widowControl w:val="0"/>
              <w:autoSpaceDE w:val="0"/>
              <w:autoSpaceDN w:val="0"/>
              <w:adjustRightInd w:val="0"/>
              <w:spacing w:line="240" w:lineRule="auto"/>
              <w:ind w:left="57" w:right="57" w:firstLine="0"/>
            </w:pPr>
            <w:r w:rsidRPr="00761653">
              <w:t xml:space="preserve"> ≥ 5 дней и лейкопения </w:t>
            </w:r>
          </w:p>
        </w:tc>
        <w:tc>
          <w:tcPr>
            <w:tcW w:w="6096" w:type="dxa"/>
            <w:tcMar>
              <w:top w:w="100" w:type="nil"/>
              <w:right w:w="100" w:type="nil"/>
            </w:tcMar>
            <w:vAlign w:val="center"/>
          </w:tcPr>
          <w:p w14:paraId="7E41D4D8" w14:textId="77777777" w:rsidR="004F1D40" w:rsidRPr="00761653" w:rsidRDefault="004F1D40" w:rsidP="005A428D">
            <w:pPr>
              <w:spacing w:line="240" w:lineRule="auto"/>
              <w:ind w:left="57" w:right="57" w:firstLine="0"/>
              <w:contextualSpacing/>
              <w:rPr>
                <w:rFonts w:eastAsia="MS Mincho"/>
              </w:rPr>
            </w:pPr>
            <w:r w:rsidRPr="00761653">
              <w:t>Повторное взятие крови для гемокультуры 1 раз в неделю</w:t>
            </w:r>
          </w:p>
          <w:p w14:paraId="3E8F69DD" w14:textId="77777777" w:rsidR="004F1D40" w:rsidRPr="00761653" w:rsidRDefault="004F1D40" w:rsidP="005A428D">
            <w:pPr>
              <w:spacing w:line="240" w:lineRule="auto"/>
              <w:ind w:left="57" w:right="57" w:firstLine="0"/>
              <w:contextualSpacing/>
            </w:pPr>
            <w:r w:rsidRPr="00761653">
              <w:t>Микробиологическое исследование мочи</w:t>
            </w:r>
          </w:p>
          <w:p w14:paraId="1EDD25D1" w14:textId="77777777" w:rsidR="004F1D40" w:rsidRPr="00761653" w:rsidRDefault="004F1D40" w:rsidP="005A428D">
            <w:pPr>
              <w:spacing w:line="240" w:lineRule="auto"/>
              <w:ind w:left="57" w:right="57" w:firstLine="0"/>
              <w:contextualSpacing/>
            </w:pPr>
            <w:r w:rsidRPr="00761653">
              <w:t>Ректальный мазок</w:t>
            </w:r>
          </w:p>
          <w:p w14:paraId="2500974C" w14:textId="77777777" w:rsidR="004F1D40" w:rsidRPr="00761653" w:rsidRDefault="004F1D40" w:rsidP="005A428D">
            <w:pPr>
              <w:spacing w:line="240" w:lineRule="auto"/>
              <w:ind w:left="57" w:right="57" w:firstLine="0"/>
              <w:contextualSpacing/>
            </w:pPr>
            <w:r w:rsidRPr="00761653">
              <w:t>КТВР легких</w:t>
            </w:r>
          </w:p>
        </w:tc>
      </w:tr>
      <w:tr w:rsidR="004F1D40" w:rsidRPr="00975FC1" w14:paraId="51308BDA" w14:textId="77777777" w:rsidTr="005A428D">
        <w:trPr>
          <w:trHeight w:val="1491"/>
        </w:trPr>
        <w:tc>
          <w:tcPr>
            <w:tcW w:w="3510" w:type="dxa"/>
            <w:tcMar>
              <w:top w:w="100" w:type="nil"/>
              <w:right w:w="100" w:type="nil"/>
            </w:tcMar>
            <w:vAlign w:val="center"/>
          </w:tcPr>
          <w:p w14:paraId="2F3424BF" w14:textId="77777777" w:rsidR="004F1D40" w:rsidRPr="00761653" w:rsidRDefault="004F1D40" w:rsidP="005A428D">
            <w:pPr>
              <w:widowControl w:val="0"/>
              <w:autoSpaceDE w:val="0"/>
              <w:autoSpaceDN w:val="0"/>
              <w:adjustRightInd w:val="0"/>
              <w:spacing w:line="240" w:lineRule="auto"/>
              <w:ind w:left="57" w:right="57" w:firstLine="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7E728C9F" w14:textId="77777777" w:rsidR="004F1D40" w:rsidRPr="00761653" w:rsidRDefault="004F1D40" w:rsidP="005A428D">
            <w:pPr>
              <w:spacing w:line="240" w:lineRule="auto"/>
              <w:ind w:left="57" w:right="57" w:firstLine="0"/>
              <w:contextualSpacing/>
              <w:rPr>
                <w:rFonts w:eastAsia="MS Mincho"/>
              </w:rPr>
            </w:pPr>
            <w:r w:rsidRPr="00761653">
              <w:t>УЗИ брюшной полости</w:t>
            </w:r>
          </w:p>
          <w:p w14:paraId="0B89BCC8" w14:textId="77777777" w:rsidR="004F1D40" w:rsidRPr="00761653" w:rsidRDefault="004F1D40" w:rsidP="005A428D">
            <w:pPr>
              <w:spacing w:line="240" w:lineRule="auto"/>
              <w:ind w:left="57" w:right="57" w:firstLine="0"/>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3E1BF270" w14:textId="77777777" w:rsidR="004F1D40" w:rsidRPr="00761653" w:rsidRDefault="004F1D40" w:rsidP="005A428D">
            <w:pPr>
              <w:spacing w:line="240" w:lineRule="auto"/>
              <w:ind w:left="57" w:right="57" w:firstLine="0"/>
              <w:contextualSpacing/>
            </w:pPr>
            <w:r w:rsidRPr="00761653">
              <w:t>КТВР или МРТ органов брюшной полости при неинформативном УЗИ</w:t>
            </w:r>
          </w:p>
        </w:tc>
      </w:tr>
      <w:tr w:rsidR="004F1D40" w:rsidRPr="00975FC1" w14:paraId="3239C798" w14:textId="77777777" w:rsidTr="005A428D">
        <w:trPr>
          <w:trHeight w:val="1731"/>
        </w:trPr>
        <w:tc>
          <w:tcPr>
            <w:tcW w:w="3510" w:type="dxa"/>
            <w:tcMar>
              <w:top w:w="100" w:type="nil"/>
              <w:right w:w="100" w:type="nil"/>
            </w:tcMar>
            <w:vAlign w:val="center"/>
          </w:tcPr>
          <w:p w14:paraId="4E7209E1" w14:textId="77777777" w:rsidR="004F1D40" w:rsidRPr="00761653" w:rsidRDefault="004F1D40" w:rsidP="005A428D">
            <w:pPr>
              <w:widowControl w:val="0"/>
              <w:autoSpaceDE w:val="0"/>
              <w:autoSpaceDN w:val="0"/>
              <w:adjustRightInd w:val="0"/>
              <w:spacing w:line="240" w:lineRule="auto"/>
              <w:ind w:left="57" w:right="57" w:firstLine="0"/>
            </w:pPr>
            <w:r w:rsidRPr="00761653">
              <w:t>Катетер-ассоциированная инфекция</w:t>
            </w:r>
          </w:p>
        </w:tc>
        <w:tc>
          <w:tcPr>
            <w:tcW w:w="6096" w:type="dxa"/>
            <w:tcMar>
              <w:top w:w="100" w:type="nil"/>
              <w:right w:w="100" w:type="nil"/>
            </w:tcMar>
            <w:vAlign w:val="center"/>
          </w:tcPr>
          <w:p w14:paraId="07F1D4DC" w14:textId="77777777" w:rsidR="004F1D40" w:rsidRPr="00761653" w:rsidRDefault="004F1D40" w:rsidP="005A428D">
            <w:pPr>
              <w:widowControl w:val="0"/>
              <w:autoSpaceDE w:val="0"/>
              <w:autoSpaceDN w:val="0"/>
              <w:adjustRightInd w:val="0"/>
              <w:spacing w:line="240" w:lineRule="auto"/>
              <w:ind w:left="57" w:right="57" w:firstLine="0"/>
              <w:contextualSpacing/>
              <w:rPr>
                <w:rFonts w:eastAsia="MS Mincho"/>
              </w:rPr>
            </w:pPr>
            <w:r w:rsidRPr="00761653">
              <w:t>Взятие одновременно крови из вены и из ЦВК для микробиологического исследования</w:t>
            </w:r>
          </w:p>
          <w:p w14:paraId="637FA069"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4F1D40" w:rsidRPr="00265B67" w14:paraId="3D3C492C" w14:textId="77777777" w:rsidTr="005A428D">
        <w:trPr>
          <w:trHeight w:val="698"/>
        </w:trPr>
        <w:tc>
          <w:tcPr>
            <w:tcW w:w="3510" w:type="dxa"/>
            <w:tcMar>
              <w:top w:w="100" w:type="nil"/>
              <w:right w:w="100" w:type="nil"/>
            </w:tcMar>
            <w:vAlign w:val="center"/>
          </w:tcPr>
          <w:p w14:paraId="6DAAD7D3" w14:textId="77777777" w:rsidR="004F1D40" w:rsidRPr="00761653" w:rsidRDefault="004F1D40" w:rsidP="005A428D">
            <w:pPr>
              <w:widowControl w:val="0"/>
              <w:autoSpaceDE w:val="0"/>
              <w:autoSpaceDN w:val="0"/>
              <w:adjustRightInd w:val="0"/>
              <w:spacing w:line="240" w:lineRule="auto"/>
              <w:ind w:left="57" w:right="57" w:firstLine="0"/>
            </w:pPr>
            <w:r w:rsidRPr="00761653">
              <w:t xml:space="preserve">Ожидаемая нейтропения (лейкопения) &gt;10 дней </w:t>
            </w:r>
          </w:p>
        </w:tc>
        <w:tc>
          <w:tcPr>
            <w:tcW w:w="6096" w:type="dxa"/>
            <w:tcMar>
              <w:top w:w="100" w:type="nil"/>
              <w:right w:w="100" w:type="nil"/>
            </w:tcMar>
            <w:vAlign w:val="center"/>
          </w:tcPr>
          <w:p w14:paraId="4E26B00A" w14:textId="77777777" w:rsidR="004F1D40" w:rsidRPr="00761653" w:rsidRDefault="004F1D40" w:rsidP="005A428D">
            <w:pPr>
              <w:widowControl w:val="0"/>
              <w:autoSpaceDE w:val="0"/>
              <w:autoSpaceDN w:val="0"/>
              <w:adjustRightInd w:val="0"/>
              <w:spacing w:line="240" w:lineRule="auto"/>
              <w:ind w:left="57" w:right="57" w:firstLine="0"/>
            </w:pPr>
            <w:r w:rsidRPr="00761653">
              <w:t xml:space="preserve">Исследование крови на антиген </w:t>
            </w:r>
            <w:r w:rsidRPr="00761653">
              <w:rPr>
                <w:i/>
                <w:iCs/>
              </w:rPr>
              <w:t>Aspergillus</w:t>
            </w:r>
            <w:r w:rsidRPr="00761653">
              <w:t xml:space="preserve"> 2 раза в неделю</w:t>
            </w:r>
          </w:p>
        </w:tc>
      </w:tr>
      <w:tr w:rsidR="004F1D40" w:rsidRPr="00761653" w14:paraId="4F4AF227" w14:textId="77777777" w:rsidTr="005A428D">
        <w:trPr>
          <w:trHeight w:val="556"/>
        </w:trPr>
        <w:tc>
          <w:tcPr>
            <w:tcW w:w="3510" w:type="dxa"/>
            <w:tcMar>
              <w:top w:w="100" w:type="nil"/>
              <w:right w:w="100" w:type="nil"/>
            </w:tcMar>
            <w:vAlign w:val="center"/>
          </w:tcPr>
          <w:p w14:paraId="4CCFF925" w14:textId="77777777" w:rsidR="004F1D40" w:rsidRPr="00761653" w:rsidRDefault="004F1D40" w:rsidP="005A428D">
            <w:pPr>
              <w:widowControl w:val="0"/>
              <w:autoSpaceDE w:val="0"/>
              <w:autoSpaceDN w:val="0"/>
              <w:adjustRightInd w:val="0"/>
              <w:spacing w:line="240" w:lineRule="auto"/>
              <w:ind w:left="57" w:right="57" w:firstLine="0"/>
            </w:pPr>
            <w:r w:rsidRPr="00761653">
              <w:t>Стоматит</w:t>
            </w:r>
          </w:p>
        </w:tc>
        <w:tc>
          <w:tcPr>
            <w:tcW w:w="6096" w:type="dxa"/>
            <w:tcMar>
              <w:top w:w="100" w:type="nil"/>
              <w:right w:w="100" w:type="nil"/>
            </w:tcMar>
            <w:vAlign w:val="center"/>
          </w:tcPr>
          <w:p w14:paraId="6195EA50" w14:textId="77777777" w:rsidR="004F1D40" w:rsidRPr="00761653" w:rsidRDefault="004F1D40" w:rsidP="005A428D">
            <w:pPr>
              <w:widowControl w:val="0"/>
              <w:autoSpaceDE w:val="0"/>
              <w:autoSpaceDN w:val="0"/>
              <w:adjustRightInd w:val="0"/>
              <w:spacing w:line="240" w:lineRule="auto"/>
              <w:ind w:left="57" w:right="57" w:firstLine="0"/>
            </w:pPr>
            <w:r w:rsidRPr="00761653">
              <w:t>Мазок со слизистой ротоглотки</w:t>
            </w:r>
          </w:p>
        </w:tc>
      </w:tr>
      <w:tr w:rsidR="004F1D40" w:rsidRPr="00265B67" w14:paraId="6BCFD7A3" w14:textId="77777777" w:rsidTr="005A428D">
        <w:trPr>
          <w:trHeight w:val="976"/>
        </w:trPr>
        <w:tc>
          <w:tcPr>
            <w:tcW w:w="3510" w:type="dxa"/>
            <w:tcMar>
              <w:top w:w="100" w:type="nil"/>
              <w:right w:w="100" w:type="nil"/>
            </w:tcMar>
            <w:vAlign w:val="center"/>
          </w:tcPr>
          <w:p w14:paraId="09389C03" w14:textId="77777777" w:rsidR="004F1D40" w:rsidRPr="00761653" w:rsidRDefault="004F1D40" w:rsidP="005A428D">
            <w:pPr>
              <w:widowControl w:val="0"/>
              <w:autoSpaceDE w:val="0"/>
              <w:autoSpaceDN w:val="0"/>
              <w:adjustRightInd w:val="0"/>
              <w:spacing w:line="240" w:lineRule="auto"/>
              <w:ind w:left="57" w:right="57" w:firstLine="0"/>
            </w:pPr>
            <w:r w:rsidRPr="00761653">
              <w:t>Эзофагит</w:t>
            </w:r>
          </w:p>
        </w:tc>
        <w:tc>
          <w:tcPr>
            <w:tcW w:w="6096" w:type="dxa"/>
            <w:tcMar>
              <w:top w:w="100" w:type="nil"/>
              <w:right w:w="100" w:type="nil"/>
            </w:tcMar>
            <w:vAlign w:val="center"/>
          </w:tcPr>
          <w:p w14:paraId="5BC5CA66" w14:textId="77777777" w:rsidR="004F1D40" w:rsidRPr="00761653" w:rsidRDefault="004F1D40" w:rsidP="005A428D">
            <w:pPr>
              <w:widowControl w:val="0"/>
              <w:autoSpaceDE w:val="0"/>
              <w:autoSpaceDN w:val="0"/>
              <w:adjustRightInd w:val="0"/>
              <w:spacing w:line="240" w:lineRule="auto"/>
              <w:ind w:left="57" w:right="57" w:firstLine="0"/>
            </w:pPr>
            <w:r w:rsidRPr="00761653">
              <w:t>Эзофагоскопия (тромбоцитов не менее 50x10</w:t>
            </w:r>
            <w:r w:rsidRPr="00761653">
              <w:rPr>
                <w:vertAlign w:val="superscript"/>
              </w:rPr>
              <w:t>9</w:t>
            </w:r>
            <w:r w:rsidRPr="00761653">
              <w:t>/л)</w:t>
            </w:r>
          </w:p>
          <w:p w14:paraId="4DF28472" w14:textId="77777777" w:rsidR="004F1D40" w:rsidRPr="00761653" w:rsidRDefault="004F1D40" w:rsidP="005A428D">
            <w:pPr>
              <w:widowControl w:val="0"/>
              <w:autoSpaceDE w:val="0"/>
              <w:autoSpaceDN w:val="0"/>
              <w:adjustRightInd w:val="0"/>
              <w:spacing w:line="240" w:lineRule="auto"/>
              <w:ind w:left="57" w:right="57" w:firstLine="0"/>
            </w:pPr>
            <w:r w:rsidRPr="00761653">
              <w:t>Исследование - соскоб (браш-метод) со слизистой оболочки или биопсия</w:t>
            </w:r>
          </w:p>
        </w:tc>
      </w:tr>
      <w:tr w:rsidR="004F1D40" w:rsidRPr="00265B67" w14:paraId="3628C450" w14:textId="77777777" w:rsidTr="005A428D">
        <w:trPr>
          <w:trHeight w:val="704"/>
        </w:trPr>
        <w:tc>
          <w:tcPr>
            <w:tcW w:w="3510" w:type="dxa"/>
            <w:tcMar>
              <w:top w:w="100" w:type="nil"/>
              <w:right w:w="100" w:type="nil"/>
            </w:tcMar>
            <w:vAlign w:val="center"/>
          </w:tcPr>
          <w:p w14:paraId="1F907A55" w14:textId="77777777" w:rsidR="004F1D40" w:rsidRPr="00761653" w:rsidRDefault="004F1D40" w:rsidP="005A428D">
            <w:pPr>
              <w:widowControl w:val="0"/>
              <w:autoSpaceDE w:val="0"/>
              <w:autoSpaceDN w:val="0"/>
              <w:adjustRightInd w:val="0"/>
              <w:spacing w:line="240" w:lineRule="auto"/>
              <w:ind w:left="57" w:right="57" w:firstLine="0"/>
            </w:pPr>
            <w:r w:rsidRPr="00761653">
              <w:t>Некроз слизистой оболочки носового хода</w:t>
            </w:r>
          </w:p>
        </w:tc>
        <w:tc>
          <w:tcPr>
            <w:tcW w:w="6096" w:type="dxa"/>
            <w:tcMar>
              <w:top w:w="100" w:type="nil"/>
              <w:right w:w="100" w:type="nil"/>
            </w:tcMar>
            <w:vAlign w:val="center"/>
          </w:tcPr>
          <w:p w14:paraId="04B1DAEF" w14:textId="77777777" w:rsidR="004F1D40" w:rsidRPr="00761653" w:rsidRDefault="004F1D40" w:rsidP="005A428D">
            <w:pPr>
              <w:widowControl w:val="0"/>
              <w:autoSpaceDE w:val="0"/>
              <w:autoSpaceDN w:val="0"/>
              <w:adjustRightInd w:val="0"/>
              <w:spacing w:line="240" w:lineRule="auto"/>
              <w:ind w:left="57" w:right="57" w:firstLine="0"/>
            </w:pPr>
            <w:r w:rsidRPr="00761653">
              <w:t>Мазок со слизистой оболочки носа</w:t>
            </w:r>
          </w:p>
        </w:tc>
      </w:tr>
      <w:tr w:rsidR="004F1D40" w:rsidRPr="00265B67" w14:paraId="799A8905" w14:textId="77777777" w:rsidTr="005A428D">
        <w:trPr>
          <w:trHeight w:val="701"/>
        </w:trPr>
        <w:tc>
          <w:tcPr>
            <w:tcW w:w="3510" w:type="dxa"/>
            <w:tcMar>
              <w:top w:w="100" w:type="nil"/>
              <w:right w:w="100" w:type="nil"/>
            </w:tcMar>
            <w:vAlign w:val="center"/>
          </w:tcPr>
          <w:p w14:paraId="55000176" w14:textId="77777777" w:rsidR="004F1D40" w:rsidRPr="00761653" w:rsidRDefault="004F1D40" w:rsidP="005A428D">
            <w:pPr>
              <w:widowControl w:val="0"/>
              <w:autoSpaceDE w:val="0"/>
              <w:autoSpaceDN w:val="0"/>
              <w:adjustRightInd w:val="0"/>
              <w:spacing w:line="240" w:lineRule="auto"/>
              <w:ind w:left="57" w:right="57" w:firstLine="0"/>
            </w:pPr>
            <w:r w:rsidRPr="00761653">
              <w:t>Гайморит</w:t>
            </w:r>
          </w:p>
        </w:tc>
        <w:tc>
          <w:tcPr>
            <w:tcW w:w="6096" w:type="dxa"/>
            <w:tcMar>
              <w:top w:w="100" w:type="nil"/>
              <w:right w:w="100" w:type="nil"/>
            </w:tcMar>
            <w:vAlign w:val="center"/>
          </w:tcPr>
          <w:p w14:paraId="7C44E1E2" w14:textId="77777777" w:rsidR="004F1D40" w:rsidRPr="00761653" w:rsidRDefault="004F1D40" w:rsidP="005A428D">
            <w:pPr>
              <w:widowControl w:val="0"/>
              <w:autoSpaceDE w:val="0"/>
              <w:autoSpaceDN w:val="0"/>
              <w:adjustRightInd w:val="0"/>
              <w:spacing w:line="240" w:lineRule="auto"/>
              <w:ind w:left="57" w:right="57" w:firstLine="0"/>
            </w:pPr>
            <w:r w:rsidRPr="00761653">
              <w:t>Исследование содержимого околоносовой пазухи, полученной при пункции</w:t>
            </w:r>
          </w:p>
        </w:tc>
      </w:tr>
      <w:tr w:rsidR="004F1D40" w:rsidRPr="00761653" w14:paraId="1D0EEF70" w14:textId="77777777" w:rsidTr="005A428D">
        <w:trPr>
          <w:trHeight w:val="825"/>
        </w:trPr>
        <w:tc>
          <w:tcPr>
            <w:tcW w:w="3510" w:type="dxa"/>
            <w:tcMar>
              <w:top w:w="100" w:type="nil"/>
              <w:right w:w="100" w:type="nil"/>
            </w:tcMar>
            <w:vAlign w:val="center"/>
          </w:tcPr>
          <w:p w14:paraId="388770A4" w14:textId="77777777" w:rsidR="004F1D40" w:rsidRPr="00761653" w:rsidRDefault="004F1D40" w:rsidP="005A428D">
            <w:pPr>
              <w:widowControl w:val="0"/>
              <w:autoSpaceDE w:val="0"/>
              <w:autoSpaceDN w:val="0"/>
              <w:adjustRightInd w:val="0"/>
              <w:spacing w:line="240" w:lineRule="auto"/>
              <w:ind w:left="57" w:right="57" w:firstLine="0"/>
            </w:pPr>
            <w:r w:rsidRPr="00761653">
              <w:t>Симптомы инфекции мочевыводящих путей</w:t>
            </w:r>
          </w:p>
          <w:p w14:paraId="3EF905BD" w14:textId="77777777" w:rsidR="004F1D40" w:rsidRPr="00761653" w:rsidRDefault="004F1D40" w:rsidP="005A428D">
            <w:pPr>
              <w:widowControl w:val="0"/>
              <w:autoSpaceDE w:val="0"/>
              <w:autoSpaceDN w:val="0"/>
              <w:adjustRightInd w:val="0"/>
              <w:spacing w:line="240" w:lineRule="auto"/>
              <w:ind w:left="57" w:right="57" w:firstLine="0"/>
            </w:pPr>
            <w:r w:rsidRPr="00761653">
              <w:t>Лейкоцитурия</w:t>
            </w:r>
          </w:p>
        </w:tc>
        <w:tc>
          <w:tcPr>
            <w:tcW w:w="6096" w:type="dxa"/>
            <w:tcMar>
              <w:top w:w="100" w:type="nil"/>
              <w:right w:w="100" w:type="nil"/>
            </w:tcMar>
            <w:vAlign w:val="center"/>
          </w:tcPr>
          <w:p w14:paraId="725E0C68" w14:textId="77777777" w:rsidR="004F1D40" w:rsidRPr="00761653" w:rsidRDefault="004F1D40" w:rsidP="005A428D">
            <w:pPr>
              <w:widowControl w:val="0"/>
              <w:autoSpaceDE w:val="0"/>
              <w:autoSpaceDN w:val="0"/>
              <w:adjustRightInd w:val="0"/>
              <w:spacing w:line="240" w:lineRule="auto"/>
              <w:ind w:left="57" w:right="57" w:firstLine="0"/>
            </w:pPr>
            <w:r w:rsidRPr="00761653">
              <w:t>Микробиологическое исследование мочи</w:t>
            </w:r>
          </w:p>
        </w:tc>
      </w:tr>
      <w:tr w:rsidR="004F1D40" w:rsidRPr="00265B67" w14:paraId="202DF3BA" w14:textId="77777777" w:rsidTr="005A428D">
        <w:trPr>
          <w:trHeight w:val="1016"/>
        </w:trPr>
        <w:tc>
          <w:tcPr>
            <w:tcW w:w="3510" w:type="dxa"/>
            <w:tcMar>
              <w:top w:w="100" w:type="nil"/>
              <w:right w:w="100" w:type="nil"/>
            </w:tcMar>
            <w:vAlign w:val="center"/>
          </w:tcPr>
          <w:p w14:paraId="610466B0" w14:textId="77777777" w:rsidR="004F1D40" w:rsidRPr="00761653" w:rsidRDefault="004F1D40" w:rsidP="005A428D">
            <w:pPr>
              <w:widowControl w:val="0"/>
              <w:autoSpaceDE w:val="0"/>
              <w:autoSpaceDN w:val="0"/>
              <w:adjustRightInd w:val="0"/>
              <w:spacing w:line="240" w:lineRule="auto"/>
              <w:ind w:left="57" w:right="57" w:firstLine="0"/>
            </w:pPr>
            <w:r w:rsidRPr="00761653">
              <w:t>Пневмония</w:t>
            </w:r>
          </w:p>
        </w:tc>
        <w:tc>
          <w:tcPr>
            <w:tcW w:w="6096" w:type="dxa"/>
            <w:tcMar>
              <w:top w:w="100" w:type="nil"/>
              <w:right w:w="100" w:type="nil"/>
            </w:tcMar>
          </w:tcPr>
          <w:p w14:paraId="00E46753"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КТВР легких</w:t>
            </w:r>
          </w:p>
          <w:p w14:paraId="555C9885"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Бронхоальвеолярный лаваж после КТВР легких</w:t>
            </w:r>
          </w:p>
          <w:p w14:paraId="5C53F717" w14:textId="77777777" w:rsidR="004F1D40" w:rsidRPr="00761653" w:rsidRDefault="004F1D40" w:rsidP="005A428D">
            <w:pPr>
              <w:widowControl w:val="0"/>
              <w:autoSpaceDE w:val="0"/>
              <w:autoSpaceDN w:val="0"/>
              <w:adjustRightInd w:val="0"/>
              <w:spacing w:line="240" w:lineRule="auto"/>
              <w:ind w:left="57" w:right="57" w:firstLine="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1C3B0B51"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 xml:space="preserve">Исследование крови на антиген </w:t>
            </w:r>
            <w:r w:rsidRPr="00761653">
              <w:rPr>
                <w:i/>
                <w:iCs/>
              </w:rPr>
              <w:t>Aspergillus</w:t>
            </w:r>
          </w:p>
        </w:tc>
      </w:tr>
      <w:tr w:rsidR="004F1D40" w:rsidRPr="00265B67" w14:paraId="79EB2D35" w14:textId="77777777" w:rsidTr="005A428D">
        <w:trPr>
          <w:trHeight w:val="360"/>
        </w:trPr>
        <w:tc>
          <w:tcPr>
            <w:tcW w:w="3510" w:type="dxa"/>
            <w:tcMar>
              <w:top w:w="100" w:type="nil"/>
              <w:right w:w="100" w:type="nil"/>
            </w:tcMar>
          </w:tcPr>
          <w:p w14:paraId="1DEBDD1F" w14:textId="77777777" w:rsidR="004F1D40" w:rsidRPr="00761653" w:rsidRDefault="004F1D40" w:rsidP="005A428D">
            <w:pPr>
              <w:widowControl w:val="0"/>
              <w:autoSpaceDE w:val="0"/>
              <w:autoSpaceDN w:val="0"/>
              <w:adjustRightInd w:val="0"/>
              <w:spacing w:line="240" w:lineRule="auto"/>
              <w:ind w:left="57" w:right="57" w:firstLine="0"/>
            </w:pPr>
            <w:r w:rsidRPr="00761653">
              <w:t>Cимптомы менингита</w:t>
            </w:r>
          </w:p>
          <w:p w14:paraId="7C8EAABA" w14:textId="77777777" w:rsidR="004F1D40" w:rsidRPr="00761653" w:rsidRDefault="004F1D40" w:rsidP="005A428D">
            <w:pPr>
              <w:widowControl w:val="0"/>
              <w:autoSpaceDE w:val="0"/>
              <w:autoSpaceDN w:val="0"/>
              <w:adjustRightInd w:val="0"/>
              <w:spacing w:line="240" w:lineRule="auto"/>
              <w:ind w:left="57" w:right="57" w:firstLine="0"/>
              <w:rPr>
                <w:rFonts w:eastAsia="MS Mincho"/>
              </w:rPr>
            </w:pPr>
            <w:r w:rsidRPr="00761653">
              <w:t>«Мозговая» симптоматика на фоне лихорадки и нейтропении</w:t>
            </w:r>
          </w:p>
          <w:p w14:paraId="083891D1" w14:textId="77777777" w:rsidR="004F1D40" w:rsidRPr="00761653" w:rsidRDefault="004F1D40" w:rsidP="005A428D">
            <w:pPr>
              <w:widowControl w:val="0"/>
              <w:autoSpaceDE w:val="0"/>
              <w:autoSpaceDN w:val="0"/>
              <w:adjustRightInd w:val="0"/>
              <w:spacing w:line="240" w:lineRule="auto"/>
              <w:ind w:left="57" w:right="57" w:firstLine="0"/>
            </w:pPr>
            <w:r w:rsidRPr="00761653">
              <w:t>Обнаружение очага (очагов) в головном мозге</w:t>
            </w:r>
          </w:p>
        </w:tc>
        <w:tc>
          <w:tcPr>
            <w:tcW w:w="6096" w:type="dxa"/>
            <w:tcMar>
              <w:top w:w="100" w:type="nil"/>
              <w:right w:w="100" w:type="nil"/>
            </w:tcMar>
            <w:vAlign w:val="center"/>
          </w:tcPr>
          <w:p w14:paraId="7D3EB64B" w14:textId="77777777" w:rsidR="004F1D40" w:rsidRPr="00761653" w:rsidRDefault="004F1D40" w:rsidP="005A428D">
            <w:pPr>
              <w:widowControl w:val="0"/>
              <w:autoSpaceDE w:val="0"/>
              <w:autoSpaceDN w:val="0"/>
              <w:adjustRightInd w:val="0"/>
              <w:spacing w:line="240" w:lineRule="auto"/>
              <w:ind w:left="57" w:right="57" w:firstLine="0"/>
              <w:contextualSpacing/>
              <w:rPr>
                <w:rFonts w:eastAsia="MS Mincho"/>
              </w:rPr>
            </w:pPr>
            <w:r w:rsidRPr="00761653">
              <w:t>Люмбальная пункция</w:t>
            </w:r>
          </w:p>
          <w:p w14:paraId="69E4645D"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4F1D40" w:rsidRPr="00265B67" w14:paraId="7FD0B9A3" w14:textId="77777777" w:rsidTr="005A428D">
        <w:trPr>
          <w:trHeight w:val="93"/>
        </w:trPr>
        <w:tc>
          <w:tcPr>
            <w:tcW w:w="3510" w:type="dxa"/>
            <w:tcMar>
              <w:top w:w="100" w:type="nil"/>
              <w:right w:w="100" w:type="nil"/>
            </w:tcMar>
            <w:vAlign w:val="center"/>
          </w:tcPr>
          <w:p w14:paraId="4E3239E6" w14:textId="77777777" w:rsidR="004F1D40" w:rsidRPr="00761653" w:rsidRDefault="004F1D40" w:rsidP="005A428D">
            <w:pPr>
              <w:widowControl w:val="0"/>
              <w:autoSpaceDE w:val="0"/>
              <w:autoSpaceDN w:val="0"/>
              <w:adjustRightInd w:val="0"/>
              <w:spacing w:line="240" w:lineRule="auto"/>
              <w:ind w:left="57" w:right="57" w:firstLine="0"/>
            </w:pPr>
            <w:r w:rsidRPr="00761653">
              <w:t>Диарея</w:t>
            </w:r>
          </w:p>
        </w:tc>
        <w:tc>
          <w:tcPr>
            <w:tcW w:w="6096" w:type="dxa"/>
            <w:tcMar>
              <w:top w:w="100" w:type="nil"/>
              <w:right w:w="100" w:type="nil"/>
            </w:tcMar>
          </w:tcPr>
          <w:p w14:paraId="77E3F8E7" w14:textId="77777777" w:rsidR="004F1D40" w:rsidRPr="00761653" w:rsidRDefault="004F1D40" w:rsidP="005A428D">
            <w:pPr>
              <w:widowControl w:val="0"/>
              <w:autoSpaceDE w:val="0"/>
              <w:autoSpaceDN w:val="0"/>
              <w:adjustRightInd w:val="0"/>
              <w:spacing w:line="240" w:lineRule="auto"/>
              <w:ind w:left="57" w:right="57" w:firstLine="0"/>
            </w:pPr>
            <w:r w:rsidRPr="00761653">
              <w:t xml:space="preserve">Исследование кала на токсин </w:t>
            </w:r>
            <w:r w:rsidRPr="00761653">
              <w:rPr>
                <w:i/>
                <w:iCs/>
              </w:rPr>
              <w:t>C. difficile</w:t>
            </w:r>
          </w:p>
        </w:tc>
      </w:tr>
      <w:tr w:rsidR="004F1D40" w:rsidRPr="00265B67" w14:paraId="5AC60BA5" w14:textId="77777777" w:rsidTr="005A428D">
        <w:trPr>
          <w:trHeight w:val="187"/>
        </w:trPr>
        <w:tc>
          <w:tcPr>
            <w:tcW w:w="3510" w:type="dxa"/>
            <w:tcMar>
              <w:top w:w="100" w:type="nil"/>
              <w:right w:w="100" w:type="nil"/>
            </w:tcMar>
            <w:vAlign w:val="center"/>
          </w:tcPr>
          <w:p w14:paraId="056EAF02" w14:textId="77777777" w:rsidR="004F1D40" w:rsidRPr="00761653" w:rsidRDefault="004F1D40" w:rsidP="005A428D">
            <w:pPr>
              <w:widowControl w:val="0"/>
              <w:autoSpaceDE w:val="0"/>
              <w:autoSpaceDN w:val="0"/>
              <w:adjustRightInd w:val="0"/>
              <w:spacing w:line="240" w:lineRule="auto"/>
              <w:ind w:left="57" w:right="57" w:firstLine="0"/>
              <w:contextualSpacing/>
              <w:rPr>
                <w:rFonts w:eastAsia="MS Mincho"/>
              </w:rPr>
            </w:pPr>
            <w:r w:rsidRPr="00761653">
              <w:t>Парапроктит</w:t>
            </w:r>
          </w:p>
          <w:p w14:paraId="023C9EE5"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Трещина в области прямой кишки</w:t>
            </w:r>
          </w:p>
        </w:tc>
        <w:tc>
          <w:tcPr>
            <w:tcW w:w="6096" w:type="dxa"/>
            <w:tcMar>
              <w:top w:w="100" w:type="nil"/>
              <w:right w:w="100" w:type="nil"/>
            </w:tcMar>
            <w:vAlign w:val="center"/>
          </w:tcPr>
          <w:p w14:paraId="6AA86F63" w14:textId="77777777" w:rsidR="004F1D40" w:rsidRPr="00761653" w:rsidRDefault="004F1D40" w:rsidP="005A428D">
            <w:pPr>
              <w:widowControl w:val="0"/>
              <w:autoSpaceDE w:val="0"/>
              <w:autoSpaceDN w:val="0"/>
              <w:adjustRightInd w:val="0"/>
              <w:spacing w:line="240" w:lineRule="auto"/>
              <w:ind w:left="57" w:right="57" w:firstLine="0"/>
            </w:pPr>
            <w:r w:rsidRPr="00761653">
              <w:t>Мазок со слизистой оболочки прямой кишки</w:t>
            </w:r>
          </w:p>
        </w:tc>
      </w:tr>
      <w:tr w:rsidR="004F1D40" w:rsidRPr="00265B67" w14:paraId="7A8AAE68" w14:textId="77777777" w:rsidTr="005A428D">
        <w:trPr>
          <w:trHeight w:val="200"/>
        </w:trPr>
        <w:tc>
          <w:tcPr>
            <w:tcW w:w="3510" w:type="dxa"/>
            <w:tcMar>
              <w:top w:w="100" w:type="nil"/>
              <w:right w:w="100" w:type="nil"/>
            </w:tcMar>
            <w:vAlign w:val="center"/>
          </w:tcPr>
          <w:p w14:paraId="7AB9B23F"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Образования (инфильтраты) на коже</w:t>
            </w:r>
          </w:p>
        </w:tc>
        <w:tc>
          <w:tcPr>
            <w:tcW w:w="6096" w:type="dxa"/>
            <w:tcMar>
              <w:top w:w="100" w:type="nil"/>
              <w:right w:w="100" w:type="nil"/>
            </w:tcMar>
            <w:vAlign w:val="center"/>
          </w:tcPr>
          <w:p w14:paraId="40F81E03"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Биопсия</w:t>
            </w:r>
          </w:p>
          <w:p w14:paraId="09A42E23" w14:textId="77777777" w:rsidR="004F1D40" w:rsidRPr="00761653" w:rsidRDefault="004F1D40" w:rsidP="005A428D">
            <w:pPr>
              <w:widowControl w:val="0"/>
              <w:autoSpaceDE w:val="0"/>
              <w:autoSpaceDN w:val="0"/>
              <w:adjustRightInd w:val="0"/>
              <w:spacing w:line="240" w:lineRule="auto"/>
              <w:ind w:left="57" w:right="57" w:firstLine="0"/>
              <w:contextualSpacing/>
            </w:pPr>
            <w:r w:rsidRPr="00761653">
              <w:t>Микробиологическое и гистологическое исследование биоптата</w:t>
            </w:r>
          </w:p>
        </w:tc>
      </w:tr>
    </w:tbl>
    <w:p w14:paraId="3551C6BD" w14:textId="77777777" w:rsidR="004F1D40" w:rsidRDefault="004F1D40" w:rsidP="004F1D40">
      <w:pPr>
        <w:widowControl w:val="0"/>
        <w:tabs>
          <w:tab w:val="left" w:pos="1134"/>
        </w:tabs>
        <w:autoSpaceDE w:val="0"/>
        <w:autoSpaceDN w:val="0"/>
        <w:adjustRightInd w:val="0"/>
        <w:ind w:right="-130"/>
        <w:contextualSpacing/>
        <w:rPr>
          <w:b/>
          <w:bCs/>
        </w:rPr>
      </w:pPr>
    </w:p>
    <w:p w14:paraId="1D421D59"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Показания к назначению антибактериальной терапии первого этапа</w:t>
      </w:r>
    </w:p>
    <w:p w14:paraId="0C6CAD43" w14:textId="77777777" w:rsidR="004F1D40" w:rsidRPr="0076198F" w:rsidRDefault="004F1D40" w:rsidP="004F1D40">
      <w:pPr>
        <w:tabs>
          <w:tab w:val="left" w:pos="0"/>
          <w:tab w:val="left" w:pos="567"/>
        </w:tabs>
      </w:pPr>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лимфомами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403F9338" w14:textId="77777777" w:rsidR="004F1D40" w:rsidRDefault="004F1D40" w:rsidP="004F1D40">
      <w:pPr>
        <w:widowControl w:val="0"/>
        <w:tabs>
          <w:tab w:val="left" w:pos="1134"/>
        </w:tabs>
        <w:autoSpaceDE w:val="0"/>
        <w:autoSpaceDN w:val="0"/>
        <w:adjustRightInd w:val="0"/>
        <w:ind w:right="-130"/>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61FFA7CE" w14:textId="77777777" w:rsidR="004F1D40" w:rsidRPr="00761653" w:rsidRDefault="004F1D40" w:rsidP="004F1D40">
      <w:pPr>
        <w:widowControl w:val="0"/>
        <w:tabs>
          <w:tab w:val="left" w:pos="1134"/>
        </w:tabs>
        <w:autoSpaceDE w:val="0"/>
        <w:autoSpaceDN w:val="0"/>
        <w:adjustRightInd w:val="0"/>
        <w:ind w:right="-130"/>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27D56939" w14:textId="77777777" w:rsidR="004F1D40" w:rsidRPr="00761653" w:rsidRDefault="004F1D40" w:rsidP="004F1D40">
      <w:pPr>
        <w:widowControl w:val="0"/>
        <w:autoSpaceDE w:val="0"/>
        <w:autoSpaceDN w:val="0"/>
        <w:adjustRightInd w:val="0"/>
        <w:ind w:right="-220"/>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41326BF3" w14:textId="77777777" w:rsidR="004F1D40" w:rsidRPr="00761653" w:rsidRDefault="004F1D40" w:rsidP="004F1D40">
      <w:pPr>
        <w:widowControl w:val="0"/>
        <w:tabs>
          <w:tab w:val="left" w:pos="1134"/>
        </w:tabs>
        <w:autoSpaceDE w:val="0"/>
        <w:autoSpaceDN w:val="0"/>
        <w:adjustRightInd w:val="0"/>
        <w:ind w:right="-220"/>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4664249D" w14:textId="77777777" w:rsidR="004F1D40" w:rsidRDefault="004F1D40" w:rsidP="004F1D40">
      <w:pPr>
        <w:widowControl w:val="0"/>
        <w:autoSpaceDE w:val="0"/>
        <w:autoSpaceDN w:val="0"/>
        <w:adjustRightInd w:val="0"/>
        <w:ind w:right="49"/>
        <w:contextualSpacing/>
        <w:rPr>
          <w:bCs/>
          <w:u w:val="single"/>
        </w:rPr>
      </w:pPr>
    </w:p>
    <w:p w14:paraId="0ADD84FD"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Эмпирическое назначение противогрибковых препаратов</w:t>
      </w:r>
    </w:p>
    <w:p w14:paraId="6F438B3D" w14:textId="77777777" w:rsidR="004F1D40" w:rsidRPr="00761653" w:rsidRDefault="004F1D40" w:rsidP="004F1D40">
      <w:pPr>
        <w:widowControl w:val="0"/>
        <w:autoSpaceDE w:val="0"/>
        <w:autoSpaceDN w:val="0"/>
        <w:adjustRightInd w:val="0"/>
        <w:ind w:right="-211"/>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0D419F3F" w14:textId="77777777" w:rsidR="004F1D40" w:rsidRDefault="004F1D40" w:rsidP="004F1D40">
      <w:pPr>
        <w:widowControl w:val="0"/>
        <w:autoSpaceDE w:val="0"/>
        <w:autoSpaceDN w:val="0"/>
        <w:adjustRightInd w:val="0"/>
        <w:ind w:right="49"/>
        <w:contextualSpacing/>
        <w:rPr>
          <w:bCs/>
          <w:u w:val="single"/>
        </w:rPr>
      </w:pPr>
    </w:p>
    <w:p w14:paraId="2986DF92"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Превентивная терапия инвазивного микоза</w:t>
      </w:r>
    </w:p>
    <w:p w14:paraId="363BB9E8" w14:textId="77777777" w:rsidR="004F1D40" w:rsidRPr="00761653" w:rsidRDefault="004F1D40" w:rsidP="004F1D40">
      <w:pPr>
        <w:widowControl w:val="0"/>
        <w:autoSpaceDE w:val="0"/>
        <w:autoSpaceDN w:val="0"/>
        <w:adjustRightInd w:val="0"/>
        <w:ind w:right="-211"/>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2C57D944" w14:textId="77777777" w:rsidR="004F1D40" w:rsidRPr="00761653" w:rsidRDefault="004F1D40" w:rsidP="004F1D40">
      <w:pPr>
        <w:widowControl w:val="0"/>
        <w:autoSpaceDE w:val="0"/>
        <w:autoSpaceDN w:val="0"/>
        <w:adjustRightInd w:val="0"/>
        <w:ind w:right="-211"/>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4136D354" w14:textId="77777777" w:rsidR="004F1D40" w:rsidRDefault="004F1D40" w:rsidP="004F1D40">
      <w:pPr>
        <w:widowControl w:val="0"/>
        <w:tabs>
          <w:tab w:val="left" w:pos="1134"/>
        </w:tabs>
        <w:autoSpaceDE w:val="0"/>
        <w:autoSpaceDN w:val="0"/>
        <w:adjustRightInd w:val="0"/>
        <w:ind w:right="49"/>
        <w:contextualSpacing/>
        <w:rPr>
          <w:b/>
        </w:rPr>
      </w:pPr>
    </w:p>
    <w:p w14:paraId="6F561E3F"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Лечение микробиологически подтвержденных инфекций</w:t>
      </w:r>
    </w:p>
    <w:p w14:paraId="55D343D5" w14:textId="77777777" w:rsidR="004F1D40" w:rsidRPr="00761653" w:rsidRDefault="004F1D40" w:rsidP="004F1D40">
      <w:pPr>
        <w:widowControl w:val="0"/>
        <w:tabs>
          <w:tab w:val="left" w:pos="1134"/>
        </w:tabs>
        <w:autoSpaceDE w:val="0"/>
        <w:autoSpaceDN w:val="0"/>
        <w:adjustRightInd w:val="0"/>
        <w:ind w:right="49"/>
        <w:contextualSpacing/>
        <w:rPr>
          <w:b/>
        </w:rPr>
      </w:pPr>
      <w:r w:rsidRPr="00761653">
        <w:rPr>
          <w:b/>
        </w:rPr>
        <w:t>Грамотрицательные возбудители</w:t>
      </w:r>
    </w:p>
    <w:p w14:paraId="24DE206A" w14:textId="77777777" w:rsidR="004F1D40" w:rsidRPr="00284D51" w:rsidRDefault="004F1D40" w:rsidP="004F1D40">
      <w:pPr>
        <w:widowControl w:val="0"/>
        <w:tabs>
          <w:tab w:val="left" w:pos="1134"/>
        </w:tabs>
        <w:autoSpaceDE w:val="0"/>
        <w:autoSpaceDN w:val="0"/>
        <w:adjustRightInd w:val="0"/>
        <w:ind w:right="49"/>
        <w:contextualSpacing/>
        <w:rPr>
          <w:bCs/>
          <w:i/>
          <w:iCs/>
        </w:rPr>
      </w:pPr>
      <w:r w:rsidRPr="00284D51">
        <w:rPr>
          <w:bCs/>
          <w:i/>
          <w:iCs/>
        </w:rPr>
        <w:t>Энтеробактерии с продукцией БЛРС, Enterobacter spp</w:t>
      </w:r>
    </w:p>
    <w:p w14:paraId="788E5AC5" w14:textId="77777777" w:rsidR="004F1D40" w:rsidRPr="00761653" w:rsidRDefault="004F1D40" w:rsidP="004F1D40">
      <w:pPr>
        <w:widowControl w:val="0"/>
        <w:tabs>
          <w:tab w:val="left" w:pos="1134"/>
        </w:tabs>
        <w:autoSpaceDE w:val="0"/>
        <w:autoSpaceDN w:val="0"/>
        <w:adjustRightInd w:val="0"/>
        <w:ind w:right="4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083D36B9" w14:textId="77777777" w:rsidR="004F1D40" w:rsidRPr="00284D51" w:rsidRDefault="004F1D40" w:rsidP="004F1D40">
      <w:pPr>
        <w:widowControl w:val="0"/>
        <w:tabs>
          <w:tab w:val="left" w:pos="1134"/>
        </w:tabs>
        <w:autoSpaceDE w:val="0"/>
        <w:autoSpaceDN w:val="0"/>
        <w:adjustRightInd w:val="0"/>
        <w:ind w:right="49"/>
        <w:contextualSpacing/>
        <w:rPr>
          <w:bCs/>
          <w:i/>
          <w:iCs/>
        </w:rPr>
      </w:pPr>
      <w:r w:rsidRPr="00284D51">
        <w:rPr>
          <w:bCs/>
          <w:i/>
          <w:iCs/>
        </w:rPr>
        <w:t xml:space="preserve">Энтеробактерии с продукцией карбапенемаз </w:t>
      </w:r>
    </w:p>
    <w:p w14:paraId="2F691420" w14:textId="77777777" w:rsidR="004F1D40" w:rsidRPr="00761653" w:rsidRDefault="004F1D40" w:rsidP="004F1D40">
      <w:pPr>
        <w:widowControl w:val="0"/>
        <w:tabs>
          <w:tab w:val="left" w:pos="1134"/>
        </w:tabs>
        <w:autoSpaceDE w:val="0"/>
        <w:autoSpaceDN w:val="0"/>
        <w:adjustRightInd w:val="0"/>
        <w:ind w:right="4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6D35DCF3" w14:textId="77777777" w:rsidR="004F1D40" w:rsidRDefault="004F1D40" w:rsidP="004F1D40">
      <w:pPr>
        <w:ind w:firstLine="0"/>
      </w:pPr>
    </w:p>
    <w:p w14:paraId="466A4180" w14:textId="77777777" w:rsidR="004F1D40" w:rsidRPr="00761653" w:rsidRDefault="004F1D40" w:rsidP="004F1D40">
      <w:pPr>
        <w:ind w:firstLine="0"/>
      </w:pPr>
      <w:r w:rsidRPr="00761653">
        <w:t>Таблица 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4F1D40" w:rsidRPr="00761653" w14:paraId="2800B545" w14:textId="77777777" w:rsidTr="005A428D">
        <w:trPr>
          <w:trHeight w:val="555"/>
        </w:trPr>
        <w:tc>
          <w:tcPr>
            <w:tcW w:w="3227" w:type="dxa"/>
            <w:vAlign w:val="center"/>
          </w:tcPr>
          <w:p w14:paraId="755FA2A4" w14:textId="77777777" w:rsidR="004F1D40" w:rsidRPr="00761653" w:rsidRDefault="004F1D40" w:rsidP="005A428D">
            <w:pPr>
              <w:ind w:left="57" w:right="57" w:firstLine="0"/>
              <w:jc w:val="center"/>
              <w:rPr>
                <w:szCs w:val="24"/>
                <w:lang w:val="en-US"/>
              </w:rPr>
            </w:pPr>
            <w:r w:rsidRPr="00761653">
              <w:rPr>
                <w:szCs w:val="24"/>
              </w:rPr>
              <w:t>Препарат</w:t>
            </w:r>
          </w:p>
        </w:tc>
        <w:tc>
          <w:tcPr>
            <w:tcW w:w="6520" w:type="dxa"/>
            <w:vAlign w:val="center"/>
          </w:tcPr>
          <w:p w14:paraId="70EF50EE" w14:textId="77777777" w:rsidR="004F1D40" w:rsidRPr="00761653" w:rsidRDefault="004F1D40" w:rsidP="005A428D">
            <w:pPr>
              <w:ind w:left="57" w:right="57" w:firstLine="0"/>
              <w:jc w:val="center"/>
              <w:rPr>
                <w:szCs w:val="24"/>
                <w:lang w:val="en-US"/>
              </w:rPr>
            </w:pPr>
            <w:r w:rsidRPr="00761653">
              <w:rPr>
                <w:szCs w:val="24"/>
              </w:rPr>
              <w:t>Доза</w:t>
            </w:r>
          </w:p>
        </w:tc>
      </w:tr>
      <w:tr w:rsidR="004F1D40" w:rsidRPr="00265B67" w14:paraId="02F38C37" w14:textId="77777777" w:rsidTr="005A428D">
        <w:trPr>
          <w:trHeight w:val="421"/>
        </w:trPr>
        <w:tc>
          <w:tcPr>
            <w:tcW w:w="3227" w:type="dxa"/>
          </w:tcPr>
          <w:p w14:paraId="3E36E6D1" w14:textId="77777777" w:rsidR="004F1D40" w:rsidRPr="00761653" w:rsidRDefault="004F1D40" w:rsidP="005A428D">
            <w:pPr>
              <w:ind w:left="57" w:right="57" w:firstLine="0"/>
              <w:rPr>
                <w:szCs w:val="24"/>
              </w:rPr>
            </w:pPr>
            <w:r w:rsidRPr="00761653">
              <w:rPr>
                <w:szCs w:val="24"/>
              </w:rPr>
              <w:t>Цефтазидим-авибактам</w:t>
            </w:r>
          </w:p>
        </w:tc>
        <w:tc>
          <w:tcPr>
            <w:tcW w:w="6520" w:type="dxa"/>
          </w:tcPr>
          <w:p w14:paraId="5B41B618" w14:textId="77777777" w:rsidR="004F1D40" w:rsidRPr="00761653" w:rsidRDefault="004F1D40" w:rsidP="005A428D">
            <w:pPr>
              <w:ind w:left="57" w:right="57" w:firstLine="0"/>
              <w:rPr>
                <w:szCs w:val="24"/>
              </w:rPr>
            </w:pPr>
            <w:r w:rsidRPr="00761653">
              <w:rPr>
                <w:szCs w:val="24"/>
              </w:rPr>
              <w:t>2,5 г каждые 8 часов, длительность инфузии 2 часа</w:t>
            </w:r>
          </w:p>
        </w:tc>
      </w:tr>
      <w:tr w:rsidR="004F1D40" w:rsidRPr="00975FC1" w14:paraId="4CB88957" w14:textId="77777777" w:rsidTr="005A428D">
        <w:trPr>
          <w:trHeight w:val="825"/>
        </w:trPr>
        <w:tc>
          <w:tcPr>
            <w:tcW w:w="3227" w:type="dxa"/>
          </w:tcPr>
          <w:p w14:paraId="5456D71F" w14:textId="77777777" w:rsidR="004F1D40" w:rsidRPr="00761653" w:rsidRDefault="004F1D40" w:rsidP="005A428D">
            <w:pPr>
              <w:ind w:left="57" w:right="57" w:firstLine="0"/>
              <w:rPr>
                <w:szCs w:val="24"/>
                <w:lang w:val="en-US"/>
              </w:rPr>
            </w:pPr>
            <w:r w:rsidRPr="00761653">
              <w:rPr>
                <w:szCs w:val="24"/>
              </w:rPr>
              <w:t>Меропенем</w:t>
            </w:r>
          </w:p>
        </w:tc>
        <w:tc>
          <w:tcPr>
            <w:tcW w:w="6520" w:type="dxa"/>
          </w:tcPr>
          <w:p w14:paraId="2287A27F" w14:textId="77777777" w:rsidR="004F1D40" w:rsidRPr="00761653" w:rsidRDefault="004F1D40" w:rsidP="005A428D">
            <w:pPr>
              <w:ind w:left="57" w:right="57" w:firstLine="0"/>
              <w:rPr>
                <w:szCs w:val="24"/>
              </w:rPr>
            </w:pPr>
            <w:r w:rsidRPr="00761653">
              <w:rPr>
                <w:szCs w:val="24"/>
              </w:rPr>
              <w:t xml:space="preserve">2 г каждые 8 часов </w:t>
            </w:r>
          </w:p>
          <w:p w14:paraId="4871B1A3" w14:textId="77777777" w:rsidR="004F1D40" w:rsidRPr="00761653" w:rsidRDefault="004F1D40" w:rsidP="005A428D">
            <w:pPr>
              <w:ind w:left="57" w:right="57" w:firstLine="0"/>
              <w:rPr>
                <w:szCs w:val="24"/>
              </w:rPr>
            </w:pPr>
            <w:r w:rsidRPr="00761653">
              <w:rPr>
                <w:szCs w:val="24"/>
              </w:rPr>
              <w:t>пролонгированная инфузия в течение 3х часов</w:t>
            </w:r>
          </w:p>
        </w:tc>
      </w:tr>
      <w:tr w:rsidR="004F1D40" w:rsidRPr="00761653" w14:paraId="615C42E0" w14:textId="77777777" w:rsidTr="005A428D">
        <w:trPr>
          <w:trHeight w:val="270"/>
        </w:trPr>
        <w:tc>
          <w:tcPr>
            <w:tcW w:w="3227" w:type="dxa"/>
          </w:tcPr>
          <w:p w14:paraId="5E79A140" w14:textId="77777777" w:rsidR="004F1D40" w:rsidRPr="00761653" w:rsidRDefault="004F1D40" w:rsidP="005A428D">
            <w:pPr>
              <w:ind w:left="57" w:right="57" w:firstLine="0"/>
              <w:rPr>
                <w:szCs w:val="24"/>
                <w:lang w:val="en-US"/>
              </w:rPr>
            </w:pPr>
            <w:r w:rsidRPr="00761653">
              <w:rPr>
                <w:szCs w:val="24"/>
              </w:rPr>
              <w:t>Имипенем</w:t>
            </w:r>
          </w:p>
        </w:tc>
        <w:tc>
          <w:tcPr>
            <w:tcW w:w="6520" w:type="dxa"/>
          </w:tcPr>
          <w:p w14:paraId="7B2BFB7F" w14:textId="77777777" w:rsidR="004F1D40" w:rsidRPr="00761653" w:rsidRDefault="004F1D40" w:rsidP="005A428D">
            <w:pPr>
              <w:ind w:left="57" w:right="57" w:firstLine="0"/>
              <w:rPr>
                <w:szCs w:val="24"/>
              </w:rPr>
            </w:pPr>
            <w:r w:rsidRPr="00761653">
              <w:rPr>
                <w:szCs w:val="24"/>
              </w:rPr>
              <w:t>1 г каждые 8 часов</w:t>
            </w:r>
          </w:p>
        </w:tc>
      </w:tr>
      <w:tr w:rsidR="004F1D40" w:rsidRPr="00975FC1" w14:paraId="6319F16A" w14:textId="77777777" w:rsidTr="005A428D">
        <w:tc>
          <w:tcPr>
            <w:tcW w:w="3227" w:type="dxa"/>
          </w:tcPr>
          <w:p w14:paraId="2B7E8270" w14:textId="77777777" w:rsidR="004F1D40" w:rsidRPr="00761653" w:rsidRDefault="004F1D40" w:rsidP="005A428D">
            <w:pPr>
              <w:ind w:left="57" w:right="57" w:firstLine="0"/>
              <w:rPr>
                <w:szCs w:val="24"/>
                <w:lang w:val="en-US"/>
              </w:rPr>
            </w:pPr>
            <w:r w:rsidRPr="00761653">
              <w:rPr>
                <w:szCs w:val="24"/>
              </w:rPr>
              <w:t>Дорипенем</w:t>
            </w:r>
          </w:p>
        </w:tc>
        <w:tc>
          <w:tcPr>
            <w:tcW w:w="6520" w:type="dxa"/>
          </w:tcPr>
          <w:p w14:paraId="2F5ECE37" w14:textId="77777777" w:rsidR="004F1D40" w:rsidRPr="00761653" w:rsidRDefault="004F1D40" w:rsidP="005A428D">
            <w:pPr>
              <w:ind w:left="57" w:right="57" w:firstLine="0"/>
              <w:rPr>
                <w:szCs w:val="24"/>
              </w:rPr>
            </w:pPr>
            <w:r w:rsidRPr="00761653">
              <w:rPr>
                <w:szCs w:val="24"/>
              </w:rPr>
              <w:t>1 г каждые 8 часов, продленная инфузия (4 часа)</w:t>
            </w:r>
          </w:p>
        </w:tc>
      </w:tr>
      <w:tr w:rsidR="004F1D40" w:rsidRPr="00265B67" w14:paraId="089A36BB" w14:textId="77777777" w:rsidTr="005A428D">
        <w:tc>
          <w:tcPr>
            <w:tcW w:w="3227" w:type="dxa"/>
          </w:tcPr>
          <w:p w14:paraId="754F5CC0" w14:textId="77777777" w:rsidR="004F1D40" w:rsidRPr="00761653" w:rsidRDefault="004F1D40" w:rsidP="005A428D">
            <w:pPr>
              <w:ind w:left="57" w:right="57" w:firstLine="0"/>
              <w:rPr>
                <w:szCs w:val="24"/>
                <w:lang w:val="en-US"/>
              </w:rPr>
            </w:pPr>
            <w:r w:rsidRPr="00761653">
              <w:rPr>
                <w:szCs w:val="24"/>
              </w:rPr>
              <w:t>Эртапенем</w:t>
            </w:r>
          </w:p>
        </w:tc>
        <w:tc>
          <w:tcPr>
            <w:tcW w:w="6520" w:type="dxa"/>
          </w:tcPr>
          <w:p w14:paraId="00A62B83" w14:textId="77777777" w:rsidR="004F1D40" w:rsidRPr="00761653" w:rsidRDefault="004F1D40" w:rsidP="005A428D">
            <w:pPr>
              <w:ind w:left="57" w:right="57" w:firstLine="0"/>
              <w:rPr>
                <w:szCs w:val="24"/>
              </w:rPr>
            </w:pPr>
            <w:r w:rsidRPr="00761653">
              <w:rPr>
                <w:szCs w:val="24"/>
              </w:rPr>
              <w:t>1 г каждые 24 часа или 1г каждые 12 час</w:t>
            </w:r>
          </w:p>
          <w:p w14:paraId="01DFFA83" w14:textId="77777777" w:rsidR="004F1D40" w:rsidRPr="00761653" w:rsidRDefault="004F1D40" w:rsidP="005A428D">
            <w:pPr>
              <w:ind w:left="57" w:right="57" w:firstLine="0"/>
              <w:rPr>
                <w:szCs w:val="24"/>
              </w:rPr>
            </w:pPr>
            <w:r w:rsidRPr="00761653">
              <w:rPr>
                <w:szCs w:val="24"/>
              </w:rPr>
              <w:t>Используют в режиме “два карбапенема” при отсутствии других опций</w:t>
            </w:r>
          </w:p>
        </w:tc>
      </w:tr>
      <w:tr w:rsidR="004F1D40" w:rsidRPr="00975FC1" w14:paraId="216F6AA4" w14:textId="77777777" w:rsidTr="005A428D">
        <w:tc>
          <w:tcPr>
            <w:tcW w:w="3227" w:type="dxa"/>
          </w:tcPr>
          <w:p w14:paraId="1F325952" w14:textId="77777777" w:rsidR="004F1D40" w:rsidRPr="00761653" w:rsidRDefault="004F1D40" w:rsidP="005A428D">
            <w:pPr>
              <w:ind w:left="57" w:right="57" w:firstLine="0"/>
              <w:rPr>
                <w:szCs w:val="24"/>
              </w:rPr>
            </w:pPr>
            <w:r w:rsidRPr="00761653">
              <w:rPr>
                <w:szCs w:val="24"/>
              </w:rPr>
              <w:t>Колистин</w:t>
            </w:r>
          </w:p>
        </w:tc>
        <w:tc>
          <w:tcPr>
            <w:tcW w:w="6520" w:type="dxa"/>
          </w:tcPr>
          <w:p w14:paraId="69995E86" w14:textId="77777777" w:rsidR="004F1D40" w:rsidRPr="00761653" w:rsidRDefault="004F1D40" w:rsidP="005A428D">
            <w:pPr>
              <w:ind w:left="57" w:right="57" w:firstLine="0"/>
              <w:rPr>
                <w:szCs w:val="24"/>
              </w:rPr>
            </w:pPr>
            <w:r w:rsidRPr="00761653">
              <w:rPr>
                <w:szCs w:val="24"/>
              </w:rPr>
              <w:t>Нагрузочная доза 9 млн МЕ, в первый день, однократно, далее по 4,5 млн МЕ</w:t>
            </w:r>
            <w:r w:rsidRPr="00761653">
              <w:rPr>
                <w:color w:val="4D5156"/>
                <w:szCs w:val="24"/>
                <w:shd w:val="clear" w:color="auto" w:fill="FFFFFF"/>
              </w:rPr>
              <w:t xml:space="preserve"> </w:t>
            </w:r>
            <w:r w:rsidRPr="00761653">
              <w:rPr>
                <w:szCs w:val="24"/>
              </w:rPr>
              <w:t xml:space="preserve">каждые 12 час </w:t>
            </w:r>
          </w:p>
          <w:p w14:paraId="3BCC2335" w14:textId="77777777" w:rsidR="004F1D40" w:rsidRPr="00761653" w:rsidRDefault="004F1D40" w:rsidP="005A428D">
            <w:pPr>
              <w:ind w:left="57" w:right="57" w:firstLine="0"/>
              <w:rPr>
                <w:szCs w:val="24"/>
              </w:rPr>
            </w:pPr>
            <w:r w:rsidRPr="00761653">
              <w:rPr>
                <w:szCs w:val="24"/>
              </w:rPr>
              <w:t>Ингаляции 1-3 млн МЕ каждые 8 часов</w:t>
            </w:r>
          </w:p>
        </w:tc>
      </w:tr>
      <w:tr w:rsidR="004F1D40" w:rsidRPr="00265B67" w14:paraId="6C77769A" w14:textId="77777777" w:rsidTr="005A428D">
        <w:tc>
          <w:tcPr>
            <w:tcW w:w="3227" w:type="dxa"/>
          </w:tcPr>
          <w:p w14:paraId="4A5AECDF" w14:textId="77777777" w:rsidR="004F1D40" w:rsidRPr="00761653" w:rsidRDefault="004F1D40" w:rsidP="005A428D">
            <w:pPr>
              <w:ind w:left="57" w:right="57" w:firstLine="0"/>
              <w:rPr>
                <w:szCs w:val="24"/>
              </w:rPr>
            </w:pPr>
            <w:r w:rsidRPr="00761653">
              <w:rPr>
                <w:szCs w:val="24"/>
              </w:rPr>
              <w:t>Полимиксин В</w:t>
            </w:r>
          </w:p>
        </w:tc>
        <w:tc>
          <w:tcPr>
            <w:tcW w:w="6520" w:type="dxa"/>
          </w:tcPr>
          <w:p w14:paraId="1D3DF1F1" w14:textId="77777777" w:rsidR="004F1D40" w:rsidRPr="00761653" w:rsidRDefault="004F1D40" w:rsidP="005A428D">
            <w:pPr>
              <w:ind w:left="57" w:right="57" w:firstLine="0"/>
              <w:rPr>
                <w:szCs w:val="24"/>
              </w:rPr>
            </w:pPr>
            <w:r w:rsidRPr="00761653">
              <w:rPr>
                <w:szCs w:val="24"/>
              </w:rPr>
              <w:t xml:space="preserve">Нагрузочная доза 2-2,5 мг/кг, далее 1,25-1,5 мг/кг каждые 12 час </w:t>
            </w:r>
          </w:p>
        </w:tc>
      </w:tr>
      <w:tr w:rsidR="004F1D40" w:rsidRPr="00265B67" w14:paraId="43890BFC" w14:textId="77777777" w:rsidTr="005A428D">
        <w:tc>
          <w:tcPr>
            <w:tcW w:w="3227" w:type="dxa"/>
          </w:tcPr>
          <w:p w14:paraId="3E0DD9CC" w14:textId="77777777" w:rsidR="004F1D40" w:rsidRPr="00761653" w:rsidRDefault="004F1D40" w:rsidP="005A428D">
            <w:pPr>
              <w:ind w:left="57" w:right="57" w:firstLine="0"/>
              <w:rPr>
                <w:szCs w:val="24"/>
              </w:rPr>
            </w:pPr>
            <w:r w:rsidRPr="00761653">
              <w:rPr>
                <w:szCs w:val="24"/>
              </w:rPr>
              <w:t>Тигециклин</w:t>
            </w:r>
          </w:p>
        </w:tc>
        <w:tc>
          <w:tcPr>
            <w:tcW w:w="6520" w:type="dxa"/>
          </w:tcPr>
          <w:p w14:paraId="346937A9" w14:textId="77777777" w:rsidR="004F1D40" w:rsidRPr="00761653" w:rsidRDefault="004F1D40" w:rsidP="005A428D">
            <w:pPr>
              <w:ind w:left="57" w:right="57" w:firstLine="0"/>
              <w:rPr>
                <w:szCs w:val="24"/>
              </w:rPr>
            </w:pPr>
            <w:r w:rsidRPr="00761653">
              <w:rPr>
                <w:szCs w:val="24"/>
              </w:rPr>
              <w:t>Первая доза 100 мг, далее каждые 12 часов по 50 мг</w:t>
            </w:r>
          </w:p>
        </w:tc>
      </w:tr>
      <w:tr w:rsidR="004F1D40" w:rsidRPr="00265B67" w14:paraId="75212191" w14:textId="77777777" w:rsidTr="005A428D">
        <w:tc>
          <w:tcPr>
            <w:tcW w:w="3227" w:type="dxa"/>
          </w:tcPr>
          <w:p w14:paraId="7B9DA839" w14:textId="77777777" w:rsidR="004F1D40" w:rsidRPr="00761653" w:rsidRDefault="004F1D40" w:rsidP="005A428D">
            <w:pPr>
              <w:ind w:left="57" w:right="57" w:firstLine="0"/>
              <w:rPr>
                <w:szCs w:val="24"/>
                <w:lang w:val="en-US"/>
              </w:rPr>
            </w:pPr>
            <w:r w:rsidRPr="00761653">
              <w:rPr>
                <w:szCs w:val="24"/>
              </w:rPr>
              <w:t>Гентамицин</w:t>
            </w:r>
            <w:r w:rsidRPr="00761653">
              <w:rPr>
                <w:szCs w:val="24"/>
                <w:lang w:val="en-US"/>
              </w:rPr>
              <w:t xml:space="preserve">, </w:t>
            </w:r>
          </w:p>
          <w:p w14:paraId="6A4B7F33" w14:textId="77777777" w:rsidR="004F1D40" w:rsidRPr="00761653" w:rsidRDefault="004F1D40" w:rsidP="005A428D">
            <w:pPr>
              <w:ind w:left="57" w:right="57" w:firstLine="0"/>
              <w:rPr>
                <w:szCs w:val="24"/>
                <w:lang w:val="en-US"/>
              </w:rPr>
            </w:pPr>
            <w:r w:rsidRPr="00761653">
              <w:rPr>
                <w:szCs w:val="24"/>
              </w:rPr>
              <w:t>тобрамицин</w:t>
            </w:r>
          </w:p>
        </w:tc>
        <w:tc>
          <w:tcPr>
            <w:tcW w:w="6520" w:type="dxa"/>
          </w:tcPr>
          <w:p w14:paraId="6D5BC854" w14:textId="77777777" w:rsidR="004F1D40" w:rsidRPr="00761653" w:rsidRDefault="004F1D40" w:rsidP="005A428D">
            <w:pPr>
              <w:ind w:left="57" w:right="57" w:firstLine="0"/>
              <w:rPr>
                <w:szCs w:val="24"/>
              </w:rPr>
            </w:pPr>
            <w:r w:rsidRPr="00761653">
              <w:rPr>
                <w:szCs w:val="24"/>
              </w:rPr>
              <w:t>5-7 мг/кг/сутки, введение в течение 1 часа</w:t>
            </w:r>
          </w:p>
        </w:tc>
      </w:tr>
      <w:tr w:rsidR="004F1D40" w:rsidRPr="00265B67" w14:paraId="441509F8" w14:textId="77777777" w:rsidTr="005A428D">
        <w:tc>
          <w:tcPr>
            <w:tcW w:w="3227" w:type="dxa"/>
          </w:tcPr>
          <w:p w14:paraId="1311BCFA" w14:textId="77777777" w:rsidR="004F1D40" w:rsidRPr="00761653" w:rsidRDefault="004F1D40" w:rsidP="005A428D">
            <w:pPr>
              <w:ind w:left="57" w:right="57" w:firstLine="0"/>
              <w:rPr>
                <w:szCs w:val="24"/>
                <w:lang w:val="en-US"/>
              </w:rPr>
            </w:pPr>
            <w:r w:rsidRPr="00761653">
              <w:rPr>
                <w:szCs w:val="24"/>
              </w:rPr>
              <w:t>Амикацин</w:t>
            </w:r>
          </w:p>
        </w:tc>
        <w:tc>
          <w:tcPr>
            <w:tcW w:w="6520" w:type="dxa"/>
          </w:tcPr>
          <w:p w14:paraId="2A8B7BB1" w14:textId="77777777" w:rsidR="004F1D40" w:rsidRPr="00761653" w:rsidRDefault="004F1D40" w:rsidP="005A428D">
            <w:pPr>
              <w:ind w:left="57" w:right="57" w:firstLine="0"/>
              <w:rPr>
                <w:szCs w:val="24"/>
              </w:rPr>
            </w:pPr>
            <w:r w:rsidRPr="00761653">
              <w:rPr>
                <w:szCs w:val="24"/>
              </w:rPr>
              <w:t>15-20 мг/кг/сутки, введение в течение 1 часа</w:t>
            </w:r>
          </w:p>
        </w:tc>
      </w:tr>
      <w:tr w:rsidR="004F1D40" w:rsidRPr="00265B67" w14:paraId="6585094F" w14:textId="77777777" w:rsidTr="005A428D">
        <w:tc>
          <w:tcPr>
            <w:tcW w:w="3227" w:type="dxa"/>
          </w:tcPr>
          <w:p w14:paraId="762C52AC" w14:textId="77777777" w:rsidR="004F1D40" w:rsidRPr="00761653" w:rsidRDefault="004F1D40" w:rsidP="005A428D">
            <w:pPr>
              <w:ind w:left="57" w:right="57" w:firstLine="0"/>
              <w:rPr>
                <w:szCs w:val="24"/>
              </w:rPr>
            </w:pPr>
            <w:r w:rsidRPr="00761653">
              <w:rPr>
                <w:szCs w:val="24"/>
              </w:rPr>
              <w:t>Фосфомицин</w:t>
            </w:r>
          </w:p>
        </w:tc>
        <w:tc>
          <w:tcPr>
            <w:tcW w:w="6520" w:type="dxa"/>
          </w:tcPr>
          <w:p w14:paraId="1D6C79B0" w14:textId="77777777" w:rsidR="004F1D40" w:rsidRPr="00761653" w:rsidRDefault="004F1D40" w:rsidP="005A428D">
            <w:pPr>
              <w:ind w:left="57" w:right="57" w:firstLine="0"/>
              <w:rPr>
                <w:szCs w:val="24"/>
              </w:rPr>
            </w:pPr>
            <w:r w:rsidRPr="00761653">
              <w:rPr>
                <w:szCs w:val="24"/>
              </w:rPr>
              <w:t>По 4 г каждые 6 час или по 8 г каждые 8 час (суммарно 16-24 г)</w:t>
            </w:r>
          </w:p>
        </w:tc>
      </w:tr>
      <w:tr w:rsidR="004F1D40" w:rsidRPr="00761653" w14:paraId="4F4AF81A" w14:textId="77777777" w:rsidTr="005A428D">
        <w:tc>
          <w:tcPr>
            <w:tcW w:w="3227" w:type="dxa"/>
          </w:tcPr>
          <w:p w14:paraId="3BC31AA1" w14:textId="77777777" w:rsidR="004F1D40" w:rsidRPr="00761653" w:rsidRDefault="004F1D40" w:rsidP="005A428D">
            <w:pPr>
              <w:ind w:left="57" w:right="57" w:firstLine="0"/>
              <w:rPr>
                <w:szCs w:val="24"/>
              </w:rPr>
            </w:pPr>
            <w:r w:rsidRPr="00761653">
              <w:rPr>
                <w:szCs w:val="24"/>
              </w:rPr>
              <w:t>Азтреонам</w:t>
            </w:r>
          </w:p>
        </w:tc>
        <w:tc>
          <w:tcPr>
            <w:tcW w:w="6520" w:type="dxa"/>
          </w:tcPr>
          <w:p w14:paraId="46E160CA" w14:textId="77777777" w:rsidR="004F1D40" w:rsidRPr="00761653" w:rsidRDefault="004F1D40" w:rsidP="005A428D">
            <w:pPr>
              <w:ind w:left="57" w:right="57" w:firstLine="0"/>
              <w:rPr>
                <w:szCs w:val="24"/>
              </w:rPr>
            </w:pPr>
            <w:r w:rsidRPr="00761653">
              <w:rPr>
                <w:szCs w:val="24"/>
              </w:rPr>
              <w:t>2 г каждые 8 часов</w:t>
            </w:r>
          </w:p>
        </w:tc>
      </w:tr>
    </w:tbl>
    <w:p w14:paraId="0A1CEBAB" w14:textId="77777777" w:rsidR="004F1D40" w:rsidRDefault="004F1D40" w:rsidP="004F1D40">
      <w:pPr>
        <w:widowControl w:val="0"/>
        <w:tabs>
          <w:tab w:val="left" w:pos="1134"/>
        </w:tabs>
        <w:autoSpaceDE w:val="0"/>
        <w:autoSpaceDN w:val="0"/>
        <w:adjustRightInd w:val="0"/>
        <w:ind w:right="49"/>
        <w:contextualSpacing/>
        <w:rPr>
          <w:bCs/>
          <w:i/>
          <w:u w:val="single"/>
        </w:rPr>
      </w:pPr>
    </w:p>
    <w:p w14:paraId="1289BA05" w14:textId="77777777" w:rsidR="004F1D40" w:rsidRPr="00284D51" w:rsidRDefault="004F1D40" w:rsidP="004F1D40">
      <w:pPr>
        <w:widowControl w:val="0"/>
        <w:tabs>
          <w:tab w:val="left" w:pos="1134"/>
        </w:tabs>
        <w:autoSpaceDE w:val="0"/>
        <w:autoSpaceDN w:val="0"/>
        <w:adjustRightInd w:val="0"/>
        <w:ind w:right="49"/>
        <w:contextualSpacing/>
        <w:rPr>
          <w:bCs/>
        </w:rPr>
      </w:pPr>
      <w:r w:rsidRPr="00284D51">
        <w:rPr>
          <w:bCs/>
          <w:i/>
        </w:rPr>
        <w:t>Pseudomonas aeruginosa</w:t>
      </w:r>
    </w:p>
    <w:p w14:paraId="48B1FC73" w14:textId="5A5D9AFC" w:rsidR="004F1D40" w:rsidRPr="00761653" w:rsidRDefault="004F1D40" w:rsidP="004F1D40">
      <w:pPr>
        <w:widowControl w:val="0"/>
        <w:tabs>
          <w:tab w:val="left" w:pos="1134"/>
        </w:tabs>
        <w:autoSpaceDE w:val="0"/>
        <w:autoSpaceDN w:val="0"/>
        <w:adjustRightInd w:val="0"/>
        <w:ind w:right="4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F333D2">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[60]","plainTextFormattedCitation":"[60]","previouslyFormattedCitation":"[60]"},"properties":{"noteIndex":0},"schema":"https://github.com/citation-style-language/schema/raw/master/csl-citation.json"}</w:instrText>
      </w:r>
      <w:r>
        <w:fldChar w:fldCharType="separate"/>
      </w:r>
      <w:r w:rsidRPr="004F1D40">
        <w:rPr>
          <w:noProof/>
        </w:rPr>
        <w:t>[60]</w:t>
      </w:r>
      <w:r>
        <w:fldChar w:fldCharType="end"/>
      </w:r>
      <w:r w:rsidRPr="00761653">
        <w:t>. Препараты для лечения представлены в табл</w:t>
      </w:r>
      <w:r>
        <w:t>ице 3.</w:t>
      </w:r>
      <w:r w:rsidRPr="00761653">
        <w:t xml:space="preserve"> </w:t>
      </w:r>
    </w:p>
    <w:p w14:paraId="6F2EAF2D" w14:textId="77777777" w:rsidR="004F1D40" w:rsidRDefault="004F1D40" w:rsidP="004F1D40">
      <w:pPr>
        <w:ind w:hanging="142"/>
      </w:pPr>
    </w:p>
    <w:p w14:paraId="6D0344A9" w14:textId="77777777" w:rsidR="004F1D40" w:rsidRPr="00761653" w:rsidRDefault="004F1D40" w:rsidP="004F1D40">
      <w:pPr>
        <w:ind w:hanging="142"/>
      </w:pPr>
      <w:r w:rsidRPr="00761653">
        <w:t xml:space="preserve">Таблица 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4F1D40" w:rsidRPr="00761653" w14:paraId="192E623E" w14:textId="77777777" w:rsidTr="005A428D">
        <w:tc>
          <w:tcPr>
            <w:tcW w:w="3510" w:type="dxa"/>
            <w:vAlign w:val="center"/>
          </w:tcPr>
          <w:p w14:paraId="316DF637" w14:textId="77777777" w:rsidR="004F1D40" w:rsidRPr="00761653" w:rsidRDefault="004F1D40" w:rsidP="005A428D">
            <w:pPr>
              <w:ind w:left="57" w:right="57" w:firstLine="0"/>
              <w:jc w:val="center"/>
              <w:rPr>
                <w:szCs w:val="24"/>
              </w:rPr>
            </w:pPr>
            <w:r w:rsidRPr="00761653">
              <w:rPr>
                <w:szCs w:val="24"/>
              </w:rPr>
              <w:t>Препарат</w:t>
            </w:r>
          </w:p>
        </w:tc>
        <w:tc>
          <w:tcPr>
            <w:tcW w:w="6237" w:type="dxa"/>
            <w:vAlign w:val="center"/>
          </w:tcPr>
          <w:p w14:paraId="628B6855" w14:textId="77777777" w:rsidR="004F1D40" w:rsidRPr="00761653" w:rsidRDefault="004F1D40" w:rsidP="005A428D">
            <w:pPr>
              <w:ind w:left="57" w:right="57" w:firstLine="0"/>
              <w:jc w:val="center"/>
              <w:rPr>
                <w:szCs w:val="24"/>
              </w:rPr>
            </w:pPr>
            <w:r w:rsidRPr="00761653">
              <w:rPr>
                <w:szCs w:val="24"/>
              </w:rPr>
              <w:t>Доза</w:t>
            </w:r>
          </w:p>
        </w:tc>
      </w:tr>
      <w:tr w:rsidR="004F1D40" w:rsidRPr="00265B67" w14:paraId="5ABF8EB9" w14:textId="77777777" w:rsidTr="005A428D">
        <w:tc>
          <w:tcPr>
            <w:tcW w:w="3510" w:type="dxa"/>
          </w:tcPr>
          <w:p w14:paraId="237BA470" w14:textId="77777777" w:rsidR="004F1D40" w:rsidRPr="00761653" w:rsidRDefault="004F1D40" w:rsidP="005A428D">
            <w:pPr>
              <w:ind w:left="57" w:right="57" w:firstLine="0"/>
              <w:rPr>
                <w:szCs w:val="24"/>
              </w:rPr>
            </w:pPr>
            <w:r w:rsidRPr="00761653">
              <w:rPr>
                <w:szCs w:val="24"/>
              </w:rPr>
              <w:t>Цефтолозан/тазобактам</w:t>
            </w:r>
          </w:p>
        </w:tc>
        <w:tc>
          <w:tcPr>
            <w:tcW w:w="6237" w:type="dxa"/>
          </w:tcPr>
          <w:p w14:paraId="59603434" w14:textId="77777777" w:rsidR="004F1D40" w:rsidRPr="00761653" w:rsidRDefault="004F1D40" w:rsidP="005A428D">
            <w:pPr>
              <w:ind w:left="57" w:right="57" w:firstLine="0"/>
              <w:rPr>
                <w:szCs w:val="24"/>
              </w:rPr>
            </w:pPr>
            <w:r w:rsidRPr="00761653">
              <w:rPr>
                <w:szCs w:val="24"/>
              </w:rPr>
              <w:t>1,5 или 3 г каждые 8 часов, инфузия в течение 1 часа (при пневмонии по 3 г х 3 раза)</w:t>
            </w:r>
          </w:p>
        </w:tc>
      </w:tr>
      <w:tr w:rsidR="004F1D40" w:rsidRPr="00265B67" w14:paraId="3CB70F7A" w14:textId="77777777" w:rsidTr="005A428D">
        <w:tc>
          <w:tcPr>
            <w:tcW w:w="3510" w:type="dxa"/>
          </w:tcPr>
          <w:p w14:paraId="01D33543" w14:textId="77777777" w:rsidR="004F1D40" w:rsidRPr="00761653" w:rsidRDefault="004F1D40" w:rsidP="005A428D">
            <w:pPr>
              <w:ind w:left="57" w:right="57" w:firstLine="0"/>
              <w:rPr>
                <w:szCs w:val="24"/>
              </w:rPr>
            </w:pPr>
            <w:r w:rsidRPr="00761653">
              <w:rPr>
                <w:szCs w:val="24"/>
              </w:rPr>
              <w:t>Цефтазидим</w:t>
            </w:r>
          </w:p>
        </w:tc>
        <w:tc>
          <w:tcPr>
            <w:tcW w:w="6237" w:type="dxa"/>
          </w:tcPr>
          <w:p w14:paraId="1EAF0DF4" w14:textId="77777777" w:rsidR="004F1D40" w:rsidRPr="00761653" w:rsidRDefault="004F1D40" w:rsidP="005A428D">
            <w:pPr>
              <w:ind w:left="57" w:right="57" w:firstLine="0"/>
              <w:rPr>
                <w:szCs w:val="24"/>
              </w:rPr>
            </w:pPr>
            <w:r w:rsidRPr="00761653">
              <w:rPr>
                <w:szCs w:val="24"/>
              </w:rPr>
              <w:t>Нагрузочная доза 1-2 г, затем 6 г/сут, непрерывная инфузии в течение 24 ч</w:t>
            </w:r>
          </w:p>
        </w:tc>
      </w:tr>
      <w:tr w:rsidR="004F1D40" w:rsidRPr="00975FC1" w14:paraId="69B35B4C" w14:textId="77777777" w:rsidTr="005A428D">
        <w:tc>
          <w:tcPr>
            <w:tcW w:w="3510" w:type="dxa"/>
          </w:tcPr>
          <w:p w14:paraId="55D990E3" w14:textId="77777777" w:rsidR="004F1D40" w:rsidRPr="00761653" w:rsidRDefault="004F1D40" w:rsidP="005A428D">
            <w:pPr>
              <w:ind w:left="57" w:right="57" w:firstLine="0"/>
              <w:rPr>
                <w:szCs w:val="24"/>
              </w:rPr>
            </w:pPr>
            <w:r w:rsidRPr="00761653">
              <w:rPr>
                <w:szCs w:val="24"/>
              </w:rPr>
              <w:t>Цефепим</w:t>
            </w:r>
          </w:p>
        </w:tc>
        <w:tc>
          <w:tcPr>
            <w:tcW w:w="6237" w:type="dxa"/>
          </w:tcPr>
          <w:p w14:paraId="16983EF1" w14:textId="77777777" w:rsidR="004F1D40" w:rsidRPr="00761653" w:rsidRDefault="004F1D40" w:rsidP="005A428D">
            <w:pPr>
              <w:ind w:left="57" w:right="57" w:firstLine="0"/>
              <w:rPr>
                <w:szCs w:val="24"/>
              </w:rPr>
            </w:pPr>
            <w:r w:rsidRPr="00761653">
              <w:rPr>
                <w:szCs w:val="24"/>
              </w:rPr>
              <w:t>Нагрузочная доза 15 мг/кг в течение 30 мин, затем 6 г/сут посредством непрерывной инфузии в течение 24 часов</w:t>
            </w:r>
          </w:p>
        </w:tc>
      </w:tr>
      <w:tr w:rsidR="004F1D40" w:rsidRPr="00975FC1" w14:paraId="4D6E424B" w14:textId="77777777" w:rsidTr="005A428D">
        <w:tc>
          <w:tcPr>
            <w:tcW w:w="3510" w:type="dxa"/>
          </w:tcPr>
          <w:p w14:paraId="20C251D8" w14:textId="77777777" w:rsidR="004F1D40" w:rsidRPr="00761653" w:rsidRDefault="004F1D40" w:rsidP="005A428D">
            <w:pPr>
              <w:ind w:left="57" w:right="57" w:firstLine="0"/>
              <w:rPr>
                <w:szCs w:val="24"/>
              </w:rPr>
            </w:pPr>
            <w:r w:rsidRPr="00761653">
              <w:rPr>
                <w:szCs w:val="24"/>
              </w:rPr>
              <w:t>Пиперациллин/тазобактам</w:t>
            </w:r>
          </w:p>
        </w:tc>
        <w:tc>
          <w:tcPr>
            <w:tcW w:w="6237" w:type="dxa"/>
          </w:tcPr>
          <w:p w14:paraId="59CAA023" w14:textId="77777777" w:rsidR="004F1D40" w:rsidRPr="00761653" w:rsidRDefault="004F1D40" w:rsidP="005A428D">
            <w:pPr>
              <w:ind w:left="57" w:right="57" w:firstLine="0"/>
              <w:rPr>
                <w:szCs w:val="24"/>
              </w:rPr>
            </w:pPr>
            <w:r w:rsidRPr="00761653">
              <w:rPr>
                <w:szCs w:val="24"/>
              </w:rPr>
              <w:t>Нагрузочная доза 2,25 г затем 16,2 г/сут посредством непрерывной инфузии в течение 24 часов</w:t>
            </w:r>
          </w:p>
        </w:tc>
      </w:tr>
      <w:tr w:rsidR="004F1D40" w:rsidRPr="00975FC1" w14:paraId="674E00BB" w14:textId="77777777" w:rsidTr="005A428D">
        <w:tc>
          <w:tcPr>
            <w:tcW w:w="3510" w:type="dxa"/>
          </w:tcPr>
          <w:p w14:paraId="19F22073" w14:textId="77777777" w:rsidR="004F1D40" w:rsidRPr="00761653" w:rsidRDefault="004F1D40" w:rsidP="005A428D">
            <w:pPr>
              <w:ind w:left="57" w:right="57" w:firstLine="0"/>
              <w:rPr>
                <w:szCs w:val="24"/>
              </w:rPr>
            </w:pPr>
            <w:r w:rsidRPr="00761653">
              <w:rPr>
                <w:szCs w:val="24"/>
              </w:rPr>
              <w:t>Цефтазидим/авибактам</w:t>
            </w:r>
          </w:p>
        </w:tc>
        <w:tc>
          <w:tcPr>
            <w:tcW w:w="6237" w:type="dxa"/>
          </w:tcPr>
          <w:p w14:paraId="78D39026" w14:textId="77777777" w:rsidR="004F1D40" w:rsidRPr="00761653" w:rsidRDefault="004F1D40" w:rsidP="005A428D">
            <w:pPr>
              <w:ind w:left="57" w:right="57" w:firstLine="0"/>
              <w:rPr>
                <w:szCs w:val="24"/>
              </w:rPr>
            </w:pPr>
            <w:r w:rsidRPr="00761653">
              <w:rPr>
                <w:szCs w:val="24"/>
              </w:rPr>
              <w:t>2,5 г каждые 8 часов, продленная инфузия в течение 2 часов</w:t>
            </w:r>
          </w:p>
        </w:tc>
      </w:tr>
      <w:tr w:rsidR="004F1D40" w:rsidRPr="00975FC1" w14:paraId="306655FA" w14:textId="77777777" w:rsidTr="005A428D">
        <w:tc>
          <w:tcPr>
            <w:tcW w:w="3510" w:type="dxa"/>
          </w:tcPr>
          <w:p w14:paraId="367EFABF" w14:textId="77777777" w:rsidR="004F1D40" w:rsidRPr="00761653" w:rsidRDefault="004F1D40" w:rsidP="005A428D">
            <w:pPr>
              <w:ind w:left="57" w:right="57" w:firstLine="0"/>
              <w:rPr>
                <w:szCs w:val="24"/>
              </w:rPr>
            </w:pPr>
            <w:r w:rsidRPr="00761653">
              <w:rPr>
                <w:szCs w:val="24"/>
              </w:rPr>
              <w:t>Азтреонам</w:t>
            </w:r>
          </w:p>
        </w:tc>
        <w:tc>
          <w:tcPr>
            <w:tcW w:w="6237" w:type="dxa"/>
          </w:tcPr>
          <w:p w14:paraId="4066520B" w14:textId="77777777" w:rsidR="004F1D40" w:rsidRPr="00761653" w:rsidRDefault="004F1D40" w:rsidP="005A428D">
            <w:pPr>
              <w:ind w:left="57" w:right="57" w:firstLine="0"/>
              <w:rPr>
                <w:szCs w:val="24"/>
              </w:rPr>
            </w:pPr>
            <w:r w:rsidRPr="00761653">
              <w:rPr>
                <w:szCs w:val="24"/>
              </w:rPr>
              <w:t>Нагрузочная доза 1-2 г, затем 6 г/сут посредством непрерывной инфузии в течение 24 часов</w:t>
            </w:r>
          </w:p>
        </w:tc>
      </w:tr>
      <w:tr w:rsidR="004F1D40" w:rsidRPr="00265B67" w14:paraId="2B889DA1" w14:textId="77777777" w:rsidTr="005A428D">
        <w:tc>
          <w:tcPr>
            <w:tcW w:w="3510" w:type="dxa"/>
          </w:tcPr>
          <w:p w14:paraId="60FD1376" w14:textId="77777777" w:rsidR="004F1D40" w:rsidRPr="00761653" w:rsidRDefault="004F1D40" w:rsidP="005A428D">
            <w:pPr>
              <w:ind w:left="57" w:right="57" w:firstLine="0"/>
              <w:rPr>
                <w:szCs w:val="24"/>
              </w:rPr>
            </w:pPr>
            <w:r w:rsidRPr="00761653">
              <w:rPr>
                <w:szCs w:val="24"/>
              </w:rPr>
              <w:t>Дорипенем</w:t>
            </w:r>
          </w:p>
        </w:tc>
        <w:tc>
          <w:tcPr>
            <w:tcW w:w="6237" w:type="dxa"/>
          </w:tcPr>
          <w:p w14:paraId="67E0862F" w14:textId="77777777" w:rsidR="004F1D40" w:rsidRPr="00761653" w:rsidRDefault="004F1D40" w:rsidP="005A428D">
            <w:pPr>
              <w:ind w:left="57" w:right="57" w:firstLine="0"/>
              <w:rPr>
                <w:szCs w:val="24"/>
              </w:rPr>
            </w:pPr>
            <w:r w:rsidRPr="00761653">
              <w:rPr>
                <w:szCs w:val="24"/>
              </w:rPr>
              <w:t>1 г каждые 8 часов, инфузия в течение 4 часов</w:t>
            </w:r>
          </w:p>
        </w:tc>
      </w:tr>
      <w:tr w:rsidR="004F1D40" w:rsidRPr="00265B67" w14:paraId="491DB72A" w14:textId="77777777" w:rsidTr="005A428D">
        <w:tc>
          <w:tcPr>
            <w:tcW w:w="3510" w:type="dxa"/>
          </w:tcPr>
          <w:p w14:paraId="3313FA30" w14:textId="77777777" w:rsidR="004F1D40" w:rsidRPr="00761653" w:rsidRDefault="004F1D40" w:rsidP="005A428D">
            <w:pPr>
              <w:ind w:left="57" w:right="57" w:firstLine="0"/>
              <w:rPr>
                <w:szCs w:val="24"/>
              </w:rPr>
            </w:pPr>
            <w:r w:rsidRPr="00761653">
              <w:rPr>
                <w:szCs w:val="24"/>
              </w:rPr>
              <w:t>Меропенем</w:t>
            </w:r>
          </w:p>
        </w:tc>
        <w:tc>
          <w:tcPr>
            <w:tcW w:w="6237" w:type="dxa"/>
          </w:tcPr>
          <w:p w14:paraId="2071CEF8" w14:textId="77777777" w:rsidR="004F1D40" w:rsidRPr="00761653" w:rsidRDefault="004F1D40" w:rsidP="005A428D">
            <w:pPr>
              <w:ind w:left="57" w:right="57" w:firstLine="0"/>
              <w:rPr>
                <w:szCs w:val="24"/>
              </w:rPr>
            </w:pPr>
            <w:r w:rsidRPr="00761653">
              <w:rPr>
                <w:szCs w:val="24"/>
              </w:rPr>
              <w:t>Нагрузочная доза 1-2 г, затем по 2 г каждые 8 часов, продленная инфузия в течение 3 часов</w:t>
            </w:r>
          </w:p>
        </w:tc>
      </w:tr>
      <w:tr w:rsidR="004F1D40" w:rsidRPr="00975FC1" w14:paraId="6FB0D72F" w14:textId="77777777" w:rsidTr="005A428D">
        <w:tc>
          <w:tcPr>
            <w:tcW w:w="3510" w:type="dxa"/>
          </w:tcPr>
          <w:p w14:paraId="1408B382" w14:textId="77777777" w:rsidR="004F1D40" w:rsidRPr="00761653" w:rsidRDefault="004F1D40" w:rsidP="005A428D">
            <w:pPr>
              <w:ind w:left="57" w:right="57" w:firstLine="0"/>
              <w:rPr>
                <w:szCs w:val="24"/>
              </w:rPr>
            </w:pPr>
            <w:r w:rsidRPr="00761653">
              <w:rPr>
                <w:szCs w:val="24"/>
              </w:rPr>
              <w:t>Имипенем</w:t>
            </w:r>
          </w:p>
        </w:tc>
        <w:tc>
          <w:tcPr>
            <w:tcW w:w="6237" w:type="dxa"/>
          </w:tcPr>
          <w:p w14:paraId="2CDB2F43" w14:textId="77777777" w:rsidR="004F1D40" w:rsidRPr="00761653" w:rsidRDefault="004F1D40" w:rsidP="005A428D">
            <w:pPr>
              <w:ind w:left="57" w:right="57" w:firstLine="0"/>
              <w:rPr>
                <w:szCs w:val="24"/>
              </w:rPr>
            </w:pPr>
            <w:r w:rsidRPr="00761653">
              <w:rPr>
                <w:szCs w:val="24"/>
              </w:rPr>
              <w:t>1 г каждые 6-8 часов, в/в</w:t>
            </w:r>
          </w:p>
        </w:tc>
      </w:tr>
      <w:tr w:rsidR="004F1D40" w:rsidRPr="00975FC1" w14:paraId="286118DD" w14:textId="77777777" w:rsidTr="005A428D">
        <w:tc>
          <w:tcPr>
            <w:tcW w:w="3510" w:type="dxa"/>
          </w:tcPr>
          <w:p w14:paraId="6E3C089A" w14:textId="77777777" w:rsidR="004F1D40" w:rsidRPr="00761653" w:rsidRDefault="004F1D40" w:rsidP="005A428D">
            <w:pPr>
              <w:ind w:left="57" w:right="57" w:firstLine="0"/>
              <w:rPr>
                <w:szCs w:val="24"/>
              </w:rPr>
            </w:pPr>
            <w:r w:rsidRPr="00761653">
              <w:rPr>
                <w:szCs w:val="24"/>
              </w:rPr>
              <w:t>Фосфомицин</w:t>
            </w:r>
          </w:p>
        </w:tc>
        <w:tc>
          <w:tcPr>
            <w:tcW w:w="6237" w:type="dxa"/>
          </w:tcPr>
          <w:p w14:paraId="1022F6C2" w14:textId="77777777" w:rsidR="004F1D40" w:rsidRPr="00761653" w:rsidRDefault="004F1D40" w:rsidP="005A428D">
            <w:pPr>
              <w:ind w:left="57" w:right="57" w:firstLine="0"/>
              <w:rPr>
                <w:szCs w:val="24"/>
              </w:rPr>
            </w:pPr>
            <w:r w:rsidRPr="00761653">
              <w:rPr>
                <w:szCs w:val="24"/>
              </w:rPr>
              <w:t xml:space="preserve">Нагрузочная доза 2-4 г, затем по 16-24 г посредством непрерывной инфузии в течение 24 часов </w:t>
            </w:r>
          </w:p>
        </w:tc>
      </w:tr>
      <w:tr w:rsidR="004F1D40" w:rsidRPr="00975FC1" w14:paraId="2E27315C" w14:textId="77777777" w:rsidTr="005A428D">
        <w:tc>
          <w:tcPr>
            <w:tcW w:w="3510" w:type="dxa"/>
          </w:tcPr>
          <w:p w14:paraId="3003AC74" w14:textId="77777777" w:rsidR="004F1D40" w:rsidRPr="00761653" w:rsidRDefault="004F1D40" w:rsidP="005A428D">
            <w:pPr>
              <w:ind w:left="57" w:right="57" w:firstLine="0"/>
              <w:rPr>
                <w:szCs w:val="24"/>
              </w:rPr>
            </w:pPr>
            <w:r w:rsidRPr="00761653">
              <w:rPr>
                <w:szCs w:val="24"/>
              </w:rPr>
              <w:t>Колистин</w:t>
            </w:r>
          </w:p>
        </w:tc>
        <w:tc>
          <w:tcPr>
            <w:tcW w:w="6237" w:type="dxa"/>
          </w:tcPr>
          <w:p w14:paraId="17FBB3A3" w14:textId="77777777" w:rsidR="004F1D40" w:rsidRPr="00761653" w:rsidRDefault="004F1D40" w:rsidP="005A428D">
            <w:pPr>
              <w:ind w:left="57" w:right="57" w:firstLine="0"/>
              <w:rPr>
                <w:szCs w:val="24"/>
              </w:rPr>
            </w:pPr>
            <w:r w:rsidRPr="00761653">
              <w:rPr>
                <w:szCs w:val="24"/>
              </w:rPr>
              <w:t>Нагрузочная доза 6-9 млн МЕ, затем по 4,5 млн МЕ каждые 12 часов</w:t>
            </w:r>
          </w:p>
        </w:tc>
      </w:tr>
      <w:tr w:rsidR="004F1D40" w:rsidRPr="00265B67" w14:paraId="4CF073CD" w14:textId="77777777" w:rsidTr="005A428D">
        <w:tc>
          <w:tcPr>
            <w:tcW w:w="3510" w:type="dxa"/>
          </w:tcPr>
          <w:p w14:paraId="309D524A" w14:textId="77777777" w:rsidR="004F1D40" w:rsidRPr="00761653" w:rsidRDefault="004F1D40" w:rsidP="005A428D">
            <w:pPr>
              <w:ind w:left="57" w:right="57" w:firstLine="0"/>
              <w:rPr>
                <w:szCs w:val="24"/>
              </w:rPr>
            </w:pPr>
            <w:r w:rsidRPr="00761653">
              <w:rPr>
                <w:szCs w:val="24"/>
              </w:rPr>
              <w:t>Полимиксин В</w:t>
            </w:r>
          </w:p>
        </w:tc>
        <w:tc>
          <w:tcPr>
            <w:tcW w:w="6237" w:type="dxa"/>
          </w:tcPr>
          <w:p w14:paraId="1E6ABFBF" w14:textId="77777777" w:rsidR="004F1D40" w:rsidRPr="00761653" w:rsidRDefault="004F1D40" w:rsidP="005A428D">
            <w:pPr>
              <w:ind w:left="57" w:right="57" w:firstLine="0"/>
              <w:rPr>
                <w:szCs w:val="24"/>
              </w:rPr>
            </w:pPr>
            <w:r w:rsidRPr="00761653">
              <w:rPr>
                <w:szCs w:val="24"/>
              </w:rPr>
              <w:t xml:space="preserve">Нагрузочная доза 2-2,5 мг/кг, инфузия в течение 2 часов, далее по </w:t>
            </w:r>
          </w:p>
          <w:p w14:paraId="004AB438" w14:textId="77777777" w:rsidR="004F1D40" w:rsidRPr="00761653" w:rsidRDefault="004F1D40" w:rsidP="005A428D">
            <w:pPr>
              <w:ind w:left="57" w:right="57" w:firstLine="0"/>
              <w:rPr>
                <w:szCs w:val="24"/>
              </w:rPr>
            </w:pPr>
            <w:r w:rsidRPr="00761653">
              <w:rPr>
                <w:szCs w:val="24"/>
              </w:rPr>
              <w:t>1,25-1,5 мг/кг каждые 12 часов, инфузия в течение 1 часа</w:t>
            </w:r>
          </w:p>
        </w:tc>
      </w:tr>
      <w:tr w:rsidR="004F1D40" w:rsidRPr="00265B67" w14:paraId="3EF4182D" w14:textId="77777777" w:rsidTr="005A428D">
        <w:tc>
          <w:tcPr>
            <w:tcW w:w="3510" w:type="dxa"/>
          </w:tcPr>
          <w:p w14:paraId="3F9766CD" w14:textId="77777777" w:rsidR="004F1D40" w:rsidRPr="00761653" w:rsidRDefault="004F1D40" w:rsidP="005A428D">
            <w:pPr>
              <w:ind w:left="57" w:right="57" w:firstLine="0"/>
              <w:rPr>
                <w:szCs w:val="24"/>
              </w:rPr>
            </w:pPr>
            <w:r w:rsidRPr="00761653">
              <w:rPr>
                <w:szCs w:val="24"/>
              </w:rPr>
              <w:t>Ципрофлоксацин</w:t>
            </w:r>
          </w:p>
        </w:tc>
        <w:tc>
          <w:tcPr>
            <w:tcW w:w="6237" w:type="dxa"/>
          </w:tcPr>
          <w:p w14:paraId="2E4F9AD8" w14:textId="77777777" w:rsidR="004F1D40" w:rsidRPr="00761653" w:rsidRDefault="004F1D40" w:rsidP="005A428D">
            <w:pPr>
              <w:ind w:left="57" w:right="57" w:firstLine="0"/>
              <w:rPr>
                <w:szCs w:val="24"/>
              </w:rPr>
            </w:pPr>
            <w:r w:rsidRPr="00761653">
              <w:rPr>
                <w:szCs w:val="24"/>
              </w:rPr>
              <w:t>400 мг каждые 8 часов, инфузия в течение 30-60 минут</w:t>
            </w:r>
          </w:p>
        </w:tc>
      </w:tr>
      <w:tr w:rsidR="004F1D40" w:rsidRPr="00265B67" w14:paraId="46F8F613" w14:textId="77777777" w:rsidTr="005A428D">
        <w:tc>
          <w:tcPr>
            <w:tcW w:w="3510" w:type="dxa"/>
          </w:tcPr>
          <w:p w14:paraId="355049AB" w14:textId="77777777" w:rsidR="004F1D40" w:rsidRPr="00761653" w:rsidRDefault="004F1D40" w:rsidP="005A428D">
            <w:pPr>
              <w:ind w:left="57" w:right="57" w:firstLine="0"/>
              <w:rPr>
                <w:szCs w:val="24"/>
              </w:rPr>
            </w:pPr>
            <w:r w:rsidRPr="00761653">
              <w:rPr>
                <w:szCs w:val="24"/>
              </w:rPr>
              <w:t>Левофлоксацин</w:t>
            </w:r>
          </w:p>
        </w:tc>
        <w:tc>
          <w:tcPr>
            <w:tcW w:w="6237" w:type="dxa"/>
          </w:tcPr>
          <w:p w14:paraId="6426FE5C" w14:textId="77777777" w:rsidR="004F1D40" w:rsidRPr="00761653" w:rsidRDefault="004F1D40" w:rsidP="005A428D">
            <w:pPr>
              <w:ind w:left="57" w:right="57" w:firstLine="0"/>
              <w:rPr>
                <w:szCs w:val="24"/>
              </w:rPr>
            </w:pPr>
            <w:r w:rsidRPr="00761653">
              <w:rPr>
                <w:szCs w:val="24"/>
              </w:rPr>
              <w:t>500 мг каждые 12 часов, инфузия в течение 50-60 минут</w:t>
            </w:r>
          </w:p>
        </w:tc>
      </w:tr>
      <w:tr w:rsidR="004F1D40" w:rsidRPr="00265B67" w14:paraId="4978B495" w14:textId="77777777" w:rsidTr="005A428D">
        <w:tc>
          <w:tcPr>
            <w:tcW w:w="3510" w:type="dxa"/>
          </w:tcPr>
          <w:p w14:paraId="58050AE5" w14:textId="77777777" w:rsidR="004F1D40" w:rsidRPr="00761653" w:rsidRDefault="004F1D40" w:rsidP="005A428D">
            <w:pPr>
              <w:ind w:left="57" w:right="57" w:firstLine="0"/>
              <w:rPr>
                <w:szCs w:val="24"/>
              </w:rPr>
            </w:pPr>
            <w:r w:rsidRPr="00761653">
              <w:rPr>
                <w:szCs w:val="24"/>
              </w:rPr>
              <w:t>Тобрамицин</w:t>
            </w:r>
          </w:p>
        </w:tc>
        <w:tc>
          <w:tcPr>
            <w:tcW w:w="6237" w:type="dxa"/>
          </w:tcPr>
          <w:p w14:paraId="547FE4C8" w14:textId="77777777" w:rsidR="004F1D40" w:rsidRPr="00761653" w:rsidRDefault="004F1D40" w:rsidP="005A428D">
            <w:pPr>
              <w:ind w:left="57" w:right="57" w:firstLine="0"/>
              <w:rPr>
                <w:szCs w:val="24"/>
              </w:rPr>
            </w:pPr>
            <w:r w:rsidRPr="00761653">
              <w:rPr>
                <w:szCs w:val="24"/>
              </w:rPr>
              <w:t>8 мг/кг 1 раз/сут, инфузия в течение 60 мин</w:t>
            </w:r>
          </w:p>
        </w:tc>
      </w:tr>
      <w:tr w:rsidR="004F1D40" w:rsidRPr="00265B67" w14:paraId="22539A34" w14:textId="77777777" w:rsidTr="005A428D">
        <w:tc>
          <w:tcPr>
            <w:tcW w:w="3510" w:type="dxa"/>
          </w:tcPr>
          <w:p w14:paraId="36B48F7F" w14:textId="77777777" w:rsidR="004F1D40" w:rsidRPr="00761653" w:rsidRDefault="004F1D40" w:rsidP="005A428D">
            <w:pPr>
              <w:ind w:left="57" w:right="57" w:firstLine="0"/>
              <w:rPr>
                <w:szCs w:val="24"/>
              </w:rPr>
            </w:pPr>
            <w:r w:rsidRPr="00761653">
              <w:rPr>
                <w:szCs w:val="24"/>
              </w:rPr>
              <w:t>Амикацин</w:t>
            </w:r>
          </w:p>
        </w:tc>
        <w:tc>
          <w:tcPr>
            <w:tcW w:w="6237" w:type="dxa"/>
          </w:tcPr>
          <w:p w14:paraId="47F1CD08" w14:textId="77777777" w:rsidR="004F1D40" w:rsidRPr="00761653" w:rsidRDefault="004F1D40" w:rsidP="005A428D">
            <w:pPr>
              <w:ind w:left="57" w:right="57" w:firstLine="0"/>
              <w:rPr>
                <w:szCs w:val="24"/>
              </w:rPr>
            </w:pPr>
            <w:r w:rsidRPr="00761653">
              <w:rPr>
                <w:szCs w:val="24"/>
              </w:rPr>
              <w:t xml:space="preserve">25 мг/кг 1 раз/сут, инфузия в течение 60 минут </w:t>
            </w:r>
          </w:p>
        </w:tc>
      </w:tr>
    </w:tbl>
    <w:p w14:paraId="7C4F7EC0" w14:textId="77777777" w:rsidR="004F1D40" w:rsidRDefault="004F1D40" w:rsidP="004F1D40">
      <w:pPr>
        <w:widowControl w:val="0"/>
        <w:tabs>
          <w:tab w:val="left" w:pos="1134"/>
        </w:tabs>
        <w:autoSpaceDE w:val="0"/>
        <w:autoSpaceDN w:val="0"/>
        <w:adjustRightInd w:val="0"/>
        <w:ind w:right="49"/>
        <w:contextualSpacing/>
        <w:rPr>
          <w:bCs/>
          <w:i/>
          <w:u w:val="single"/>
        </w:rPr>
      </w:pPr>
    </w:p>
    <w:p w14:paraId="10BE7EFE" w14:textId="77777777" w:rsidR="004F1D40" w:rsidRPr="00284D51" w:rsidRDefault="004F1D40" w:rsidP="004F1D40">
      <w:pPr>
        <w:widowControl w:val="0"/>
        <w:tabs>
          <w:tab w:val="left" w:pos="1134"/>
        </w:tabs>
        <w:autoSpaceDE w:val="0"/>
        <w:autoSpaceDN w:val="0"/>
        <w:adjustRightInd w:val="0"/>
        <w:ind w:right="49"/>
        <w:contextualSpacing/>
        <w:rPr>
          <w:bCs/>
          <w:i/>
        </w:rPr>
      </w:pPr>
      <w:r w:rsidRPr="00284D51">
        <w:rPr>
          <w:bCs/>
          <w:i/>
        </w:rPr>
        <w:t>Acinetobacter baumannii</w:t>
      </w:r>
    </w:p>
    <w:p w14:paraId="771A97D5" w14:textId="77777777" w:rsidR="004F1D40" w:rsidRPr="00761653" w:rsidRDefault="004F1D40" w:rsidP="004F1D40">
      <w:pPr>
        <w:widowControl w:val="0"/>
        <w:tabs>
          <w:tab w:val="left" w:pos="1134"/>
        </w:tabs>
        <w:autoSpaceDE w:val="0"/>
        <w:autoSpaceDN w:val="0"/>
        <w:adjustRightInd w:val="0"/>
        <w:ind w:right="4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523FC41C" w14:textId="77777777" w:rsidR="004F1D40" w:rsidRPr="00284D51" w:rsidRDefault="004F1D40" w:rsidP="004F1D40">
      <w:pPr>
        <w:widowControl w:val="0"/>
        <w:tabs>
          <w:tab w:val="left" w:pos="1134"/>
        </w:tabs>
        <w:autoSpaceDE w:val="0"/>
        <w:autoSpaceDN w:val="0"/>
        <w:adjustRightInd w:val="0"/>
        <w:ind w:right="49"/>
        <w:contextualSpacing/>
        <w:rPr>
          <w:bCs/>
        </w:rPr>
      </w:pPr>
      <w:r w:rsidRPr="00284D51">
        <w:rPr>
          <w:bCs/>
          <w:i/>
        </w:rPr>
        <w:t>Stenotrophomonas maltophilia</w:t>
      </w:r>
    </w:p>
    <w:p w14:paraId="73533837" w14:textId="77777777" w:rsidR="004F1D40" w:rsidRPr="00761653" w:rsidRDefault="004F1D40" w:rsidP="004F1D40">
      <w:pPr>
        <w:widowControl w:val="0"/>
        <w:tabs>
          <w:tab w:val="left" w:pos="1134"/>
        </w:tabs>
        <w:autoSpaceDE w:val="0"/>
        <w:autoSpaceDN w:val="0"/>
        <w:adjustRightInd w:val="0"/>
        <w:ind w:right="49"/>
        <w:contextualSpacing/>
      </w:pPr>
      <w:r w:rsidRPr="00761653">
        <w:t>Препарат выбора – триметоприм/сульфаметоксазол, расчет дозы проводят по триметоприму 15 мг/кг/сутки.</w:t>
      </w:r>
    </w:p>
    <w:p w14:paraId="5AA09236" w14:textId="77777777" w:rsidR="004F1D40" w:rsidRDefault="004F1D40" w:rsidP="004F1D40">
      <w:pPr>
        <w:widowControl w:val="0"/>
        <w:tabs>
          <w:tab w:val="left" w:pos="317"/>
          <w:tab w:val="left" w:pos="8715"/>
        </w:tabs>
        <w:autoSpaceDE w:val="0"/>
        <w:autoSpaceDN w:val="0"/>
        <w:adjustRightInd w:val="0"/>
        <w:ind w:right="49"/>
        <w:contextualSpacing/>
        <w:rPr>
          <w:b/>
        </w:rPr>
      </w:pPr>
    </w:p>
    <w:p w14:paraId="5D1601C0" w14:textId="77777777" w:rsidR="004F1D40" w:rsidRPr="00761653" w:rsidRDefault="004F1D40" w:rsidP="004F1D40">
      <w:pPr>
        <w:widowControl w:val="0"/>
        <w:tabs>
          <w:tab w:val="left" w:pos="317"/>
          <w:tab w:val="left" w:pos="8715"/>
        </w:tabs>
        <w:autoSpaceDE w:val="0"/>
        <w:autoSpaceDN w:val="0"/>
        <w:adjustRightInd w:val="0"/>
        <w:ind w:right="49"/>
        <w:contextualSpacing/>
        <w:rPr>
          <w:b/>
          <w:iCs/>
        </w:rPr>
      </w:pPr>
      <w:r w:rsidRPr="00761653">
        <w:rPr>
          <w:b/>
        </w:rPr>
        <w:t>Грамположительные возбудители</w:t>
      </w:r>
    </w:p>
    <w:p w14:paraId="304DFE50" w14:textId="77777777" w:rsidR="004F1D40" w:rsidRPr="00284D51" w:rsidRDefault="004F1D40" w:rsidP="004F1D40">
      <w:pPr>
        <w:widowControl w:val="0"/>
        <w:tabs>
          <w:tab w:val="left" w:pos="317"/>
          <w:tab w:val="left" w:pos="8715"/>
        </w:tabs>
        <w:autoSpaceDE w:val="0"/>
        <w:autoSpaceDN w:val="0"/>
        <w:adjustRightInd w:val="0"/>
        <w:ind w:right="49"/>
        <w:contextualSpacing/>
        <w:rPr>
          <w:i/>
          <w:iCs/>
        </w:rPr>
      </w:pPr>
      <w:r w:rsidRPr="00284D51">
        <w:rPr>
          <w:i/>
          <w:iCs/>
        </w:rPr>
        <w:t>Коагулазонегативные стафилококки</w:t>
      </w:r>
    </w:p>
    <w:p w14:paraId="3B221B8E" w14:textId="77777777" w:rsidR="004F1D40" w:rsidRPr="00761653" w:rsidRDefault="004F1D40" w:rsidP="004F1D40">
      <w:pPr>
        <w:widowControl w:val="0"/>
        <w:tabs>
          <w:tab w:val="left" w:pos="317"/>
          <w:tab w:val="left" w:pos="8715"/>
        </w:tabs>
        <w:autoSpaceDE w:val="0"/>
        <w:autoSpaceDN w:val="0"/>
        <w:adjustRightInd w:val="0"/>
        <w:ind w:right="49"/>
        <w:contextualSpacing/>
        <w:rPr>
          <w:bCs/>
        </w:rPr>
      </w:pPr>
      <w:r w:rsidRPr="00761653">
        <w:rPr>
          <w:bCs/>
        </w:rPr>
        <w:t>Явялются причиной бактериемий (2</w:t>
      </w:r>
      <w:r>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2687DDEB" w14:textId="77777777" w:rsidR="004F1D40" w:rsidRPr="00284D51" w:rsidRDefault="004F1D40" w:rsidP="004F1D40">
      <w:pPr>
        <w:widowControl w:val="0"/>
        <w:tabs>
          <w:tab w:val="left" w:pos="317"/>
          <w:tab w:val="left" w:pos="8715"/>
        </w:tabs>
        <w:autoSpaceDE w:val="0"/>
        <w:autoSpaceDN w:val="0"/>
        <w:adjustRightInd w:val="0"/>
        <w:ind w:right="49"/>
        <w:contextualSpacing/>
      </w:pPr>
      <w:r w:rsidRPr="00284D51">
        <w:rPr>
          <w:i/>
        </w:rPr>
        <w:t>Enterococcus</w:t>
      </w:r>
      <w:r w:rsidRPr="00284D51">
        <w:t xml:space="preserve"> spp. </w:t>
      </w:r>
    </w:p>
    <w:p w14:paraId="45595737" w14:textId="77777777" w:rsidR="004F1D40" w:rsidRPr="00761653" w:rsidRDefault="004F1D40" w:rsidP="004F1D40">
      <w:pPr>
        <w:widowControl w:val="0"/>
        <w:tabs>
          <w:tab w:val="left" w:pos="317"/>
          <w:tab w:val="left" w:pos="8715"/>
        </w:tabs>
        <w:autoSpaceDE w:val="0"/>
        <w:autoSpaceDN w:val="0"/>
        <w:adjustRightInd w:val="0"/>
        <w:ind w:right="4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0F73A077" w14:textId="77777777" w:rsidR="004F1D40" w:rsidRPr="00284D51" w:rsidRDefault="004F1D40" w:rsidP="004F1D40">
      <w:pPr>
        <w:widowControl w:val="0"/>
        <w:tabs>
          <w:tab w:val="left" w:pos="317"/>
          <w:tab w:val="left" w:pos="8715"/>
        </w:tabs>
        <w:autoSpaceDE w:val="0"/>
        <w:autoSpaceDN w:val="0"/>
        <w:adjustRightInd w:val="0"/>
        <w:ind w:right="49"/>
        <w:contextualSpacing/>
        <w:rPr>
          <w:i/>
        </w:rPr>
      </w:pPr>
      <w:r w:rsidRPr="00284D51">
        <w:rPr>
          <w:i/>
        </w:rPr>
        <w:t>Staphylococcus aureus</w:t>
      </w:r>
    </w:p>
    <w:p w14:paraId="61DFB3A5" w14:textId="77777777" w:rsidR="004F1D40" w:rsidRPr="00761653" w:rsidRDefault="004F1D40" w:rsidP="004F1D40">
      <w:pPr>
        <w:widowControl w:val="0"/>
        <w:tabs>
          <w:tab w:val="left" w:pos="317"/>
          <w:tab w:val="left" w:pos="8715"/>
        </w:tabs>
        <w:autoSpaceDE w:val="0"/>
        <w:autoSpaceDN w:val="0"/>
        <w:adjustRightInd w:val="0"/>
        <w:ind w:right="4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5DFBA68B" w14:textId="77777777" w:rsidR="004F1D40" w:rsidRPr="00761653" w:rsidRDefault="004F1D40" w:rsidP="004F1D40">
      <w:pPr>
        <w:widowControl w:val="0"/>
        <w:tabs>
          <w:tab w:val="left" w:pos="317"/>
          <w:tab w:val="left" w:pos="8715"/>
        </w:tabs>
        <w:autoSpaceDE w:val="0"/>
        <w:autoSpaceDN w:val="0"/>
        <w:adjustRightInd w:val="0"/>
        <w:ind w:right="4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1A310807" w14:textId="77777777" w:rsidR="004F1D40" w:rsidRDefault="004F1D40" w:rsidP="004F1D40">
      <w:pPr>
        <w:ind w:hanging="142"/>
      </w:pPr>
    </w:p>
    <w:p w14:paraId="660DACBD" w14:textId="77777777" w:rsidR="004F1D40" w:rsidRPr="00761653" w:rsidRDefault="004F1D40" w:rsidP="004F1D40">
      <w:pPr>
        <w:ind w:hanging="142"/>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4F1D40" w:rsidRPr="00761653" w14:paraId="0CC97E08" w14:textId="77777777" w:rsidTr="005A428D">
        <w:tc>
          <w:tcPr>
            <w:tcW w:w="2376" w:type="dxa"/>
            <w:vAlign w:val="center"/>
          </w:tcPr>
          <w:p w14:paraId="35A8B157" w14:textId="77777777" w:rsidR="004F1D40" w:rsidRPr="00761653" w:rsidRDefault="004F1D40" w:rsidP="005A428D">
            <w:pPr>
              <w:spacing w:line="240" w:lineRule="auto"/>
              <w:ind w:left="57" w:right="57" w:firstLine="0"/>
              <w:jc w:val="center"/>
              <w:rPr>
                <w:szCs w:val="24"/>
              </w:rPr>
            </w:pPr>
            <w:r w:rsidRPr="00761653">
              <w:rPr>
                <w:szCs w:val="24"/>
              </w:rPr>
              <w:t>Микроорганизм</w:t>
            </w:r>
          </w:p>
        </w:tc>
        <w:tc>
          <w:tcPr>
            <w:tcW w:w="2835" w:type="dxa"/>
            <w:vAlign w:val="center"/>
          </w:tcPr>
          <w:p w14:paraId="23A838EA" w14:textId="77777777" w:rsidR="004F1D40" w:rsidRPr="00761653" w:rsidRDefault="004F1D40" w:rsidP="005A428D">
            <w:pPr>
              <w:spacing w:line="240" w:lineRule="auto"/>
              <w:ind w:left="57" w:right="57" w:firstLine="0"/>
              <w:jc w:val="center"/>
              <w:rPr>
                <w:szCs w:val="24"/>
              </w:rPr>
            </w:pPr>
            <w:r w:rsidRPr="00761653">
              <w:rPr>
                <w:szCs w:val="24"/>
              </w:rPr>
              <w:t>Препарат</w:t>
            </w:r>
          </w:p>
        </w:tc>
        <w:tc>
          <w:tcPr>
            <w:tcW w:w="4395" w:type="dxa"/>
            <w:vAlign w:val="center"/>
          </w:tcPr>
          <w:p w14:paraId="079C287A" w14:textId="77777777" w:rsidR="004F1D40" w:rsidRPr="00761653" w:rsidRDefault="004F1D40" w:rsidP="005A428D">
            <w:pPr>
              <w:spacing w:line="240" w:lineRule="auto"/>
              <w:ind w:left="57" w:right="57" w:firstLine="0"/>
              <w:jc w:val="center"/>
              <w:rPr>
                <w:szCs w:val="24"/>
              </w:rPr>
            </w:pPr>
            <w:r w:rsidRPr="00761653">
              <w:rPr>
                <w:szCs w:val="24"/>
              </w:rPr>
              <w:t>Доза</w:t>
            </w:r>
          </w:p>
        </w:tc>
      </w:tr>
      <w:tr w:rsidR="004F1D40" w:rsidRPr="00975FC1" w14:paraId="25FF34D5" w14:textId="77777777" w:rsidTr="005A428D">
        <w:tc>
          <w:tcPr>
            <w:tcW w:w="2376" w:type="dxa"/>
            <w:vMerge w:val="restart"/>
          </w:tcPr>
          <w:p w14:paraId="28F4A4BE" w14:textId="77777777" w:rsidR="004F1D40" w:rsidRPr="00761653" w:rsidRDefault="004F1D40" w:rsidP="005A428D">
            <w:pPr>
              <w:spacing w:line="240" w:lineRule="auto"/>
              <w:ind w:left="57" w:right="57" w:firstLine="0"/>
              <w:rPr>
                <w:szCs w:val="24"/>
                <w:highlight w:val="green"/>
              </w:rPr>
            </w:pPr>
            <w:r w:rsidRPr="00761653">
              <w:rPr>
                <w:i/>
                <w:szCs w:val="24"/>
              </w:rPr>
              <w:t>S. aureus</w:t>
            </w:r>
            <w:r w:rsidRPr="00761653">
              <w:rPr>
                <w:szCs w:val="24"/>
              </w:rPr>
              <w:t>, чувствительные к оксациллину</w:t>
            </w:r>
          </w:p>
        </w:tc>
        <w:tc>
          <w:tcPr>
            <w:tcW w:w="2835" w:type="dxa"/>
          </w:tcPr>
          <w:p w14:paraId="4C60CA77" w14:textId="77777777" w:rsidR="004F1D40" w:rsidRPr="00761653" w:rsidRDefault="004F1D40" w:rsidP="005A428D">
            <w:pPr>
              <w:spacing w:line="240" w:lineRule="auto"/>
              <w:ind w:left="57" w:right="57" w:firstLine="0"/>
              <w:rPr>
                <w:szCs w:val="24"/>
              </w:rPr>
            </w:pPr>
            <w:r w:rsidRPr="00761653">
              <w:rPr>
                <w:szCs w:val="24"/>
              </w:rPr>
              <w:t>Оксациллин</w:t>
            </w:r>
          </w:p>
        </w:tc>
        <w:tc>
          <w:tcPr>
            <w:tcW w:w="4395" w:type="dxa"/>
          </w:tcPr>
          <w:p w14:paraId="38440EF9" w14:textId="77777777" w:rsidR="004F1D40" w:rsidRPr="00761653" w:rsidRDefault="004F1D40" w:rsidP="005A428D">
            <w:pPr>
              <w:spacing w:line="240" w:lineRule="auto"/>
              <w:ind w:left="57" w:right="57" w:firstLine="0"/>
              <w:rPr>
                <w:szCs w:val="24"/>
              </w:rPr>
            </w:pPr>
            <w:r w:rsidRPr="00761653">
              <w:rPr>
                <w:szCs w:val="24"/>
              </w:rPr>
              <w:t>1-2 г каждые 4 часа, в/в</w:t>
            </w:r>
          </w:p>
        </w:tc>
      </w:tr>
      <w:tr w:rsidR="004F1D40" w:rsidRPr="00975FC1" w14:paraId="31F5A94A" w14:textId="77777777" w:rsidTr="005A428D">
        <w:tc>
          <w:tcPr>
            <w:tcW w:w="2376" w:type="dxa"/>
            <w:vMerge/>
          </w:tcPr>
          <w:p w14:paraId="4A9AA911" w14:textId="77777777" w:rsidR="004F1D40" w:rsidRPr="00761653" w:rsidRDefault="004F1D40" w:rsidP="005A428D">
            <w:pPr>
              <w:spacing w:line="240" w:lineRule="auto"/>
              <w:ind w:left="57" w:right="57" w:firstLine="0"/>
              <w:rPr>
                <w:szCs w:val="24"/>
              </w:rPr>
            </w:pPr>
          </w:p>
        </w:tc>
        <w:tc>
          <w:tcPr>
            <w:tcW w:w="2835" w:type="dxa"/>
          </w:tcPr>
          <w:p w14:paraId="2A54DB47" w14:textId="77777777" w:rsidR="004F1D40" w:rsidRPr="00761653" w:rsidRDefault="004F1D40" w:rsidP="005A428D">
            <w:pPr>
              <w:spacing w:line="240" w:lineRule="auto"/>
              <w:ind w:left="57" w:right="57" w:firstLine="0"/>
              <w:rPr>
                <w:szCs w:val="24"/>
              </w:rPr>
            </w:pPr>
            <w:r w:rsidRPr="00761653">
              <w:rPr>
                <w:szCs w:val="24"/>
              </w:rPr>
              <w:t>Цефазолин</w:t>
            </w:r>
          </w:p>
        </w:tc>
        <w:tc>
          <w:tcPr>
            <w:tcW w:w="4395" w:type="dxa"/>
          </w:tcPr>
          <w:p w14:paraId="146CEE10" w14:textId="77777777" w:rsidR="004F1D40" w:rsidRPr="00761653" w:rsidRDefault="004F1D40" w:rsidP="005A428D">
            <w:pPr>
              <w:spacing w:line="240" w:lineRule="auto"/>
              <w:ind w:left="57" w:right="57" w:firstLine="0"/>
              <w:rPr>
                <w:szCs w:val="24"/>
              </w:rPr>
            </w:pPr>
            <w:r w:rsidRPr="00761653">
              <w:rPr>
                <w:szCs w:val="24"/>
              </w:rPr>
              <w:t>1-2 г каждые 8 часов (максимальная доза 12 г/сут), в/в</w:t>
            </w:r>
          </w:p>
        </w:tc>
      </w:tr>
      <w:tr w:rsidR="004F1D40" w:rsidRPr="00265B67" w14:paraId="30B8FD28" w14:textId="77777777" w:rsidTr="005A428D">
        <w:tc>
          <w:tcPr>
            <w:tcW w:w="2376" w:type="dxa"/>
            <w:vMerge/>
          </w:tcPr>
          <w:p w14:paraId="386C4EAE" w14:textId="77777777" w:rsidR="004F1D40" w:rsidRPr="00761653" w:rsidRDefault="004F1D40" w:rsidP="005A428D">
            <w:pPr>
              <w:spacing w:line="240" w:lineRule="auto"/>
              <w:ind w:left="57" w:right="57" w:firstLine="0"/>
              <w:rPr>
                <w:szCs w:val="24"/>
              </w:rPr>
            </w:pPr>
          </w:p>
        </w:tc>
        <w:tc>
          <w:tcPr>
            <w:tcW w:w="2835" w:type="dxa"/>
          </w:tcPr>
          <w:p w14:paraId="2E133809" w14:textId="77777777" w:rsidR="004F1D40" w:rsidRPr="00761653" w:rsidRDefault="004F1D40" w:rsidP="005A428D">
            <w:pPr>
              <w:spacing w:line="240" w:lineRule="auto"/>
              <w:ind w:left="57" w:right="57" w:firstLine="0"/>
              <w:rPr>
                <w:szCs w:val="24"/>
              </w:rPr>
            </w:pPr>
            <w:r w:rsidRPr="00761653">
              <w:rPr>
                <w:szCs w:val="24"/>
              </w:rPr>
              <w:t>Цефтаролин</w:t>
            </w:r>
          </w:p>
        </w:tc>
        <w:tc>
          <w:tcPr>
            <w:tcW w:w="4395" w:type="dxa"/>
          </w:tcPr>
          <w:p w14:paraId="32598E68" w14:textId="77777777" w:rsidR="004F1D40" w:rsidRPr="00761653" w:rsidRDefault="004F1D40" w:rsidP="005A428D">
            <w:pPr>
              <w:spacing w:line="240" w:lineRule="auto"/>
              <w:ind w:left="57" w:right="57" w:firstLine="0"/>
              <w:rPr>
                <w:szCs w:val="24"/>
              </w:rPr>
            </w:pPr>
            <w:r w:rsidRPr="00761653">
              <w:rPr>
                <w:szCs w:val="24"/>
              </w:rPr>
              <w:t>600 мг каждые 12 часов, инфузия в течение 5-60 минут</w:t>
            </w:r>
          </w:p>
        </w:tc>
      </w:tr>
      <w:tr w:rsidR="004F1D40" w:rsidRPr="00265B67" w14:paraId="5705CDCF" w14:textId="77777777" w:rsidTr="005A428D">
        <w:tc>
          <w:tcPr>
            <w:tcW w:w="2376" w:type="dxa"/>
            <w:vMerge/>
          </w:tcPr>
          <w:p w14:paraId="43D4A50C" w14:textId="77777777" w:rsidR="004F1D40" w:rsidRPr="00761653" w:rsidRDefault="004F1D40" w:rsidP="005A428D">
            <w:pPr>
              <w:spacing w:line="240" w:lineRule="auto"/>
              <w:ind w:left="57" w:right="57" w:firstLine="0"/>
              <w:rPr>
                <w:szCs w:val="24"/>
                <w:highlight w:val="yellow"/>
              </w:rPr>
            </w:pPr>
          </w:p>
        </w:tc>
        <w:tc>
          <w:tcPr>
            <w:tcW w:w="2835" w:type="dxa"/>
          </w:tcPr>
          <w:p w14:paraId="4FCC9C11" w14:textId="77777777" w:rsidR="004F1D40" w:rsidRPr="00761653" w:rsidRDefault="004F1D40" w:rsidP="005A428D">
            <w:pPr>
              <w:spacing w:line="240" w:lineRule="auto"/>
              <w:ind w:left="57" w:right="57" w:firstLine="0"/>
              <w:rPr>
                <w:szCs w:val="24"/>
              </w:rPr>
            </w:pPr>
            <w:r w:rsidRPr="00761653">
              <w:rPr>
                <w:szCs w:val="24"/>
              </w:rPr>
              <w:t>Ванкомицин</w:t>
            </w:r>
          </w:p>
        </w:tc>
        <w:tc>
          <w:tcPr>
            <w:tcW w:w="4395" w:type="dxa"/>
          </w:tcPr>
          <w:p w14:paraId="778C28CA" w14:textId="77777777" w:rsidR="004F1D40" w:rsidRPr="00761653" w:rsidRDefault="004F1D40" w:rsidP="005A428D">
            <w:pPr>
              <w:spacing w:line="240" w:lineRule="auto"/>
              <w:ind w:left="57" w:right="57" w:firstLine="0"/>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w:t>
            </w:r>
          </w:p>
        </w:tc>
      </w:tr>
      <w:tr w:rsidR="004F1D40" w:rsidRPr="00265B67" w14:paraId="2A03A6AC" w14:textId="77777777" w:rsidTr="005A428D">
        <w:tc>
          <w:tcPr>
            <w:tcW w:w="2376" w:type="dxa"/>
            <w:vMerge w:val="restart"/>
          </w:tcPr>
          <w:p w14:paraId="14B564EE" w14:textId="77777777" w:rsidR="004F1D40" w:rsidRPr="00761653" w:rsidRDefault="004F1D40" w:rsidP="005A428D">
            <w:pPr>
              <w:spacing w:line="240" w:lineRule="auto"/>
              <w:ind w:left="57" w:right="57" w:firstLine="0"/>
              <w:rPr>
                <w:szCs w:val="24"/>
              </w:rPr>
            </w:pPr>
            <w:r w:rsidRPr="00761653">
              <w:rPr>
                <w:i/>
                <w:szCs w:val="24"/>
              </w:rPr>
              <w:t>S. aureus,</w:t>
            </w:r>
            <w:r w:rsidRPr="00761653">
              <w:rPr>
                <w:szCs w:val="24"/>
              </w:rPr>
              <w:t xml:space="preserve"> устойчивые к оксациллину</w:t>
            </w:r>
          </w:p>
        </w:tc>
        <w:tc>
          <w:tcPr>
            <w:tcW w:w="2835" w:type="dxa"/>
          </w:tcPr>
          <w:p w14:paraId="0DEDB310" w14:textId="77777777" w:rsidR="004F1D40" w:rsidRPr="00761653" w:rsidRDefault="004F1D40" w:rsidP="005A428D">
            <w:pPr>
              <w:spacing w:line="240" w:lineRule="auto"/>
              <w:ind w:left="57" w:right="57" w:firstLine="0"/>
              <w:rPr>
                <w:szCs w:val="24"/>
              </w:rPr>
            </w:pPr>
            <w:r w:rsidRPr="00761653">
              <w:rPr>
                <w:szCs w:val="24"/>
              </w:rPr>
              <w:t>Ванкомицин</w:t>
            </w:r>
          </w:p>
        </w:tc>
        <w:tc>
          <w:tcPr>
            <w:tcW w:w="4395" w:type="dxa"/>
          </w:tcPr>
          <w:p w14:paraId="72FB33EB" w14:textId="77777777" w:rsidR="004F1D40" w:rsidRPr="00761653" w:rsidRDefault="004F1D40" w:rsidP="005A428D">
            <w:pPr>
              <w:spacing w:line="240" w:lineRule="auto"/>
              <w:ind w:left="57" w:right="57" w:firstLine="0"/>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szCs w:val="24"/>
              </w:rPr>
              <w:t>S. aureus</w:t>
            </w:r>
            <w:r w:rsidRPr="00761653">
              <w:rPr>
                <w:szCs w:val="24"/>
              </w:rPr>
              <w:t xml:space="preserve"> с МПК ванкомицина &gt; 1 мкг/мл ввиду низкой клинической эффективности)</w:t>
            </w:r>
          </w:p>
        </w:tc>
      </w:tr>
      <w:tr w:rsidR="004F1D40" w:rsidRPr="00975FC1" w14:paraId="1083AB01" w14:textId="77777777" w:rsidTr="005A428D">
        <w:tc>
          <w:tcPr>
            <w:tcW w:w="2376" w:type="dxa"/>
            <w:vMerge/>
          </w:tcPr>
          <w:p w14:paraId="691DE854" w14:textId="77777777" w:rsidR="004F1D40" w:rsidRPr="00761653" w:rsidRDefault="004F1D40" w:rsidP="005A428D">
            <w:pPr>
              <w:spacing w:line="240" w:lineRule="auto"/>
              <w:ind w:left="57" w:right="57" w:firstLine="0"/>
              <w:rPr>
                <w:szCs w:val="24"/>
              </w:rPr>
            </w:pPr>
          </w:p>
        </w:tc>
        <w:tc>
          <w:tcPr>
            <w:tcW w:w="2835" w:type="dxa"/>
          </w:tcPr>
          <w:p w14:paraId="3B66C22C" w14:textId="77777777" w:rsidR="004F1D40" w:rsidRPr="00761653" w:rsidRDefault="004F1D40" w:rsidP="005A428D">
            <w:pPr>
              <w:spacing w:line="240" w:lineRule="auto"/>
              <w:ind w:left="57" w:right="57" w:firstLine="0"/>
              <w:rPr>
                <w:szCs w:val="24"/>
              </w:rPr>
            </w:pPr>
            <w:r w:rsidRPr="00761653">
              <w:rPr>
                <w:szCs w:val="24"/>
              </w:rPr>
              <w:t>Линезолид</w:t>
            </w:r>
          </w:p>
        </w:tc>
        <w:tc>
          <w:tcPr>
            <w:tcW w:w="4395" w:type="dxa"/>
          </w:tcPr>
          <w:p w14:paraId="7033DBC9" w14:textId="77777777" w:rsidR="004F1D40" w:rsidRPr="00761653" w:rsidRDefault="004F1D40" w:rsidP="005A428D">
            <w:pPr>
              <w:spacing w:line="240" w:lineRule="auto"/>
              <w:ind w:left="57" w:right="57" w:firstLine="0"/>
              <w:rPr>
                <w:szCs w:val="24"/>
              </w:rPr>
            </w:pPr>
            <w:r w:rsidRPr="00761653">
              <w:rPr>
                <w:szCs w:val="24"/>
              </w:rPr>
              <w:t>600 мг каждые 12 часов, в/в или внутрь</w:t>
            </w:r>
          </w:p>
        </w:tc>
      </w:tr>
      <w:tr w:rsidR="004F1D40" w:rsidRPr="00975FC1" w14:paraId="358A4D5E" w14:textId="77777777" w:rsidTr="005A428D">
        <w:tc>
          <w:tcPr>
            <w:tcW w:w="2376" w:type="dxa"/>
            <w:vMerge/>
          </w:tcPr>
          <w:p w14:paraId="2643F7F1" w14:textId="77777777" w:rsidR="004F1D40" w:rsidRPr="00761653" w:rsidRDefault="004F1D40" w:rsidP="005A428D">
            <w:pPr>
              <w:spacing w:line="240" w:lineRule="auto"/>
              <w:ind w:left="57" w:right="57" w:firstLine="0"/>
              <w:rPr>
                <w:szCs w:val="24"/>
              </w:rPr>
            </w:pPr>
          </w:p>
        </w:tc>
        <w:tc>
          <w:tcPr>
            <w:tcW w:w="2835" w:type="dxa"/>
          </w:tcPr>
          <w:p w14:paraId="188BA355" w14:textId="77777777" w:rsidR="004F1D40" w:rsidRPr="00761653" w:rsidRDefault="004F1D40" w:rsidP="005A428D">
            <w:pPr>
              <w:spacing w:line="240" w:lineRule="auto"/>
              <w:ind w:left="57" w:right="57" w:firstLine="0"/>
              <w:rPr>
                <w:szCs w:val="24"/>
              </w:rPr>
            </w:pPr>
            <w:r w:rsidRPr="00761653">
              <w:rPr>
                <w:szCs w:val="24"/>
              </w:rPr>
              <w:t>Тедизолид</w:t>
            </w:r>
          </w:p>
        </w:tc>
        <w:tc>
          <w:tcPr>
            <w:tcW w:w="4395" w:type="dxa"/>
          </w:tcPr>
          <w:p w14:paraId="4005B1FF" w14:textId="77777777" w:rsidR="004F1D40" w:rsidRPr="00761653" w:rsidRDefault="004F1D40" w:rsidP="005A428D">
            <w:pPr>
              <w:spacing w:line="240" w:lineRule="auto"/>
              <w:ind w:left="57" w:right="57" w:firstLine="0"/>
              <w:rPr>
                <w:szCs w:val="24"/>
              </w:rPr>
            </w:pPr>
            <w:r w:rsidRPr="00761653">
              <w:rPr>
                <w:szCs w:val="24"/>
              </w:rPr>
              <w:t>200 мг каждые 24 часа, внутрь или в/в инфузия в течение 1 часа (не применяют для лечения инфекций кровотока и пневмонии)</w:t>
            </w:r>
          </w:p>
        </w:tc>
      </w:tr>
      <w:tr w:rsidR="004F1D40" w:rsidRPr="00265B67" w14:paraId="4D11D4F7" w14:textId="77777777" w:rsidTr="005A428D">
        <w:tc>
          <w:tcPr>
            <w:tcW w:w="2376" w:type="dxa"/>
            <w:vMerge/>
          </w:tcPr>
          <w:p w14:paraId="15C6DECD" w14:textId="77777777" w:rsidR="004F1D40" w:rsidRPr="00761653" w:rsidRDefault="004F1D40" w:rsidP="005A428D">
            <w:pPr>
              <w:spacing w:line="240" w:lineRule="auto"/>
              <w:ind w:left="57" w:right="57" w:firstLine="0"/>
              <w:rPr>
                <w:szCs w:val="24"/>
              </w:rPr>
            </w:pPr>
          </w:p>
        </w:tc>
        <w:tc>
          <w:tcPr>
            <w:tcW w:w="2835" w:type="dxa"/>
          </w:tcPr>
          <w:p w14:paraId="095E152D" w14:textId="77777777" w:rsidR="004F1D40" w:rsidRPr="00761653" w:rsidRDefault="004F1D40" w:rsidP="005A428D">
            <w:pPr>
              <w:spacing w:line="240" w:lineRule="auto"/>
              <w:ind w:left="57" w:right="57" w:firstLine="0"/>
              <w:rPr>
                <w:szCs w:val="24"/>
              </w:rPr>
            </w:pPr>
            <w:r w:rsidRPr="00761653">
              <w:rPr>
                <w:szCs w:val="24"/>
              </w:rPr>
              <w:t>Даптомицин</w:t>
            </w:r>
          </w:p>
        </w:tc>
        <w:tc>
          <w:tcPr>
            <w:tcW w:w="4395" w:type="dxa"/>
          </w:tcPr>
          <w:p w14:paraId="795F0363" w14:textId="77777777" w:rsidR="004F1D40" w:rsidRPr="00761653" w:rsidRDefault="004F1D40" w:rsidP="005A428D">
            <w:pPr>
              <w:spacing w:line="240" w:lineRule="auto"/>
              <w:ind w:left="57" w:right="57" w:firstLine="0"/>
              <w:rPr>
                <w:szCs w:val="24"/>
              </w:rPr>
            </w:pPr>
            <w:r w:rsidRPr="00761653">
              <w:rPr>
                <w:szCs w:val="24"/>
              </w:rPr>
              <w:t>10-12 мг/кг каждые 24 часа, инфузия в течение 30 минут (препарат не применяют для лечения пневмонии)</w:t>
            </w:r>
          </w:p>
        </w:tc>
      </w:tr>
      <w:tr w:rsidR="004F1D40" w:rsidRPr="00265B67" w14:paraId="28537F9F" w14:textId="77777777" w:rsidTr="005A428D">
        <w:tc>
          <w:tcPr>
            <w:tcW w:w="2376" w:type="dxa"/>
            <w:vMerge/>
          </w:tcPr>
          <w:p w14:paraId="4023E611" w14:textId="77777777" w:rsidR="004F1D40" w:rsidRPr="00761653" w:rsidRDefault="004F1D40" w:rsidP="005A428D">
            <w:pPr>
              <w:spacing w:line="240" w:lineRule="auto"/>
              <w:ind w:left="57" w:right="57" w:firstLine="0"/>
              <w:rPr>
                <w:szCs w:val="24"/>
              </w:rPr>
            </w:pPr>
          </w:p>
        </w:tc>
        <w:tc>
          <w:tcPr>
            <w:tcW w:w="2835" w:type="dxa"/>
          </w:tcPr>
          <w:p w14:paraId="3C3DE7F4" w14:textId="77777777" w:rsidR="004F1D40" w:rsidRPr="00761653" w:rsidRDefault="004F1D40" w:rsidP="005A428D">
            <w:pPr>
              <w:spacing w:line="240" w:lineRule="auto"/>
              <w:ind w:left="57" w:right="57" w:firstLine="0"/>
              <w:rPr>
                <w:szCs w:val="24"/>
              </w:rPr>
            </w:pPr>
            <w:r w:rsidRPr="00761653">
              <w:rPr>
                <w:szCs w:val="24"/>
              </w:rPr>
              <w:t>Телаванцин</w:t>
            </w:r>
          </w:p>
        </w:tc>
        <w:tc>
          <w:tcPr>
            <w:tcW w:w="4395" w:type="dxa"/>
          </w:tcPr>
          <w:p w14:paraId="2DF843F3" w14:textId="77777777" w:rsidR="004F1D40" w:rsidRPr="00761653" w:rsidRDefault="004F1D40" w:rsidP="005A428D">
            <w:pPr>
              <w:spacing w:line="240" w:lineRule="auto"/>
              <w:ind w:left="57" w:right="57" w:firstLine="0"/>
              <w:rPr>
                <w:szCs w:val="24"/>
              </w:rPr>
            </w:pPr>
            <w:r w:rsidRPr="00761653">
              <w:rPr>
                <w:szCs w:val="24"/>
              </w:rPr>
              <w:t>10 мг/кг каждые 24 часа, инфузия в течение 1 часа</w:t>
            </w:r>
          </w:p>
        </w:tc>
      </w:tr>
      <w:tr w:rsidR="004F1D40" w:rsidRPr="00265B67" w14:paraId="722A43D7" w14:textId="77777777" w:rsidTr="005A428D">
        <w:tc>
          <w:tcPr>
            <w:tcW w:w="2376" w:type="dxa"/>
            <w:vMerge/>
          </w:tcPr>
          <w:p w14:paraId="2653AF09" w14:textId="77777777" w:rsidR="004F1D40" w:rsidRPr="00761653" w:rsidRDefault="004F1D40" w:rsidP="005A428D">
            <w:pPr>
              <w:spacing w:line="240" w:lineRule="auto"/>
              <w:ind w:left="57" w:right="57" w:firstLine="0"/>
              <w:rPr>
                <w:szCs w:val="24"/>
              </w:rPr>
            </w:pPr>
          </w:p>
        </w:tc>
        <w:tc>
          <w:tcPr>
            <w:tcW w:w="2835" w:type="dxa"/>
          </w:tcPr>
          <w:p w14:paraId="736EAF8D" w14:textId="77777777" w:rsidR="004F1D40" w:rsidRPr="00761653" w:rsidRDefault="004F1D40" w:rsidP="005A428D">
            <w:pPr>
              <w:spacing w:line="240" w:lineRule="auto"/>
              <w:ind w:left="57" w:right="57" w:firstLine="0"/>
              <w:rPr>
                <w:szCs w:val="24"/>
              </w:rPr>
            </w:pPr>
            <w:r w:rsidRPr="00761653">
              <w:rPr>
                <w:szCs w:val="24"/>
              </w:rPr>
              <w:t>Далбаванцин</w:t>
            </w:r>
          </w:p>
        </w:tc>
        <w:tc>
          <w:tcPr>
            <w:tcW w:w="4395" w:type="dxa"/>
          </w:tcPr>
          <w:p w14:paraId="7851B8C5" w14:textId="77777777" w:rsidR="004F1D40" w:rsidRPr="00761653" w:rsidRDefault="004F1D40" w:rsidP="005A428D">
            <w:pPr>
              <w:spacing w:line="240" w:lineRule="auto"/>
              <w:ind w:left="57" w:right="57" w:firstLine="0"/>
              <w:rPr>
                <w:szCs w:val="24"/>
              </w:rPr>
            </w:pPr>
            <w:r w:rsidRPr="00761653">
              <w:rPr>
                <w:szCs w:val="24"/>
              </w:rPr>
              <w:t>1000 мг, инфузия в течение 30 мин, затем через неделю 500мг , инфузия в течение 30 мин</w:t>
            </w:r>
          </w:p>
        </w:tc>
      </w:tr>
      <w:tr w:rsidR="004F1D40" w:rsidRPr="00975FC1" w14:paraId="6FF4C3F3" w14:textId="77777777" w:rsidTr="005A428D">
        <w:tc>
          <w:tcPr>
            <w:tcW w:w="2376" w:type="dxa"/>
            <w:vMerge/>
          </w:tcPr>
          <w:p w14:paraId="5A798D0F" w14:textId="77777777" w:rsidR="004F1D40" w:rsidRPr="00761653" w:rsidRDefault="004F1D40" w:rsidP="005A428D">
            <w:pPr>
              <w:spacing w:line="240" w:lineRule="auto"/>
              <w:ind w:left="57" w:right="57" w:firstLine="0"/>
              <w:rPr>
                <w:szCs w:val="24"/>
              </w:rPr>
            </w:pPr>
          </w:p>
        </w:tc>
        <w:tc>
          <w:tcPr>
            <w:tcW w:w="2835" w:type="dxa"/>
          </w:tcPr>
          <w:p w14:paraId="04255F54" w14:textId="77777777" w:rsidR="004F1D40" w:rsidRPr="00761653" w:rsidRDefault="004F1D40" w:rsidP="005A428D">
            <w:pPr>
              <w:spacing w:line="240" w:lineRule="auto"/>
              <w:ind w:left="57" w:right="57" w:firstLine="0"/>
              <w:rPr>
                <w:szCs w:val="24"/>
              </w:rPr>
            </w:pPr>
            <w:r w:rsidRPr="00761653">
              <w:rPr>
                <w:szCs w:val="24"/>
              </w:rPr>
              <w:t>Тигециклин</w:t>
            </w:r>
          </w:p>
        </w:tc>
        <w:tc>
          <w:tcPr>
            <w:tcW w:w="4395" w:type="dxa"/>
          </w:tcPr>
          <w:p w14:paraId="28C6DC0E" w14:textId="77777777" w:rsidR="004F1D40" w:rsidRPr="00761653" w:rsidRDefault="004F1D40" w:rsidP="005A428D">
            <w:pPr>
              <w:spacing w:line="240" w:lineRule="auto"/>
              <w:ind w:left="57" w:right="57" w:firstLine="0"/>
              <w:rPr>
                <w:szCs w:val="24"/>
              </w:rPr>
            </w:pPr>
            <w:r w:rsidRPr="00761653">
              <w:rPr>
                <w:szCs w:val="24"/>
              </w:rPr>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4F1D40" w:rsidRPr="00265B67" w14:paraId="236DA022" w14:textId="77777777" w:rsidTr="005A428D">
        <w:tc>
          <w:tcPr>
            <w:tcW w:w="2376" w:type="dxa"/>
            <w:vMerge/>
          </w:tcPr>
          <w:p w14:paraId="1C0E2A54" w14:textId="77777777" w:rsidR="004F1D40" w:rsidRPr="00761653" w:rsidRDefault="004F1D40" w:rsidP="005A428D">
            <w:pPr>
              <w:spacing w:line="240" w:lineRule="auto"/>
              <w:ind w:left="57" w:right="57" w:firstLine="0"/>
              <w:rPr>
                <w:szCs w:val="24"/>
              </w:rPr>
            </w:pPr>
          </w:p>
        </w:tc>
        <w:tc>
          <w:tcPr>
            <w:tcW w:w="2835" w:type="dxa"/>
          </w:tcPr>
          <w:p w14:paraId="667AA577" w14:textId="77777777" w:rsidR="004F1D40" w:rsidRPr="00761653" w:rsidRDefault="004F1D40" w:rsidP="005A428D">
            <w:pPr>
              <w:spacing w:line="240" w:lineRule="auto"/>
              <w:ind w:left="57" w:right="57" w:firstLine="0"/>
              <w:rPr>
                <w:szCs w:val="24"/>
              </w:rPr>
            </w:pPr>
            <w:r w:rsidRPr="00761653">
              <w:rPr>
                <w:szCs w:val="24"/>
              </w:rPr>
              <w:t>Цефтаролин</w:t>
            </w:r>
          </w:p>
        </w:tc>
        <w:tc>
          <w:tcPr>
            <w:tcW w:w="4395" w:type="dxa"/>
          </w:tcPr>
          <w:p w14:paraId="0A2AB4FA" w14:textId="77777777" w:rsidR="004F1D40" w:rsidRPr="00761653" w:rsidRDefault="004F1D40" w:rsidP="005A428D">
            <w:pPr>
              <w:spacing w:line="240" w:lineRule="auto"/>
              <w:ind w:left="57" w:right="57" w:firstLine="0"/>
              <w:rPr>
                <w:szCs w:val="24"/>
              </w:rPr>
            </w:pPr>
            <w:r w:rsidRPr="00761653">
              <w:rPr>
                <w:szCs w:val="24"/>
              </w:rPr>
              <w:t>600 мг каждые 12 часов, инфузия в течение 5-60 минут</w:t>
            </w:r>
          </w:p>
        </w:tc>
      </w:tr>
      <w:tr w:rsidR="004F1D40" w:rsidRPr="00265B67" w14:paraId="5A0E4890" w14:textId="77777777" w:rsidTr="005A428D">
        <w:tc>
          <w:tcPr>
            <w:tcW w:w="2376" w:type="dxa"/>
          </w:tcPr>
          <w:p w14:paraId="3FA4EC81" w14:textId="77777777" w:rsidR="004F1D40" w:rsidRPr="00761653" w:rsidRDefault="004F1D40" w:rsidP="005A428D">
            <w:pPr>
              <w:spacing w:line="240" w:lineRule="auto"/>
              <w:ind w:left="57" w:right="57" w:firstLine="0"/>
              <w:rPr>
                <w:szCs w:val="24"/>
              </w:rPr>
            </w:pPr>
            <w:r w:rsidRPr="00761653">
              <w:rPr>
                <w:i/>
                <w:szCs w:val="24"/>
              </w:rPr>
              <w:t xml:space="preserve">E. faecium, </w:t>
            </w:r>
            <w:r w:rsidRPr="00761653">
              <w:rPr>
                <w:szCs w:val="24"/>
              </w:rPr>
              <w:t>чувствительные к ванкомицину</w:t>
            </w:r>
          </w:p>
        </w:tc>
        <w:tc>
          <w:tcPr>
            <w:tcW w:w="2835" w:type="dxa"/>
          </w:tcPr>
          <w:p w14:paraId="3511D486" w14:textId="77777777" w:rsidR="004F1D40" w:rsidRPr="00761653" w:rsidRDefault="004F1D40" w:rsidP="005A428D">
            <w:pPr>
              <w:spacing w:line="240" w:lineRule="auto"/>
              <w:ind w:left="57" w:right="57" w:firstLine="0"/>
              <w:rPr>
                <w:szCs w:val="24"/>
              </w:rPr>
            </w:pPr>
            <w:r w:rsidRPr="00761653">
              <w:rPr>
                <w:szCs w:val="24"/>
              </w:rPr>
              <w:t>Ванкомицин</w:t>
            </w:r>
          </w:p>
        </w:tc>
        <w:tc>
          <w:tcPr>
            <w:tcW w:w="4395" w:type="dxa"/>
          </w:tcPr>
          <w:p w14:paraId="0812F359" w14:textId="77777777" w:rsidR="004F1D40" w:rsidRPr="00761653" w:rsidRDefault="004F1D40" w:rsidP="005A428D">
            <w:pPr>
              <w:spacing w:line="240" w:lineRule="auto"/>
              <w:ind w:left="57" w:right="57" w:firstLine="0"/>
              <w:rPr>
                <w:szCs w:val="24"/>
              </w:rPr>
            </w:pPr>
            <w:r w:rsidRPr="00761653">
              <w:rPr>
                <w:szCs w:val="24"/>
              </w:rPr>
              <w:t>Нагрузочная доза 25-30 мг/кг, затем 15-20 мг/кг каждые 8-12 часов, (разовая доза не должна превышать 2 г), инфузия в течение 1,5-2 часов</w:t>
            </w:r>
          </w:p>
        </w:tc>
      </w:tr>
      <w:tr w:rsidR="004F1D40" w:rsidRPr="00265B67" w14:paraId="78CDE5F9" w14:textId="77777777" w:rsidTr="005A428D">
        <w:tc>
          <w:tcPr>
            <w:tcW w:w="2376" w:type="dxa"/>
            <w:vMerge w:val="restart"/>
          </w:tcPr>
          <w:p w14:paraId="7102B518" w14:textId="77777777" w:rsidR="004F1D40" w:rsidRPr="00761653" w:rsidRDefault="004F1D40" w:rsidP="005A428D">
            <w:pPr>
              <w:spacing w:line="240" w:lineRule="auto"/>
              <w:ind w:left="57" w:right="57" w:firstLine="0"/>
              <w:rPr>
                <w:szCs w:val="24"/>
              </w:rPr>
            </w:pPr>
            <w:r w:rsidRPr="00761653">
              <w:rPr>
                <w:i/>
                <w:szCs w:val="24"/>
              </w:rPr>
              <w:t>E.faecium,</w:t>
            </w:r>
            <w:r w:rsidRPr="00761653">
              <w:rPr>
                <w:szCs w:val="24"/>
              </w:rPr>
              <w:t xml:space="preserve"> устойчивые к ванкомицину</w:t>
            </w:r>
          </w:p>
        </w:tc>
        <w:tc>
          <w:tcPr>
            <w:tcW w:w="2835" w:type="dxa"/>
          </w:tcPr>
          <w:p w14:paraId="0FEA526E" w14:textId="77777777" w:rsidR="004F1D40" w:rsidRPr="00761653" w:rsidRDefault="004F1D40" w:rsidP="005A428D">
            <w:pPr>
              <w:spacing w:line="240" w:lineRule="auto"/>
              <w:ind w:left="57" w:right="57" w:firstLine="0"/>
              <w:rPr>
                <w:szCs w:val="24"/>
              </w:rPr>
            </w:pPr>
            <w:r w:rsidRPr="00761653">
              <w:rPr>
                <w:szCs w:val="24"/>
              </w:rPr>
              <w:t>Даптомицин</w:t>
            </w:r>
          </w:p>
        </w:tc>
        <w:tc>
          <w:tcPr>
            <w:tcW w:w="4395" w:type="dxa"/>
          </w:tcPr>
          <w:p w14:paraId="2B69116A" w14:textId="77777777" w:rsidR="004F1D40" w:rsidRPr="00761653" w:rsidRDefault="004F1D40" w:rsidP="005A428D">
            <w:pPr>
              <w:spacing w:line="240" w:lineRule="auto"/>
              <w:ind w:left="57" w:right="57" w:firstLine="0"/>
              <w:rPr>
                <w:szCs w:val="24"/>
              </w:rPr>
            </w:pPr>
            <w:r w:rsidRPr="00761653">
              <w:rPr>
                <w:szCs w:val="24"/>
              </w:rPr>
              <w:t>10-12 мг/кг каждые 24 часа, инфузия в течение 30 мин</w:t>
            </w:r>
          </w:p>
        </w:tc>
      </w:tr>
      <w:tr w:rsidR="004F1D40" w:rsidRPr="00975FC1" w14:paraId="0CF32DA6" w14:textId="77777777" w:rsidTr="005A428D">
        <w:tc>
          <w:tcPr>
            <w:tcW w:w="2376" w:type="dxa"/>
            <w:vMerge/>
          </w:tcPr>
          <w:p w14:paraId="0DFC72D4" w14:textId="77777777" w:rsidR="004F1D40" w:rsidRPr="00761653" w:rsidRDefault="004F1D40" w:rsidP="005A428D">
            <w:pPr>
              <w:spacing w:line="240" w:lineRule="auto"/>
              <w:ind w:left="57" w:right="57" w:firstLine="0"/>
              <w:rPr>
                <w:szCs w:val="24"/>
              </w:rPr>
            </w:pPr>
          </w:p>
        </w:tc>
        <w:tc>
          <w:tcPr>
            <w:tcW w:w="2835" w:type="dxa"/>
          </w:tcPr>
          <w:p w14:paraId="28CDDBC0" w14:textId="77777777" w:rsidR="004F1D40" w:rsidRPr="00761653" w:rsidRDefault="004F1D40" w:rsidP="005A428D">
            <w:pPr>
              <w:spacing w:line="240" w:lineRule="auto"/>
              <w:ind w:left="57" w:right="57" w:firstLine="0"/>
              <w:rPr>
                <w:szCs w:val="24"/>
              </w:rPr>
            </w:pPr>
            <w:r w:rsidRPr="00761653">
              <w:rPr>
                <w:szCs w:val="24"/>
              </w:rPr>
              <w:t>Линезолид</w:t>
            </w:r>
          </w:p>
        </w:tc>
        <w:tc>
          <w:tcPr>
            <w:tcW w:w="4395" w:type="dxa"/>
          </w:tcPr>
          <w:p w14:paraId="7C741915" w14:textId="77777777" w:rsidR="004F1D40" w:rsidRPr="00761653" w:rsidRDefault="004F1D40" w:rsidP="005A428D">
            <w:pPr>
              <w:spacing w:line="240" w:lineRule="auto"/>
              <w:ind w:left="57" w:right="57" w:firstLine="0"/>
              <w:rPr>
                <w:szCs w:val="24"/>
              </w:rPr>
            </w:pPr>
            <w:r w:rsidRPr="00761653">
              <w:rPr>
                <w:szCs w:val="24"/>
              </w:rPr>
              <w:t>600 мг каждые 12 часов, в/в или внутрь (следует применять при инфекциях, вызванных штаммами с МПК даптомицина &gt; 4 мкг/мл)</w:t>
            </w:r>
          </w:p>
        </w:tc>
      </w:tr>
      <w:tr w:rsidR="004F1D40" w:rsidRPr="00975FC1" w14:paraId="416B48DA" w14:textId="77777777" w:rsidTr="005A428D">
        <w:tc>
          <w:tcPr>
            <w:tcW w:w="2376" w:type="dxa"/>
            <w:vMerge/>
          </w:tcPr>
          <w:p w14:paraId="682AE5E3" w14:textId="77777777" w:rsidR="004F1D40" w:rsidRPr="00761653" w:rsidRDefault="004F1D40" w:rsidP="005A428D">
            <w:pPr>
              <w:spacing w:line="240" w:lineRule="auto"/>
              <w:ind w:left="57" w:right="57" w:firstLine="0"/>
              <w:rPr>
                <w:szCs w:val="24"/>
              </w:rPr>
            </w:pPr>
          </w:p>
        </w:tc>
        <w:tc>
          <w:tcPr>
            <w:tcW w:w="2835" w:type="dxa"/>
          </w:tcPr>
          <w:p w14:paraId="50C2123A" w14:textId="77777777" w:rsidR="004F1D40" w:rsidRPr="00761653" w:rsidRDefault="004F1D40" w:rsidP="005A428D">
            <w:pPr>
              <w:spacing w:line="240" w:lineRule="auto"/>
              <w:ind w:left="57" w:right="57" w:firstLine="0"/>
              <w:rPr>
                <w:szCs w:val="24"/>
              </w:rPr>
            </w:pPr>
            <w:r w:rsidRPr="00761653">
              <w:rPr>
                <w:szCs w:val="24"/>
              </w:rPr>
              <w:t>Тедизолид</w:t>
            </w:r>
          </w:p>
        </w:tc>
        <w:tc>
          <w:tcPr>
            <w:tcW w:w="4395" w:type="dxa"/>
          </w:tcPr>
          <w:p w14:paraId="40420FF7" w14:textId="77777777" w:rsidR="004F1D40" w:rsidRPr="00761653" w:rsidRDefault="004F1D40" w:rsidP="005A428D">
            <w:pPr>
              <w:spacing w:line="240" w:lineRule="auto"/>
              <w:ind w:left="57" w:right="57" w:firstLine="0"/>
              <w:rPr>
                <w:szCs w:val="24"/>
              </w:rPr>
            </w:pPr>
            <w:r w:rsidRPr="00761653">
              <w:rPr>
                <w:szCs w:val="24"/>
              </w:rPr>
              <w:t>200 мг каждые 24 часа, внутрь или в/в инфузия в течение 1 часа (не применяют в лечении инфекций кровотока и пневмонии)</w:t>
            </w:r>
          </w:p>
        </w:tc>
      </w:tr>
      <w:tr w:rsidR="004F1D40" w:rsidRPr="00265B67" w14:paraId="16E52CE4" w14:textId="77777777" w:rsidTr="005A428D">
        <w:tc>
          <w:tcPr>
            <w:tcW w:w="2376" w:type="dxa"/>
            <w:vMerge/>
          </w:tcPr>
          <w:p w14:paraId="4BD6B008" w14:textId="77777777" w:rsidR="004F1D40" w:rsidRPr="00761653" w:rsidRDefault="004F1D40" w:rsidP="005A428D">
            <w:pPr>
              <w:spacing w:line="240" w:lineRule="auto"/>
              <w:ind w:left="57" w:right="57" w:firstLine="0"/>
              <w:rPr>
                <w:szCs w:val="24"/>
              </w:rPr>
            </w:pPr>
          </w:p>
        </w:tc>
        <w:tc>
          <w:tcPr>
            <w:tcW w:w="2835" w:type="dxa"/>
          </w:tcPr>
          <w:p w14:paraId="062BFEC6" w14:textId="77777777" w:rsidR="004F1D40" w:rsidRPr="00761653" w:rsidRDefault="004F1D40" w:rsidP="005A428D">
            <w:pPr>
              <w:spacing w:line="240" w:lineRule="auto"/>
              <w:ind w:left="57" w:right="57" w:firstLine="0"/>
              <w:rPr>
                <w:szCs w:val="24"/>
              </w:rPr>
            </w:pPr>
            <w:r w:rsidRPr="00761653">
              <w:rPr>
                <w:szCs w:val="24"/>
              </w:rPr>
              <w:t>Тигециклин</w:t>
            </w:r>
          </w:p>
        </w:tc>
        <w:tc>
          <w:tcPr>
            <w:tcW w:w="4395" w:type="dxa"/>
          </w:tcPr>
          <w:p w14:paraId="60D99991" w14:textId="77777777" w:rsidR="004F1D40" w:rsidRPr="00761653" w:rsidRDefault="004F1D40" w:rsidP="005A428D">
            <w:pPr>
              <w:spacing w:line="240" w:lineRule="auto"/>
              <w:ind w:left="57" w:right="57" w:firstLine="0"/>
              <w:rPr>
                <w:szCs w:val="24"/>
              </w:rPr>
            </w:pPr>
            <w:r w:rsidRPr="00761653">
              <w:rPr>
                <w:szCs w:val="24"/>
              </w:rPr>
              <w:t>Нагрузочная доза 100 мг, затем по 50 мг каждые 12 часов (не показан для лечения инфекций кровотока, инфекций мочевыводящих путей)</w:t>
            </w:r>
          </w:p>
        </w:tc>
      </w:tr>
    </w:tbl>
    <w:p w14:paraId="70F7D8CD" w14:textId="77777777" w:rsidR="004F1D40" w:rsidRDefault="004F1D40" w:rsidP="004F1D40">
      <w:pPr>
        <w:widowControl w:val="0"/>
        <w:autoSpaceDE w:val="0"/>
        <w:autoSpaceDN w:val="0"/>
        <w:adjustRightInd w:val="0"/>
        <w:ind w:right="49"/>
        <w:contextualSpacing/>
        <w:rPr>
          <w:b/>
          <w:bCs/>
          <w:iCs/>
        </w:rPr>
      </w:pPr>
    </w:p>
    <w:p w14:paraId="6F453697" w14:textId="77777777" w:rsidR="004F1D40" w:rsidRPr="00761653" w:rsidRDefault="004F1D40" w:rsidP="004F1D40">
      <w:pPr>
        <w:widowControl w:val="0"/>
        <w:autoSpaceDE w:val="0"/>
        <w:autoSpaceDN w:val="0"/>
        <w:adjustRightInd w:val="0"/>
        <w:ind w:left="709" w:right="49" w:firstLine="0"/>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14:paraId="4D4C4474" w14:textId="77777777" w:rsidR="004F1D40" w:rsidRPr="00284D51" w:rsidRDefault="004F1D40" w:rsidP="004F1D40">
      <w:pPr>
        <w:widowControl w:val="0"/>
        <w:autoSpaceDE w:val="0"/>
        <w:autoSpaceDN w:val="0"/>
        <w:adjustRightInd w:val="0"/>
        <w:ind w:right="49"/>
        <w:contextualSpacing/>
        <w:rPr>
          <w:i/>
          <w:iCs/>
        </w:rPr>
      </w:pPr>
      <w:r w:rsidRPr="00284D51">
        <w:rPr>
          <w:i/>
          <w:iCs/>
        </w:rPr>
        <w:t xml:space="preserve">Listeria monocytogenes </w:t>
      </w:r>
    </w:p>
    <w:p w14:paraId="01EAEAE3" w14:textId="768B44D6" w:rsidR="004F1D40" w:rsidRPr="00761653" w:rsidRDefault="004F1D40" w:rsidP="004F1D40">
      <w:pPr>
        <w:widowControl w:val="0"/>
        <w:autoSpaceDE w:val="0"/>
        <w:autoSpaceDN w:val="0"/>
        <w:adjustRightInd w:val="0"/>
        <w:ind w:right="4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F333D2">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[61]","plainTextFormattedCitation":"[61]","previouslyFormattedCitation":"[61]"},"properties":{"noteIndex":0},"schema":"https://github.com/citation-style-language/schema/raw/master/csl-citation.json"}</w:instrText>
      </w:r>
      <w:r>
        <w:fldChar w:fldCharType="separate"/>
      </w:r>
      <w:r w:rsidRPr="004F1D40">
        <w:rPr>
          <w:noProof/>
        </w:rPr>
        <w:t>[61]</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2C41CAA7" w14:textId="77777777" w:rsidR="004F1D40" w:rsidRPr="00284D51" w:rsidRDefault="004F1D40" w:rsidP="004F1D40">
      <w:pPr>
        <w:widowControl w:val="0"/>
        <w:autoSpaceDE w:val="0"/>
        <w:autoSpaceDN w:val="0"/>
        <w:adjustRightInd w:val="0"/>
        <w:ind w:right="49"/>
        <w:contextualSpacing/>
        <w:rPr>
          <w:bCs/>
          <w:i/>
        </w:rPr>
      </w:pPr>
      <w:r w:rsidRPr="00284D51">
        <w:rPr>
          <w:bCs/>
          <w:i/>
        </w:rPr>
        <w:t xml:space="preserve">Legionella pneumophila </w:t>
      </w:r>
    </w:p>
    <w:p w14:paraId="73082762" w14:textId="77777777" w:rsidR="004F1D40" w:rsidRPr="00761653" w:rsidRDefault="004F1D40" w:rsidP="004F1D40">
      <w:pPr>
        <w:ind w:firstLine="708"/>
      </w:pPr>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1ADBCCB8" w14:textId="77777777" w:rsidR="004F1D40" w:rsidRPr="00284D51" w:rsidRDefault="004F1D40" w:rsidP="004F1D40">
      <w:pPr>
        <w:widowControl w:val="0"/>
        <w:autoSpaceDE w:val="0"/>
        <w:autoSpaceDN w:val="0"/>
        <w:adjustRightInd w:val="0"/>
        <w:ind w:right="49"/>
        <w:contextualSpacing/>
        <w:rPr>
          <w:i/>
          <w:iCs/>
        </w:rPr>
      </w:pPr>
      <w:r w:rsidRPr="00284D51">
        <w:rPr>
          <w:i/>
          <w:iCs/>
        </w:rPr>
        <w:t xml:space="preserve">Clostridioides difficile </w:t>
      </w:r>
    </w:p>
    <w:p w14:paraId="7D497AE4" w14:textId="154489B2" w:rsidR="004F1D40" w:rsidRPr="00761653" w:rsidRDefault="004F1D40" w:rsidP="004F1D40">
      <w:pPr>
        <w:widowControl w:val="0"/>
        <w:autoSpaceDE w:val="0"/>
        <w:autoSpaceDN w:val="0"/>
        <w:adjustRightInd w:val="0"/>
        <w:ind w:right="4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F333D2">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[62]","plainTextFormattedCitation":"[62]","previouslyFormattedCitation":"[62]"},"properties":{"noteIndex":0},"schema":"https://github.com/citation-style-language/schema/raw/master/csl-citation.json"}</w:instrText>
      </w:r>
      <w:r>
        <w:fldChar w:fldCharType="separate"/>
      </w:r>
      <w:r w:rsidRPr="004F1D40">
        <w:rPr>
          <w:noProof/>
        </w:rPr>
        <w:t>[62]</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F333D2">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[60]","plainTextFormattedCitation":"[60]","previouslyFormattedCitation":"[60]"},"properties":{"noteIndex":0},"schema":"https://github.com/citation-style-language/schema/raw/master/csl-citation.json"}</w:instrText>
      </w:r>
      <w:r>
        <w:fldChar w:fldCharType="separate"/>
      </w:r>
      <w:r w:rsidRPr="004F1D40">
        <w:rPr>
          <w:noProof/>
        </w:rPr>
        <w:t>[60]</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06FC8B0C" w14:textId="77777777" w:rsidR="004F1D40" w:rsidRDefault="004F1D40" w:rsidP="004F1D40">
      <w:pPr>
        <w:widowControl w:val="0"/>
        <w:tabs>
          <w:tab w:val="left" w:pos="317"/>
          <w:tab w:val="left" w:pos="8715"/>
        </w:tabs>
        <w:autoSpaceDE w:val="0"/>
        <w:autoSpaceDN w:val="0"/>
        <w:adjustRightInd w:val="0"/>
        <w:ind w:right="49"/>
        <w:contextualSpacing/>
        <w:rPr>
          <w:b/>
          <w:iCs/>
        </w:rPr>
      </w:pPr>
    </w:p>
    <w:p w14:paraId="216EF58C"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Назначение антибиотиков в зависимости от локализации инфекции</w:t>
      </w:r>
    </w:p>
    <w:p w14:paraId="38CEB974" w14:textId="77777777" w:rsidR="004F1D40" w:rsidRPr="00284D51" w:rsidRDefault="004F1D40" w:rsidP="004F1D40">
      <w:pPr>
        <w:widowControl w:val="0"/>
        <w:tabs>
          <w:tab w:val="left" w:pos="0"/>
        </w:tabs>
        <w:autoSpaceDE w:val="0"/>
        <w:autoSpaceDN w:val="0"/>
        <w:adjustRightInd w:val="0"/>
        <w:ind w:right="49"/>
        <w:contextualSpacing/>
        <w:rPr>
          <w:bCs/>
          <w:i/>
          <w:iCs/>
        </w:rPr>
      </w:pPr>
      <w:r w:rsidRPr="00284D51">
        <w:rPr>
          <w:bCs/>
          <w:i/>
          <w:iCs/>
        </w:rPr>
        <w:t>Мукозит. Гингивит</w:t>
      </w:r>
    </w:p>
    <w:p w14:paraId="6DAD5674" w14:textId="77777777" w:rsidR="004F1D40" w:rsidRPr="00761653" w:rsidRDefault="004F1D40" w:rsidP="004F1D40">
      <w:pPr>
        <w:widowControl w:val="0"/>
        <w:tabs>
          <w:tab w:val="left" w:pos="0"/>
        </w:tabs>
        <w:autoSpaceDE w:val="0"/>
        <w:autoSpaceDN w:val="0"/>
        <w:adjustRightInd w:val="0"/>
        <w:ind w:right="4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2DDA8CA3" w14:textId="77777777" w:rsidR="004F1D40" w:rsidRPr="00284D51" w:rsidRDefault="004F1D40" w:rsidP="004F1D40">
      <w:pPr>
        <w:widowControl w:val="0"/>
        <w:tabs>
          <w:tab w:val="left" w:pos="0"/>
        </w:tabs>
        <w:autoSpaceDE w:val="0"/>
        <w:autoSpaceDN w:val="0"/>
        <w:adjustRightInd w:val="0"/>
        <w:ind w:right="49"/>
        <w:contextualSpacing/>
        <w:rPr>
          <w:bCs/>
          <w:i/>
          <w:iCs/>
        </w:rPr>
      </w:pPr>
      <w:r w:rsidRPr="00284D51">
        <w:rPr>
          <w:bCs/>
          <w:i/>
          <w:iCs/>
        </w:rPr>
        <w:t>Пневмония</w:t>
      </w:r>
    </w:p>
    <w:p w14:paraId="345223A8" w14:textId="77777777" w:rsidR="004F1D40" w:rsidRPr="00761653" w:rsidRDefault="004F1D40" w:rsidP="004F1D40">
      <w:pPr>
        <w:widowControl w:val="0"/>
        <w:tabs>
          <w:tab w:val="left" w:pos="0"/>
        </w:tabs>
        <w:autoSpaceDE w:val="0"/>
        <w:autoSpaceDN w:val="0"/>
        <w:adjustRightInd w:val="0"/>
        <w:ind w:right="4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4E2EA0B9" w14:textId="77777777" w:rsidR="004F1D40" w:rsidRPr="00284D51" w:rsidRDefault="004F1D40" w:rsidP="004F1D40">
      <w:pPr>
        <w:widowControl w:val="0"/>
        <w:autoSpaceDE w:val="0"/>
        <w:autoSpaceDN w:val="0"/>
        <w:adjustRightInd w:val="0"/>
        <w:ind w:right="49"/>
        <w:contextualSpacing/>
        <w:rPr>
          <w:bCs/>
          <w:i/>
        </w:rPr>
      </w:pPr>
      <w:r w:rsidRPr="00284D51">
        <w:rPr>
          <w:bCs/>
          <w:i/>
        </w:rPr>
        <w:t>Инфекция перианальной области (парапроктит, обострение геморроя и другие)</w:t>
      </w:r>
    </w:p>
    <w:p w14:paraId="6DD8B7FD" w14:textId="77777777" w:rsidR="004F1D40" w:rsidRPr="00761653" w:rsidRDefault="004F1D40" w:rsidP="004F1D40">
      <w:pPr>
        <w:widowControl w:val="0"/>
        <w:autoSpaceDE w:val="0"/>
        <w:autoSpaceDN w:val="0"/>
        <w:adjustRightInd w:val="0"/>
        <w:ind w:right="4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2E175C7F" w14:textId="77777777" w:rsidR="004F1D40" w:rsidRDefault="004F1D40" w:rsidP="004F1D40">
      <w:pPr>
        <w:widowControl w:val="0"/>
        <w:autoSpaceDE w:val="0"/>
        <w:autoSpaceDN w:val="0"/>
        <w:adjustRightInd w:val="0"/>
        <w:ind w:right="49"/>
        <w:contextualSpacing/>
        <w:rPr>
          <w:b/>
          <w:bCs/>
        </w:rPr>
      </w:pPr>
    </w:p>
    <w:p w14:paraId="51444A14"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Критерии прекращения противомикробной терапии</w:t>
      </w:r>
    </w:p>
    <w:p w14:paraId="43DAC838" w14:textId="77777777" w:rsidR="004F1D40" w:rsidRPr="00761653" w:rsidRDefault="004F1D40" w:rsidP="004F1D40">
      <w:pPr>
        <w:widowControl w:val="0"/>
        <w:autoSpaceDE w:val="0"/>
        <w:autoSpaceDN w:val="0"/>
        <w:adjustRightInd w:val="0"/>
        <w:ind w:right="49"/>
        <w:contextualSpacing/>
      </w:pPr>
      <w:r w:rsidRPr="00284D51">
        <w:rPr>
          <w:i/>
          <w:iCs/>
        </w:rPr>
        <w:t>При лихорадке неясной этиологии</w:t>
      </w:r>
      <w:r w:rsidRPr="00284D51">
        <w:rPr>
          <w:b/>
          <w:bCs/>
        </w:rPr>
        <w:t xml:space="preserve"> </w:t>
      </w:r>
      <w:r w:rsidRPr="00284D51">
        <w:t>в период нейтропении/лейкопении антибиотики</w:t>
      </w:r>
      <w:r w:rsidRPr="00761653">
        <w:t xml:space="preserve">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3B3FD5D9" w14:textId="77777777" w:rsidR="004F1D40" w:rsidRPr="00761653" w:rsidRDefault="004F1D40" w:rsidP="004F1D40">
      <w:pPr>
        <w:widowControl w:val="0"/>
        <w:autoSpaceDE w:val="0"/>
        <w:autoSpaceDN w:val="0"/>
        <w:adjustRightInd w:val="0"/>
        <w:ind w:right="49"/>
        <w:contextualSpacing/>
      </w:pPr>
      <w:r w:rsidRPr="00284D51">
        <w:rPr>
          <w:i/>
          <w:iCs/>
        </w:rPr>
        <w:t>При клинически и микробиологически доказанной инфекции</w:t>
      </w:r>
      <w:r w:rsidRPr="00284D51">
        <w:t xml:space="preserve"> длительность</w:t>
      </w:r>
      <w:r w:rsidRPr="00761653">
        <w:t xml:space="preserve">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1AFBC6F1" w14:textId="77777777" w:rsidR="004F1D40" w:rsidRDefault="004F1D40" w:rsidP="004F1D40">
      <w:pPr>
        <w:widowControl w:val="0"/>
        <w:autoSpaceDE w:val="0"/>
        <w:autoSpaceDN w:val="0"/>
        <w:adjustRightInd w:val="0"/>
        <w:ind w:right="49"/>
        <w:contextualSpacing/>
        <w:rPr>
          <w:b/>
          <w:bCs/>
        </w:rPr>
      </w:pPr>
    </w:p>
    <w:p w14:paraId="480BCE9D"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Лечение пациентов в амбулаторных условиях</w:t>
      </w:r>
    </w:p>
    <w:p w14:paraId="08022652" w14:textId="77777777" w:rsidR="004F1D40" w:rsidRDefault="004F1D40" w:rsidP="004F1D40">
      <w:pPr>
        <w:widowControl w:val="0"/>
        <w:autoSpaceDE w:val="0"/>
        <w:autoSpaceDN w:val="0"/>
        <w:adjustRightInd w:val="0"/>
        <w:ind w:right="4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5584BDA0" w14:textId="77777777" w:rsidR="004F1D40" w:rsidRDefault="004F1D40" w:rsidP="004F1D40">
      <w:pPr>
        <w:widowControl w:val="0"/>
        <w:autoSpaceDE w:val="0"/>
        <w:autoSpaceDN w:val="0"/>
        <w:adjustRightInd w:val="0"/>
        <w:ind w:right="4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606B98E9" w14:textId="77777777" w:rsidR="004F1D40" w:rsidRDefault="004F1D40" w:rsidP="004F1D40">
      <w:pPr>
        <w:widowControl w:val="0"/>
        <w:autoSpaceDE w:val="0"/>
        <w:autoSpaceDN w:val="0"/>
        <w:adjustRightInd w:val="0"/>
        <w:ind w:right="49"/>
        <w:contextualSpacing/>
        <w:jc w:val="left"/>
        <w:rPr>
          <w:b/>
        </w:rPr>
      </w:pPr>
    </w:p>
    <w:p w14:paraId="1AD6112B" w14:textId="77777777" w:rsidR="004F1D40" w:rsidRPr="00284D51" w:rsidRDefault="004F1D40" w:rsidP="004F1D40">
      <w:pPr>
        <w:widowControl w:val="0"/>
        <w:autoSpaceDE w:val="0"/>
        <w:autoSpaceDN w:val="0"/>
        <w:adjustRightInd w:val="0"/>
        <w:ind w:right="49"/>
        <w:contextualSpacing/>
        <w:rPr>
          <w:bCs/>
          <w:i/>
          <w:iCs/>
          <w:u w:val="single"/>
        </w:rPr>
      </w:pPr>
      <w:r w:rsidRPr="00284D51">
        <w:rPr>
          <w:bCs/>
          <w:i/>
          <w:iCs/>
          <w:u w:val="single"/>
        </w:rPr>
        <w:t xml:space="preserve">Перианальная инфекция </w:t>
      </w:r>
    </w:p>
    <w:p w14:paraId="215D4F07" w14:textId="77777777" w:rsidR="004F1D40" w:rsidRPr="009A4DCC" w:rsidRDefault="004F1D40" w:rsidP="004F1D40">
      <w:pPr>
        <w:widowControl w:val="0"/>
        <w:autoSpaceDE w:val="0"/>
        <w:autoSpaceDN w:val="0"/>
        <w:adjustRightInd w:val="0"/>
        <w:ind w:right="49"/>
        <w:contextualSpacing/>
      </w:pPr>
      <w:r>
        <w:t>Перианальная инфекция чаще встречается при нейтропении, которая</w:t>
      </w:r>
      <w:r w:rsidRPr="009A4DCC">
        <w:t xml:space="preserve">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13AD800F" w14:textId="77777777" w:rsidR="004F1D40" w:rsidRPr="00284D51" w:rsidRDefault="004F1D40" w:rsidP="004F1D40">
      <w:pPr>
        <w:ind w:firstLine="708"/>
        <w:rPr>
          <w:bCs/>
          <w:i/>
          <w:iCs/>
        </w:rPr>
      </w:pPr>
      <w:r w:rsidRPr="00284D51">
        <w:rPr>
          <w:bCs/>
          <w:i/>
          <w:iCs/>
        </w:rPr>
        <w:t>Клиническая картина.</w:t>
      </w:r>
    </w:p>
    <w:p w14:paraId="021681FD" w14:textId="77777777" w:rsidR="004F1D40" w:rsidRPr="009A4DCC" w:rsidRDefault="004F1D40" w:rsidP="004F1D40">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348585C7" w14:textId="77777777" w:rsidR="004F1D40" w:rsidRPr="00284D51" w:rsidRDefault="004F1D40" w:rsidP="004F1D40">
      <w:pPr>
        <w:ind w:firstLine="708"/>
        <w:rPr>
          <w:bCs/>
          <w:i/>
          <w:iCs/>
        </w:rPr>
      </w:pPr>
      <w:r w:rsidRPr="00284D51">
        <w:rPr>
          <w:bCs/>
          <w:i/>
          <w:iCs/>
        </w:rPr>
        <w:t>Диагностика.</w:t>
      </w:r>
    </w:p>
    <w:p w14:paraId="0169E5FC" w14:textId="77777777" w:rsidR="004F1D40" w:rsidRPr="009A4DCC" w:rsidRDefault="004F1D40" w:rsidP="000768AC">
      <w:pPr>
        <w:pStyle w:val="afe"/>
        <w:numPr>
          <w:ilvl w:val="0"/>
          <w:numId w:val="68"/>
        </w:numPr>
      </w:pPr>
      <w:r w:rsidRPr="009A4DCC">
        <w:t>Осмотр колопроктолога (первичный и повторно в динамике)</w:t>
      </w:r>
    </w:p>
    <w:p w14:paraId="56A8B1FD" w14:textId="77777777" w:rsidR="004F1D40" w:rsidRPr="009A4DCC" w:rsidRDefault="004F1D40" w:rsidP="000768AC">
      <w:pPr>
        <w:pStyle w:val="afe"/>
        <w:numPr>
          <w:ilvl w:val="0"/>
          <w:numId w:val="68"/>
        </w:numPr>
      </w:pPr>
      <w:r w:rsidRPr="009A4DCC">
        <w:t>МРТ органов малого таза.</w:t>
      </w:r>
    </w:p>
    <w:p w14:paraId="20C10EA8" w14:textId="77777777" w:rsidR="004F1D40" w:rsidRPr="009A4DCC" w:rsidRDefault="004F1D40" w:rsidP="000768AC">
      <w:pPr>
        <w:pStyle w:val="afe"/>
        <w:numPr>
          <w:ilvl w:val="0"/>
          <w:numId w:val="68"/>
        </w:numPr>
      </w:pPr>
      <w:r>
        <w:t>КТ/СКТ</w:t>
      </w:r>
      <w:r w:rsidRPr="009A4DCC">
        <w:t xml:space="preserve"> органов малого таза</w:t>
      </w:r>
    </w:p>
    <w:p w14:paraId="295BF682" w14:textId="77777777" w:rsidR="004F1D40" w:rsidRPr="00AE580F" w:rsidRDefault="004F1D40" w:rsidP="000768AC">
      <w:pPr>
        <w:pStyle w:val="afe"/>
        <w:numPr>
          <w:ilvl w:val="0"/>
          <w:numId w:val="68"/>
        </w:numPr>
      </w:pPr>
      <w:r>
        <w:t>Бактериологическое исследование</w:t>
      </w:r>
    </w:p>
    <w:p w14:paraId="480CAAE6" w14:textId="77777777" w:rsidR="004F1D40" w:rsidRPr="009A4DCC" w:rsidRDefault="004F1D40" w:rsidP="004F1D40">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290512F2" w14:textId="77777777" w:rsidR="004F1D40" w:rsidRPr="00284D51" w:rsidRDefault="004F1D40" w:rsidP="004F1D40">
      <w:pPr>
        <w:ind w:firstLine="708"/>
        <w:rPr>
          <w:bCs/>
          <w:i/>
          <w:iCs/>
        </w:rPr>
      </w:pPr>
      <w:r w:rsidRPr="00284D51">
        <w:rPr>
          <w:bCs/>
          <w:i/>
          <w:iCs/>
        </w:rPr>
        <w:t>Лечение</w:t>
      </w:r>
    </w:p>
    <w:p w14:paraId="42B49C24" w14:textId="77777777" w:rsidR="004F1D40" w:rsidRPr="00F36465" w:rsidRDefault="004F1D40" w:rsidP="000768AC">
      <w:pPr>
        <w:pStyle w:val="afe"/>
        <w:numPr>
          <w:ilvl w:val="0"/>
          <w:numId w:val="69"/>
        </w:numPr>
      </w:pPr>
      <w:r w:rsidRPr="00F36465">
        <w:t>Антибактериальная терапия</w:t>
      </w:r>
      <w:r>
        <w:t xml:space="preserve"> (см. выше)</w:t>
      </w:r>
    </w:p>
    <w:p w14:paraId="25D6DCD5" w14:textId="77777777" w:rsidR="004F1D40" w:rsidRPr="00F22A59" w:rsidRDefault="004F1D40" w:rsidP="000768AC">
      <w:pPr>
        <w:pStyle w:val="afe"/>
        <w:numPr>
          <w:ilvl w:val="0"/>
          <w:numId w:val="69"/>
        </w:numPr>
      </w:pPr>
      <w:r>
        <w:t>Хирургическое пособие</w:t>
      </w:r>
    </w:p>
    <w:p w14:paraId="3EE2A35B" w14:textId="77777777" w:rsidR="004F1D40" w:rsidRPr="009A4DCC" w:rsidRDefault="004F1D40" w:rsidP="004F1D40">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17A1BAF2" w14:textId="77777777" w:rsidR="004F1D40" w:rsidRPr="009A4DCC" w:rsidRDefault="004F1D40" w:rsidP="004F1D40">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328D8412" w14:textId="77777777" w:rsidR="004F1D40" w:rsidRPr="009A4DCC" w:rsidRDefault="004F1D40" w:rsidP="004F1D40">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7A107C2E" w14:textId="77777777" w:rsidR="004F1D40" w:rsidRPr="00284D51" w:rsidRDefault="004F1D40" w:rsidP="004F1D40">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041F00A2" w14:textId="42F7A823" w:rsidR="00F333D2" w:rsidRPr="00F333D2" w:rsidRDefault="007737BD" w:rsidP="00F333D2">
      <w:pPr>
        <w:pStyle w:val="2"/>
      </w:pPr>
      <w:bookmarkStart w:id="70" w:name="_Toc65108047"/>
      <w:r>
        <w:t xml:space="preserve">7.9. </w:t>
      </w:r>
      <w:r w:rsidR="00F333D2" w:rsidRPr="00262806">
        <w:t>Вирусные инфекции у пациентов с гематологическими заболеваниями</w:t>
      </w:r>
      <w:bookmarkEnd w:id="70"/>
    </w:p>
    <w:p w14:paraId="15C72580" w14:textId="77777777" w:rsidR="00F333D2" w:rsidRDefault="00F333D2" w:rsidP="00F333D2">
      <w:pPr>
        <w:ind w:firstLine="708"/>
        <w:rPr>
          <w:rFonts w:cs="Times New Roman"/>
        </w:rPr>
      </w:pPr>
      <w:r w:rsidRPr="0028579C">
        <w:rPr>
          <w:rFonts w:cs="Times New Roman"/>
        </w:rPr>
        <w:t xml:space="preserve">Герпесвирусные инфекции диагностируют </w:t>
      </w:r>
      <w:r>
        <w:rPr>
          <w:rFonts w:cs="Times New Roman"/>
        </w:rPr>
        <w:t>чаще</w:t>
      </w:r>
      <w:r w:rsidRPr="0028579C">
        <w:rPr>
          <w:rFonts w:cs="Times New Roman"/>
        </w:rPr>
        <w:t xml:space="preserve"> всего у </w:t>
      </w:r>
      <w:r>
        <w:rPr>
          <w:rFonts w:cs="Times New Roman"/>
        </w:rPr>
        <w:t>гематологических пациентов с</w:t>
      </w:r>
      <w:r w:rsidRPr="0028579C">
        <w:rPr>
          <w:rFonts w:cs="Times New Roman"/>
        </w:rPr>
        <w:t xml:space="preserve"> лимфопролиферативными заболеваниями и у реципиентов аллогенных </w:t>
      </w:r>
      <w:r w:rsidRPr="00053026">
        <w:rPr>
          <w:rFonts w:cs="Times New Roman"/>
        </w:rPr>
        <w:t>гемопоэтических стволовых клеток</w:t>
      </w:r>
      <w:r w:rsidRPr="0028579C">
        <w:rPr>
          <w:rFonts w:cs="Times New Roman"/>
        </w:rPr>
        <w:t xml:space="preserve"> </w:t>
      </w:r>
      <w:r>
        <w:rPr>
          <w:rFonts w:cs="Times New Roman"/>
        </w:rPr>
        <w:t>(</w:t>
      </w:r>
      <w:r w:rsidRPr="0028579C">
        <w:rPr>
          <w:rFonts w:cs="Times New Roman"/>
        </w:rPr>
        <w:t>ТГСК</w:t>
      </w:r>
      <w:r>
        <w:rPr>
          <w:rFonts w:cs="Times New Roman"/>
        </w:rPr>
        <w:t>)</w:t>
      </w:r>
      <w:r w:rsidRPr="0028579C">
        <w:rPr>
          <w:rFonts w:cs="Times New Roman"/>
        </w:rPr>
        <w:t xml:space="preserve">. </w:t>
      </w:r>
      <w:r>
        <w:rPr>
          <w:rFonts w:cs="Times New Roman"/>
        </w:rPr>
        <w:t>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rPr>
          <w:rFonts w:cs="Times New Roman"/>
        </w:rPr>
        <w:t>везикул</w:t>
      </w:r>
      <w:r>
        <w:rPr>
          <w:rFonts w:cs="Times New Roman"/>
        </w:rPr>
        <w:t>ы</w:t>
      </w:r>
      <w:r w:rsidRPr="0028579C">
        <w:rPr>
          <w:rFonts w:cs="Times New Roman"/>
        </w:rPr>
        <w:t>, “корочки” с везикул</w:t>
      </w:r>
      <w:r>
        <w:rPr>
          <w:rFonts w:cs="Times New Roman"/>
        </w:rPr>
        <w:t xml:space="preserve">), </w:t>
      </w:r>
      <w:r w:rsidRPr="0028579C">
        <w:rPr>
          <w:rFonts w:cs="Times New Roman"/>
        </w:rPr>
        <w:t>сыворотк</w:t>
      </w:r>
      <w:r>
        <w:rPr>
          <w:rFonts w:cs="Times New Roman"/>
        </w:rPr>
        <w:t>а</w:t>
      </w:r>
      <w:r w:rsidRPr="0028579C">
        <w:rPr>
          <w:rFonts w:cs="Times New Roman"/>
        </w:rPr>
        <w:t xml:space="preserve"> крови</w:t>
      </w:r>
      <w:r>
        <w:rPr>
          <w:rFonts w:cs="Times New Roman"/>
        </w:rPr>
        <w:t>, и др</w:t>
      </w:r>
      <w:r w:rsidRPr="0028579C">
        <w:rPr>
          <w:rFonts w:cs="Times New Roman"/>
        </w:rPr>
        <w:t>.</w:t>
      </w:r>
    </w:p>
    <w:p w14:paraId="13F64B56" w14:textId="77777777" w:rsidR="00F333D2" w:rsidRDefault="00F333D2" w:rsidP="00F333D2">
      <w:pPr>
        <w:ind w:firstLine="708"/>
        <w:rPr>
          <w:rFonts w:cs="Times New Roman"/>
        </w:rPr>
      </w:pPr>
    </w:p>
    <w:p w14:paraId="6AB4DFAE" w14:textId="77777777" w:rsidR="00F333D2" w:rsidRPr="00A14D1D" w:rsidRDefault="00F333D2" w:rsidP="00F333D2">
      <w:pPr>
        <w:rPr>
          <w:rFonts w:cs="Times New Roman"/>
          <w:bCs/>
          <w:i/>
          <w:iCs/>
          <w:u w:val="single"/>
        </w:rPr>
      </w:pPr>
      <w:r w:rsidRPr="00A14D1D">
        <w:rPr>
          <w:rFonts w:cs="Times New Roman"/>
          <w:bCs/>
          <w:i/>
          <w:iCs/>
          <w:u w:val="single"/>
        </w:rPr>
        <w:t>Вирусы простого герпеса 1 и 2 типа (Herpes simplex virus, HSV)</w:t>
      </w:r>
    </w:p>
    <w:p w14:paraId="37F61451" w14:textId="68FEF459" w:rsidR="00F333D2" w:rsidRPr="00867D9A" w:rsidRDefault="00F333D2" w:rsidP="00F333D2">
      <w:pPr>
        <w:ind w:firstLine="708"/>
        <w:rPr>
          <w:rFonts w:cs="Times New Roman"/>
        </w:rPr>
      </w:pPr>
      <w:r>
        <w:rPr>
          <w:rFonts w:cs="Times New Roman"/>
        </w:rPr>
        <w:t>HSV</w:t>
      </w:r>
      <w:r w:rsidRPr="006B215F">
        <w:rPr>
          <w:rFonts w:cs="Times New Roman"/>
        </w:rPr>
        <w:t xml:space="preserve"> вызывают у </w:t>
      </w:r>
      <w:r>
        <w:rPr>
          <w:rFonts w:cs="Times New Roman"/>
        </w:rPr>
        <w:t>пациентов</w:t>
      </w:r>
      <w:r w:rsidRPr="006B215F">
        <w:rPr>
          <w:rFonts w:cs="Times New Roman"/>
        </w:rPr>
        <w:t xml:space="preserve"> гематологическими заболеваниями прежде всего </w:t>
      </w:r>
      <w:r w:rsidRPr="0028579C">
        <w:rPr>
          <w:rFonts w:cs="Times New Roman"/>
        </w:rPr>
        <w:t xml:space="preserve">повреждение слизистых оболочек (мукозиты), чаще HSV 1 тип. До 80% взрослых </w:t>
      </w:r>
      <w:r>
        <w:rPr>
          <w:rFonts w:cs="Times New Roman"/>
        </w:rPr>
        <w:t xml:space="preserve">пациентов с </w:t>
      </w:r>
      <w:r w:rsidRPr="0028579C">
        <w:rPr>
          <w:rFonts w:cs="Times New Roman"/>
        </w:rPr>
        <w:t>острыми миелоидными лейкозами (ОМЛ) являются серопозитивными</w:t>
      </w:r>
      <w:r>
        <w:rPr>
          <w:rFonts w:cs="Times New Roman"/>
        </w:rPr>
        <w:t xml:space="preserve"> по HSV</w:t>
      </w:r>
      <w:r w:rsidRPr="0028579C">
        <w:rPr>
          <w:rFonts w:cs="Times New Roman"/>
        </w:rPr>
        <w:t>. Мукозиты, вызванные HSV, являются</w:t>
      </w:r>
      <w:r>
        <w:rPr>
          <w:rFonts w:cs="Times New Roman"/>
        </w:rPr>
        <w:t>,</w:t>
      </w:r>
      <w:r w:rsidRPr="0028579C">
        <w:rPr>
          <w:rFonts w:cs="Times New Roman"/>
        </w:rPr>
        <w:t xml:space="preserve"> как правило</w:t>
      </w:r>
      <w:r>
        <w:rPr>
          <w:rFonts w:cs="Times New Roman"/>
        </w:rPr>
        <w:t>,</w:t>
      </w:r>
      <w:r w:rsidRPr="0028579C">
        <w:rPr>
          <w:rFonts w:cs="Times New Roman"/>
        </w:rPr>
        <w:t xml:space="preserve"> проявлением реактивации латентной вирусной инфекции во время курсов полихимиотерапии (ПХТ) и у реципиентов ТГСК. Частота мукозитов, вызванных HSV, среди серопозитивных</w:t>
      </w:r>
      <w:r>
        <w:rPr>
          <w:rFonts w:cs="Times New Roman"/>
        </w:rPr>
        <w:t xml:space="preserve"> пациентов ОМЛ во время ПХТ составляет 61%- 66%</w:t>
      </w:r>
      <w:r w:rsidRPr="006B215F">
        <w:rPr>
          <w:rFonts w:cs="Times New Roman"/>
        </w:rPr>
        <w:t xml:space="preserve">, среди реципиентов аллогенных ТГСК достигает 80%, из них основная доля в первые 4 недели после ТГСК. При реактивации </w:t>
      </w:r>
      <w:r>
        <w:rPr>
          <w:rFonts w:cs="Times New Roman"/>
        </w:rPr>
        <w:t>HSV</w:t>
      </w:r>
      <w:r w:rsidRPr="006B215F">
        <w:rPr>
          <w:rFonts w:cs="Times New Roman"/>
        </w:rPr>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rPr>
          <w:rFonts w:cs="Times New Roman"/>
        </w:rPr>
        <w:t>HSV</w:t>
      </w:r>
      <w:r w:rsidRPr="006B215F">
        <w:rPr>
          <w:rFonts w:cs="Times New Roman"/>
        </w:rPr>
        <w:t xml:space="preserve"> – это эзофагит (10%). К редким проявлениям </w:t>
      </w:r>
      <w:r w:rsidRPr="00867D9A">
        <w:rPr>
          <w:rFonts w:cs="Times New Roman"/>
        </w:rPr>
        <w:t xml:space="preserve">относят пневмонию (2-3% при отсутствии профилактики), гепатиты, менингит, энцефалит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sidRPr="00867D9A">
        <w:rPr>
          <w:rFonts w:cs="Times New Roman"/>
        </w:rPr>
        <w:t>.</w:t>
      </w:r>
    </w:p>
    <w:p w14:paraId="767635CC" w14:textId="77777777" w:rsidR="00F333D2" w:rsidRPr="00867D9A" w:rsidRDefault="00F333D2" w:rsidP="00F333D2">
      <w:pPr>
        <w:ind w:firstLine="708"/>
        <w:rPr>
          <w:rFonts w:cs="Times New Roman"/>
          <w:bCs/>
          <w:i/>
          <w:iCs/>
        </w:rPr>
      </w:pPr>
      <w:r w:rsidRPr="00867D9A">
        <w:rPr>
          <w:rFonts w:cs="Times New Roman"/>
          <w:bCs/>
          <w:i/>
          <w:iCs/>
        </w:rPr>
        <w:t>Диагностика</w:t>
      </w:r>
    </w:p>
    <w:p w14:paraId="2FFAD32A" w14:textId="021A918C" w:rsidR="00F333D2" w:rsidRPr="006B215F" w:rsidRDefault="00F333D2" w:rsidP="00F333D2">
      <w:pPr>
        <w:ind w:firstLine="708"/>
        <w:rPr>
          <w:rFonts w:cs="Times New Roman"/>
        </w:rPr>
      </w:pPr>
      <w:r w:rsidRPr="006B215F">
        <w:rPr>
          <w:rFonts w:cs="Times New Roman"/>
        </w:rPr>
        <w:t>Серологические тесты (выявление антител</w:t>
      </w:r>
      <w:r>
        <w:rPr>
          <w:rFonts w:cs="Times New Roman"/>
        </w:rPr>
        <w:t xml:space="preserve"> в крови, биологических жидкостях</w:t>
      </w:r>
      <w:r w:rsidRPr="006B215F">
        <w:rPr>
          <w:rFonts w:cs="Times New Roman"/>
        </w:rPr>
        <w:t>) проводят до индукционного курса П</w:t>
      </w:r>
      <w:r>
        <w:rPr>
          <w:rFonts w:cs="Times New Roman"/>
        </w:rPr>
        <w:t>ХТ и</w:t>
      </w:r>
      <w:r w:rsidRPr="006B215F">
        <w:rPr>
          <w:rFonts w:cs="Times New Roman"/>
        </w:rPr>
        <w:t xml:space="preserve"> перед ТГСК с целью выявдения серопозитивных пациентов</w:t>
      </w:r>
      <w:r>
        <w:rPr>
          <w:rFonts w:cs="Times New Roman"/>
        </w:rPr>
        <w:t xml:space="preserve">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sidRPr="006B215F">
        <w:rPr>
          <w:rFonts w:cs="Times New Roman"/>
        </w:rPr>
        <w:t>.</w:t>
      </w:r>
    </w:p>
    <w:p w14:paraId="4483B611" w14:textId="24377013" w:rsidR="00F333D2" w:rsidRPr="006B215F" w:rsidRDefault="00F333D2" w:rsidP="00F333D2">
      <w:pPr>
        <w:ind w:firstLine="708"/>
        <w:rPr>
          <w:rFonts w:cs="Times New Roman"/>
        </w:rPr>
      </w:pPr>
      <w:r w:rsidRPr="006B215F">
        <w:rPr>
          <w:rFonts w:cs="Times New Roman"/>
        </w:rPr>
        <w:t xml:space="preserve">Для диагностики инфекции необходимо выявление вирусного генома </w:t>
      </w:r>
      <w:r>
        <w:rPr>
          <w:rFonts w:cs="Times New Roman"/>
        </w:rPr>
        <w:t xml:space="preserve">при молекулярно-биологическом исследовании </w:t>
      </w:r>
      <w:r w:rsidRPr="006B215F">
        <w:rPr>
          <w:rFonts w:cs="Times New Roman"/>
        </w:rPr>
        <w:t xml:space="preserve">методом </w:t>
      </w:r>
      <w:r w:rsidRPr="0028579C">
        <w:rPr>
          <w:rFonts w:cs="Times New Roman"/>
        </w:rPr>
        <w:t>полимеразной цепной реакции (ПЦР). Исследуемые</w:t>
      </w:r>
      <w:r w:rsidRPr="006B215F">
        <w:rPr>
          <w:rFonts w:cs="Times New Roman"/>
        </w:rPr>
        <w:t xml:space="preserve"> образцы – сыворотка крови, отделяемой со слизистой ротогл</w:t>
      </w:r>
      <w:r>
        <w:rPr>
          <w:rFonts w:cs="Times New Roman"/>
        </w:rPr>
        <w:t>отки (</w:t>
      </w:r>
      <w:r w:rsidRPr="006B215F">
        <w:rPr>
          <w:rFonts w:cs="Times New Roman"/>
        </w:rPr>
        <w:t xml:space="preserve">при наличии признаков мукозита) или со слизистой пищевода, </w:t>
      </w:r>
      <w:r>
        <w:rPr>
          <w:rFonts w:cs="Times New Roman"/>
        </w:rPr>
        <w:t xml:space="preserve">аспираты и </w:t>
      </w:r>
      <w:r w:rsidRPr="006B215F">
        <w:rPr>
          <w:rFonts w:cs="Times New Roman"/>
        </w:rPr>
        <w:t>биоптаты слизистых и органов</w:t>
      </w:r>
      <w:r>
        <w:rPr>
          <w:rFonts w:cs="Times New Roman"/>
        </w:rPr>
        <w:t xml:space="preserve">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sidRPr="006B215F">
        <w:rPr>
          <w:rFonts w:cs="Times New Roman"/>
        </w:rPr>
        <w:t>.</w:t>
      </w:r>
    </w:p>
    <w:p w14:paraId="0BEC92C7" w14:textId="77777777" w:rsidR="00F333D2" w:rsidRPr="00CA38D1" w:rsidRDefault="00F333D2" w:rsidP="00F333D2">
      <w:pPr>
        <w:ind w:firstLine="708"/>
        <w:rPr>
          <w:rFonts w:cs="Times New Roman"/>
          <w:bCs/>
          <w:i/>
          <w:iCs/>
        </w:rPr>
      </w:pPr>
      <w:r w:rsidRPr="00CA38D1">
        <w:rPr>
          <w:rFonts w:cs="Times New Roman"/>
          <w:bCs/>
          <w:i/>
          <w:iCs/>
        </w:rPr>
        <w:t>Лечение</w:t>
      </w:r>
    </w:p>
    <w:p w14:paraId="0DC7A5A7" w14:textId="3E946979" w:rsidR="00F333D2" w:rsidRPr="006B215F" w:rsidRDefault="00F333D2" w:rsidP="00F333D2">
      <w:pPr>
        <w:ind w:firstLine="708"/>
        <w:rPr>
          <w:rFonts w:cs="Times New Roman"/>
        </w:rPr>
      </w:pPr>
      <w:r w:rsidRPr="006B215F">
        <w:rPr>
          <w:rFonts w:cs="Times New Roman"/>
        </w:rPr>
        <w:t>Назначают ацикловир в дозе 250 мг/м</w:t>
      </w:r>
      <w:r w:rsidRPr="00CA38D1">
        <w:rPr>
          <w:rFonts w:cs="Times New Roman"/>
          <w:vertAlign w:val="superscript"/>
        </w:rPr>
        <w:t>2</w:t>
      </w:r>
      <w:r w:rsidRPr="006B215F">
        <w:rPr>
          <w:rFonts w:cs="Times New Roman"/>
        </w:rPr>
        <w:t xml:space="preserve"> или 5 мг/кг каждые 8 часов в течение 7-10 дней.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rFonts w:cs="Times New Roman"/>
          <w:vertAlign w:val="superscript"/>
        </w:rPr>
        <w:t xml:space="preserve">2 </w:t>
      </w:r>
      <w:r w:rsidRPr="006B215F">
        <w:rPr>
          <w:rFonts w:cs="Times New Roman"/>
        </w:rPr>
        <w:t>или 10 мг/кг каждые 8 часов в течение 14-21 дня</w:t>
      </w:r>
      <w:r>
        <w:rPr>
          <w:rFonts w:cs="Times New Roman"/>
        </w:rPr>
        <w:t xml:space="preserve">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sidRPr="006B215F">
        <w:rPr>
          <w:rFonts w:cs="Times New Roman"/>
        </w:rPr>
        <w:t>.</w:t>
      </w:r>
    </w:p>
    <w:p w14:paraId="3F2AA47A" w14:textId="5DDB8D82" w:rsidR="00F333D2" w:rsidRDefault="00F333D2" w:rsidP="00F333D2">
      <w:pPr>
        <w:ind w:firstLine="708"/>
        <w:rPr>
          <w:rFonts w:cs="Times New Roman"/>
        </w:rPr>
      </w:pPr>
      <w:r w:rsidRPr="006B215F">
        <w:rPr>
          <w:rFonts w:cs="Times New Roman"/>
        </w:rPr>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rPr>
          <w:rFonts w:cs="Times New Roman"/>
        </w:rPr>
        <w:t>HSV.</w:t>
      </w:r>
      <w:r w:rsidRPr="006B215F">
        <w:rPr>
          <w:rFonts w:cs="Times New Roman"/>
        </w:rPr>
        <w:t xml:space="preserve"> В этих случаях назначают фоскарнет внутривенно 60 м</w:t>
      </w:r>
      <w:r>
        <w:rPr>
          <w:rFonts w:cs="Times New Roman"/>
        </w:rPr>
        <w:t>г/кг каждые 12 час или 40 мг/кг</w:t>
      </w:r>
      <w:r w:rsidRPr="006B215F">
        <w:rPr>
          <w:rFonts w:cs="Times New Roman"/>
        </w:rPr>
        <w:t xml:space="preserve"> каждые 8 час в течение 7-21 дня или до ликвидации симптомов инфекции</w:t>
      </w:r>
      <w:r>
        <w:rPr>
          <w:rFonts w:cs="Times New Roman"/>
        </w:rPr>
        <w:t xml:space="preserve">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sidRPr="006B215F">
        <w:rPr>
          <w:rFonts w:cs="Times New Roman"/>
        </w:rPr>
        <w:t>.</w:t>
      </w:r>
    </w:p>
    <w:p w14:paraId="61F4A79F" w14:textId="77777777" w:rsidR="00F333D2" w:rsidRPr="006B215F" w:rsidRDefault="00F333D2" w:rsidP="00F333D2">
      <w:pPr>
        <w:ind w:firstLine="708"/>
        <w:rPr>
          <w:rFonts w:cs="Times New Roman"/>
        </w:rPr>
      </w:pPr>
    </w:p>
    <w:p w14:paraId="01CF6DA9" w14:textId="77777777" w:rsidR="00F333D2" w:rsidRPr="00861C01" w:rsidRDefault="00F333D2" w:rsidP="00F333D2">
      <w:pPr>
        <w:rPr>
          <w:rFonts w:cs="Times New Roman"/>
          <w:bCs/>
          <w:i/>
          <w:iCs/>
          <w:u w:val="single"/>
        </w:rPr>
      </w:pPr>
      <w:r w:rsidRPr="00861C01">
        <w:rPr>
          <w:rFonts w:cs="Times New Roman"/>
          <w:bCs/>
          <w:i/>
          <w:iCs/>
          <w:u w:val="single"/>
        </w:rPr>
        <w:t xml:space="preserve">Герпес зостер вирус (Herpes zoster virus, HZV) </w:t>
      </w:r>
    </w:p>
    <w:p w14:paraId="0DAE9948" w14:textId="77777777" w:rsidR="00F333D2" w:rsidRPr="00EE012F" w:rsidRDefault="00F333D2" w:rsidP="00F333D2">
      <w:pPr>
        <w:ind w:firstLine="708"/>
        <w:rPr>
          <w:rFonts w:cs="Times New Roman"/>
        </w:rPr>
      </w:pPr>
      <w:r w:rsidRPr="006B215F">
        <w:rPr>
          <w:rFonts w:cs="Times New Roman"/>
        </w:rPr>
        <w:t xml:space="preserve">У реципиентов ТГСК инфекция </w:t>
      </w:r>
      <w:r w:rsidRPr="0028579C">
        <w:rPr>
          <w:rFonts w:cs="Times New Roman"/>
        </w:rPr>
        <w:t>чаще возникает в течение первых 24 месяцев. Группу риска составляют больные с хронической реакцией «трансплантат против хозяина» (РТПХ). Другие факторы включают наличие острого лейкоза или лимфопролиферативного</w:t>
      </w:r>
      <w:r w:rsidRPr="006B215F">
        <w:rPr>
          <w:rFonts w:cs="Times New Roman"/>
        </w:rPr>
        <w:t xml:space="preserve"> заболевания в качестве диагноза до ТГСК, во</w:t>
      </w:r>
      <w:r>
        <w:rPr>
          <w:rFonts w:cs="Times New Roman"/>
        </w:rPr>
        <w:t>зраст старше 50 лет, проведение</w:t>
      </w:r>
      <w:r w:rsidRPr="006B215F">
        <w:rPr>
          <w:rFonts w:cs="Times New Roman"/>
        </w:rPr>
        <w:t xml:space="preserve"> миелоаблативного режима, </w:t>
      </w:r>
      <w:r>
        <w:rPr>
          <w:rFonts w:cs="Times New Roman"/>
        </w:rPr>
        <w:t>CD</w:t>
      </w:r>
      <w:r w:rsidRPr="006B215F">
        <w:rPr>
          <w:rFonts w:cs="Times New Roman"/>
        </w:rPr>
        <w:t>34+</w:t>
      </w:r>
      <w:r>
        <w:rPr>
          <w:rFonts w:cs="Times New Roman"/>
        </w:rPr>
        <w:t xml:space="preserve"> селектированная аллогенная или аутологичная ТГСК, наличие дефицита одновременно CD</w:t>
      </w:r>
      <w:r w:rsidRPr="006B215F">
        <w:rPr>
          <w:rFonts w:cs="Times New Roman"/>
        </w:rPr>
        <w:t xml:space="preserve">4(+) и </w:t>
      </w:r>
      <w:r>
        <w:rPr>
          <w:rFonts w:cs="Times New Roman"/>
        </w:rPr>
        <w:t>CD</w:t>
      </w:r>
      <w:r w:rsidRPr="006B215F">
        <w:rPr>
          <w:rFonts w:cs="Times New Roman"/>
        </w:rPr>
        <w:t>8(+) лимфоцитов на 30</w:t>
      </w:r>
      <w:r>
        <w:rPr>
          <w:rFonts w:cs="Times New Roman"/>
        </w:rPr>
        <w:t>-</w:t>
      </w:r>
      <w:r w:rsidRPr="006B215F">
        <w:rPr>
          <w:rFonts w:cs="Times New Roman"/>
        </w:rPr>
        <w:t xml:space="preserve">й день после ТГСК. </w:t>
      </w:r>
      <w:r>
        <w:rPr>
          <w:rFonts w:cs="Times New Roman"/>
        </w:rPr>
        <w:t>Гематологические пациенты с лимфопролиферативными заболеваниями составляют группу повышенного риска, независимо от этапа лечения / наблюдения.</w:t>
      </w:r>
    </w:p>
    <w:p w14:paraId="7E3B0B10" w14:textId="77777777" w:rsidR="00F333D2" w:rsidRPr="006B215F" w:rsidRDefault="00F333D2" w:rsidP="00F333D2">
      <w:pPr>
        <w:ind w:firstLine="708"/>
        <w:rPr>
          <w:rFonts w:cs="Times New Roman"/>
        </w:rPr>
      </w:pPr>
      <w:r w:rsidRPr="006B215F">
        <w:rPr>
          <w:rFonts w:cs="Times New Roman"/>
        </w:rPr>
        <w:t xml:space="preserve">Инфекция, вызванная </w:t>
      </w:r>
      <w:r>
        <w:rPr>
          <w:rFonts w:cs="Times New Roman"/>
        </w:rPr>
        <w:t>HZV</w:t>
      </w:r>
      <w:r w:rsidRPr="006B215F">
        <w:rPr>
          <w:rFonts w:cs="Times New Roman"/>
        </w:rPr>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rPr>
          <w:rFonts w:cs="Times New Roman"/>
        </w:rPr>
        <w:t>боли в эпигастральной области,</w:t>
      </w:r>
      <w:r w:rsidRPr="006B215F">
        <w:rPr>
          <w:rFonts w:cs="Times New Roman"/>
        </w:rPr>
        <w:t xml:space="preserve"> абдоминальные с развитием паралитической кишечной непроходимости.</w:t>
      </w:r>
    </w:p>
    <w:p w14:paraId="3A246697" w14:textId="77777777" w:rsidR="00F333D2" w:rsidRPr="006B215F" w:rsidRDefault="00F333D2" w:rsidP="00F333D2">
      <w:pPr>
        <w:ind w:firstLine="708"/>
        <w:rPr>
          <w:rFonts w:cs="Times New Roman"/>
        </w:rPr>
      </w:pPr>
      <w:r w:rsidRPr="006B215F">
        <w:rPr>
          <w:rFonts w:cs="Times New Roman"/>
        </w:rPr>
        <w:t xml:space="preserve">Диагностику проводят на основании </w:t>
      </w:r>
      <w:r>
        <w:rPr>
          <w:rFonts w:cs="Times New Roman"/>
        </w:rPr>
        <w:t xml:space="preserve">выявления </w:t>
      </w:r>
      <w:r w:rsidRPr="0028579C">
        <w:rPr>
          <w:rFonts w:cs="Times New Roman"/>
        </w:rPr>
        <w:t xml:space="preserve">дезоксирибонуклеиновой кислоты (ДНК) вируса </w:t>
      </w:r>
      <w:r>
        <w:rPr>
          <w:rFonts w:cs="Times New Roman"/>
        </w:rPr>
        <w:t xml:space="preserve">при молекулярно-биологическом исследовании </w:t>
      </w:r>
      <w:r w:rsidRPr="0028579C">
        <w:rPr>
          <w:rFonts w:cs="Times New Roman"/>
        </w:rPr>
        <w:t>методом ПЦР. Исследуют содержимое везикул, “корочки” с везикул, биоптаты тканей, мазки со слизистой зева, спинномозговую жидкость (СМЖ), сыворотку крови</w:t>
      </w:r>
      <w:r>
        <w:rPr>
          <w:rFonts w:cs="Times New Roman"/>
        </w:rPr>
        <w:t>, и др</w:t>
      </w:r>
      <w:r w:rsidRPr="0028579C">
        <w:rPr>
          <w:rFonts w:cs="Times New Roman"/>
        </w:rPr>
        <w:t>.</w:t>
      </w:r>
    </w:p>
    <w:p w14:paraId="21807969" w14:textId="77777777" w:rsidR="00F333D2" w:rsidRDefault="00F333D2" w:rsidP="00F333D2">
      <w:pPr>
        <w:ind w:firstLine="708"/>
        <w:rPr>
          <w:rFonts w:cs="Times New Roman"/>
        </w:rPr>
      </w:pPr>
      <w:r w:rsidRPr="006B215F">
        <w:rPr>
          <w:rFonts w:cs="Times New Roman"/>
        </w:rPr>
        <w:t>Лечение проводят ацикловиром внутривенно в дозе 500 мг/м</w:t>
      </w:r>
      <w:r w:rsidRPr="006B215F">
        <w:rPr>
          <w:rFonts w:cs="Times New Roman"/>
          <w:vertAlign w:val="superscript"/>
        </w:rPr>
        <w:t>2</w:t>
      </w:r>
      <w:r w:rsidRPr="006B215F">
        <w:rPr>
          <w:rFonts w:cs="Times New Roman"/>
        </w:rPr>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rPr>
          <w:rFonts w:cs="Times New Roman"/>
        </w:rPr>
        <w:t xml:space="preserve">HZV используют фоскарнет (60 мг/кг каждые 12 час внутривенно) в течение 2 недель. </w:t>
      </w:r>
    </w:p>
    <w:p w14:paraId="58BE80B8" w14:textId="77777777" w:rsidR="00F333D2" w:rsidRDefault="00F333D2" w:rsidP="00F333D2">
      <w:pPr>
        <w:ind w:firstLine="708"/>
        <w:rPr>
          <w:rFonts w:cs="Times New Roman"/>
        </w:rPr>
      </w:pPr>
    </w:p>
    <w:p w14:paraId="1F5CE8F0" w14:textId="77777777" w:rsidR="00F333D2" w:rsidRPr="007F7F8C" w:rsidRDefault="00F333D2" w:rsidP="00F333D2">
      <w:pPr>
        <w:rPr>
          <w:rFonts w:cs="Times New Roman"/>
          <w:bCs/>
          <w:i/>
          <w:iCs/>
          <w:u w:val="single"/>
        </w:rPr>
      </w:pPr>
      <w:r w:rsidRPr="007F7F8C">
        <w:rPr>
          <w:rFonts w:cs="Times New Roman"/>
          <w:bCs/>
          <w:i/>
          <w:iCs/>
          <w:u w:val="single"/>
        </w:rPr>
        <w:t>Цитомегаловирус (Cytomegalovirus, CMV)</w:t>
      </w:r>
    </w:p>
    <w:p w14:paraId="4A610DB6" w14:textId="47D980A2" w:rsidR="00F333D2" w:rsidRPr="00E42938" w:rsidRDefault="00F333D2" w:rsidP="00F333D2">
      <w:pPr>
        <w:ind w:firstLine="708"/>
        <w:rPr>
          <w:rFonts w:cs="Times New Roman"/>
        </w:rPr>
      </w:pPr>
      <w:r w:rsidRPr="0028579C">
        <w:rPr>
          <w:rFonts w:cs="Times New Roman"/>
        </w:rPr>
        <w:t xml:space="preserve">CMV остается частым осложнением </w:t>
      </w:r>
      <w:r>
        <w:rPr>
          <w:rFonts w:cs="Times New Roman"/>
        </w:rPr>
        <w:t xml:space="preserve">у гематологических пациентов, в частности, </w:t>
      </w:r>
      <w:r w:rsidRPr="0028579C">
        <w:rPr>
          <w:rFonts w:cs="Times New Roman"/>
        </w:rPr>
        <w:t>у реципиентов аллогенных ТГСК, может быть причиной заболевания как на раннем, так и позднем этапе после ТГСК, приводит к угнетению костно-мозгового кровообращения. Виремия при лимфоидных гематологических заболеваниях (ХЛЛ, лимфомы, острый лимфобластный лейкоз) и множественной миеломе достигает 13,6% в то время при миелоидны</w:t>
      </w:r>
      <w:r>
        <w:rPr>
          <w:rFonts w:cs="Times New Roman"/>
        </w:rPr>
        <w:t>х гемобластозах составляет 3,9%.</w:t>
      </w:r>
      <w:r w:rsidRPr="0028579C">
        <w:rPr>
          <w:rFonts w:cs="Times New Roman"/>
        </w:rPr>
        <w:t xml:space="preserve"> Выделяют CMV</w:t>
      </w:r>
      <w:r>
        <w:rPr>
          <w:rFonts w:cs="Times New Roman"/>
        </w:rPr>
        <w:t>-</w:t>
      </w:r>
      <w:r w:rsidRPr="0028579C">
        <w:rPr>
          <w:rFonts w:cs="Times New Roman"/>
        </w:rPr>
        <w:t>инфекцию и CMV</w:t>
      </w:r>
      <w:r>
        <w:rPr>
          <w:rFonts w:cs="Times New Roman"/>
        </w:rPr>
        <w:t>-</w:t>
      </w:r>
      <w:r w:rsidRPr="0028579C">
        <w:rPr>
          <w:rFonts w:cs="Times New Roman"/>
        </w:rPr>
        <w:t>заболевание. При CMV</w:t>
      </w:r>
      <w:r>
        <w:rPr>
          <w:rFonts w:cs="Times New Roman"/>
        </w:rPr>
        <w:t>-</w:t>
      </w:r>
      <w:r w:rsidRPr="0028579C">
        <w:rPr>
          <w:rFonts w:cs="Times New Roman"/>
        </w:rPr>
        <w:t>инфекции определяется виремия и температура в сочетании или без подавления костно-мозгового кроветворения. В случае CMV</w:t>
      </w:r>
      <w:r>
        <w:rPr>
          <w:rFonts w:cs="Times New Roman"/>
        </w:rPr>
        <w:t>-</w:t>
      </w:r>
      <w:r w:rsidRPr="0028579C">
        <w:rPr>
          <w:rFonts w:cs="Times New Roman"/>
        </w:rPr>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rPr>
          <w:rFonts w:cs="Times New Roman"/>
        </w:rPr>
        <w:t>с</w:t>
      </w:r>
      <w:r w:rsidRPr="0028579C">
        <w:rPr>
          <w:rFonts w:cs="Times New Roman"/>
        </w:rPr>
        <w:t xml:space="preserve"> наличием</w:t>
      </w:r>
      <w:r w:rsidRPr="006B215F">
        <w:rPr>
          <w:rFonts w:cs="Times New Roman"/>
        </w:rPr>
        <w:t xml:space="preserve"> симптомов, ассоциированных с </w:t>
      </w:r>
      <w:r>
        <w:rPr>
          <w:rFonts w:cs="Times New Roman"/>
        </w:rPr>
        <w:t xml:space="preserve">локализацией мест получения </w:t>
      </w:r>
      <w:r w:rsidRPr="006B215F">
        <w:rPr>
          <w:rFonts w:cs="Times New Roman"/>
        </w:rPr>
        <w:t>образц</w:t>
      </w:r>
      <w:r>
        <w:rPr>
          <w:rFonts w:cs="Times New Roman"/>
        </w:rPr>
        <w:t>ов</w:t>
      </w:r>
      <w:r w:rsidRPr="006B215F">
        <w:rPr>
          <w:rFonts w:cs="Times New Roman"/>
        </w:rPr>
        <w:t xml:space="preserve"> исследования. Наряду с пневмонией, энцефалитом, ретинитом может развиться </w:t>
      </w:r>
      <w:r>
        <w:rPr>
          <w:rFonts w:cs="Times New Roman"/>
        </w:rPr>
        <w:t>CMV-</w:t>
      </w:r>
      <w:r w:rsidRPr="006B215F">
        <w:rPr>
          <w:rFonts w:cs="Times New Roman"/>
        </w:rPr>
        <w:t xml:space="preserve">гастроинтестинальное заболевание, диагностика которого </w:t>
      </w:r>
      <w:r w:rsidRPr="00E42938">
        <w:rPr>
          <w:rFonts w:cs="Times New Roman"/>
        </w:rPr>
        <w:t xml:space="preserve">является наиболее трудной, особенно у пациентов с РТПХ </w:t>
      </w:r>
      <w:r w:rsidRPr="00E42938">
        <w:rPr>
          <w:rFonts w:cs="Times New Roman"/>
        </w:rPr>
        <w:fldChar w:fldCharType="begin" w:fldLock="1"/>
      </w:r>
      <w:r w:rsidR="00875B79">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[64]","plainTextFormattedCitation":"[64]","previouslyFormattedCitation":"[64]"},"properties":{"noteIndex":0},"schema":"https://github.com/citation-style-language/schema/raw/master/csl-citation.json"}</w:instrText>
      </w:r>
      <w:r w:rsidRPr="00E42938">
        <w:rPr>
          <w:rFonts w:cs="Times New Roman"/>
        </w:rPr>
        <w:fldChar w:fldCharType="separate"/>
      </w:r>
      <w:r w:rsidRPr="00F333D2">
        <w:rPr>
          <w:rFonts w:cs="Times New Roman"/>
          <w:noProof/>
        </w:rPr>
        <w:t>[64]</w:t>
      </w:r>
      <w:r w:rsidRPr="00E42938">
        <w:rPr>
          <w:rFonts w:cs="Times New Roman"/>
        </w:rPr>
        <w:fldChar w:fldCharType="end"/>
      </w:r>
      <w:r w:rsidRPr="00E42938">
        <w:rPr>
          <w:rFonts w:cs="Times New Roman"/>
        </w:rPr>
        <w:t xml:space="preserve">. </w:t>
      </w:r>
    </w:p>
    <w:p w14:paraId="0857E6BF" w14:textId="77777777" w:rsidR="00F333D2" w:rsidRPr="007F7F8C" w:rsidRDefault="00F333D2" w:rsidP="00F333D2">
      <w:pPr>
        <w:ind w:firstLine="708"/>
        <w:rPr>
          <w:rFonts w:cs="Times New Roman"/>
          <w:bCs/>
          <w:i/>
          <w:iCs/>
        </w:rPr>
      </w:pPr>
      <w:r w:rsidRPr="007F7F8C">
        <w:rPr>
          <w:rFonts w:cs="Times New Roman"/>
          <w:bCs/>
          <w:i/>
          <w:iCs/>
        </w:rPr>
        <w:t>Диагностика</w:t>
      </w:r>
    </w:p>
    <w:p w14:paraId="2F3BE8E2" w14:textId="77777777" w:rsidR="00F333D2" w:rsidRPr="006B215F" w:rsidRDefault="00F333D2" w:rsidP="00F333D2">
      <w:pPr>
        <w:ind w:firstLine="708"/>
        <w:rPr>
          <w:rFonts w:cs="Times New Roman"/>
        </w:rPr>
      </w:pPr>
      <w:r w:rsidRPr="006B215F">
        <w:rPr>
          <w:rFonts w:cs="Times New Roman"/>
        </w:rPr>
        <w:t xml:space="preserve">У реципиентов </w:t>
      </w:r>
      <w:r>
        <w:rPr>
          <w:rFonts w:cs="Times New Roman"/>
        </w:rPr>
        <w:t xml:space="preserve">до </w:t>
      </w:r>
      <w:r w:rsidRPr="006B215F">
        <w:rPr>
          <w:rFonts w:cs="Times New Roman"/>
        </w:rPr>
        <w:t xml:space="preserve">ТГСК исследуют наличие антител </w:t>
      </w:r>
      <w:r>
        <w:rPr>
          <w:rFonts w:cs="Times New Roman"/>
        </w:rPr>
        <w:t>CMV.</w:t>
      </w:r>
    </w:p>
    <w:p w14:paraId="2861E21F" w14:textId="55A940E3" w:rsidR="00F333D2" w:rsidRPr="006B215F" w:rsidRDefault="00F333D2" w:rsidP="00F333D2">
      <w:pPr>
        <w:ind w:firstLine="708"/>
        <w:rPr>
          <w:rFonts w:cs="Times New Roman"/>
        </w:rPr>
      </w:pPr>
      <w:r w:rsidRPr="006B215F">
        <w:rPr>
          <w:rFonts w:cs="Times New Roman"/>
        </w:rPr>
        <w:t xml:space="preserve">Для диагностики инфекции или заболевания используют </w:t>
      </w:r>
      <w:r w:rsidRPr="00B67A55">
        <w:rPr>
          <w:rFonts w:cs="Times New Roman"/>
        </w:rPr>
        <w:t>молекулярно-биологическое исследование на цитомегаловирус, включая количественное исследование</w:t>
      </w:r>
      <w:r>
        <w:rPr>
          <w:rFonts w:cs="Times New Roman"/>
        </w:rPr>
        <w:t xml:space="preserve"> </w:t>
      </w:r>
      <w:r w:rsidRPr="006B215F">
        <w:rPr>
          <w:rFonts w:cs="Times New Roman"/>
        </w:rPr>
        <w:t xml:space="preserve"> мето</w:t>
      </w:r>
      <w:r>
        <w:rPr>
          <w:rFonts w:cs="Times New Roman"/>
        </w:rPr>
        <w:t>дом</w:t>
      </w:r>
      <w:r w:rsidRPr="006B215F">
        <w:rPr>
          <w:rFonts w:cs="Times New Roman"/>
        </w:rPr>
        <w:t xml:space="preserve"> ПЦР</w:t>
      </w:r>
      <w:r>
        <w:rPr>
          <w:rFonts w:cs="Times New Roman"/>
        </w:rPr>
        <w:t xml:space="preserve"> </w:t>
      </w:r>
      <w:r w:rsidRPr="00E42938">
        <w:rPr>
          <w:rFonts w:cs="Times New Roman"/>
        </w:rPr>
        <w:fldChar w:fldCharType="begin" w:fldLock="1"/>
      </w:r>
      <w:r w:rsidR="00875B79">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[64]","plainTextFormattedCitation":"[64]","previouslyFormattedCitation":"[64]"},"properties":{"noteIndex":0},"schema":"https://github.com/citation-style-language/schema/raw/master/csl-citation.json"}</w:instrText>
      </w:r>
      <w:r w:rsidRPr="00E42938">
        <w:rPr>
          <w:rFonts w:cs="Times New Roman"/>
        </w:rPr>
        <w:fldChar w:fldCharType="separate"/>
      </w:r>
      <w:r w:rsidRPr="00F333D2">
        <w:rPr>
          <w:rFonts w:cs="Times New Roman"/>
          <w:noProof/>
        </w:rPr>
        <w:t>[64]</w:t>
      </w:r>
      <w:r w:rsidRPr="00E42938">
        <w:rPr>
          <w:rFonts w:cs="Times New Roman"/>
        </w:rPr>
        <w:fldChar w:fldCharType="end"/>
      </w:r>
      <w:r w:rsidRPr="006B215F">
        <w:rPr>
          <w:rFonts w:cs="Times New Roman"/>
        </w:rPr>
        <w:t>. Всем реципиентам аллогенной ТГ</w:t>
      </w:r>
      <w:r>
        <w:rPr>
          <w:rFonts w:cs="Times New Roman"/>
        </w:rPr>
        <w:t>СК следует проводить мониторинг</w:t>
      </w:r>
      <w:r w:rsidRPr="006B215F">
        <w:rPr>
          <w:rFonts w:cs="Times New Roman"/>
        </w:rPr>
        <w:t xml:space="preserve"> определения ДНК </w:t>
      </w:r>
      <w:r>
        <w:rPr>
          <w:rFonts w:cs="Times New Roman"/>
        </w:rPr>
        <w:t>CMV</w:t>
      </w:r>
      <w:r w:rsidRPr="006B215F">
        <w:rPr>
          <w:rFonts w:cs="Times New Roman"/>
        </w:rPr>
        <w:t xml:space="preserve"> не реже чем 1 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rPr>
          <w:rFonts w:cs="Times New Roman"/>
        </w:rPr>
        <w:t>CMV</w:t>
      </w:r>
      <w:r w:rsidRPr="006B215F">
        <w:rPr>
          <w:rFonts w:cs="Times New Roman"/>
        </w:rPr>
        <w:t xml:space="preserve"> инфекцию в раннем периоде ТГСК, а также у реципиентов после несовместимой или неродственной ТГСК.</w:t>
      </w:r>
    </w:p>
    <w:p w14:paraId="4E2C85B2" w14:textId="77777777" w:rsidR="00F333D2" w:rsidRPr="007F7F8C" w:rsidRDefault="00F333D2" w:rsidP="00F333D2">
      <w:pPr>
        <w:ind w:firstLine="708"/>
        <w:rPr>
          <w:rFonts w:cs="Times New Roman"/>
          <w:bCs/>
          <w:i/>
          <w:iCs/>
        </w:rPr>
      </w:pPr>
      <w:r w:rsidRPr="007F7F8C">
        <w:rPr>
          <w:rFonts w:cs="Times New Roman"/>
          <w:bCs/>
          <w:i/>
          <w:iCs/>
        </w:rPr>
        <w:t>Лечение</w:t>
      </w:r>
    </w:p>
    <w:p w14:paraId="1D11CD9D" w14:textId="3E62781C" w:rsidR="00F333D2" w:rsidRPr="006B215F" w:rsidRDefault="00F333D2" w:rsidP="00F333D2">
      <w:pPr>
        <w:ind w:firstLine="708"/>
        <w:rPr>
          <w:rFonts w:cs="Times New Roman"/>
        </w:rPr>
      </w:pPr>
      <w:r w:rsidRPr="006B215F">
        <w:rPr>
          <w:rFonts w:cs="Times New Roman"/>
        </w:rPr>
        <w:t>Препаратом 1 линии является ганцикловир (внутривенно, 10 мг/кг/сутки, дозу разделяют на два приема)</w:t>
      </w:r>
      <w:r>
        <w:rPr>
          <w:rFonts w:cs="Times New Roman"/>
        </w:rPr>
        <w:t xml:space="preserve"> </w:t>
      </w:r>
      <w:r w:rsidRPr="00E42938">
        <w:rPr>
          <w:rFonts w:cs="Times New Roman"/>
        </w:rPr>
        <w:fldChar w:fldCharType="begin" w:fldLock="1"/>
      </w:r>
      <w:r w:rsidR="00875B79">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[64]","plainTextFormattedCitation":"[64]","previouslyFormattedCitation":"[64]"},"properties":{"noteIndex":0},"schema":"https://github.com/citation-style-language/schema/raw/master/csl-citation.json"}</w:instrText>
      </w:r>
      <w:r w:rsidRPr="00E42938">
        <w:rPr>
          <w:rFonts w:cs="Times New Roman"/>
        </w:rPr>
        <w:fldChar w:fldCharType="separate"/>
      </w:r>
      <w:r w:rsidRPr="00F333D2">
        <w:rPr>
          <w:rFonts w:cs="Times New Roman"/>
          <w:noProof/>
        </w:rPr>
        <w:t>[64]</w:t>
      </w:r>
      <w:r w:rsidRPr="00E42938">
        <w:rPr>
          <w:rFonts w:cs="Times New Roman"/>
        </w:rPr>
        <w:fldChar w:fldCharType="end"/>
      </w:r>
      <w:r w:rsidRPr="006B215F">
        <w:rPr>
          <w:rFonts w:cs="Times New Roman"/>
        </w:rPr>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rPr>
          <w:rFonts w:cs="Times New Roman"/>
        </w:rPr>
        <w:t xml:space="preserve"> </w:t>
      </w:r>
      <w:r w:rsidRPr="00E42938">
        <w:rPr>
          <w:rFonts w:cs="Times New Roman"/>
        </w:rPr>
        <w:fldChar w:fldCharType="begin" w:fldLock="1"/>
      </w:r>
      <w:r w:rsidR="00875B79">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[64]","plainTextFormattedCitation":"[64]","previouslyFormattedCitation":"[64]"},"properties":{"noteIndex":0},"schema":"https://github.com/citation-style-language/schema/raw/master/csl-citation.json"}</w:instrText>
      </w:r>
      <w:r w:rsidRPr="00E42938">
        <w:rPr>
          <w:rFonts w:cs="Times New Roman"/>
        </w:rPr>
        <w:fldChar w:fldCharType="separate"/>
      </w:r>
      <w:r w:rsidRPr="00F333D2">
        <w:rPr>
          <w:rFonts w:cs="Times New Roman"/>
          <w:noProof/>
        </w:rPr>
        <w:t>[64]</w:t>
      </w:r>
      <w:r w:rsidRPr="00E42938">
        <w:rPr>
          <w:rFonts w:cs="Times New Roman"/>
        </w:rPr>
        <w:fldChar w:fldCharType="end"/>
      </w:r>
      <w:r w:rsidRPr="006B215F">
        <w:rPr>
          <w:rFonts w:cs="Times New Roman"/>
        </w:rPr>
        <w:t>.</w:t>
      </w:r>
    </w:p>
    <w:p w14:paraId="4F09D29B" w14:textId="77777777" w:rsidR="00F333D2" w:rsidRDefault="00F333D2" w:rsidP="00F333D2">
      <w:pPr>
        <w:rPr>
          <w:rFonts w:cs="Times New Roman"/>
          <w:bCs/>
          <w:i/>
          <w:iCs/>
          <w:u w:val="single"/>
        </w:rPr>
      </w:pPr>
    </w:p>
    <w:p w14:paraId="46E16497" w14:textId="77777777" w:rsidR="00F333D2" w:rsidRPr="00E42938" w:rsidRDefault="00F333D2" w:rsidP="00F333D2">
      <w:pPr>
        <w:rPr>
          <w:rFonts w:cs="Times New Roman"/>
          <w:bCs/>
          <w:i/>
          <w:iCs/>
          <w:u w:val="single"/>
        </w:rPr>
      </w:pPr>
      <w:r w:rsidRPr="00E42938">
        <w:rPr>
          <w:rFonts w:cs="Times New Roman"/>
          <w:bCs/>
          <w:i/>
          <w:iCs/>
          <w:u w:val="single"/>
        </w:rPr>
        <w:t>Вирус Эпштейна-Барр (Epstein-Barr virus – EBV)</w:t>
      </w:r>
    </w:p>
    <w:p w14:paraId="4FDCDE5B" w14:textId="4910E712" w:rsidR="00F333D2" w:rsidRDefault="00F333D2" w:rsidP="00F333D2">
      <w:pPr>
        <w:ind w:firstLine="708"/>
        <w:rPr>
          <w:rFonts w:cs="Times New Roman"/>
        </w:rPr>
      </w:pPr>
      <w:r w:rsidRPr="003605AD">
        <w:rPr>
          <w:rFonts w:cs="Times New Roman"/>
        </w:rPr>
        <w:t xml:space="preserve">Проявления </w:t>
      </w:r>
      <w:r>
        <w:rPr>
          <w:rFonts w:cs="Times New Roman"/>
        </w:rPr>
        <w:t>EBV</w:t>
      </w:r>
      <w:r w:rsidRPr="00275E66">
        <w:rPr>
          <w:rFonts w:cs="Times New Roman"/>
        </w:rPr>
        <w:t>-</w:t>
      </w:r>
      <w:r w:rsidRPr="003605AD">
        <w:rPr>
          <w:rFonts w:cs="Times New Roman"/>
        </w:rPr>
        <w:t xml:space="preserve">инфекции могут быть в виде </w:t>
      </w:r>
      <w:r>
        <w:rPr>
          <w:rFonts w:cs="Times New Roman"/>
        </w:rPr>
        <w:t>инфекционного мононуклеоза, хронической EBV</w:t>
      </w:r>
      <w:r w:rsidRPr="00275E66">
        <w:rPr>
          <w:rFonts w:cs="Times New Roman"/>
        </w:rPr>
        <w:t>-</w:t>
      </w:r>
      <w:r>
        <w:rPr>
          <w:rFonts w:cs="Times New Roman"/>
        </w:rP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rPr>
          <w:rFonts w:cs="Times New Roman"/>
        </w:rPr>
        <w:t>;</w:t>
      </w:r>
      <w:r>
        <w:rPr>
          <w:rFonts w:cs="Times New Roman"/>
        </w:rPr>
        <w:t xml:space="preserve"> наиболее высокий показатель после гаплоидентичной ТГСК (до 25%) и после деплеции Т-клеток (12-29%). Реципиенты после неродственной или частично совместимой ТГСК или после деплеции Т-клеток составляют группу риска в отношении развития EBV</w:t>
      </w:r>
      <w:r w:rsidRPr="006B215F">
        <w:rPr>
          <w:rFonts w:cs="Times New Roman"/>
        </w:rPr>
        <w:t xml:space="preserve"> </w:t>
      </w:r>
      <w:r>
        <w:rPr>
          <w:rFonts w:cs="Times New Roman"/>
        </w:rPr>
        <w:t xml:space="preserve">ассоциированной опухоли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Pr>
          <w:rFonts w:cs="Times New Roman"/>
        </w:rPr>
        <w:t>.</w:t>
      </w:r>
    </w:p>
    <w:p w14:paraId="674B194E" w14:textId="77777777" w:rsidR="00F333D2" w:rsidRPr="006B215F" w:rsidRDefault="00F333D2" w:rsidP="00F333D2">
      <w:pPr>
        <w:ind w:firstLine="708"/>
        <w:rPr>
          <w:rFonts w:cs="Times New Roman"/>
        </w:rPr>
      </w:pPr>
      <w:r>
        <w:rPr>
          <w:rFonts w:cs="Times New Roman"/>
        </w:rPr>
        <w:t>Диагностика – детекция ДНК EBV</w:t>
      </w:r>
      <w:r w:rsidRPr="006B215F">
        <w:rPr>
          <w:rFonts w:cs="Times New Roman"/>
        </w:rPr>
        <w:t xml:space="preserve"> методом ПЦР (количественный метод). Мониторинг </w:t>
      </w:r>
      <w:r>
        <w:rPr>
          <w:rFonts w:cs="Times New Roman"/>
        </w:rPr>
        <w:t>ДНК EBV</w:t>
      </w:r>
      <w:r w:rsidRPr="006B215F">
        <w:rPr>
          <w:rFonts w:cs="Times New Roman"/>
        </w:rPr>
        <w:t xml:space="preserve"> в группе высо</w:t>
      </w:r>
      <w:r>
        <w:rPr>
          <w:rFonts w:cs="Times New Roman"/>
        </w:rPr>
        <w:t>ко</w:t>
      </w:r>
      <w:r w:rsidRPr="006B215F">
        <w:rPr>
          <w:rFonts w:cs="Times New Roman"/>
        </w:rPr>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rPr>
          <w:rFonts w:cs="Times New Roman"/>
        </w:rPr>
        <w:t>гаплоидентичной ТГСК, а также среди пациентов с ранней реактивацией EBV</w:t>
      </w:r>
      <w:r w:rsidRPr="006B215F">
        <w:rPr>
          <w:rFonts w:cs="Times New Roman"/>
        </w:rPr>
        <w:t>.</w:t>
      </w:r>
    </w:p>
    <w:p w14:paraId="4716B3C8" w14:textId="17C77A8F" w:rsidR="00F333D2" w:rsidRPr="003605AD" w:rsidRDefault="00F333D2" w:rsidP="00F333D2">
      <w:pPr>
        <w:ind w:firstLine="708"/>
        <w:rPr>
          <w:rFonts w:cs="Times New Roman"/>
        </w:rPr>
      </w:pPr>
      <w:r w:rsidRPr="006B215F">
        <w:rPr>
          <w:rFonts w:cs="Times New Roman"/>
        </w:rPr>
        <w:t xml:space="preserve">Лечение </w:t>
      </w:r>
      <w:r>
        <w:rPr>
          <w:rFonts w:cs="Times New Roman"/>
        </w:rPr>
        <w:t xml:space="preserve">EBV-ассоциированного лимфопролиферативного заболевания проводят ритуксимабом </w:t>
      </w:r>
      <w:r w:rsidRPr="00867D9A">
        <w:rPr>
          <w:rFonts w:cs="Times New Roman"/>
        </w:rPr>
        <w:fldChar w:fldCharType="begin" w:fldLock="1"/>
      </w:r>
      <w:r w:rsidR="00875B79">
        <w:rPr>
          <w:rFonts w:cs="Times New Roman"/>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[63]","plainTextFormattedCitation":"[63]","previouslyFormattedCitation":"[63]"},"properties":{"noteIndex":0},"schema":"https://github.com/citation-style-language/schema/raw/master/csl-citation.json"}</w:instrText>
      </w:r>
      <w:r w:rsidRPr="00867D9A">
        <w:rPr>
          <w:rFonts w:cs="Times New Roman"/>
        </w:rPr>
        <w:fldChar w:fldCharType="separate"/>
      </w:r>
      <w:r w:rsidRPr="00F333D2">
        <w:rPr>
          <w:rFonts w:cs="Times New Roman"/>
          <w:noProof/>
        </w:rPr>
        <w:t>[63]</w:t>
      </w:r>
      <w:r w:rsidRPr="00867D9A">
        <w:rPr>
          <w:rFonts w:cs="Times New Roman"/>
        </w:rPr>
        <w:fldChar w:fldCharType="end"/>
      </w:r>
      <w:r>
        <w:rPr>
          <w:rFonts w:cs="Times New Roman"/>
        </w:rPr>
        <w:t>. Антивирусные препараты и иммуноглобулин не рекомендованы для лечения.</w:t>
      </w:r>
    </w:p>
    <w:p w14:paraId="4CFBCF74" w14:textId="77777777" w:rsidR="00F333D2" w:rsidRDefault="00F333D2" w:rsidP="00F333D2">
      <w:pPr>
        <w:rPr>
          <w:rFonts w:cs="Times New Roman"/>
          <w:bCs/>
          <w:i/>
          <w:iCs/>
          <w:u w:val="single"/>
        </w:rPr>
      </w:pPr>
    </w:p>
    <w:p w14:paraId="73528023" w14:textId="77777777" w:rsidR="00F333D2" w:rsidRPr="00023E68" w:rsidRDefault="00F333D2" w:rsidP="00F333D2">
      <w:pPr>
        <w:rPr>
          <w:rFonts w:cs="Times New Roman"/>
          <w:bCs/>
          <w:i/>
          <w:iCs/>
          <w:u w:val="single"/>
        </w:rPr>
      </w:pPr>
      <w:r w:rsidRPr="00023E68">
        <w:rPr>
          <w:rFonts w:cs="Times New Roman"/>
          <w:bCs/>
          <w:i/>
          <w:iCs/>
          <w:u w:val="single"/>
        </w:rPr>
        <w:t>Вирус герпеса человека 6 типа (Human herpes virus 6 – HHV-6)</w:t>
      </w:r>
    </w:p>
    <w:p w14:paraId="3F0AA73D" w14:textId="72BAA55F" w:rsidR="00F333D2" w:rsidRPr="006B215F" w:rsidRDefault="00F333D2" w:rsidP="00F333D2">
      <w:pPr>
        <w:ind w:firstLine="708"/>
        <w:rPr>
          <w:rFonts w:cs="Times New Roman"/>
        </w:rPr>
      </w:pPr>
      <w:r>
        <w:rPr>
          <w:rFonts w:cs="Times New Roman"/>
        </w:rPr>
        <w:t>Среди</w:t>
      </w:r>
      <w:r w:rsidRPr="006B215F">
        <w:rPr>
          <w:rFonts w:cs="Times New Roman"/>
          <w:b/>
        </w:rPr>
        <w:t xml:space="preserve"> </w:t>
      </w:r>
      <w:r w:rsidRPr="00620C7D">
        <w:rPr>
          <w:rFonts w:cs="Times New Roman"/>
        </w:rPr>
        <w:t>HHV</w:t>
      </w:r>
      <w:r w:rsidRPr="006B215F">
        <w:rPr>
          <w:rFonts w:cs="Times New Roman"/>
        </w:rPr>
        <w:t xml:space="preserve">6 выделяют тип А и тип В. </w:t>
      </w:r>
      <w:r>
        <w:rPr>
          <w:rFonts w:cs="Times New Roman"/>
        </w:rP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rPr>
          <w:rFonts w:cs="Times New Roman"/>
        </w:rPr>
        <w:t>HHV</w:t>
      </w:r>
      <w:r w:rsidRPr="006B215F">
        <w:rPr>
          <w:rFonts w:cs="Times New Roman"/>
        </w:rPr>
        <w:t xml:space="preserve">6, является редким проявлением инфекции, описаны случаи при неродственной ТГСК. В СМЖ </w:t>
      </w:r>
      <w:r>
        <w:rPr>
          <w:rFonts w:cs="Times New Roman"/>
        </w:rPr>
        <w:t>пациентов с</w:t>
      </w:r>
      <w:r w:rsidRPr="006B215F">
        <w:rPr>
          <w:rFonts w:cs="Times New Roman"/>
        </w:rPr>
        <w:t xml:space="preserve"> энцефалитом </w:t>
      </w:r>
      <w:r w:rsidRPr="005B1B4B">
        <w:rPr>
          <w:rFonts w:cs="Times New Roman"/>
        </w:rPr>
        <w:t>HHV</w:t>
      </w:r>
      <w:r>
        <w:rPr>
          <w:rFonts w:cs="Times New Roman"/>
        </w:rPr>
        <w:t>-</w:t>
      </w:r>
      <w:r w:rsidRPr="006B215F">
        <w:rPr>
          <w:rFonts w:cs="Times New Roman"/>
        </w:rPr>
        <w:t xml:space="preserve">6 определяется повышенный уровень белка, в половине случаев бывает плеоцитоз. </w:t>
      </w:r>
      <w:r w:rsidRPr="0028579C">
        <w:rPr>
          <w:rFonts w:cs="Times New Roman"/>
        </w:rPr>
        <w:t>Компьютерная томография головного мозга</w:t>
      </w:r>
      <w:r w:rsidRPr="006B215F">
        <w:rPr>
          <w:rFonts w:cs="Times New Roman"/>
        </w:rPr>
        <w:t xml:space="preserve"> может быть нормальной, изменения </w:t>
      </w:r>
      <w:r w:rsidRPr="0028579C">
        <w:rPr>
          <w:rFonts w:cs="Times New Roman"/>
        </w:rPr>
        <w:t>определяются при магнитно-резонансной томографии</w:t>
      </w:r>
      <w:r>
        <w:rPr>
          <w:rFonts w:cs="Times New Roman"/>
        </w:rPr>
        <w:t xml:space="preserve"> </w:t>
      </w:r>
      <w:r w:rsidRPr="00E42938">
        <w:rPr>
          <w:rFonts w:cs="Times New Roman"/>
        </w:rPr>
        <w:fldChar w:fldCharType="begin" w:fldLock="1"/>
      </w:r>
      <w:r w:rsidR="00875B79">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[64]","plainTextFormattedCitation":"[64]","previouslyFormattedCitation":"[64]"},"properties":{"noteIndex":0},"schema":"https://github.com/citation-style-language/schema/raw/master/csl-citation.json"}</w:instrText>
      </w:r>
      <w:r w:rsidRPr="00E42938">
        <w:rPr>
          <w:rFonts w:cs="Times New Roman"/>
        </w:rPr>
        <w:fldChar w:fldCharType="separate"/>
      </w:r>
      <w:r w:rsidRPr="00F333D2">
        <w:rPr>
          <w:rFonts w:cs="Times New Roman"/>
          <w:noProof/>
        </w:rPr>
        <w:t>[64]</w:t>
      </w:r>
      <w:r w:rsidRPr="00E42938">
        <w:rPr>
          <w:rFonts w:cs="Times New Roman"/>
        </w:rPr>
        <w:fldChar w:fldCharType="end"/>
      </w:r>
      <w:r w:rsidRPr="006B215F">
        <w:rPr>
          <w:rFonts w:cs="Times New Roman"/>
        </w:rPr>
        <w:t xml:space="preserve">. </w:t>
      </w:r>
    </w:p>
    <w:p w14:paraId="16BEB7FD" w14:textId="77777777" w:rsidR="00F333D2" w:rsidRDefault="00F333D2" w:rsidP="00F333D2">
      <w:pPr>
        <w:ind w:firstLine="708"/>
        <w:rPr>
          <w:rFonts w:cs="Times New Roman"/>
        </w:rPr>
      </w:pPr>
      <w:r>
        <w:rPr>
          <w:rFonts w:cs="Times New Roman"/>
        </w:rPr>
        <w:t xml:space="preserve">Диагностика проводится на основании молекулярно-биологического исследования на </w:t>
      </w:r>
      <w:r w:rsidRPr="00620C7D">
        <w:rPr>
          <w:rFonts w:cs="Times New Roman"/>
        </w:rPr>
        <w:t>HHV</w:t>
      </w:r>
      <w:r w:rsidRPr="006B215F">
        <w:rPr>
          <w:rFonts w:cs="Times New Roman"/>
        </w:rPr>
        <w:t>6</w:t>
      </w:r>
      <w:r>
        <w:rPr>
          <w:rFonts w:cs="Times New Roman"/>
        </w:rPr>
        <w:t xml:space="preserve">, выявляющая ДНК вируса методом ПЦР в крови, в СМЖ, других биологических субстратах,  в том числе, количественным методом. </w:t>
      </w:r>
    </w:p>
    <w:p w14:paraId="2DA51CCF" w14:textId="2E78923F" w:rsidR="00F333D2" w:rsidRPr="00C1743E" w:rsidRDefault="00F333D2" w:rsidP="00F333D2">
      <w:pPr>
        <w:ind w:firstLine="708"/>
        <w:rPr>
          <w:rFonts w:cs="Times New Roman"/>
        </w:rPr>
      </w:pPr>
      <w:r>
        <w:rPr>
          <w:rFonts w:cs="Times New Roman"/>
        </w:rPr>
        <w:t xml:space="preserve">Лечение включает назначение ганцикловира или фоскарнета, возможно сочетанное применение препаратов </w:t>
      </w:r>
      <w:r w:rsidRPr="00E42938">
        <w:rPr>
          <w:rFonts w:cs="Times New Roman"/>
        </w:rPr>
        <w:fldChar w:fldCharType="begin" w:fldLock="1"/>
      </w:r>
      <w:r w:rsidR="00875B79">
        <w:rPr>
          <w:rFonts w:cs="Times New Roman"/>
        </w:rPr>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[64]","plainTextFormattedCitation":"[64]","previouslyFormattedCitation":"[64]"},"properties":{"noteIndex":0},"schema":"https://github.com/citation-style-language/schema/raw/master/csl-citation.json"}</w:instrText>
      </w:r>
      <w:r w:rsidRPr="00E42938">
        <w:rPr>
          <w:rFonts w:cs="Times New Roman"/>
        </w:rPr>
        <w:fldChar w:fldCharType="separate"/>
      </w:r>
      <w:r w:rsidRPr="00F333D2">
        <w:rPr>
          <w:rFonts w:cs="Times New Roman"/>
          <w:noProof/>
        </w:rPr>
        <w:t>[64]</w:t>
      </w:r>
      <w:r w:rsidRPr="00E42938">
        <w:rPr>
          <w:rFonts w:cs="Times New Roman"/>
        </w:rPr>
        <w:fldChar w:fldCharType="end"/>
      </w:r>
      <w:r w:rsidRPr="006B215F">
        <w:rPr>
          <w:rFonts w:cs="Times New Roman"/>
        </w:rPr>
        <w:t>.</w:t>
      </w:r>
      <w:r>
        <w:rPr>
          <w:rFonts w:cs="Times New Roman"/>
        </w:rPr>
        <w:t xml:space="preserve"> Профилактика в отношении HHV</w:t>
      </w:r>
      <w:r w:rsidRPr="006B215F">
        <w:rPr>
          <w:rFonts w:cs="Times New Roman"/>
        </w:rPr>
        <w:t>-6</w:t>
      </w:r>
      <w:r>
        <w:rPr>
          <w:rFonts w:cs="Times New Roman"/>
        </w:rPr>
        <w:t xml:space="preserve"> не проводится.</w:t>
      </w:r>
    </w:p>
    <w:p w14:paraId="1DF94638" w14:textId="06131CAD" w:rsidR="00875B79" w:rsidRPr="007531B6" w:rsidRDefault="00F8524A" w:rsidP="00875B79">
      <w:pPr>
        <w:pStyle w:val="2"/>
      </w:pPr>
      <w:bookmarkStart w:id="71" w:name="_Toc65108048"/>
      <w:r>
        <w:t xml:space="preserve">7.10. </w:t>
      </w:r>
      <w:bookmarkStart w:id="72" w:name="_Toc57985410"/>
      <w:bookmarkStart w:id="73" w:name="_Toc64478031"/>
      <w:bookmarkStart w:id="74" w:name="_Toc520213128"/>
      <w:r w:rsidR="00875B79">
        <w:t>Д</w:t>
      </w:r>
      <w:r w:rsidR="00875B79" w:rsidRPr="007531B6">
        <w:t>иагностика и лечение инфекций</w:t>
      </w:r>
      <w:r w:rsidR="00875B79">
        <w:t xml:space="preserve">, </w:t>
      </w:r>
      <w:r w:rsidR="00875B79" w:rsidRPr="007531B6">
        <w:t>вызванных грибами</w:t>
      </w:r>
      <w:bookmarkEnd w:id="71"/>
      <w:bookmarkEnd w:id="72"/>
      <w:bookmarkEnd w:id="73"/>
    </w:p>
    <w:p w14:paraId="7F079A32" w14:textId="77777777" w:rsidR="00875B79" w:rsidRPr="0002711B" w:rsidRDefault="00875B79" w:rsidP="00875B79">
      <w:pPr>
        <w:ind w:firstLine="708"/>
      </w:pPr>
      <w:r>
        <w:t>Высокотехнологичные методы лечения и особенности иммунодефицита у пациентов с гематологическими заболеваниями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14:paraId="61B377C8" w14:textId="77777777" w:rsidR="00875B79" w:rsidRDefault="00875B79" w:rsidP="00875B79">
      <w:pPr>
        <w:widowControl w:val="0"/>
        <w:autoSpaceDE w:val="0"/>
        <w:autoSpaceDN w:val="0"/>
        <w:adjustRightInd w:val="0"/>
        <w:ind w:right="51"/>
        <w:contextualSpacing/>
        <w:rPr>
          <w:b/>
          <w:bCs/>
        </w:rPr>
      </w:pPr>
    </w:p>
    <w:p w14:paraId="3D072B2B" w14:textId="0B3AE6D4" w:rsidR="00875B79" w:rsidRPr="00084B8B" w:rsidRDefault="00875B79" w:rsidP="00875B79">
      <w:pPr>
        <w:widowControl w:val="0"/>
        <w:autoSpaceDE w:val="0"/>
        <w:autoSpaceDN w:val="0"/>
        <w:adjustRightInd w:val="0"/>
        <w:ind w:right="49"/>
        <w:contextualSpacing/>
        <w:rPr>
          <w:bCs/>
          <w:u w:val="single"/>
        </w:rPr>
      </w:pPr>
      <w:r w:rsidRPr="00F87280">
        <w:rPr>
          <w:bCs/>
          <w:u w:val="single"/>
        </w:rPr>
        <w:t>Диагностика и лечение кандидоза</w:t>
      </w:r>
      <w:r>
        <w:rPr>
          <w:bCs/>
          <w:u w:val="single"/>
          <w:lang w:val="en-US"/>
        </w:rPr>
        <w:t xml:space="preserve">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[58,59,65,66]","plainTextFormattedCitation":"[58,59,65,66]","previouslyFormattedCitation":"[58,59,65,66]"},"properties":{"noteIndex":0},"schema":"https://github.com/citation-style-language/schema/raw/master/csl-citation.json"}</w:instrText>
      </w:r>
      <w:r>
        <w:rPr>
          <w:b/>
        </w:rPr>
        <w:fldChar w:fldCharType="separate"/>
      </w:r>
      <w:r w:rsidRPr="00875B79">
        <w:rPr>
          <w:noProof/>
        </w:rPr>
        <w:t>[58,59,65,66]</w:t>
      </w:r>
      <w:r>
        <w:rPr>
          <w:b/>
        </w:rPr>
        <w:fldChar w:fldCharType="end"/>
      </w:r>
    </w:p>
    <w:p w14:paraId="570FDF98" w14:textId="77777777" w:rsidR="00875B79" w:rsidRPr="0014445B" w:rsidRDefault="00875B79" w:rsidP="00875B79">
      <w:pPr>
        <w:widowControl w:val="0"/>
        <w:autoSpaceDE w:val="0"/>
        <w:autoSpaceDN w:val="0"/>
        <w:adjustRightInd w:val="0"/>
        <w:ind w:right="51"/>
        <w:contextualSpacing/>
        <w:rPr>
          <w:b/>
          <w:bCs/>
        </w:rPr>
      </w:pPr>
      <w:r w:rsidRPr="0014445B">
        <w:rPr>
          <w:b/>
          <w:bCs/>
        </w:rPr>
        <w:t>Кандидоз полости рта и глотки (орофарингеальный кандидоз)</w:t>
      </w:r>
    </w:p>
    <w:p w14:paraId="1701B54B" w14:textId="77777777" w:rsidR="00875B79" w:rsidRPr="00F87280" w:rsidRDefault="00875B79" w:rsidP="00875B79">
      <w:pPr>
        <w:widowControl w:val="0"/>
        <w:autoSpaceDE w:val="0"/>
        <w:autoSpaceDN w:val="0"/>
        <w:adjustRightInd w:val="0"/>
        <w:ind w:right="51"/>
        <w:contextualSpacing/>
        <w:rPr>
          <w:i/>
          <w:iCs/>
        </w:rPr>
      </w:pPr>
      <w:r w:rsidRPr="00F87280">
        <w:rPr>
          <w:i/>
          <w:iCs/>
          <w:u w:val="single"/>
        </w:rPr>
        <w:t>Возбудители</w:t>
      </w:r>
    </w:p>
    <w:p w14:paraId="3794C760" w14:textId="77777777" w:rsidR="00875B79" w:rsidRPr="00DA2BC8" w:rsidRDefault="00875B79" w:rsidP="00875B79">
      <w:pPr>
        <w:widowControl w:val="0"/>
        <w:autoSpaceDE w:val="0"/>
        <w:autoSpaceDN w:val="0"/>
        <w:adjustRightInd w:val="0"/>
        <w:ind w:right="51"/>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61B19281" w14:textId="77777777" w:rsidR="00875B79" w:rsidRPr="00F87280" w:rsidRDefault="00875B79" w:rsidP="00875B79">
      <w:pPr>
        <w:widowControl w:val="0"/>
        <w:autoSpaceDE w:val="0"/>
        <w:autoSpaceDN w:val="0"/>
        <w:adjustRightInd w:val="0"/>
        <w:ind w:right="51"/>
        <w:contextualSpacing/>
        <w:rPr>
          <w:i/>
          <w:iCs/>
          <w:u w:val="single"/>
        </w:rPr>
      </w:pPr>
      <w:r w:rsidRPr="00F87280">
        <w:rPr>
          <w:i/>
          <w:iCs/>
          <w:u w:val="single"/>
        </w:rPr>
        <w:t>Факторы риска</w:t>
      </w:r>
    </w:p>
    <w:p w14:paraId="744E3687" w14:textId="77777777" w:rsidR="00875B79" w:rsidRPr="00DA2BC8" w:rsidRDefault="00875B79" w:rsidP="00875B79">
      <w:pPr>
        <w:widowControl w:val="0"/>
        <w:autoSpaceDE w:val="0"/>
        <w:autoSpaceDN w:val="0"/>
        <w:adjustRightInd w:val="0"/>
        <w:ind w:right="51"/>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14:paraId="778EC6CF" w14:textId="77777777" w:rsidR="00875B79" w:rsidRPr="00F87280" w:rsidRDefault="00875B79" w:rsidP="00875B79">
      <w:pPr>
        <w:widowControl w:val="0"/>
        <w:autoSpaceDE w:val="0"/>
        <w:autoSpaceDN w:val="0"/>
        <w:adjustRightInd w:val="0"/>
        <w:ind w:right="51"/>
        <w:contextualSpacing/>
        <w:rPr>
          <w:i/>
          <w:iCs/>
          <w:u w:val="single"/>
        </w:rPr>
      </w:pPr>
      <w:r w:rsidRPr="00F87280">
        <w:rPr>
          <w:i/>
          <w:iCs/>
          <w:u w:val="single"/>
        </w:rPr>
        <w:t>Симптомы инфекции</w:t>
      </w:r>
    </w:p>
    <w:p w14:paraId="3B6DF773" w14:textId="77777777" w:rsidR="00875B79" w:rsidRPr="00DA2BC8" w:rsidRDefault="00875B79" w:rsidP="00875B79">
      <w:pPr>
        <w:widowControl w:val="0"/>
        <w:autoSpaceDE w:val="0"/>
        <w:autoSpaceDN w:val="0"/>
        <w:adjustRightInd w:val="0"/>
        <w:ind w:right="51"/>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04BAC12F" w14:textId="77777777" w:rsidR="00875B79" w:rsidRPr="00F87280" w:rsidRDefault="00875B79" w:rsidP="00875B79">
      <w:pPr>
        <w:widowControl w:val="0"/>
        <w:autoSpaceDE w:val="0"/>
        <w:autoSpaceDN w:val="0"/>
        <w:adjustRightInd w:val="0"/>
        <w:ind w:right="51"/>
        <w:contextualSpacing/>
        <w:rPr>
          <w:i/>
          <w:iCs/>
          <w:u w:val="single"/>
        </w:rPr>
      </w:pPr>
      <w:r w:rsidRPr="00F87280">
        <w:rPr>
          <w:i/>
          <w:iCs/>
          <w:u w:val="single"/>
        </w:rPr>
        <w:t>Диагностика</w:t>
      </w:r>
    </w:p>
    <w:p w14:paraId="0B91E9B7" w14:textId="77777777" w:rsidR="00875B79" w:rsidRPr="00DA2BC8" w:rsidRDefault="00875B79" w:rsidP="00875B79">
      <w:pPr>
        <w:widowControl w:val="0"/>
        <w:autoSpaceDE w:val="0"/>
        <w:autoSpaceDN w:val="0"/>
        <w:adjustRightInd w:val="0"/>
        <w:ind w:right="51"/>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77BFC973" w14:textId="77777777" w:rsidR="00875B79" w:rsidRPr="00F87280" w:rsidRDefault="00875B79" w:rsidP="00875B79">
      <w:pPr>
        <w:widowControl w:val="0"/>
        <w:autoSpaceDE w:val="0"/>
        <w:autoSpaceDN w:val="0"/>
        <w:adjustRightInd w:val="0"/>
        <w:ind w:right="51"/>
        <w:contextualSpacing/>
        <w:rPr>
          <w:i/>
          <w:iCs/>
        </w:rPr>
      </w:pPr>
      <w:r w:rsidRPr="00F87280">
        <w:rPr>
          <w:i/>
          <w:iCs/>
          <w:u w:val="single"/>
        </w:rPr>
        <w:t>Показания к назначению противогрибковых препаратов</w:t>
      </w:r>
    </w:p>
    <w:p w14:paraId="13A034EB" w14:textId="77777777" w:rsidR="00875B79" w:rsidRPr="00DA2BC8" w:rsidRDefault="00875B79" w:rsidP="00875B79">
      <w:pPr>
        <w:widowControl w:val="0"/>
        <w:autoSpaceDE w:val="0"/>
        <w:autoSpaceDN w:val="0"/>
        <w:adjustRightInd w:val="0"/>
        <w:ind w:right="51"/>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041AE3D5" w14:textId="77777777" w:rsidR="00875B79" w:rsidRPr="00F87280" w:rsidRDefault="00875B79" w:rsidP="00875B79">
      <w:pPr>
        <w:widowControl w:val="0"/>
        <w:autoSpaceDE w:val="0"/>
        <w:autoSpaceDN w:val="0"/>
        <w:adjustRightInd w:val="0"/>
        <w:ind w:right="51"/>
        <w:contextualSpacing/>
        <w:rPr>
          <w:i/>
          <w:iCs/>
          <w:u w:val="single"/>
        </w:rPr>
      </w:pPr>
      <w:r w:rsidRPr="00F87280">
        <w:rPr>
          <w:i/>
          <w:iCs/>
          <w:u w:val="single"/>
        </w:rPr>
        <w:t xml:space="preserve">Лечение </w:t>
      </w:r>
    </w:p>
    <w:p w14:paraId="16A3084C" w14:textId="77777777" w:rsidR="00875B79" w:rsidRPr="00DA2BC8" w:rsidRDefault="00875B79" w:rsidP="00875B79">
      <w:pPr>
        <w:widowControl w:val="0"/>
        <w:autoSpaceDE w:val="0"/>
        <w:autoSpaceDN w:val="0"/>
        <w:adjustRightInd w:val="0"/>
        <w:ind w:right="51"/>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0781FBA4" w14:textId="77777777" w:rsidR="00875B79" w:rsidRPr="0014445B" w:rsidRDefault="00875B79" w:rsidP="00875B79">
      <w:pPr>
        <w:widowControl w:val="0"/>
        <w:autoSpaceDE w:val="0"/>
        <w:autoSpaceDN w:val="0"/>
        <w:adjustRightInd w:val="0"/>
        <w:ind w:right="50"/>
        <w:contextualSpacing/>
        <w:rPr>
          <w:b/>
          <w:bCs/>
        </w:rPr>
      </w:pPr>
      <w:r w:rsidRPr="0014445B">
        <w:rPr>
          <w:b/>
          <w:bCs/>
        </w:rPr>
        <w:t>Кандидоз пищевода</w:t>
      </w:r>
    </w:p>
    <w:p w14:paraId="209F869E" w14:textId="77777777" w:rsidR="00875B79" w:rsidRPr="00F87280" w:rsidRDefault="00875B79" w:rsidP="00875B79">
      <w:pPr>
        <w:widowControl w:val="0"/>
        <w:autoSpaceDE w:val="0"/>
        <w:autoSpaceDN w:val="0"/>
        <w:adjustRightInd w:val="0"/>
        <w:ind w:right="50"/>
        <w:contextualSpacing/>
        <w:rPr>
          <w:i/>
          <w:iCs/>
          <w:u w:val="single"/>
        </w:rPr>
      </w:pPr>
      <w:r w:rsidRPr="00F87280">
        <w:rPr>
          <w:i/>
          <w:iCs/>
          <w:u w:val="single"/>
        </w:rPr>
        <w:t>Возбудители</w:t>
      </w:r>
    </w:p>
    <w:p w14:paraId="22FC0C2E" w14:textId="77777777" w:rsidR="00875B79" w:rsidRPr="00DA2BC8" w:rsidRDefault="00875B79" w:rsidP="00875B79">
      <w:pPr>
        <w:widowControl w:val="0"/>
        <w:autoSpaceDE w:val="0"/>
        <w:autoSpaceDN w:val="0"/>
        <w:adjustRightInd w:val="0"/>
        <w:ind w:right="50"/>
        <w:contextualSpacing/>
      </w:pPr>
      <w:r w:rsidRPr="00DA2BC8">
        <w:t xml:space="preserve">Среди возбудителей преобладают </w:t>
      </w:r>
      <w:r w:rsidRPr="00DA2BC8">
        <w:rPr>
          <w:i/>
          <w:iCs/>
        </w:rPr>
        <w:t>C. albicans.</w:t>
      </w:r>
    </w:p>
    <w:p w14:paraId="3A6BFDB4" w14:textId="77777777" w:rsidR="00875B79" w:rsidRPr="00DA2BC8" w:rsidRDefault="00875B79" w:rsidP="00875B79">
      <w:pPr>
        <w:widowControl w:val="0"/>
        <w:autoSpaceDE w:val="0"/>
        <w:autoSpaceDN w:val="0"/>
        <w:adjustRightInd w:val="0"/>
        <w:ind w:right="50"/>
        <w:contextualSpacing/>
      </w:pPr>
      <w:r w:rsidRPr="00F87280">
        <w:rPr>
          <w:i/>
          <w:iCs/>
          <w:u w:val="single"/>
        </w:rPr>
        <w:t>Факторы риска</w:t>
      </w:r>
      <w:r w:rsidRPr="00DA2BC8">
        <w:t xml:space="preserve"> те же, что при орофарингеальном кандидозе.</w:t>
      </w:r>
    </w:p>
    <w:p w14:paraId="5BF0B6AF" w14:textId="77777777" w:rsidR="00875B79" w:rsidRPr="00F87280" w:rsidRDefault="00875B79" w:rsidP="00875B79">
      <w:pPr>
        <w:widowControl w:val="0"/>
        <w:autoSpaceDE w:val="0"/>
        <w:autoSpaceDN w:val="0"/>
        <w:adjustRightInd w:val="0"/>
        <w:ind w:right="50"/>
        <w:contextualSpacing/>
        <w:rPr>
          <w:i/>
          <w:iCs/>
          <w:u w:val="single"/>
        </w:rPr>
      </w:pPr>
      <w:r w:rsidRPr="00F87280">
        <w:rPr>
          <w:i/>
          <w:iCs/>
          <w:u w:val="single"/>
        </w:rPr>
        <w:t>Симптомы инфекции</w:t>
      </w:r>
    </w:p>
    <w:p w14:paraId="3C9D3EAD" w14:textId="77777777" w:rsidR="00875B79" w:rsidRPr="00DA2BC8" w:rsidRDefault="00875B79" w:rsidP="00875B79">
      <w:pPr>
        <w:widowControl w:val="0"/>
        <w:autoSpaceDE w:val="0"/>
        <w:autoSpaceDN w:val="0"/>
        <w:adjustRightInd w:val="0"/>
        <w:ind w:right="50"/>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777A4A49" w14:textId="77777777" w:rsidR="00875B79" w:rsidRPr="00F87280" w:rsidRDefault="00875B79" w:rsidP="00875B79">
      <w:pPr>
        <w:widowControl w:val="0"/>
        <w:autoSpaceDE w:val="0"/>
        <w:autoSpaceDN w:val="0"/>
        <w:adjustRightInd w:val="0"/>
        <w:ind w:right="50"/>
        <w:contextualSpacing/>
        <w:rPr>
          <w:i/>
          <w:iCs/>
        </w:rPr>
      </w:pPr>
      <w:r w:rsidRPr="00F87280">
        <w:rPr>
          <w:i/>
          <w:iCs/>
          <w:u w:val="single"/>
        </w:rPr>
        <w:t>Диагностика</w:t>
      </w:r>
    </w:p>
    <w:p w14:paraId="2980D1C0" w14:textId="77777777" w:rsidR="00875B79" w:rsidRPr="00DA2BC8" w:rsidRDefault="00875B79" w:rsidP="00875B79">
      <w:pPr>
        <w:widowControl w:val="0"/>
        <w:autoSpaceDE w:val="0"/>
        <w:autoSpaceDN w:val="0"/>
        <w:adjustRightInd w:val="0"/>
        <w:ind w:right="50"/>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14:paraId="4DFB76B6" w14:textId="77777777" w:rsidR="00875B79" w:rsidRPr="00F87280" w:rsidRDefault="00875B79" w:rsidP="00875B79">
      <w:pPr>
        <w:widowControl w:val="0"/>
        <w:autoSpaceDE w:val="0"/>
        <w:autoSpaceDN w:val="0"/>
        <w:adjustRightInd w:val="0"/>
        <w:ind w:right="50"/>
        <w:contextualSpacing/>
        <w:rPr>
          <w:i/>
          <w:iCs/>
          <w:u w:val="single"/>
        </w:rPr>
      </w:pPr>
      <w:r w:rsidRPr="00F87280">
        <w:rPr>
          <w:i/>
          <w:iCs/>
          <w:u w:val="single"/>
        </w:rPr>
        <w:t>Показания к назначению противогрибковых препаратов</w:t>
      </w:r>
    </w:p>
    <w:p w14:paraId="4305F44A" w14:textId="77777777" w:rsidR="00875B79" w:rsidRPr="00DA2BC8" w:rsidRDefault="00875B79" w:rsidP="00875B79">
      <w:pPr>
        <w:widowControl w:val="0"/>
        <w:autoSpaceDE w:val="0"/>
        <w:autoSpaceDN w:val="0"/>
        <w:adjustRightInd w:val="0"/>
        <w:ind w:right="50"/>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5679A25C" w14:textId="77777777" w:rsidR="00875B79" w:rsidRPr="00F87280" w:rsidRDefault="00875B79" w:rsidP="00875B79">
      <w:pPr>
        <w:widowControl w:val="0"/>
        <w:autoSpaceDE w:val="0"/>
        <w:autoSpaceDN w:val="0"/>
        <w:adjustRightInd w:val="0"/>
        <w:ind w:right="50"/>
        <w:contextualSpacing/>
        <w:rPr>
          <w:i/>
          <w:iCs/>
          <w:u w:val="single"/>
        </w:rPr>
      </w:pPr>
      <w:r w:rsidRPr="00F87280">
        <w:rPr>
          <w:i/>
          <w:iCs/>
          <w:u w:val="single"/>
        </w:rPr>
        <w:t>Лечение</w:t>
      </w:r>
    </w:p>
    <w:p w14:paraId="13567758" w14:textId="77777777" w:rsidR="00875B79" w:rsidRPr="00DA2BC8" w:rsidRDefault="00875B79" w:rsidP="00875B79">
      <w:pPr>
        <w:widowControl w:val="0"/>
        <w:autoSpaceDE w:val="0"/>
        <w:autoSpaceDN w:val="0"/>
        <w:adjustRightInd w:val="0"/>
        <w:ind w:right="50"/>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772D2F3A" w14:textId="77777777" w:rsidR="00875B79" w:rsidRPr="00DA2BC8" w:rsidRDefault="00875B79" w:rsidP="00875B79">
      <w:pPr>
        <w:widowControl w:val="0"/>
        <w:autoSpaceDE w:val="0"/>
        <w:autoSpaceDN w:val="0"/>
        <w:adjustRightInd w:val="0"/>
        <w:ind w:right="50"/>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1B79B01F" w14:textId="77777777" w:rsidR="00875B79" w:rsidRPr="0014445B" w:rsidRDefault="00875B79" w:rsidP="00875B79">
      <w:pPr>
        <w:widowControl w:val="0"/>
        <w:autoSpaceDE w:val="0"/>
        <w:autoSpaceDN w:val="0"/>
        <w:adjustRightInd w:val="0"/>
        <w:ind w:right="50"/>
        <w:contextualSpacing/>
        <w:rPr>
          <w:b/>
          <w:bCs/>
        </w:rPr>
      </w:pPr>
      <w:r w:rsidRPr="0014445B">
        <w:rPr>
          <w:b/>
          <w:bCs/>
        </w:rPr>
        <w:t>Инвазивный кандидоз</w:t>
      </w:r>
    </w:p>
    <w:p w14:paraId="2666460B" w14:textId="77777777" w:rsidR="00875B79" w:rsidRPr="00DA2BC8" w:rsidRDefault="00875B79" w:rsidP="00875B79">
      <w:pPr>
        <w:widowControl w:val="0"/>
        <w:autoSpaceDE w:val="0"/>
        <w:autoSpaceDN w:val="0"/>
        <w:adjustRightInd w:val="0"/>
        <w:ind w:right="50"/>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3C99D0FD" w14:textId="77777777" w:rsidR="00875B79" w:rsidRPr="00F87280" w:rsidRDefault="00875B79" w:rsidP="00875B79">
      <w:pPr>
        <w:widowControl w:val="0"/>
        <w:autoSpaceDE w:val="0"/>
        <w:autoSpaceDN w:val="0"/>
        <w:adjustRightInd w:val="0"/>
        <w:ind w:right="50"/>
        <w:contextualSpacing/>
        <w:rPr>
          <w:i/>
          <w:iCs/>
          <w:u w:val="single"/>
        </w:rPr>
      </w:pPr>
      <w:r w:rsidRPr="00F87280">
        <w:rPr>
          <w:i/>
          <w:iCs/>
          <w:u w:val="single"/>
        </w:rPr>
        <w:t>Возбудители</w:t>
      </w:r>
    </w:p>
    <w:p w14:paraId="73F34E34" w14:textId="77777777" w:rsidR="00875B79" w:rsidRPr="005D3BBD" w:rsidRDefault="00875B79" w:rsidP="00875B79">
      <w:pPr>
        <w:widowControl w:val="0"/>
        <w:autoSpaceDE w:val="0"/>
        <w:autoSpaceDN w:val="0"/>
        <w:adjustRightInd w:val="0"/>
        <w:ind w:right="50"/>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14:paraId="580C07FE" w14:textId="77777777" w:rsidR="00875B79" w:rsidRPr="00F87280" w:rsidRDefault="00875B79" w:rsidP="00875B79">
      <w:pPr>
        <w:widowControl w:val="0"/>
        <w:autoSpaceDE w:val="0"/>
        <w:autoSpaceDN w:val="0"/>
        <w:adjustRightInd w:val="0"/>
        <w:ind w:right="50"/>
        <w:contextualSpacing/>
        <w:rPr>
          <w:i/>
          <w:iCs/>
          <w:u w:val="single"/>
        </w:rPr>
      </w:pPr>
      <w:r w:rsidRPr="00F87280">
        <w:rPr>
          <w:i/>
          <w:iCs/>
          <w:u w:val="single"/>
        </w:rPr>
        <w:t>Факторы риска</w:t>
      </w:r>
    </w:p>
    <w:p w14:paraId="609B72B7" w14:textId="77777777" w:rsidR="00875B79" w:rsidRPr="00DA2BC8" w:rsidRDefault="00875B79" w:rsidP="00875B79">
      <w:pPr>
        <w:widowControl w:val="0"/>
        <w:autoSpaceDE w:val="0"/>
        <w:autoSpaceDN w:val="0"/>
        <w:adjustRightInd w:val="0"/>
        <w:ind w:right="50"/>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468CAF58" w14:textId="77777777" w:rsidR="00875B79" w:rsidRPr="00F87280" w:rsidRDefault="00875B79" w:rsidP="00875B79">
      <w:pPr>
        <w:widowControl w:val="0"/>
        <w:autoSpaceDE w:val="0"/>
        <w:autoSpaceDN w:val="0"/>
        <w:adjustRightInd w:val="0"/>
        <w:ind w:right="50"/>
        <w:contextualSpacing/>
        <w:rPr>
          <w:i/>
          <w:iCs/>
        </w:rPr>
      </w:pPr>
      <w:r w:rsidRPr="00F87280">
        <w:rPr>
          <w:i/>
          <w:iCs/>
          <w:u w:val="single"/>
        </w:rPr>
        <w:t>Симптомы инфекции</w:t>
      </w:r>
    </w:p>
    <w:p w14:paraId="1E2FAD25" w14:textId="77777777" w:rsidR="00875B79" w:rsidRPr="00DA2BC8" w:rsidRDefault="00875B79" w:rsidP="00875B79">
      <w:pPr>
        <w:widowControl w:val="0"/>
        <w:autoSpaceDE w:val="0"/>
        <w:autoSpaceDN w:val="0"/>
        <w:adjustRightInd w:val="0"/>
        <w:ind w:right="50"/>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261226AE" w14:textId="77777777" w:rsidR="00875B79" w:rsidRPr="00F87280" w:rsidRDefault="00875B79" w:rsidP="00875B79">
      <w:pPr>
        <w:widowControl w:val="0"/>
        <w:autoSpaceDE w:val="0"/>
        <w:autoSpaceDN w:val="0"/>
        <w:adjustRightInd w:val="0"/>
        <w:ind w:right="50"/>
        <w:contextualSpacing/>
        <w:rPr>
          <w:i/>
          <w:iCs/>
        </w:rPr>
      </w:pPr>
      <w:r w:rsidRPr="00F87280">
        <w:rPr>
          <w:i/>
          <w:iCs/>
          <w:u w:val="single"/>
        </w:rPr>
        <w:t>Диагностика</w:t>
      </w:r>
    </w:p>
    <w:p w14:paraId="2162AA91" w14:textId="77777777" w:rsidR="00875B79" w:rsidRPr="00DA2BC8" w:rsidRDefault="00875B79" w:rsidP="00875B79">
      <w:pPr>
        <w:widowControl w:val="0"/>
        <w:autoSpaceDE w:val="0"/>
        <w:autoSpaceDN w:val="0"/>
        <w:adjustRightInd w:val="0"/>
        <w:ind w:right="50"/>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61364FD8" w14:textId="77777777" w:rsidR="00875B79" w:rsidRPr="00DA2BC8" w:rsidRDefault="00875B79" w:rsidP="00875B79">
      <w:pPr>
        <w:widowControl w:val="0"/>
        <w:autoSpaceDE w:val="0"/>
        <w:autoSpaceDN w:val="0"/>
        <w:adjustRightInd w:val="0"/>
        <w:ind w:right="50"/>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7BA20322" w14:textId="77777777" w:rsidR="00875B79" w:rsidRPr="00DA2BC8" w:rsidRDefault="00875B79" w:rsidP="00875B79">
      <w:pPr>
        <w:widowControl w:val="0"/>
        <w:autoSpaceDE w:val="0"/>
        <w:autoSpaceDN w:val="0"/>
        <w:adjustRightInd w:val="0"/>
        <w:ind w:right="50"/>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115F1E40" w14:textId="77777777" w:rsidR="00875B79" w:rsidRPr="00DA2BC8" w:rsidRDefault="00875B79" w:rsidP="00875B79">
      <w:pPr>
        <w:widowControl w:val="0"/>
        <w:autoSpaceDE w:val="0"/>
        <w:autoSpaceDN w:val="0"/>
        <w:adjustRightInd w:val="0"/>
        <w:ind w:right="50"/>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09182A23" w14:textId="77777777" w:rsidR="00875B79" w:rsidRPr="00F87280" w:rsidRDefault="00875B79" w:rsidP="00875B79">
      <w:pPr>
        <w:widowControl w:val="0"/>
        <w:autoSpaceDE w:val="0"/>
        <w:autoSpaceDN w:val="0"/>
        <w:adjustRightInd w:val="0"/>
        <w:ind w:right="50"/>
        <w:contextualSpacing/>
        <w:rPr>
          <w:bCs/>
          <w:i/>
          <w:iCs/>
          <w:u w:val="single"/>
        </w:rPr>
      </w:pPr>
      <w:r w:rsidRPr="00F87280">
        <w:rPr>
          <w:bCs/>
          <w:i/>
          <w:iCs/>
          <w:u w:val="single"/>
        </w:rPr>
        <w:t>Лечение</w:t>
      </w:r>
    </w:p>
    <w:p w14:paraId="7F152C9F" w14:textId="77777777" w:rsidR="00875B79" w:rsidRDefault="00875B79" w:rsidP="00875B79">
      <w:pPr>
        <w:widowControl w:val="0"/>
        <w:autoSpaceDE w:val="0"/>
        <w:autoSpaceDN w:val="0"/>
        <w:adjustRightInd w:val="0"/>
        <w:ind w:right="50"/>
        <w:contextualSpacing/>
        <w:rPr>
          <w:bCs/>
        </w:rPr>
      </w:pPr>
      <w:r w:rsidRPr="00DA2BC8">
        <w:rPr>
          <w:bCs/>
        </w:rPr>
        <w:t>Основными принципами лечения кандидемии (инвазивного кандидоза) являются</w:t>
      </w:r>
      <w:r>
        <w:rPr>
          <w:bCs/>
        </w:rPr>
        <w:t>:</w:t>
      </w:r>
    </w:p>
    <w:p w14:paraId="6A5DBA88" w14:textId="77777777" w:rsidR="00875B79" w:rsidRDefault="00875B79" w:rsidP="000768AC">
      <w:pPr>
        <w:pStyle w:val="afe"/>
        <w:widowControl w:val="0"/>
        <w:numPr>
          <w:ilvl w:val="0"/>
          <w:numId w:val="70"/>
        </w:numPr>
        <w:autoSpaceDE w:val="0"/>
        <w:autoSpaceDN w:val="0"/>
        <w:adjustRightInd w:val="0"/>
        <w:ind w:right="50"/>
        <w:rPr>
          <w:bCs/>
        </w:rPr>
      </w:pPr>
      <w:r w:rsidRPr="007531B6">
        <w:t>назначение эффективного противогрибкового препарата;</w:t>
      </w:r>
      <w:r w:rsidRPr="007531B6">
        <w:rPr>
          <w:bCs/>
        </w:rPr>
        <w:t xml:space="preserve"> </w:t>
      </w:r>
    </w:p>
    <w:p w14:paraId="28C9ED77" w14:textId="77777777" w:rsidR="00875B79" w:rsidRDefault="00875B79" w:rsidP="000768AC">
      <w:pPr>
        <w:pStyle w:val="afe"/>
        <w:widowControl w:val="0"/>
        <w:numPr>
          <w:ilvl w:val="0"/>
          <w:numId w:val="70"/>
        </w:numPr>
        <w:autoSpaceDE w:val="0"/>
        <w:autoSpaceDN w:val="0"/>
        <w:adjustRightInd w:val="0"/>
        <w:ind w:right="50"/>
        <w:rPr>
          <w:bCs/>
        </w:rPr>
      </w:pPr>
      <w:r w:rsidRPr="007531B6">
        <w:t>удаление сосудистого катетера;</w:t>
      </w:r>
      <w:r w:rsidRPr="007531B6">
        <w:rPr>
          <w:bCs/>
        </w:rPr>
        <w:t xml:space="preserve"> </w:t>
      </w:r>
    </w:p>
    <w:p w14:paraId="65A7C3F2" w14:textId="77777777" w:rsidR="00875B79" w:rsidRPr="007531B6" w:rsidRDefault="00875B79" w:rsidP="000768AC">
      <w:pPr>
        <w:pStyle w:val="afe"/>
        <w:widowControl w:val="0"/>
        <w:numPr>
          <w:ilvl w:val="0"/>
          <w:numId w:val="70"/>
        </w:numPr>
        <w:autoSpaceDE w:val="0"/>
        <w:autoSpaceDN w:val="0"/>
        <w:adjustRightInd w:val="0"/>
        <w:ind w:right="50"/>
        <w:rPr>
          <w:bCs/>
        </w:rPr>
      </w:pPr>
      <w:r w:rsidRPr="007531B6">
        <w:t xml:space="preserve">устранение или уменьшение факторов риска, приведших к развитию кандидемии. </w:t>
      </w:r>
    </w:p>
    <w:p w14:paraId="70151352" w14:textId="77777777" w:rsidR="00875B79" w:rsidRPr="00DA2BC8" w:rsidRDefault="00875B79" w:rsidP="00875B79">
      <w:pPr>
        <w:widowControl w:val="0"/>
        <w:autoSpaceDE w:val="0"/>
        <w:autoSpaceDN w:val="0"/>
        <w:adjustRightInd w:val="0"/>
        <w:ind w:right="50"/>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14:paraId="73932D04" w14:textId="41C5A34B" w:rsidR="00875B79" w:rsidRPr="00DA2BC8" w:rsidRDefault="00875B79" w:rsidP="00875B79">
      <w:pPr>
        <w:widowControl w:val="0"/>
        <w:autoSpaceDE w:val="0"/>
        <w:autoSpaceDN w:val="0"/>
        <w:adjustRightInd w:val="0"/>
        <w:ind w:right="50"/>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Pr>
          <w:iCs/>
        </w:rPr>
        <w:t xml:space="preserve"> </w:t>
      </w:r>
      <w:r>
        <w:rPr>
          <w:iCs/>
        </w:rPr>
        <w:fldChar w:fldCharType="begin" w:fldLock="1"/>
      </w:r>
      <w:r w:rsidR="00FE0F01">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[67]","plainTextFormattedCitation":"[67]","previouslyFormattedCitation":"[67]"},"properties":{"noteIndex":0},"schema":"https://github.com/citation-style-language/schema/raw/master/csl-citation.json"}</w:instrText>
      </w:r>
      <w:r>
        <w:rPr>
          <w:iCs/>
        </w:rPr>
        <w:fldChar w:fldCharType="separate"/>
      </w:r>
      <w:r w:rsidRPr="00875B79">
        <w:rPr>
          <w:iCs/>
          <w:noProof/>
        </w:rPr>
        <w:t>[67]</w:t>
      </w:r>
      <w:r>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7032F8F2" w14:textId="77777777" w:rsidR="00875B79" w:rsidRPr="00DA2BC8" w:rsidRDefault="00875B79" w:rsidP="00875B79">
      <w:pPr>
        <w:widowControl w:val="0"/>
        <w:autoSpaceDE w:val="0"/>
        <w:autoSpaceDN w:val="0"/>
        <w:adjustRightInd w:val="0"/>
        <w:ind w:right="50"/>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6E855DEA" w14:textId="77777777" w:rsidR="00875B79" w:rsidRPr="00CB7689" w:rsidRDefault="00875B79" w:rsidP="00875B79">
      <w:pPr>
        <w:widowControl w:val="0"/>
        <w:autoSpaceDE w:val="0"/>
        <w:autoSpaceDN w:val="0"/>
        <w:adjustRightInd w:val="0"/>
        <w:ind w:right="50"/>
        <w:contextualSpacing/>
        <w:rPr>
          <w:i/>
          <w:iCs/>
          <w:u w:val="single"/>
        </w:rPr>
      </w:pPr>
      <w:r w:rsidRPr="00CB7689">
        <w:rPr>
          <w:i/>
          <w:iCs/>
          <w:u w:val="single"/>
        </w:rPr>
        <w:t>Длительность лечения</w:t>
      </w:r>
    </w:p>
    <w:p w14:paraId="0D70B98B" w14:textId="77777777" w:rsidR="00875B79" w:rsidRPr="00DA2BC8" w:rsidRDefault="00875B79" w:rsidP="00875B79">
      <w:pPr>
        <w:widowControl w:val="0"/>
        <w:autoSpaceDE w:val="0"/>
        <w:autoSpaceDN w:val="0"/>
        <w:adjustRightInd w:val="0"/>
        <w:ind w:right="50"/>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14:paraId="388AD3C0" w14:textId="77777777" w:rsidR="00875B79" w:rsidRPr="00DA2BC8" w:rsidRDefault="00875B79" w:rsidP="00875B79">
      <w:pPr>
        <w:widowControl w:val="0"/>
        <w:autoSpaceDE w:val="0"/>
        <w:autoSpaceDN w:val="0"/>
        <w:adjustRightInd w:val="0"/>
        <w:ind w:right="50"/>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40EA46D0" w14:textId="77777777" w:rsidR="00875B79" w:rsidRPr="0014445B" w:rsidRDefault="00875B79" w:rsidP="00875B79">
      <w:pPr>
        <w:widowControl w:val="0"/>
        <w:autoSpaceDE w:val="0"/>
        <w:autoSpaceDN w:val="0"/>
        <w:adjustRightInd w:val="0"/>
        <w:ind w:right="50"/>
        <w:contextualSpacing/>
        <w:rPr>
          <w:b/>
          <w:bCs/>
        </w:rPr>
      </w:pPr>
      <w:r w:rsidRPr="0014445B">
        <w:rPr>
          <w:b/>
          <w:bCs/>
        </w:rPr>
        <w:t>Хронический диссеминированный (гепатолиенальный) кандидоз</w:t>
      </w:r>
    </w:p>
    <w:p w14:paraId="76AB8023" w14:textId="77777777" w:rsidR="00875B79" w:rsidRPr="00CB7689" w:rsidRDefault="00875B79" w:rsidP="00875B79">
      <w:pPr>
        <w:widowControl w:val="0"/>
        <w:autoSpaceDE w:val="0"/>
        <w:autoSpaceDN w:val="0"/>
        <w:adjustRightInd w:val="0"/>
        <w:ind w:right="50"/>
        <w:contextualSpacing/>
        <w:rPr>
          <w:i/>
          <w:iCs/>
        </w:rPr>
      </w:pPr>
      <w:r w:rsidRPr="00CB7689">
        <w:rPr>
          <w:i/>
          <w:iCs/>
          <w:u w:val="single"/>
        </w:rPr>
        <w:t>Симптомы</w:t>
      </w:r>
    </w:p>
    <w:p w14:paraId="2C5FB21B" w14:textId="77777777" w:rsidR="00875B79" w:rsidRPr="00DA2BC8" w:rsidRDefault="00875B79" w:rsidP="00875B79">
      <w:pPr>
        <w:widowControl w:val="0"/>
        <w:autoSpaceDE w:val="0"/>
        <w:autoSpaceDN w:val="0"/>
        <w:adjustRightInd w:val="0"/>
        <w:ind w:right="50"/>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14:paraId="6E408528" w14:textId="77777777" w:rsidR="00875B79" w:rsidRPr="00CB7689" w:rsidRDefault="00875B79" w:rsidP="00875B79">
      <w:pPr>
        <w:widowControl w:val="0"/>
        <w:autoSpaceDE w:val="0"/>
        <w:autoSpaceDN w:val="0"/>
        <w:adjustRightInd w:val="0"/>
        <w:ind w:right="50"/>
        <w:contextualSpacing/>
        <w:rPr>
          <w:i/>
          <w:iCs/>
        </w:rPr>
      </w:pPr>
      <w:r w:rsidRPr="00CB7689">
        <w:rPr>
          <w:i/>
          <w:iCs/>
          <w:u w:val="single"/>
        </w:rPr>
        <w:t>Диагностика</w:t>
      </w:r>
    </w:p>
    <w:p w14:paraId="3C413715" w14:textId="77777777" w:rsidR="00875B79" w:rsidRPr="00DA2BC8" w:rsidRDefault="00875B79" w:rsidP="00875B79">
      <w:pPr>
        <w:widowControl w:val="0"/>
        <w:autoSpaceDE w:val="0"/>
        <w:autoSpaceDN w:val="0"/>
        <w:adjustRightInd w:val="0"/>
        <w:ind w:right="50"/>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2CEAFBAB" w14:textId="77777777" w:rsidR="00875B79" w:rsidRPr="00DA2BC8" w:rsidRDefault="00875B79" w:rsidP="00875B79">
      <w:pPr>
        <w:widowControl w:val="0"/>
        <w:autoSpaceDE w:val="0"/>
        <w:autoSpaceDN w:val="0"/>
        <w:adjustRightInd w:val="0"/>
        <w:ind w:right="50"/>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4DC59D32" w14:textId="77777777" w:rsidR="00875B79" w:rsidRPr="00DA2BC8" w:rsidRDefault="00875B79" w:rsidP="00875B79">
      <w:pPr>
        <w:widowControl w:val="0"/>
        <w:autoSpaceDE w:val="0"/>
        <w:autoSpaceDN w:val="0"/>
        <w:adjustRightInd w:val="0"/>
        <w:ind w:right="50"/>
        <w:contextualSpacing/>
      </w:pPr>
      <w:r w:rsidRPr="00CB7689">
        <w:rPr>
          <w:i/>
          <w:i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312C6B58" w14:textId="77777777" w:rsidR="00875B79" w:rsidRPr="00DA2BC8" w:rsidRDefault="00875B79" w:rsidP="00875B79">
      <w:pPr>
        <w:widowControl w:val="0"/>
        <w:autoSpaceDE w:val="0"/>
        <w:autoSpaceDN w:val="0"/>
        <w:adjustRightInd w:val="0"/>
        <w:ind w:right="50"/>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101EE331" w14:textId="77777777" w:rsidR="00875B79" w:rsidRPr="0014445B" w:rsidRDefault="00875B79" w:rsidP="00875B79">
      <w:pPr>
        <w:widowControl w:val="0"/>
        <w:autoSpaceDE w:val="0"/>
        <w:autoSpaceDN w:val="0"/>
        <w:adjustRightInd w:val="0"/>
        <w:ind w:right="50"/>
        <w:contextualSpacing/>
        <w:rPr>
          <w:b/>
          <w:bCs/>
        </w:rPr>
      </w:pPr>
      <w:r w:rsidRPr="0014445B">
        <w:rPr>
          <w:b/>
          <w:bCs/>
        </w:rPr>
        <w:t>Инвазивный кандидоз центральной нервной системы (ЦНС)</w:t>
      </w:r>
    </w:p>
    <w:p w14:paraId="0BFE8893" w14:textId="77777777" w:rsidR="00875B79" w:rsidRPr="00DA2BC8" w:rsidRDefault="00875B79" w:rsidP="00875B79">
      <w:pPr>
        <w:widowControl w:val="0"/>
        <w:autoSpaceDE w:val="0"/>
        <w:autoSpaceDN w:val="0"/>
        <w:adjustRightInd w:val="0"/>
        <w:ind w:right="50"/>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3ECA249A" w14:textId="77777777" w:rsidR="00875B79" w:rsidRPr="00DA2BC8" w:rsidRDefault="00875B79" w:rsidP="00875B79">
      <w:pPr>
        <w:widowControl w:val="0"/>
        <w:autoSpaceDE w:val="0"/>
        <w:autoSpaceDN w:val="0"/>
        <w:adjustRightInd w:val="0"/>
        <w:ind w:right="50"/>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6BEB006F" w14:textId="77777777" w:rsidR="00875B79" w:rsidRPr="00CB7689" w:rsidRDefault="00875B79" w:rsidP="00875B79">
      <w:pPr>
        <w:widowControl w:val="0"/>
        <w:autoSpaceDE w:val="0"/>
        <w:autoSpaceDN w:val="0"/>
        <w:adjustRightInd w:val="0"/>
        <w:ind w:right="50"/>
        <w:contextualSpacing/>
        <w:rPr>
          <w:i/>
          <w:iCs/>
        </w:rPr>
      </w:pPr>
      <w:r w:rsidRPr="00CB7689">
        <w:rPr>
          <w:i/>
          <w:iCs/>
          <w:u w:val="single"/>
        </w:rPr>
        <w:t>Диагностика</w:t>
      </w:r>
    </w:p>
    <w:p w14:paraId="317C9005" w14:textId="77777777" w:rsidR="00875B79" w:rsidRPr="00DA2BC8" w:rsidRDefault="00875B79" w:rsidP="00875B79">
      <w:pPr>
        <w:widowControl w:val="0"/>
        <w:autoSpaceDE w:val="0"/>
        <w:autoSpaceDN w:val="0"/>
        <w:adjustRightInd w:val="0"/>
        <w:ind w:right="50"/>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12ADE6A9" w14:textId="77777777" w:rsidR="00875B79" w:rsidRPr="00CB7689" w:rsidRDefault="00875B79" w:rsidP="00875B79">
      <w:pPr>
        <w:widowControl w:val="0"/>
        <w:tabs>
          <w:tab w:val="left" w:pos="-90"/>
        </w:tabs>
        <w:autoSpaceDE w:val="0"/>
        <w:autoSpaceDN w:val="0"/>
        <w:adjustRightInd w:val="0"/>
        <w:ind w:right="50"/>
        <w:contextualSpacing/>
        <w:rPr>
          <w:i/>
          <w:iCs/>
          <w:u w:val="single"/>
        </w:rPr>
      </w:pPr>
      <w:r w:rsidRPr="00CB7689">
        <w:rPr>
          <w:i/>
          <w:iCs/>
          <w:u w:val="single"/>
        </w:rPr>
        <w:t>Лечение</w:t>
      </w:r>
    </w:p>
    <w:p w14:paraId="3476A8E1" w14:textId="77777777" w:rsidR="00875B79" w:rsidRPr="00DA2BC8" w:rsidRDefault="00875B79" w:rsidP="00875B79">
      <w:pPr>
        <w:widowControl w:val="0"/>
        <w:tabs>
          <w:tab w:val="left" w:pos="-90"/>
        </w:tabs>
        <w:autoSpaceDE w:val="0"/>
        <w:autoSpaceDN w:val="0"/>
        <w:adjustRightInd w:val="0"/>
        <w:ind w:right="50"/>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47397E27" w14:textId="77777777" w:rsidR="00875B79" w:rsidRPr="00DA2BC8" w:rsidRDefault="00875B79" w:rsidP="00875B79">
      <w:pPr>
        <w:widowControl w:val="0"/>
        <w:tabs>
          <w:tab w:val="left" w:pos="-90"/>
        </w:tabs>
        <w:autoSpaceDE w:val="0"/>
        <w:autoSpaceDN w:val="0"/>
        <w:adjustRightInd w:val="0"/>
        <w:ind w:right="50"/>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03A983C6" w14:textId="77777777" w:rsidR="00875B79" w:rsidRPr="00CB7689" w:rsidRDefault="00875B79" w:rsidP="00875B79">
      <w:pPr>
        <w:widowControl w:val="0"/>
        <w:autoSpaceDE w:val="0"/>
        <w:autoSpaceDN w:val="0"/>
        <w:adjustRightInd w:val="0"/>
        <w:ind w:right="50"/>
        <w:contextualSpacing/>
        <w:rPr>
          <w:i/>
          <w:iCs/>
          <w:u w:val="single"/>
        </w:rPr>
      </w:pPr>
      <w:r w:rsidRPr="00CB7689">
        <w:rPr>
          <w:i/>
          <w:iCs/>
          <w:u w:val="single"/>
        </w:rPr>
        <w:t>Длительность лечения</w:t>
      </w:r>
    </w:p>
    <w:p w14:paraId="19310219" w14:textId="77777777" w:rsidR="00875B79" w:rsidRPr="00DA2BC8" w:rsidRDefault="00875B79" w:rsidP="00875B79">
      <w:pPr>
        <w:widowControl w:val="0"/>
        <w:autoSpaceDE w:val="0"/>
        <w:autoSpaceDN w:val="0"/>
        <w:adjustRightInd w:val="0"/>
        <w:ind w:right="50"/>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082A3148" w14:textId="77777777" w:rsidR="00875B79" w:rsidRPr="00444F93" w:rsidRDefault="00875B79" w:rsidP="00875B79">
      <w:pPr>
        <w:widowControl w:val="0"/>
        <w:autoSpaceDE w:val="0"/>
        <w:autoSpaceDN w:val="0"/>
        <w:adjustRightInd w:val="0"/>
        <w:ind w:right="50"/>
        <w:contextualSpacing/>
        <w:rPr>
          <w:b/>
          <w:bCs/>
        </w:rPr>
      </w:pPr>
      <w:r w:rsidRPr="00444F93">
        <w:rPr>
          <w:b/>
          <w:bCs/>
        </w:rPr>
        <w:t>Кандидозный эндофтальмит</w:t>
      </w:r>
    </w:p>
    <w:p w14:paraId="55B15379" w14:textId="77777777" w:rsidR="00875B79" w:rsidRDefault="00875B79" w:rsidP="00875B79">
      <w:pPr>
        <w:widowControl w:val="0"/>
        <w:autoSpaceDE w:val="0"/>
        <w:autoSpaceDN w:val="0"/>
        <w:adjustRightInd w:val="0"/>
        <w:ind w:right="50"/>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0EDC2B44" w14:textId="77777777" w:rsidR="00875B79" w:rsidRPr="00DA2BC8" w:rsidRDefault="00875B79" w:rsidP="00875B79">
      <w:pPr>
        <w:widowControl w:val="0"/>
        <w:autoSpaceDE w:val="0"/>
        <w:autoSpaceDN w:val="0"/>
        <w:adjustRightInd w:val="0"/>
        <w:ind w:right="50"/>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2F748F2B" w14:textId="77777777" w:rsidR="00875B79" w:rsidRPr="00444F93" w:rsidRDefault="00875B79" w:rsidP="00875B79">
      <w:pPr>
        <w:widowControl w:val="0"/>
        <w:autoSpaceDE w:val="0"/>
        <w:autoSpaceDN w:val="0"/>
        <w:adjustRightInd w:val="0"/>
        <w:ind w:right="51"/>
        <w:contextualSpacing/>
        <w:rPr>
          <w:b/>
          <w:bCs/>
        </w:rPr>
      </w:pPr>
      <w:r w:rsidRPr="00444F93">
        <w:rPr>
          <w:b/>
          <w:bCs/>
        </w:rPr>
        <w:t>Кандидозный эндокардит, перикардит, миокардит, тромбофлебит</w:t>
      </w:r>
    </w:p>
    <w:p w14:paraId="25A538B1" w14:textId="77777777" w:rsidR="00875B79" w:rsidRPr="00DA2BC8" w:rsidRDefault="00875B79" w:rsidP="00875B79">
      <w:pPr>
        <w:widowControl w:val="0"/>
        <w:tabs>
          <w:tab w:val="left" w:pos="-90"/>
        </w:tabs>
        <w:autoSpaceDE w:val="0"/>
        <w:autoSpaceDN w:val="0"/>
        <w:adjustRightInd w:val="0"/>
        <w:ind w:left="90" w:right="51"/>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14:paraId="4E7CB07F" w14:textId="77777777" w:rsidR="00875B79" w:rsidRPr="00444F93" w:rsidRDefault="00875B79" w:rsidP="00875B79">
      <w:pPr>
        <w:widowControl w:val="0"/>
        <w:autoSpaceDE w:val="0"/>
        <w:autoSpaceDN w:val="0"/>
        <w:adjustRightInd w:val="0"/>
        <w:ind w:right="51"/>
        <w:contextualSpacing/>
        <w:rPr>
          <w:b/>
          <w:bCs/>
        </w:rPr>
      </w:pPr>
      <w:r w:rsidRPr="00444F93">
        <w:rPr>
          <w:b/>
          <w:bCs/>
        </w:rPr>
        <w:t>Кандидоз мочевыводящих путей</w:t>
      </w:r>
    </w:p>
    <w:p w14:paraId="208BDBF2" w14:textId="77777777" w:rsidR="00875B79" w:rsidRPr="00DA2BC8" w:rsidRDefault="00875B79" w:rsidP="00875B79">
      <w:pPr>
        <w:widowControl w:val="0"/>
        <w:autoSpaceDE w:val="0"/>
        <w:autoSpaceDN w:val="0"/>
        <w:adjustRightInd w:val="0"/>
        <w:ind w:right="51"/>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3081844B" w14:textId="77777777" w:rsidR="00875B79" w:rsidRDefault="00875B79" w:rsidP="00875B79">
      <w:pPr>
        <w:widowControl w:val="0"/>
        <w:autoSpaceDE w:val="0"/>
        <w:autoSpaceDN w:val="0"/>
        <w:adjustRightInd w:val="0"/>
        <w:ind w:right="51"/>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приводит к прекращению выделения кандид из мочи. </w:t>
      </w:r>
    </w:p>
    <w:p w14:paraId="73BCFF9E" w14:textId="77777777" w:rsidR="00875B79" w:rsidRPr="00DA2BC8" w:rsidRDefault="00875B79" w:rsidP="00875B79">
      <w:pPr>
        <w:widowControl w:val="0"/>
        <w:autoSpaceDE w:val="0"/>
        <w:autoSpaceDN w:val="0"/>
        <w:adjustRightInd w:val="0"/>
        <w:ind w:right="51"/>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34A75074" w14:textId="77777777" w:rsidR="00875B79" w:rsidRDefault="00875B79" w:rsidP="00875B79">
      <w:pPr>
        <w:widowControl w:val="0"/>
        <w:autoSpaceDE w:val="0"/>
        <w:autoSpaceDN w:val="0"/>
        <w:adjustRightInd w:val="0"/>
        <w:ind w:right="51"/>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14:paraId="11C635F4" w14:textId="77777777" w:rsidR="00875B79" w:rsidRPr="00DA2BC8" w:rsidRDefault="00875B79" w:rsidP="00875B79">
      <w:pPr>
        <w:widowControl w:val="0"/>
        <w:autoSpaceDE w:val="0"/>
        <w:autoSpaceDN w:val="0"/>
        <w:adjustRightInd w:val="0"/>
        <w:ind w:right="51"/>
        <w:contextualSpacing/>
      </w:pPr>
    </w:p>
    <w:p w14:paraId="7C1093E0" w14:textId="4AA39511" w:rsidR="00875B79" w:rsidRPr="00084B8B" w:rsidRDefault="00875B79" w:rsidP="00875B79">
      <w:pPr>
        <w:widowControl w:val="0"/>
        <w:autoSpaceDE w:val="0"/>
        <w:autoSpaceDN w:val="0"/>
        <w:adjustRightInd w:val="0"/>
        <w:ind w:right="49"/>
        <w:contextualSpacing/>
        <w:rPr>
          <w:bCs/>
          <w:u w:val="single"/>
        </w:rPr>
      </w:pPr>
      <w:r w:rsidRPr="00CB7689">
        <w:rPr>
          <w:bCs/>
          <w:u w:val="single"/>
        </w:rPr>
        <w:t>Диагностика и лечение криптококкоза</w:t>
      </w:r>
      <w:r w:rsidRPr="00144984">
        <w:rPr>
          <w:bCs/>
          <w:u w:val="single"/>
        </w:rPr>
        <w:t xml:space="preserve">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[58,59,65]","plainTextFormattedCitation":"[58,59,65]","previouslyFormattedCitation":"[58,59,65]"},"properties":{"noteIndex":0},"schema":"https://github.com/citation-style-language/schema/raw/master/csl-citation.json"}</w:instrText>
      </w:r>
      <w:r>
        <w:rPr>
          <w:b/>
        </w:rPr>
        <w:fldChar w:fldCharType="separate"/>
      </w:r>
      <w:r w:rsidRPr="00875B79">
        <w:rPr>
          <w:noProof/>
        </w:rPr>
        <w:t>[58,59,65]</w:t>
      </w:r>
      <w:r>
        <w:rPr>
          <w:b/>
        </w:rPr>
        <w:fldChar w:fldCharType="end"/>
      </w:r>
    </w:p>
    <w:p w14:paraId="2305E818" w14:textId="77777777" w:rsidR="00875B79" w:rsidRPr="00DA2BC8" w:rsidRDefault="00875B79" w:rsidP="00875B79">
      <w:pPr>
        <w:widowControl w:val="0"/>
        <w:autoSpaceDE w:val="0"/>
        <w:autoSpaceDN w:val="0"/>
        <w:adjustRightInd w:val="0"/>
        <w:ind w:right="50"/>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14:paraId="34A5B3F7" w14:textId="77777777" w:rsidR="00875B79" w:rsidRPr="00CB7689" w:rsidRDefault="00875B79" w:rsidP="00875B79">
      <w:pPr>
        <w:widowControl w:val="0"/>
        <w:autoSpaceDE w:val="0"/>
        <w:autoSpaceDN w:val="0"/>
        <w:adjustRightInd w:val="0"/>
        <w:ind w:right="50"/>
        <w:contextualSpacing/>
        <w:rPr>
          <w:i/>
          <w:iCs/>
          <w:u w:val="single"/>
        </w:rPr>
      </w:pPr>
      <w:r w:rsidRPr="00CB7689">
        <w:rPr>
          <w:i/>
          <w:iCs/>
          <w:u w:val="single"/>
        </w:rPr>
        <w:t>Симптомы</w:t>
      </w:r>
    </w:p>
    <w:p w14:paraId="53F5DD00" w14:textId="77777777" w:rsidR="00875B79" w:rsidRPr="00DA2BC8" w:rsidRDefault="00875B79" w:rsidP="00875B79">
      <w:pPr>
        <w:widowControl w:val="0"/>
        <w:autoSpaceDE w:val="0"/>
        <w:autoSpaceDN w:val="0"/>
        <w:adjustRightInd w:val="0"/>
        <w:ind w:right="50"/>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процесса. </w:t>
      </w:r>
    </w:p>
    <w:p w14:paraId="1A2C33C7" w14:textId="77777777" w:rsidR="00875B79" w:rsidRPr="00CB7689" w:rsidRDefault="00875B79" w:rsidP="00875B79">
      <w:pPr>
        <w:widowControl w:val="0"/>
        <w:autoSpaceDE w:val="0"/>
        <w:autoSpaceDN w:val="0"/>
        <w:adjustRightInd w:val="0"/>
        <w:ind w:right="50"/>
        <w:contextualSpacing/>
        <w:rPr>
          <w:i/>
          <w:iCs/>
          <w:u w:val="single"/>
        </w:rPr>
      </w:pPr>
      <w:r w:rsidRPr="00CB7689">
        <w:rPr>
          <w:i/>
          <w:iCs/>
          <w:u w:val="single"/>
        </w:rPr>
        <w:t>Диагностика</w:t>
      </w:r>
    </w:p>
    <w:p w14:paraId="2CCB068D" w14:textId="77777777" w:rsidR="00875B79" w:rsidRPr="00C17F87" w:rsidRDefault="00875B79" w:rsidP="00875B79">
      <w:pPr>
        <w:widowControl w:val="0"/>
        <w:autoSpaceDE w:val="0"/>
        <w:autoSpaceDN w:val="0"/>
        <w:adjustRightInd w:val="0"/>
        <w:ind w:right="50"/>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14:paraId="03C71DFA" w14:textId="77777777" w:rsidR="00875B79" w:rsidRDefault="00875B79" w:rsidP="00875B79">
      <w:pPr>
        <w:widowControl w:val="0"/>
        <w:autoSpaceDE w:val="0"/>
        <w:autoSpaceDN w:val="0"/>
        <w:adjustRightInd w:val="0"/>
        <w:ind w:right="50"/>
        <w:contextualSpacing/>
      </w:pPr>
      <w:r w:rsidRPr="00DA2BC8">
        <w:t>Диагноз устанавливают на основании</w:t>
      </w:r>
      <w:r>
        <w:t>:</w:t>
      </w:r>
    </w:p>
    <w:p w14:paraId="08D5AFA1" w14:textId="77777777" w:rsidR="00875B79" w:rsidRDefault="00875B79" w:rsidP="000768AC">
      <w:pPr>
        <w:pStyle w:val="afe"/>
        <w:widowControl w:val="0"/>
        <w:numPr>
          <w:ilvl w:val="0"/>
          <w:numId w:val="71"/>
        </w:numPr>
        <w:autoSpaceDE w:val="0"/>
        <w:autoSpaceDN w:val="0"/>
        <w:adjustRightInd w:val="0"/>
        <w:ind w:right="50"/>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08BF629F" w14:textId="77777777" w:rsidR="00875B79" w:rsidRDefault="00875B79" w:rsidP="000768AC">
      <w:pPr>
        <w:pStyle w:val="afe"/>
        <w:widowControl w:val="0"/>
        <w:numPr>
          <w:ilvl w:val="0"/>
          <w:numId w:val="71"/>
        </w:numPr>
        <w:autoSpaceDE w:val="0"/>
        <w:autoSpaceDN w:val="0"/>
        <w:adjustRightInd w:val="0"/>
        <w:ind w:right="50"/>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31372AE8" w14:textId="77777777" w:rsidR="00875B79" w:rsidRPr="00444F93" w:rsidRDefault="00875B79" w:rsidP="00875B79">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14:paraId="2C75C227" w14:textId="77777777" w:rsidR="00875B79" w:rsidRPr="00CB7689" w:rsidRDefault="00875B79" w:rsidP="00875B79">
      <w:pPr>
        <w:widowControl w:val="0"/>
        <w:autoSpaceDE w:val="0"/>
        <w:autoSpaceDN w:val="0"/>
        <w:adjustRightInd w:val="0"/>
        <w:ind w:right="50"/>
        <w:contextualSpacing/>
        <w:rPr>
          <w:i/>
          <w:iCs/>
          <w:u w:val="single"/>
        </w:rPr>
      </w:pPr>
      <w:r w:rsidRPr="00CB7689">
        <w:rPr>
          <w:i/>
          <w:iCs/>
          <w:u w:val="single"/>
        </w:rPr>
        <w:t>Лечение</w:t>
      </w:r>
    </w:p>
    <w:p w14:paraId="3CA60AAA" w14:textId="77777777" w:rsidR="00875B79" w:rsidRPr="00DA2BC8" w:rsidRDefault="00875B79" w:rsidP="00875B79">
      <w:pPr>
        <w:widowControl w:val="0"/>
        <w:autoSpaceDE w:val="0"/>
        <w:autoSpaceDN w:val="0"/>
        <w:adjustRightInd w:val="0"/>
        <w:ind w:right="50"/>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48F3F3F3" w14:textId="77777777" w:rsidR="00875B79" w:rsidRDefault="00875B79" w:rsidP="00875B79">
      <w:pPr>
        <w:pStyle w:val="afe"/>
        <w:widowControl w:val="0"/>
        <w:autoSpaceDE w:val="0"/>
        <w:autoSpaceDN w:val="0"/>
        <w:adjustRightInd w:val="0"/>
        <w:ind w:left="1069" w:right="50" w:firstLine="0"/>
        <w:rPr>
          <w:b/>
          <w:bCs/>
        </w:rPr>
      </w:pPr>
    </w:p>
    <w:p w14:paraId="51E28319" w14:textId="2CDB567C" w:rsidR="00875B79" w:rsidRPr="00084B8B" w:rsidRDefault="00875B79" w:rsidP="00875B79">
      <w:pPr>
        <w:widowControl w:val="0"/>
        <w:autoSpaceDE w:val="0"/>
        <w:autoSpaceDN w:val="0"/>
        <w:adjustRightInd w:val="0"/>
        <w:ind w:right="49"/>
        <w:contextualSpacing/>
        <w:rPr>
          <w:bCs/>
          <w:u w:val="single"/>
        </w:rPr>
      </w:pPr>
      <w:r w:rsidRPr="00CB7689">
        <w:rPr>
          <w:bCs/>
          <w:u w:val="single"/>
        </w:rPr>
        <w:t>Микозы, вызванные редкими дрожжеподобными грибами</w:t>
      </w:r>
      <w:r w:rsidRPr="00084B8B">
        <w:rPr>
          <w:bCs/>
          <w:u w:val="single"/>
        </w:rPr>
        <w:t xml:space="preserve">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[58,59,65]","plainTextFormattedCitation":"[58,59,65]","previouslyFormattedCitation":"[58,59,65]"},"properties":{"noteIndex":0},"schema":"https://github.com/citation-style-language/schema/raw/master/csl-citation.json"}</w:instrText>
      </w:r>
      <w:r>
        <w:rPr>
          <w:b/>
        </w:rPr>
        <w:fldChar w:fldCharType="separate"/>
      </w:r>
      <w:r w:rsidRPr="00875B79">
        <w:rPr>
          <w:noProof/>
        </w:rPr>
        <w:t>[58,59,65]</w:t>
      </w:r>
      <w:r>
        <w:rPr>
          <w:b/>
        </w:rPr>
        <w:fldChar w:fldCharType="end"/>
      </w:r>
    </w:p>
    <w:p w14:paraId="79CC3D68" w14:textId="77777777" w:rsidR="00875B79" w:rsidRPr="00DA2BC8" w:rsidRDefault="00875B79" w:rsidP="00875B79">
      <w:pPr>
        <w:widowControl w:val="0"/>
        <w:autoSpaceDE w:val="0"/>
        <w:autoSpaceDN w:val="0"/>
        <w:adjustRightInd w:val="0"/>
        <w:ind w:right="50"/>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2B5CAB21" w14:textId="77777777" w:rsidR="00875B79" w:rsidRPr="00F26D70" w:rsidRDefault="00875B79" w:rsidP="00875B79">
      <w:pPr>
        <w:widowControl w:val="0"/>
        <w:autoSpaceDE w:val="0"/>
        <w:autoSpaceDN w:val="0"/>
        <w:adjustRightInd w:val="0"/>
        <w:ind w:right="50"/>
        <w:contextualSpacing/>
        <w:rPr>
          <w:i/>
          <w:iCs/>
          <w:lang w:val="en-US"/>
        </w:rPr>
      </w:pPr>
      <w:r w:rsidRPr="00C553B6">
        <w:rPr>
          <w:i/>
          <w:iCs/>
          <w:u w:val="single"/>
        </w:rPr>
        <w:t>Микозы</w:t>
      </w:r>
      <w:r w:rsidRPr="00F26D70">
        <w:rPr>
          <w:i/>
          <w:iCs/>
          <w:u w:val="single"/>
          <w:lang w:val="en-US"/>
        </w:rPr>
        <w:t xml:space="preserve">, </w:t>
      </w:r>
      <w:r w:rsidRPr="00C553B6">
        <w:rPr>
          <w:i/>
          <w:iCs/>
          <w:u w:val="single"/>
        </w:rPr>
        <w:t>вызванные</w:t>
      </w:r>
      <w:r w:rsidRPr="00F26D70">
        <w:rPr>
          <w:i/>
          <w:iCs/>
          <w:u w:val="single"/>
          <w:lang w:val="en-US"/>
        </w:rPr>
        <w:t xml:space="preserve"> </w:t>
      </w:r>
      <w:r w:rsidRPr="00C553B6">
        <w:rPr>
          <w:i/>
          <w:iCs/>
          <w:u w:val="single"/>
          <w:lang w:val="en-US"/>
        </w:rPr>
        <w:t>Saprochaete</w:t>
      </w:r>
      <w:r w:rsidRPr="00F26D70">
        <w:rPr>
          <w:i/>
          <w:iCs/>
          <w:u w:val="single"/>
          <w:lang w:val="en-US"/>
        </w:rPr>
        <w:t xml:space="preserve"> </w:t>
      </w:r>
      <w:r w:rsidRPr="00C553B6">
        <w:rPr>
          <w:i/>
          <w:iCs/>
          <w:u w:val="single"/>
          <w:lang w:val="en-US"/>
        </w:rPr>
        <w:t>capitat</w:t>
      </w:r>
      <w:r w:rsidRPr="00C553B6">
        <w:rPr>
          <w:i/>
          <w:iCs/>
          <w:lang w:val="en-US"/>
        </w:rPr>
        <w:t>a</w:t>
      </w:r>
      <w:r w:rsidRPr="00F26D70">
        <w:rPr>
          <w:i/>
          <w:iCs/>
          <w:u w:val="single"/>
          <w:lang w:val="en-US"/>
        </w:rPr>
        <w:t xml:space="preserve"> (</w:t>
      </w:r>
      <w:r w:rsidRPr="00C553B6">
        <w:rPr>
          <w:i/>
          <w:iCs/>
          <w:u w:val="single"/>
        </w:rPr>
        <w:t>синонимы</w:t>
      </w:r>
      <w:r w:rsidRPr="00F26D70">
        <w:rPr>
          <w:i/>
          <w:iCs/>
          <w:u w:val="single"/>
          <w:lang w:val="en-US"/>
        </w:rPr>
        <w:t xml:space="preserve"> </w:t>
      </w:r>
      <w:r w:rsidRPr="00C553B6">
        <w:rPr>
          <w:i/>
          <w:iCs/>
          <w:u w:val="single"/>
          <w:lang w:val="en-US"/>
        </w:rPr>
        <w:t>Trichosporon</w:t>
      </w:r>
      <w:r w:rsidRPr="00F26D70">
        <w:rPr>
          <w:i/>
          <w:iCs/>
          <w:u w:val="single"/>
          <w:lang w:val="en-US"/>
        </w:rPr>
        <w:t xml:space="preserve"> </w:t>
      </w:r>
      <w:r w:rsidRPr="00C553B6">
        <w:rPr>
          <w:i/>
          <w:iCs/>
          <w:u w:val="single"/>
          <w:lang w:val="en-US"/>
        </w:rPr>
        <w:t>capitatum</w:t>
      </w:r>
      <w:r w:rsidRPr="00F26D70">
        <w:rPr>
          <w:i/>
          <w:iCs/>
          <w:u w:val="single"/>
          <w:lang w:val="en-US"/>
        </w:rPr>
        <w:t xml:space="preserve">, </w:t>
      </w:r>
      <w:r w:rsidRPr="00C553B6">
        <w:rPr>
          <w:i/>
          <w:iCs/>
          <w:u w:val="single"/>
          <w:lang w:val="en-US"/>
        </w:rPr>
        <w:t>Geotrichum</w:t>
      </w:r>
      <w:r w:rsidRPr="00F26D70">
        <w:rPr>
          <w:i/>
          <w:iCs/>
          <w:u w:val="single"/>
          <w:lang w:val="en-US"/>
        </w:rPr>
        <w:t xml:space="preserve"> </w:t>
      </w:r>
      <w:r w:rsidRPr="00C553B6">
        <w:rPr>
          <w:i/>
          <w:iCs/>
          <w:u w:val="single"/>
          <w:lang w:val="en-US"/>
        </w:rPr>
        <w:t>capitatum</w:t>
      </w:r>
      <w:r w:rsidRPr="00F26D70">
        <w:rPr>
          <w:i/>
          <w:iCs/>
          <w:u w:val="single"/>
          <w:lang w:val="en-US"/>
        </w:rPr>
        <w:t xml:space="preserve">, </w:t>
      </w:r>
      <w:r w:rsidRPr="00C553B6">
        <w:rPr>
          <w:i/>
          <w:iCs/>
          <w:u w:val="single"/>
          <w:lang w:val="en-US"/>
        </w:rPr>
        <w:t>Ascotrichosporon</w:t>
      </w:r>
      <w:r w:rsidRPr="00F26D70">
        <w:rPr>
          <w:i/>
          <w:iCs/>
          <w:u w:val="single"/>
          <w:lang w:val="en-US"/>
        </w:rPr>
        <w:t xml:space="preserve"> </w:t>
      </w:r>
      <w:r w:rsidRPr="00C553B6">
        <w:rPr>
          <w:i/>
          <w:iCs/>
          <w:u w:val="single"/>
          <w:lang w:val="en-US"/>
        </w:rPr>
        <w:t>capitatum</w:t>
      </w:r>
      <w:r w:rsidRPr="00F26D70">
        <w:rPr>
          <w:i/>
          <w:iCs/>
          <w:u w:val="single"/>
          <w:lang w:val="en-US"/>
        </w:rPr>
        <w:t xml:space="preserve">, </w:t>
      </w:r>
      <w:r w:rsidRPr="00C553B6">
        <w:rPr>
          <w:i/>
          <w:iCs/>
          <w:u w:val="single"/>
          <w:lang w:val="en-US"/>
        </w:rPr>
        <w:t>Blastoschizomyces</w:t>
      </w:r>
      <w:r w:rsidRPr="00F26D70">
        <w:rPr>
          <w:i/>
          <w:iCs/>
          <w:u w:val="single"/>
          <w:lang w:val="en-US"/>
        </w:rPr>
        <w:t xml:space="preserve"> </w:t>
      </w:r>
      <w:r w:rsidRPr="00C553B6">
        <w:rPr>
          <w:i/>
          <w:iCs/>
          <w:u w:val="single"/>
          <w:lang w:val="en-US"/>
        </w:rPr>
        <w:t>capitatus</w:t>
      </w:r>
      <w:r w:rsidRPr="00F26D70">
        <w:rPr>
          <w:i/>
          <w:iCs/>
          <w:u w:val="single"/>
          <w:lang w:val="en-US"/>
        </w:rPr>
        <w:t>)</w:t>
      </w:r>
    </w:p>
    <w:p w14:paraId="1D1DDDA4" w14:textId="77777777" w:rsidR="00875B79" w:rsidRPr="00DA2BC8" w:rsidRDefault="00875B79" w:rsidP="00875B79">
      <w:pPr>
        <w:widowControl w:val="0"/>
        <w:autoSpaceDE w:val="0"/>
        <w:autoSpaceDN w:val="0"/>
        <w:adjustRightInd w:val="0"/>
        <w:ind w:right="50"/>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14:paraId="1DCCAF74" w14:textId="77777777" w:rsidR="00875B79" w:rsidRPr="00C553B6" w:rsidRDefault="00875B79" w:rsidP="00875B79">
      <w:pPr>
        <w:widowControl w:val="0"/>
        <w:autoSpaceDE w:val="0"/>
        <w:autoSpaceDN w:val="0"/>
        <w:adjustRightInd w:val="0"/>
        <w:ind w:right="50"/>
        <w:contextualSpacing/>
        <w:rPr>
          <w:i/>
          <w:iCs/>
          <w:u w:val="single"/>
        </w:rPr>
      </w:pPr>
      <w:r w:rsidRPr="00C553B6">
        <w:rPr>
          <w:i/>
          <w:iCs/>
          <w:u w:val="single"/>
        </w:rPr>
        <w:t>Микозы, вызванные Malassezia spp.</w:t>
      </w:r>
    </w:p>
    <w:p w14:paraId="5073A492" w14:textId="77777777" w:rsidR="00875B79" w:rsidRPr="00DA2BC8" w:rsidRDefault="00875B79" w:rsidP="00875B79">
      <w:pPr>
        <w:widowControl w:val="0"/>
        <w:autoSpaceDE w:val="0"/>
        <w:autoSpaceDN w:val="0"/>
        <w:adjustRightInd w:val="0"/>
        <w:ind w:right="50"/>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7F7D4E0D" w14:textId="77777777" w:rsidR="00875B79" w:rsidRPr="00C553B6" w:rsidRDefault="00875B79" w:rsidP="00875B79">
      <w:pPr>
        <w:widowControl w:val="0"/>
        <w:autoSpaceDE w:val="0"/>
        <w:autoSpaceDN w:val="0"/>
        <w:adjustRightInd w:val="0"/>
        <w:ind w:right="50"/>
        <w:contextualSpacing/>
        <w:rPr>
          <w:i/>
          <w:iCs/>
          <w:u w:val="single"/>
        </w:rPr>
      </w:pPr>
      <w:r w:rsidRPr="00C553B6">
        <w:rPr>
          <w:i/>
          <w:iCs/>
          <w:u w:val="single"/>
        </w:rPr>
        <w:t>Микозы, вызванные Trichosporon spp.</w:t>
      </w:r>
    </w:p>
    <w:p w14:paraId="052840D6" w14:textId="77777777" w:rsidR="00875B79" w:rsidRPr="00DA2BC8" w:rsidRDefault="00875B79" w:rsidP="00875B79">
      <w:pPr>
        <w:widowControl w:val="0"/>
        <w:autoSpaceDE w:val="0"/>
        <w:autoSpaceDN w:val="0"/>
        <w:adjustRightInd w:val="0"/>
        <w:ind w:right="50"/>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744C0BCF" w14:textId="77777777" w:rsidR="00875B79" w:rsidRPr="00DA2BC8" w:rsidRDefault="00875B79" w:rsidP="00875B79">
      <w:pPr>
        <w:widowControl w:val="0"/>
        <w:autoSpaceDE w:val="0"/>
        <w:autoSpaceDN w:val="0"/>
        <w:adjustRightInd w:val="0"/>
        <w:ind w:right="50"/>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246DFBA3" w14:textId="77777777" w:rsidR="00875B79" w:rsidRPr="00C553B6" w:rsidRDefault="00875B79" w:rsidP="00875B79">
      <w:pPr>
        <w:widowControl w:val="0"/>
        <w:autoSpaceDE w:val="0"/>
        <w:autoSpaceDN w:val="0"/>
        <w:adjustRightInd w:val="0"/>
        <w:ind w:right="50"/>
        <w:contextualSpacing/>
        <w:rPr>
          <w:i/>
          <w:iCs/>
          <w:u w:val="single"/>
        </w:rPr>
      </w:pPr>
      <w:r w:rsidRPr="00C553B6">
        <w:rPr>
          <w:i/>
          <w:iCs/>
          <w:u w:val="single"/>
        </w:rPr>
        <w:t>Микозы, вызванные Rhodotorula spp.</w:t>
      </w:r>
    </w:p>
    <w:p w14:paraId="2A5B645F" w14:textId="77777777" w:rsidR="00875B79" w:rsidRPr="00DA2BC8" w:rsidRDefault="00875B79" w:rsidP="00875B79">
      <w:pPr>
        <w:widowControl w:val="0"/>
        <w:autoSpaceDE w:val="0"/>
        <w:autoSpaceDN w:val="0"/>
        <w:adjustRightInd w:val="0"/>
        <w:ind w:right="50"/>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14:paraId="0F266748" w14:textId="77777777" w:rsidR="00875B79" w:rsidRPr="00DA2BC8" w:rsidRDefault="00875B79" w:rsidP="00875B79">
      <w:pPr>
        <w:widowControl w:val="0"/>
        <w:autoSpaceDE w:val="0"/>
        <w:autoSpaceDN w:val="0"/>
        <w:adjustRightInd w:val="0"/>
        <w:ind w:right="50"/>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4F54F5AB" w14:textId="77777777" w:rsidR="00875B79" w:rsidRPr="00C553B6" w:rsidRDefault="00875B79" w:rsidP="00875B79">
      <w:pPr>
        <w:widowControl w:val="0"/>
        <w:autoSpaceDE w:val="0"/>
        <w:autoSpaceDN w:val="0"/>
        <w:adjustRightInd w:val="0"/>
        <w:ind w:right="50"/>
        <w:contextualSpacing/>
        <w:rPr>
          <w:i/>
          <w:iCs/>
          <w:u w:val="single"/>
        </w:rPr>
      </w:pPr>
      <w:r w:rsidRPr="00C553B6">
        <w:rPr>
          <w:i/>
          <w:iCs/>
          <w:u w:val="single"/>
        </w:rPr>
        <w:t>Микозы, вызванные Saccharomyces spp.</w:t>
      </w:r>
    </w:p>
    <w:p w14:paraId="09618A06" w14:textId="77777777" w:rsidR="00875B79" w:rsidRPr="00DA2BC8" w:rsidRDefault="00875B79" w:rsidP="00875B79">
      <w:pPr>
        <w:widowControl w:val="0"/>
        <w:autoSpaceDE w:val="0"/>
        <w:autoSpaceDN w:val="0"/>
        <w:adjustRightInd w:val="0"/>
        <w:ind w:right="50"/>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7DF8C70B" w14:textId="77777777" w:rsidR="00875B79" w:rsidRPr="00C553B6" w:rsidRDefault="00875B79" w:rsidP="00875B79">
      <w:pPr>
        <w:widowControl w:val="0"/>
        <w:autoSpaceDE w:val="0"/>
        <w:autoSpaceDN w:val="0"/>
        <w:adjustRightInd w:val="0"/>
        <w:ind w:right="50"/>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14:paraId="4BF8DA0C" w14:textId="77777777" w:rsidR="00875B79" w:rsidRPr="00453773" w:rsidRDefault="00875B79" w:rsidP="00875B79">
      <w:pPr>
        <w:widowControl w:val="0"/>
        <w:autoSpaceDE w:val="0"/>
        <w:autoSpaceDN w:val="0"/>
        <w:adjustRightInd w:val="0"/>
        <w:ind w:right="50"/>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24D1CB50" w14:textId="77777777" w:rsidR="00875B79" w:rsidRDefault="00875B79" w:rsidP="00875B79">
      <w:pPr>
        <w:widowControl w:val="0"/>
        <w:autoSpaceDE w:val="0"/>
        <w:autoSpaceDN w:val="0"/>
        <w:adjustRightInd w:val="0"/>
        <w:ind w:right="50"/>
        <w:contextualSpacing/>
        <w:rPr>
          <w:b/>
          <w:bCs/>
        </w:rPr>
      </w:pPr>
    </w:p>
    <w:p w14:paraId="1F718472" w14:textId="01E2644F" w:rsidR="00875B79" w:rsidRPr="00084B8B" w:rsidRDefault="00875B79" w:rsidP="00875B79">
      <w:pPr>
        <w:widowControl w:val="0"/>
        <w:autoSpaceDE w:val="0"/>
        <w:autoSpaceDN w:val="0"/>
        <w:adjustRightInd w:val="0"/>
        <w:ind w:right="49"/>
        <w:contextualSpacing/>
        <w:rPr>
          <w:bCs/>
          <w:u w:val="single"/>
        </w:rPr>
      </w:pPr>
      <w:r w:rsidRPr="009B5EC6">
        <w:rPr>
          <w:bCs/>
          <w:u w:val="single"/>
        </w:rPr>
        <w:t>Инвазивный аспергиллез</w:t>
      </w:r>
      <w:r>
        <w:rPr>
          <w:bCs/>
          <w:u w:val="single"/>
          <w:lang w:val="en-US"/>
        </w:rPr>
        <w:t xml:space="preserve">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[58,59,65,66,68]","plainTextFormattedCitation":"[58,59,65,66,68]","previouslyFormattedCitation":"[58,59,65,66,68]"},"properties":{"noteIndex":0},"schema":"https://github.com/citation-style-language/schema/raw/master/csl-citation.json"}</w:instrText>
      </w:r>
      <w:r>
        <w:rPr>
          <w:b/>
        </w:rPr>
        <w:fldChar w:fldCharType="separate"/>
      </w:r>
      <w:r w:rsidRPr="00875B79">
        <w:rPr>
          <w:noProof/>
        </w:rPr>
        <w:t>[58,59,65,66,68]</w:t>
      </w:r>
      <w:r>
        <w:rPr>
          <w:b/>
        </w:rPr>
        <w:fldChar w:fldCharType="end"/>
      </w:r>
    </w:p>
    <w:p w14:paraId="60F2CEB9" w14:textId="77777777" w:rsidR="00875B79" w:rsidRPr="00DA2BC8" w:rsidRDefault="00875B79" w:rsidP="00875B79">
      <w:pPr>
        <w:widowControl w:val="0"/>
        <w:autoSpaceDE w:val="0"/>
        <w:autoSpaceDN w:val="0"/>
        <w:adjustRightInd w:val="0"/>
        <w:ind w:right="50"/>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5DF169B8" w14:textId="77777777" w:rsidR="00875B79" w:rsidRPr="009B5EC6" w:rsidRDefault="00875B79" w:rsidP="00875B79">
      <w:pPr>
        <w:widowControl w:val="0"/>
        <w:autoSpaceDE w:val="0"/>
        <w:autoSpaceDN w:val="0"/>
        <w:adjustRightInd w:val="0"/>
        <w:ind w:right="50"/>
        <w:contextualSpacing/>
        <w:rPr>
          <w:i/>
          <w:iCs/>
          <w:u w:val="single"/>
        </w:rPr>
      </w:pPr>
      <w:r w:rsidRPr="009B5EC6">
        <w:rPr>
          <w:i/>
          <w:iCs/>
          <w:u w:val="single"/>
        </w:rPr>
        <w:t>Факторы риска</w:t>
      </w:r>
    </w:p>
    <w:p w14:paraId="1171A1DF" w14:textId="77777777" w:rsidR="00875B79" w:rsidRPr="00DA2BC8" w:rsidRDefault="00875B79" w:rsidP="00875B79">
      <w:pPr>
        <w:widowControl w:val="0"/>
        <w:autoSpaceDE w:val="0"/>
        <w:autoSpaceDN w:val="0"/>
        <w:adjustRightInd w:val="0"/>
        <w:ind w:right="50"/>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14:paraId="4F5B9C50" w14:textId="77777777" w:rsidR="00875B79" w:rsidRPr="00453773" w:rsidRDefault="00875B79" w:rsidP="00875B79">
      <w:pPr>
        <w:widowControl w:val="0"/>
        <w:autoSpaceDE w:val="0"/>
        <w:autoSpaceDN w:val="0"/>
        <w:adjustRightInd w:val="0"/>
        <w:ind w:right="50"/>
        <w:contextualSpacing/>
        <w:rPr>
          <w:b/>
          <w:bCs/>
        </w:rPr>
      </w:pPr>
      <w:r w:rsidRPr="00453773">
        <w:rPr>
          <w:b/>
          <w:bCs/>
        </w:rPr>
        <w:t>Инвазивный аспергиллез легких</w:t>
      </w:r>
    </w:p>
    <w:p w14:paraId="08887AAA" w14:textId="77777777" w:rsidR="00875B79" w:rsidRPr="009B5EC6" w:rsidRDefault="00875B79" w:rsidP="00875B79">
      <w:pPr>
        <w:widowControl w:val="0"/>
        <w:autoSpaceDE w:val="0"/>
        <w:autoSpaceDN w:val="0"/>
        <w:adjustRightInd w:val="0"/>
        <w:ind w:right="50"/>
        <w:contextualSpacing/>
        <w:rPr>
          <w:i/>
          <w:iCs/>
        </w:rPr>
      </w:pPr>
      <w:r w:rsidRPr="009B5EC6">
        <w:rPr>
          <w:i/>
          <w:iCs/>
          <w:u w:val="single"/>
        </w:rPr>
        <w:t>Симптомы</w:t>
      </w:r>
      <w:r w:rsidRPr="009B5EC6">
        <w:rPr>
          <w:i/>
          <w:iCs/>
        </w:rPr>
        <w:t xml:space="preserve"> </w:t>
      </w:r>
    </w:p>
    <w:p w14:paraId="76D677D0" w14:textId="77777777" w:rsidR="00875B79" w:rsidRPr="00DA2BC8" w:rsidRDefault="00875B79" w:rsidP="00875B79">
      <w:pPr>
        <w:widowControl w:val="0"/>
        <w:autoSpaceDE w:val="0"/>
        <w:autoSpaceDN w:val="0"/>
        <w:adjustRightInd w:val="0"/>
        <w:ind w:right="50"/>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1CBF5F46" w14:textId="77777777" w:rsidR="00875B79" w:rsidRPr="009B5EC6" w:rsidRDefault="00875B79" w:rsidP="00875B79">
      <w:pPr>
        <w:widowControl w:val="0"/>
        <w:autoSpaceDE w:val="0"/>
        <w:autoSpaceDN w:val="0"/>
        <w:adjustRightInd w:val="0"/>
        <w:ind w:right="50"/>
        <w:contextualSpacing/>
        <w:rPr>
          <w:i/>
          <w:iCs/>
          <w:u w:val="single"/>
        </w:rPr>
      </w:pPr>
      <w:r w:rsidRPr="009B5EC6">
        <w:rPr>
          <w:i/>
          <w:iCs/>
          <w:u w:val="single"/>
        </w:rPr>
        <w:t>Диагностика инвазивного аспергиллеза легких</w:t>
      </w:r>
    </w:p>
    <w:p w14:paraId="74B6CBE1" w14:textId="77777777" w:rsidR="00875B79" w:rsidRPr="00DA2BC8" w:rsidRDefault="00875B79" w:rsidP="00875B79">
      <w:pPr>
        <w:widowControl w:val="0"/>
        <w:autoSpaceDE w:val="0"/>
        <w:autoSpaceDN w:val="0"/>
        <w:adjustRightInd w:val="0"/>
        <w:ind w:right="50"/>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23B87392" w14:textId="77777777" w:rsidR="00875B79" w:rsidRPr="009B5EC6" w:rsidRDefault="00875B79" w:rsidP="00875B79">
      <w:pPr>
        <w:widowControl w:val="0"/>
        <w:autoSpaceDE w:val="0"/>
        <w:autoSpaceDN w:val="0"/>
        <w:adjustRightInd w:val="0"/>
        <w:ind w:right="50"/>
        <w:contextualSpacing/>
        <w:rPr>
          <w:i/>
          <w:iCs/>
          <w:u w:val="single"/>
        </w:rPr>
      </w:pPr>
      <w:r w:rsidRPr="009B5EC6">
        <w:rPr>
          <w:i/>
          <w:iCs/>
          <w:u w:val="single"/>
        </w:rPr>
        <w:t>Радиологические особенности инвазивного аспергиллеза легких</w:t>
      </w:r>
    </w:p>
    <w:p w14:paraId="76367330" w14:textId="77777777" w:rsidR="00875B79" w:rsidRPr="00DA2BC8" w:rsidRDefault="00875B79" w:rsidP="00875B79">
      <w:pPr>
        <w:widowControl w:val="0"/>
        <w:tabs>
          <w:tab w:val="left" w:pos="317"/>
        </w:tabs>
        <w:autoSpaceDE w:val="0"/>
        <w:autoSpaceDN w:val="0"/>
        <w:adjustRightInd w:val="0"/>
        <w:ind w:right="50"/>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21EDFFC3" w14:textId="77777777" w:rsidR="00875B79" w:rsidRPr="00DA2BC8" w:rsidRDefault="00875B79" w:rsidP="00875B79">
      <w:pPr>
        <w:widowControl w:val="0"/>
        <w:autoSpaceDE w:val="0"/>
        <w:autoSpaceDN w:val="0"/>
        <w:adjustRightInd w:val="0"/>
        <w:ind w:right="50"/>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4279911D" w14:textId="77777777" w:rsidR="00875B79" w:rsidRPr="00EB3571" w:rsidRDefault="00875B79" w:rsidP="00875B79">
      <w:pPr>
        <w:widowControl w:val="0"/>
        <w:autoSpaceDE w:val="0"/>
        <w:autoSpaceDN w:val="0"/>
        <w:adjustRightInd w:val="0"/>
        <w:ind w:right="50"/>
        <w:contextualSpacing/>
        <w:rPr>
          <w:i/>
          <w:iCs/>
          <w:u w:val="single"/>
        </w:rPr>
      </w:pPr>
      <w:r w:rsidRPr="00EB3571">
        <w:rPr>
          <w:i/>
          <w:iCs/>
          <w:u w:val="single"/>
        </w:rPr>
        <w:t>Мониторинг исследований</w:t>
      </w:r>
    </w:p>
    <w:p w14:paraId="4CC0E4FE" w14:textId="77777777" w:rsidR="00875B79" w:rsidRPr="00DA2BC8" w:rsidRDefault="00875B79" w:rsidP="00875B79">
      <w:pPr>
        <w:widowControl w:val="0"/>
        <w:tabs>
          <w:tab w:val="left" w:pos="317"/>
        </w:tabs>
        <w:autoSpaceDE w:val="0"/>
        <w:autoSpaceDN w:val="0"/>
        <w:adjustRightInd w:val="0"/>
        <w:ind w:right="50"/>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1F1DCDDA" w14:textId="77777777" w:rsidR="00875B79" w:rsidRPr="00DA2BC8" w:rsidRDefault="00875B79" w:rsidP="00875B79">
      <w:pPr>
        <w:widowControl w:val="0"/>
        <w:autoSpaceDE w:val="0"/>
        <w:autoSpaceDN w:val="0"/>
        <w:adjustRightInd w:val="0"/>
        <w:ind w:right="50"/>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556ED50C" w14:textId="77777777" w:rsidR="00875B79" w:rsidRPr="00DA2BC8" w:rsidRDefault="00875B79" w:rsidP="00875B79">
      <w:pPr>
        <w:widowControl w:val="0"/>
        <w:autoSpaceDE w:val="0"/>
        <w:autoSpaceDN w:val="0"/>
        <w:adjustRightInd w:val="0"/>
        <w:ind w:right="50"/>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17F017AF" w14:textId="77777777" w:rsidR="00875B79" w:rsidRPr="00EB3571" w:rsidRDefault="00875B79" w:rsidP="00875B79">
      <w:pPr>
        <w:widowControl w:val="0"/>
        <w:autoSpaceDE w:val="0"/>
        <w:autoSpaceDN w:val="0"/>
        <w:adjustRightInd w:val="0"/>
        <w:ind w:right="50"/>
        <w:contextualSpacing/>
        <w:rPr>
          <w:i/>
        </w:rPr>
      </w:pPr>
      <w:r w:rsidRPr="00EB3571">
        <w:rPr>
          <w:i/>
          <w:u w:val="single"/>
        </w:rPr>
        <w:t xml:space="preserve">Лечение инвазивного аспергиллеза </w:t>
      </w:r>
    </w:p>
    <w:p w14:paraId="70C964BF" w14:textId="77777777" w:rsidR="00875B79" w:rsidRPr="00DA2BC8" w:rsidRDefault="00875B79" w:rsidP="00875B79">
      <w:pPr>
        <w:widowControl w:val="0"/>
        <w:autoSpaceDE w:val="0"/>
        <w:autoSpaceDN w:val="0"/>
        <w:adjustRightInd w:val="0"/>
        <w:ind w:right="50"/>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792ADADC" w14:textId="77777777" w:rsidR="00875B79" w:rsidRPr="00DA2BC8" w:rsidRDefault="00875B79" w:rsidP="00875B79">
      <w:pPr>
        <w:widowControl w:val="0"/>
        <w:tabs>
          <w:tab w:val="left" w:pos="317"/>
        </w:tabs>
        <w:autoSpaceDE w:val="0"/>
        <w:autoSpaceDN w:val="0"/>
        <w:adjustRightInd w:val="0"/>
        <w:ind w:right="50"/>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7C1B2447" w14:textId="77777777" w:rsidR="00875B79" w:rsidRPr="00DA2BC8" w:rsidRDefault="00875B79" w:rsidP="00875B79">
      <w:pPr>
        <w:widowControl w:val="0"/>
        <w:tabs>
          <w:tab w:val="left" w:pos="317"/>
        </w:tabs>
        <w:autoSpaceDE w:val="0"/>
        <w:autoSpaceDN w:val="0"/>
        <w:adjustRightInd w:val="0"/>
        <w:ind w:right="50"/>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384BA976" w14:textId="77777777" w:rsidR="00875B79" w:rsidRPr="00DA2BC8" w:rsidRDefault="00875B79" w:rsidP="00875B79">
      <w:pPr>
        <w:widowControl w:val="0"/>
        <w:autoSpaceDE w:val="0"/>
        <w:autoSpaceDN w:val="0"/>
        <w:adjustRightInd w:val="0"/>
        <w:ind w:right="50"/>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49B0DC79" w14:textId="77777777" w:rsidR="00875B79" w:rsidRPr="00DA2BC8" w:rsidRDefault="00875B79" w:rsidP="00875B79">
      <w:pPr>
        <w:widowControl w:val="0"/>
        <w:autoSpaceDE w:val="0"/>
        <w:autoSpaceDN w:val="0"/>
        <w:adjustRightInd w:val="0"/>
        <w:ind w:right="50"/>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2106E82C" w14:textId="77777777" w:rsidR="00875B79" w:rsidRPr="008F73A5" w:rsidRDefault="00875B79" w:rsidP="00875B79">
      <w:pPr>
        <w:widowControl w:val="0"/>
        <w:autoSpaceDE w:val="0"/>
        <w:autoSpaceDN w:val="0"/>
        <w:adjustRightInd w:val="0"/>
        <w:ind w:right="50"/>
        <w:contextualSpacing/>
        <w:rPr>
          <w:b/>
          <w:bCs/>
        </w:rPr>
      </w:pPr>
      <w:r w:rsidRPr="008F73A5">
        <w:rPr>
          <w:b/>
          <w:bCs/>
        </w:rPr>
        <w:t>Инвазивный аспергиллезный риносинусит</w:t>
      </w:r>
    </w:p>
    <w:p w14:paraId="2105AE23" w14:textId="77777777" w:rsidR="00875B79" w:rsidRPr="00DA2BC8" w:rsidRDefault="00875B79" w:rsidP="00875B79">
      <w:pPr>
        <w:widowControl w:val="0"/>
        <w:autoSpaceDE w:val="0"/>
        <w:autoSpaceDN w:val="0"/>
        <w:adjustRightInd w:val="0"/>
        <w:ind w:right="50"/>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71F6397F" w14:textId="77777777" w:rsidR="00875B79" w:rsidRDefault="00875B79" w:rsidP="00875B79">
      <w:pPr>
        <w:widowControl w:val="0"/>
        <w:autoSpaceDE w:val="0"/>
        <w:autoSpaceDN w:val="0"/>
        <w:adjustRightInd w:val="0"/>
        <w:ind w:right="50"/>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0E08B39A" w14:textId="77777777" w:rsidR="00875B79" w:rsidRPr="00DA2BC8" w:rsidRDefault="00875B79" w:rsidP="00875B79">
      <w:pPr>
        <w:widowControl w:val="0"/>
        <w:autoSpaceDE w:val="0"/>
        <w:autoSpaceDN w:val="0"/>
        <w:adjustRightInd w:val="0"/>
        <w:ind w:right="50"/>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7EDED529" w14:textId="77777777" w:rsidR="00875B79" w:rsidRPr="001828E6" w:rsidRDefault="00875B79" w:rsidP="00875B79">
      <w:pPr>
        <w:widowControl w:val="0"/>
        <w:autoSpaceDE w:val="0"/>
        <w:autoSpaceDN w:val="0"/>
        <w:adjustRightInd w:val="0"/>
        <w:ind w:right="50"/>
        <w:contextualSpacing/>
        <w:rPr>
          <w:b/>
          <w:bCs/>
        </w:rPr>
      </w:pPr>
      <w:r w:rsidRPr="001828E6">
        <w:rPr>
          <w:b/>
          <w:bCs/>
        </w:rPr>
        <w:t xml:space="preserve">Резистентный инвазивный аспергиллез </w:t>
      </w:r>
    </w:p>
    <w:p w14:paraId="45A48B44" w14:textId="77777777" w:rsidR="00875B79" w:rsidRPr="00DA2BC8" w:rsidRDefault="00875B79" w:rsidP="00875B79">
      <w:pPr>
        <w:widowControl w:val="0"/>
        <w:autoSpaceDE w:val="0"/>
        <w:autoSpaceDN w:val="0"/>
        <w:adjustRightInd w:val="0"/>
        <w:ind w:right="50"/>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14:paraId="547F95D4" w14:textId="77777777" w:rsidR="00875B79" w:rsidRPr="00DA2BC8" w:rsidRDefault="00875B79" w:rsidP="00875B79">
      <w:pPr>
        <w:widowControl w:val="0"/>
        <w:autoSpaceDE w:val="0"/>
        <w:autoSpaceDN w:val="0"/>
        <w:adjustRightInd w:val="0"/>
        <w:ind w:right="50"/>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14:paraId="3DA3D5F5" w14:textId="77777777" w:rsidR="00875B79" w:rsidRPr="00047807" w:rsidRDefault="00875B79" w:rsidP="00875B79">
      <w:pPr>
        <w:widowControl w:val="0"/>
        <w:autoSpaceDE w:val="0"/>
        <w:autoSpaceDN w:val="0"/>
        <w:adjustRightInd w:val="0"/>
        <w:ind w:right="50"/>
        <w:contextualSpacing/>
        <w:rPr>
          <w:b/>
          <w:bCs/>
        </w:rPr>
      </w:pPr>
      <w:r w:rsidRPr="00047807">
        <w:rPr>
          <w:b/>
          <w:bCs/>
        </w:rPr>
        <w:t>Инвазивный аспергиллез ЦНС</w:t>
      </w:r>
    </w:p>
    <w:p w14:paraId="51540014" w14:textId="77777777" w:rsidR="00875B79" w:rsidRPr="00DA2BC8" w:rsidRDefault="00875B79" w:rsidP="00875B79">
      <w:pPr>
        <w:widowControl w:val="0"/>
        <w:autoSpaceDE w:val="0"/>
        <w:autoSpaceDN w:val="0"/>
        <w:adjustRightInd w:val="0"/>
        <w:ind w:right="50"/>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 В,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14:paraId="1E93E492" w14:textId="77777777" w:rsidR="00875B79" w:rsidRDefault="00875B79" w:rsidP="00875B79">
      <w:pPr>
        <w:widowControl w:val="0"/>
        <w:autoSpaceDE w:val="0"/>
        <w:autoSpaceDN w:val="0"/>
        <w:adjustRightInd w:val="0"/>
        <w:ind w:right="50"/>
        <w:contextualSpacing/>
        <w:rPr>
          <w:b/>
          <w:bCs/>
        </w:rPr>
      </w:pPr>
    </w:p>
    <w:p w14:paraId="2AB47EB2" w14:textId="2D765F84" w:rsidR="00875B79" w:rsidRPr="00084B8B" w:rsidRDefault="00875B79" w:rsidP="00875B79">
      <w:pPr>
        <w:widowControl w:val="0"/>
        <w:autoSpaceDE w:val="0"/>
        <w:autoSpaceDN w:val="0"/>
        <w:adjustRightInd w:val="0"/>
        <w:ind w:right="49"/>
        <w:contextualSpacing/>
        <w:rPr>
          <w:bCs/>
          <w:u w:val="single"/>
        </w:rPr>
      </w:pPr>
      <w:r w:rsidRPr="00EB3571">
        <w:rPr>
          <w:bCs/>
          <w:u w:val="single"/>
        </w:rPr>
        <w:t>Диагностика и лечение мукормикоза</w:t>
      </w:r>
      <w:r>
        <w:rPr>
          <w:bCs/>
          <w:u w:val="single"/>
          <w:lang w:val="en-US"/>
        </w:rPr>
        <w:t xml:space="preserve">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[58,59,65,66,69]","plainTextFormattedCitation":"[58,59,65,66,69]","previouslyFormattedCitation":"[58,59,65,66,69]"},"properties":{"noteIndex":0},"schema":"https://github.com/citation-style-language/schema/raw/master/csl-citation.json"}</w:instrText>
      </w:r>
      <w:r>
        <w:rPr>
          <w:b/>
        </w:rPr>
        <w:fldChar w:fldCharType="separate"/>
      </w:r>
      <w:r w:rsidRPr="00875B79">
        <w:rPr>
          <w:noProof/>
        </w:rPr>
        <w:t>[58,59,65,66,69]</w:t>
      </w:r>
      <w:r>
        <w:rPr>
          <w:b/>
        </w:rPr>
        <w:fldChar w:fldCharType="end"/>
      </w:r>
    </w:p>
    <w:p w14:paraId="696D3B58" w14:textId="77777777" w:rsidR="00875B79" w:rsidRPr="00DA2BC8" w:rsidRDefault="00875B79" w:rsidP="00875B79">
      <w:pPr>
        <w:widowControl w:val="0"/>
        <w:autoSpaceDE w:val="0"/>
        <w:autoSpaceDN w:val="0"/>
        <w:adjustRightInd w:val="0"/>
        <w:ind w:right="50"/>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1E8A8027" w14:textId="77777777" w:rsidR="00875B79" w:rsidRPr="00DA2BC8" w:rsidRDefault="00875B79" w:rsidP="00875B79">
      <w:pPr>
        <w:widowControl w:val="0"/>
        <w:autoSpaceDE w:val="0"/>
        <w:autoSpaceDN w:val="0"/>
        <w:adjustRightInd w:val="0"/>
        <w:ind w:right="50"/>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42632233" w14:textId="77777777" w:rsidR="00875B79" w:rsidRPr="00047807" w:rsidRDefault="00875B79" w:rsidP="00875B79">
      <w:pPr>
        <w:widowControl w:val="0"/>
        <w:autoSpaceDE w:val="0"/>
        <w:autoSpaceDN w:val="0"/>
        <w:adjustRightInd w:val="0"/>
        <w:ind w:right="50"/>
        <w:contextualSpacing/>
        <w:rPr>
          <w:b/>
          <w:bCs/>
        </w:rPr>
      </w:pPr>
      <w:r w:rsidRPr="00047807">
        <w:rPr>
          <w:b/>
          <w:bCs/>
        </w:rPr>
        <w:t>Мукормикоз легких</w:t>
      </w:r>
    </w:p>
    <w:p w14:paraId="7023C3AF" w14:textId="77777777" w:rsidR="00875B79" w:rsidRPr="00686506" w:rsidRDefault="00875B79" w:rsidP="00875B79">
      <w:pPr>
        <w:widowControl w:val="0"/>
        <w:autoSpaceDE w:val="0"/>
        <w:autoSpaceDN w:val="0"/>
        <w:adjustRightInd w:val="0"/>
        <w:ind w:right="50"/>
        <w:contextualSpacing/>
        <w:rPr>
          <w:i/>
          <w:iCs/>
          <w:u w:val="single"/>
        </w:rPr>
      </w:pPr>
      <w:r w:rsidRPr="00686506">
        <w:rPr>
          <w:i/>
          <w:iCs/>
          <w:u w:val="single"/>
        </w:rPr>
        <w:t>Симптомы</w:t>
      </w:r>
    </w:p>
    <w:p w14:paraId="27170384" w14:textId="77777777" w:rsidR="00875B79" w:rsidRPr="00DA2BC8" w:rsidRDefault="00875B79" w:rsidP="00875B79">
      <w:pPr>
        <w:widowControl w:val="0"/>
        <w:autoSpaceDE w:val="0"/>
        <w:autoSpaceDN w:val="0"/>
        <w:adjustRightInd w:val="0"/>
        <w:ind w:right="50"/>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38EEAB02" w14:textId="77777777" w:rsidR="00875B79" w:rsidRPr="00DA2BC8" w:rsidRDefault="00875B79" w:rsidP="00875B79">
      <w:pPr>
        <w:widowControl w:val="0"/>
        <w:autoSpaceDE w:val="0"/>
        <w:autoSpaceDN w:val="0"/>
        <w:adjustRightInd w:val="0"/>
        <w:ind w:right="50"/>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37232D37" w14:textId="77777777" w:rsidR="00875B79" w:rsidRPr="00686506" w:rsidRDefault="00875B79" w:rsidP="00875B79">
      <w:pPr>
        <w:widowControl w:val="0"/>
        <w:autoSpaceDE w:val="0"/>
        <w:autoSpaceDN w:val="0"/>
        <w:adjustRightInd w:val="0"/>
        <w:ind w:right="50"/>
        <w:contextualSpacing/>
        <w:rPr>
          <w:i/>
          <w:iCs/>
          <w:u w:val="single"/>
        </w:rPr>
      </w:pPr>
      <w:r w:rsidRPr="00686506">
        <w:rPr>
          <w:i/>
          <w:iCs/>
          <w:u w:val="single"/>
        </w:rPr>
        <w:t>Радиологические особенности мукормикоза легких</w:t>
      </w:r>
    </w:p>
    <w:p w14:paraId="5B8A6761" w14:textId="77777777" w:rsidR="00875B79" w:rsidRPr="00DA2BC8" w:rsidRDefault="00875B79" w:rsidP="00875B79">
      <w:pPr>
        <w:widowControl w:val="0"/>
        <w:autoSpaceDE w:val="0"/>
        <w:autoSpaceDN w:val="0"/>
        <w:adjustRightInd w:val="0"/>
        <w:ind w:right="50"/>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67ACCA41" w14:textId="77777777" w:rsidR="00875B79" w:rsidRPr="00686506" w:rsidRDefault="00875B79" w:rsidP="00875B79">
      <w:pPr>
        <w:widowControl w:val="0"/>
        <w:autoSpaceDE w:val="0"/>
        <w:autoSpaceDN w:val="0"/>
        <w:adjustRightInd w:val="0"/>
        <w:ind w:right="50"/>
        <w:contextualSpacing/>
        <w:rPr>
          <w:bCs/>
          <w:i/>
          <w:iCs/>
        </w:rPr>
      </w:pPr>
      <w:r w:rsidRPr="00686506">
        <w:rPr>
          <w:bCs/>
          <w:i/>
          <w:iCs/>
          <w:u w:val="single"/>
        </w:rPr>
        <w:t>Микологическая диагностика мукормикоза</w:t>
      </w:r>
    </w:p>
    <w:p w14:paraId="6AD80D88" w14:textId="77777777" w:rsidR="00875B79" w:rsidRPr="00DA2BC8" w:rsidRDefault="00875B79" w:rsidP="00875B79">
      <w:pPr>
        <w:widowControl w:val="0"/>
        <w:autoSpaceDE w:val="0"/>
        <w:autoSpaceDN w:val="0"/>
        <w:adjustRightInd w:val="0"/>
        <w:ind w:right="50"/>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14:paraId="7D8C0626" w14:textId="77777777" w:rsidR="00875B79" w:rsidRPr="00686506" w:rsidRDefault="00875B79" w:rsidP="00875B79">
      <w:pPr>
        <w:widowControl w:val="0"/>
        <w:autoSpaceDE w:val="0"/>
        <w:autoSpaceDN w:val="0"/>
        <w:adjustRightInd w:val="0"/>
        <w:ind w:right="50"/>
        <w:contextualSpacing/>
        <w:rPr>
          <w:i/>
          <w:iCs/>
          <w:u w:val="single"/>
        </w:rPr>
      </w:pPr>
      <w:r w:rsidRPr="00686506">
        <w:rPr>
          <w:i/>
          <w:iCs/>
          <w:u w:val="single"/>
        </w:rPr>
        <w:t>Лечение мукормикоза легких</w:t>
      </w:r>
    </w:p>
    <w:p w14:paraId="7FD4E7CC" w14:textId="77777777" w:rsidR="00875B79" w:rsidRPr="00DA2BC8" w:rsidRDefault="00875B79" w:rsidP="00875B79">
      <w:pPr>
        <w:widowControl w:val="0"/>
        <w:autoSpaceDE w:val="0"/>
        <w:autoSpaceDN w:val="0"/>
        <w:adjustRightInd w:val="0"/>
        <w:ind w:right="50"/>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14:paraId="25CD7106" w14:textId="77777777" w:rsidR="00875B79" w:rsidRPr="00DA2BC8" w:rsidRDefault="00875B79" w:rsidP="00875B79">
      <w:pPr>
        <w:widowControl w:val="0"/>
        <w:autoSpaceDE w:val="0"/>
        <w:autoSpaceDN w:val="0"/>
        <w:adjustRightInd w:val="0"/>
        <w:ind w:right="50"/>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14:paraId="5575CD05" w14:textId="77777777" w:rsidR="00875B79" w:rsidRPr="00686506" w:rsidRDefault="00875B79" w:rsidP="00875B79">
      <w:pPr>
        <w:widowControl w:val="0"/>
        <w:autoSpaceDE w:val="0"/>
        <w:autoSpaceDN w:val="0"/>
        <w:adjustRightInd w:val="0"/>
        <w:ind w:right="50"/>
        <w:contextualSpacing/>
        <w:rPr>
          <w:i/>
          <w:iCs/>
          <w:u w:val="single"/>
        </w:rPr>
      </w:pPr>
      <w:r w:rsidRPr="00686506">
        <w:rPr>
          <w:i/>
          <w:iCs/>
          <w:u w:val="single"/>
        </w:rPr>
        <w:t>Хирургическое лечение мукормикоза легких</w:t>
      </w:r>
    </w:p>
    <w:p w14:paraId="23470A7E" w14:textId="77777777" w:rsidR="00875B79" w:rsidRPr="00DA2BC8" w:rsidRDefault="00875B79" w:rsidP="00875B79">
      <w:pPr>
        <w:widowControl w:val="0"/>
        <w:autoSpaceDE w:val="0"/>
        <w:autoSpaceDN w:val="0"/>
        <w:adjustRightInd w:val="0"/>
        <w:ind w:right="50"/>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776A36CC" w14:textId="77777777" w:rsidR="00875B79" w:rsidRPr="00DA2BC8" w:rsidRDefault="00875B79" w:rsidP="00875B79">
      <w:pPr>
        <w:widowControl w:val="0"/>
        <w:autoSpaceDE w:val="0"/>
        <w:autoSpaceDN w:val="0"/>
        <w:adjustRightInd w:val="0"/>
        <w:ind w:right="50"/>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40C524B3" w14:textId="77777777" w:rsidR="00875B79" w:rsidRPr="00047807" w:rsidRDefault="00875B79" w:rsidP="00875B79">
      <w:pPr>
        <w:widowControl w:val="0"/>
        <w:autoSpaceDE w:val="0"/>
        <w:autoSpaceDN w:val="0"/>
        <w:adjustRightInd w:val="0"/>
        <w:ind w:right="51"/>
        <w:contextualSpacing/>
        <w:rPr>
          <w:b/>
          <w:bCs/>
        </w:rPr>
      </w:pPr>
      <w:r w:rsidRPr="00047807">
        <w:rPr>
          <w:b/>
          <w:bCs/>
        </w:rPr>
        <w:t>Мукормикоз придаточных пазух носа</w:t>
      </w:r>
    </w:p>
    <w:p w14:paraId="661DB2C7" w14:textId="77777777" w:rsidR="00875B79" w:rsidRPr="00DA2BC8" w:rsidRDefault="00875B79" w:rsidP="00875B79">
      <w:pPr>
        <w:widowControl w:val="0"/>
        <w:autoSpaceDE w:val="0"/>
        <w:autoSpaceDN w:val="0"/>
        <w:adjustRightInd w:val="0"/>
        <w:ind w:right="51"/>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1C606EA3" w14:textId="77777777" w:rsidR="00875B79" w:rsidRPr="00DA2BC8" w:rsidRDefault="00875B79" w:rsidP="00875B79">
      <w:pPr>
        <w:widowControl w:val="0"/>
        <w:autoSpaceDE w:val="0"/>
        <w:autoSpaceDN w:val="0"/>
        <w:adjustRightInd w:val="0"/>
        <w:ind w:right="51"/>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14:paraId="3A811DBC" w14:textId="77777777" w:rsidR="00875B79" w:rsidRPr="00DA2BC8" w:rsidRDefault="00875B79" w:rsidP="00875B79">
      <w:pPr>
        <w:widowControl w:val="0"/>
        <w:autoSpaceDE w:val="0"/>
        <w:autoSpaceDN w:val="0"/>
        <w:adjustRightInd w:val="0"/>
        <w:ind w:right="51"/>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065E89D2" w14:textId="77777777" w:rsidR="00875B79" w:rsidRPr="00DA2BC8" w:rsidRDefault="00875B79" w:rsidP="00875B79">
      <w:pPr>
        <w:widowControl w:val="0"/>
        <w:autoSpaceDE w:val="0"/>
        <w:autoSpaceDN w:val="0"/>
        <w:adjustRightInd w:val="0"/>
        <w:ind w:right="51"/>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73D9EC91" w14:textId="77777777" w:rsidR="00875B79" w:rsidRPr="00047807" w:rsidRDefault="00875B79" w:rsidP="00875B79">
      <w:pPr>
        <w:widowControl w:val="0"/>
        <w:autoSpaceDE w:val="0"/>
        <w:autoSpaceDN w:val="0"/>
        <w:adjustRightInd w:val="0"/>
        <w:ind w:right="51"/>
        <w:contextualSpacing/>
        <w:rPr>
          <w:b/>
          <w:bCs/>
        </w:rPr>
      </w:pPr>
      <w:r w:rsidRPr="00047807">
        <w:rPr>
          <w:b/>
          <w:bCs/>
        </w:rPr>
        <w:t>Мукормикоз кожи и мягких тканей</w:t>
      </w:r>
    </w:p>
    <w:p w14:paraId="0A55681F" w14:textId="77777777" w:rsidR="00875B79" w:rsidRPr="00DA2BC8" w:rsidRDefault="00875B79" w:rsidP="00875B79">
      <w:pPr>
        <w:widowControl w:val="0"/>
        <w:autoSpaceDE w:val="0"/>
        <w:autoSpaceDN w:val="0"/>
        <w:adjustRightInd w:val="0"/>
        <w:ind w:right="51"/>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0988210A" w14:textId="77777777" w:rsidR="00875B79" w:rsidRPr="00DA2BC8" w:rsidRDefault="00875B79" w:rsidP="00875B79">
      <w:pPr>
        <w:widowControl w:val="0"/>
        <w:autoSpaceDE w:val="0"/>
        <w:autoSpaceDN w:val="0"/>
        <w:adjustRightInd w:val="0"/>
        <w:ind w:right="51"/>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466843D1" w14:textId="77777777" w:rsidR="00875B79" w:rsidRDefault="00875B79" w:rsidP="00875B79">
      <w:pPr>
        <w:widowControl w:val="0"/>
        <w:autoSpaceDE w:val="0"/>
        <w:autoSpaceDN w:val="0"/>
        <w:adjustRightInd w:val="0"/>
        <w:ind w:right="50"/>
        <w:contextualSpacing/>
        <w:rPr>
          <w:b/>
          <w:bCs/>
        </w:rPr>
      </w:pPr>
    </w:p>
    <w:p w14:paraId="28FE71D5" w14:textId="350BCEBA" w:rsidR="00875B79" w:rsidRPr="00144984" w:rsidRDefault="00875B79" w:rsidP="00875B79">
      <w:pPr>
        <w:widowControl w:val="0"/>
        <w:autoSpaceDE w:val="0"/>
        <w:autoSpaceDN w:val="0"/>
        <w:adjustRightInd w:val="0"/>
        <w:ind w:right="49"/>
        <w:contextualSpacing/>
        <w:rPr>
          <w:bCs/>
          <w:u w:val="single"/>
        </w:rPr>
      </w:pPr>
      <w:r w:rsidRPr="00686506">
        <w:rPr>
          <w:bCs/>
          <w:u w:val="single"/>
        </w:rPr>
        <w:t xml:space="preserve">Диагностика и лечение инвазивных микозов, вызванных редкими плесневыми грибами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[58,59,65,70]","plainTextFormattedCitation":"[58,59,65,70]","previouslyFormattedCitation":"[58,59,65,70]"},"properties":{"noteIndex":0},"schema":"https://github.com/citation-style-language/schema/raw/master/csl-citation.json"}</w:instrText>
      </w:r>
      <w:r>
        <w:rPr>
          <w:b/>
        </w:rPr>
        <w:fldChar w:fldCharType="separate"/>
      </w:r>
      <w:r w:rsidRPr="00875B79">
        <w:rPr>
          <w:noProof/>
        </w:rPr>
        <w:t>[58,59,65,70]</w:t>
      </w:r>
      <w:r>
        <w:rPr>
          <w:b/>
        </w:rPr>
        <w:fldChar w:fldCharType="end"/>
      </w:r>
    </w:p>
    <w:p w14:paraId="4461C81A" w14:textId="77777777" w:rsidR="00875B79" w:rsidRPr="00144984" w:rsidRDefault="00875B79" w:rsidP="00875B79">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14:paraId="76467179" w14:textId="77777777" w:rsidR="00875B79" w:rsidRPr="00144984" w:rsidRDefault="00875B79" w:rsidP="00875B79">
      <w:pPr>
        <w:widowControl w:val="0"/>
        <w:autoSpaceDE w:val="0"/>
        <w:autoSpaceDN w:val="0"/>
        <w:adjustRightInd w:val="0"/>
        <w:ind w:right="50"/>
        <w:contextualSpacing/>
        <w:rPr>
          <w:i/>
          <w:iCs/>
          <w:u w:val="single"/>
        </w:rPr>
      </w:pPr>
      <w:r w:rsidRPr="00686506">
        <w:rPr>
          <w:i/>
          <w:iCs/>
          <w:u w:val="single"/>
        </w:rPr>
        <w:t>Фузариоз</w:t>
      </w:r>
      <w:r w:rsidRPr="00144984">
        <w:rPr>
          <w:i/>
          <w:iCs/>
          <w:u w:val="single"/>
        </w:rPr>
        <w:t xml:space="preserve"> </w:t>
      </w:r>
    </w:p>
    <w:p w14:paraId="077C1B9B" w14:textId="77777777" w:rsidR="00875B79" w:rsidRPr="00DA2BC8" w:rsidRDefault="00875B79" w:rsidP="00875B79">
      <w:pPr>
        <w:widowControl w:val="0"/>
        <w:autoSpaceDE w:val="0"/>
        <w:autoSpaceDN w:val="0"/>
        <w:adjustRightInd w:val="0"/>
        <w:ind w:right="50"/>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3F3BCB78" w14:textId="77777777" w:rsidR="00875B79" w:rsidRPr="00DA2BC8" w:rsidRDefault="00875B79" w:rsidP="00875B79">
      <w:pPr>
        <w:widowControl w:val="0"/>
        <w:autoSpaceDE w:val="0"/>
        <w:autoSpaceDN w:val="0"/>
        <w:adjustRightInd w:val="0"/>
        <w:ind w:right="50"/>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73F9A357" w14:textId="77777777" w:rsidR="00875B79" w:rsidRPr="00686506" w:rsidRDefault="00875B79" w:rsidP="00875B79">
      <w:pPr>
        <w:widowControl w:val="0"/>
        <w:autoSpaceDE w:val="0"/>
        <w:autoSpaceDN w:val="0"/>
        <w:adjustRightInd w:val="0"/>
        <w:ind w:right="51"/>
        <w:contextualSpacing/>
        <w:rPr>
          <w:i/>
          <w:iCs/>
          <w:u w:val="single"/>
        </w:rPr>
      </w:pPr>
      <w:r w:rsidRPr="00686506">
        <w:rPr>
          <w:i/>
          <w:iCs/>
          <w:u w:val="single"/>
        </w:rPr>
        <w:t xml:space="preserve">Сцедоспориоз </w:t>
      </w:r>
    </w:p>
    <w:p w14:paraId="4AFC3E43" w14:textId="77777777" w:rsidR="00875B79" w:rsidRPr="00DA2BC8" w:rsidRDefault="00875B79" w:rsidP="00875B79">
      <w:pPr>
        <w:widowControl w:val="0"/>
        <w:autoSpaceDE w:val="0"/>
        <w:autoSpaceDN w:val="0"/>
        <w:adjustRightInd w:val="0"/>
        <w:ind w:right="51"/>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14:paraId="49ED5B58" w14:textId="77777777" w:rsidR="00875B79" w:rsidRPr="00686506" w:rsidRDefault="00875B79" w:rsidP="00875B79">
      <w:pPr>
        <w:widowControl w:val="0"/>
        <w:autoSpaceDE w:val="0"/>
        <w:autoSpaceDN w:val="0"/>
        <w:adjustRightInd w:val="0"/>
        <w:ind w:right="51"/>
        <w:contextualSpacing/>
        <w:rPr>
          <w:i/>
          <w:iCs/>
          <w:u w:val="single"/>
        </w:rPr>
      </w:pPr>
      <w:r w:rsidRPr="00686506">
        <w:rPr>
          <w:i/>
          <w:iCs/>
          <w:u w:val="single"/>
        </w:rPr>
        <w:t>Инфекции, вызванные Acremonium spp.</w:t>
      </w:r>
    </w:p>
    <w:p w14:paraId="31D611FE" w14:textId="77777777" w:rsidR="00875B79" w:rsidRPr="00DA2BC8" w:rsidRDefault="00875B79" w:rsidP="00875B79">
      <w:pPr>
        <w:widowControl w:val="0"/>
        <w:autoSpaceDE w:val="0"/>
        <w:autoSpaceDN w:val="0"/>
        <w:adjustRightInd w:val="0"/>
        <w:ind w:right="51"/>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14:paraId="7C7CFAA3" w14:textId="77777777" w:rsidR="00875B79" w:rsidRDefault="00875B79" w:rsidP="00875B79">
      <w:pPr>
        <w:widowControl w:val="0"/>
        <w:autoSpaceDE w:val="0"/>
        <w:autoSpaceDN w:val="0"/>
        <w:adjustRightInd w:val="0"/>
        <w:ind w:right="50"/>
        <w:contextualSpacing/>
        <w:rPr>
          <w:b/>
          <w:bCs/>
        </w:rPr>
      </w:pPr>
    </w:p>
    <w:p w14:paraId="61A83659" w14:textId="01A22E6B" w:rsidR="00875B79" w:rsidRPr="00084B8B" w:rsidRDefault="00875B79" w:rsidP="00875B79">
      <w:pPr>
        <w:widowControl w:val="0"/>
        <w:autoSpaceDE w:val="0"/>
        <w:autoSpaceDN w:val="0"/>
        <w:adjustRightInd w:val="0"/>
        <w:ind w:right="50"/>
        <w:contextualSpacing/>
        <w:rPr>
          <w:b/>
        </w:rPr>
      </w:pPr>
      <w:r w:rsidRPr="00686506">
        <w:rPr>
          <w:bCs/>
          <w:u w:val="single"/>
        </w:rPr>
        <w:t>Диагностика и лечение пневмоцистной пневмонии</w:t>
      </w:r>
      <w:r w:rsidRPr="00084B8B">
        <w:rPr>
          <w:bCs/>
          <w:u w:val="single"/>
        </w:rPr>
        <w:t xml:space="preserve"> </w:t>
      </w:r>
      <w:r>
        <w:rPr>
          <w:b/>
        </w:rPr>
        <w:fldChar w:fldCharType="begin" w:fldLock="1"/>
      </w:r>
      <w:r w:rsidR="00FE0F01">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[58,59,65,71]","plainTextFormattedCitation":"[58,59,65,71]","previouslyFormattedCitation":"[58,59,65,71]"},"properties":{"noteIndex":0},"schema":"https://github.com/citation-style-language/schema/raw/master/csl-citation.json"}</w:instrText>
      </w:r>
      <w:r>
        <w:rPr>
          <w:b/>
        </w:rPr>
        <w:fldChar w:fldCharType="separate"/>
      </w:r>
      <w:r w:rsidRPr="00875B79">
        <w:rPr>
          <w:noProof/>
        </w:rPr>
        <w:t>[58,59,65,71]</w:t>
      </w:r>
      <w:r>
        <w:rPr>
          <w:b/>
        </w:rPr>
        <w:fldChar w:fldCharType="end"/>
      </w:r>
    </w:p>
    <w:p w14:paraId="0D39ED58" w14:textId="77777777" w:rsidR="00875B79" w:rsidRPr="00DA2BC8" w:rsidRDefault="00875B79" w:rsidP="00875B79">
      <w:pPr>
        <w:widowControl w:val="0"/>
        <w:autoSpaceDE w:val="0"/>
        <w:autoSpaceDN w:val="0"/>
        <w:adjustRightInd w:val="0"/>
        <w:ind w:right="50"/>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14:paraId="025309DC" w14:textId="77777777" w:rsidR="00875B79" w:rsidRPr="00DA2BC8" w:rsidRDefault="00875B79" w:rsidP="00875B79">
      <w:pPr>
        <w:widowControl w:val="0"/>
        <w:autoSpaceDE w:val="0"/>
        <w:autoSpaceDN w:val="0"/>
        <w:adjustRightInd w:val="0"/>
        <w:ind w:right="50"/>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14:paraId="46ADFBF0" w14:textId="77777777" w:rsidR="00875B79" w:rsidRPr="00686506" w:rsidRDefault="00875B79" w:rsidP="00875B79">
      <w:pPr>
        <w:widowControl w:val="0"/>
        <w:autoSpaceDE w:val="0"/>
        <w:autoSpaceDN w:val="0"/>
        <w:adjustRightInd w:val="0"/>
        <w:ind w:right="50"/>
        <w:contextualSpacing/>
        <w:rPr>
          <w:i/>
          <w:iCs/>
        </w:rPr>
      </w:pPr>
      <w:r w:rsidRPr="00686506">
        <w:rPr>
          <w:i/>
          <w:iCs/>
          <w:u w:val="single"/>
        </w:rPr>
        <w:t>Факторы риска</w:t>
      </w:r>
    </w:p>
    <w:p w14:paraId="1BA6F6D1" w14:textId="77777777" w:rsidR="00875B79" w:rsidRPr="00DA2BC8" w:rsidRDefault="00875B79" w:rsidP="00875B79">
      <w:pPr>
        <w:widowControl w:val="0"/>
        <w:autoSpaceDE w:val="0"/>
        <w:autoSpaceDN w:val="0"/>
        <w:adjustRightInd w:val="0"/>
        <w:ind w:right="50"/>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14:paraId="6F57651F" w14:textId="77777777" w:rsidR="00875B79" w:rsidRPr="00686506" w:rsidRDefault="00875B79" w:rsidP="00875B79">
      <w:pPr>
        <w:widowControl w:val="0"/>
        <w:autoSpaceDE w:val="0"/>
        <w:autoSpaceDN w:val="0"/>
        <w:adjustRightInd w:val="0"/>
        <w:ind w:right="50"/>
        <w:contextualSpacing/>
        <w:rPr>
          <w:i/>
          <w:iCs/>
          <w:u w:val="single"/>
        </w:rPr>
      </w:pPr>
      <w:r w:rsidRPr="00686506">
        <w:rPr>
          <w:i/>
          <w:iCs/>
          <w:u w:val="single"/>
        </w:rPr>
        <w:t>Симптомы</w:t>
      </w:r>
    </w:p>
    <w:p w14:paraId="06CF551E" w14:textId="77777777" w:rsidR="00875B79" w:rsidRPr="00DA2BC8" w:rsidRDefault="00875B79" w:rsidP="00875B79">
      <w:pPr>
        <w:widowControl w:val="0"/>
        <w:autoSpaceDE w:val="0"/>
        <w:autoSpaceDN w:val="0"/>
        <w:adjustRightInd w:val="0"/>
        <w:ind w:right="50"/>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5B01274E" w14:textId="77777777" w:rsidR="00875B79" w:rsidRPr="00DA2BC8" w:rsidRDefault="00875B79" w:rsidP="00875B79">
      <w:pPr>
        <w:widowControl w:val="0"/>
        <w:autoSpaceDE w:val="0"/>
        <w:autoSpaceDN w:val="0"/>
        <w:adjustRightInd w:val="0"/>
        <w:ind w:right="50"/>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14:paraId="564DB925" w14:textId="77777777" w:rsidR="00875B79" w:rsidRPr="00DA2BC8" w:rsidRDefault="00875B79" w:rsidP="00875B79">
      <w:pPr>
        <w:widowControl w:val="0"/>
        <w:autoSpaceDE w:val="0"/>
        <w:autoSpaceDN w:val="0"/>
        <w:adjustRightInd w:val="0"/>
        <w:ind w:right="50"/>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7EC4AA29" w14:textId="77777777" w:rsidR="00875B79" w:rsidRPr="00DA2BC8" w:rsidRDefault="00875B79" w:rsidP="00875B79">
      <w:pPr>
        <w:widowControl w:val="0"/>
        <w:autoSpaceDE w:val="0"/>
        <w:autoSpaceDN w:val="0"/>
        <w:adjustRightInd w:val="0"/>
        <w:ind w:right="50"/>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14:paraId="59C0F269" w14:textId="77777777" w:rsidR="00875B79" w:rsidRPr="00DA2BC8" w:rsidRDefault="00875B79" w:rsidP="00875B79">
      <w:pPr>
        <w:widowControl w:val="0"/>
        <w:autoSpaceDE w:val="0"/>
        <w:autoSpaceDN w:val="0"/>
        <w:adjustRightInd w:val="0"/>
        <w:ind w:right="50"/>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5A208860" w14:textId="77777777" w:rsidR="00875B79" w:rsidRPr="00686506" w:rsidRDefault="00875B79" w:rsidP="00875B79">
      <w:pPr>
        <w:widowControl w:val="0"/>
        <w:autoSpaceDE w:val="0"/>
        <w:autoSpaceDN w:val="0"/>
        <w:adjustRightInd w:val="0"/>
        <w:ind w:right="50"/>
        <w:contextualSpacing/>
        <w:rPr>
          <w:bCs/>
          <w:i/>
          <w:iCs/>
          <w:u w:val="single"/>
        </w:rPr>
      </w:pPr>
      <w:r w:rsidRPr="00686506">
        <w:rPr>
          <w:bCs/>
          <w:i/>
          <w:iCs/>
          <w:u w:val="single"/>
        </w:rPr>
        <w:t>Радиологические особенности пневмоцистной пневмонии</w:t>
      </w:r>
    </w:p>
    <w:p w14:paraId="2D1CA9BC" w14:textId="77777777" w:rsidR="00875B79" w:rsidRPr="00DA2BC8" w:rsidRDefault="00875B79" w:rsidP="00875B79">
      <w:pPr>
        <w:widowControl w:val="0"/>
        <w:autoSpaceDE w:val="0"/>
        <w:autoSpaceDN w:val="0"/>
        <w:adjustRightInd w:val="0"/>
        <w:ind w:right="50"/>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3FA8697D" w14:textId="77777777" w:rsidR="00875B79" w:rsidRPr="00DA2BC8" w:rsidRDefault="00875B79" w:rsidP="00875B79">
      <w:pPr>
        <w:widowControl w:val="0"/>
        <w:autoSpaceDE w:val="0"/>
        <w:autoSpaceDN w:val="0"/>
        <w:adjustRightInd w:val="0"/>
        <w:ind w:right="50"/>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3AE3B23C" w14:textId="77777777" w:rsidR="00875B79" w:rsidRPr="00DA2BC8" w:rsidRDefault="00875B79" w:rsidP="00875B79">
      <w:pPr>
        <w:widowControl w:val="0"/>
        <w:autoSpaceDE w:val="0"/>
        <w:autoSpaceDN w:val="0"/>
        <w:adjustRightInd w:val="0"/>
        <w:ind w:right="50"/>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14:paraId="4C3968C2" w14:textId="77777777" w:rsidR="00875B79" w:rsidRPr="00DA2BC8" w:rsidRDefault="00875B79" w:rsidP="00875B79">
      <w:pPr>
        <w:widowControl w:val="0"/>
        <w:autoSpaceDE w:val="0"/>
        <w:autoSpaceDN w:val="0"/>
        <w:adjustRightInd w:val="0"/>
        <w:ind w:right="50"/>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5174C6D2" w14:textId="77777777" w:rsidR="00875B79" w:rsidRDefault="00875B79" w:rsidP="00875B79">
      <w:pPr>
        <w:widowControl w:val="0"/>
        <w:autoSpaceDE w:val="0"/>
        <w:autoSpaceDN w:val="0"/>
        <w:adjustRightInd w:val="0"/>
        <w:ind w:right="50"/>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bookmarkEnd w:id="74"/>
    <w:p w14:paraId="07FC5928" w14:textId="77777777" w:rsidR="00875B79" w:rsidRDefault="00875B79" w:rsidP="00875B79">
      <w:pPr>
        <w:widowControl w:val="0"/>
        <w:autoSpaceDE w:val="0"/>
        <w:autoSpaceDN w:val="0"/>
        <w:adjustRightInd w:val="0"/>
        <w:ind w:right="50"/>
        <w:contextualSpacing/>
      </w:pPr>
    </w:p>
    <w:p w14:paraId="087119CD" w14:textId="77777777" w:rsidR="00F8524A" w:rsidRPr="00F333D2" w:rsidRDefault="00F8524A" w:rsidP="00F8524A">
      <w:pPr>
        <w:pStyle w:val="2"/>
      </w:pPr>
    </w:p>
    <w:p w14:paraId="4277AC6F" w14:textId="77777777" w:rsidR="00F333D2" w:rsidRDefault="00F333D2" w:rsidP="007737BD">
      <w:pPr>
        <w:pStyle w:val="2"/>
      </w:pPr>
    </w:p>
    <w:p w14:paraId="62C156B4" w14:textId="77777777" w:rsidR="004F1D40" w:rsidRDefault="004F1D40" w:rsidP="00D22A46">
      <w:pPr>
        <w:pStyle w:val="2"/>
      </w:pPr>
    </w:p>
    <w:p w14:paraId="185ABC5F" w14:textId="77777777" w:rsidR="00AA297E" w:rsidRPr="00F01546" w:rsidRDefault="00AA297E" w:rsidP="00AA297E">
      <w:pPr>
        <w:widowControl w:val="0"/>
        <w:autoSpaceDE w:val="0"/>
        <w:autoSpaceDN w:val="0"/>
        <w:adjustRightInd w:val="0"/>
        <w:ind w:left="640" w:hanging="640"/>
        <w:rPr>
          <w:color w:val="FF0000"/>
          <w:lang w:eastAsia="ru-RU" w:bidi="ru-RU"/>
        </w:rPr>
      </w:pPr>
    </w:p>
    <w:p w14:paraId="22A5F14C" w14:textId="77777777" w:rsidR="009B6587" w:rsidRPr="003C1AEB" w:rsidRDefault="009B6587" w:rsidP="009B6587">
      <w:pPr>
        <w:pStyle w:val="2"/>
      </w:pPr>
    </w:p>
    <w:p w14:paraId="568F926B" w14:textId="77777777" w:rsidR="009B6587" w:rsidRDefault="009B6587" w:rsidP="00AD5514">
      <w:pPr>
        <w:pStyle w:val="afe"/>
        <w:tabs>
          <w:tab w:val="left" w:pos="0"/>
        </w:tabs>
        <w:ind w:left="0" w:firstLine="567"/>
        <w:rPr>
          <w:szCs w:val="24"/>
        </w:rPr>
      </w:pPr>
    </w:p>
    <w:p w14:paraId="50738D67" w14:textId="77777777" w:rsidR="009B6587" w:rsidRPr="007C2EE2" w:rsidRDefault="009B6587" w:rsidP="00AD5514">
      <w:pPr>
        <w:pStyle w:val="afe"/>
        <w:tabs>
          <w:tab w:val="left" w:pos="0"/>
        </w:tabs>
        <w:ind w:left="0" w:firstLine="567"/>
        <w:rPr>
          <w:szCs w:val="24"/>
        </w:rPr>
      </w:pPr>
    </w:p>
    <w:p w14:paraId="6D8E3989" w14:textId="77777777" w:rsidR="00AD5514" w:rsidRDefault="00AD5514" w:rsidP="00AD5514">
      <w:pPr>
        <w:spacing w:line="240" w:lineRule="auto"/>
        <w:ind w:firstLine="0"/>
        <w:jc w:val="left"/>
        <w:rPr>
          <w:lang w:eastAsia="ru-RU" w:bidi="ru-RU"/>
        </w:rPr>
      </w:pPr>
      <w:r>
        <w:rPr>
          <w:lang w:eastAsia="ru-RU" w:bidi="ru-RU"/>
        </w:rPr>
        <w:br w:type="page"/>
      </w:r>
    </w:p>
    <w:p w14:paraId="4259FD60" w14:textId="77777777" w:rsidR="00AD5514" w:rsidRDefault="00AD5514" w:rsidP="00A83C66">
      <w:pPr>
        <w:pStyle w:val="2"/>
      </w:pPr>
    </w:p>
    <w:p w14:paraId="6A368A7D" w14:textId="77777777" w:rsidR="008B402F" w:rsidRDefault="008B402F" w:rsidP="00356F3C">
      <w:pPr>
        <w:pStyle w:val="2"/>
      </w:pPr>
    </w:p>
    <w:p w14:paraId="275ECE8B" w14:textId="77777777" w:rsidR="00356F3C" w:rsidRDefault="00356F3C" w:rsidP="00D3063E">
      <w:pPr>
        <w:contextualSpacing/>
        <w:rPr>
          <w:rFonts w:eastAsia="Calibri" w:cs="Times New Roman"/>
        </w:rPr>
      </w:pPr>
    </w:p>
    <w:p w14:paraId="05C431EE" w14:textId="77777777" w:rsidR="00356F3C" w:rsidRDefault="00356F3C" w:rsidP="00D3063E">
      <w:pPr>
        <w:contextualSpacing/>
        <w:rPr>
          <w:rFonts w:eastAsia="Calibri" w:cs="Times New Roman"/>
        </w:rPr>
      </w:pPr>
    </w:p>
    <w:p w14:paraId="30112CEA" w14:textId="77777777" w:rsidR="000414F6" w:rsidRDefault="00CB71DA" w:rsidP="00B104EF">
      <w:pPr>
        <w:pStyle w:val="CustomContentNormal"/>
      </w:pPr>
      <w:bookmarkStart w:id="75" w:name="_Toc65108049"/>
      <w:r>
        <w:t>Критерии оценки качества</w:t>
      </w:r>
      <w:r w:rsidR="002D4BC6">
        <w:t xml:space="preserve"> оказания</w:t>
      </w:r>
      <w:r>
        <w:t xml:space="preserve"> медицинской помощи</w:t>
      </w:r>
      <w:bookmarkEnd w:id="53"/>
      <w:bookmarkEnd w:id="75"/>
    </w:p>
    <w:p w14:paraId="30112CEB" w14:textId="77777777" w:rsidR="0025228A" w:rsidRPr="0017531C" w:rsidRDefault="0025228A" w:rsidP="00094ED6">
      <w:pPr>
        <w:pStyle w:val="afffb"/>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
        <w:gridCol w:w="6262"/>
        <w:gridCol w:w="2118"/>
      </w:tblGrid>
      <w:tr w:rsidR="00CC07D9" w14:paraId="30112CF0" w14:textId="77777777" w:rsidTr="00463D76">
        <w:trPr>
          <w:tblHeader/>
        </w:trPr>
        <w:tc>
          <w:tcPr>
            <w:tcW w:w="224" w:type="pct"/>
            <w:tcBorders>
              <w:top w:val="single" w:sz="6" w:space="0" w:color="000000"/>
              <w:left w:val="single" w:sz="6" w:space="0" w:color="000000"/>
              <w:bottom w:val="single" w:sz="6" w:space="0" w:color="000000"/>
              <w:right w:val="single" w:sz="6" w:space="0" w:color="000000"/>
            </w:tcBorders>
            <w:vAlign w:val="center"/>
            <w:hideMark/>
          </w:tcPr>
          <w:p w14:paraId="30112CEC" w14:textId="77777777" w:rsidR="00CC07D9" w:rsidRDefault="00CC07D9" w:rsidP="00CC07D9">
            <w:pPr>
              <w:pStyle w:val="afd"/>
              <w:spacing w:beforeAutospacing="0" w:afterAutospacing="0" w:line="240" w:lineRule="auto"/>
              <w:ind w:firstLine="0"/>
              <w:jc w:val="center"/>
            </w:pPr>
            <w:bookmarkStart w:id="76" w:name="__RefHeading___doc_bible"/>
            <w:r>
              <w:rPr>
                <w:rStyle w:val="affb"/>
              </w:rPr>
              <w:t>№</w:t>
            </w:r>
          </w:p>
          <w:p w14:paraId="30112CED" w14:textId="77777777" w:rsidR="00CC07D9" w:rsidRDefault="00CC07D9" w:rsidP="00CC07D9">
            <w:pPr>
              <w:pStyle w:val="afd"/>
              <w:spacing w:beforeAutospacing="0" w:afterAutospacing="0" w:line="240" w:lineRule="auto"/>
              <w:ind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hideMark/>
          </w:tcPr>
          <w:p w14:paraId="30112CEE" w14:textId="77777777" w:rsidR="00CC07D9" w:rsidRDefault="00CC07D9" w:rsidP="00CC07D9">
            <w:pPr>
              <w:pStyle w:val="afd"/>
              <w:spacing w:beforeAutospacing="0" w:afterAutospacing="0" w:line="240" w:lineRule="auto"/>
              <w:ind w:firstLine="0"/>
              <w:jc w:val="center"/>
            </w:pPr>
            <w:r>
              <w:rPr>
                <w:rStyle w:val="affb"/>
              </w:rPr>
              <w:t>Критерии качества</w:t>
            </w:r>
          </w:p>
        </w:tc>
        <w:tc>
          <w:tcPr>
            <w:tcW w:w="1207" w:type="pct"/>
            <w:tcBorders>
              <w:top w:val="single" w:sz="6" w:space="0" w:color="000000"/>
              <w:left w:val="single" w:sz="6" w:space="0" w:color="000000"/>
              <w:bottom w:val="single" w:sz="6" w:space="0" w:color="000000"/>
              <w:right w:val="single" w:sz="6" w:space="0" w:color="000000"/>
            </w:tcBorders>
            <w:vAlign w:val="center"/>
            <w:hideMark/>
          </w:tcPr>
          <w:p w14:paraId="30112CEF" w14:textId="77777777" w:rsidR="00CC07D9" w:rsidRDefault="00CC07D9" w:rsidP="00CC07D9">
            <w:pPr>
              <w:pStyle w:val="afd"/>
              <w:spacing w:beforeAutospacing="0" w:afterAutospacing="0" w:line="240" w:lineRule="auto"/>
              <w:ind w:firstLine="0"/>
              <w:jc w:val="center"/>
            </w:pPr>
            <w:r w:rsidRPr="0047097A">
              <w:rPr>
                <w:b/>
                <w:bCs/>
              </w:rPr>
              <w:t>Оценка выполнения</w:t>
            </w:r>
          </w:p>
        </w:tc>
      </w:tr>
      <w:tr w:rsidR="00CC07D9" w14:paraId="30112CF4" w14:textId="77777777" w:rsidTr="00463D76">
        <w:tc>
          <w:tcPr>
            <w:tcW w:w="224" w:type="pct"/>
            <w:tcBorders>
              <w:top w:val="single" w:sz="6" w:space="0" w:color="000000"/>
              <w:left w:val="single" w:sz="6" w:space="0" w:color="000000"/>
              <w:bottom w:val="single" w:sz="6" w:space="0" w:color="000000"/>
              <w:right w:val="single" w:sz="6" w:space="0" w:color="000000"/>
            </w:tcBorders>
            <w:hideMark/>
          </w:tcPr>
          <w:p w14:paraId="30112CF1" w14:textId="77777777" w:rsidR="00CC07D9" w:rsidRDefault="00CC07D9" w:rsidP="00CC07D9">
            <w:pPr>
              <w:pStyle w:val="afd"/>
              <w:numPr>
                <w:ilvl w:val="0"/>
                <w:numId w:val="4"/>
              </w:numPr>
              <w:spacing w:beforeAutospacing="0" w:afterAutospacing="0" w:line="240" w:lineRule="auto"/>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30112CF2" w14:textId="77777777" w:rsidR="00CC07D9" w:rsidRDefault="00CC07D9" w:rsidP="00CC07D9">
            <w:pPr>
              <w:pStyle w:val="afd"/>
              <w:spacing w:beforeAutospacing="0" w:afterAutospacing="0" w:line="240" w:lineRule="auto"/>
              <w:ind w:firstLine="0"/>
            </w:pPr>
            <w:r>
              <w:t>Пациенту с подозрением на</w:t>
            </w:r>
            <w:r w:rsidR="002D4BC6">
              <w:t xml:space="preserve"> </w:t>
            </w:r>
            <w:r w:rsidR="00E307F7">
              <w:t>ЛМЗ</w:t>
            </w:r>
            <w:r>
              <w:t xml:space="preserve"> или с выявленной </w:t>
            </w:r>
            <w:r w:rsidR="00E307F7">
              <w:t>ЛМЗ</w:t>
            </w:r>
            <w:r w:rsidR="002D4BC6">
              <w:t xml:space="preserve"> </w:t>
            </w:r>
            <w:r>
              <w:t>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развернутый клинический анализ крови с определением гемоглобина, эритроцитов, тромбоцитов, лейкоцитов, подсчетом лейкоцитарной формулы с оценкой абсолютного содержания лейкоцитов и количества ретикулоцитов, оценкой скорости оседания эритроцитов</w:t>
            </w:r>
          </w:p>
        </w:tc>
        <w:tc>
          <w:tcPr>
            <w:tcW w:w="1207" w:type="pct"/>
            <w:tcBorders>
              <w:top w:val="single" w:sz="6" w:space="0" w:color="000000"/>
              <w:left w:val="single" w:sz="6" w:space="0" w:color="000000"/>
              <w:bottom w:val="single" w:sz="6" w:space="0" w:color="000000"/>
              <w:right w:val="single" w:sz="6" w:space="0" w:color="000000"/>
            </w:tcBorders>
          </w:tcPr>
          <w:p w14:paraId="30112CF3" w14:textId="77777777" w:rsidR="00CC07D9" w:rsidRDefault="00CC07D9" w:rsidP="00CC07D9">
            <w:pPr>
              <w:pStyle w:val="afd"/>
              <w:spacing w:beforeAutospacing="0" w:afterAutospacing="0" w:line="240" w:lineRule="auto"/>
              <w:ind w:firstLine="0"/>
            </w:pPr>
            <w:r w:rsidRPr="008A2ECC">
              <w:t>Да/Нет</w:t>
            </w:r>
          </w:p>
        </w:tc>
      </w:tr>
      <w:tr w:rsidR="00CC07D9" w14:paraId="30112CF8" w14:textId="77777777" w:rsidTr="00463D76">
        <w:tc>
          <w:tcPr>
            <w:tcW w:w="224" w:type="pct"/>
            <w:tcBorders>
              <w:top w:val="single" w:sz="6" w:space="0" w:color="000000"/>
              <w:left w:val="single" w:sz="6" w:space="0" w:color="000000"/>
              <w:bottom w:val="single" w:sz="6" w:space="0" w:color="000000"/>
              <w:right w:val="single" w:sz="6" w:space="0" w:color="000000"/>
            </w:tcBorders>
            <w:hideMark/>
          </w:tcPr>
          <w:p w14:paraId="30112CF5" w14:textId="77777777" w:rsidR="00CC07D9" w:rsidRDefault="00CC07D9" w:rsidP="00CC07D9">
            <w:pPr>
              <w:pStyle w:val="afd"/>
              <w:numPr>
                <w:ilvl w:val="0"/>
                <w:numId w:val="4"/>
              </w:numPr>
              <w:spacing w:beforeAutospacing="0" w:afterAutospacing="0" w:line="240" w:lineRule="auto"/>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30112CF6" w14:textId="77777777" w:rsidR="00CC07D9" w:rsidRDefault="00CC07D9" w:rsidP="00CC07D9">
            <w:pPr>
              <w:pStyle w:val="afd"/>
              <w:spacing w:beforeAutospacing="0" w:afterAutospacing="0" w:line="240" w:lineRule="auto"/>
              <w:ind w:firstLine="0"/>
            </w:pPr>
            <w:r>
              <w:t xml:space="preserve">Пациенту с подозрением на </w:t>
            </w:r>
            <w:r w:rsidR="00E307F7">
              <w:t>ЛМЗ</w:t>
            </w:r>
            <w:r w:rsidR="002D4BC6">
              <w:t xml:space="preserve"> </w:t>
            </w:r>
            <w:r>
              <w:t xml:space="preserve">или с выявленной </w:t>
            </w:r>
            <w:r w:rsidR="00E307F7">
              <w:t>ЛМЗ</w:t>
            </w:r>
            <w:r w:rsidR="002D4BC6">
              <w:t xml:space="preserve"> </w:t>
            </w:r>
            <w:r>
              <w:t xml:space="preserve">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анализ крови биохимический общетерапевтический с </w:t>
            </w:r>
            <w:r w:rsidRPr="0052462B">
              <w:rPr>
                <w:iCs/>
              </w:rPr>
              <w:t>включ</w:t>
            </w:r>
            <w:r>
              <w:rPr>
                <w:iCs/>
              </w:rPr>
              <w:t>ением</w:t>
            </w:r>
            <w:r w:rsidRPr="0052462B">
              <w:rPr>
                <w:iCs/>
              </w:rPr>
              <w:t xml:space="preserve"> следующих параметров: </w:t>
            </w:r>
            <w:r w:rsidR="002D4BC6">
              <w:rPr>
                <w:iCs/>
              </w:rPr>
              <w:t>лактатдегидрогеназа</w:t>
            </w:r>
            <w:r w:rsidRPr="0052462B">
              <w:rPr>
                <w:iCs/>
              </w:rPr>
              <w:t xml:space="preserve">, мочевина, креатинин, общий белок, альбумин, билирубин, </w:t>
            </w:r>
            <w:r w:rsidR="002D4BC6">
              <w:rPr>
                <w:iCs/>
              </w:rPr>
              <w:t>аспартатаминотрансфераза</w:t>
            </w:r>
            <w:r w:rsidRPr="0052462B">
              <w:rPr>
                <w:iCs/>
              </w:rPr>
              <w:t>,</w:t>
            </w:r>
            <w:r w:rsidR="002D4BC6">
              <w:rPr>
                <w:iCs/>
              </w:rPr>
              <w:t xml:space="preserve"> аланинаминотрансфераза</w:t>
            </w:r>
            <w:r w:rsidRPr="0052462B">
              <w:rPr>
                <w:iCs/>
              </w:rPr>
              <w:t>, щелочная фосфатаза, калий, натрий, хлор, кальций</w:t>
            </w:r>
          </w:p>
        </w:tc>
        <w:tc>
          <w:tcPr>
            <w:tcW w:w="1207" w:type="pct"/>
            <w:tcBorders>
              <w:top w:val="single" w:sz="6" w:space="0" w:color="000000"/>
              <w:left w:val="single" w:sz="6" w:space="0" w:color="000000"/>
              <w:bottom w:val="single" w:sz="6" w:space="0" w:color="000000"/>
              <w:right w:val="single" w:sz="6" w:space="0" w:color="000000"/>
            </w:tcBorders>
          </w:tcPr>
          <w:p w14:paraId="30112CF7" w14:textId="77777777" w:rsidR="00CC07D9" w:rsidRDefault="00CC07D9" w:rsidP="00CC07D9">
            <w:pPr>
              <w:pStyle w:val="afd"/>
              <w:spacing w:beforeAutospacing="0" w:afterAutospacing="0" w:line="240" w:lineRule="auto"/>
              <w:ind w:firstLine="0"/>
            </w:pPr>
            <w:r w:rsidRPr="008A2ECC">
              <w:t>Да/Нет</w:t>
            </w:r>
          </w:p>
        </w:tc>
      </w:tr>
      <w:tr w:rsidR="00CC07D9" w14:paraId="30112CFC" w14:textId="77777777" w:rsidTr="00463D76">
        <w:tc>
          <w:tcPr>
            <w:tcW w:w="224" w:type="pct"/>
            <w:tcBorders>
              <w:top w:val="single" w:sz="6" w:space="0" w:color="000000"/>
              <w:left w:val="single" w:sz="6" w:space="0" w:color="000000"/>
              <w:bottom w:val="single" w:sz="6" w:space="0" w:color="000000"/>
              <w:right w:val="single" w:sz="6" w:space="0" w:color="000000"/>
            </w:tcBorders>
            <w:hideMark/>
          </w:tcPr>
          <w:p w14:paraId="30112CF9" w14:textId="77777777" w:rsidR="00CC07D9" w:rsidRDefault="00CC07D9" w:rsidP="00CC07D9">
            <w:pPr>
              <w:pStyle w:val="afd"/>
              <w:numPr>
                <w:ilvl w:val="0"/>
                <w:numId w:val="4"/>
              </w:numPr>
              <w:spacing w:beforeAutospacing="0" w:afterAutospacing="0" w:line="240" w:lineRule="auto"/>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30112CFA" w14:textId="77777777" w:rsidR="00CC07D9" w:rsidRDefault="00CC07D9" w:rsidP="00CC07D9">
            <w:pPr>
              <w:pStyle w:val="afd"/>
              <w:spacing w:beforeAutospacing="0" w:afterAutospacing="0" w:line="240" w:lineRule="auto"/>
              <w:ind w:firstLine="0"/>
            </w:pPr>
            <w:r>
              <w:t>П</w:t>
            </w:r>
            <w:r w:rsidRPr="000565F5">
              <w:t>ациент</w:t>
            </w:r>
            <w:r>
              <w:t>у</w:t>
            </w:r>
            <w:r w:rsidRPr="000565F5">
              <w:t xml:space="preserve"> при установ</w:t>
            </w:r>
            <w:r>
              <w:t>лении</w:t>
            </w:r>
            <w:r w:rsidRPr="000565F5">
              <w:t xml:space="preserve"> диагноза</w:t>
            </w:r>
            <w:r w:rsidR="002D4BC6">
              <w:t xml:space="preserve"> </w:t>
            </w:r>
            <w:r w:rsidR="00E307F7">
              <w:t>ЛМЗ</w:t>
            </w:r>
            <w:r w:rsidRPr="000565F5">
              <w:t>, при оценке</w:t>
            </w:r>
            <w:r>
              <w:t xml:space="preserve"> ответа на лечение, </w:t>
            </w:r>
            <w:r w:rsidRPr="000565F5">
              <w:t xml:space="preserve">а </w:t>
            </w:r>
            <w:r w:rsidRPr="00DF14AA">
              <w:rPr>
                <w:color w:val="000000" w:themeColor="text1"/>
              </w:rPr>
              <w:t>также при подозрении на рецидив заболевания выполн</w:t>
            </w:r>
            <w:r>
              <w:rPr>
                <w:color w:val="000000" w:themeColor="text1"/>
              </w:rPr>
              <w:t>ен</w:t>
            </w:r>
            <w:r w:rsidR="002D4BC6">
              <w:rPr>
                <w:color w:val="000000" w:themeColor="text1"/>
              </w:rPr>
              <w:t>а компьютерная томография</w:t>
            </w:r>
            <w:r w:rsidRPr="00DF14AA">
              <w:rPr>
                <w:color w:val="000000" w:themeColor="text1"/>
              </w:rPr>
              <w:t xml:space="preserve"> шеи, </w:t>
            </w:r>
            <w:r w:rsidRPr="000565F5">
              <w:t>грудной клетки, органов брюшной полости и малого таза (с контрастированием)</w:t>
            </w:r>
            <w:r>
              <w:t xml:space="preserve"> либо (при противопоказаниях против КТ или невозможности его выполнения) выполнены рентгенография органов грудной клетки в двух проекциях и ультразвуковое исследование лимфатических узлов и внутренних органов.</w:t>
            </w:r>
          </w:p>
        </w:tc>
        <w:tc>
          <w:tcPr>
            <w:tcW w:w="1207" w:type="pct"/>
            <w:tcBorders>
              <w:top w:val="single" w:sz="6" w:space="0" w:color="000000"/>
              <w:left w:val="single" w:sz="6" w:space="0" w:color="000000"/>
              <w:bottom w:val="single" w:sz="6" w:space="0" w:color="000000"/>
              <w:right w:val="single" w:sz="6" w:space="0" w:color="000000"/>
            </w:tcBorders>
          </w:tcPr>
          <w:p w14:paraId="30112CFB" w14:textId="77777777" w:rsidR="00CC07D9" w:rsidRDefault="00CC07D9" w:rsidP="00CC07D9">
            <w:pPr>
              <w:pStyle w:val="afd"/>
              <w:spacing w:beforeAutospacing="0" w:afterAutospacing="0" w:line="240" w:lineRule="auto"/>
              <w:ind w:firstLine="0"/>
            </w:pPr>
            <w:r w:rsidRPr="008A2ECC">
              <w:t>Да/Нет</w:t>
            </w:r>
          </w:p>
        </w:tc>
      </w:tr>
      <w:tr w:rsidR="00CC07D9" w14:paraId="30112D00" w14:textId="77777777" w:rsidTr="00463D76">
        <w:tc>
          <w:tcPr>
            <w:tcW w:w="224" w:type="pct"/>
            <w:tcBorders>
              <w:top w:val="single" w:sz="6" w:space="0" w:color="000000"/>
              <w:left w:val="single" w:sz="6" w:space="0" w:color="000000"/>
              <w:bottom w:val="single" w:sz="6" w:space="0" w:color="000000"/>
              <w:right w:val="single" w:sz="6" w:space="0" w:color="000000"/>
            </w:tcBorders>
          </w:tcPr>
          <w:p w14:paraId="30112CFD" w14:textId="77777777" w:rsidR="00CC07D9" w:rsidRDefault="00CC07D9" w:rsidP="00CC07D9">
            <w:pPr>
              <w:pStyle w:val="afd"/>
              <w:numPr>
                <w:ilvl w:val="0"/>
                <w:numId w:val="4"/>
              </w:numPr>
              <w:spacing w:beforeAutospacing="0" w:afterAutospacing="0" w:line="240" w:lineRule="auto"/>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30112CFE" w14:textId="77777777" w:rsidR="00CC07D9" w:rsidRDefault="00CC07D9" w:rsidP="00CB07EE">
            <w:pPr>
              <w:pStyle w:val="afd"/>
              <w:spacing w:beforeAutospacing="0" w:afterAutospacing="0" w:line="240" w:lineRule="auto"/>
              <w:ind w:firstLine="0"/>
            </w:pPr>
            <w:r>
              <w:t xml:space="preserve">Пациенту с подозрением на </w:t>
            </w:r>
            <w:r w:rsidR="00E307F7">
              <w:t xml:space="preserve">ЛМЗ </w:t>
            </w:r>
            <w:r>
              <w:t xml:space="preserve">выполнена биопсия (взятие биопсийного материала) лимфатического узла либо другого очага поражения, </w:t>
            </w:r>
            <w:r w:rsidRPr="00F6558C">
              <w:t>патолого-анатомическое исследование биопсийного (операционного) материала с применением иммуногистохимических методов</w:t>
            </w:r>
            <w:r>
              <w:t xml:space="preserve"> </w:t>
            </w:r>
          </w:p>
        </w:tc>
        <w:tc>
          <w:tcPr>
            <w:tcW w:w="1207" w:type="pct"/>
            <w:tcBorders>
              <w:top w:val="single" w:sz="6" w:space="0" w:color="000000"/>
              <w:left w:val="single" w:sz="6" w:space="0" w:color="000000"/>
              <w:bottom w:val="single" w:sz="6" w:space="0" w:color="000000"/>
              <w:right w:val="single" w:sz="6" w:space="0" w:color="000000"/>
            </w:tcBorders>
          </w:tcPr>
          <w:p w14:paraId="30112CFF" w14:textId="77777777" w:rsidR="00CC07D9" w:rsidRDefault="00CC07D9" w:rsidP="00CC07D9">
            <w:pPr>
              <w:pStyle w:val="afd"/>
              <w:spacing w:beforeAutospacing="0" w:afterAutospacing="0" w:line="240" w:lineRule="auto"/>
              <w:ind w:firstLine="0"/>
            </w:pPr>
            <w:r w:rsidRPr="008A2ECC">
              <w:t>Да/Нет</w:t>
            </w:r>
          </w:p>
        </w:tc>
      </w:tr>
      <w:tr w:rsidR="00CC07D9" w14:paraId="30112D04" w14:textId="77777777" w:rsidTr="00463D76">
        <w:tc>
          <w:tcPr>
            <w:tcW w:w="224" w:type="pct"/>
            <w:tcBorders>
              <w:top w:val="single" w:sz="6" w:space="0" w:color="000000"/>
              <w:left w:val="single" w:sz="6" w:space="0" w:color="000000"/>
              <w:bottom w:val="single" w:sz="6" w:space="0" w:color="000000"/>
              <w:right w:val="single" w:sz="6" w:space="0" w:color="000000"/>
            </w:tcBorders>
          </w:tcPr>
          <w:p w14:paraId="30112D01" w14:textId="77777777" w:rsidR="00CC07D9" w:rsidRDefault="00CC07D9" w:rsidP="00E307F7">
            <w:pPr>
              <w:pStyle w:val="afd"/>
              <w:spacing w:beforeAutospacing="0" w:afterAutospacing="0" w:line="240" w:lineRule="auto"/>
              <w:ind w:left="425"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30112D02" w14:textId="77777777" w:rsidR="00CC07D9" w:rsidRDefault="00E307F7" w:rsidP="00E307F7">
            <w:pPr>
              <w:spacing w:line="240" w:lineRule="auto"/>
              <w:ind w:firstLine="0"/>
            </w:pPr>
            <w:r>
              <w:rPr>
                <w:rFonts w:eastAsia="Times New Roman" w:cs="Times New Roman"/>
                <w:szCs w:val="24"/>
                <w:lang w:eastAsia="ru-RU"/>
              </w:rPr>
              <w:t>П</w:t>
            </w:r>
            <w:r w:rsidRPr="00E307F7">
              <w:rPr>
                <w:rFonts w:eastAsia="Times New Roman" w:cs="Times New Roman"/>
                <w:szCs w:val="24"/>
                <w:lang w:eastAsia="ru-RU"/>
              </w:rPr>
              <w:t>ациент</w:t>
            </w:r>
            <w:r>
              <w:rPr>
                <w:rFonts w:eastAsia="Times New Roman" w:cs="Times New Roman"/>
                <w:szCs w:val="24"/>
                <w:lang w:eastAsia="ru-RU"/>
              </w:rPr>
              <w:t>у п</w:t>
            </w:r>
            <w:r w:rsidRPr="00E307F7">
              <w:rPr>
                <w:rFonts w:eastAsia="Times New Roman" w:cs="Times New Roman"/>
                <w:szCs w:val="24"/>
                <w:lang w:eastAsia="ru-RU"/>
              </w:rPr>
              <w:t>ри установлении диагноза ЛМЗ желудка выполн</w:t>
            </w:r>
            <w:r>
              <w:rPr>
                <w:rFonts w:eastAsia="Times New Roman" w:cs="Times New Roman"/>
                <w:szCs w:val="24"/>
                <w:lang w:eastAsia="ru-RU"/>
              </w:rPr>
              <w:t>ено</w:t>
            </w:r>
            <w:r w:rsidRPr="00E307F7">
              <w:rPr>
                <w:rFonts w:eastAsia="Times New Roman" w:cs="Times New Roman"/>
                <w:szCs w:val="24"/>
                <w:lang w:eastAsia="ru-RU"/>
              </w:rPr>
              <w:t xml:space="preserve"> микробиологическое (культуральное) исследование биоптата стенки желудка на хеликобактер пилори (Helicobacter pylori) с определением чувствительности к антибактериальным препаратам</w:t>
            </w:r>
          </w:p>
        </w:tc>
        <w:tc>
          <w:tcPr>
            <w:tcW w:w="1207" w:type="pct"/>
            <w:tcBorders>
              <w:top w:val="single" w:sz="6" w:space="0" w:color="000000"/>
              <w:left w:val="single" w:sz="6" w:space="0" w:color="000000"/>
              <w:bottom w:val="single" w:sz="6" w:space="0" w:color="000000"/>
              <w:right w:val="single" w:sz="6" w:space="0" w:color="000000"/>
            </w:tcBorders>
          </w:tcPr>
          <w:p w14:paraId="30112D03" w14:textId="77777777" w:rsidR="00CC07D9" w:rsidRDefault="00CC07D9" w:rsidP="00E307F7">
            <w:pPr>
              <w:spacing w:line="240" w:lineRule="auto"/>
              <w:ind w:firstLine="0"/>
              <w:rPr>
                <w:rFonts w:eastAsia="Times New Roman"/>
                <w:color w:val="000000" w:themeColor="text1"/>
                <w:szCs w:val="24"/>
                <w:lang w:eastAsia="ru-RU"/>
              </w:rPr>
            </w:pPr>
            <w:r w:rsidRPr="008A2ECC">
              <w:t>Да/Нет</w:t>
            </w:r>
          </w:p>
        </w:tc>
      </w:tr>
      <w:tr w:rsidR="00E307F7" w14:paraId="30112D08" w14:textId="77777777" w:rsidTr="00463D76">
        <w:tc>
          <w:tcPr>
            <w:tcW w:w="224" w:type="pct"/>
            <w:tcBorders>
              <w:top w:val="single" w:sz="6" w:space="0" w:color="000000"/>
              <w:left w:val="single" w:sz="6" w:space="0" w:color="000000"/>
              <w:bottom w:val="single" w:sz="6" w:space="0" w:color="000000"/>
              <w:right w:val="single" w:sz="6" w:space="0" w:color="000000"/>
            </w:tcBorders>
          </w:tcPr>
          <w:p w14:paraId="30112D05" w14:textId="77777777" w:rsidR="00E307F7" w:rsidRDefault="00E307F7" w:rsidP="00E307F7">
            <w:pPr>
              <w:pStyle w:val="afd"/>
              <w:spacing w:beforeAutospacing="0" w:afterAutospacing="0" w:line="240" w:lineRule="auto"/>
              <w:ind w:left="425"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30112D06" w14:textId="77777777" w:rsidR="00E307F7" w:rsidRPr="00E307F7" w:rsidRDefault="00E307F7" w:rsidP="00225149">
            <w:pPr>
              <w:spacing w:line="240" w:lineRule="auto"/>
              <w:ind w:firstLine="0"/>
              <w:rPr>
                <w:rFonts w:eastAsia="Times New Roman" w:cs="Times New Roman"/>
                <w:szCs w:val="24"/>
                <w:lang w:eastAsia="ru-RU"/>
              </w:rPr>
            </w:pPr>
            <w:r>
              <w:rPr>
                <w:rFonts w:eastAsia="Times New Roman" w:cs="Times New Roman"/>
                <w:szCs w:val="24"/>
                <w:lang w:eastAsia="ru-RU"/>
              </w:rPr>
              <w:t>П</w:t>
            </w:r>
            <w:r w:rsidRPr="00E307F7">
              <w:rPr>
                <w:rFonts w:eastAsia="Times New Roman" w:cs="Times New Roman"/>
                <w:szCs w:val="24"/>
                <w:lang w:eastAsia="ru-RU"/>
              </w:rPr>
              <w:t>ациент</w:t>
            </w:r>
            <w:r>
              <w:rPr>
                <w:rFonts w:eastAsia="Times New Roman" w:cs="Times New Roman"/>
                <w:szCs w:val="24"/>
                <w:lang w:eastAsia="ru-RU"/>
              </w:rPr>
              <w:t xml:space="preserve">у </w:t>
            </w:r>
            <w:r w:rsidRPr="00E307F7">
              <w:rPr>
                <w:rFonts w:eastAsia="Times New Roman" w:cs="Times New Roman"/>
                <w:szCs w:val="24"/>
                <w:lang w:eastAsia="ru-RU"/>
              </w:rPr>
              <w:t>при установлении диагноза ЛМЗ желудка в случае отрицательных результатов микробиологического (культурального) исследования биоптата стенки желудка на хеликобактер пилори выполн</w:t>
            </w:r>
            <w:r>
              <w:rPr>
                <w:rFonts w:eastAsia="Times New Roman" w:cs="Times New Roman"/>
                <w:szCs w:val="24"/>
                <w:lang w:eastAsia="ru-RU"/>
              </w:rPr>
              <w:t xml:space="preserve">ено </w:t>
            </w:r>
            <w:r w:rsidRPr="00E307F7">
              <w:rPr>
                <w:rFonts w:eastAsia="Times New Roman" w:cs="Times New Roman"/>
                <w:szCs w:val="24"/>
                <w:lang w:eastAsia="ru-RU"/>
              </w:rPr>
              <w:t>определение антител к хеликобактер пилори (Helicobacter pylori) в крови, определение антигена хеликобактера пилори в фекалиях и 13С-уреазный дыхательный тест на Helicobacter Pylori</w:t>
            </w:r>
          </w:p>
        </w:tc>
        <w:tc>
          <w:tcPr>
            <w:tcW w:w="1207" w:type="pct"/>
            <w:tcBorders>
              <w:top w:val="single" w:sz="6" w:space="0" w:color="000000"/>
              <w:left w:val="single" w:sz="6" w:space="0" w:color="000000"/>
              <w:bottom w:val="single" w:sz="6" w:space="0" w:color="000000"/>
              <w:right w:val="single" w:sz="6" w:space="0" w:color="000000"/>
            </w:tcBorders>
          </w:tcPr>
          <w:p w14:paraId="30112D07" w14:textId="77777777" w:rsidR="00E307F7" w:rsidRPr="008A2ECC" w:rsidRDefault="00E307F7" w:rsidP="00E307F7">
            <w:pPr>
              <w:spacing w:line="240" w:lineRule="auto"/>
              <w:ind w:firstLine="0"/>
            </w:pPr>
            <w:r w:rsidRPr="008A2ECC">
              <w:t>Да/Нет</w:t>
            </w:r>
          </w:p>
        </w:tc>
      </w:tr>
    </w:tbl>
    <w:p w14:paraId="30112D09" w14:textId="77777777" w:rsidR="00CC07D9" w:rsidRDefault="00CC07D9" w:rsidP="00CC07D9">
      <w:pPr>
        <w:ind w:firstLine="0"/>
      </w:pPr>
    </w:p>
    <w:p w14:paraId="30112D0A" w14:textId="77777777" w:rsidR="007562AB" w:rsidRDefault="007562AB" w:rsidP="00CC07D9">
      <w:pPr>
        <w:ind w:firstLine="0"/>
      </w:pPr>
    </w:p>
    <w:p w14:paraId="30112D0B" w14:textId="77777777" w:rsidR="007562AB" w:rsidRDefault="007562AB" w:rsidP="00CC07D9">
      <w:pPr>
        <w:pStyle w:val="11"/>
        <w:rPr>
          <w:sz w:val="28"/>
          <w:szCs w:val="28"/>
          <w:u w:val="none"/>
        </w:rPr>
      </w:pPr>
      <w:r>
        <w:rPr>
          <w:sz w:val="28"/>
          <w:szCs w:val="28"/>
          <w:u w:val="none"/>
        </w:rPr>
        <w:br w:type="page"/>
      </w:r>
    </w:p>
    <w:p w14:paraId="30112D0C" w14:textId="77777777" w:rsidR="000414F6" w:rsidRPr="00CC07D9" w:rsidRDefault="00CB71DA" w:rsidP="00CC07D9">
      <w:pPr>
        <w:pStyle w:val="11"/>
        <w:rPr>
          <w:sz w:val="28"/>
          <w:szCs w:val="28"/>
          <w:u w:val="none"/>
        </w:rPr>
      </w:pPr>
      <w:bookmarkStart w:id="77" w:name="_Toc65108050"/>
      <w:r w:rsidRPr="00CC07D9">
        <w:rPr>
          <w:sz w:val="28"/>
          <w:szCs w:val="28"/>
          <w:u w:val="none"/>
        </w:rPr>
        <w:t>Список литературы</w:t>
      </w:r>
      <w:bookmarkEnd w:id="76"/>
      <w:bookmarkEnd w:id="77"/>
    </w:p>
    <w:p w14:paraId="53F4E0DE" w14:textId="6A31F45C" w:rsidR="000768AC" w:rsidRPr="000768AC" w:rsidRDefault="008762E9" w:rsidP="000768AC">
      <w:pPr>
        <w:widowControl w:val="0"/>
        <w:autoSpaceDE w:val="0"/>
        <w:autoSpaceDN w:val="0"/>
        <w:adjustRightInd w:val="0"/>
        <w:ind w:left="640" w:hanging="640"/>
        <w:rPr>
          <w:rFonts w:cs="Times New Roman"/>
          <w:noProof/>
        </w:rPr>
      </w:pPr>
      <w:r w:rsidRPr="008762E9">
        <w:rPr>
          <w:rFonts w:cs="Times New Roman"/>
          <w:szCs w:val="24"/>
        </w:rPr>
        <w:fldChar w:fldCharType="begin" w:fldLock="1"/>
      </w:r>
      <w:r w:rsidRPr="00082679">
        <w:rPr>
          <w:rFonts w:cs="Times New Roman"/>
          <w:szCs w:val="24"/>
          <w:lang w:val="en-US"/>
        </w:rPr>
        <w:instrText>ADDIN</w:instrText>
      </w:r>
      <w:r w:rsidRPr="00312568">
        <w:rPr>
          <w:rFonts w:cs="Times New Roman"/>
          <w:szCs w:val="24"/>
          <w:lang w:val="en-US"/>
        </w:rPr>
        <w:instrText xml:space="preserve"> </w:instrText>
      </w:r>
      <w:r w:rsidRPr="00082679">
        <w:rPr>
          <w:rFonts w:cs="Times New Roman"/>
          <w:szCs w:val="24"/>
          <w:lang w:val="en-US"/>
        </w:rPr>
        <w:instrText>Mendeley</w:instrText>
      </w:r>
      <w:r w:rsidRPr="00312568">
        <w:rPr>
          <w:rFonts w:cs="Times New Roman"/>
          <w:szCs w:val="24"/>
          <w:lang w:val="en-US"/>
        </w:rPr>
        <w:instrText xml:space="preserve"> </w:instrText>
      </w:r>
      <w:r w:rsidRPr="00082679">
        <w:rPr>
          <w:rFonts w:cs="Times New Roman"/>
          <w:szCs w:val="24"/>
          <w:lang w:val="en-US"/>
        </w:rPr>
        <w:instrText>Bibliography</w:instrText>
      </w:r>
      <w:r w:rsidRPr="00312568">
        <w:rPr>
          <w:rFonts w:cs="Times New Roman"/>
          <w:szCs w:val="24"/>
          <w:lang w:val="en-US"/>
        </w:rPr>
        <w:instrText xml:space="preserve"> </w:instrText>
      </w:r>
      <w:r w:rsidRPr="00082679">
        <w:rPr>
          <w:rFonts w:cs="Times New Roman"/>
          <w:szCs w:val="24"/>
          <w:lang w:val="en-US"/>
        </w:rPr>
        <w:instrText>CSL</w:instrText>
      </w:r>
      <w:r w:rsidRPr="00312568">
        <w:rPr>
          <w:rFonts w:cs="Times New Roman"/>
          <w:szCs w:val="24"/>
          <w:lang w:val="en-US"/>
        </w:rPr>
        <w:instrText>_</w:instrText>
      </w:r>
      <w:r w:rsidRPr="00082679">
        <w:rPr>
          <w:rFonts w:cs="Times New Roman"/>
          <w:szCs w:val="24"/>
          <w:lang w:val="en-US"/>
        </w:rPr>
        <w:instrText>BIBLIOGRAPHY</w:instrText>
      </w:r>
      <w:r w:rsidRPr="00312568">
        <w:rPr>
          <w:rFonts w:cs="Times New Roman"/>
          <w:szCs w:val="24"/>
          <w:lang w:val="en-US"/>
        </w:rPr>
        <w:instrText xml:space="preserve"> </w:instrText>
      </w:r>
      <w:r w:rsidRPr="008762E9">
        <w:rPr>
          <w:rFonts w:cs="Times New Roman"/>
          <w:szCs w:val="24"/>
        </w:rPr>
        <w:fldChar w:fldCharType="separate"/>
      </w:r>
      <w:r w:rsidR="000768AC" w:rsidRPr="000768AC">
        <w:rPr>
          <w:rFonts w:cs="Times New Roman"/>
          <w:noProof/>
        </w:rPr>
        <w:t>1.</w:t>
      </w:r>
      <w:r w:rsidR="000768AC" w:rsidRPr="000768AC">
        <w:rPr>
          <w:rFonts w:cs="Times New Roman"/>
          <w:noProof/>
        </w:rPr>
        <w:tab/>
        <w:t>Swerdlow S.H. et al. WHO classification of tumours of haematopoietic and lymphoid tissues. Revised 4th ed. Lyon, France: International Agency for Research in Cancer (IARC) / ed. Swerdlow SH, Campo E, Harris NL, Jaffe ES, Pileri SA, Stein H T.J. 2017. 585 p.</w:t>
      </w:r>
    </w:p>
    <w:p w14:paraId="74638381"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w:t>
      </w:r>
      <w:r w:rsidRPr="000768AC">
        <w:rPr>
          <w:rFonts w:cs="Times New Roman"/>
          <w:noProof/>
        </w:rPr>
        <w:tab/>
        <w:t>Armitage J.O. A clinical evaluation of the International Lymphoma Study Group classification of non-Hodgkin’s lymphoma // Blood. 1997. Vol. 89, № 11. P. 3909–3918.</w:t>
      </w:r>
    </w:p>
    <w:p w14:paraId="28B8EA6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w:t>
      </w:r>
      <w:r w:rsidRPr="000768AC">
        <w:rPr>
          <w:rFonts w:cs="Times New Roman"/>
          <w:noProof/>
        </w:rPr>
        <w:tab/>
        <w:t>Поддубная И.В., Птушкин В.В. Лимфома маргинальной зоны // Российские клинические рекомендации по диагностике и лечению злокачественных лимфопролиферативных заболеваний; под ред. И.В. Поддубной, В.Г. Савченко. 2018. P. 52–58.</w:t>
      </w:r>
    </w:p>
    <w:p w14:paraId="5905DCC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w:t>
      </w:r>
      <w:r w:rsidRPr="000768AC">
        <w:rPr>
          <w:rFonts w:cs="Times New Roman"/>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9–27.</w:t>
      </w:r>
    </w:p>
    <w:p w14:paraId="50F3397F"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w:t>
      </w:r>
      <w:r w:rsidRPr="000768AC">
        <w:rPr>
          <w:rFonts w:cs="Times New Roman"/>
          <w:noProof/>
        </w:rPr>
        <w:tab/>
        <w:t>Zucca E. et al. Marginal zone lymphomas: ESMO Clinical Practice Guidelines for diagnosis, treatment and follow-up // Ann. Oncol. Elsevier Ltd, 2020. Vol. 31, № 1. P. 17–29.</w:t>
      </w:r>
    </w:p>
    <w:p w14:paraId="1DF1A55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w:t>
      </w:r>
      <w:r w:rsidRPr="000768AC">
        <w:rPr>
          <w:rFonts w:cs="Times New Roman"/>
          <w:noProof/>
        </w:rPr>
        <w:tab/>
        <w:t>Kuderer N.M. et al. A Validated Risk Score for Venous Thromboembolism Is Predictive of Cancer Progression and Mortality // Oncologist. Alphamed Press, 2016. Vol. 21, № 7. P. 861–867.</w:t>
      </w:r>
    </w:p>
    <w:p w14:paraId="5A61ADA9"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w:t>
      </w:r>
      <w:r w:rsidRPr="000768AC">
        <w:rPr>
          <w:rFonts w:cs="Times New Roman"/>
          <w:noProof/>
        </w:rPr>
        <w:tab/>
        <w:t>Santi R.M. et al. PO-03 - Khorana score and histotype predict the incidence of early venous thromboembolism (VTE) in Non Hodgkin Lymphoma (NHL). A pooled data analysis of twelve clinical trials of Fondazione Italiana Linfomi (FIL) // Thromb. Res. Elsevier BV, 2016. Vol. 140. P. S177.</w:t>
      </w:r>
    </w:p>
    <w:p w14:paraId="7050142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w:t>
      </w:r>
      <w:r w:rsidRPr="000768AC">
        <w:rPr>
          <w:rFonts w:cs="Times New Roman"/>
          <w:noProof/>
        </w:rPr>
        <w:tab/>
        <w:t>Srivastava S., Wood P. Secondary antibody deficiency-causes and approach to diagnosis // Clin. Med. J. R. Coll. Physicians London. 2016.</w:t>
      </w:r>
    </w:p>
    <w:p w14:paraId="4B22A56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w:t>
      </w:r>
      <w:r w:rsidRPr="000768AC">
        <w:rPr>
          <w:rFonts w:cs="Times New Roman"/>
          <w:noProof/>
        </w:rPr>
        <w:tab/>
        <w:t>Zelenetz A.D. et al. B-cell lymphomas. NCCN Clinical Practice Guidelines in Oncology. Version 5.2019.</w:t>
      </w:r>
    </w:p>
    <w:p w14:paraId="0B30ADA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w:t>
      </w:r>
      <w:r w:rsidRPr="000768AC">
        <w:rPr>
          <w:rFonts w:cs="Times New Roman"/>
          <w:noProof/>
        </w:rPr>
        <w:tab/>
        <w:t>Поддубная И.В. Неходжкинские лимфомы маргинальной зоны // Гериатрическая гематология. Заболевания системы крови в старших возрастных группах. Под редакцией Л.Д. Гриншпун, А.В. Пивника. 2012. P. 176–187.</w:t>
      </w:r>
    </w:p>
    <w:p w14:paraId="6582807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w:t>
      </w:r>
      <w:r w:rsidRPr="000768AC">
        <w:rPr>
          <w:rFonts w:cs="Times New Roman"/>
          <w:noProof/>
        </w:rPr>
        <w:tab/>
        <w:t>Levy M. et al. Conservative treatment of primary gastric low-grade B-cell lymphoma of mucosa-associated lymphoid tissue: predictive factors of response and outcome // Am. J. Gastroenterol. Ovid Technologies (Wolters Kluwer Health), 2002. Vol. 97, № 2. P. 292–297.</w:t>
      </w:r>
    </w:p>
    <w:p w14:paraId="5A88045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w:t>
      </w:r>
      <w:r w:rsidRPr="000768AC">
        <w:rPr>
          <w:rFonts w:cs="Times New Roman"/>
          <w:noProof/>
        </w:rPr>
        <w:tab/>
        <w:t>Fekri M.S., Zade M.K., Fatehi S. The association of deep vein thrombosis with cancer treatment modality: Chemotherapy or surgery? // Iran. Red Crescent Med. J. Kowsar Medical Publishing Company, 2014. Vol. 16, № 9.</w:t>
      </w:r>
    </w:p>
    <w:p w14:paraId="2F1A672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w:t>
      </w:r>
      <w:r w:rsidRPr="000768AC">
        <w:rPr>
          <w:rFonts w:cs="Times New Roman"/>
          <w:noProof/>
        </w:rPr>
        <w:tab/>
        <w:t>Бабичева Л.Г., Тумян Г.С., Кравченко С.К. Фолликулярная лимфома // Российские клинические рекомендации по диагностике и лечению злокачественных лимфопролиферативных заболеваний; под ред. И.В. Поддубной, В.Г. Савченко. 2018. P. 43–52.</w:t>
      </w:r>
    </w:p>
    <w:p w14:paraId="22F400D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w:t>
      </w:r>
      <w:r w:rsidRPr="000768AC">
        <w:rPr>
          <w:rFonts w:cs="Times New Roman"/>
          <w:noProof/>
        </w:rPr>
        <w:tab/>
        <w:t>Криволапов Ю.А., Леенман Е.Е. Морфологическая диагностика лимфом. КОСТА, Санкт-Петербург, 2006.</w:t>
      </w:r>
    </w:p>
    <w:p w14:paraId="05D0D80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15.</w:t>
      </w:r>
      <w:r w:rsidRPr="000768AC">
        <w:rPr>
          <w:rFonts w:cs="Times New Roman"/>
          <w:noProof/>
        </w:rPr>
        <w:tab/>
        <w:t>Маев И.В. et al. Эволюция представлений о диагностике и лечении инфекции Helicobacter pylori (по материалам консенсуса Маастрихт, Флоренция, 2010) // Вестник практического врача. 2012. Vol. Спецвыпуск.</w:t>
      </w:r>
    </w:p>
    <w:p w14:paraId="37FC468E"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16.</w:t>
      </w:r>
      <w:r w:rsidRPr="000768AC">
        <w:rPr>
          <w:rFonts w:cs="Times New Roman"/>
          <w:noProof/>
        </w:rPr>
        <w:tab/>
        <w:t>Бокерия Л.А., Затевахин И.И., Кириенко А.И. Российские клинические рекомендации по диагностике, лечению и профилактике венозных тромбоэмболических осложнений (ВТЭО). // Флебология. 2015. Vol. 4, № 2. P. 3–52.</w:t>
      </w:r>
    </w:p>
    <w:p w14:paraId="642B906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17.</w:t>
      </w:r>
      <w:r w:rsidRPr="000768AC">
        <w:rPr>
          <w:rFonts w:cs="Times New Roman"/>
          <w:noProof/>
        </w:rPr>
        <w:tab/>
        <w:t>Кириенко А.И., Галстян Г.М., Савченко В.Г. Профилактика венозных тромбоэмболических осложнений при лимфопролиферативных заболеваниях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268–278.</w:t>
      </w:r>
    </w:p>
    <w:p w14:paraId="764F789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18.</w:t>
      </w:r>
      <w:r w:rsidRPr="000768AC">
        <w:rPr>
          <w:rFonts w:cs="Times New Roman"/>
          <w:noProof/>
        </w:rPr>
        <w:tab/>
        <w:t>Santi R.M. et al. Khorana score and histotype predicts incidence of early venous thromboembolism in Non-Hodgkin lymphomas: A Pooled-Data analysis of 12 clinical trials of fondazione italiana linfomi (FIL) // Thromb. Haemost. Schattauer GmbH, 2017. Vol. 117, № 8. P. 1615–1621.</w:t>
      </w:r>
    </w:p>
    <w:p w14:paraId="61D2030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19.</w:t>
      </w:r>
      <w:r w:rsidRPr="000768AC">
        <w:rPr>
          <w:rFonts w:cs="Times New Roman"/>
          <w:noProof/>
        </w:rPr>
        <w:tab/>
        <w:t>Шмаков Р.Г., Демина Е.А. Лимфомы и беременность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143–150.</w:t>
      </w:r>
    </w:p>
    <w:p w14:paraId="50CB438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20.</w:t>
      </w:r>
      <w:r w:rsidRPr="000768AC">
        <w:rPr>
          <w:rFonts w:cs="Times New Roman"/>
          <w:noProof/>
        </w:rPr>
        <w:tab/>
        <w:t>Stathis A. et al. Long-term outcome following Helicobacter pylori eradication in a retrospective study of 105 patients with localized gastric marginal zone B-cell lymphoma of MALT type. // Ann. Oncol.  Off. J. Eur. Soc. Med. Oncol. 2009. Vol. 20, № 6. P. 1086–1093.</w:t>
      </w:r>
    </w:p>
    <w:p w14:paraId="20E9F13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21.</w:t>
      </w:r>
      <w:r w:rsidRPr="000768AC">
        <w:rPr>
          <w:rFonts w:cs="Times New Roman"/>
          <w:noProof/>
        </w:rPr>
        <w:tab/>
        <w:t>Fischbach W. MALT lymphoma: Forget surgery? // Dig. Dis. 2013. Vol. 31, № 1. P. 38–42.</w:t>
      </w:r>
    </w:p>
    <w:p w14:paraId="49D8027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22.</w:t>
      </w:r>
      <w:r w:rsidRPr="000768AC">
        <w:rPr>
          <w:rFonts w:cs="Times New Roman"/>
          <w:noProof/>
        </w:rPr>
        <w:tab/>
        <w:t>A. N. et al. Targeting Bruton tyrosine kinase with ibrutinib in relapsed/refractory marginal zone lymphoma // Blood. 2017. Vol. 129, № 16. P. 2224–2232.</w:t>
      </w:r>
    </w:p>
    <w:p w14:paraId="7EE3FC4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23.</w:t>
      </w:r>
      <w:r w:rsidRPr="000768AC">
        <w:rPr>
          <w:rFonts w:cs="Times New Roman"/>
          <w:noProof/>
        </w:rPr>
        <w:tab/>
        <w:t>Cheson B.D. et al. Revised response criteria for malignant lymphoma // Journal of Clinical Oncology. 2007. Vol. 25, № 5. P. 579–586.</w:t>
      </w:r>
    </w:p>
    <w:p w14:paraId="0B530B1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24.</w:t>
      </w:r>
      <w:r w:rsidRPr="000768AC">
        <w:rPr>
          <w:rFonts w:cs="Times New Roman"/>
          <w:noProof/>
        </w:rPr>
        <w:tab/>
        <w:t>Барях Е.А., Мякова Н.В., Поддубная И.В. Профилактика и лечение синдрома лизиса опухоли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251–253.</w:t>
      </w:r>
    </w:p>
    <w:p w14:paraId="0BDD213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25.</w:t>
      </w:r>
      <w:r w:rsidRPr="000768AC">
        <w:rPr>
          <w:rFonts w:cs="Times New Roman"/>
          <w:noProof/>
        </w:rPr>
        <w:tab/>
        <w:t>Aapro M. et al. Клинические рекомендации по лечению анемии у больных злокачественными новообразованиями. М.: Ассоциация онкологов России, 2014.</w:t>
      </w:r>
    </w:p>
    <w:p w14:paraId="3D50D742"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26.</w:t>
      </w:r>
      <w:r w:rsidRPr="000768AC">
        <w:rPr>
          <w:rFonts w:cs="Times New Roman"/>
          <w:noProof/>
        </w:rPr>
        <w:tab/>
        <w:t>Орлова Р.В. et al. Практические рекомендации по лечению анемии при злокачественных новообразованиях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494–501.</w:t>
      </w:r>
    </w:p>
    <w:p w14:paraId="615EDE5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27.</w:t>
      </w:r>
      <w:r w:rsidRPr="000768AC">
        <w:rPr>
          <w:rFonts w:cs="Times New Roman"/>
          <w:noProof/>
        </w:rPr>
        <w:tab/>
        <w:t>Владимирова Л.Ю. et al. 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0F85520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28.</w:t>
      </w:r>
      <w:r w:rsidRPr="000768AC">
        <w:rPr>
          <w:rFonts w:cs="Times New Roman"/>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08A8B1E2"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29.</w:t>
      </w:r>
      <w:r w:rsidRPr="000768AC">
        <w:rPr>
          <w:rFonts w:cs="Times New Roman"/>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4ABCEEB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30.</w:t>
      </w:r>
      <w:r w:rsidRPr="000768AC">
        <w:rPr>
          <w:rFonts w:cs="Times New Roman"/>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4D1DA9A2"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31.</w:t>
      </w:r>
      <w:r w:rsidRPr="000768AC">
        <w:rPr>
          <w:rFonts w:cs="Times New Roman"/>
          <w:noProof/>
        </w:rPr>
        <w:tab/>
        <w:t>Paul K.L. Rehabilitation and exercise considerations in hematologic malignancies. // Am. J. Phys. Med. Rehabil. 2011. Vol. 90, № 5 Suppl 1. P. S88-94.</w:t>
      </w:r>
    </w:p>
    <w:p w14:paraId="0601819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32.</w:t>
      </w:r>
      <w:r w:rsidRPr="000768AC">
        <w:rPr>
          <w:rFonts w:cs="Times New Roman"/>
          <w:noProof/>
        </w:rPr>
        <w:tab/>
        <w:t>Cheson B.D. et al. Recommendations for initial evaluation, staging, and response assessment of hodgkin and non-hodgkin lymphoma: The lugano classification // Journal of Clinical Oncology. American Society of Clinical Oncology, 2014. Vol. 32, № 27. P. 3059–3067.</w:t>
      </w:r>
    </w:p>
    <w:p w14:paraId="02D4901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33.</w:t>
      </w:r>
      <w:r w:rsidRPr="000768AC">
        <w:rPr>
          <w:rFonts w:cs="Times New Roman"/>
          <w:noProof/>
        </w:rPr>
        <w:tab/>
        <w:t>Navari R.M., Aapro M. Antiemetic Prophylaxis for Chemotherapy-Induced Nausea and Vomiting // N. Engl. J. Med. New England Journal of Medicine (NEJM/MMS), 2016. Vol. 374, № 14. P. 1356–1367.</w:t>
      </w:r>
    </w:p>
    <w:p w14:paraId="2FA871D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34.</w:t>
      </w:r>
      <w:r w:rsidRPr="000768AC">
        <w:rPr>
          <w:rFonts w:cs="Times New Roman"/>
          <w:noProof/>
        </w:rPr>
        <w:tab/>
        <w:t>Ettinger D.S. et al. Antiemesis. NCCN Clinical Practice Guidelines in Oncology (NCCN Guidelines). Version 1.2021. 2020.</w:t>
      </w:r>
    </w:p>
    <w:p w14:paraId="6C24E4E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35.</w:t>
      </w:r>
      <w:r w:rsidRPr="000768AC">
        <w:rPr>
          <w:rFonts w:cs="Times New Roman"/>
          <w:noProof/>
        </w:rPr>
        <w:tab/>
        <w:t>Roila F. et al. Prevention of chemotherapy- and radiotherapy-induced emesis: Results of the 2004 Perugia International Antiemetic Consensus Conference // Annals of Oncology. Ann Oncol, 2006. Vol. 17, № 1. P. 20–28.</w:t>
      </w:r>
    </w:p>
    <w:p w14:paraId="5E6E7CE9"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36.</w:t>
      </w:r>
      <w:r w:rsidRPr="000768AC">
        <w:rPr>
          <w:rFonts w:cs="Times New Roman"/>
          <w:noProof/>
        </w:rPr>
        <w:tab/>
        <w:t>Basch E. et al. Antiemetics: American Society of Clinical Oncology clinical practice guideline update // J. Clin. Oncol. J Clin Oncol, 2011. Vol. 29, № 31. P. 4189–4198.</w:t>
      </w:r>
    </w:p>
    <w:p w14:paraId="4FBACE6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37.</w:t>
      </w:r>
      <w:r w:rsidRPr="000768AC">
        <w:rPr>
          <w:rFonts w:cs="Times New Roman"/>
          <w:noProof/>
        </w:rPr>
        <w:tab/>
        <w:t>Hesketh P.J. et al. Antiemetics: American Society of Clinical Oncology clinical practice guideline update // Journal of Clinical Oncology. American Society of Clinical Oncology, 2017. Vol. 35, № 28. P. 3240–3261.</w:t>
      </w:r>
    </w:p>
    <w:p w14:paraId="4C8C7A5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38.</w:t>
      </w:r>
      <w:r w:rsidRPr="000768AC">
        <w:rPr>
          <w:rFonts w:cs="Times New Roman"/>
          <w:noProof/>
        </w:rPr>
        <w:tab/>
        <w:t>Razvi Y. et al. ASCO, NCCN, MASCC/ESMO: a comparison of antiemetic guidelines for the treatment of chemotherapy-induced nausea and vomiting in adult patients // Supportive Care in Cancer. Springer Verlag, 2019. Vol. 27, № 1. P. 87–95.</w:t>
      </w:r>
    </w:p>
    <w:p w14:paraId="443E354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39.</w:t>
      </w:r>
      <w:r w:rsidRPr="000768AC">
        <w:rPr>
          <w:rFonts w:cs="Times New Roman"/>
          <w:noProof/>
        </w:rPr>
        <w:tab/>
        <w:t>Narum S., Westergren T., Klemp M. Corticosteroids and risk of gastrointestinal bleeding: A systematic review and meta-analysis // BMJ Open. BMJ Publishing Group, 2014. Vol. 4, № 5.</w:t>
      </w:r>
    </w:p>
    <w:p w14:paraId="218F6859"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40.</w:t>
      </w:r>
      <w:r w:rsidRPr="000768AC">
        <w:rPr>
          <w:rFonts w:cs="Times New Roman"/>
          <w:noProof/>
        </w:rPr>
        <w:tab/>
        <w:t>Conn H.O., Poynard T. Corticosteroids and peptic ulcer: meta-analysis of adverse events during steroid therapy. // J. Intern. Med. J Intern Med, 1994. Vol. 236, № 6. P. 619–632.</w:t>
      </w:r>
    </w:p>
    <w:p w14:paraId="15A2D99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41.</w:t>
      </w:r>
      <w:r w:rsidRPr="000768AC">
        <w:rPr>
          <w:rFonts w:cs="Times New Roman"/>
          <w:noProof/>
        </w:rPr>
        <w:tab/>
        <w:t>Burget D.W., Chiverton S.G., Hunt R.H. Is there an optimal degree of acid suppression for healing of duodenal ulcers? A model of the relationship between ulcer healing and acid suppression // Gastroenterology. Gastroenterology, 1990. Vol. 99, № 2. P. 345–351.</w:t>
      </w:r>
    </w:p>
    <w:p w14:paraId="2382B66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42.</w:t>
      </w:r>
      <w:r w:rsidRPr="000768AC">
        <w:rPr>
          <w:rFonts w:cs="Times New Roman"/>
          <w:noProof/>
        </w:rPr>
        <w:tab/>
        <w:t>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2020. Vol. 30, № 1. P. 49–70.</w:t>
      </w:r>
    </w:p>
    <w:p w14:paraId="689D200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43.</w:t>
      </w:r>
      <w:r w:rsidRPr="000768AC">
        <w:rPr>
          <w:rFonts w:cs="Times New Roman"/>
          <w:noProof/>
        </w:rPr>
        <w:tab/>
        <w:t>Scally B. et al. Effects of gastroprotectant drugs for the prevention and treatment of peptic ulcer disease and its complications: a meta-analysis of randomised trials // Lancet Gastroenterol. Hepatol. Elsevier Ltd, 2018. Vol. 3, № 4. P. 231–241.</w:t>
      </w:r>
    </w:p>
    <w:p w14:paraId="6EE2A1B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44.</w:t>
      </w:r>
      <w:r w:rsidRPr="000768AC">
        <w:rPr>
          <w:rFonts w:cs="Times New Roman"/>
          <w:noProof/>
        </w:rPr>
        <w:tab/>
        <w:t>Hu Z.-H. et al. Efficacy of proton pump inhibitors for patients with duodenal ulcers: A pairwise and network meta-analysis of randomized controlled trials // Saudi J. Gastroenterol. Medknow Publications, 2017. Vol. 23, № 1. P. 11.</w:t>
      </w:r>
    </w:p>
    <w:p w14:paraId="0763601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45.</w:t>
      </w:r>
      <w:r w:rsidRPr="000768AC">
        <w:rPr>
          <w:rFonts w:cs="Times New Roman"/>
          <w:noProof/>
        </w:rPr>
        <w:tab/>
        <w:t>Poynard T., Lemaire M., Agostini H. Meta-analysis of randomized clinical trials comparing lansoprazole with ranitidine or famotidine in the treatment of acute duodenal ulcer // Eur. J. Gastroenterol. Hepatol. 1995. Vol. 7, № 7. P. 661–665.</w:t>
      </w:r>
    </w:p>
    <w:p w14:paraId="0A6963F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46.</w:t>
      </w:r>
      <w:r w:rsidRPr="000768AC">
        <w:rPr>
          <w:rFonts w:cs="Times New Roman"/>
          <w:noProof/>
        </w:rPr>
        <w:tab/>
        <w:t>Annibali O. et al. Incidence of venous thromboembolism and use of anticoagulation in hematological malignancies: Critical review of the literature // Critical Reviews in Oncology/Hematology. Elsevier Ireland Ltd, 2018. Vol. 124. P. 41–50.</w:t>
      </w:r>
    </w:p>
    <w:p w14:paraId="082DA56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47.</w:t>
      </w:r>
      <w:r w:rsidRPr="000768AC">
        <w:rPr>
          <w:rFonts w:cs="Times New Roman"/>
          <w:noProof/>
        </w:rPr>
        <w:tab/>
        <w:t>Falanga A., Marchetti M., Russo L. Venous thromboembolism in the hematologic malignancies // Current Opinion in Oncology. Curr Opin Oncol, 2012. Vol. 24, № 6. P. 702–710.</w:t>
      </w:r>
    </w:p>
    <w:p w14:paraId="5A2EEE4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48.</w:t>
      </w:r>
      <w:r w:rsidRPr="000768AC">
        <w:rPr>
          <w:rFonts w:cs="Times New Roman"/>
          <w:noProof/>
        </w:rPr>
        <w:tab/>
        <w:t>Воробьев А.И. et al. Гиперкоагуляционный синдром: классификация, патогенез, диагностика, терапия // Гематология и трансфузиология. 2016. Vol. 61, № 3. P. 116–122.</w:t>
      </w:r>
    </w:p>
    <w:p w14:paraId="55780AC9"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49.</w:t>
      </w:r>
      <w:r w:rsidRPr="000768AC">
        <w:rPr>
          <w:rFonts w:cs="Times New Roman"/>
          <w:noProof/>
        </w:rPr>
        <w:tab/>
        <w:t>Пантелеев М.А. et al. Практическая коагулология. 2010. 192 p.</w:t>
      </w:r>
    </w:p>
    <w:p w14:paraId="7942978F"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50.</w:t>
      </w:r>
      <w:r w:rsidRPr="000768AC">
        <w:rPr>
          <w:rFonts w:cs="Times New Roman"/>
          <w:noProof/>
        </w:rPr>
        <w:tab/>
        <w:t>Greenberg C.S. The role of D-dimer testing in clinical hematology and oncology // Clin. Adv. Hematol. Oncol. 2017. Vol. 15, № 8. P. 580–583.</w:t>
      </w:r>
    </w:p>
    <w:p w14:paraId="0ABD414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51.</w:t>
      </w:r>
      <w:r w:rsidRPr="000768AC">
        <w:rPr>
          <w:rFonts w:cs="Times New Roman"/>
          <w:noProof/>
        </w:rPr>
        <w:tab/>
        <w:t>Weitz I.C. et al. Chemotherapy-induced activation of hemostasis: effect of a low molecular weight heparin (dalteparin sodium) on plasma markers of hemostatic activation // Thromb. Haemost. 2002. Vol. 88, № 2. P. 213–220.</w:t>
      </w:r>
    </w:p>
    <w:p w14:paraId="197E5C92"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52.</w:t>
      </w:r>
      <w:r w:rsidRPr="000768AC">
        <w:rPr>
          <w:rFonts w:cs="Times New Roman"/>
          <w:noProof/>
        </w:rPr>
        <w:tab/>
        <w:t>Sharifi M. et al. New oral anticoagulants in the treatment of heparin- Induced thrombocytopenia // Thromb. Res. Elsevier Ltd, 2015. Vol. 135, № 4. P. 607–609.</w:t>
      </w:r>
    </w:p>
    <w:p w14:paraId="1FB218B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53.</w:t>
      </w:r>
      <w:r w:rsidRPr="000768AC">
        <w:rPr>
          <w:rFonts w:cs="Times New Roman"/>
          <w:noProof/>
        </w:rPr>
        <w:tab/>
        <w:t>Sanfilippo K.M. et al. Incidence of venous thromboembolism in patients with non-Hodgkin lymphoma // Thromb. Res. Elsevier Ltd, 2016. Vol. 143. P. 86–90.</w:t>
      </w:r>
    </w:p>
    <w:p w14:paraId="0E6B0FD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54.</w:t>
      </w:r>
      <w:r w:rsidRPr="000768AC">
        <w:rPr>
          <w:rFonts w:cs="Times New Roman"/>
          <w:noProof/>
        </w:rPr>
        <w:tab/>
        <w:t>Park L.C. et al. Incidence, risk factors and clinical features of venous thromboembolism in newly diagnosed lymphoma patients: Results from a prospective cohort study with Asian population // Thromb. Res. Elsevier Ltd, 2012. Vol. 130, № 3. P. e6.</w:t>
      </w:r>
    </w:p>
    <w:p w14:paraId="3C4C033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55.</w:t>
      </w:r>
      <w:r w:rsidRPr="000768AC">
        <w:rPr>
          <w:rFonts w:cs="Times New Roman"/>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14:paraId="4B238FA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56.</w:t>
      </w:r>
      <w:r w:rsidRPr="000768AC">
        <w:rPr>
          <w:rFonts w:cs="Times New Roman"/>
          <w:noProof/>
        </w:rPr>
        <w:tab/>
        <w:t>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2017. Vol. 12, № 3. P. 31–40.</w:t>
      </w:r>
    </w:p>
    <w:p w14:paraId="2E4B92A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57.</w:t>
      </w:r>
      <w:r w:rsidRPr="000768AC">
        <w:rPr>
          <w:rFonts w:cs="Times New Roman"/>
          <w:noProof/>
        </w:rPr>
        <w:tab/>
        <w:t>Клясова Г.А. et al. 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14:paraId="2445C9F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58.</w:t>
      </w:r>
      <w:r w:rsidRPr="000768AC">
        <w:rPr>
          <w:rFonts w:cs="Times New Roman"/>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2462C70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59.</w:t>
      </w:r>
      <w:r w:rsidRPr="000768AC">
        <w:rPr>
          <w:rFonts w:cs="Times New Roman"/>
          <w:noProof/>
        </w:rPr>
        <w:tab/>
        <w:t>Maertens J. et al. European guidelines for antifungal management in leukemia and hematopoietic stem cell transplant recipients: Summary of the ECIL 32009 update // Bone Marrow Transplant. Nature Publishing Group, 2011. Vol. 46, № 5. P. 709–718.</w:t>
      </w:r>
    </w:p>
    <w:p w14:paraId="7C7A2265"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60.</w:t>
      </w:r>
      <w:r w:rsidRPr="000768AC">
        <w:rPr>
          <w:rFonts w:cs="Times New Roman"/>
          <w:noProof/>
        </w:rPr>
        <w:tab/>
        <w:t>Kollef M.H. et al. Ceftolozane–tazobactam versus meropenem for treatment of nosocomial pneumonia (ASPECT-NP): a randomised, controlled, double-blind, phase 3, non-inferiority trial // Lancet Infect. Dis. Lancet Publishing Group, 2019. Vol. 19, № 12. P. 1299–1311.</w:t>
      </w:r>
    </w:p>
    <w:p w14:paraId="7486682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61.</w:t>
      </w:r>
      <w:r w:rsidRPr="000768AC">
        <w:rPr>
          <w:rFonts w:cs="Times New Roman"/>
          <w:noProof/>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14:paraId="6355F2D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62.</w:t>
      </w:r>
      <w:r w:rsidRPr="000768AC">
        <w:rPr>
          <w:rFonts w:cs="Times New Roman"/>
          <w:noProof/>
        </w:rPr>
        <w:tab/>
        <w:t>Debast S.B. et al. European society of clinical microbiology and infectious diseases: Update of the treatment guidance document for Clostridium difficile infection // Clin. Microbiol. Infect. Blackwell Publishing Ltd, 2014. Vol. 20, № S2. P. 1–26.</w:t>
      </w:r>
    </w:p>
    <w:p w14:paraId="7351D9C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63.</w:t>
      </w:r>
      <w:r w:rsidRPr="000768AC">
        <w:rPr>
          <w:rFonts w:cs="Times New Roman"/>
          <w:noProof/>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261C7F8F"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64.</w:t>
      </w:r>
      <w:r w:rsidRPr="000768AC">
        <w:rPr>
          <w:rFonts w:cs="Times New Roman"/>
          <w:noProof/>
        </w:rPr>
        <w:tab/>
        <w:t>Ljungman P. et al. Management of CMV, HHV-6, HHV-7 and Kaposi-sarcoma herpesvirus (HHV-8) infections in patients with hematological malignancies and after SCT // Bone Marrow Transplant. Bone Marrow Transplant, 2008. Vol. 42, № 4. P. 227–240.</w:t>
      </w:r>
    </w:p>
    <w:p w14:paraId="2E5669E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65.</w:t>
      </w:r>
      <w:r w:rsidRPr="000768AC">
        <w:rPr>
          <w:rFonts w:cs="Times New Roman"/>
          <w:noProof/>
        </w:rPr>
        <w:tab/>
        <w:t>Arendrup M.C. et al. ESCMID and ECMM joint clinical guidelines for the diagnosis and management of rare invasive yeast infections // Clin. Microbiol. Infect. Blackwell Publishing Ltd, 2014. Vol. 20, № S3. P. 76–98.</w:t>
      </w:r>
    </w:p>
    <w:p w14:paraId="44291A9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66.</w:t>
      </w:r>
      <w:r w:rsidRPr="000768AC">
        <w:rPr>
          <w:rFonts w:cs="Times New Roman"/>
          <w:noProof/>
        </w:rPr>
        <w:tab/>
        <w:t>Tissot F. et al. ECIL-6 guidelines for the treatment of invasive candidiasis, aspergillosis and mucormycosis in leukemia and hematopoietic stem cell transplant patients // Haematologica. Ferrata Storti Foundation, 2017. Vol. 102, № 3. P. 433–444.</w:t>
      </w:r>
    </w:p>
    <w:p w14:paraId="77EE90C9"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67.</w:t>
      </w:r>
      <w:r w:rsidRPr="000768AC">
        <w:rPr>
          <w:rFonts w:cs="Times New Roman"/>
          <w:noProof/>
        </w:rPr>
        <w:tab/>
        <w:t>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2018. Vol. 20, № 2. P. 126–130.</w:t>
      </w:r>
    </w:p>
    <w:p w14:paraId="16355F1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68.</w:t>
      </w:r>
      <w:r w:rsidRPr="000768AC">
        <w:rPr>
          <w:rFonts w:cs="Times New Roman"/>
          <w:noProof/>
        </w:rPr>
        <w:tab/>
        <w:t>Ullmann A.J. et al. Diagnosis and management of Aspergillus diseases: executive summary of the 2017 ESCMID-ECMM-ERS guideline // Clin. Microbiol. Infect. Elsevier B.V., 2018. Vol. 24. P. e1–e38.</w:t>
      </w:r>
    </w:p>
    <w:p w14:paraId="188EAB3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69.</w:t>
      </w:r>
      <w:r w:rsidRPr="000768AC">
        <w:rPr>
          <w:rFonts w:cs="Times New Roman"/>
          <w:noProof/>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14:paraId="344A072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70.</w:t>
      </w:r>
      <w:r w:rsidRPr="000768AC">
        <w:rPr>
          <w:rFonts w:cs="Times New Roman"/>
          <w:noProof/>
        </w:rPr>
        <w:tab/>
        <w:t>Tortorano A.M. et al. ESCMID and ECMM joint guidelines on diagnosis and management of hyalohyphomycosis: Fusarium spp., Scedosporium spp. and others // Clin. Microbiol. Infect. Blackwell Publishing Ltd, 2014. Vol. 20, № S3. P. 27–46.</w:t>
      </w:r>
    </w:p>
    <w:p w14:paraId="1700941F"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71.</w:t>
      </w:r>
      <w:r w:rsidRPr="000768AC">
        <w:rPr>
          <w:rFonts w:cs="Times New Roman"/>
          <w:noProof/>
        </w:rPr>
        <w:tab/>
        <w:t>Maschmeyer G. et al. ECIL guidelines for treatment of Pneumocystis jirovecii pneumonia in non-HIV-infected haematology patients // J. Antimicrob. Chemother. J Antimicrob Chemother, 2016. Vol. 71, № 9. P. 2405–2413.</w:t>
      </w:r>
    </w:p>
    <w:p w14:paraId="0C3F2AE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72.</w:t>
      </w:r>
      <w:r w:rsidRPr="000768AC">
        <w:rPr>
          <w:rFonts w:cs="Times New Roman"/>
          <w:noProof/>
        </w:rPr>
        <w:tab/>
        <w:t>Walewski J. et al. First-line R-CVP versus R-CHOP induction immunochemotherapy for indolent lymphoma with rituximab maintenance. A multicentre, phase III randomized study by the Polish Lymphoma Research Group PLRG4 // Br. J. Haematol. Blackwell Publishing Ltd, 2019. Vol. 188, № 6. P. 898–906.</w:t>
      </w:r>
    </w:p>
    <w:p w14:paraId="6E5D97E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73.</w:t>
      </w:r>
      <w:r w:rsidRPr="000768AC">
        <w:rPr>
          <w:rFonts w:cs="Times New Roman"/>
          <w:noProof/>
        </w:rPr>
        <w:tab/>
        <w:t>Iannitto E. et al. Efficacy of bendamustine and rituximab in splenic marginal zone lymphoma: results from the phase II BRISMA/IELSG36 study // Br. J. Haematol. Blackwell Publishing Ltd, 2018. Vol. 183, № 5. P. 755–765.</w:t>
      </w:r>
    </w:p>
    <w:p w14:paraId="1798D39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74.</w:t>
      </w:r>
      <w:r w:rsidRPr="000768AC">
        <w:rPr>
          <w:rFonts w:cs="Times New Roman"/>
          <w:noProof/>
        </w:rPr>
        <w:tab/>
        <w:t>Cencini E. et al. Efficacy and safety of rituximab plus bendamustine for gastric marginal zone lymphoma // Leukemia and Lymphoma. Taylor and Francis Ltd, 2019. Vol. 60, № 3. P. 833–835.</w:t>
      </w:r>
    </w:p>
    <w:p w14:paraId="5CFAA9C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75.</w:t>
      </w:r>
      <w:r w:rsidRPr="000768AC">
        <w:rPr>
          <w:rFonts w:cs="Times New Roman"/>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14:paraId="174F907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76.</w:t>
      </w:r>
      <w:r w:rsidRPr="000768AC">
        <w:rPr>
          <w:rFonts w:cs="Times New Roman"/>
          <w:noProof/>
        </w:rPr>
        <w:tab/>
        <w:t>Wang J. et al. Diagnostic utility of bilateral bone marrow examination: Significance of morphologic and ancillary technique study in malignancy // Cancer. Cancer, 2002. Vol. 94, № 5. P. 1522–1531.</w:t>
      </w:r>
    </w:p>
    <w:p w14:paraId="6266951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77.</w:t>
      </w:r>
      <w:r w:rsidRPr="000768AC">
        <w:rPr>
          <w:rFonts w:cs="Times New Roman"/>
          <w:noProof/>
        </w:rPr>
        <w:tab/>
        <w:t>SPIRIN M., GALSTYAN G., DROKOV M. Central venous access in lymphoma patients (pts) with superior vena cava syndrome (SVCS) // INTENSIVE CARE Med. Exp. 2019. Vol. 7, № Suppl. 3:001341. P. 388–389.</w:t>
      </w:r>
    </w:p>
    <w:p w14:paraId="1471E44E"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78.</w:t>
      </w:r>
      <w:r w:rsidRPr="000768AC">
        <w:rPr>
          <w:rFonts w:cs="Times New Roman"/>
          <w:noProof/>
        </w:rPr>
        <w:tab/>
        <w:t>Pluschnig U. et al. Extravasation emergencies: state-of-the-art management and progress in clinical research. // Memo. Springer, 2016. Vol. 9, № 4. P. 226–230.</w:t>
      </w:r>
    </w:p>
    <w:p w14:paraId="7050351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79.</w:t>
      </w:r>
      <w:r w:rsidRPr="000768AC">
        <w:rPr>
          <w:rFonts w:cs="Times New Roman"/>
          <w:noProof/>
        </w:rPr>
        <w:tab/>
        <w:t>Zeidler K. et al. Optimal preprocedural platelet transfusion threshold for central venous catheter insertions in patients with thrombocytopenia. // Transfusion. 2011. Vol. 51, № 11. P. 2269–2276.</w:t>
      </w:r>
    </w:p>
    <w:p w14:paraId="50127CE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80.</w:t>
      </w:r>
      <w:r w:rsidRPr="000768AC">
        <w:rPr>
          <w:rFonts w:cs="Times New Roman"/>
          <w:noProof/>
        </w:rPr>
        <w:tab/>
        <w:t>Zerati A.E. et al. Totally implantable venous catheters : history , implantation technique and complications. // J Vasc Bras. 2017. Vol. 16, № 2. P. 128–139.</w:t>
      </w:r>
    </w:p>
    <w:p w14:paraId="704E0B45"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81.</w:t>
      </w:r>
      <w:r w:rsidRPr="000768AC">
        <w:rPr>
          <w:rFonts w:cs="Times New Roman"/>
          <w:noProof/>
        </w:rPr>
        <w:tab/>
        <w:t>Gow K.W., Tapper D., Hickman R.O. Between the lines: The 50th anniversary of long-term central venous catheters // Am. J. Surg. Elsevier Ltd, 2017. Vol. 213, № 5. P. 837–848.</w:t>
      </w:r>
    </w:p>
    <w:p w14:paraId="7D134B1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82.</w:t>
      </w:r>
      <w:r w:rsidRPr="000768AC">
        <w:rPr>
          <w:rFonts w:cs="Times New Roman"/>
          <w:noProof/>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68351A2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83.</w:t>
      </w:r>
      <w:r w:rsidRPr="000768AC">
        <w:rPr>
          <w:rFonts w:cs="Times New Roman"/>
          <w:noProof/>
        </w:rPr>
        <w:tab/>
        <w:t>Maki D.G., Kluger D.M., Crnich C.J. The Risk of Bloodstream Infection in Adults With Different Intravascular Devices: A Systematic Review of 200 Published Prospective Studies // Mayo Clin. Proc. Elsevier, 2006. Vol. 81, № 9. P. 1159–1171.</w:t>
      </w:r>
    </w:p>
    <w:p w14:paraId="5839582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84.</w:t>
      </w:r>
      <w:r w:rsidRPr="000768AC">
        <w:rPr>
          <w:rFonts w:cs="Times New Roman"/>
          <w:noProof/>
        </w:rPr>
        <w:tab/>
        <w:t>Hamilton H. Central Venous Catheters / ed. Bodenham A.R. Oxford, UK: Wiley-Blackwell, 2009.</w:t>
      </w:r>
    </w:p>
    <w:p w14:paraId="2AF7D86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85.</w:t>
      </w:r>
      <w:r w:rsidRPr="000768AC">
        <w:rPr>
          <w:rFonts w:cs="Times New Roman"/>
          <w:noProof/>
        </w:rPr>
        <w:tab/>
        <w:t>Biffi R. Introduction and Overview of PICC History // Peripherally Inserted Central Venous Catheters. Milano: Springer Milan, 2014. P. 1–6.</w:t>
      </w:r>
    </w:p>
    <w:p w14:paraId="0135305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86.</w:t>
      </w:r>
      <w:r w:rsidRPr="000768AC">
        <w:rPr>
          <w:rFonts w:cs="Times New Roman"/>
          <w:noProof/>
        </w:rPr>
        <w:tab/>
        <w:t>Linenberger M.L. Catheter-related thrombosis: risks, diagnosis, and management. // J. Natl. Compr. Canc. Netw. 2006. Vol. 4, № 9. P. 889–901.</w:t>
      </w:r>
    </w:p>
    <w:p w14:paraId="708C8CC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87.</w:t>
      </w:r>
      <w:r w:rsidRPr="000768AC">
        <w:rPr>
          <w:rFonts w:cs="Times New Roman"/>
          <w:noProof/>
        </w:rPr>
        <w:tab/>
        <w:t>Lee A.Y.Y., Kamphuisen P.W. Epidemiology and prevention of catheter-related thrombosis in patients with cancer // J. Thromb. Haemost. 2012. № 10. P. 1491–1499.</w:t>
      </w:r>
    </w:p>
    <w:p w14:paraId="5B010B2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88.</w:t>
      </w:r>
      <w:r w:rsidRPr="000768AC">
        <w:rPr>
          <w:rFonts w:cs="Times New Roman"/>
          <w:noProof/>
        </w:rPr>
        <w:tab/>
        <w:t>Цепенщинков Л.., Лядов В.К. Периферически имплантируемый центральный венозный катетер: обзор литераутры. // Клиническая онкогематология. 2014. Vol. 7, № 2. P. 220–228.</w:t>
      </w:r>
    </w:p>
    <w:p w14:paraId="5215B55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89.</w:t>
      </w:r>
      <w:r w:rsidRPr="000768AC">
        <w:rPr>
          <w:rFonts w:cs="Times New Roman"/>
          <w:noProof/>
        </w:rPr>
        <w:tab/>
        <w:t>Linder L.E. et al. Material thrombogenicity in central venous catheterization: a comparison between soft, antebrachial catheters of silicone elastomer and polyurethane. // JPEN. J. Parenter. Enteral Nutr. 1984. Vol. 8, № 4. P. 399–406.</w:t>
      </w:r>
    </w:p>
    <w:p w14:paraId="25DB23E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90.</w:t>
      </w:r>
      <w:r w:rsidRPr="000768AC">
        <w:rPr>
          <w:rFonts w:cs="Times New Roman"/>
          <w:noProof/>
        </w:rPr>
        <w:tab/>
        <w:t>Watters V.A., Grant J.P. Use of Electrocardiogram to Position Right Atrial Catheters During Surgery // Ann. Surg. Vol. 225, № 2. P. 165–171.</w:t>
      </w:r>
    </w:p>
    <w:p w14:paraId="62FCFF1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91.</w:t>
      </w:r>
      <w:r w:rsidRPr="000768AC">
        <w:rPr>
          <w:rFonts w:cs="Times New Roman"/>
          <w:noProof/>
        </w:rPr>
        <w:tab/>
        <w:t>Taal M.W., Chesterton L.J., McIntyre C.W. Venography at insertion of tunnelled internal jugular vein dialysis catheters reveals significant occult stenosis // Nephrol. Dial. Transplant. Oxford University Press, 2004. Vol. 19, № 6. P. 1542–1545.</w:t>
      </w:r>
    </w:p>
    <w:p w14:paraId="1ED36C6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92.</w:t>
      </w:r>
      <w:r w:rsidRPr="000768AC">
        <w:rPr>
          <w:rFonts w:cs="Times New Roman"/>
          <w:noProof/>
        </w:rPr>
        <w:tab/>
        <w:t>Lobato E.B. et al. Cross-sectional area of the right and left internal jugular veins. // J. Cardiothorac. Vasc. Anesth. 1999. Vol. 13, № 2. P. 136–138.</w:t>
      </w:r>
    </w:p>
    <w:p w14:paraId="2FF26AB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93.</w:t>
      </w:r>
      <w:r w:rsidRPr="000768AC">
        <w:rPr>
          <w:rFonts w:cs="Times New Roman"/>
          <w:noProof/>
        </w:rPr>
        <w:tab/>
        <w:t>Червонцева А.М. Повреждение сосудистого эндотелия в процессе лечения острых миелоидных лейкозов. 2008.</w:t>
      </w:r>
    </w:p>
    <w:p w14:paraId="01F5746F"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94.</w:t>
      </w:r>
      <w:r w:rsidRPr="000768AC">
        <w:rPr>
          <w:rFonts w:cs="Times New Roman"/>
          <w:noProof/>
        </w:rPr>
        <w:tab/>
        <w:t>Багирова Н.С. Инфекции, связанные с внутрисосудистыми устройствами: терминология, диагностика, профилактика и терапия // Злокачественные опухоли. 2014. № 3. P. 164–171.</w:t>
      </w:r>
    </w:p>
    <w:p w14:paraId="40807A6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95.</w:t>
      </w:r>
      <w:r w:rsidRPr="000768AC">
        <w:rPr>
          <w:rFonts w:cs="Times New Roman"/>
          <w:noProof/>
        </w:rPr>
        <w:tab/>
        <w:t>Bannon M.P., Heller S.F., Rivera M. Anatomic considerations for central venous cannulation. // Risk Manag. Healthc. Policy. Dove Press, 2011. Vol. 4. P. 27–39.</w:t>
      </w:r>
    </w:p>
    <w:p w14:paraId="1BE47E1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96.</w:t>
      </w:r>
      <w:r w:rsidRPr="000768AC">
        <w:rPr>
          <w:rFonts w:cs="Times New Roman"/>
          <w:noProof/>
        </w:rPr>
        <w:tab/>
        <w:t>Milling T.J. et al. Randomized, controlled clinical trial of point-of-care limited ultrasonography assistance of central venous cannulation: The Third Sonography Outcomes Assessment Program (SOAP-3) Trial* // Crit. Care Med. 2005. Vol. 33, № 8. P. 1764–1769.</w:t>
      </w:r>
    </w:p>
    <w:p w14:paraId="27C6EDF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97.</w:t>
      </w:r>
      <w:r w:rsidRPr="000768AC">
        <w:rPr>
          <w:rFonts w:cs="Times New Roman"/>
          <w:noProof/>
        </w:rPr>
        <w:tab/>
        <w:t>Зозуля Н.И., Кумскова М.А. Протокол диагностики и лечения гемофилии. // Алгоритмы диагностики и протоколы лечения заболеваний системы крови. Том 1. Практика / ed. Савченко В.Г. Москва, 2018. P. 333–358.</w:t>
      </w:r>
    </w:p>
    <w:p w14:paraId="15A3BE8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98.</w:t>
      </w:r>
      <w:r w:rsidRPr="000768AC">
        <w:rPr>
          <w:rFonts w:cs="Times New Roman"/>
          <w:noProof/>
        </w:rPr>
        <w:tab/>
        <w:t>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2012. Vol. 27, № 2. P. 7–21.</w:t>
      </w:r>
    </w:p>
    <w:p w14:paraId="45D0F172"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99.</w:t>
      </w:r>
      <w:r w:rsidRPr="000768AC">
        <w:rPr>
          <w:rFonts w:cs="Times New Roman"/>
          <w:noProof/>
        </w:rPr>
        <w:tab/>
        <w:t>Young P. et al. Effect of a buffered crystalloid solution vs saline on acute kidney injury among patients in the intensive care unit: The SPLIT randomized clinical trial // JAMA - J. Am. Med. Assoc. American Medical Association, 2015. Vol. 314, № 16. P. 1701–1710.</w:t>
      </w:r>
    </w:p>
    <w:p w14:paraId="7BCB894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100.</w:t>
      </w:r>
      <w:r w:rsidRPr="000768AC">
        <w:rPr>
          <w:rFonts w:cs="Times New Roman"/>
          <w:noProof/>
        </w:rPr>
        <w:tab/>
        <w:t>Hoorn E.J. Intravenous fluids: balancing solutions // Journal of Nephrology. Springer New York LLC, 2017. Vol. 30, № 4. P. 485–492.</w:t>
      </w:r>
    </w:p>
    <w:p w14:paraId="4A5EC4C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101.</w:t>
      </w:r>
      <w:r w:rsidRPr="000768AC">
        <w:rPr>
          <w:rFonts w:cs="Times New Roman"/>
          <w:noProof/>
        </w:rPr>
        <w:tab/>
        <w:t>Welte K. et al. Purification and biochemical characterization of human pluripotent hematopoietic colony-stimulating factor // Proc. Natl. Acad. Sci. U. S. A. Proc Natl Acad Sci U S A, 1985. Vol. 82, № 5. P. 1526–1530.</w:t>
      </w:r>
    </w:p>
    <w:p w14:paraId="30B011E3"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102.</w:t>
      </w:r>
      <w:r w:rsidRPr="000768AC">
        <w:rPr>
          <w:rFonts w:cs="Times New Roman"/>
          <w:noProof/>
        </w:rPr>
        <w:tab/>
        <w:t>Krause D.S. et al. CD34: Structure, biology, and clinical utility // Blood. American Society of Hematology, 1996. Vol. 87, № 1. P. 1–13.</w:t>
      </w:r>
    </w:p>
    <w:p w14:paraId="6DAAF42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103.</w:t>
      </w:r>
      <w:r w:rsidRPr="000768AC">
        <w:rPr>
          <w:rFonts w:cs="Times New Roman"/>
          <w:noProof/>
        </w:rPr>
        <w:tab/>
        <w:t>Giralt S. et al. Optimizing autologous stem cell mobilization strategies to improve patient outcomes: Consensus guidelines and recommendations // Biology of Blood and Marrow Transplantation. Elsevier, 2014. Vol. 20, № 3. P. 295–308.</w:t>
      </w:r>
    </w:p>
    <w:p w14:paraId="526548F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104.</w:t>
      </w:r>
      <w:r w:rsidRPr="000768AC">
        <w:rPr>
          <w:rFonts w:cs="Times New Roman"/>
          <w:noProof/>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12AD32F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105.</w:t>
      </w:r>
      <w:r w:rsidRPr="000768AC">
        <w:rPr>
          <w:rFonts w:cs="Times New Roman"/>
          <w:noProof/>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1989755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106.</w:t>
      </w:r>
      <w:r w:rsidRPr="000768AC">
        <w:rPr>
          <w:rFonts w:cs="Times New Roman"/>
          <w:noProof/>
        </w:rPr>
        <w:tab/>
        <w:t>Hohaus S. et al. Successful autografting following myeloablative conditioning therapy with blood stem cells mobilized by chemotherapy plus rhG-CSF. // Exp. Hematol. 1993. Vol. 21, № 4. P. 508–514.</w:t>
      </w:r>
    </w:p>
    <w:p w14:paraId="4967604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107.</w:t>
      </w:r>
      <w:r w:rsidRPr="000768AC">
        <w:rPr>
          <w:rFonts w:cs="Times New Roman"/>
          <w:noProof/>
        </w:rPr>
        <w:tab/>
        <w:t>Покровская О.С., Менделеева Л.П., Гальцева И.В., Варламова Е.Ю., Капланская И.Б., Воробьев И.А., Грецов Е.М., Калинин Н.Н., Варламова С.В., Клясова Г.А., Тихонова Л.Ю. С.В.Г. Мобилизация гемопоэтических клеток крови у больных миеломной болезнью // Проблемы гематологии и переливания. 2003. P. 55–56.</w:t>
      </w:r>
    </w:p>
    <w:p w14:paraId="1DE44255"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108.</w:t>
      </w:r>
      <w:r w:rsidRPr="000768AC">
        <w:rPr>
          <w:rFonts w:cs="Times New Roman"/>
          <w:noProof/>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58D16A81"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109.</w:t>
      </w:r>
      <w:r w:rsidRPr="000768AC">
        <w:rPr>
          <w:rFonts w:cs="Times New Roman"/>
          <w:noProof/>
        </w:rPr>
        <w:tab/>
        <w:t>Yang B.B., Kido A. Pharmacokinetics and pharmacodynamics of pegfilgrastim // Clinical Pharmacokinetics. Clin Pharmacokinet, 2011. Vol. 50, № 5. P. 295–306.</w:t>
      </w:r>
    </w:p>
    <w:p w14:paraId="74EFB67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110.</w:t>
      </w:r>
      <w:r w:rsidRPr="000768AC">
        <w:rPr>
          <w:rFonts w:cs="Times New Roman"/>
          <w:noProof/>
        </w:rPr>
        <w:tab/>
        <w:t>Costa L.J. et al. Pegfilgrastim-versus filgrastim-based autologous hematopoietic stem cell mobilization in the setting of preemptive use of plerixafor: Efficacy and cost analysis // Transfusion. Transfusion, 2012. Vol. 52, № 11. P. 2375–2381.</w:t>
      </w:r>
    </w:p>
    <w:p w14:paraId="2B38111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111.</w:t>
      </w:r>
      <w:r w:rsidRPr="000768AC">
        <w:rPr>
          <w:rFonts w:cs="Times New Roman"/>
          <w:noProof/>
        </w:rPr>
        <w:tab/>
        <w:t>Dale D.C. et al. A systematic literature review of the efficacy, effectiveness, and safety of filgrastim // Supportive Care in Cancer. Springer Verlag, 2018. Vol. 26, № 1. P. 7–20.</w:t>
      </w:r>
    </w:p>
    <w:p w14:paraId="20F507D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112.</w:t>
      </w:r>
      <w:r w:rsidRPr="000768AC">
        <w:rPr>
          <w:rFonts w:cs="Times New Roman"/>
          <w:noProof/>
        </w:rPr>
        <w:tab/>
        <w:t>Smith T.J. et al. Recommendations for the use of WBC growth factors: American society of clinical oncology clinical practice guideline update // J. Clin. Oncol. American Society of Clinical Oncology, 2015. Vol. 33, № 28. P. 3199–3212.</w:t>
      </w:r>
    </w:p>
    <w:p w14:paraId="733B4E99"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113.</w:t>
      </w:r>
      <w:r w:rsidRPr="000768AC">
        <w:rPr>
          <w:rFonts w:cs="Times New Roman"/>
          <w:noProof/>
        </w:rPr>
        <w:tab/>
        <w:t>Bilgin Y.M., De Greef G.E. Plerixafor for stem cell mobilization: The current status // Current Opinion in Hematology. Lippincott Williams and Wilkins, 2016. Vol. 23, № 1. P. 67–71.</w:t>
      </w:r>
    </w:p>
    <w:p w14:paraId="45432EF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114.</w:t>
      </w:r>
      <w:r w:rsidRPr="000768AC">
        <w:rPr>
          <w:rFonts w:cs="Times New Roman"/>
          <w:noProof/>
        </w:rPr>
        <w:tab/>
        <w:t>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Гематология и трансфузиология. 2017. № 62(4). P. 180-187.</w:t>
      </w:r>
    </w:p>
    <w:p w14:paraId="3D6D2BB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115.</w:t>
      </w:r>
      <w:r w:rsidRPr="000768AC">
        <w:rPr>
          <w:rFonts w:cs="Times New Roman"/>
          <w:noProof/>
        </w:rPr>
        <w:tab/>
        <w:t>Покровская О.С.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2011. Vol. 153. 29 p.</w:t>
      </w:r>
    </w:p>
    <w:p w14:paraId="20330CF5"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116.</w:t>
      </w:r>
      <w:r w:rsidRPr="000768AC">
        <w:rPr>
          <w:rFonts w:cs="Times New Roman"/>
          <w:noProof/>
        </w:rPr>
        <w:tab/>
        <w:t>Афанасьева О.И., Воинов В.А. Г.Ю.С. Экстракорпоральная гемокоррекция: терминология, языковые соответствия. СПб, 2016. P. 7–15.</w:t>
      </w:r>
    </w:p>
    <w:p w14:paraId="6184E80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117.</w:t>
      </w:r>
      <w:r w:rsidRPr="000768AC">
        <w:rPr>
          <w:rFonts w:cs="Times New Roman"/>
          <w:noProof/>
        </w:rPr>
        <w:tab/>
        <w:t>Ikeda K. et al. Adverse Events Associated With Infusion of Hematopoietic Stem Cell Products: A Prospective and Multicenter Surveillance Study // Transfusion Medicine Reviews. W.B. Saunders, 2018. Vol. 32, № 3. P. 186–194.</w:t>
      </w:r>
    </w:p>
    <w:p w14:paraId="42C6F46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118.</w:t>
      </w:r>
      <w:r w:rsidRPr="000768AC">
        <w:rPr>
          <w:rFonts w:cs="Times New Roman"/>
          <w:noProof/>
        </w:rPr>
        <w:tab/>
        <w:t>Sutherland D.R. et al. The ISHAGE guidelines for CD34+ cell determination by flow cytometry // Journal of Hematotherapy and Stem Cell Research. J Hematother, 1996. Vol. 5, № 3. P. 213–226.</w:t>
      </w:r>
    </w:p>
    <w:p w14:paraId="659B817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119.</w:t>
      </w:r>
      <w:r w:rsidRPr="000768AC">
        <w:rPr>
          <w:rFonts w:cs="Times New Roman"/>
          <w:noProof/>
        </w:rPr>
        <w:tab/>
        <w:t>Enric Carreras D.C., Mohty Mohamad K.N. Hematopoietic Stem Cell Transplantation and Cellular Therapies. 2019. 702 p.</w:t>
      </w:r>
    </w:p>
    <w:p w14:paraId="19C28ED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120.</w:t>
      </w:r>
      <w:r w:rsidRPr="000768AC">
        <w:rPr>
          <w:rFonts w:cs="Times New Roman"/>
          <w:noProof/>
        </w:rPr>
        <w:tab/>
        <w:t>Frankiewicz A. et al. Comparable safety profile of BeEAM (bendamustine, etoposide, cytarabine, melphalan) and BEAM (carmustine, etoposide, cytarabine, melphalan) as conditioning before autologous haematopoietic cell transplantation. // Contemp. Oncol. (Poznan, Poland). Termedia Publishing, 2018. Vol. 22, № 2. P. 113–117.</w:t>
      </w:r>
    </w:p>
    <w:p w14:paraId="57EEBB6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121.</w:t>
      </w:r>
      <w:r w:rsidRPr="000768AC">
        <w:rPr>
          <w:rFonts w:cs="Times New Roman"/>
          <w:noProof/>
        </w:rPr>
        <w:tab/>
        <w:t>Caballero M.D. et al. BEAM chemotherapy followed by autologous stem cell support in lymphoma patients: analysis of efficacy, toxicity and prognostic factors. // Bone Marrow Transplant. Bone Marrow Transplant, 1997. Vol. 20, № 6. P. 451–458.</w:t>
      </w:r>
    </w:p>
    <w:p w14:paraId="7C991EF5"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122.</w:t>
      </w:r>
      <w:r w:rsidRPr="000768AC">
        <w:rPr>
          <w:rFonts w:cs="Times New Roman"/>
          <w:noProof/>
        </w:rPr>
        <w:tab/>
        <w:t>Mills W. et al. BEAM chemotherapy and autologous bone marrow transplantation for patients with relapsed or refractory non-Hodgkin’s lymphoma. // J. Clin. Oncol. J Clin Oncol, 1995. Vol. 13, № 3. P. 588–595.</w:t>
      </w:r>
    </w:p>
    <w:p w14:paraId="19459F75"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123.</w:t>
      </w:r>
      <w:r w:rsidRPr="000768AC">
        <w:rPr>
          <w:rFonts w:cs="Times New Roman"/>
          <w:noProof/>
        </w:rPr>
        <w:tab/>
        <w:t>Colita A. et al. LEAM vs. BEAM vs. CLV Conditioning Regimen for Autologous Stem Cell Transplantation in Malignant Lymphomas. Retrospective Comparison of Toxicity and Efficacy on 222 Patients in the First 100 Days After Transplant, On Behalf of the Romanian Society for Bon // Front. Oncol. 2019. Vol. 9. P. 892.</w:t>
      </w:r>
    </w:p>
    <w:p w14:paraId="1F03082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124.</w:t>
      </w:r>
      <w:r w:rsidRPr="000768AC">
        <w:rPr>
          <w:rFonts w:cs="Times New Roman"/>
          <w:noProof/>
        </w:rPr>
        <w:tab/>
        <w:t>Sharma A. et al. Comparison of BEAM vs. LEAM regimen in autologous transplant for lymphoma at AIIMS. // Springerplus. Springerplus, 2013. Vol. 2. P. 489.</w:t>
      </w:r>
    </w:p>
    <w:p w14:paraId="525B6514"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125.</w:t>
      </w:r>
      <w:r w:rsidRPr="000768AC">
        <w:rPr>
          <w:rFonts w:cs="Times New Roman"/>
          <w:noProof/>
        </w:rPr>
        <w:tab/>
        <w:t>Perz J.B. et al. LACE-conditioned autologous stem cell transplantation for relapsed or refractory Hodgkin’s lymphoma: treatment outcome and risk factor analysis in 67 patients from a single centre. // Bone Marrow Transplant. Bone Marrow Transplant, 2007. Vol. 39, № 1. P. 41–47.</w:t>
      </w:r>
    </w:p>
    <w:p w14:paraId="1741859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126.</w:t>
      </w:r>
      <w:r w:rsidRPr="000768AC">
        <w:rPr>
          <w:rFonts w:cs="Times New Roman"/>
          <w:noProof/>
        </w:rPr>
        <w:tab/>
        <w:t>Ramzi M. et al. Autologous noncryopreserved hematopoietic stem cell transplant with CEAM as a modified conditioning regimen in patients with Hodgkin lymphoma: a single-center experience with a new protocol. // Exp. Clin. Transplant. Exp Clin Transplant, 2012. Vol. 10, № 2. P. 163–167.</w:t>
      </w:r>
    </w:p>
    <w:p w14:paraId="47AF873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127.</w:t>
      </w:r>
      <w:r w:rsidRPr="000768AC">
        <w:rPr>
          <w:rFonts w:cs="Times New Roman"/>
          <w:noProof/>
        </w:rPr>
        <w:tab/>
        <w:t>Visani G. et al. XRCC1 399GG genotype predicts significantly longer overall survival in resistant lymphoma patients treated with Benda-EAM and ASCT // Bone Marrow Transplant. Nature Publishing Group, 2020. Vol. 55, № 4. P. 818–820.</w:t>
      </w:r>
    </w:p>
    <w:p w14:paraId="33E419A2"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128.</w:t>
      </w:r>
      <w:r w:rsidRPr="000768AC">
        <w:rPr>
          <w:rFonts w:cs="Times New Roman"/>
          <w:noProof/>
        </w:rPr>
        <w:tab/>
        <w:t>Visani G. et al. BeEAM (bendamustine, etoposide, cytarabine, melphalan) before autologous stem cell transplantation is safe and effective for resistant/relapsed lymphoma patients. // Blood. 2011. Vol. 118, № 12. P. 3419–3425.</w:t>
      </w:r>
    </w:p>
    <w:p w14:paraId="50B839F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129.</w:t>
      </w:r>
      <w:r w:rsidRPr="000768AC">
        <w:rPr>
          <w:rFonts w:cs="Times New Roman"/>
          <w:noProof/>
        </w:rPr>
        <w:tab/>
        <w:t>Lanas A., Chan F.K.L. Peptic ulcer disease. // Lancet (London, England). Lancet, 2017. Vol. 390, № 10094. P. 613–624.</w:t>
      </w:r>
    </w:p>
    <w:p w14:paraId="4694719A"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130.</w:t>
      </w:r>
      <w:r w:rsidRPr="000768AC">
        <w:rPr>
          <w:rFonts w:cs="Times New Roman"/>
          <w:noProof/>
        </w:rPr>
        <w:tab/>
        <w:t>Auner H.W. et al. Infectious complications after autologous hematopoietic stem cell transplantation: Comparison of patients with acute myeloid leukemia, malignant lymphoma, and multiple myeloma // Ann. Hematol. Ann Hematol, 2002. Vol. 81, № 7. P. 374–377.</w:t>
      </w:r>
    </w:p>
    <w:p w14:paraId="47D6F59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131.</w:t>
      </w:r>
      <w:r w:rsidRPr="000768AC">
        <w:rPr>
          <w:rFonts w:cs="Times New Roman"/>
          <w:noProof/>
        </w:rPr>
        <w:tab/>
        <w:t>Gil L., Styczynski J., Komarnicki M. Infectious complication in 314 patients after high-dose therapy and autologous hematopoietic stem cell transplantation: Risk factors analysis and outcome // Infection. Infection, 2007. Vol. 35, № 6. P. 421–427.</w:t>
      </w:r>
    </w:p>
    <w:p w14:paraId="1C996B9E"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132.</w:t>
      </w:r>
      <w:r w:rsidRPr="000768AC">
        <w:rPr>
          <w:rFonts w:cs="Times New Roman"/>
          <w:noProof/>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44C24F3C"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133.</w:t>
      </w:r>
      <w:r w:rsidRPr="000768AC">
        <w:rPr>
          <w:rFonts w:cs="Times New Roman"/>
          <w:noProof/>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6D668B88"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134.</w:t>
      </w:r>
      <w:r w:rsidRPr="000768AC">
        <w:rPr>
          <w:rFonts w:cs="Times New Roman"/>
          <w:noProof/>
        </w:rPr>
        <w:tab/>
        <w:t>Moghnieh R. et al. Bacteraemia post-autologous haematopoietic stem cell transplantation in the absence of antibacterial prophylaxis: a decade’s experience from Lebanon // Infection. Urban und Vogel GmbH, 2018. Vol. 46, № 6.</w:t>
      </w:r>
    </w:p>
    <w:p w14:paraId="1203DF5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135.</w:t>
      </w:r>
      <w:r w:rsidRPr="000768AC">
        <w:rPr>
          <w:rFonts w:cs="Times New Roman"/>
          <w:noProof/>
        </w:rPr>
        <w:tab/>
        <w:t>Клясова Г.А. et al. Эмпирическая антимикробная терапия у больных острыми лейкозами: итоги многоцентрового исследования // Терапевтический архив. 1998. Vol. 70, № 7. P. 15–21.</w:t>
      </w:r>
    </w:p>
    <w:p w14:paraId="399BB4B1"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136.</w:t>
      </w:r>
      <w:r w:rsidRPr="000768AC">
        <w:rPr>
          <w:rFonts w:cs="Times New Roman"/>
          <w:noProof/>
        </w:rPr>
        <w:tab/>
        <w:t>Савченко В.Г. и др. Алгоритмы диагностики и протоколы лечения заболеваний системы крови. Москва: Практика, 2018. 1008 p.</w:t>
      </w:r>
    </w:p>
    <w:p w14:paraId="256FCAF6"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137.</w:t>
      </w:r>
      <w:r w:rsidRPr="000768AC">
        <w:rPr>
          <w:rFonts w:cs="Times New Roman"/>
          <w:noProof/>
        </w:rPr>
        <w:tab/>
        <w:t>Terpos E. et al. European myeloma network guidelines for the management of multiple myeloma-related complications // Haematologica. Ferrata Storti Foundation, 2015. Vol. 100, № 10. P. 1254–1266.</w:t>
      </w:r>
    </w:p>
    <w:p w14:paraId="4CC9FEF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138.</w:t>
      </w:r>
      <w:r w:rsidRPr="000768AC">
        <w:rPr>
          <w:rFonts w:cs="Times New Roman"/>
          <w:noProof/>
        </w:rPr>
        <w:tab/>
        <w:t>Maertens J. et al. ECIL guidelines for preventing Pneumocystis jirovecii pneumonia in patients with haematological malignancies and stem cell transplant recipients // Journal of Antimicrobial Chemotherapy. Oxford University Press, 2016. Vol. 71, № 9. P. 1–8.</w:t>
      </w:r>
    </w:p>
    <w:p w14:paraId="7C47C53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139.</w:t>
      </w:r>
      <w:r w:rsidRPr="000768AC">
        <w:rPr>
          <w:rFonts w:cs="Times New Roman"/>
          <w:noProof/>
        </w:rPr>
        <w:tab/>
        <w:t>Сытов А.В., Лейдерман И.Н., Ломидзе С.В., Нехаев И.В. Х.А.Ж.. Практические рекомендации по нутритивной поддержке онкологических больных // RUSSCO. 2017. P. 524–532.</w:t>
      </w:r>
    </w:p>
    <w:p w14:paraId="6864B2C1"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140.</w:t>
      </w:r>
      <w:r w:rsidRPr="000768AC">
        <w:rPr>
          <w:rFonts w:cs="Times New Roman"/>
          <w:noProof/>
        </w:rPr>
        <w:tab/>
        <w:t>Virizuela J.A. et al. Nutritional support and parenteral nutrition in cancer patients: an expert consensus report // Clin. Transl. Oncol. Springer-Verlag Italia s.r.l., 2018. Vol. 20, № 5. P. 619–629.</w:t>
      </w:r>
    </w:p>
    <w:p w14:paraId="7A2A7ABD"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141.</w:t>
      </w:r>
      <w:r w:rsidRPr="000768AC">
        <w:rPr>
          <w:rFonts w:cs="Times New Roman"/>
          <w:noProof/>
        </w:rPr>
        <w:tab/>
        <w:t>Бесова Н.С., Борисова Т.Н., Ларионова В.Б., Лейдерман И.Н., Обухова О.А., Попова Т.С., Салтанов А.И., Сельчук В.Ю., Снеговой А.В., Ткачев С.И., Тюляндин С.А. Ш.А.И. Клинические рекомендации по нутритивной поддержке при химиотерапии и/или лучевой терапии. 2014.</w:t>
      </w:r>
    </w:p>
    <w:p w14:paraId="4AB3A2B0"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142.</w:t>
      </w:r>
      <w:r w:rsidRPr="000768AC">
        <w:rPr>
          <w:rFonts w:cs="Times New Roman"/>
          <w:noProof/>
        </w:rPr>
        <w:tab/>
        <w:t>Arends J. et al. ESPEN guidelines on nutrition in cancer patients // Clin. Nutr. Churchill Livingstone, 2017. Vol. 36, № 1. P. 11–48.</w:t>
      </w:r>
    </w:p>
    <w:p w14:paraId="687527DB"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143.</w:t>
      </w:r>
      <w:r w:rsidRPr="000768AC">
        <w:rPr>
          <w:rFonts w:cs="Times New Roman"/>
          <w:noProof/>
        </w:rPr>
        <w:tab/>
        <w:t>Camblor-Álvarez M. et al. Soporte nutricional y nutrición parenteral en el paciente oncológico: informe de consenso de un grupo de expertos // Nutr. Hosp. ARAN Ediciones, 2018. Vol. 35, № 1.</w:t>
      </w:r>
    </w:p>
    <w:p w14:paraId="7186E84E"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144.</w:t>
      </w:r>
      <w:r w:rsidRPr="000768AC">
        <w:rPr>
          <w:rFonts w:cs="Times New Roman"/>
          <w:noProof/>
        </w:rPr>
        <w:tab/>
        <w:t>Baiu I., Spain D.A. Parenteral Nutrition // JAMA - Journal of the American Medical Association. American Medical Association, 2019. Vol. 321, № 21. P. 2142.</w:t>
      </w:r>
    </w:p>
    <w:p w14:paraId="5F8AD9D1"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145.</w:t>
      </w:r>
      <w:r w:rsidRPr="000768AC">
        <w:rPr>
          <w:rFonts w:cs="Times New Roman"/>
          <w:noProof/>
        </w:rPr>
        <w:tab/>
        <w:t>Oken M.M. et al. Toxicity and response criteria of the Eastern Cooperative Oncology Group // Am. J. Clin. Oncol. 1982. Vol. 5, № 6. P. 649–655.</w:t>
      </w:r>
    </w:p>
    <w:p w14:paraId="6CD30CE7" w14:textId="77777777" w:rsidR="000768AC" w:rsidRPr="000768AC" w:rsidRDefault="000768AC" w:rsidP="000768AC">
      <w:pPr>
        <w:widowControl w:val="0"/>
        <w:autoSpaceDE w:val="0"/>
        <w:autoSpaceDN w:val="0"/>
        <w:adjustRightInd w:val="0"/>
        <w:ind w:left="640" w:hanging="640"/>
        <w:rPr>
          <w:rFonts w:cs="Times New Roman"/>
          <w:noProof/>
        </w:rPr>
      </w:pPr>
      <w:r w:rsidRPr="000768AC">
        <w:rPr>
          <w:rFonts w:cs="Times New Roman"/>
          <w:noProof/>
        </w:rPr>
        <w:t>146.</w:t>
      </w:r>
      <w:r w:rsidRPr="000768AC">
        <w:rPr>
          <w:rFonts w:cs="Times New Roman"/>
          <w:noProof/>
        </w:rPr>
        <w:tab/>
        <w:t>Khorana A. et al. Development and validation of a predictive model for chemotherapy- associated thrombosis // Blood. 2008. Vol. 111, № 10. P. 4902–4907.</w:t>
      </w:r>
    </w:p>
    <w:p w14:paraId="30112D32" w14:textId="77A2DBEC" w:rsidR="0025228A" w:rsidRDefault="008762E9" w:rsidP="000768AC">
      <w:pPr>
        <w:widowControl w:val="0"/>
        <w:autoSpaceDE w:val="0"/>
        <w:autoSpaceDN w:val="0"/>
        <w:adjustRightInd w:val="0"/>
        <w:ind w:left="640" w:hanging="640"/>
      </w:pPr>
      <w:r w:rsidRPr="008762E9">
        <w:rPr>
          <w:rFonts w:cs="Times New Roman"/>
          <w:szCs w:val="24"/>
        </w:rPr>
        <w:fldChar w:fldCharType="end"/>
      </w:r>
    </w:p>
    <w:p w14:paraId="30112D33" w14:textId="77777777" w:rsidR="000414F6" w:rsidRPr="0033051F" w:rsidRDefault="00CB71DA" w:rsidP="0033051F">
      <w:pPr>
        <w:pStyle w:val="afff2"/>
      </w:pPr>
      <w:bookmarkStart w:id="78" w:name="__RefHeading___doc_a1"/>
      <w:bookmarkStart w:id="79" w:name="_Toc65108051"/>
      <w:r w:rsidRPr="0033051F">
        <w:t>Приложение А1. Состав рабочей группы</w:t>
      </w:r>
      <w:bookmarkEnd w:id="78"/>
      <w:r w:rsidR="005627B3" w:rsidRPr="0033051F">
        <w:t xml:space="preserve"> по разработке и пересмотру клинических рекомендаций</w:t>
      </w:r>
      <w:bookmarkEnd w:id="79"/>
    </w:p>
    <w:p w14:paraId="30112D34" w14:textId="77777777" w:rsidR="00F00F4A" w:rsidRDefault="00F00F4A" w:rsidP="00D22A46">
      <w:pPr>
        <w:pStyle w:val="afe"/>
        <w:numPr>
          <w:ilvl w:val="0"/>
          <w:numId w:val="25"/>
        </w:numPr>
      </w:pPr>
      <w:r>
        <w:rPr>
          <w:b/>
          <w:bCs/>
        </w:rPr>
        <w:t xml:space="preserve">Птушкин Вадим Вадимович </w:t>
      </w:r>
      <w:r w:rsidRPr="007565E9">
        <w:rPr>
          <w:bCs/>
        </w:rPr>
        <w:t>–</w:t>
      </w:r>
      <w:r>
        <w:rPr>
          <w:b/>
          <w:bCs/>
        </w:rPr>
        <w:t xml:space="preserve"> </w:t>
      </w:r>
      <w:r>
        <w:t>д.м.н., профессор, заместитель главного врача по гематологии ГБУЗ «ГКБ им. С.П. Боткина», главный внештатный специалист-гематолог Департамента здравоохранения города Москвы, член Национального гематологического общества и Российского общества онкогематологов.</w:t>
      </w:r>
    </w:p>
    <w:p w14:paraId="30112D35" w14:textId="77777777" w:rsidR="00F00F4A" w:rsidRDefault="00F00F4A" w:rsidP="00D22A46">
      <w:pPr>
        <w:pStyle w:val="afe"/>
        <w:numPr>
          <w:ilvl w:val="0"/>
          <w:numId w:val="25"/>
        </w:numPr>
      </w:pPr>
      <w:r>
        <w:rPr>
          <w:b/>
        </w:rPr>
        <w:t xml:space="preserve">Поддубная Ирина Владимировна </w:t>
      </w:r>
      <w:r w:rsidRPr="00201314">
        <w:t xml:space="preserve">– </w:t>
      </w:r>
      <w:r>
        <w:t>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30112D36" w14:textId="77777777" w:rsidR="00A4325F" w:rsidRDefault="00A4325F" w:rsidP="00D22A46">
      <w:pPr>
        <w:pStyle w:val="afe"/>
        <w:numPr>
          <w:ilvl w:val="0"/>
          <w:numId w:val="25"/>
        </w:numPr>
      </w:pPr>
      <w:r>
        <w:rPr>
          <w:b/>
        </w:rPr>
        <w:t xml:space="preserve">Османов Евгений Александрович </w:t>
      </w:r>
      <w:r w:rsidRPr="007565E9">
        <w:t>–</w:t>
      </w:r>
      <w:r>
        <w:rPr>
          <w:b/>
        </w:rPr>
        <w:t xml:space="preserve">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России, </w:t>
      </w:r>
      <w:r>
        <w:t>член правления Российского общества онкогематологов.</w:t>
      </w:r>
    </w:p>
    <w:p w14:paraId="30112D37" w14:textId="77777777" w:rsidR="00A4325F" w:rsidRPr="00A4325F" w:rsidRDefault="00C4469F" w:rsidP="00D22A46">
      <w:pPr>
        <w:pStyle w:val="afe"/>
        <w:numPr>
          <w:ilvl w:val="0"/>
          <w:numId w:val="25"/>
        </w:numPr>
      </w:pPr>
      <w:r w:rsidRPr="00C4469F">
        <w:rPr>
          <w:b/>
          <w:bCs/>
        </w:rPr>
        <w:t>Кравченко Сергей Кириллович</w:t>
      </w:r>
      <w:r>
        <w:t xml:space="preserve"> – к.м.н., доцент, зав. отделением интенсивной высокодозной химиотерапии</w:t>
      </w:r>
      <w:r w:rsidRPr="00C4469F">
        <w:t xml:space="preserve"> </w:t>
      </w:r>
      <w:r>
        <w:t>с круглосуточным и дневным стационаром ФГБУ «НМИЦ гематологии» Минздрава России, член Национального гематологического общества</w:t>
      </w:r>
    </w:p>
    <w:p w14:paraId="30112D38" w14:textId="77777777" w:rsidR="00C4469F" w:rsidRDefault="00C4469F" w:rsidP="00D22A46">
      <w:pPr>
        <w:pStyle w:val="afe"/>
        <w:numPr>
          <w:ilvl w:val="0"/>
          <w:numId w:val="25"/>
        </w:numPr>
      </w:pPr>
      <w:r>
        <w:rPr>
          <w:b/>
        </w:rPr>
        <w:t xml:space="preserve">Фалалеева Наталья Александровна </w:t>
      </w:r>
      <w:r w:rsidRPr="007565E9">
        <w:t>–</w:t>
      </w:r>
      <w:r>
        <w:t xml:space="preserve">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30112D39" w14:textId="77777777" w:rsidR="00C4469F" w:rsidRDefault="00C4469F" w:rsidP="00D22A46">
      <w:pPr>
        <w:pStyle w:val="afe"/>
        <w:numPr>
          <w:ilvl w:val="0"/>
          <w:numId w:val="25"/>
        </w:numPr>
      </w:pPr>
      <w:r>
        <w:rPr>
          <w:b/>
        </w:rPr>
        <w:t xml:space="preserve">Стефанов Дмитрий Николаевич </w:t>
      </w:r>
      <w:r>
        <w:t>–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30112D3A" w14:textId="77777777" w:rsidR="004F0134" w:rsidRDefault="004F0134" w:rsidP="00D22A46">
      <w:pPr>
        <w:pStyle w:val="afe"/>
        <w:numPr>
          <w:ilvl w:val="0"/>
          <w:numId w:val="25"/>
        </w:numPr>
      </w:pPr>
      <w:r>
        <w:rPr>
          <w:b/>
          <w:bCs/>
        </w:rPr>
        <w:t>Байков Вадим Валентинович</w:t>
      </w:r>
      <w:r>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30112D3B" w14:textId="77777777" w:rsidR="004F0134" w:rsidRDefault="004F0134" w:rsidP="00D22A46">
      <w:pPr>
        <w:pStyle w:val="afe"/>
        <w:numPr>
          <w:ilvl w:val="0"/>
          <w:numId w:val="25"/>
        </w:numPr>
      </w:pPr>
      <w:r>
        <w:rPr>
          <w:b/>
          <w:bCs/>
        </w:rPr>
        <w:t xml:space="preserve">Ковригина Алла Михайловна </w:t>
      </w:r>
      <w:r>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30112D3C" w14:textId="77777777" w:rsidR="003E0500" w:rsidRPr="003E0500" w:rsidRDefault="003E0500" w:rsidP="00D22A46">
      <w:pPr>
        <w:pStyle w:val="afe"/>
        <w:numPr>
          <w:ilvl w:val="0"/>
          <w:numId w:val="25"/>
        </w:numPr>
      </w:pPr>
      <w:r w:rsidRPr="003E0500">
        <w:rPr>
          <w:b/>
          <w:bCs/>
        </w:rPr>
        <w:t>Криволапов Юрий Александрович</w:t>
      </w:r>
      <w:r>
        <w:t xml:space="preserve"> – д.м.н., профессор, зав. патологоанатомическим отделением клинической молекулярной морфологии клиники им. Э.Э. Эйхвальда ФГБОУ СЗГМУ им. И.И. Мечникова Минздрава России, член панели патологов Европейской сети исследования лимфом, член Европейской рабочей группы исследования костного мозга, член президиума Российского общества патологоанатомов</w:t>
      </w:r>
    </w:p>
    <w:p w14:paraId="30112D3D" w14:textId="77777777" w:rsidR="00C4469F" w:rsidRDefault="00AB3FBF" w:rsidP="00D22A46">
      <w:pPr>
        <w:pStyle w:val="afe"/>
        <w:numPr>
          <w:ilvl w:val="0"/>
          <w:numId w:val="25"/>
        </w:numPr>
      </w:pPr>
      <w:r>
        <w:rPr>
          <w:b/>
          <w:bCs/>
        </w:rPr>
        <w:t xml:space="preserve">Коновалов Дмитрий Михайлович </w:t>
      </w:r>
      <w:r>
        <w:t>– к.м.н., зав. патологанатомическим отделением ФГБУ «НМИЦ ДГОИ им. Дмитрия Рогачева» Минздрава России</w:t>
      </w:r>
      <w:r w:rsidR="003E0500">
        <w:t>, член президиума Российского общества патологоанатомов</w:t>
      </w:r>
    </w:p>
    <w:p w14:paraId="30112D3E" w14:textId="77777777" w:rsidR="004F0134" w:rsidRDefault="004F0134" w:rsidP="00D22A46">
      <w:pPr>
        <w:pStyle w:val="Default"/>
        <w:numPr>
          <w:ilvl w:val="0"/>
          <w:numId w:val="25"/>
        </w:numPr>
        <w:spacing w:line="360" w:lineRule="auto"/>
        <w:jc w:val="both"/>
      </w:pPr>
      <w:r>
        <w:rPr>
          <w:b/>
          <w:bCs/>
        </w:rPr>
        <w:t>Невольских Алексей Алексеевич</w:t>
      </w:r>
      <w:r>
        <w:t xml:space="preserve"> – д.м.н., заместитель директора по лечебной работе МРНЦ им. А.Ф. Цыба – филиал ФГБУ «НМИЦ радиологии» Минздрава России.</w:t>
      </w:r>
    </w:p>
    <w:p w14:paraId="30112D3F" w14:textId="77777777" w:rsidR="004F0134" w:rsidRDefault="004F0134" w:rsidP="00D22A46">
      <w:pPr>
        <w:pStyle w:val="Default"/>
        <w:numPr>
          <w:ilvl w:val="0"/>
          <w:numId w:val="25"/>
        </w:numPr>
        <w:spacing w:line="360" w:lineRule="auto"/>
        <w:jc w:val="both"/>
      </w:pPr>
      <w:r>
        <w:rPr>
          <w:b/>
          <w:bCs/>
        </w:rPr>
        <w:t>Иванов Сергей Анатольевич</w:t>
      </w:r>
      <w:r>
        <w:t xml:space="preserve"> – профессор РАН, д.м.н., директор МРНЦ им. А.Ф. Цыба – филиал ФГБУ «НМИЦ радиологии» Минздрава России.</w:t>
      </w:r>
    </w:p>
    <w:p w14:paraId="30112D40" w14:textId="77777777" w:rsidR="004F0134" w:rsidRDefault="004F0134" w:rsidP="00D22A46">
      <w:pPr>
        <w:pStyle w:val="Default"/>
        <w:numPr>
          <w:ilvl w:val="0"/>
          <w:numId w:val="25"/>
        </w:numPr>
        <w:spacing w:line="360" w:lineRule="auto"/>
      </w:pPr>
      <w:r>
        <w:rPr>
          <w:b/>
          <w:bCs/>
        </w:rPr>
        <w:t>Хайлова Жанна Владимировна</w:t>
      </w:r>
      <w:r>
        <w:t xml:space="preserve"> –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30112D41" w14:textId="77777777" w:rsidR="004F0134" w:rsidRDefault="004F0134" w:rsidP="00D22A46">
      <w:pPr>
        <w:numPr>
          <w:ilvl w:val="0"/>
          <w:numId w:val="25"/>
        </w:numPr>
      </w:pPr>
      <w:r>
        <w:rPr>
          <w:b/>
          <w:bCs/>
          <w:shd w:val="clear" w:color="auto" w:fill="FFFFFF"/>
        </w:rPr>
        <w:t>Геворкян Тигран Гагикович</w:t>
      </w:r>
      <w:r>
        <w:rPr>
          <w:shd w:val="clear" w:color="auto" w:fill="FFFFFF"/>
        </w:rPr>
        <w:t xml:space="preserve"> – заместитель директора НИИ КЭР ФГБУ «НМИЦ онкологии им. Н.Н. Блохина».</w:t>
      </w:r>
    </w:p>
    <w:p w14:paraId="30112D42" w14:textId="77777777" w:rsidR="004F0134" w:rsidRDefault="004F0134" w:rsidP="004F0134"/>
    <w:p w14:paraId="30112D43" w14:textId="77777777" w:rsidR="004F0134" w:rsidRPr="00201314" w:rsidRDefault="004F0134" w:rsidP="004F0134">
      <w:pPr>
        <w:rPr>
          <w:b/>
        </w:rPr>
      </w:pPr>
      <w:r w:rsidRPr="00201314">
        <w:rPr>
          <w:b/>
        </w:rPr>
        <w:t>Кон</w:t>
      </w:r>
      <w:r w:rsidR="0081411B">
        <w:rPr>
          <w:b/>
        </w:rPr>
        <w:t>фл</w:t>
      </w:r>
      <w:r w:rsidRPr="00201314">
        <w:rPr>
          <w:b/>
        </w:rPr>
        <w:t>икт интересов отсутствует.</w:t>
      </w:r>
    </w:p>
    <w:p w14:paraId="30112D44" w14:textId="77777777" w:rsidR="000414F6" w:rsidRPr="0033051F" w:rsidRDefault="00CB71DA" w:rsidP="0033051F">
      <w:pPr>
        <w:pStyle w:val="afff2"/>
      </w:pPr>
      <w:bookmarkStart w:id="80" w:name="__RefHeading___doc_a2"/>
      <w:bookmarkStart w:id="81" w:name="_Toc65108052"/>
      <w:r w:rsidRPr="0033051F">
        <w:t>Приложение А2. Методология разработки клинических рекомендаций</w:t>
      </w:r>
      <w:bookmarkEnd w:id="80"/>
      <w:bookmarkEnd w:id="81"/>
    </w:p>
    <w:p w14:paraId="30112D45" w14:textId="77777777" w:rsidR="009F5D92" w:rsidRDefault="009F5D92" w:rsidP="009F5D92">
      <w:pPr>
        <w:pStyle w:val="aff8"/>
        <w:rPr>
          <w:rStyle w:val="affb"/>
          <w:u w:val="single"/>
        </w:rPr>
      </w:pPr>
      <w:r>
        <w:rPr>
          <w:rStyle w:val="affb"/>
          <w:u w:val="single"/>
        </w:rPr>
        <w:t>Целевая аудитория данных клинических рекомендаций:</w:t>
      </w:r>
    </w:p>
    <w:p w14:paraId="30112D46" w14:textId="77777777" w:rsidR="009F5D92" w:rsidRDefault="009F5D92" w:rsidP="009F5D92">
      <w:r>
        <w:t>1. Врачи-гематологи.</w:t>
      </w:r>
    </w:p>
    <w:p w14:paraId="30112D47" w14:textId="77777777" w:rsidR="009F5D92" w:rsidRDefault="009F5D92" w:rsidP="009F5D92">
      <w:r>
        <w:t>2. Врачи-онкологи.</w:t>
      </w:r>
    </w:p>
    <w:p w14:paraId="30112D48" w14:textId="77777777" w:rsidR="008762E9" w:rsidRDefault="008762E9" w:rsidP="009F5D92">
      <w:r>
        <w:t>3. Детские онкологи.</w:t>
      </w:r>
    </w:p>
    <w:p w14:paraId="30112D49" w14:textId="77777777" w:rsidR="008762E9" w:rsidRDefault="008762E9" w:rsidP="009F5D92">
      <w:r>
        <w:t>4. Специалисты лучевой диагностики.</w:t>
      </w:r>
    </w:p>
    <w:p w14:paraId="30112D4A" w14:textId="77777777" w:rsidR="009F5D92" w:rsidRDefault="008762E9" w:rsidP="009F5D92">
      <w:r>
        <w:t>5</w:t>
      </w:r>
      <w:r w:rsidR="009F5D92">
        <w:t>. Студенты медицинских вузов.</w:t>
      </w:r>
    </w:p>
    <w:p w14:paraId="30112D4B" w14:textId="77777777" w:rsidR="009F5D92" w:rsidRDefault="009F5D92" w:rsidP="009F5D92">
      <w:pPr>
        <w:pStyle w:val="afd"/>
        <w:spacing w:beforeAutospacing="0" w:afterAutospacing="0"/>
      </w:pPr>
      <w:r>
        <w:rPr>
          <w:rStyle w:val="affb"/>
          <w:u w:val="single"/>
        </w:rPr>
        <w:t>Методология сбора доказательств</w:t>
      </w:r>
    </w:p>
    <w:p w14:paraId="30112D4C" w14:textId="77777777" w:rsidR="009F5D92" w:rsidRDefault="009F5D92" w:rsidP="009F5D92">
      <w:pPr>
        <w:pStyle w:val="afd"/>
        <w:spacing w:beforeAutospacing="0" w:afterAutospacing="0"/>
      </w:pPr>
      <w:r>
        <w:rPr>
          <w:rStyle w:val="affb"/>
        </w:rPr>
        <w:t>Методы, использованные для сбора / селекции доказательств:</w:t>
      </w:r>
    </w:p>
    <w:p w14:paraId="30112D4D" w14:textId="77777777" w:rsidR="009F5D92" w:rsidRDefault="009F5D92" w:rsidP="00D22A46">
      <w:pPr>
        <w:pStyle w:val="afd"/>
        <w:numPr>
          <w:ilvl w:val="0"/>
          <w:numId w:val="11"/>
        </w:numPr>
        <w:spacing w:beforeAutospacing="0" w:afterAutospacing="0"/>
        <w:ind w:left="0" w:firstLine="851"/>
      </w:pPr>
      <w:r>
        <w:t>поиск публикаций в специализированных периодических печатных изданиях с импакт-фактором  &gt;0.3;</w:t>
      </w:r>
    </w:p>
    <w:p w14:paraId="30112D4E" w14:textId="77777777" w:rsidR="009F5D92" w:rsidRPr="00201314" w:rsidRDefault="009F5D92" w:rsidP="00D22A46">
      <w:pPr>
        <w:pStyle w:val="afd"/>
        <w:numPr>
          <w:ilvl w:val="0"/>
          <w:numId w:val="11"/>
        </w:numPr>
        <w:spacing w:beforeAutospacing="0" w:afterAutospacing="0"/>
        <w:ind w:left="0" w:firstLine="851"/>
      </w:pPr>
      <w:r>
        <w:t>п</w:t>
      </w:r>
      <w:r w:rsidRPr="00201314">
        <w:t>оиск в электронных базах данных.</w:t>
      </w:r>
    </w:p>
    <w:p w14:paraId="30112D4F" w14:textId="77777777" w:rsidR="009F5D92" w:rsidRDefault="009F5D92" w:rsidP="009F5D92">
      <w:pPr>
        <w:pStyle w:val="afd"/>
        <w:spacing w:beforeAutospacing="0" w:afterAutospacing="0"/>
        <w:rPr>
          <w:b/>
        </w:rPr>
      </w:pPr>
      <w:r w:rsidRPr="00201314">
        <w:rPr>
          <w:rStyle w:val="affb"/>
        </w:rPr>
        <w:t>Базы данных, использованных для сбора/селекции доказательств</w:t>
      </w:r>
      <w:r w:rsidRPr="00A02430">
        <w:rPr>
          <w:rStyle w:val="affb"/>
        </w:rPr>
        <w:t xml:space="preserve">. </w:t>
      </w:r>
      <w:r>
        <w:t>Доказательной базой для рекомендаций являются публикации, вошедшие в Кохрайновскую библиотеку, базы данных PUBMED и MEDLINE. Глубина поиска составляла 30 лет.</w:t>
      </w:r>
    </w:p>
    <w:p w14:paraId="30112D50" w14:textId="77777777" w:rsidR="009F5D92" w:rsidRDefault="009F5D92" w:rsidP="009F5D92">
      <w:pPr>
        <w:pStyle w:val="afd"/>
        <w:spacing w:beforeAutospacing="0" w:afterAutospacing="0"/>
      </w:pPr>
      <w:r>
        <w:rPr>
          <w:rStyle w:val="affb"/>
        </w:rPr>
        <w:t>Методы, использованные для анализа доказательств:</w:t>
      </w:r>
    </w:p>
    <w:p w14:paraId="30112D51" w14:textId="77777777" w:rsidR="009F5D92" w:rsidRDefault="009F5D92" w:rsidP="00D22A46">
      <w:pPr>
        <w:pStyle w:val="afd"/>
        <w:numPr>
          <w:ilvl w:val="0"/>
          <w:numId w:val="18"/>
        </w:numPr>
        <w:spacing w:beforeAutospacing="0" w:afterAutospacing="0"/>
        <w:ind w:left="0" w:firstLine="851"/>
        <w:jc w:val="left"/>
      </w:pPr>
      <w:r>
        <w:t>обзоры опубликованных мета-анализов;</w:t>
      </w:r>
    </w:p>
    <w:p w14:paraId="30112D52" w14:textId="77777777" w:rsidR="009F5D92" w:rsidRDefault="009F5D92" w:rsidP="00D22A46">
      <w:pPr>
        <w:pStyle w:val="afd"/>
        <w:numPr>
          <w:ilvl w:val="0"/>
          <w:numId w:val="18"/>
        </w:numPr>
        <w:tabs>
          <w:tab w:val="clear" w:pos="720"/>
          <w:tab w:val="num" w:pos="0"/>
        </w:tabs>
        <w:spacing w:beforeAutospacing="0" w:afterAutospacing="0"/>
        <w:ind w:left="0" w:firstLine="851"/>
        <w:jc w:val="left"/>
      </w:pPr>
      <w:r>
        <w:t>систематические обзоры с таблицами доказательств.</w:t>
      </w:r>
    </w:p>
    <w:p w14:paraId="30112D53" w14:textId="77777777" w:rsidR="009F5D92" w:rsidRDefault="009F5D92" w:rsidP="009F5D92">
      <w:pPr>
        <w:pStyle w:val="afd"/>
        <w:spacing w:beforeAutospacing="0" w:afterAutospacing="0"/>
      </w:pPr>
      <w:r>
        <w:rPr>
          <w:rStyle w:val="affb"/>
        </w:rPr>
        <w:t>Методы, использованные для качества и силы доказательств:</w:t>
      </w:r>
    </w:p>
    <w:p w14:paraId="30112D54" w14:textId="77777777" w:rsidR="009F5D92" w:rsidRDefault="009F5D92" w:rsidP="00D22A46">
      <w:pPr>
        <w:pStyle w:val="afd"/>
        <w:numPr>
          <w:ilvl w:val="0"/>
          <w:numId w:val="19"/>
        </w:numPr>
        <w:spacing w:beforeAutospacing="0" w:afterAutospacing="0"/>
        <w:ind w:left="0" w:firstLine="851"/>
        <w:jc w:val="left"/>
      </w:pPr>
      <w:r>
        <w:t>консенсус экспертов;</w:t>
      </w:r>
    </w:p>
    <w:p w14:paraId="30112D55" w14:textId="77777777" w:rsidR="009F5D92" w:rsidRDefault="009F5D92" w:rsidP="00D22A46">
      <w:pPr>
        <w:pStyle w:val="afd"/>
        <w:numPr>
          <w:ilvl w:val="0"/>
          <w:numId w:val="19"/>
        </w:numPr>
        <w:spacing w:beforeAutospacing="0" w:afterAutospacing="0"/>
        <w:ind w:left="0" w:firstLine="851"/>
        <w:jc w:val="left"/>
      </w:pPr>
      <w:r>
        <w:t>оценка значимости доказательств в соответствии с рейтинговой схемой доказательств (табл. 4, 5).</w:t>
      </w:r>
    </w:p>
    <w:p w14:paraId="30112D56" w14:textId="77777777" w:rsidR="009F5D92" w:rsidRDefault="009F5D92" w:rsidP="009F5D92">
      <w:pPr>
        <w:pStyle w:val="afd"/>
        <w:spacing w:beforeAutospacing="0" w:afterAutospacing="0"/>
      </w:pPr>
      <w:r>
        <w:t>В настоящих клинических рекомендациях в скобках приведены уровни доказательности рекомендаций в соответствии со шкалами, разработанными Американским обществом клинической онкологии (ASCO) и Европейским обществом медицинской онкологии (ESMO).</w:t>
      </w:r>
    </w:p>
    <w:p w14:paraId="30112D57" w14:textId="77777777" w:rsidR="009F5D92" w:rsidRDefault="009F5D92" w:rsidP="009F5D92">
      <w:pPr>
        <w:ind w:firstLine="0"/>
      </w:pPr>
    </w:p>
    <w:p w14:paraId="30112D58" w14:textId="77777777" w:rsidR="009F5D92" w:rsidRDefault="009F5D92" w:rsidP="009F5D92">
      <w:pPr>
        <w:ind w:firstLine="0"/>
      </w:pPr>
      <w:r w:rsidRPr="003D6A76">
        <w:rPr>
          <w:b/>
          <w:bCs/>
        </w:rPr>
        <w:t>Таблица</w:t>
      </w:r>
      <w:r w:rsidR="00C6417C">
        <w:rPr>
          <w:b/>
          <w:bCs/>
        </w:rPr>
        <w:t xml:space="preserve"> А2.</w:t>
      </w:r>
      <w:r w:rsidRPr="003D6A76">
        <w:rPr>
          <w:b/>
          <w:bCs/>
        </w:rPr>
        <w:fldChar w:fldCharType="begin"/>
      </w:r>
      <w:r w:rsidRPr="0036218D">
        <w:rPr>
          <w:b/>
          <w:bCs/>
        </w:rPr>
        <w:instrText xml:space="preserve"> SEQ Таблица \* ARABIC </w:instrText>
      </w:r>
      <w:r w:rsidRPr="003D6A76">
        <w:rPr>
          <w:b/>
          <w:bCs/>
        </w:rPr>
        <w:fldChar w:fldCharType="separate"/>
      </w:r>
      <w:r w:rsidR="00312568">
        <w:rPr>
          <w:b/>
          <w:bCs/>
          <w:noProof/>
        </w:rPr>
        <w:t>1</w:t>
      </w:r>
      <w:r w:rsidRPr="003D6A76">
        <w:rPr>
          <w:b/>
          <w:bCs/>
        </w:rPr>
        <w:fldChar w:fldCharType="end"/>
      </w:r>
      <w:r w:rsidRPr="003D6A76">
        <w:rPr>
          <w:b/>
          <w:bCs/>
        </w:rPr>
        <w:t>.</w:t>
      </w:r>
      <w:r>
        <w:rPr>
          <w:b/>
        </w:rPr>
        <w:t xml:space="preserve"> </w:t>
      </w:r>
      <w:r>
        <w:t>Шкала оценки уровней достоверности доказательств (УДД) для методов диагностики (диагностических вмешательств)</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660"/>
      </w:tblGrid>
      <w:tr w:rsidR="009F5D92" w14:paraId="30112D5B" w14:textId="77777777" w:rsidTr="00665C29">
        <w:trPr>
          <w:trHeight w:val="58"/>
          <w:tblHeader/>
        </w:trPr>
        <w:tc>
          <w:tcPr>
            <w:tcW w:w="588" w:type="pct"/>
            <w:tcBorders>
              <w:top w:val="single" w:sz="4" w:space="0" w:color="auto"/>
              <w:left w:val="single" w:sz="4" w:space="0" w:color="auto"/>
              <w:bottom w:val="single" w:sz="4" w:space="0" w:color="auto"/>
              <w:right w:val="single" w:sz="4" w:space="0" w:color="auto"/>
            </w:tcBorders>
          </w:tcPr>
          <w:p w14:paraId="30112D59" w14:textId="77777777" w:rsidR="009F5D92" w:rsidRDefault="009F5D92" w:rsidP="004F0134">
            <w:pPr>
              <w:ind w:firstLine="0"/>
              <w:rPr>
                <w:b/>
                <w:color w:val="000000"/>
                <w:szCs w:val="24"/>
              </w:rPr>
            </w:pPr>
            <w:r>
              <w:rPr>
                <w:b/>
                <w:color w:val="000000"/>
                <w:szCs w:val="24"/>
              </w:rPr>
              <w:t>УДД</w:t>
            </w:r>
          </w:p>
        </w:tc>
        <w:tc>
          <w:tcPr>
            <w:tcW w:w="4412" w:type="pct"/>
            <w:tcBorders>
              <w:top w:val="single" w:sz="4" w:space="0" w:color="auto"/>
              <w:left w:val="single" w:sz="4" w:space="0" w:color="auto"/>
              <w:bottom w:val="single" w:sz="4" w:space="0" w:color="auto"/>
              <w:right w:val="single" w:sz="4" w:space="0" w:color="auto"/>
            </w:tcBorders>
          </w:tcPr>
          <w:p w14:paraId="30112D5A" w14:textId="77777777" w:rsidR="009F5D92" w:rsidRDefault="009F5D92" w:rsidP="004F0134">
            <w:pPr>
              <w:jc w:val="center"/>
              <w:rPr>
                <w:b/>
                <w:color w:val="000000"/>
                <w:szCs w:val="24"/>
              </w:rPr>
            </w:pPr>
            <w:r>
              <w:rPr>
                <w:b/>
                <w:color w:val="000000"/>
                <w:szCs w:val="24"/>
              </w:rPr>
              <w:t>Расшифровка</w:t>
            </w:r>
          </w:p>
        </w:tc>
      </w:tr>
      <w:tr w:rsidR="009F5D92" w14:paraId="30112D5E" w14:textId="77777777" w:rsidTr="00665C29">
        <w:tc>
          <w:tcPr>
            <w:tcW w:w="588" w:type="pct"/>
            <w:tcBorders>
              <w:top w:val="single" w:sz="4" w:space="0" w:color="auto"/>
              <w:left w:val="single" w:sz="4" w:space="0" w:color="auto"/>
              <w:bottom w:val="single" w:sz="4" w:space="0" w:color="auto"/>
              <w:right w:val="single" w:sz="4" w:space="0" w:color="auto"/>
            </w:tcBorders>
          </w:tcPr>
          <w:p w14:paraId="30112D5C" w14:textId="77777777" w:rsidR="009F5D92" w:rsidRDefault="009F5D92" w:rsidP="004F0134">
            <w:pPr>
              <w:ind w:firstLine="0"/>
              <w:rPr>
                <w:color w:val="000000"/>
                <w:szCs w:val="24"/>
              </w:rPr>
            </w:pPr>
            <w:r>
              <w:rPr>
                <w:color w:val="000000"/>
                <w:szCs w:val="24"/>
                <w:lang w:val="en-US"/>
              </w:rPr>
              <w:t>1</w:t>
            </w:r>
          </w:p>
        </w:tc>
        <w:tc>
          <w:tcPr>
            <w:tcW w:w="4412" w:type="pct"/>
            <w:tcBorders>
              <w:top w:val="single" w:sz="4" w:space="0" w:color="auto"/>
              <w:left w:val="single" w:sz="4" w:space="0" w:color="auto"/>
              <w:bottom w:val="single" w:sz="4" w:space="0" w:color="auto"/>
              <w:right w:val="single" w:sz="4" w:space="0" w:color="auto"/>
            </w:tcBorders>
          </w:tcPr>
          <w:p w14:paraId="30112D5D" w14:textId="77777777" w:rsidR="009F5D92" w:rsidRDefault="009F5D92" w:rsidP="004F0134">
            <w:pPr>
              <w:ind w:firstLine="0"/>
              <w:rPr>
                <w:color w:val="000000"/>
                <w:szCs w:val="24"/>
              </w:rPr>
            </w:pPr>
            <w:r>
              <w:rPr>
                <w:color w:val="000000"/>
                <w:szCs w:val="24"/>
              </w:rPr>
              <w:t>Систематические обзоры исследований с контролем референсным методом</w:t>
            </w:r>
            <w:r>
              <w:rPr>
                <w:szCs w:val="24"/>
              </w:rPr>
              <w:t xml:space="preserve"> или систематический обзор рандомизированных клинических исследований с применением метаанализа.</w:t>
            </w:r>
          </w:p>
        </w:tc>
      </w:tr>
      <w:tr w:rsidR="009F5D92" w14:paraId="30112D61" w14:textId="77777777" w:rsidTr="00665C29">
        <w:tc>
          <w:tcPr>
            <w:tcW w:w="588" w:type="pct"/>
            <w:tcBorders>
              <w:top w:val="single" w:sz="4" w:space="0" w:color="auto"/>
              <w:left w:val="single" w:sz="4" w:space="0" w:color="auto"/>
              <w:bottom w:val="single" w:sz="4" w:space="0" w:color="auto"/>
              <w:right w:val="single" w:sz="4" w:space="0" w:color="auto"/>
            </w:tcBorders>
          </w:tcPr>
          <w:p w14:paraId="30112D5F" w14:textId="77777777" w:rsidR="009F5D92" w:rsidRDefault="009F5D92" w:rsidP="004F0134">
            <w:pPr>
              <w:ind w:firstLine="0"/>
              <w:rPr>
                <w:color w:val="000000"/>
                <w:szCs w:val="24"/>
              </w:rPr>
            </w:pPr>
            <w:r>
              <w:rPr>
                <w:color w:val="000000"/>
                <w:szCs w:val="24"/>
                <w:lang w:val="en-US"/>
              </w:rPr>
              <w:t>2</w:t>
            </w:r>
          </w:p>
        </w:tc>
        <w:tc>
          <w:tcPr>
            <w:tcW w:w="4412" w:type="pct"/>
            <w:tcBorders>
              <w:top w:val="single" w:sz="4" w:space="0" w:color="auto"/>
              <w:left w:val="single" w:sz="4" w:space="0" w:color="auto"/>
              <w:bottom w:val="single" w:sz="4" w:space="0" w:color="auto"/>
              <w:right w:val="single" w:sz="4" w:space="0" w:color="auto"/>
            </w:tcBorders>
          </w:tcPr>
          <w:p w14:paraId="30112D60" w14:textId="77777777" w:rsidR="009F5D92" w:rsidRDefault="009F5D92" w:rsidP="004F0134">
            <w:pPr>
              <w:ind w:firstLine="0"/>
              <w:rPr>
                <w:color w:val="000000"/>
                <w:szCs w:val="24"/>
              </w:rPr>
            </w:pPr>
            <w:r>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9F5D92" w14:paraId="30112D64" w14:textId="77777777" w:rsidTr="00665C29">
        <w:tc>
          <w:tcPr>
            <w:tcW w:w="588" w:type="pct"/>
            <w:tcBorders>
              <w:top w:val="single" w:sz="4" w:space="0" w:color="auto"/>
              <w:left w:val="single" w:sz="4" w:space="0" w:color="auto"/>
              <w:bottom w:val="single" w:sz="4" w:space="0" w:color="auto"/>
              <w:right w:val="single" w:sz="4" w:space="0" w:color="auto"/>
            </w:tcBorders>
          </w:tcPr>
          <w:p w14:paraId="30112D62" w14:textId="77777777" w:rsidR="009F5D92" w:rsidRDefault="009F5D92" w:rsidP="004F0134">
            <w:pPr>
              <w:ind w:firstLine="0"/>
              <w:rPr>
                <w:color w:val="000000"/>
                <w:szCs w:val="24"/>
              </w:rPr>
            </w:pPr>
            <w:r>
              <w:rPr>
                <w:color w:val="000000"/>
                <w:szCs w:val="24"/>
                <w:lang w:val="en-US"/>
              </w:rPr>
              <w:t>3</w:t>
            </w:r>
          </w:p>
        </w:tc>
        <w:tc>
          <w:tcPr>
            <w:tcW w:w="4412" w:type="pct"/>
            <w:tcBorders>
              <w:top w:val="single" w:sz="4" w:space="0" w:color="auto"/>
              <w:left w:val="single" w:sz="4" w:space="0" w:color="auto"/>
              <w:bottom w:val="single" w:sz="4" w:space="0" w:color="auto"/>
              <w:right w:val="single" w:sz="4" w:space="0" w:color="auto"/>
            </w:tcBorders>
          </w:tcPr>
          <w:p w14:paraId="30112D63" w14:textId="77777777" w:rsidR="009F5D92" w:rsidRDefault="009F5D92" w:rsidP="004F0134">
            <w:pPr>
              <w:ind w:firstLine="0"/>
              <w:rPr>
                <w:color w:val="000000"/>
                <w:szCs w:val="24"/>
              </w:rPr>
            </w:pPr>
            <w:r>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9F5D92" w14:paraId="30112D67" w14:textId="77777777" w:rsidTr="00665C29">
        <w:tc>
          <w:tcPr>
            <w:tcW w:w="588" w:type="pct"/>
            <w:tcBorders>
              <w:top w:val="single" w:sz="4" w:space="0" w:color="auto"/>
              <w:left w:val="single" w:sz="4" w:space="0" w:color="auto"/>
              <w:bottom w:val="single" w:sz="4" w:space="0" w:color="auto"/>
              <w:right w:val="single" w:sz="4" w:space="0" w:color="auto"/>
            </w:tcBorders>
          </w:tcPr>
          <w:p w14:paraId="30112D65" w14:textId="77777777" w:rsidR="009F5D92" w:rsidRDefault="009F5D92" w:rsidP="004F0134">
            <w:pPr>
              <w:ind w:firstLine="0"/>
              <w:rPr>
                <w:color w:val="000000"/>
                <w:szCs w:val="24"/>
              </w:rPr>
            </w:pPr>
            <w:r>
              <w:rPr>
                <w:color w:val="000000"/>
                <w:szCs w:val="24"/>
                <w:lang w:val="en-US"/>
              </w:rPr>
              <w:t>4</w:t>
            </w:r>
          </w:p>
        </w:tc>
        <w:tc>
          <w:tcPr>
            <w:tcW w:w="4412" w:type="pct"/>
            <w:tcBorders>
              <w:top w:val="single" w:sz="4" w:space="0" w:color="auto"/>
              <w:left w:val="single" w:sz="4" w:space="0" w:color="auto"/>
              <w:bottom w:val="single" w:sz="4" w:space="0" w:color="auto"/>
              <w:right w:val="single" w:sz="4" w:space="0" w:color="auto"/>
            </w:tcBorders>
          </w:tcPr>
          <w:p w14:paraId="30112D66" w14:textId="77777777" w:rsidR="009F5D92" w:rsidRDefault="009F5D92" w:rsidP="004F0134">
            <w:pPr>
              <w:ind w:firstLine="0"/>
              <w:rPr>
                <w:color w:val="000000"/>
                <w:szCs w:val="24"/>
              </w:rPr>
            </w:pPr>
            <w:r>
              <w:rPr>
                <w:color w:val="000000"/>
                <w:szCs w:val="24"/>
              </w:rPr>
              <w:t>Несравнительные исследования, описание клинического случая.</w:t>
            </w:r>
          </w:p>
        </w:tc>
      </w:tr>
      <w:tr w:rsidR="009F5D92" w14:paraId="30112D6A" w14:textId="77777777" w:rsidTr="00665C29">
        <w:tc>
          <w:tcPr>
            <w:tcW w:w="588" w:type="pct"/>
            <w:tcBorders>
              <w:top w:val="single" w:sz="4" w:space="0" w:color="auto"/>
              <w:left w:val="single" w:sz="4" w:space="0" w:color="auto"/>
              <w:bottom w:val="single" w:sz="4" w:space="0" w:color="auto"/>
              <w:right w:val="single" w:sz="4" w:space="0" w:color="auto"/>
            </w:tcBorders>
          </w:tcPr>
          <w:p w14:paraId="30112D68" w14:textId="77777777" w:rsidR="009F5D92" w:rsidRDefault="009F5D92" w:rsidP="004F0134">
            <w:pPr>
              <w:ind w:firstLine="0"/>
              <w:rPr>
                <w:color w:val="000000"/>
                <w:szCs w:val="24"/>
              </w:rPr>
            </w:pPr>
            <w:r>
              <w:rPr>
                <w:color w:val="000000"/>
                <w:szCs w:val="24"/>
                <w:lang w:val="en-US"/>
              </w:rPr>
              <w:t>5</w:t>
            </w:r>
          </w:p>
        </w:tc>
        <w:tc>
          <w:tcPr>
            <w:tcW w:w="4412" w:type="pct"/>
            <w:tcBorders>
              <w:top w:val="single" w:sz="4" w:space="0" w:color="auto"/>
              <w:left w:val="single" w:sz="4" w:space="0" w:color="auto"/>
              <w:bottom w:val="single" w:sz="4" w:space="0" w:color="auto"/>
              <w:right w:val="single" w:sz="4" w:space="0" w:color="auto"/>
            </w:tcBorders>
          </w:tcPr>
          <w:p w14:paraId="30112D69" w14:textId="77777777" w:rsidR="009F5D92" w:rsidRDefault="009F5D92" w:rsidP="004F0134">
            <w:pPr>
              <w:ind w:firstLine="0"/>
              <w:rPr>
                <w:color w:val="000000"/>
                <w:szCs w:val="24"/>
              </w:rPr>
            </w:pPr>
            <w:r>
              <w:rPr>
                <w:color w:val="000000"/>
                <w:szCs w:val="24"/>
              </w:rPr>
              <w:t>Имеется лишь обоснование механизма действия или мнение экспертов.</w:t>
            </w:r>
          </w:p>
        </w:tc>
      </w:tr>
    </w:tbl>
    <w:p w14:paraId="30112D6B" w14:textId="77777777" w:rsidR="009F5D92" w:rsidRDefault="009F5D92" w:rsidP="009F5D92">
      <w:pPr>
        <w:rPr>
          <w:b/>
        </w:rPr>
      </w:pPr>
      <w:bookmarkStart w:id="82" w:name="_Ref515967623"/>
    </w:p>
    <w:p w14:paraId="30112D6C" w14:textId="77777777" w:rsidR="009F5D92" w:rsidRDefault="009F5D92" w:rsidP="009F5D92">
      <w:pPr>
        <w:ind w:firstLine="0"/>
      </w:pPr>
      <w:r w:rsidRPr="003D6A76">
        <w:rPr>
          <w:b/>
          <w:bCs/>
        </w:rPr>
        <w:t xml:space="preserve">Таблица </w:t>
      </w:r>
      <w:r w:rsidR="00C6417C">
        <w:rPr>
          <w:b/>
          <w:bCs/>
        </w:rPr>
        <w:t>А2.</w:t>
      </w:r>
      <w:r w:rsidRPr="003D6A76">
        <w:rPr>
          <w:b/>
          <w:bCs/>
        </w:rPr>
        <w:fldChar w:fldCharType="begin"/>
      </w:r>
      <w:r w:rsidRPr="003D6A76">
        <w:rPr>
          <w:b/>
          <w:bCs/>
        </w:rPr>
        <w:instrText xml:space="preserve"> SEQ Таблица \* ARABIC </w:instrText>
      </w:r>
      <w:r w:rsidRPr="003D6A76">
        <w:rPr>
          <w:b/>
          <w:bCs/>
        </w:rPr>
        <w:fldChar w:fldCharType="separate"/>
      </w:r>
      <w:r w:rsidR="00312568">
        <w:rPr>
          <w:b/>
          <w:bCs/>
          <w:noProof/>
        </w:rPr>
        <w:t>2</w:t>
      </w:r>
      <w:r w:rsidRPr="003D6A76">
        <w:rPr>
          <w:b/>
          <w:bCs/>
        </w:rPr>
        <w:fldChar w:fldCharType="end"/>
      </w:r>
      <w:bookmarkEnd w:id="82"/>
      <w:r w:rsidRPr="003D6A76">
        <w:rPr>
          <w:b/>
          <w:bCs/>
        </w:rPr>
        <w:t>.</w:t>
      </w:r>
      <w:r>
        <w:rPr>
          <w:b/>
        </w:rPr>
        <w:t xml:space="preserve"> </w:t>
      </w:r>
      <w:r>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016"/>
      </w:tblGrid>
      <w:tr w:rsidR="009F5D92" w:rsidRPr="00AC4E25" w14:paraId="30112D6F" w14:textId="77777777" w:rsidTr="004F0134">
        <w:tc>
          <w:tcPr>
            <w:tcW w:w="320" w:type="pct"/>
            <w:tcBorders>
              <w:top w:val="single" w:sz="4" w:space="0" w:color="auto"/>
              <w:left w:val="single" w:sz="4" w:space="0" w:color="auto"/>
              <w:bottom w:val="single" w:sz="4" w:space="0" w:color="auto"/>
              <w:right w:val="single" w:sz="4" w:space="0" w:color="auto"/>
            </w:tcBorders>
          </w:tcPr>
          <w:p w14:paraId="30112D6D" w14:textId="77777777" w:rsidR="009F5D92" w:rsidRPr="005E7B55" w:rsidRDefault="009F5D92" w:rsidP="004F0134">
            <w:pPr>
              <w:ind w:firstLine="0"/>
              <w:jc w:val="center"/>
              <w:rPr>
                <w:b/>
                <w:bCs/>
                <w:color w:val="000000"/>
                <w:szCs w:val="24"/>
              </w:rPr>
            </w:pPr>
            <w:r w:rsidRPr="005E7B55">
              <w:rPr>
                <w:b/>
                <w:bCs/>
              </w:rPr>
              <w:t>Уровень достоверности доказательств</w:t>
            </w:r>
          </w:p>
        </w:tc>
        <w:tc>
          <w:tcPr>
            <w:tcW w:w="4680" w:type="pct"/>
            <w:tcBorders>
              <w:top w:val="single" w:sz="4" w:space="0" w:color="auto"/>
              <w:left w:val="single" w:sz="4" w:space="0" w:color="auto"/>
              <w:bottom w:val="single" w:sz="4" w:space="0" w:color="auto"/>
              <w:right w:val="single" w:sz="4" w:space="0" w:color="auto"/>
            </w:tcBorders>
          </w:tcPr>
          <w:p w14:paraId="30112D6E" w14:textId="77777777" w:rsidR="009F5D92" w:rsidRPr="00AC4E25" w:rsidRDefault="009F5D92" w:rsidP="004F0134">
            <w:pPr>
              <w:jc w:val="center"/>
              <w:rPr>
                <w:b/>
                <w:color w:val="000000"/>
                <w:szCs w:val="24"/>
              </w:rPr>
            </w:pPr>
            <w:r w:rsidRPr="00AC4E25">
              <w:rPr>
                <w:b/>
                <w:color w:val="000000"/>
                <w:szCs w:val="24"/>
              </w:rPr>
              <w:t xml:space="preserve">Расшифровка </w:t>
            </w:r>
          </w:p>
        </w:tc>
      </w:tr>
      <w:tr w:rsidR="009F5D92" w:rsidRPr="00AC4E25" w14:paraId="30112D72" w14:textId="77777777" w:rsidTr="004F0134">
        <w:tc>
          <w:tcPr>
            <w:tcW w:w="320" w:type="pct"/>
            <w:tcBorders>
              <w:top w:val="single" w:sz="4" w:space="0" w:color="auto"/>
              <w:left w:val="single" w:sz="4" w:space="0" w:color="auto"/>
              <w:bottom w:val="single" w:sz="4" w:space="0" w:color="auto"/>
              <w:right w:val="single" w:sz="4" w:space="0" w:color="auto"/>
            </w:tcBorders>
          </w:tcPr>
          <w:p w14:paraId="30112D70" w14:textId="77777777" w:rsidR="009F5D92" w:rsidRPr="00AC4E25" w:rsidRDefault="009F5D92" w:rsidP="004F0134">
            <w:pPr>
              <w:ind w:firstLine="0"/>
              <w:rPr>
                <w:color w:val="000000"/>
                <w:szCs w:val="24"/>
              </w:rPr>
            </w:pPr>
            <w:r w:rsidRPr="00AC4E25">
              <w:rPr>
                <w:color w:val="000000"/>
                <w:szCs w:val="24"/>
                <w:lang w:val="en-US"/>
              </w:rPr>
              <w:t>1</w:t>
            </w:r>
          </w:p>
        </w:tc>
        <w:tc>
          <w:tcPr>
            <w:tcW w:w="4680" w:type="pct"/>
            <w:tcBorders>
              <w:top w:val="single" w:sz="4" w:space="0" w:color="auto"/>
              <w:left w:val="single" w:sz="4" w:space="0" w:color="auto"/>
              <w:bottom w:val="single" w:sz="4" w:space="0" w:color="auto"/>
              <w:right w:val="single" w:sz="4" w:space="0" w:color="auto"/>
            </w:tcBorders>
          </w:tcPr>
          <w:p w14:paraId="30112D71" w14:textId="77777777" w:rsidR="009F5D92" w:rsidRPr="00AC4E25" w:rsidRDefault="009F5D92" w:rsidP="004F0134">
            <w:pPr>
              <w:ind w:firstLine="0"/>
              <w:rPr>
                <w:color w:val="000000"/>
                <w:szCs w:val="24"/>
              </w:rPr>
            </w:pPr>
            <w:r w:rsidRPr="00AC4E25">
              <w:rPr>
                <w:color w:val="000000"/>
                <w:szCs w:val="24"/>
              </w:rPr>
              <w:t xml:space="preserve">Систематический обзор РКИ с </w:t>
            </w:r>
            <w:r>
              <w:rPr>
                <w:color w:val="000000"/>
                <w:szCs w:val="24"/>
              </w:rPr>
              <w:t>применением мета</w:t>
            </w:r>
            <w:r w:rsidRPr="00AC4E25">
              <w:rPr>
                <w:color w:val="000000"/>
                <w:szCs w:val="24"/>
              </w:rPr>
              <w:t>анализа</w:t>
            </w:r>
            <w:r>
              <w:rPr>
                <w:color w:val="000000"/>
                <w:szCs w:val="24"/>
              </w:rPr>
              <w:t>.</w:t>
            </w:r>
          </w:p>
        </w:tc>
      </w:tr>
      <w:tr w:rsidR="009F5D92" w:rsidRPr="00AC4E25" w14:paraId="30112D75" w14:textId="77777777" w:rsidTr="004F0134">
        <w:tc>
          <w:tcPr>
            <w:tcW w:w="320" w:type="pct"/>
            <w:tcBorders>
              <w:top w:val="single" w:sz="4" w:space="0" w:color="auto"/>
              <w:left w:val="single" w:sz="4" w:space="0" w:color="auto"/>
              <w:bottom w:val="single" w:sz="4" w:space="0" w:color="auto"/>
              <w:right w:val="single" w:sz="4" w:space="0" w:color="auto"/>
            </w:tcBorders>
          </w:tcPr>
          <w:p w14:paraId="30112D73" w14:textId="77777777" w:rsidR="009F5D92" w:rsidRPr="00AC4E25" w:rsidRDefault="009F5D92" w:rsidP="004F0134">
            <w:pPr>
              <w:ind w:firstLine="0"/>
              <w:rPr>
                <w:color w:val="000000"/>
                <w:szCs w:val="24"/>
                <w:lang w:val="en-US"/>
              </w:rPr>
            </w:pPr>
            <w:r w:rsidRPr="00AC4E25">
              <w:rPr>
                <w:color w:val="000000"/>
                <w:szCs w:val="24"/>
              </w:rPr>
              <w:t>2</w:t>
            </w:r>
          </w:p>
        </w:tc>
        <w:tc>
          <w:tcPr>
            <w:tcW w:w="4680" w:type="pct"/>
            <w:tcBorders>
              <w:top w:val="single" w:sz="4" w:space="0" w:color="auto"/>
              <w:left w:val="single" w:sz="4" w:space="0" w:color="auto"/>
              <w:bottom w:val="single" w:sz="4" w:space="0" w:color="auto"/>
              <w:right w:val="single" w:sz="4" w:space="0" w:color="auto"/>
            </w:tcBorders>
          </w:tcPr>
          <w:p w14:paraId="30112D74" w14:textId="77777777" w:rsidR="009F5D92" w:rsidRPr="00AC4E25" w:rsidRDefault="009F5D92" w:rsidP="004F0134">
            <w:pPr>
              <w:ind w:firstLine="0"/>
              <w:rPr>
                <w:color w:val="000000"/>
                <w:szCs w:val="24"/>
              </w:rPr>
            </w:pPr>
            <w:r w:rsidRPr="00AC4E25">
              <w:rPr>
                <w:color w:val="000000"/>
                <w:szCs w:val="24"/>
              </w:rPr>
              <w:t>Отдельные РКИ и систематические обзоры исследований любого дизайна, за исключением РКИ, с применением метаанализа</w:t>
            </w:r>
            <w:r>
              <w:rPr>
                <w:color w:val="000000"/>
                <w:szCs w:val="24"/>
              </w:rPr>
              <w:t>.</w:t>
            </w:r>
          </w:p>
        </w:tc>
      </w:tr>
      <w:tr w:rsidR="009F5D92" w:rsidRPr="00AC4E25" w14:paraId="30112D78" w14:textId="77777777" w:rsidTr="004F0134">
        <w:tc>
          <w:tcPr>
            <w:tcW w:w="320" w:type="pct"/>
            <w:tcBorders>
              <w:top w:val="single" w:sz="4" w:space="0" w:color="auto"/>
              <w:left w:val="single" w:sz="4" w:space="0" w:color="auto"/>
              <w:bottom w:val="single" w:sz="4" w:space="0" w:color="auto"/>
              <w:right w:val="single" w:sz="4" w:space="0" w:color="auto"/>
            </w:tcBorders>
          </w:tcPr>
          <w:p w14:paraId="30112D76" w14:textId="77777777" w:rsidR="009F5D92" w:rsidRPr="00AC4E25" w:rsidRDefault="009F5D92" w:rsidP="004F0134">
            <w:pPr>
              <w:ind w:firstLine="0"/>
              <w:rPr>
                <w:color w:val="000000"/>
                <w:szCs w:val="24"/>
              </w:rPr>
            </w:pPr>
            <w:r w:rsidRPr="00AC4E25">
              <w:rPr>
                <w:color w:val="000000"/>
                <w:szCs w:val="24"/>
                <w:lang w:val="en-US"/>
              </w:rPr>
              <w:t>3</w:t>
            </w:r>
          </w:p>
        </w:tc>
        <w:tc>
          <w:tcPr>
            <w:tcW w:w="4680" w:type="pct"/>
            <w:tcBorders>
              <w:top w:val="single" w:sz="4" w:space="0" w:color="auto"/>
              <w:left w:val="single" w:sz="4" w:space="0" w:color="auto"/>
              <w:bottom w:val="single" w:sz="4" w:space="0" w:color="auto"/>
              <w:right w:val="single" w:sz="4" w:space="0" w:color="auto"/>
            </w:tcBorders>
          </w:tcPr>
          <w:p w14:paraId="30112D77" w14:textId="77777777" w:rsidR="009F5D92" w:rsidRPr="00AC4E25" w:rsidRDefault="009F5D92" w:rsidP="004F0134">
            <w:pPr>
              <w:ind w:firstLine="0"/>
              <w:rPr>
                <w:color w:val="000000"/>
                <w:szCs w:val="24"/>
              </w:rPr>
            </w:pPr>
            <w:r w:rsidRPr="00AC4E25">
              <w:rPr>
                <w:color w:val="000000"/>
                <w:szCs w:val="24"/>
              </w:rPr>
              <w:t>Нерандомизированные сравнительные исследования, в т.ч. когортные исследования</w:t>
            </w:r>
            <w:r>
              <w:rPr>
                <w:color w:val="000000"/>
                <w:szCs w:val="24"/>
              </w:rPr>
              <w:t>.</w:t>
            </w:r>
          </w:p>
        </w:tc>
      </w:tr>
      <w:tr w:rsidR="009F5D92" w:rsidRPr="00AC4E25" w14:paraId="30112D7B" w14:textId="77777777" w:rsidTr="004F0134">
        <w:tc>
          <w:tcPr>
            <w:tcW w:w="320" w:type="pct"/>
            <w:tcBorders>
              <w:top w:val="single" w:sz="4" w:space="0" w:color="auto"/>
              <w:left w:val="single" w:sz="4" w:space="0" w:color="auto"/>
              <w:bottom w:val="single" w:sz="4" w:space="0" w:color="auto"/>
              <w:right w:val="single" w:sz="4" w:space="0" w:color="auto"/>
            </w:tcBorders>
          </w:tcPr>
          <w:p w14:paraId="30112D79" w14:textId="77777777" w:rsidR="009F5D92" w:rsidRPr="00AC4E25" w:rsidRDefault="009F5D92" w:rsidP="004F0134">
            <w:pPr>
              <w:ind w:firstLine="0"/>
              <w:rPr>
                <w:color w:val="000000"/>
                <w:szCs w:val="24"/>
              </w:rPr>
            </w:pPr>
            <w:r w:rsidRPr="00AC4E25">
              <w:rPr>
                <w:color w:val="000000"/>
                <w:szCs w:val="24"/>
                <w:lang w:val="en-US"/>
              </w:rPr>
              <w:t>4</w:t>
            </w:r>
          </w:p>
        </w:tc>
        <w:tc>
          <w:tcPr>
            <w:tcW w:w="4680" w:type="pct"/>
            <w:tcBorders>
              <w:top w:val="single" w:sz="4" w:space="0" w:color="auto"/>
              <w:left w:val="single" w:sz="4" w:space="0" w:color="auto"/>
              <w:bottom w:val="single" w:sz="4" w:space="0" w:color="auto"/>
              <w:right w:val="single" w:sz="4" w:space="0" w:color="auto"/>
            </w:tcBorders>
          </w:tcPr>
          <w:p w14:paraId="30112D7A" w14:textId="77777777" w:rsidR="009F5D92" w:rsidRPr="00AC4E25" w:rsidRDefault="009F5D92" w:rsidP="004F0134">
            <w:pPr>
              <w:ind w:firstLine="0"/>
              <w:rPr>
                <w:color w:val="000000"/>
                <w:szCs w:val="24"/>
              </w:rPr>
            </w:pPr>
            <w:r w:rsidRPr="00AC4E25">
              <w:rPr>
                <w:color w:val="000000"/>
                <w:szCs w:val="24"/>
              </w:rPr>
              <w:t>Несравнительные исследования, описание клинического случая или серии случаев, исследования «случай-контроль»</w:t>
            </w:r>
            <w:r>
              <w:rPr>
                <w:color w:val="000000"/>
                <w:szCs w:val="24"/>
              </w:rPr>
              <w:t>.</w:t>
            </w:r>
          </w:p>
        </w:tc>
      </w:tr>
      <w:tr w:rsidR="009F5D92" w14:paraId="30112D7E" w14:textId="77777777" w:rsidTr="004F0134">
        <w:tc>
          <w:tcPr>
            <w:tcW w:w="320" w:type="pct"/>
            <w:tcBorders>
              <w:top w:val="single" w:sz="4" w:space="0" w:color="auto"/>
              <w:left w:val="single" w:sz="4" w:space="0" w:color="auto"/>
              <w:bottom w:val="single" w:sz="4" w:space="0" w:color="auto"/>
              <w:right w:val="single" w:sz="4" w:space="0" w:color="auto"/>
            </w:tcBorders>
          </w:tcPr>
          <w:p w14:paraId="30112D7C" w14:textId="77777777" w:rsidR="009F5D92" w:rsidRPr="00AC4E25" w:rsidRDefault="009F5D92" w:rsidP="004F0134">
            <w:pPr>
              <w:ind w:firstLine="0"/>
              <w:rPr>
                <w:color w:val="000000"/>
                <w:szCs w:val="24"/>
              </w:rPr>
            </w:pPr>
            <w:r w:rsidRPr="00AC4E25">
              <w:rPr>
                <w:color w:val="000000"/>
                <w:szCs w:val="24"/>
                <w:lang w:val="en-US"/>
              </w:rPr>
              <w:t>5</w:t>
            </w:r>
          </w:p>
        </w:tc>
        <w:tc>
          <w:tcPr>
            <w:tcW w:w="4680" w:type="pct"/>
            <w:tcBorders>
              <w:top w:val="single" w:sz="4" w:space="0" w:color="auto"/>
              <w:left w:val="single" w:sz="4" w:space="0" w:color="auto"/>
              <w:bottom w:val="single" w:sz="4" w:space="0" w:color="auto"/>
              <w:right w:val="single" w:sz="4" w:space="0" w:color="auto"/>
            </w:tcBorders>
          </w:tcPr>
          <w:p w14:paraId="30112D7D" w14:textId="77777777" w:rsidR="009F5D92" w:rsidRDefault="009F5D92" w:rsidP="004F0134">
            <w:pPr>
              <w:ind w:firstLine="0"/>
              <w:rPr>
                <w:color w:val="000000"/>
                <w:szCs w:val="24"/>
              </w:rPr>
            </w:pPr>
            <w:r w:rsidRPr="00AC4E25">
              <w:rPr>
                <w:color w:val="000000"/>
                <w:szCs w:val="24"/>
              </w:rPr>
              <w:t>Имеется лишь обоснование механизма действия вмешательства (доклинические исследования) или мнение экспертов</w:t>
            </w:r>
            <w:r>
              <w:rPr>
                <w:color w:val="000000"/>
                <w:szCs w:val="24"/>
              </w:rPr>
              <w:t>.</w:t>
            </w:r>
          </w:p>
        </w:tc>
      </w:tr>
    </w:tbl>
    <w:p w14:paraId="30112D7F" w14:textId="77777777" w:rsidR="009F5D92" w:rsidRDefault="009F5D92" w:rsidP="009F5D92">
      <w:pPr>
        <w:pStyle w:val="aff8"/>
        <w:rPr>
          <w:rStyle w:val="affb"/>
        </w:rPr>
      </w:pPr>
    </w:p>
    <w:p w14:paraId="30112D80" w14:textId="77777777" w:rsidR="009F5D92" w:rsidRDefault="009F5D92" w:rsidP="009F5D92">
      <w:pPr>
        <w:ind w:firstLine="0"/>
      </w:pPr>
      <w:bookmarkStart w:id="83" w:name="_Ref515967732"/>
      <w:r w:rsidRPr="003D6A76">
        <w:rPr>
          <w:b/>
          <w:bCs/>
        </w:rPr>
        <w:t xml:space="preserve">Таблица </w:t>
      </w:r>
      <w:bookmarkEnd w:id="83"/>
      <w:r w:rsidR="00C6417C">
        <w:rPr>
          <w:b/>
          <w:bCs/>
        </w:rPr>
        <w:t>А2.</w:t>
      </w:r>
      <w:r w:rsidRPr="003D6A76">
        <w:rPr>
          <w:b/>
          <w:bCs/>
        </w:rPr>
        <w:t>3.</w:t>
      </w:r>
      <w:r>
        <w:rPr>
          <w:b/>
        </w:rPr>
        <w:t xml:space="preserve"> </w:t>
      </w:r>
      <w:r>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6849"/>
      </w:tblGrid>
      <w:tr w:rsidR="009F5D92" w14:paraId="30112D83" w14:textId="77777777" w:rsidTr="004F0134">
        <w:trPr>
          <w:tblHeader/>
        </w:trPr>
        <w:tc>
          <w:tcPr>
            <w:tcW w:w="1035" w:type="pct"/>
            <w:tcBorders>
              <w:top w:val="single" w:sz="4" w:space="0" w:color="auto"/>
              <w:left w:val="single" w:sz="4" w:space="0" w:color="auto"/>
              <w:bottom w:val="single" w:sz="4" w:space="0" w:color="auto"/>
              <w:right w:val="single" w:sz="4" w:space="0" w:color="auto"/>
            </w:tcBorders>
          </w:tcPr>
          <w:p w14:paraId="30112D81" w14:textId="77777777" w:rsidR="009F5D92" w:rsidRPr="005E7B55" w:rsidRDefault="009F5D92" w:rsidP="004F0134">
            <w:pPr>
              <w:ind w:firstLine="0"/>
              <w:jc w:val="center"/>
              <w:rPr>
                <w:b/>
                <w:bCs/>
                <w:color w:val="000000"/>
                <w:szCs w:val="24"/>
              </w:rPr>
            </w:pPr>
            <w:r w:rsidRPr="005E7B55">
              <w:rPr>
                <w:b/>
                <w:bCs/>
              </w:rPr>
              <w:t>Уровень убедительности рекомендаций</w:t>
            </w:r>
          </w:p>
        </w:tc>
        <w:tc>
          <w:tcPr>
            <w:tcW w:w="3965" w:type="pct"/>
            <w:tcBorders>
              <w:top w:val="single" w:sz="4" w:space="0" w:color="auto"/>
              <w:left w:val="single" w:sz="4" w:space="0" w:color="auto"/>
              <w:bottom w:val="single" w:sz="4" w:space="0" w:color="auto"/>
              <w:right w:val="single" w:sz="4" w:space="0" w:color="auto"/>
            </w:tcBorders>
          </w:tcPr>
          <w:p w14:paraId="30112D82" w14:textId="77777777" w:rsidR="009F5D92" w:rsidRDefault="009F5D92" w:rsidP="004F0134">
            <w:pPr>
              <w:jc w:val="center"/>
              <w:rPr>
                <w:b/>
                <w:color w:val="000000"/>
                <w:szCs w:val="24"/>
              </w:rPr>
            </w:pPr>
            <w:r>
              <w:rPr>
                <w:b/>
                <w:color w:val="000000"/>
                <w:szCs w:val="24"/>
              </w:rPr>
              <w:t>Расшифровка</w:t>
            </w:r>
          </w:p>
        </w:tc>
      </w:tr>
      <w:tr w:rsidR="009F5D92" w14:paraId="30112D86" w14:textId="77777777" w:rsidTr="004F0134">
        <w:trPr>
          <w:trHeight w:val="1060"/>
        </w:trPr>
        <w:tc>
          <w:tcPr>
            <w:tcW w:w="1035" w:type="pct"/>
            <w:tcBorders>
              <w:top w:val="single" w:sz="4" w:space="0" w:color="auto"/>
              <w:left w:val="single" w:sz="4" w:space="0" w:color="auto"/>
              <w:bottom w:val="single" w:sz="4" w:space="0" w:color="auto"/>
              <w:right w:val="single" w:sz="4" w:space="0" w:color="auto"/>
            </w:tcBorders>
          </w:tcPr>
          <w:p w14:paraId="30112D84" w14:textId="77777777" w:rsidR="009F5D92" w:rsidRDefault="009F5D92" w:rsidP="004F0134">
            <w:pPr>
              <w:ind w:firstLine="0"/>
              <w:rPr>
                <w:color w:val="000000"/>
                <w:szCs w:val="24"/>
              </w:rPr>
            </w:pPr>
            <w:r>
              <w:rPr>
                <w:color w:val="000000"/>
                <w:szCs w:val="24"/>
                <w:lang w:val="en-US"/>
              </w:rPr>
              <w:t>A</w:t>
            </w:r>
          </w:p>
        </w:tc>
        <w:tc>
          <w:tcPr>
            <w:tcW w:w="3965" w:type="pct"/>
            <w:tcBorders>
              <w:top w:val="single" w:sz="4" w:space="0" w:color="auto"/>
              <w:left w:val="single" w:sz="4" w:space="0" w:color="auto"/>
              <w:bottom w:val="single" w:sz="4" w:space="0" w:color="auto"/>
              <w:right w:val="single" w:sz="4" w:space="0" w:color="auto"/>
            </w:tcBorders>
          </w:tcPr>
          <w:p w14:paraId="30112D85" w14:textId="77777777" w:rsidR="009F5D92" w:rsidRDefault="009F5D92" w:rsidP="004F0134">
            <w:pPr>
              <w:ind w:firstLine="0"/>
              <w:rPr>
                <w:color w:val="000000"/>
                <w:szCs w:val="24"/>
              </w:rPr>
            </w:pPr>
            <w:r>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F5D92" w14:paraId="30112D89" w14:textId="77777777" w:rsidTr="004F0134">
        <w:trPr>
          <w:trHeight w:val="558"/>
        </w:trPr>
        <w:tc>
          <w:tcPr>
            <w:tcW w:w="1035" w:type="pct"/>
            <w:tcBorders>
              <w:top w:val="single" w:sz="4" w:space="0" w:color="auto"/>
              <w:left w:val="single" w:sz="4" w:space="0" w:color="auto"/>
              <w:bottom w:val="single" w:sz="4" w:space="0" w:color="auto"/>
              <w:right w:val="single" w:sz="4" w:space="0" w:color="auto"/>
            </w:tcBorders>
          </w:tcPr>
          <w:p w14:paraId="30112D87" w14:textId="77777777" w:rsidR="009F5D92" w:rsidRDefault="009F5D92" w:rsidP="004F0134">
            <w:pPr>
              <w:ind w:firstLine="0"/>
              <w:rPr>
                <w:color w:val="000000"/>
                <w:szCs w:val="24"/>
              </w:rPr>
            </w:pPr>
            <w:r>
              <w:rPr>
                <w:color w:val="000000"/>
                <w:szCs w:val="24"/>
              </w:rPr>
              <w:t>B</w:t>
            </w:r>
          </w:p>
        </w:tc>
        <w:tc>
          <w:tcPr>
            <w:tcW w:w="3965" w:type="pct"/>
            <w:tcBorders>
              <w:top w:val="single" w:sz="4" w:space="0" w:color="auto"/>
              <w:left w:val="single" w:sz="4" w:space="0" w:color="auto"/>
              <w:bottom w:val="single" w:sz="4" w:space="0" w:color="auto"/>
              <w:right w:val="single" w:sz="4" w:space="0" w:color="auto"/>
            </w:tcBorders>
          </w:tcPr>
          <w:p w14:paraId="30112D88" w14:textId="77777777" w:rsidR="009F5D92" w:rsidRDefault="009F5D92" w:rsidP="004F0134">
            <w:pPr>
              <w:ind w:firstLine="0"/>
              <w:rPr>
                <w:color w:val="000000"/>
                <w:szCs w:val="24"/>
              </w:rPr>
            </w:pPr>
            <w:r>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F5D92" w14:paraId="30112D8C" w14:textId="77777777" w:rsidTr="004F0134">
        <w:trPr>
          <w:trHeight w:val="798"/>
        </w:trPr>
        <w:tc>
          <w:tcPr>
            <w:tcW w:w="1035" w:type="pct"/>
            <w:tcBorders>
              <w:top w:val="single" w:sz="4" w:space="0" w:color="auto"/>
              <w:left w:val="single" w:sz="4" w:space="0" w:color="auto"/>
              <w:bottom w:val="single" w:sz="4" w:space="0" w:color="auto"/>
              <w:right w:val="single" w:sz="4" w:space="0" w:color="auto"/>
            </w:tcBorders>
          </w:tcPr>
          <w:p w14:paraId="30112D8A" w14:textId="77777777" w:rsidR="009F5D92" w:rsidRDefault="009F5D92" w:rsidP="004F0134">
            <w:pPr>
              <w:ind w:firstLine="0"/>
              <w:rPr>
                <w:color w:val="000000"/>
                <w:szCs w:val="24"/>
              </w:rPr>
            </w:pPr>
            <w:r>
              <w:rPr>
                <w:color w:val="000000"/>
                <w:szCs w:val="24"/>
              </w:rPr>
              <w:t>C</w:t>
            </w:r>
          </w:p>
        </w:tc>
        <w:tc>
          <w:tcPr>
            <w:tcW w:w="3965" w:type="pct"/>
            <w:tcBorders>
              <w:top w:val="single" w:sz="4" w:space="0" w:color="auto"/>
              <w:left w:val="single" w:sz="4" w:space="0" w:color="auto"/>
              <w:bottom w:val="single" w:sz="4" w:space="0" w:color="auto"/>
              <w:right w:val="single" w:sz="4" w:space="0" w:color="auto"/>
            </w:tcBorders>
          </w:tcPr>
          <w:p w14:paraId="30112D8B" w14:textId="77777777" w:rsidR="009F5D92" w:rsidRDefault="009F5D92" w:rsidP="004F0134">
            <w:pPr>
              <w:ind w:firstLine="0"/>
              <w:rPr>
                <w:color w:val="000000"/>
                <w:szCs w:val="24"/>
              </w:rPr>
            </w:pPr>
            <w:r>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0112D8D" w14:textId="77777777" w:rsidR="009F5D92" w:rsidRDefault="009F5D92" w:rsidP="009F5D92">
      <w:pPr>
        <w:rPr>
          <w:b/>
        </w:rPr>
      </w:pPr>
    </w:p>
    <w:p w14:paraId="30112D8E" w14:textId="77777777" w:rsidR="009F5D92" w:rsidRPr="00E94880" w:rsidRDefault="009F5D92" w:rsidP="009F5D92">
      <w:pPr>
        <w:ind w:firstLine="708"/>
        <w:rPr>
          <w:b/>
          <w:u w:val="single"/>
        </w:rPr>
      </w:pPr>
      <w:r w:rsidRPr="00E94880">
        <w:rPr>
          <w:b/>
          <w:u w:val="single"/>
        </w:rPr>
        <w:t>Методология валидизации рекомендаций</w:t>
      </w:r>
    </w:p>
    <w:p w14:paraId="30112D8F" w14:textId="77777777" w:rsidR="009F5D92" w:rsidRPr="00E94880" w:rsidRDefault="009F5D92" w:rsidP="009F5D92">
      <w:pPr>
        <w:rPr>
          <w:b/>
        </w:rPr>
      </w:pPr>
      <w:r w:rsidRPr="00E94880">
        <w:rPr>
          <w:b/>
        </w:rPr>
        <w:t>Методы валидизации рекомендаций:</w:t>
      </w:r>
    </w:p>
    <w:p w14:paraId="30112D90" w14:textId="77777777" w:rsidR="009F5D92" w:rsidRPr="00E94880" w:rsidRDefault="009F5D92" w:rsidP="00D22A46">
      <w:pPr>
        <w:numPr>
          <w:ilvl w:val="0"/>
          <w:numId w:val="20"/>
        </w:numPr>
        <w:ind w:left="0" w:firstLine="851"/>
        <w:rPr>
          <w:szCs w:val="24"/>
        </w:rPr>
      </w:pPr>
      <w:r w:rsidRPr="00E94880">
        <w:rPr>
          <w:szCs w:val="24"/>
        </w:rPr>
        <w:t>внешняя экспертная оценка;</w:t>
      </w:r>
    </w:p>
    <w:p w14:paraId="30112D91" w14:textId="77777777" w:rsidR="009F5D92" w:rsidRDefault="009F5D92" w:rsidP="00D22A46">
      <w:pPr>
        <w:numPr>
          <w:ilvl w:val="0"/>
          <w:numId w:val="20"/>
        </w:numPr>
        <w:ind w:left="0" w:firstLine="851"/>
      </w:pPr>
      <w:r>
        <w:t>внутренняя экспертная оценка.</w:t>
      </w:r>
    </w:p>
    <w:p w14:paraId="30112D92" w14:textId="77777777" w:rsidR="009F5D92" w:rsidRDefault="009F5D92" w:rsidP="009F5D92">
      <w:r w:rsidRPr="00E94880">
        <w:rPr>
          <w:b/>
        </w:rPr>
        <w:t>Описание методики валидизации рекомендаций</w:t>
      </w:r>
      <w:r w:rsidRPr="003E0B03">
        <w:rPr>
          <w:b/>
        </w:rPr>
        <w:t xml:space="preserve">. </w:t>
      </w:r>
      <w:r>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30112D93" w14:textId="77777777" w:rsidR="009F5D92" w:rsidRPr="003E0B03" w:rsidRDefault="009F5D92" w:rsidP="009F5D92">
      <w:r>
        <w:t>Рекомендации обсуждены и одобрены ведущими специалистами профильных федеральных центров РФ и практическими врачами. Проект клинических рекомендаций был рассмотрен на совещаниях рабочей группы в 2017–2018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 а также в рамках IV Конгресса гематологов России.</w:t>
      </w:r>
    </w:p>
    <w:p w14:paraId="30112D94" w14:textId="77777777" w:rsidR="009F5D92" w:rsidRDefault="009F5D92" w:rsidP="009F5D92">
      <w:r>
        <w:rPr>
          <w:rStyle w:val="affb"/>
        </w:rPr>
        <w:t>Окончательная редакция</w:t>
      </w:r>
      <w:r w:rsidRPr="003E0B03">
        <w:rPr>
          <w:rStyle w:val="affb"/>
        </w:rPr>
        <w:t xml:space="preserve">. </w:t>
      </w:r>
      <w: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 все существенные замечания и комментарии экспертов приняты во внимание, риск систематических ошибок при разработке сведен к минимуму.</w:t>
      </w:r>
    </w:p>
    <w:p w14:paraId="30112D95" w14:textId="77777777" w:rsidR="000414F6" w:rsidRPr="0033051F" w:rsidRDefault="00CB71DA" w:rsidP="0033051F">
      <w:pPr>
        <w:pStyle w:val="afff2"/>
      </w:pPr>
      <w:r>
        <w:br w:type="page"/>
      </w:r>
      <w:bookmarkStart w:id="84" w:name="__RefHeading___doc_a3"/>
      <w:bookmarkStart w:id="85" w:name="_Toc65108053"/>
      <w:r w:rsidRPr="0033051F">
        <w:t xml:space="preserve">Приложение А3. </w:t>
      </w:r>
      <w:bookmarkEnd w:id="84"/>
      <w:r w:rsidR="009C0364" w:rsidRPr="0033051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33051F">
        <w:t>,</w:t>
      </w:r>
      <w:r w:rsidR="009C0364" w:rsidRPr="0033051F">
        <w:t xml:space="preserve"> инструкции по прим</w:t>
      </w:r>
      <w:r w:rsidR="003527A8" w:rsidRPr="0033051F">
        <w:t>енению лекарственного препарата</w:t>
      </w:r>
      <w:bookmarkEnd w:id="85"/>
    </w:p>
    <w:p w14:paraId="30112D96" w14:textId="77777777" w:rsidR="00CF74E8" w:rsidRDefault="00CF74E8" w:rsidP="0033051F">
      <w:pPr>
        <w:pStyle w:val="2"/>
      </w:pPr>
      <w:bookmarkStart w:id="86" w:name="_Toc65108054"/>
      <w:bookmarkStart w:id="87" w:name="_Toc14773438"/>
      <w:bookmarkStart w:id="88" w:name="__RefHeading___doc_b"/>
      <w:r>
        <w:t xml:space="preserve">Приложение А3.1. Режимы лекарственного лечения </w:t>
      </w:r>
      <w:r w:rsidR="00090D97">
        <w:t>ЛМЗ</w:t>
      </w:r>
      <w:bookmarkEnd w:id="86"/>
    </w:p>
    <w:p w14:paraId="30112D97" w14:textId="77777777" w:rsidR="000A6EAB" w:rsidRPr="00E67C8E" w:rsidRDefault="000A6EAB" w:rsidP="00E67C8E">
      <w:pPr>
        <w:pStyle w:val="afd"/>
        <w:rPr>
          <w:i/>
          <w:iCs/>
        </w:rPr>
      </w:pPr>
      <w:r w:rsidRPr="00E67C8E">
        <w:rPr>
          <w:i/>
          <w:iCs/>
        </w:rPr>
        <w:t>При проведении химиотерапии рекомендуется контролировать вес пациента и производить пересчет доз химиопрепаратов при изменении веса.</w:t>
      </w:r>
    </w:p>
    <w:p w14:paraId="30112D98" w14:textId="77777777" w:rsidR="00FF534E" w:rsidRPr="00FF534E" w:rsidRDefault="00FF534E" w:rsidP="00FF534E">
      <w:pPr>
        <w:rPr>
          <w:rFonts w:eastAsia="Times New Roman" w:cs="Times New Roman"/>
          <w:b/>
          <w:szCs w:val="24"/>
          <w:lang w:eastAsia="ru-RU"/>
        </w:rPr>
      </w:pPr>
      <w:r w:rsidRPr="00FF534E">
        <w:rPr>
          <w:rFonts w:eastAsia="Times New Roman" w:cs="Times New Roman"/>
          <w:b/>
          <w:szCs w:val="24"/>
          <w:lang w:eastAsia="ru-RU"/>
        </w:rPr>
        <w:t>Монотерапия ритуксимабом</w:t>
      </w:r>
      <w:r w:rsidR="003B54BA" w:rsidRPr="003B54BA">
        <w:rPr>
          <w:rFonts w:eastAsia="Times New Roman" w:cs="Times New Roman"/>
          <w:b/>
          <w:szCs w:val="24"/>
          <w:lang w:eastAsia="ru-RU"/>
        </w:rPr>
        <w:t>**</w:t>
      </w:r>
    </w:p>
    <w:p w14:paraId="30112D99" w14:textId="77777777" w:rsidR="00FF534E" w:rsidRPr="00F6217A" w:rsidRDefault="00FF534E" w:rsidP="00D22A46">
      <w:pPr>
        <w:numPr>
          <w:ilvl w:val="0"/>
          <w:numId w:val="32"/>
        </w:numPr>
        <w:contextualSpacing/>
        <w:rPr>
          <w:rFonts w:eastAsia="Times New Roman" w:cs="Times New Roman"/>
          <w:b/>
          <w:szCs w:val="24"/>
          <w:lang w:eastAsia="ru-RU"/>
        </w:rPr>
      </w:pPr>
      <w:r w:rsidRPr="00F6217A">
        <w:rPr>
          <w:rFonts w:eastAsia="Times New Roman" w:cs="Times New Roman"/>
          <w:szCs w:val="24"/>
          <w:lang w:eastAsia="ru-RU"/>
        </w:rPr>
        <w:t>Ритуксимаб</w:t>
      </w:r>
      <w:r w:rsidR="003B54BA" w:rsidRPr="00F6217A">
        <w:rPr>
          <w:rFonts w:eastAsia="Times New Roman" w:cs="Times New Roman"/>
          <w:szCs w:val="24"/>
          <w:lang w:eastAsia="ru-RU"/>
        </w:rPr>
        <w:t>**</w:t>
      </w:r>
      <w:r w:rsidRPr="00F6217A">
        <w:rPr>
          <w:rFonts w:eastAsia="Times New Roman" w:cs="Times New Roman"/>
          <w:szCs w:val="24"/>
          <w:lang w:eastAsia="ru-RU"/>
        </w:rPr>
        <w:t xml:space="preserve"> 375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в/в кап., 1 раз в неделю в течение 4 недель</w:t>
      </w:r>
    </w:p>
    <w:p w14:paraId="30112D9A" w14:textId="77777777" w:rsidR="00FF534E" w:rsidRPr="00FF534E" w:rsidRDefault="00FF534E" w:rsidP="00FF534E">
      <w:pPr>
        <w:rPr>
          <w:rFonts w:eastAsia="Times New Roman" w:cs="Times New Roman"/>
          <w:b/>
          <w:szCs w:val="24"/>
          <w:lang w:eastAsia="ru-RU"/>
        </w:rPr>
      </w:pPr>
    </w:p>
    <w:p w14:paraId="30112D9B" w14:textId="087A6215" w:rsidR="00FF534E" w:rsidRPr="00F6217A" w:rsidRDefault="00FF534E" w:rsidP="00FF534E">
      <w:pPr>
        <w:rPr>
          <w:rFonts w:eastAsia="Times New Roman" w:cs="Times New Roman"/>
          <w:szCs w:val="24"/>
          <w:lang w:eastAsia="ru-RU"/>
        </w:rPr>
      </w:pPr>
      <w:r w:rsidRPr="00FF534E">
        <w:rPr>
          <w:rFonts w:eastAsia="Times New Roman" w:cs="Times New Roman"/>
          <w:b/>
          <w:szCs w:val="24"/>
          <w:lang w:val="en-US" w:eastAsia="ru-RU"/>
        </w:rPr>
        <w:t>R</w:t>
      </w:r>
      <w:r w:rsidRPr="00FF534E">
        <w:rPr>
          <w:rFonts w:eastAsia="Times New Roman" w:cs="Times New Roman"/>
          <w:b/>
          <w:szCs w:val="24"/>
          <w:lang w:eastAsia="ru-RU"/>
        </w:rPr>
        <w:t>-</w:t>
      </w:r>
      <w:r w:rsidRPr="00FF534E">
        <w:rPr>
          <w:rFonts w:eastAsia="Times New Roman" w:cs="Times New Roman"/>
          <w:b/>
          <w:szCs w:val="24"/>
          <w:lang w:val="en-US" w:eastAsia="ru-RU"/>
        </w:rPr>
        <w:t>CHOP</w:t>
      </w:r>
      <w:r w:rsidR="00F6217A">
        <w:rPr>
          <w:rFonts w:eastAsia="Times New Roman" w:cs="Times New Roman"/>
          <w:b/>
          <w:szCs w:val="24"/>
          <w:lang w:eastAsia="ru-RU"/>
        </w:rPr>
        <w:t xml:space="preserve"> </w:t>
      </w:r>
      <w:r w:rsidR="00F6217A">
        <w:rPr>
          <w:rFonts w:eastAsia="Times New Roman" w:cs="Times New Roman"/>
          <w:b/>
          <w:szCs w:val="24"/>
          <w:lang w:eastAsia="ru-RU"/>
        </w:rPr>
        <w:fldChar w:fldCharType="begin" w:fldLock="1"/>
      </w:r>
      <w:r w:rsidR="00FE0F01">
        <w:rPr>
          <w:rFonts w:eastAsia="Times New Roman" w:cs="Times New Roman"/>
          <w:b/>
          <w:szCs w:val="24"/>
          <w:lang w:eastAsia="ru-RU"/>
        </w:rPr>
        <w:instrText>ADDIN CSL_CITATION {"citationItems":[{"id":"ITEM-1","itemData":{"DOI":"10.1111/bjh.16264","ISSN":"13652141","abstract":"R-CVP (cyclophosphamide, vincristine, prednisone) and R-CHOP (cyclophosphamide, doxorubicin, vincristine, prednisone + rituximab) are immunochemotherapy regimens frequently used for remission induction of indolent non-Hodgkin lymphomas (iNHLs). Rituximab maintenance (RM) significantly improves progression-free survival (PFS) in patients with complete/partial remission (CR/PR). Here we report the final results of a randomized study comparing R-CVP to R-CHOP both followed by RM. Untreated patients in need of systemic therapy with symptomatic and progressive iNHLs including follicular (FL) and marginal zone lymphoma (MZL), mucosa-associated lymphoid tissue (MALT), small lymphocytic (SLL), and lymphoplasmacytic (LPL) lymphoma were eligible. Patients were randomized to receive R-CVP or R-CHOP for eight cycles or until complete response (CR). All patients with CR/PR (partial response) received RM 375 mg/m2 q 2 months for 12 cycles. Primary endpoint was event-free survival (EFS). Two-hundred and fifty patients [FL 42%, MZL/MALT 38%, LPL/ Waldenström Macroglobulinaemia (WM) 11%, SLL 9%] were enrolled and randomized (R-CHOP: 127, R-CVP: 123). Median age was 56 years (21–85), 44% were male, 90% were in stage III–IV, 43% of FL patients had a Follicular Lymphoma International Prognostic Index (FLIPI) score ≥3, and 33·4% of all patients had an IPI score ≥3. At the end of induction treatment, the CR/PR rate was 43·6/50·9% and 36·3/60·8% in the R-CHOP and R-CVP groups (P = 0·218) respectively. After a median follow-up of 67, 66, and 70 months, five-year EFS was 61% vs. 56% (not significant), progression-free survival (PFS) was 71% vs. 69% (not significant) and overall survival (OS) was 84% vs. 89% in the R-CHOP vs. the R-CVP arm respectively. Grade III/IV adverse events (65 vs. 22) occurred in 40 (33·1%) and 18 (15·3%) patients, P = 0·001; neutropenia in 16 (11·6%) and 4 (3·4%) patients, P = 0·017; infection in 14 (10·7%) and 3 (2·5%) patients,; P = 0·011; and a second neoplasm in three versus seven patients., in the R-CHOP and the R-CVP groups respectively. This multicentre randomized study with &gt;five-year follow-up shows similar outcome in patients with indolent lymphoma in need of systemic therapy treated with R-CVP or R-CHOP immunochemotherapy and rituximab maintenance in both arms. The minor toxicity of the R-CVP regimen makes it a reasonable choice for induction treatment, leaving other active agents like doxorubicin or bendamustin for second-line therapy.","author":[{"dropping-particle":"","family":"Walewski","given":"Jan","non-dropping-particle":"","parse-names":false,"suffix":""},{"dropping-particle":"","family":"Paszkiewicz-Kozik","given":"Ewa","non-dropping-particle":"","parse-names":false,"suffix":""},{"dropping-particle":"","family":"Michalski","given":"Wojciech","non-dropping-particle":"","parse-names":false,"suffix":""},{"dropping-particle":"","family":"Rymkiewicz","given":"Grzegorz","non-dropping-particle":"","parse-names":false,"suffix":""},{"dropping-particle":"","family":"Szpila","given":"Tomasz","non-dropping-particle":"","parse-names":false,"suffix":""},{"dropping-particle":"","family":"Butrym","given":"Aleksandra","non-dropping-particle":"","parse-names":false,"suffix":""},{"dropping-particle":"","family":"Giza","given":"Agnieszka","non-dropping-particle":"","parse-names":false,"suffix":""},{"dropping-particle":"","family":"Zaucha","given":"Jan M.","non-dropping-particle":"","parse-names":false,"suffix":""},{"dropping-particle":"","family":"Kalinka-Warzocha","given":"Ewa","non-dropping-particle":"","parse-names":false,"suffix":""},{"dropping-particle":"","family":"Wieczorkiewicz","given":"Agata","non-dropping-particle":"","parse-names":false,"suffix":""},{"dropping-particle":"","family":"Zimowska-Curyło","given":"Dagmara","non-dropping-particle":"","parse-names":false,"suffix":""},{"dropping-particle":"","family":"Knopińska-Posłuszny","given":"Wanda","non-dropping-particle":"","parse-names":false,"suffix":""},{"dropping-particle":"","family":"Tyczyńska","given":"Agata","non-dropping-particle":"","parse-names":false,"suffix":""},{"dropping-particle":"","family":"Romejko-Jarosińska","given":"Joanna","non-dropping-particle":"","parse-names":false,"suffix":""},{"dropping-particle":"","family":"Dąbrowska-Iwanicka","given":"Anna","non-dropping-particle":"","parse-names":false,"suffix":""},{"dropping-particle":"","family":"Gruszecka","given":"Beata","non-dropping-particle":"","parse-names":false,"suffix":""},{"dropping-particle":"","family":"Jamrozek-Jedlińska","given":"Maria","non-dropping-particle":"","parse-names":false,"suffix":""},{"dropping-particle":"","family":"Borawska","given":"Anna","non-dropping-particle":"","parse-names":false,"suffix":""},{"dropping-particle":"","family":"Hołda","given":"Waldemar","non-dropping-particle":"","parse-names":false,"suffix":""},{"dropping-particle":"","family":"Porowska","given":"Agnieszka","non-dropping-particle":"","parse-names":false,"suffix":""},{"dropping-particle":"","family":"Romanowicz","given":"Agnieszka","non-dropping-particle":"","parse-names":false,"suffix":""},{"dropping-particle":"","family":"Hellmann","given":"Andrzej","non-dropping-particle":"","parse-names":false,"suffix":""},{"dropping-particle":"","family":"Stella-Hołowiecka","given":"Beata","non-dropping-particle":"","parse-names":false,"suffix":""},{"dropping-particle":"","family":"Deptała","given":"Andrzej","non-dropping-particle":"","parse-names":false,"suffix":""},{"dropping-particle":"","family":"Jurczak","given":"Wojciech","non-dropping-particle":"","parse-names":false,"suffix":""}],"container-title":"British Journal of Haematology","id":"ITEM-1","issue":"6","issued":{"date-parts":[["2019","3"]]},"page":"898-906","publisher":"Blackwell Publishing Ltd","title":"First-line R-CVP versus R-CHOP induction immunochemotherapy for indolent lymphoma with rituximab maintenance. A multicentre, phase III randomized study by the Polish Lymphoma Research Group PLRG4","type":"article-journal","volume":"188"},"uris":["http://www.mendeley.com/documents/?uuid=eca66507-5a32-3627-b306-7315be0f3acd"]}],"mendeley":{"formattedCitation":"[72]","plainTextFormattedCitation":"[72]","previouslyFormattedCitation":"[72]"},"properties":{"noteIndex":0},"schema":"https://github.com/citation-style-language/schema/raw/master/csl-citation.json"}</w:instrText>
      </w:r>
      <w:r w:rsidR="00F6217A">
        <w:rPr>
          <w:rFonts w:eastAsia="Times New Roman" w:cs="Times New Roman"/>
          <w:b/>
          <w:szCs w:val="24"/>
          <w:lang w:eastAsia="ru-RU"/>
        </w:rPr>
        <w:fldChar w:fldCharType="separate"/>
      </w:r>
      <w:r w:rsidR="00875B79" w:rsidRPr="00875B79">
        <w:rPr>
          <w:rFonts w:eastAsia="Times New Roman" w:cs="Times New Roman"/>
          <w:noProof/>
          <w:szCs w:val="24"/>
          <w:lang w:eastAsia="ru-RU"/>
        </w:rPr>
        <w:t>[72]</w:t>
      </w:r>
      <w:r w:rsidR="00F6217A">
        <w:rPr>
          <w:rFonts w:eastAsia="Times New Roman" w:cs="Times New Roman"/>
          <w:b/>
          <w:szCs w:val="24"/>
          <w:lang w:eastAsia="ru-RU"/>
        </w:rPr>
        <w:fldChar w:fldCharType="end"/>
      </w:r>
    </w:p>
    <w:p w14:paraId="30112D9C"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Ритуксимаб</w:t>
      </w:r>
      <w:r w:rsidR="003B54BA" w:rsidRPr="00F6217A">
        <w:rPr>
          <w:rFonts w:eastAsia="Times New Roman" w:cs="Times New Roman"/>
          <w:szCs w:val="24"/>
          <w:lang w:eastAsia="ru-RU"/>
        </w:rPr>
        <w:t>**</w:t>
      </w:r>
      <w:r w:rsidRPr="00F6217A">
        <w:rPr>
          <w:rFonts w:eastAsia="Times New Roman" w:cs="Times New Roman"/>
          <w:szCs w:val="24"/>
          <w:lang w:eastAsia="ru-RU"/>
        </w:rPr>
        <w:t xml:space="preserve"> 375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в/в кап., день 0 или 1 все циклы курса</w:t>
      </w:r>
    </w:p>
    <w:p w14:paraId="30112D9D"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Доксорубицин</w:t>
      </w:r>
      <w:r w:rsidR="003B54BA" w:rsidRPr="00F6217A">
        <w:rPr>
          <w:rFonts w:eastAsia="Times New Roman" w:cs="Times New Roman"/>
          <w:szCs w:val="24"/>
          <w:lang w:eastAsia="ru-RU"/>
        </w:rPr>
        <w:t>**</w:t>
      </w:r>
      <w:r w:rsidRPr="00F6217A">
        <w:rPr>
          <w:rFonts w:eastAsia="Times New Roman" w:cs="Times New Roman"/>
          <w:szCs w:val="24"/>
          <w:lang w:eastAsia="ru-RU"/>
        </w:rPr>
        <w:t xml:space="preserve"> 50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в/в кап., день 1</w:t>
      </w:r>
    </w:p>
    <w:p w14:paraId="30112D9E"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Циклофосфамид</w:t>
      </w:r>
      <w:r w:rsidR="003B54BA" w:rsidRPr="00F6217A">
        <w:rPr>
          <w:rFonts w:eastAsia="Times New Roman" w:cs="Times New Roman"/>
          <w:szCs w:val="24"/>
          <w:lang w:eastAsia="ru-RU"/>
        </w:rPr>
        <w:t>**</w:t>
      </w:r>
      <w:r w:rsidRPr="00F6217A">
        <w:rPr>
          <w:rFonts w:eastAsia="Times New Roman" w:cs="Times New Roman"/>
          <w:szCs w:val="24"/>
          <w:lang w:eastAsia="ru-RU"/>
        </w:rPr>
        <w:t xml:space="preserve"> 750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в/в кап., день 1</w:t>
      </w:r>
    </w:p>
    <w:p w14:paraId="30112D9F"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Винкристин</w:t>
      </w:r>
      <w:r w:rsidR="003B54BA" w:rsidRPr="00F6217A">
        <w:rPr>
          <w:rFonts w:eastAsia="Times New Roman" w:cs="Times New Roman"/>
          <w:szCs w:val="24"/>
          <w:lang w:eastAsia="ru-RU"/>
        </w:rPr>
        <w:t>**</w:t>
      </w:r>
      <w:r w:rsidRPr="00F6217A">
        <w:rPr>
          <w:rFonts w:eastAsia="Times New Roman" w:cs="Times New Roman"/>
          <w:szCs w:val="24"/>
          <w:lang w:eastAsia="ru-RU"/>
        </w:rPr>
        <w:t xml:space="preserve"> 1,4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(суммарно не более 2 мг) в/в, день 1</w:t>
      </w:r>
    </w:p>
    <w:p w14:paraId="30112DA0"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Преднизолон</w:t>
      </w:r>
      <w:r w:rsidR="003B54BA" w:rsidRPr="00F6217A">
        <w:rPr>
          <w:rFonts w:eastAsia="Times New Roman" w:cs="Times New Roman"/>
          <w:szCs w:val="24"/>
          <w:lang w:eastAsia="ru-RU"/>
        </w:rPr>
        <w:t>**</w:t>
      </w:r>
      <w:r w:rsidRPr="00F6217A">
        <w:rPr>
          <w:rFonts w:eastAsia="Times New Roman" w:cs="Times New Roman"/>
          <w:szCs w:val="24"/>
          <w:lang w:eastAsia="ru-RU"/>
        </w:rPr>
        <w:t xml:space="preserve"> 100 мг внутрь, дни 1-5</w:t>
      </w:r>
    </w:p>
    <w:p w14:paraId="30112DA1" w14:textId="77777777" w:rsidR="00FF534E" w:rsidRPr="00FF534E" w:rsidRDefault="00FF534E" w:rsidP="00FF534E">
      <w:pPr>
        <w:ind w:left="360"/>
        <w:rPr>
          <w:rFonts w:eastAsia="Times New Roman" w:cs="Times New Roman"/>
          <w:szCs w:val="24"/>
          <w:lang w:eastAsia="ru-RU"/>
        </w:rPr>
      </w:pPr>
      <w:r w:rsidRPr="00F6217A">
        <w:rPr>
          <w:rFonts w:eastAsia="Times New Roman" w:cs="Times New Roman"/>
          <w:szCs w:val="24"/>
          <w:lang w:eastAsia="ru-RU"/>
        </w:rPr>
        <w:t>Лечение возобновляется на 22 день</w:t>
      </w:r>
    </w:p>
    <w:p w14:paraId="30112DA2" w14:textId="77777777" w:rsidR="00FF534E" w:rsidRPr="00FF534E" w:rsidRDefault="00FF534E" w:rsidP="00FF534E">
      <w:pPr>
        <w:ind w:left="360"/>
        <w:rPr>
          <w:rFonts w:eastAsia="Times New Roman" w:cs="Times New Roman"/>
          <w:szCs w:val="24"/>
          <w:lang w:eastAsia="ru-RU"/>
        </w:rPr>
      </w:pPr>
    </w:p>
    <w:p w14:paraId="30112DA3" w14:textId="3F7AD522" w:rsidR="00FF534E" w:rsidRPr="00F6217A" w:rsidRDefault="00FF534E" w:rsidP="00FF534E">
      <w:pPr>
        <w:rPr>
          <w:rFonts w:eastAsia="Times New Roman" w:cs="Times New Roman"/>
          <w:szCs w:val="24"/>
          <w:lang w:eastAsia="ru-RU"/>
        </w:rPr>
      </w:pPr>
      <w:r w:rsidRPr="00FF534E">
        <w:rPr>
          <w:rFonts w:eastAsia="Times New Roman" w:cs="Times New Roman"/>
          <w:b/>
          <w:szCs w:val="24"/>
          <w:lang w:val="en-US" w:eastAsia="ru-RU"/>
        </w:rPr>
        <w:t>R</w:t>
      </w:r>
      <w:r w:rsidRPr="00FF534E">
        <w:rPr>
          <w:rFonts w:eastAsia="Times New Roman" w:cs="Times New Roman"/>
          <w:b/>
          <w:szCs w:val="24"/>
          <w:lang w:eastAsia="ru-RU"/>
        </w:rPr>
        <w:t>-</w:t>
      </w:r>
      <w:r w:rsidRPr="00FF534E">
        <w:rPr>
          <w:rFonts w:eastAsia="Times New Roman" w:cs="Times New Roman"/>
          <w:b/>
          <w:szCs w:val="24"/>
          <w:lang w:val="en-US" w:eastAsia="ru-RU"/>
        </w:rPr>
        <w:t>CVP</w:t>
      </w:r>
      <w:r w:rsidR="00F6217A" w:rsidRPr="00F6217A">
        <w:rPr>
          <w:rFonts w:eastAsia="Times New Roman" w:cs="Times New Roman"/>
          <w:b/>
          <w:szCs w:val="24"/>
          <w:lang w:eastAsia="ru-RU"/>
        </w:rPr>
        <w:t xml:space="preserve"> </w:t>
      </w:r>
      <w:r w:rsidR="00F6217A">
        <w:rPr>
          <w:rFonts w:eastAsia="Times New Roman" w:cs="Times New Roman"/>
          <w:b/>
          <w:szCs w:val="24"/>
          <w:lang w:eastAsia="ru-RU"/>
        </w:rPr>
        <w:fldChar w:fldCharType="begin" w:fldLock="1"/>
      </w:r>
      <w:r w:rsidR="00FE0F01">
        <w:rPr>
          <w:rFonts w:eastAsia="Times New Roman" w:cs="Times New Roman"/>
          <w:b/>
          <w:szCs w:val="24"/>
          <w:lang w:eastAsia="ru-RU"/>
        </w:rPr>
        <w:instrText>ADDIN CSL_CITATION {"citationItems":[{"id":"ITEM-1","itemData":{"DOI":"10.1111/bjh.16264","ISSN":"13652141","abstract":"R-CVP (cyclophosphamide, vincristine, prednisone) and R-CHOP (cyclophosphamide, doxorubicin, vincristine, prednisone + rituximab) are immunochemotherapy regimens frequently used for remission induction of indolent non-Hodgkin lymphomas (iNHLs). Rituximab maintenance (RM) significantly improves progression-free survival (PFS) in patients with complete/partial remission (CR/PR). Here we report the final results of a randomized study comparing R-CVP to R-CHOP both followed by RM. Untreated patients in need of systemic therapy with symptomatic and progressive iNHLs including follicular (FL) and marginal zone lymphoma (MZL), mucosa-associated lymphoid tissue (MALT), small lymphocytic (SLL), and lymphoplasmacytic (LPL) lymphoma were eligible. Patients were randomized to receive R-CVP or R-CHOP for eight cycles or until complete response (CR). All patients with CR/PR (partial response) received RM 375 mg/m2 q 2 months for 12 cycles. Primary endpoint was event-free survival (EFS). Two-hundred and fifty patients [FL 42%, MZL/MALT 38%, LPL/ Waldenström Macroglobulinaemia (WM) 11%, SLL 9%] were enrolled and randomized (R-CHOP: 127, R-CVP: 123). Median age was 56 years (21–85), 44% were male, 90% were in stage III–IV, 43% of FL patients had a Follicular Lymphoma International Prognostic Index (FLIPI) score ≥3, and 33·4% of all patients had an IPI score ≥3. At the end of induction treatment, the CR/PR rate was 43·6/50·9% and 36·3/60·8% in the R-CHOP and R-CVP groups (P = 0·218) respectively. After a median follow-up of 67, 66, and 70 months, five-year EFS was 61% vs. 56% (not significant), progression-free survival (PFS) was 71% vs. 69% (not significant) and overall survival (OS) was 84% vs. 89% in the R-CHOP vs. the R-CVP arm respectively. Grade III/IV adverse events (65 vs. 22) occurred in 40 (33·1%) and 18 (15·3%) patients, P = 0·001; neutropenia in 16 (11·6%) and 4 (3·4%) patients, P = 0·017; infection in 14 (10·7%) and 3 (2·5%) patients,; P = 0·011; and a second neoplasm in three versus seven patients., in the R-CHOP and the R-CVP groups respectively. This multicentre randomized study with &gt;five-year follow-up shows similar outcome in patients with indolent lymphoma in need of systemic therapy treated with R-CVP or R-CHOP immunochemotherapy and rituximab maintenance in both arms. The minor toxicity of the R-CVP regimen makes it a reasonable choice for induction treatment, leaving other active agents like doxorubicin or bendamustin for second-line therapy.","author":[{"dropping-particle":"","family":"Walewski","given":"Jan","non-dropping-particle":"","parse-names":false,"suffix":""},{"dropping-particle":"","family":"Paszkiewicz-Kozik","given":"Ewa","non-dropping-particle":"","parse-names":false,"suffix":""},{"dropping-particle":"","family":"Michalski","given":"Wojciech","non-dropping-particle":"","parse-names":false,"suffix":""},{"dropping-particle":"","family":"Rymkiewicz","given":"Grzegorz","non-dropping-particle":"","parse-names":false,"suffix":""},{"dropping-particle":"","family":"Szpila","given":"Tomasz","non-dropping-particle":"","parse-names":false,"suffix":""},{"dropping-particle":"","family":"Butrym","given":"Aleksandra","non-dropping-particle":"","parse-names":false,"suffix":""},{"dropping-particle":"","family":"Giza","given":"Agnieszka","non-dropping-particle":"","parse-names":false,"suffix":""},{"dropping-particle":"","family":"Zaucha","given":"Jan M.","non-dropping-particle":"","parse-names":false,"suffix":""},{"dropping-particle":"","family":"Kalinka-Warzocha","given":"Ewa","non-dropping-particle":"","parse-names":false,"suffix":""},{"dropping-particle":"","family":"Wieczorkiewicz","given":"Agata","non-dropping-particle":"","parse-names":false,"suffix":""},{"dropping-particle":"","family":"Zimowska-Curyło","given":"Dagmara","non-dropping-particle":"","parse-names":false,"suffix":""},{"dropping-particle":"","family":"Knopińska-Posłuszny","given":"Wanda","non-dropping-particle":"","parse-names":false,"suffix":""},{"dropping-particle":"","family":"Tyczyńska","given":"Agata","non-dropping-particle":"","parse-names":false,"suffix":""},{"dropping-particle":"","family":"Romejko-Jarosińska","given":"Joanna","non-dropping-particle":"","parse-names":false,"suffix":""},{"dropping-particle":"","family":"Dąbrowska-Iwanicka","given":"Anna","non-dropping-particle":"","parse-names":false,"suffix":""},{"dropping-particle":"","family":"Gruszecka","given":"Beata","non-dropping-particle":"","parse-names":false,"suffix":""},{"dropping-particle":"","family":"Jamrozek-Jedlińska","given":"Maria","non-dropping-particle":"","parse-names":false,"suffix":""},{"dropping-particle":"","family":"Borawska","given":"Anna","non-dropping-particle":"","parse-names":false,"suffix":""},{"dropping-particle":"","family":"Hołda","given":"Waldemar","non-dropping-particle":"","parse-names":false,"suffix":""},{"dropping-particle":"","family":"Porowska","given":"Agnieszka","non-dropping-particle":"","parse-names":false,"suffix":""},{"dropping-particle":"","family":"Romanowicz","given":"Agnieszka","non-dropping-particle":"","parse-names":false,"suffix":""},{"dropping-particle":"","family":"Hellmann","given":"Andrzej","non-dropping-particle":"","parse-names":false,"suffix":""},{"dropping-particle":"","family":"Stella-Hołowiecka","given":"Beata","non-dropping-particle":"","parse-names":false,"suffix":""},{"dropping-particle":"","family":"Deptała","given":"Andrzej","non-dropping-particle":"","parse-names":false,"suffix":""},{"dropping-particle":"","family":"Jurczak","given":"Wojciech","non-dropping-particle":"","parse-names":false,"suffix":""}],"container-title":"British Journal of Haematology","id":"ITEM-1","issue":"6","issued":{"date-parts":[["2019","3"]]},"page":"898-906","publisher":"Blackwell Publishing Ltd","title":"First-line R-CVP versus R-CHOP induction immunochemotherapy for indolent lymphoma with rituximab maintenance. A multicentre, phase III randomized study by the Polish Lymphoma Research Group PLRG4","type":"article-journal","volume":"188"},"uris":["http://www.mendeley.com/documents/?uuid=eca66507-5a32-3627-b306-7315be0f3acd"]}],"mendeley":{"formattedCitation":"[72]","plainTextFormattedCitation":"[72]","previouslyFormattedCitation":"[72]"},"properties":{"noteIndex":0},"schema":"https://github.com/citation-style-language/schema/raw/master/csl-citation.json"}</w:instrText>
      </w:r>
      <w:r w:rsidR="00F6217A">
        <w:rPr>
          <w:rFonts w:eastAsia="Times New Roman" w:cs="Times New Roman"/>
          <w:b/>
          <w:szCs w:val="24"/>
          <w:lang w:eastAsia="ru-RU"/>
        </w:rPr>
        <w:fldChar w:fldCharType="separate"/>
      </w:r>
      <w:r w:rsidR="00875B79" w:rsidRPr="00875B79">
        <w:rPr>
          <w:rFonts w:eastAsia="Times New Roman" w:cs="Times New Roman"/>
          <w:noProof/>
          <w:szCs w:val="24"/>
          <w:lang w:eastAsia="ru-RU"/>
        </w:rPr>
        <w:t>[72]</w:t>
      </w:r>
      <w:r w:rsidR="00F6217A">
        <w:rPr>
          <w:rFonts w:eastAsia="Times New Roman" w:cs="Times New Roman"/>
          <w:b/>
          <w:szCs w:val="24"/>
          <w:lang w:eastAsia="ru-RU"/>
        </w:rPr>
        <w:fldChar w:fldCharType="end"/>
      </w:r>
    </w:p>
    <w:p w14:paraId="30112DA4"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Ритуксимаб</w:t>
      </w:r>
      <w:r w:rsidR="003B54BA" w:rsidRPr="00F6217A">
        <w:rPr>
          <w:rFonts w:eastAsia="Times New Roman" w:cs="Times New Roman"/>
          <w:szCs w:val="24"/>
          <w:lang w:eastAsia="ru-RU"/>
        </w:rPr>
        <w:t>**</w:t>
      </w:r>
      <w:r w:rsidRPr="00F6217A">
        <w:rPr>
          <w:rFonts w:eastAsia="Times New Roman" w:cs="Times New Roman"/>
          <w:szCs w:val="24"/>
          <w:lang w:eastAsia="ru-RU"/>
        </w:rPr>
        <w:t xml:space="preserve"> 375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в/в кап., день 0 или 1 все циклы курса</w:t>
      </w:r>
    </w:p>
    <w:p w14:paraId="30112DA5"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Циклофосфамид</w:t>
      </w:r>
      <w:r w:rsidR="003B54BA" w:rsidRPr="00F6217A">
        <w:rPr>
          <w:rFonts w:eastAsia="Times New Roman" w:cs="Times New Roman"/>
          <w:szCs w:val="24"/>
          <w:lang w:eastAsia="ru-RU"/>
        </w:rPr>
        <w:t>**</w:t>
      </w:r>
      <w:r w:rsidRPr="00F6217A">
        <w:rPr>
          <w:rFonts w:eastAsia="Times New Roman" w:cs="Times New Roman"/>
          <w:szCs w:val="24"/>
          <w:lang w:eastAsia="ru-RU"/>
        </w:rPr>
        <w:t xml:space="preserve"> 750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в/в кап., день 1</w:t>
      </w:r>
    </w:p>
    <w:p w14:paraId="30112DA6"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Винкристин</w:t>
      </w:r>
      <w:r w:rsidR="003B54BA" w:rsidRPr="00F6217A">
        <w:rPr>
          <w:rFonts w:eastAsia="Times New Roman" w:cs="Times New Roman"/>
          <w:szCs w:val="24"/>
          <w:lang w:eastAsia="ru-RU"/>
        </w:rPr>
        <w:t>**</w:t>
      </w:r>
      <w:r w:rsidRPr="00F6217A">
        <w:rPr>
          <w:rFonts w:eastAsia="Times New Roman" w:cs="Times New Roman"/>
          <w:szCs w:val="24"/>
          <w:lang w:eastAsia="ru-RU"/>
        </w:rPr>
        <w:t xml:space="preserve"> 1,4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(суммарно не более 2 мг) в/в, день 1</w:t>
      </w:r>
    </w:p>
    <w:p w14:paraId="30112DA7" w14:textId="77777777" w:rsidR="00FF534E" w:rsidRPr="00F6217A" w:rsidRDefault="00FF534E" w:rsidP="00D22A46">
      <w:pPr>
        <w:numPr>
          <w:ilvl w:val="0"/>
          <w:numId w:val="30"/>
        </w:numPr>
        <w:contextualSpacing/>
        <w:rPr>
          <w:rFonts w:eastAsia="Times New Roman" w:cs="Times New Roman"/>
          <w:szCs w:val="24"/>
          <w:lang w:eastAsia="ru-RU"/>
        </w:rPr>
      </w:pPr>
      <w:r w:rsidRPr="00F6217A">
        <w:rPr>
          <w:rFonts w:eastAsia="Times New Roman" w:cs="Times New Roman"/>
          <w:szCs w:val="24"/>
          <w:lang w:eastAsia="ru-RU"/>
        </w:rPr>
        <w:t>Преднизолон</w:t>
      </w:r>
      <w:r w:rsidR="003B54BA" w:rsidRPr="00F6217A">
        <w:rPr>
          <w:rFonts w:eastAsia="Times New Roman" w:cs="Times New Roman"/>
          <w:szCs w:val="24"/>
          <w:lang w:eastAsia="ru-RU"/>
        </w:rPr>
        <w:t xml:space="preserve">** </w:t>
      </w:r>
      <w:r w:rsidRPr="00F6217A">
        <w:rPr>
          <w:rFonts w:eastAsia="Times New Roman" w:cs="Times New Roman"/>
          <w:szCs w:val="24"/>
          <w:lang w:eastAsia="ru-RU"/>
        </w:rPr>
        <w:t>40 мг/м</w:t>
      </w:r>
      <w:r w:rsidRPr="00F6217A">
        <w:rPr>
          <w:rFonts w:eastAsia="Times New Roman" w:cs="Times New Roman"/>
          <w:szCs w:val="24"/>
          <w:vertAlign w:val="superscript"/>
          <w:lang w:eastAsia="ru-RU"/>
        </w:rPr>
        <w:t>2</w:t>
      </w:r>
      <w:r w:rsidRPr="00F6217A">
        <w:rPr>
          <w:rFonts w:eastAsia="Times New Roman" w:cs="Times New Roman"/>
          <w:szCs w:val="24"/>
          <w:lang w:eastAsia="ru-RU"/>
        </w:rPr>
        <w:t xml:space="preserve"> внутрь, дни 1-5</w:t>
      </w:r>
    </w:p>
    <w:p w14:paraId="30112DA8" w14:textId="77777777" w:rsidR="00FF534E" w:rsidRPr="00FF534E" w:rsidRDefault="00FF534E" w:rsidP="00FF534E">
      <w:pPr>
        <w:ind w:left="360"/>
        <w:rPr>
          <w:rFonts w:eastAsia="Times New Roman" w:cs="Times New Roman"/>
          <w:szCs w:val="24"/>
          <w:lang w:eastAsia="ru-RU"/>
        </w:rPr>
      </w:pPr>
      <w:r w:rsidRPr="00F6217A">
        <w:rPr>
          <w:rFonts w:eastAsia="Times New Roman" w:cs="Times New Roman"/>
          <w:szCs w:val="24"/>
          <w:lang w:eastAsia="ru-RU"/>
        </w:rPr>
        <w:t>Лечение возобновляется на 22 день</w:t>
      </w:r>
    </w:p>
    <w:p w14:paraId="30112DA9" w14:textId="77777777" w:rsidR="00FF534E" w:rsidRPr="00FF534E" w:rsidRDefault="00FF534E" w:rsidP="00FF534E">
      <w:pPr>
        <w:ind w:left="360"/>
        <w:rPr>
          <w:rFonts w:eastAsia="Times New Roman" w:cs="Times New Roman"/>
          <w:szCs w:val="24"/>
          <w:lang w:eastAsia="ru-RU"/>
        </w:rPr>
      </w:pPr>
    </w:p>
    <w:p w14:paraId="30112DAA" w14:textId="4A45CF5F" w:rsidR="00FF534E" w:rsidRPr="00FF534E" w:rsidRDefault="00FF534E" w:rsidP="00FF534E">
      <w:pPr>
        <w:rPr>
          <w:rFonts w:eastAsia="Times New Roman" w:cs="Times New Roman"/>
          <w:b/>
          <w:szCs w:val="24"/>
          <w:lang w:eastAsia="ru-RU"/>
        </w:rPr>
      </w:pPr>
      <w:r w:rsidRPr="00FF534E">
        <w:rPr>
          <w:rFonts w:eastAsia="Times New Roman" w:cs="Times New Roman"/>
          <w:b/>
          <w:szCs w:val="24"/>
          <w:lang w:val="en-US" w:eastAsia="ru-RU"/>
        </w:rPr>
        <w:t>RB</w:t>
      </w:r>
      <w:r w:rsidR="007C192F" w:rsidRPr="007C192F">
        <w:rPr>
          <w:rFonts w:eastAsia="Times New Roman" w:cs="Times New Roman"/>
          <w:b/>
          <w:szCs w:val="24"/>
          <w:lang w:eastAsia="ru-RU"/>
        </w:rPr>
        <w:t xml:space="preserve"> </w:t>
      </w:r>
      <w:r w:rsidR="007C192F">
        <w:rPr>
          <w:rFonts w:eastAsia="Times New Roman" w:cs="Times New Roman"/>
          <w:b/>
          <w:szCs w:val="24"/>
          <w:lang w:val="en-US" w:eastAsia="ru-RU"/>
        </w:rPr>
        <w:fldChar w:fldCharType="begin" w:fldLock="1"/>
      </w:r>
      <w:r w:rsidR="00FE0F01">
        <w:rPr>
          <w:rFonts w:eastAsia="Times New Roman" w:cs="Times New Roman"/>
          <w:b/>
          <w:szCs w:val="24"/>
          <w:lang w:val="en-US" w:eastAsia="ru-RU"/>
        </w:rPr>
        <w:instrText>ADDIN CSL_CITATION {"citationItems":[{"id":"ITEM-1","itemData":{"DOI":"10.1111/bjh.15641","ISSN":"13652141","abstract":"Splenectomy in addition to immunotherapy with rituximab can provide quick and sometimes durable disease control in patients with splenic marginal zone lymphoma (SMZL). However, systemic chemotherapy is ultimately required in many cases. The BRISMA (Bendamustine-rituximab as first-line treatment of splenic marginal zone lymphoma)/IELSG (International Extranodal Lymphoma Study Group)36 trial is an open-label, single arm phase II study designed by the IELSG in cooperation with the Fondazione Italiana Linfomi and the lymphoma Study Association according to Simon's two-stage method. The primary endpoint was complete response rate. Fifty-six patients with SMZL diagnosis confirmed on central revision were treated with bendamustine (90 mg/m2 days 1, 2) and rituximab (375 mg/m2 day 1) every 28 days for six cycles (B-R). The overall response and CR rates were 91% and 73%, respectively. Duration of response, progression-free survival and overall survival at 3 years were 93% (95% confidence interval [CI] 81–98), 90% (95% CI 77–96) and 96% (95% CI 84–98), respectively. Toxicity was mostly haematological. Neutropenia grade ≥3 was recorded in 43% of patients; infections and febrile neutropenia in 5·4% and 3·6%. Overall, 14 patients (25%) experienced serious adverse events. Five patients (9%) went off-study because of toxicity and one patient died from infection. In conclusion, B-R resulted in a very effective first-line regimen for SMZL. Based on the results achieved in the BRISMA trial, B-R should be considered when a chemotherapy combination with rituximab is deemed necessary for symptomatic SMZL patients.","author":[{"dropping-particle":"","family":"Iannitto","given":"Emilio","non-dropping-particle":"","parse-names":false,"suffix":""},{"dropping-particle":"","family":"Bellei","given":"Monica","non-dropping-particle":"","parse-names":false,"suffix":""},{"dropping-particle":"","family":"Amorim","given":"Sandy","non-dropping-particle":"","parse-names":false,"suffix":""},{"dropping-particle":"","family":"Ferreri","given":"Andrés J.M.","non-dropping-particle":"","parse-names":false,"suffix":""},{"dropping-particle":"","family":"Marcheselli","given":"Luigi","non-dropping-particle":"","parse-names":false,"suffix":""},{"dropping-particle":"","family":"Cesaretti","given":"Marina","non-dropping-particle":"","parse-names":false,"suffix":""},{"dropping-particle":"","family":"Haioun","given":"Corinne","non-dropping-particle":"","parse-names":false,"suffix":""},{"dropping-particle":"","family":"Mancuso","given":"Salvatrice","non-dropping-particle":"","parse-names":false,"suffix":""},{"dropping-particle":"","family":"Bouabdallah","given":"Krimo","non-dropping-particle":"","parse-names":false,"suffix":""},{"dropping-particle":"","family":"Gressin","given":"Remy","non-dropping-particle":"","parse-names":false,"suffix":""},{"dropping-particle":"","family":"Tripodo","given":"Claudio","non-dropping-particle":"","parse-names":false,"suffix":""},{"dropping-particle":"","family":"Traverse-Glehen","given":"Alexandra","non-dropping-particle":"","parse-names":false,"suffix":""},{"dropping-particle":"","family":"Baseggio","given":"Lucile","non-dropping-particle":"","parse-names":false,"suffix":""},{"dropping-particle":"","family":"Zupo","given":"Simonetta","non-dropping-particle":"","parse-names":false,"suffix":""},{"dropping-particle":"","family":"Stelitano","given":"Caterina","non-dropping-particle":"","parse-names":false,"suffix":""},{"dropping-particle":"","family":"Castagnari","given":"Barbara","non-dropping-particle":"","parse-names":false,"suffix":""},{"dropping-particle":"","family":"Patti","given":"Caterina","non-dropping-particle":"","parse-names":false,"suffix":""},{"dropping-particle":"","family":"Alvarez","given":"Isabel","non-dropping-particle":"","parse-names":false,"suffix":""},{"dropping-particle":"","family":"Liberati","given":"Anna Marina","non-dropping-particle":"","parse-names":false,"suffix":""},{"dropping-particle":"","family":"Merli","given":"Michele","non-dropping-particle":"","parse-names":false,"suffix":""},{"dropping-particle":"","family":"Gini","given":"Guido","non-dropping-particle":"","parse-names":false,"suffix":""},{"dropping-particle":"","family":"Cabras","given":"Maria Giuseppina","non-dropping-particle":"","parse-names":false,"suffix":""},{"dropping-particle":"","family":"Dupuis","given":"Jean","non-dropping-particle":"","parse-names":false,"suffix":""},{"dropping-particle":"","family":"Tessoulin","given":"Benoit","non-dropping-particle":"","parse-names":false,"suffix":""},{"dropping-particle":"","family":"Perrot","given":"Aurore","non-dropping-particle":"","parse-names":false,"suffix":""},{"dropping-particle":"","family":"Re","given":"Francesca","non-dropping-particle":"","parse-names":false,"suffix":""},{"dropping-particle":"","family":"Palombi","given":"Francesca","non-dropping-particle":"","parse-names":false,"suffix":""},{"dropping-particle":"","family":"Gulino","given":"Alessandro","non-dropping-particle":"","parse-names":false,"suffix":""},{"dropping-particle":"","family":"Zucca","given":"Emanuele","non-dropping-particle":"","parse-names":false,"suffix":""},{"dropping-particle":"","family":"Federico","given":"Massimo","non-dropping-particle":"","parse-names":false,"suffix":""},{"dropping-particle":"","family":"Thieblemont","given":"Catherine","non-dropping-particle":"","parse-names":false,"suffix":""}],"container-title":"British Journal of Haematology","id":"ITEM-1","issue":"5","issued":{"date-parts":[["2018","12","1"]]},"page":"755-765","publisher":"Blackwell Publishing Ltd","title":"Efficacy of bendamustine and rituximab in splenic marginal zone lymphoma: results from the phase II BRISMA/IELSG36 study","type":"article-journal","volume":"183"},"uris":["http://www.mendeley.com/documents/?uuid=d9664df8-7e94-3094-8121-dfae4653f2c4"]},{"id":"ITEM-2","itemData":{"DOI":"10.1080/10428194.2018.1504938","ISSN":"10292403","author":[{"dropping-particle":"","family":"Cencini","given":"Emanuele","non-dropping-particle":"","parse-names":false,"suffix":""},{"dropping-particle":"","family":"Fabbri","given":"Alberto","non-dropping-particle":"","parse-names":false,"suffix":""},{"dropping-particle":"","family":"Schiattone","given":"Luana","non-dropping-particle":"","parse-names":false,"suffix":""},{"dropping-particle":"","family":"Bocchia","given":"Monica","non-dropping-particle":"","parse-names":false,"suffix":""}],"container-title":"Leukemia and Lymphoma","id":"ITEM-2","issue":"3","issued":{"date-parts":[["2019","2","23"]]},"page":"833-835","publisher":"Taylor and Francis Ltd","title":"Efficacy and safety of rituximab plus bendamustine for gastric marginal zone lymphoma","type":"article","volume":"60"},"uris":["http://www.mendeley.com/documents/?uuid=ec25e3f0-3fec-3928-82f3-6f3c9835aceb"]}],"mendeley":{"formattedCitation":"[73,74]","plainTextFormattedCitation":"[73,74]","previouslyFormattedCitation":"[73,74]"},"properties":{"noteIndex":0},"schema":"https://github.com/citation-style-language/schema/raw/master/csl-citation.json"}</w:instrText>
      </w:r>
      <w:r w:rsidR="007C192F">
        <w:rPr>
          <w:rFonts w:eastAsia="Times New Roman" w:cs="Times New Roman"/>
          <w:b/>
          <w:szCs w:val="24"/>
          <w:lang w:val="en-US" w:eastAsia="ru-RU"/>
        </w:rPr>
        <w:fldChar w:fldCharType="separate"/>
      </w:r>
      <w:r w:rsidR="00875B79" w:rsidRPr="00875B79">
        <w:rPr>
          <w:rFonts w:eastAsia="Times New Roman" w:cs="Times New Roman"/>
          <w:noProof/>
          <w:szCs w:val="24"/>
          <w:lang w:eastAsia="ru-RU"/>
        </w:rPr>
        <w:t>[73,74]</w:t>
      </w:r>
      <w:r w:rsidR="007C192F">
        <w:rPr>
          <w:rFonts w:eastAsia="Times New Roman" w:cs="Times New Roman"/>
          <w:b/>
          <w:szCs w:val="24"/>
          <w:lang w:val="en-US" w:eastAsia="ru-RU"/>
        </w:rPr>
        <w:fldChar w:fldCharType="end"/>
      </w:r>
    </w:p>
    <w:p w14:paraId="30112DAB" w14:textId="77777777" w:rsidR="00FF534E" w:rsidRPr="007C192F" w:rsidRDefault="00FF534E" w:rsidP="00D22A46">
      <w:pPr>
        <w:numPr>
          <w:ilvl w:val="0"/>
          <w:numId w:val="31"/>
        </w:numPr>
        <w:contextualSpacing/>
        <w:rPr>
          <w:rFonts w:eastAsia="Times New Roman" w:cs="Times New Roman"/>
          <w:szCs w:val="24"/>
          <w:lang w:eastAsia="ru-RU"/>
        </w:rPr>
      </w:pPr>
      <w:r w:rsidRPr="007C192F">
        <w:rPr>
          <w:rFonts w:eastAsia="Times New Roman" w:cs="Times New Roman"/>
          <w:szCs w:val="24"/>
          <w:lang w:eastAsia="ru-RU"/>
        </w:rPr>
        <w:t>Ритуксимаб</w:t>
      </w:r>
      <w:r w:rsidR="003B54BA" w:rsidRPr="007C192F">
        <w:rPr>
          <w:rFonts w:eastAsia="Times New Roman" w:cs="Times New Roman"/>
          <w:szCs w:val="24"/>
          <w:lang w:eastAsia="ru-RU"/>
        </w:rPr>
        <w:t>**</w:t>
      </w:r>
      <w:r w:rsidRPr="007C192F">
        <w:rPr>
          <w:rFonts w:eastAsia="Times New Roman" w:cs="Times New Roman"/>
          <w:szCs w:val="24"/>
          <w:lang w:eastAsia="ru-RU"/>
        </w:rPr>
        <w:t xml:space="preserve"> 375 мг/м</w:t>
      </w:r>
      <w:r w:rsidRPr="007C192F">
        <w:rPr>
          <w:rFonts w:eastAsia="Times New Roman" w:cs="Times New Roman"/>
          <w:szCs w:val="24"/>
          <w:vertAlign w:val="superscript"/>
          <w:lang w:eastAsia="ru-RU"/>
        </w:rPr>
        <w:t>2</w:t>
      </w:r>
      <w:r w:rsidRPr="007C192F">
        <w:rPr>
          <w:rFonts w:eastAsia="Times New Roman" w:cs="Times New Roman"/>
          <w:szCs w:val="24"/>
          <w:lang w:eastAsia="ru-RU"/>
        </w:rPr>
        <w:t xml:space="preserve"> в/в кап., день 0 или 1 все циклы курса</w:t>
      </w:r>
    </w:p>
    <w:p w14:paraId="30112DAC" w14:textId="77777777" w:rsidR="00FF534E" w:rsidRPr="007C192F" w:rsidRDefault="002D4BC6" w:rsidP="00D22A46">
      <w:pPr>
        <w:numPr>
          <w:ilvl w:val="0"/>
          <w:numId w:val="31"/>
        </w:numPr>
        <w:contextualSpacing/>
        <w:rPr>
          <w:rFonts w:eastAsia="Times New Roman" w:cs="Times New Roman"/>
          <w:szCs w:val="24"/>
          <w:lang w:eastAsia="ru-RU"/>
        </w:rPr>
      </w:pPr>
      <w:r w:rsidRPr="007C192F">
        <w:rPr>
          <w:rFonts w:eastAsia="Times New Roman" w:cs="Times New Roman"/>
          <w:szCs w:val="24"/>
          <w:lang w:eastAsia="ru-RU"/>
        </w:rPr>
        <w:t>#</w:t>
      </w:r>
      <w:r w:rsidR="00FF534E" w:rsidRPr="007C192F">
        <w:rPr>
          <w:rFonts w:eastAsia="Times New Roman" w:cs="Times New Roman"/>
          <w:szCs w:val="24"/>
          <w:lang w:eastAsia="ru-RU"/>
        </w:rPr>
        <w:t>Бендамустин</w:t>
      </w:r>
      <w:r w:rsidR="003B54BA" w:rsidRPr="007C192F">
        <w:rPr>
          <w:rFonts w:eastAsia="Times New Roman" w:cs="Times New Roman"/>
          <w:szCs w:val="24"/>
          <w:lang w:eastAsia="ru-RU"/>
        </w:rPr>
        <w:t>**</w:t>
      </w:r>
      <w:r w:rsidR="00FF534E" w:rsidRPr="007C192F">
        <w:rPr>
          <w:rFonts w:eastAsia="Times New Roman" w:cs="Times New Roman"/>
          <w:szCs w:val="24"/>
          <w:lang w:eastAsia="ru-RU"/>
        </w:rPr>
        <w:t xml:space="preserve"> 90 мг/м</w:t>
      </w:r>
      <w:r w:rsidR="00FF534E" w:rsidRPr="007C192F">
        <w:rPr>
          <w:rFonts w:eastAsia="Times New Roman" w:cs="Times New Roman"/>
          <w:szCs w:val="24"/>
          <w:vertAlign w:val="superscript"/>
          <w:lang w:eastAsia="ru-RU"/>
        </w:rPr>
        <w:t>2</w:t>
      </w:r>
      <w:r w:rsidR="00FF534E" w:rsidRPr="007C192F">
        <w:rPr>
          <w:rFonts w:eastAsia="Times New Roman" w:cs="Times New Roman"/>
          <w:szCs w:val="24"/>
          <w:lang w:eastAsia="ru-RU"/>
        </w:rPr>
        <w:t xml:space="preserve"> в/в кап., дни 1, 2</w:t>
      </w:r>
    </w:p>
    <w:p w14:paraId="30112DAD" w14:textId="77777777" w:rsidR="00185A7E" w:rsidRPr="00267769" w:rsidRDefault="00FF534E" w:rsidP="007C192F">
      <w:pPr>
        <w:ind w:left="360"/>
        <w:rPr>
          <w:rFonts w:eastAsia="Times New Roman" w:cs="Times New Roman"/>
          <w:szCs w:val="24"/>
          <w:lang w:eastAsia="ru-RU"/>
        </w:rPr>
      </w:pPr>
      <w:r w:rsidRPr="007C192F">
        <w:rPr>
          <w:rFonts w:eastAsia="Times New Roman" w:cs="Times New Roman"/>
          <w:szCs w:val="24"/>
          <w:lang w:eastAsia="ru-RU"/>
        </w:rPr>
        <w:t>Лечение возобновляется на 2</w:t>
      </w:r>
      <w:r w:rsidR="007C192F" w:rsidRPr="007C192F">
        <w:rPr>
          <w:rFonts w:eastAsia="Times New Roman" w:cs="Times New Roman"/>
          <w:szCs w:val="24"/>
          <w:lang w:eastAsia="ru-RU"/>
        </w:rPr>
        <w:t>9</w:t>
      </w:r>
      <w:r w:rsidRPr="00267769">
        <w:rPr>
          <w:rFonts w:eastAsia="Times New Roman" w:cs="Times New Roman"/>
          <w:szCs w:val="24"/>
          <w:lang w:eastAsia="ru-RU"/>
        </w:rPr>
        <w:t xml:space="preserve"> день</w:t>
      </w:r>
    </w:p>
    <w:p w14:paraId="30112DAE" w14:textId="77777777" w:rsidR="00F4012B" w:rsidRDefault="00F4012B" w:rsidP="00FF534E">
      <w:pPr>
        <w:pStyle w:val="afd"/>
        <w:spacing w:beforeAutospacing="0" w:afterAutospacing="0"/>
        <w:ind w:firstLine="0"/>
      </w:pPr>
    </w:p>
    <w:p w14:paraId="30112DAF" w14:textId="77777777" w:rsidR="00F4012B" w:rsidRPr="00F4012B" w:rsidRDefault="00F4012B" w:rsidP="00F4012B">
      <w:pPr>
        <w:pStyle w:val="2"/>
      </w:pPr>
      <w:bookmarkStart w:id="89" w:name="_Toc31624102"/>
      <w:bookmarkStart w:id="90" w:name="_Toc65108055"/>
      <w:r>
        <w:t xml:space="preserve">Приложение А3.2. </w:t>
      </w:r>
      <w:bookmarkEnd w:id="89"/>
      <w:r>
        <w:t>Значение маркеров вируса гепатита В у пациентов, которым показано назначение анти-</w:t>
      </w:r>
      <w:r>
        <w:rPr>
          <w:lang w:val="en-US"/>
        </w:rPr>
        <w:t>CD</w:t>
      </w:r>
      <w:r w:rsidRPr="006C5550">
        <w:t xml:space="preserve">20 </w:t>
      </w:r>
      <w:r>
        <w:t>моноклональных антител</w:t>
      </w:r>
      <w:bookmarkEnd w:id="90"/>
    </w:p>
    <w:p w14:paraId="30112DB0" w14:textId="77777777" w:rsidR="00F4012B" w:rsidRDefault="00F4012B" w:rsidP="00F4012B">
      <w:r>
        <w:t>Значение маркеров HBV-инфекции и предполагаемые действия представлены в табл. 3.2.1</w:t>
      </w:r>
    </w:p>
    <w:p w14:paraId="30112DB1" w14:textId="77777777" w:rsidR="00F4012B" w:rsidRDefault="00F4012B" w:rsidP="00F4012B">
      <w:r>
        <w:rPr>
          <w:b/>
        </w:rPr>
        <w:t xml:space="preserve">Таблица А3.2.1. </w:t>
      </w:r>
      <w:r>
        <w:t>Значение маркеров вирусного гепатита B</w:t>
      </w:r>
    </w:p>
    <w:tbl>
      <w:tblPr>
        <w:tblW w:w="0" w:type="auto"/>
        <w:tblInd w:w="-25" w:type="dxa"/>
        <w:tblLayout w:type="fixed"/>
        <w:tblLook w:val="0000" w:firstRow="0" w:lastRow="0" w:firstColumn="0" w:lastColumn="0" w:noHBand="0" w:noVBand="0"/>
      </w:tblPr>
      <w:tblGrid>
        <w:gridCol w:w="2922"/>
        <w:gridCol w:w="730"/>
        <w:gridCol w:w="992"/>
        <w:gridCol w:w="880"/>
        <w:gridCol w:w="879"/>
        <w:gridCol w:w="2998"/>
      </w:tblGrid>
      <w:tr w:rsidR="00F4012B" w14:paraId="30112DB8" w14:textId="77777777" w:rsidTr="00F4012B">
        <w:tc>
          <w:tcPr>
            <w:tcW w:w="2922" w:type="dxa"/>
            <w:tcBorders>
              <w:top w:val="single" w:sz="4" w:space="0" w:color="000000"/>
              <w:left w:val="single" w:sz="4" w:space="0" w:color="000000"/>
              <w:bottom w:val="single" w:sz="4" w:space="0" w:color="000000"/>
            </w:tcBorders>
            <w:shd w:val="clear" w:color="auto" w:fill="auto"/>
            <w:vAlign w:val="center"/>
          </w:tcPr>
          <w:p w14:paraId="30112DB2" w14:textId="77777777" w:rsidR="00F4012B" w:rsidRDefault="00F4012B" w:rsidP="00F4012B">
            <w:pPr>
              <w:spacing w:line="240" w:lineRule="auto"/>
              <w:ind w:firstLine="0"/>
              <w:jc w:val="center"/>
            </w:pPr>
            <w:r>
              <w:rPr>
                <w:b/>
                <w:szCs w:val="24"/>
              </w:rPr>
              <w:t>Расшифровка</w:t>
            </w:r>
          </w:p>
        </w:tc>
        <w:tc>
          <w:tcPr>
            <w:tcW w:w="730" w:type="dxa"/>
            <w:tcBorders>
              <w:top w:val="single" w:sz="4" w:space="0" w:color="000000"/>
              <w:left w:val="single" w:sz="4" w:space="0" w:color="000000"/>
              <w:bottom w:val="single" w:sz="4" w:space="0" w:color="000000"/>
            </w:tcBorders>
            <w:shd w:val="clear" w:color="auto" w:fill="auto"/>
            <w:vAlign w:val="center"/>
          </w:tcPr>
          <w:p w14:paraId="30112DB3" w14:textId="77777777" w:rsidR="00F4012B" w:rsidRDefault="00F4012B" w:rsidP="00F4012B">
            <w:pPr>
              <w:spacing w:line="240" w:lineRule="auto"/>
              <w:ind w:firstLine="0"/>
              <w:jc w:val="center"/>
            </w:pPr>
            <w:r>
              <w:rPr>
                <w:b/>
                <w:szCs w:val="24"/>
              </w:rPr>
              <w:t>HBs-Ag</w:t>
            </w:r>
          </w:p>
        </w:tc>
        <w:tc>
          <w:tcPr>
            <w:tcW w:w="992" w:type="dxa"/>
            <w:tcBorders>
              <w:top w:val="single" w:sz="4" w:space="0" w:color="000000"/>
              <w:left w:val="single" w:sz="4" w:space="0" w:color="000000"/>
              <w:bottom w:val="single" w:sz="4" w:space="0" w:color="000000"/>
            </w:tcBorders>
            <w:shd w:val="clear" w:color="auto" w:fill="auto"/>
            <w:vAlign w:val="center"/>
          </w:tcPr>
          <w:p w14:paraId="30112DB4" w14:textId="77777777" w:rsidR="00F4012B" w:rsidRDefault="00F4012B" w:rsidP="00F4012B">
            <w:pPr>
              <w:spacing w:line="240" w:lineRule="auto"/>
              <w:ind w:firstLine="0"/>
              <w:jc w:val="center"/>
            </w:pPr>
            <w:r>
              <w:rPr>
                <w:b/>
                <w:szCs w:val="24"/>
              </w:rPr>
              <w:t>Анти-HBc</w:t>
            </w:r>
          </w:p>
        </w:tc>
        <w:tc>
          <w:tcPr>
            <w:tcW w:w="880" w:type="dxa"/>
            <w:tcBorders>
              <w:top w:val="single" w:sz="4" w:space="0" w:color="000000"/>
              <w:left w:val="single" w:sz="4" w:space="0" w:color="000000"/>
              <w:bottom w:val="single" w:sz="4" w:space="0" w:color="000000"/>
            </w:tcBorders>
            <w:shd w:val="clear" w:color="auto" w:fill="auto"/>
            <w:vAlign w:val="center"/>
          </w:tcPr>
          <w:p w14:paraId="30112DB5" w14:textId="77777777" w:rsidR="00F4012B" w:rsidRDefault="00F4012B" w:rsidP="00F4012B">
            <w:pPr>
              <w:spacing w:line="240" w:lineRule="auto"/>
              <w:ind w:firstLine="0"/>
              <w:jc w:val="center"/>
            </w:pPr>
            <w:r>
              <w:rPr>
                <w:b/>
                <w:szCs w:val="24"/>
              </w:rPr>
              <w:t>Анти-HBs</w:t>
            </w:r>
          </w:p>
        </w:tc>
        <w:tc>
          <w:tcPr>
            <w:tcW w:w="879" w:type="dxa"/>
            <w:tcBorders>
              <w:top w:val="single" w:sz="4" w:space="0" w:color="000000"/>
              <w:left w:val="single" w:sz="4" w:space="0" w:color="000000"/>
              <w:bottom w:val="single" w:sz="4" w:space="0" w:color="000000"/>
            </w:tcBorders>
            <w:shd w:val="clear" w:color="auto" w:fill="auto"/>
            <w:vAlign w:val="center"/>
          </w:tcPr>
          <w:p w14:paraId="30112DB6" w14:textId="77777777" w:rsidR="00F4012B" w:rsidRDefault="00F4012B" w:rsidP="00F4012B">
            <w:pPr>
              <w:spacing w:line="240" w:lineRule="auto"/>
              <w:ind w:firstLine="0"/>
              <w:jc w:val="center"/>
            </w:pPr>
            <w:r>
              <w:rPr>
                <w:b/>
                <w:szCs w:val="24"/>
              </w:rPr>
              <w:t>ДНК HBV</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2DB7" w14:textId="77777777" w:rsidR="00F4012B" w:rsidRDefault="00F4012B" w:rsidP="00F4012B">
            <w:pPr>
              <w:spacing w:line="240" w:lineRule="auto"/>
              <w:ind w:firstLine="0"/>
              <w:jc w:val="center"/>
            </w:pPr>
            <w:r>
              <w:rPr>
                <w:b/>
                <w:szCs w:val="24"/>
              </w:rPr>
              <w:t>Действия</w:t>
            </w:r>
          </w:p>
        </w:tc>
      </w:tr>
      <w:tr w:rsidR="00F4012B" w14:paraId="30112DC1" w14:textId="77777777" w:rsidTr="00F4012B">
        <w:tc>
          <w:tcPr>
            <w:tcW w:w="2922" w:type="dxa"/>
            <w:tcBorders>
              <w:top w:val="single" w:sz="4" w:space="0" w:color="000000"/>
              <w:left w:val="single" w:sz="4" w:space="0" w:color="000000"/>
              <w:bottom w:val="single" w:sz="4" w:space="0" w:color="000000"/>
            </w:tcBorders>
            <w:shd w:val="clear" w:color="auto" w:fill="auto"/>
          </w:tcPr>
          <w:p w14:paraId="30112DB9" w14:textId="77777777" w:rsidR="00F4012B" w:rsidRDefault="00F4012B" w:rsidP="00F4012B">
            <w:pPr>
              <w:spacing w:line="240" w:lineRule="auto"/>
              <w:ind w:firstLine="0"/>
            </w:pPr>
            <w:r>
              <w:rPr>
                <w:szCs w:val="24"/>
              </w:rPr>
              <w:t>Не контактировал с HBV</w:t>
            </w:r>
          </w:p>
        </w:tc>
        <w:tc>
          <w:tcPr>
            <w:tcW w:w="730" w:type="dxa"/>
            <w:tcBorders>
              <w:top w:val="single" w:sz="4" w:space="0" w:color="000000"/>
              <w:left w:val="single" w:sz="4" w:space="0" w:color="000000"/>
              <w:bottom w:val="single" w:sz="4" w:space="0" w:color="000000"/>
            </w:tcBorders>
            <w:shd w:val="clear" w:color="auto" w:fill="auto"/>
          </w:tcPr>
          <w:p w14:paraId="30112DBA" w14:textId="77777777" w:rsidR="00F4012B" w:rsidRDefault="00F4012B" w:rsidP="00F4012B">
            <w:pPr>
              <w:spacing w:line="240" w:lineRule="auto"/>
              <w:ind w:firstLine="0"/>
              <w:jc w:val="center"/>
            </w:pPr>
            <w:r>
              <w:rPr>
                <w:szCs w:val="24"/>
              </w:rPr>
              <w:t>–</w:t>
            </w:r>
          </w:p>
        </w:tc>
        <w:tc>
          <w:tcPr>
            <w:tcW w:w="992" w:type="dxa"/>
            <w:tcBorders>
              <w:top w:val="single" w:sz="4" w:space="0" w:color="000000"/>
              <w:left w:val="single" w:sz="4" w:space="0" w:color="000000"/>
              <w:bottom w:val="single" w:sz="4" w:space="0" w:color="000000"/>
            </w:tcBorders>
            <w:shd w:val="clear" w:color="auto" w:fill="auto"/>
          </w:tcPr>
          <w:p w14:paraId="30112DBB" w14:textId="77777777" w:rsidR="00F4012B" w:rsidRDefault="00F4012B" w:rsidP="00F4012B">
            <w:pPr>
              <w:spacing w:line="240" w:lineRule="auto"/>
              <w:ind w:firstLine="0"/>
              <w:jc w:val="center"/>
            </w:pPr>
            <w:r>
              <w:rPr>
                <w:szCs w:val="24"/>
              </w:rPr>
              <w:t>–</w:t>
            </w:r>
          </w:p>
        </w:tc>
        <w:tc>
          <w:tcPr>
            <w:tcW w:w="880" w:type="dxa"/>
            <w:tcBorders>
              <w:top w:val="single" w:sz="4" w:space="0" w:color="000000"/>
              <w:left w:val="single" w:sz="4" w:space="0" w:color="000000"/>
              <w:bottom w:val="single" w:sz="4" w:space="0" w:color="000000"/>
            </w:tcBorders>
            <w:shd w:val="clear" w:color="auto" w:fill="auto"/>
          </w:tcPr>
          <w:p w14:paraId="30112DBC" w14:textId="77777777" w:rsidR="00F4012B" w:rsidRDefault="00F4012B" w:rsidP="00F4012B">
            <w:pPr>
              <w:spacing w:line="240" w:lineRule="auto"/>
              <w:ind w:firstLine="0"/>
              <w:jc w:val="center"/>
            </w:pPr>
            <w:r>
              <w:rPr>
                <w:szCs w:val="24"/>
              </w:rPr>
              <w:t>–</w:t>
            </w:r>
          </w:p>
        </w:tc>
        <w:tc>
          <w:tcPr>
            <w:tcW w:w="879" w:type="dxa"/>
            <w:tcBorders>
              <w:top w:val="single" w:sz="4" w:space="0" w:color="000000"/>
              <w:left w:val="single" w:sz="4" w:space="0" w:color="000000"/>
              <w:bottom w:val="single" w:sz="4" w:space="0" w:color="000000"/>
            </w:tcBorders>
            <w:shd w:val="clear" w:color="auto" w:fill="auto"/>
          </w:tcPr>
          <w:p w14:paraId="30112DBD" w14:textId="77777777" w:rsidR="00F4012B" w:rsidRDefault="00F4012B" w:rsidP="00F4012B">
            <w:pPr>
              <w:spacing w:line="240" w:lineRule="auto"/>
              <w:ind w:firstLine="0"/>
              <w:jc w:val="center"/>
            </w:pPr>
            <w:r>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0112DBE" w14:textId="77777777" w:rsidR="00F4012B" w:rsidRDefault="00F4012B" w:rsidP="00F4012B">
            <w:pPr>
              <w:spacing w:line="240" w:lineRule="auto"/>
              <w:ind w:firstLine="0"/>
            </w:pPr>
            <w:r>
              <w:rPr>
                <w:szCs w:val="24"/>
              </w:rPr>
              <w:t>Провести вакцинацию.</w:t>
            </w:r>
          </w:p>
          <w:p w14:paraId="30112DBF" w14:textId="77777777" w:rsidR="00F4012B" w:rsidRDefault="00F4012B" w:rsidP="00F4012B">
            <w:pPr>
              <w:spacing w:line="240" w:lineRule="auto"/>
              <w:ind w:firstLine="0"/>
            </w:pPr>
            <w:r>
              <w:rPr>
                <w:szCs w:val="24"/>
              </w:rPr>
              <w:t xml:space="preserve">Противопоказаний </w:t>
            </w:r>
          </w:p>
          <w:p w14:paraId="30112DC0" w14:textId="77777777" w:rsidR="00F4012B" w:rsidRDefault="00F4012B" w:rsidP="00F4012B">
            <w:pPr>
              <w:spacing w:line="240" w:lineRule="auto"/>
              <w:ind w:firstLine="0"/>
            </w:pPr>
            <w:r>
              <w:rPr>
                <w:szCs w:val="24"/>
              </w:rPr>
              <w:t>к анти-CD20 нет</w:t>
            </w:r>
          </w:p>
        </w:tc>
      </w:tr>
      <w:tr w:rsidR="00F4012B" w14:paraId="30112DC9" w14:textId="77777777" w:rsidTr="00F4012B">
        <w:tc>
          <w:tcPr>
            <w:tcW w:w="2922" w:type="dxa"/>
            <w:tcBorders>
              <w:top w:val="single" w:sz="4" w:space="0" w:color="000000"/>
              <w:left w:val="single" w:sz="4" w:space="0" w:color="000000"/>
              <w:bottom w:val="single" w:sz="4" w:space="0" w:color="000000"/>
            </w:tcBorders>
            <w:shd w:val="clear" w:color="auto" w:fill="auto"/>
          </w:tcPr>
          <w:p w14:paraId="30112DC2" w14:textId="77777777" w:rsidR="00F4012B" w:rsidRDefault="00F4012B" w:rsidP="00F4012B">
            <w:pPr>
              <w:spacing w:line="240" w:lineRule="auto"/>
              <w:ind w:firstLine="0"/>
            </w:pPr>
            <w:r>
              <w:rPr>
                <w:szCs w:val="24"/>
              </w:rPr>
              <w:t>Вакцинация проведена</w:t>
            </w:r>
          </w:p>
        </w:tc>
        <w:tc>
          <w:tcPr>
            <w:tcW w:w="730" w:type="dxa"/>
            <w:tcBorders>
              <w:top w:val="single" w:sz="4" w:space="0" w:color="000000"/>
              <w:left w:val="single" w:sz="4" w:space="0" w:color="000000"/>
              <w:bottom w:val="single" w:sz="4" w:space="0" w:color="000000"/>
            </w:tcBorders>
            <w:shd w:val="clear" w:color="auto" w:fill="auto"/>
          </w:tcPr>
          <w:p w14:paraId="30112DC3" w14:textId="77777777" w:rsidR="00F4012B" w:rsidRDefault="00F4012B" w:rsidP="00F4012B">
            <w:pPr>
              <w:spacing w:line="240" w:lineRule="auto"/>
              <w:ind w:firstLine="0"/>
              <w:jc w:val="center"/>
            </w:pPr>
            <w:r>
              <w:rPr>
                <w:szCs w:val="24"/>
              </w:rPr>
              <w:t>–</w:t>
            </w:r>
          </w:p>
        </w:tc>
        <w:tc>
          <w:tcPr>
            <w:tcW w:w="992" w:type="dxa"/>
            <w:tcBorders>
              <w:top w:val="single" w:sz="4" w:space="0" w:color="000000"/>
              <w:left w:val="single" w:sz="4" w:space="0" w:color="000000"/>
              <w:bottom w:val="single" w:sz="4" w:space="0" w:color="000000"/>
            </w:tcBorders>
            <w:shd w:val="clear" w:color="auto" w:fill="auto"/>
          </w:tcPr>
          <w:p w14:paraId="30112DC4" w14:textId="77777777" w:rsidR="00F4012B" w:rsidRDefault="00F4012B" w:rsidP="00F4012B">
            <w:pPr>
              <w:spacing w:line="240" w:lineRule="auto"/>
              <w:ind w:firstLine="0"/>
              <w:jc w:val="center"/>
            </w:pPr>
            <w:r>
              <w:rPr>
                <w:szCs w:val="24"/>
              </w:rPr>
              <w:t>–</w:t>
            </w:r>
          </w:p>
        </w:tc>
        <w:tc>
          <w:tcPr>
            <w:tcW w:w="880" w:type="dxa"/>
            <w:tcBorders>
              <w:top w:val="single" w:sz="4" w:space="0" w:color="000000"/>
              <w:left w:val="single" w:sz="4" w:space="0" w:color="000000"/>
              <w:bottom w:val="single" w:sz="4" w:space="0" w:color="000000"/>
            </w:tcBorders>
            <w:shd w:val="clear" w:color="auto" w:fill="auto"/>
          </w:tcPr>
          <w:p w14:paraId="30112DC5" w14:textId="77777777" w:rsidR="00F4012B" w:rsidRDefault="00F4012B" w:rsidP="00F4012B">
            <w:pPr>
              <w:spacing w:line="240" w:lineRule="auto"/>
              <w:ind w:firstLine="0"/>
              <w:jc w:val="center"/>
            </w:pPr>
            <w:r>
              <w:rPr>
                <w:szCs w:val="24"/>
              </w:rPr>
              <w:t>+</w:t>
            </w:r>
          </w:p>
        </w:tc>
        <w:tc>
          <w:tcPr>
            <w:tcW w:w="879" w:type="dxa"/>
            <w:tcBorders>
              <w:top w:val="single" w:sz="4" w:space="0" w:color="000000"/>
              <w:left w:val="single" w:sz="4" w:space="0" w:color="000000"/>
              <w:bottom w:val="single" w:sz="4" w:space="0" w:color="000000"/>
            </w:tcBorders>
            <w:shd w:val="clear" w:color="auto" w:fill="auto"/>
          </w:tcPr>
          <w:p w14:paraId="30112DC6" w14:textId="77777777" w:rsidR="00F4012B" w:rsidRDefault="00F4012B" w:rsidP="00F4012B">
            <w:pPr>
              <w:spacing w:line="240" w:lineRule="auto"/>
              <w:ind w:firstLine="0"/>
              <w:jc w:val="center"/>
            </w:pPr>
            <w:r>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0112DC7" w14:textId="77777777" w:rsidR="00F4012B" w:rsidRDefault="00F4012B" w:rsidP="00F4012B">
            <w:pPr>
              <w:spacing w:line="240" w:lineRule="auto"/>
              <w:ind w:firstLine="0"/>
            </w:pPr>
            <w:r>
              <w:rPr>
                <w:szCs w:val="24"/>
              </w:rPr>
              <w:t xml:space="preserve">Противопоказаний </w:t>
            </w:r>
          </w:p>
          <w:p w14:paraId="30112DC8" w14:textId="77777777" w:rsidR="00F4012B" w:rsidRDefault="00F4012B" w:rsidP="00F4012B">
            <w:pPr>
              <w:spacing w:line="240" w:lineRule="auto"/>
              <w:ind w:firstLine="0"/>
            </w:pPr>
            <w:r>
              <w:rPr>
                <w:szCs w:val="24"/>
              </w:rPr>
              <w:t>к анти-CD20 нет</w:t>
            </w:r>
          </w:p>
        </w:tc>
      </w:tr>
      <w:tr w:rsidR="00F4012B" w14:paraId="30112DD1" w14:textId="77777777" w:rsidTr="00F4012B">
        <w:tc>
          <w:tcPr>
            <w:tcW w:w="2922" w:type="dxa"/>
            <w:tcBorders>
              <w:top w:val="single" w:sz="4" w:space="0" w:color="000000"/>
              <w:left w:val="single" w:sz="4" w:space="0" w:color="000000"/>
              <w:bottom w:val="single" w:sz="4" w:space="0" w:color="000000"/>
            </w:tcBorders>
            <w:shd w:val="clear" w:color="auto" w:fill="auto"/>
          </w:tcPr>
          <w:p w14:paraId="30112DCA" w14:textId="77777777" w:rsidR="00F4012B" w:rsidRDefault="00F4012B" w:rsidP="00F4012B">
            <w:pPr>
              <w:spacing w:line="240" w:lineRule="auto"/>
              <w:ind w:firstLine="0"/>
            </w:pPr>
            <w:r>
              <w:rPr>
                <w:szCs w:val="24"/>
              </w:rPr>
              <w:t>Реконвалесцент</w:t>
            </w:r>
          </w:p>
        </w:tc>
        <w:tc>
          <w:tcPr>
            <w:tcW w:w="730" w:type="dxa"/>
            <w:tcBorders>
              <w:top w:val="single" w:sz="4" w:space="0" w:color="000000"/>
              <w:left w:val="single" w:sz="4" w:space="0" w:color="000000"/>
              <w:bottom w:val="single" w:sz="4" w:space="0" w:color="000000"/>
            </w:tcBorders>
            <w:shd w:val="clear" w:color="auto" w:fill="auto"/>
          </w:tcPr>
          <w:p w14:paraId="30112DCB" w14:textId="77777777" w:rsidR="00F4012B" w:rsidRDefault="00F4012B" w:rsidP="00F4012B">
            <w:pPr>
              <w:spacing w:line="240" w:lineRule="auto"/>
              <w:ind w:firstLine="0"/>
              <w:jc w:val="center"/>
            </w:pPr>
            <w:r>
              <w:rPr>
                <w:szCs w:val="24"/>
              </w:rPr>
              <w:t>–</w:t>
            </w:r>
          </w:p>
        </w:tc>
        <w:tc>
          <w:tcPr>
            <w:tcW w:w="992" w:type="dxa"/>
            <w:tcBorders>
              <w:top w:val="single" w:sz="4" w:space="0" w:color="000000"/>
              <w:left w:val="single" w:sz="4" w:space="0" w:color="000000"/>
              <w:bottom w:val="single" w:sz="4" w:space="0" w:color="000000"/>
            </w:tcBorders>
            <w:shd w:val="clear" w:color="auto" w:fill="auto"/>
          </w:tcPr>
          <w:p w14:paraId="30112DCC" w14:textId="77777777" w:rsidR="00F4012B" w:rsidRDefault="00F4012B" w:rsidP="00F4012B">
            <w:pPr>
              <w:spacing w:line="240" w:lineRule="auto"/>
              <w:ind w:firstLine="0"/>
              <w:jc w:val="center"/>
            </w:pPr>
            <w:r>
              <w:rPr>
                <w:szCs w:val="24"/>
              </w:rPr>
              <w:t>+</w:t>
            </w:r>
          </w:p>
        </w:tc>
        <w:tc>
          <w:tcPr>
            <w:tcW w:w="880" w:type="dxa"/>
            <w:tcBorders>
              <w:top w:val="single" w:sz="4" w:space="0" w:color="000000"/>
              <w:left w:val="single" w:sz="4" w:space="0" w:color="000000"/>
              <w:bottom w:val="single" w:sz="4" w:space="0" w:color="000000"/>
            </w:tcBorders>
            <w:shd w:val="clear" w:color="auto" w:fill="auto"/>
          </w:tcPr>
          <w:p w14:paraId="30112DCD" w14:textId="77777777" w:rsidR="00F4012B" w:rsidRDefault="00F4012B" w:rsidP="00F4012B">
            <w:pPr>
              <w:spacing w:line="240" w:lineRule="auto"/>
              <w:ind w:firstLine="0"/>
              <w:jc w:val="center"/>
            </w:pPr>
            <w:r>
              <w:rPr>
                <w:szCs w:val="24"/>
              </w:rPr>
              <w:t>+</w:t>
            </w:r>
          </w:p>
        </w:tc>
        <w:tc>
          <w:tcPr>
            <w:tcW w:w="879" w:type="dxa"/>
            <w:tcBorders>
              <w:top w:val="single" w:sz="4" w:space="0" w:color="000000"/>
              <w:left w:val="single" w:sz="4" w:space="0" w:color="000000"/>
              <w:bottom w:val="single" w:sz="4" w:space="0" w:color="000000"/>
            </w:tcBorders>
            <w:shd w:val="clear" w:color="auto" w:fill="auto"/>
          </w:tcPr>
          <w:p w14:paraId="30112DCE" w14:textId="77777777" w:rsidR="00F4012B" w:rsidRDefault="00F4012B" w:rsidP="00F4012B">
            <w:pPr>
              <w:spacing w:line="240" w:lineRule="auto"/>
              <w:ind w:firstLine="0"/>
              <w:jc w:val="center"/>
            </w:pPr>
            <w:r>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0112DCF" w14:textId="77777777" w:rsidR="00F4012B" w:rsidRDefault="00F4012B" w:rsidP="00F4012B">
            <w:pPr>
              <w:spacing w:line="240" w:lineRule="auto"/>
              <w:ind w:firstLine="0"/>
            </w:pPr>
            <w:r>
              <w:rPr>
                <w:szCs w:val="24"/>
              </w:rPr>
              <w:t xml:space="preserve">Противопоказаний </w:t>
            </w:r>
          </w:p>
          <w:p w14:paraId="30112DD0" w14:textId="77777777" w:rsidR="00F4012B" w:rsidRDefault="00F4012B" w:rsidP="00F4012B">
            <w:pPr>
              <w:spacing w:line="240" w:lineRule="auto"/>
              <w:ind w:firstLine="0"/>
            </w:pPr>
            <w:r>
              <w:rPr>
                <w:szCs w:val="24"/>
              </w:rPr>
              <w:t xml:space="preserve">к анти-CD20 нет </w:t>
            </w:r>
          </w:p>
        </w:tc>
      </w:tr>
      <w:tr w:rsidR="00F4012B" w14:paraId="30112DD8" w14:textId="77777777" w:rsidTr="00F4012B">
        <w:tc>
          <w:tcPr>
            <w:tcW w:w="2922" w:type="dxa"/>
            <w:tcBorders>
              <w:top w:val="single" w:sz="4" w:space="0" w:color="000000"/>
              <w:left w:val="single" w:sz="4" w:space="0" w:color="000000"/>
              <w:bottom w:val="single" w:sz="4" w:space="0" w:color="000000"/>
            </w:tcBorders>
            <w:shd w:val="clear" w:color="auto" w:fill="auto"/>
          </w:tcPr>
          <w:p w14:paraId="30112DD2" w14:textId="77777777" w:rsidR="00F4012B" w:rsidRDefault="00F4012B" w:rsidP="00F4012B">
            <w:pPr>
              <w:spacing w:line="240" w:lineRule="auto"/>
              <w:ind w:firstLine="0"/>
            </w:pPr>
            <w:r>
              <w:rPr>
                <w:szCs w:val="24"/>
              </w:rPr>
              <w:t>Возможное латентное носительство HBV</w:t>
            </w:r>
          </w:p>
        </w:tc>
        <w:tc>
          <w:tcPr>
            <w:tcW w:w="730" w:type="dxa"/>
            <w:tcBorders>
              <w:top w:val="single" w:sz="4" w:space="0" w:color="000000"/>
              <w:left w:val="single" w:sz="4" w:space="0" w:color="000000"/>
              <w:bottom w:val="single" w:sz="4" w:space="0" w:color="000000"/>
            </w:tcBorders>
            <w:shd w:val="clear" w:color="auto" w:fill="auto"/>
          </w:tcPr>
          <w:p w14:paraId="30112DD3" w14:textId="77777777" w:rsidR="00F4012B" w:rsidRDefault="00F4012B" w:rsidP="00F4012B">
            <w:pPr>
              <w:spacing w:line="240" w:lineRule="auto"/>
              <w:ind w:firstLine="0"/>
              <w:jc w:val="center"/>
            </w:pPr>
            <w:r>
              <w:rPr>
                <w:szCs w:val="24"/>
              </w:rPr>
              <w:t>–</w:t>
            </w:r>
          </w:p>
        </w:tc>
        <w:tc>
          <w:tcPr>
            <w:tcW w:w="992" w:type="dxa"/>
            <w:tcBorders>
              <w:top w:val="single" w:sz="4" w:space="0" w:color="000000"/>
              <w:left w:val="single" w:sz="4" w:space="0" w:color="000000"/>
              <w:bottom w:val="single" w:sz="4" w:space="0" w:color="000000"/>
            </w:tcBorders>
            <w:shd w:val="clear" w:color="auto" w:fill="auto"/>
          </w:tcPr>
          <w:p w14:paraId="30112DD4" w14:textId="77777777" w:rsidR="00F4012B" w:rsidRDefault="00F4012B" w:rsidP="00F4012B">
            <w:pPr>
              <w:spacing w:line="240" w:lineRule="auto"/>
              <w:ind w:firstLine="0"/>
              <w:jc w:val="center"/>
            </w:pPr>
            <w:r>
              <w:rPr>
                <w:szCs w:val="24"/>
              </w:rPr>
              <w:t>+</w:t>
            </w:r>
          </w:p>
        </w:tc>
        <w:tc>
          <w:tcPr>
            <w:tcW w:w="880" w:type="dxa"/>
            <w:tcBorders>
              <w:top w:val="single" w:sz="4" w:space="0" w:color="000000"/>
              <w:left w:val="single" w:sz="4" w:space="0" w:color="000000"/>
              <w:bottom w:val="single" w:sz="4" w:space="0" w:color="000000"/>
            </w:tcBorders>
            <w:shd w:val="clear" w:color="auto" w:fill="auto"/>
          </w:tcPr>
          <w:p w14:paraId="30112DD5" w14:textId="77777777" w:rsidR="00F4012B" w:rsidRDefault="00F4012B" w:rsidP="00F4012B">
            <w:pPr>
              <w:spacing w:line="240" w:lineRule="auto"/>
              <w:ind w:firstLine="0"/>
              <w:jc w:val="center"/>
            </w:pPr>
            <w:r>
              <w:rPr>
                <w:szCs w:val="24"/>
              </w:rPr>
              <w:t>–</w:t>
            </w:r>
          </w:p>
        </w:tc>
        <w:tc>
          <w:tcPr>
            <w:tcW w:w="879" w:type="dxa"/>
            <w:tcBorders>
              <w:top w:val="single" w:sz="4" w:space="0" w:color="000000"/>
              <w:left w:val="single" w:sz="4" w:space="0" w:color="000000"/>
              <w:bottom w:val="single" w:sz="4" w:space="0" w:color="000000"/>
            </w:tcBorders>
            <w:shd w:val="clear" w:color="auto" w:fill="auto"/>
          </w:tcPr>
          <w:p w14:paraId="30112DD6" w14:textId="77777777" w:rsidR="00F4012B" w:rsidRDefault="00F4012B" w:rsidP="00F4012B">
            <w:pPr>
              <w:spacing w:line="240" w:lineRule="auto"/>
              <w:ind w:firstLine="0"/>
              <w:jc w:val="center"/>
            </w:pPr>
            <w:r>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0112DD7" w14:textId="77777777" w:rsidR="00F4012B" w:rsidRDefault="00F4012B" w:rsidP="00F4012B">
            <w:pPr>
              <w:spacing w:line="240" w:lineRule="auto"/>
              <w:ind w:firstLine="0"/>
            </w:pPr>
            <w:r>
              <w:rPr>
                <w:szCs w:val="24"/>
              </w:rPr>
              <w:t>Контроль ДНК HBV каждые 2 мес. во время терапии анти-CD20, назначение противовирусной терапии при появлении HBsAg или ДНК HBV</w:t>
            </w:r>
          </w:p>
        </w:tc>
      </w:tr>
      <w:tr w:rsidR="00F4012B" w14:paraId="30112DDF" w14:textId="77777777" w:rsidTr="00F4012B">
        <w:tc>
          <w:tcPr>
            <w:tcW w:w="2922" w:type="dxa"/>
            <w:tcBorders>
              <w:top w:val="single" w:sz="4" w:space="0" w:color="000000"/>
              <w:left w:val="single" w:sz="4" w:space="0" w:color="000000"/>
              <w:bottom w:val="single" w:sz="4" w:space="0" w:color="000000"/>
            </w:tcBorders>
            <w:shd w:val="clear" w:color="auto" w:fill="auto"/>
          </w:tcPr>
          <w:p w14:paraId="30112DD9" w14:textId="77777777" w:rsidR="00F4012B" w:rsidRDefault="00F4012B" w:rsidP="00F4012B">
            <w:pPr>
              <w:spacing w:line="240" w:lineRule="auto"/>
              <w:ind w:firstLine="0"/>
            </w:pPr>
            <w:r>
              <w:rPr>
                <w:szCs w:val="24"/>
              </w:rPr>
              <w:t>Неактивное носительство HBsAg</w:t>
            </w:r>
          </w:p>
        </w:tc>
        <w:tc>
          <w:tcPr>
            <w:tcW w:w="730" w:type="dxa"/>
            <w:tcBorders>
              <w:top w:val="single" w:sz="4" w:space="0" w:color="000000"/>
              <w:left w:val="single" w:sz="4" w:space="0" w:color="000000"/>
              <w:bottom w:val="single" w:sz="4" w:space="0" w:color="000000"/>
            </w:tcBorders>
            <w:shd w:val="clear" w:color="auto" w:fill="auto"/>
          </w:tcPr>
          <w:p w14:paraId="30112DDA" w14:textId="77777777" w:rsidR="00F4012B" w:rsidRDefault="00F4012B" w:rsidP="00F4012B">
            <w:pPr>
              <w:spacing w:line="240" w:lineRule="auto"/>
              <w:ind w:firstLine="0"/>
              <w:jc w:val="center"/>
            </w:pPr>
            <w:r>
              <w:rPr>
                <w:szCs w:val="24"/>
              </w:rPr>
              <w:t>+</w:t>
            </w:r>
          </w:p>
        </w:tc>
        <w:tc>
          <w:tcPr>
            <w:tcW w:w="992" w:type="dxa"/>
            <w:tcBorders>
              <w:top w:val="single" w:sz="4" w:space="0" w:color="000000"/>
              <w:left w:val="single" w:sz="4" w:space="0" w:color="000000"/>
              <w:bottom w:val="single" w:sz="4" w:space="0" w:color="000000"/>
            </w:tcBorders>
            <w:shd w:val="clear" w:color="auto" w:fill="auto"/>
          </w:tcPr>
          <w:p w14:paraId="30112DDB" w14:textId="77777777" w:rsidR="00F4012B" w:rsidRDefault="00F4012B" w:rsidP="00F4012B">
            <w:pPr>
              <w:spacing w:line="240" w:lineRule="auto"/>
              <w:ind w:firstLine="0"/>
              <w:jc w:val="center"/>
            </w:pPr>
            <w:r>
              <w:rPr>
                <w:szCs w:val="24"/>
              </w:rPr>
              <w:t>±</w:t>
            </w:r>
          </w:p>
        </w:tc>
        <w:tc>
          <w:tcPr>
            <w:tcW w:w="880" w:type="dxa"/>
            <w:tcBorders>
              <w:top w:val="single" w:sz="4" w:space="0" w:color="000000"/>
              <w:left w:val="single" w:sz="4" w:space="0" w:color="000000"/>
              <w:bottom w:val="single" w:sz="4" w:space="0" w:color="000000"/>
            </w:tcBorders>
            <w:shd w:val="clear" w:color="auto" w:fill="auto"/>
          </w:tcPr>
          <w:p w14:paraId="30112DDC" w14:textId="77777777" w:rsidR="00F4012B" w:rsidRDefault="00F4012B" w:rsidP="00F4012B">
            <w:pPr>
              <w:spacing w:line="240" w:lineRule="auto"/>
              <w:ind w:firstLine="0"/>
              <w:jc w:val="center"/>
            </w:pPr>
            <w:r>
              <w:rPr>
                <w:szCs w:val="24"/>
              </w:rPr>
              <w:t>–</w:t>
            </w:r>
          </w:p>
        </w:tc>
        <w:tc>
          <w:tcPr>
            <w:tcW w:w="879" w:type="dxa"/>
            <w:tcBorders>
              <w:top w:val="single" w:sz="4" w:space="0" w:color="000000"/>
              <w:left w:val="single" w:sz="4" w:space="0" w:color="000000"/>
              <w:bottom w:val="single" w:sz="4" w:space="0" w:color="000000"/>
            </w:tcBorders>
            <w:shd w:val="clear" w:color="auto" w:fill="auto"/>
          </w:tcPr>
          <w:p w14:paraId="30112DDD" w14:textId="77777777" w:rsidR="00F4012B" w:rsidRDefault="00F4012B" w:rsidP="00F4012B">
            <w:pPr>
              <w:spacing w:line="240" w:lineRule="auto"/>
              <w:ind w:firstLine="0"/>
              <w:jc w:val="center"/>
            </w:pPr>
            <w:r>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0112DDE" w14:textId="77777777" w:rsidR="00F4012B" w:rsidRDefault="00F4012B" w:rsidP="00F4012B">
            <w:pPr>
              <w:spacing w:line="240" w:lineRule="auto"/>
              <w:ind w:firstLine="0"/>
            </w:pPr>
            <w:r>
              <w:rPr>
                <w:szCs w:val="24"/>
              </w:rPr>
              <w:t>Назначение противовирусных препаратов во время терапии анти-CD20+ + год после окончания</w:t>
            </w:r>
          </w:p>
        </w:tc>
      </w:tr>
      <w:tr w:rsidR="00F4012B" w14:paraId="30112DE6" w14:textId="77777777" w:rsidTr="00F4012B">
        <w:tc>
          <w:tcPr>
            <w:tcW w:w="2922" w:type="dxa"/>
            <w:tcBorders>
              <w:top w:val="single" w:sz="4" w:space="0" w:color="000000"/>
              <w:left w:val="single" w:sz="4" w:space="0" w:color="000000"/>
              <w:bottom w:val="single" w:sz="4" w:space="0" w:color="000000"/>
            </w:tcBorders>
            <w:shd w:val="clear" w:color="auto" w:fill="auto"/>
          </w:tcPr>
          <w:p w14:paraId="30112DE0" w14:textId="77777777" w:rsidR="00F4012B" w:rsidRDefault="00F4012B" w:rsidP="00F4012B">
            <w:pPr>
              <w:spacing w:line="240" w:lineRule="auto"/>
              <w:ind w:firstLine="0"/>
            </w:pPr>
            <w:r>
              <w:rPr>
                <w:szCs w:val="24"/>
              </w:rPr>
              <w:t>Хронический гепатит B</w:t>
            </w:r>
          </w:p>
        </w:tc>
        <w:tc>
          <w:tcPr>
            <w:tcW w:w="730" w:type="dxa"/>
            <w:tcBorders>
              <w:top w:val="single" w:sz="4" w:space="0" w:color="000000"/>
              <w:left w:val="single" w:sz="4" w:space="0" w:color="000000"/>
              <w:bottom w:val="single" w:sz="4" w:space="0" w:color="000000"/>
            </w:tcBorders>
            <w:shd w:val="clear" w:color="auto" w:fill="auto"/>
          </w:tcPr>
          <w:p w14:paraId="30112DE1" w14:textId="77777777" w:rsidR="00F4012B" w:rsidRDefault="00F4012B" w:rsidP="00F4012B">
            <w:pPr>
              <w:spacing w:line="240" w:lineRule="auto"/>
              <w:ind w:firstLine="0"/>
              <w:jc w:val="center"/>
            </w:pPr>
            <w:r>
              <w:rPr>
                <w:szCs w:val="24"/>
              </w:rPr>
              <w:t>+</w:t>
            </w:r>
          </w:p>
        </w:tc>
        <w:tc>
          <w:tcPr>
            <w:tcW w:w="992" w:type="dxa"/>
            <w:tcBorders>
              <w:top w:val="single" w:sz="4" w:space="0" w:color="000000"/>
              <w:left w:val="single" w:sz="4" w:space="0" w:color="000000"/>
              <w:bottom w:val="single" w:sz="4" w:space="0" w:color="000000"/>
            </w:tcBorders>
            <w:shd w:val="clear" w:color="auto" w:fill="auto"/>
          </w:tcPr>
          <w:p w14:paraId="30112DE2" w14:textId="77777777" w:rsidR="00F4012B" w:rsidRDefault="00F4012B" w:rsidP="00F4012B">
            <w:pPr>
              <w:spacing w:line="240" w:lineRule="auto"/>
              <w:ind w:firstLine="0"/>
              <w:jc w:val="center"/>
            </w:pPr>
            <w:r>
              <w:rPr>
                <w:szCs w:val="24"/>
              </w:rPr>
              <w:t>*</w:t>
            </w:r>
          </w:p>
        </w:tc>
        <w:tc>
          <w:tcPr>
            <w:tcW w:w="880" w:type="dxa"/>
            <w:tcBorders>
              <w:top w:val="single" w:sz="4" w:space="0" w:color="000000"/>
              <w:left w:val="single" w:sz="4" w:space="0" w:color="000000"/>
              <w:bottom w:val="single" w:sz="4" w:space="0" w:color="000000"/>
            </w:tcBorders>
            <w:shd w:val="clear" w:color="auto" w:fill="auto"/>
          </w:tcPr>
          <w:p w14:paraId="30112DE3" w14:textId="77777777" w:rsidR="00F4012B" w:rsidRDefault="00F4012B" w:rsidP="00F4012B">
            <w:pPr>
              <w:spacing w:line="240" w:lineRule="auto"/>
              <w:ind w:firstLine="0"/>
              <w:jc w:val="center"/>
            </w:pPr>
            <w:r>
              <w:rPr>
                <w:szCs w:val="24"/>
              </w:rPr>
              <w:t>*</w:t>
            </w:r>
          </w:p>
        </w:tc>
        <w:tc>
          <w:tcPr>
            <w:tcW w:w="879" w:type="dxa"/>
            <w:tcBorders>
              <w:top w:val="single" w:sz="4" w:space="0" w:color="000000"/>
              <w:left w:val="single" w:sz="4" w:space="0" w:color="000000"/>
              <w:bottom w:val="single" w:sz="4" w:space="0" w:color="000000"/>
            </w:tcBorders>
            <w:shd w:val="clear" w:color="auto" w:fill="auto"/>
          </w:tcPr>
          <w:p w14:paraId="30112DE4" w14:textId="77777777" w:rsidR="00F4012B" w:rsidRDefault="00F4012B" w:rsidP="00F4012B">
            <w:pPr>
              <w:spacing w:line="240" w:lineRule="auto"/>
              <w:ind w:firstLine="0"/>
              <w:jc w:val="center"/>
            </w:pPr>
            <w:r>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0112DE5" w14:textId="77777777" w:rsidR="00F4012B" w:rsidRDefault="00F4012B" w:rsidP="00F4012B">
            <w:pPr>
              <w:spacing w:line="240" w:lineRule="auto"/>
              <w:ind w:firstLine="0"/>
            </w:pPr>
            <w:r>
              <w:rPr>
                <w:szCs w:val="24"/>
              </w:rPr>
              <w:t>Отказаться от анти-CD20 или противо</w:t>
            </w:r>
            <w:r>
              <w:rPr>
                <w:szCs w:val="24"/>
              </w:rPr>
              <w:softHyphen/>
              <w:t xml:space="preserve">вирусная терапия до терапии, весь период лечения + 1 год после окончания* </w:t>
            </w:r>
          </w:p>
        </w:tc>
      </w:tr>
    </w:tbl>
    <w:p w14:paraId="30112DE7" w14:textId="77777777" w:rsidR="00F4012B" w:rsidRPr="00FF534E" w:rsidRDefault="00F4012B" w:rsidP="00FF534E">
      <w:pPr>
        <w:pStyle w:val="afd"/>
        <w:spacing w:beforeAutospacing="0" w:afterAutospacing="0"/>
        <w:ind w:firstLine="0"/>
      </w:pPr>
      <w:r>
        <w:t>* При необходимости назначения анти-CD20 показан постоянный прием энтекавира** 0,5 мг/сут. Энтекавир** назначают на весь период лечения/поддерживающей терапии и не менее 1 года после завершения иммуносупрессивной терапии при неоднократных отрицательных результатах тестирования на ДНК вируса гепатита B в крови. Оптимальная продолжительность терапии энтекавиром** после завершения терапии ритуксимабом** не определена. Если пациенту с ЛМЗ специфическая терапия не показана, в профилактическом назначении энтекавира** нет необходимости. При развитии устойчивости к энтекавиру** показан переход на тенофовир**.</w:t>
      </w:r>
    </w:p>
    <w:p w14:paraId="30112DE8" w14:textId="3795606E" w:rsidR="00FF534E" w:rsidRDefault="00FF534E" w:rsidP="00FF534E">
      <w:pPr>
        <w:rPr>
          <w:rFonts w:eastAsia="Times New Roman" w:cs="Times New Roman"/>
          <w:b/>
          <w:szCs w:val="24"/>
          <w:lang w:eastAsia="ru-RU"/>
        </w:rPr>
      </w:pPr>
    </w:p>
    <w:p w14:paraId="21004612" w14:textId="6BAC8F5C" w:rsidR="0078466D" w:rsidRDefault="0078466D" w:rsidP="0078466D">
      <w:pPr>
        <w:pStyle w:val="2"/>
      </w:pPr>
      <w:bookmarkStart w:id="91" w:name="_Toc65108056"/>
      <w:r>
        <w:t xml:space="preserve">Приложение А3.3. </w:t>
      </w:r>
      <w:r w:rsidR="004801CE">
        <w:t>Указания по применению и сопроводительная терапия при введении ритуксимаба**</w:t>
      </w:r>
      <w:bookmarkEnd w:id="91"/>
    </w:p>
    <w:p w14:paraId="65BABC71" w14:textId="77777777" w:rsidR="004801CE" w:rsidRPr="00CB3251" w:rsidRDefault="004801CE" w:rsidP="004801CE">
      <w:pPr>
        <w:pStyle w:val="afe"/>
        <w:tabs>
          <w:tab w:val="left" w:pos="0"/>
        </w:tabs>
        <w:ind w:left="709"/>
        <w:rPr>
          <w:rFonts w:cs="Times New Roman"/>
          <w:i/>
          <w:color w:val="000000" w:themeColor="text1"/>
          <w:lang w:eastAsia="ru-RU"/>
        </w:rPr>
      </w:pPr>
      <w:r w:rsidRPr="00CB3251">
        <w:rPr>
          <w:rFonts w:cs="Times New Roman"/>
          <w:i/>
          <w:color w:val="000000" w:themeColor="text1"/>
          <w:lang w:eastAsia="ru-RU"/>
        </w:rPr>
        <w:t xml:space="preserve">Внутривенное применение: </w:t>
      </w:r>
    </w:p>
    <w:p w14:paraId="47DC388E" w14:textId="77777777" w:rsidR="004801CE" w:rsidRPr="00CB3251" w:rsidRDefault="004801CE" w:rsidP="004801CE">
      <w:pPr>
        <w:tabs>
          <w:tab w:val="left" w:pos="0"/>
        </w:tabs>
        <w:rPr>
          <w:rFonts w:cs="Times New Roman"/>
          <w:color w:val="000000" w:themeColor="text1"/>
          <w:lang w:eastAsia="ru-RU"/>
        </w:rPr>
      </w:pPr>
      <w:r w:rsidRPr="00CB3251">
        <w:rPr>
          <w:rFonts w:cs="Times New Roman"/>
          <w:color w:val="000000" w:themeColor="text1"/>
          <w:lang w:eastAsia="ru-RU"/>
        </w:rPr>
        <w:t>Стандартная дозировка препарата на разовое введение составляет 375 мг/м</w:t>
      </w:r>
      <w:r w:rsidRPr="00CB3251">
        <w:rPr>
          <w:rFonts w:cs="Times New Roman"/>
          <w:color w:val="000000" w:themeColor="text1"/>
          <w:vertAlign w:val="superscript"/>
          <w:lang w:eastAsia="ru-RU"/>
        </w:rPr>
        <w:t>2</w:t>
      </w:r>
      <w:r w:rsidRPr="00CB3251">
        <w:rPr>
          <w:rFonts w:cs="Times New Roman"/>
          <w:color w:val="000000" w:themeColor="text1"/>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667282F0" w14:textId="77777777" w:rsidR="004801CE" w:rsidRPr="00CB3251" w:rsidRDefault="004801CE" w:rsidP="004801CE">
      <w:pPr>
        <w:tabs>
          <w:tab w:val="left" w:pos="0"/>
        </w:tabs>
        <w:rPr>
          <w:rFonts w:cs="Times New Roman"/>
          <w:color w:val="000000" w:themeColor="text1"/>
          <w:lang w:eastAsia="ru-RU"/>
        </w:rPr>
      </w:pPr>
      <w:r w:rsidRPr="00CB3251">
        <w:rPr>
          <w:rFonts w:cs="Times New Roman"/>
          <w:color w:val="000000" w:themeColor="text1"/>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52162BD8" w14:textId="77777777" w:rsidR="004801CE" w:rsidRPr="00CB3251" w:rsidRDefault="004801CE" w:rsidP="004801CE">
      <w:pPr>
        <w:tabs>
          <w:tab w:val="left" w:pos="0"/>
        </w:tabs>
        <w:rPr>
          <w:rFonts w:cs="Times New Roman"/>
          <w:color w:val="000000" w:themeColor="text1"/>
          <w:szCs w:val="24"/>
        </w:rPr>
      </w:pPr>
      <w:r w:rsidRPr="00CB3251">
        <w:rPr>
          <w:rFonts w:cs="Times New Roman"/>
          <w:color w:val="000000" w:themeColor="text1"/>
          <w:lang w:eastAsia="ru-RU"/>
        </w:rPr>
        <w:t xml:space="preserve">Перед каждой инфузией ритуксимаба за 30-60 мин до введения необходимо проводить премедикацию (анальгетик/антипиретик, например парацетамол или </w:t>
      </w:r>
      <w:r w:rsidRPr="00CB3251">
        <w:rPr>
          <w:rFonts w:cs="Times New Roman"/>
          <w:color w:val="000000" w:themeColor="text1"/>
          <w:szCs w:val="24"/>
        </w:rPr>
        <w:t>кетопрофен</w:t>
      </w:r>
      <w:r w:rsidRPr="00CB3251">
        <w:rPr>
          <w:rFonts w:cs="Times New Roman"/>
          <w:color w:val="000000" w:themeColor="text1"/>
          <w:szCs w:val="24"/>
          <w:lang w:eastAsia="ru-RU"/>
        </w:rPr>
        <w:t>; антигистаминный препарат, например дифенгидрамин или клемастин;</w:t>
      </w:r>
      <w:r w:rsidRPr="00CB3251">
        <w:rPr>
          <w:rFonts w:cs="Times New Roman"/>
          <w:color w:val="000000" w:themeColor="text1"/>
          <w:lang w:eastAsia="ru-RU"/>
        </w:rPr>
        <w:t xml:space="preserve"> глюкокортикоид, например, дексаметазон).</w:t>
      </w:r>
      <w:r w:rsidRPr="00CB3251">
        <w:rPr>
          <w:color w:val="000000" w:themeColor="text1"/>
        </w:rPr>
        <w:t xml:space="preserve"> </w:t>
      </w:r>
      <w:r w:rsidRPr="00CB3251">
        <w:rPr>
          <w:rFonts w:cs="Times New Roman"/>
          <w:color w:val="000000" w:themeColor="text1"/>
          <w:szCs w:val="24"/>
        </w:rPr>
        <w:t xml:space="preserve">Стандартной премедикацией является введение кетопрофен 100 мг в/в капельно на 100 мл физ.раствора + </w:t>
      </w:r>
      <w:r w:rsidRPr="00CB3251">
        <w:rPr>
          <w:rFonts w:cs="Times New Roman"/>
          <w:color w:val="000000" w:themeColor="text1"/>
          <w:szCs w:val="24"/>
          <w:lang w:eastAsia="ru-RU"/>
        </w:rPr>
        <w:t>клемастин</w:t>
      </w:r>
      <w:r w:rsidRPr="00CB3251">
        <w:rPr>
          <w:rFonts w:cs="Times New Roman"/>
          <w:color w:val="000000" w:themeColor="text1"/>
          <w:szCs w:val="24"/>
        </w:rPr>
        <w:t xml:space="preserve"> 2 мг в/в капельно на 100 мл физ.раствора + дексаметазон 8 мг в/в капельно на 50 мл физ. раствора.</w:t>
      </w:r>
    </w:p>
    <w:p w14:paraId="379CE492" w14:textId="77777777" w:rsidR="004801CE" w:rsidRPr="00CB3251" w:rsidRDefault="004801CE" w:rsidP="004801CE">
      <w:pPr>
        <w:tabs>
          <w:tab w:val="left" w:pos="0"/>
        </w:tabs>
        <w:rPr>
          <w:rFonts w:cs="Times New Roman"/>
          <w:color w:val="000000" w:themeColor="text1"/>
          <w:szCs w:val="24"/>
        </w:rPr>
      </w:pPr>
      <w:r w:rsidRPr="00CB3251">
        <w:rPr>
          <w:rFonts w:cs="Times New Roman"/>
          <w:color w:val="000000" w:themeColor="text1"/>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CB3251">
        <w:rPr>
          <w:rStyle w:val="sokr"/>
          <w:rFonts w:cs="Times New Roman"/>
          <w:color w:val="000000" w:themeColor="text1"/>
          <w:szCs w:val="24"/>
        </w:rPr>
        <w:t>в т.ч.</w:t>
      </w:r>
      <w:r w:rsidRPr="00CB3251">
        <w:rPr>
          <w:rFonts w:cs="Times New Roman"/>
          <w:color w:val="000000" w:themeColor="text1"/>
          <w:szCs w:val="24"/>
        </w:rPr>
        <w:t xml:space="preserve"> </w:t>
      </w:r>
      <w:r w:rsidRPr="00CB3251">
        <w:rPr>
          <w:rStyle w:val="sokr"/>
          <w:rFonts w:cs="Times New Roman"/>
          <w:color w:val="000000" w:themeColor="text1"/>
          <w:szCs w:val="24"/>
        </w:rPr>
        <w:t>в/в</w:t>
      </w:r>
      <w:r w:rsidRPr="00CB3251">
        <w:rPr>
          <w:rFonts w:cs="Times New Roman"/>
          <w:color w:val="000000" w:themeColor="text1"/>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18F98C7C" w14:textId="77777777" w:rsidR="004801CE" w:rsidRPr="00CB3251" w:rsidRDefault="004801CE" w:rsidP="004801CE">
      <w:pPr>
        <w:tabs>
          <w:tab w:val="left" w:pos="0"/>
        </w:tabs>
        <w:rPr>
          <w:rFonts w:cs="Times New Roman"/>
          <w:color w:val="000000" w:themeColor="text1"/>
          <w:szCs w:val="24"/>
        </w:rPr>
      </w:pPr>
      <w:r w:rsidRPr="00CB3251">
        <w:rPr>
          <w:rFonts w:cs="Times New Roman"/>
          <w:color w:val="000000" w:themeColor="text1"/>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388F238D" w14:textId="77777777" w:rsidR="004801CE" w:rsidRPr="00CB3251" w:rsidRDefault="004801CE" w:rsidP="004801CE">
      <w:pPr>
        <w:pStyle w:val="afe"/>
        <w:tabs>
          <w:tab w:val="left" w:pos="0"/>
        </w:tabs>
        <w:ind w:left="709"/>
        <w:rPr>
          <w:rFonts w:cs="Times New Roman"/>
          <w:i/>
          <w:color w:val="000000" w:themeColor="text1"/>
          <w:lang w:eastAsia="ru-RU"/>
        </w:rPr>
      </w:pPr>
      <w:r w:rsidRPr="00CB3251">
        <w:rPr>
          <w:rFonts w:cs="Times New Roman"/>
          <w:i/>
          <w:color w:val="000000" w:themeColor="text1"/>
          <w:lang w:eastAsia="ru-RU"/>
        </w:rPr>
        <w:t>Подкожное применение</w:t>
      </w:r>
    </w:p>
    <w:p w14:paraId="66539C08" w14:textId="04CB0A26" w:rsidR="004801CE" w:rsidRPr="00CB3251" w:rsidRDefault="004801CE" w:rsidP="004801CE">
      <w:pPr>
        <w:tabs>
          <w:tab w:val="left" w:pos="0"/>
        </w:tabs>
        <w:rPr>
          <w:rFonts w:cs="Times New Roman"/>
          <w:color w:val="000000" w:themeColor="text1"/>
          <w:szCs w:val="24"/>
        </w:rPr>
      </w:pPr>
      <w:r w:rsidRPr="00CB3251">
        <w:rPr>
          <w:rFonts w:cs="Times New Roman"/>
          <w:color w:val="000000" w:themeColor="text1"/>
          <w:szCs w:val="24"/>
        </w:rPr>
        <w:t>Ритуксимаб в лекарственной форме «раствор для подкожного введения» в дозировке 1400мг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7B088958" w14:textId="1895D1BE" w:rsidR="004801CE" w:rsidRDefault="004801CE" w:rsidP="0078466D">
      <w:pPr>
        <w:pStyle w:val="2"/>
      </w:pPr>
    </w:p>
    <w:p w14:paraId="70B0A78D" w14:textId="0836D548" w:rsidR="00FE0F01" w:rsidRPr="00FE0F01" w:rsidRDefault="00350A7D" w:rsidP="00FE0F01">
      <w:pPr>
        <w:pStyle w:val="2"/>
      </w:pPr>
      <w:bookmarkStart w:id="92" w:name="_Toc65108057"/>
      <w:r>
        <w:t xml:space="preserve">Приложение А3.4. </w:t>
      </w:r>
      <w:bookmarkStart w:id="93" w:name="_Toc64477555"/>
      <w:r w:rsidR="00FE0F01" w:rsidRPr="002C6FFD">
        <w:rPr>
          <w:rFonts w:eastAsia="Arial Unicode MS"/>
        </w:rPr>
        <w:t>Протоколы выполнения аспирационного и биопсийного исследования костного мозга</w:t>
      </w:r>
      <w:bookmarkEnd w:id="92"/>
      <w:bookmarkEnd w:id="93"/>
    </w:p>
    <w:p w14:paraId="02ACEE49" w14:textId="77777777" w:rsidR="00FE0F01" w:rsidRPr="002C6FFD" w:rsidRDefault="00FE0F01" w:rsidP="00FE0F01">
      <w:pPr>
        <w:pStyle w:val="Normal11"/>
        <w:spacing w:before="0" w:line="360" w:lineRule="auto"/>
        <w:ind w:left="0" w:firstLine="699"/>
        <w:jc w:val="both"/>
        <w:rPr>
          <w:rFonts w:cs="Times New Roman"/>
          <w:spacing w:val="0"/>
        </w:rPr>
      </w:pPr>
      <w:r w:rsidRPr="002C6FFD">
        <w:rPr>
          <w:rFonts w:cs="Times New Roman"/>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3F3E13A0" w14:textId="77777777" w:rsidR="00FE0F01" w:rsidRPr="002C6FFD" w:rsidRDefault="00FE0F01" w:rsidP="00FE0F01">
      <w:pPr>
        <w:ind w:firstLine="699"/>
        <w:rPr>
          <w:rFonts w:cs="Times New Roman"/>
          <w:szCs w:val="24"/>
        </w:rPr>
      </w:pPr>
      <w:r w:rsidRPr="002C6FFD">
        <w:rPr>
          <w:rFonts w:cs="Times New Roman"/>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4B83C84E" w14:textId="77777777" w:rsidR="00FE0F01" w:rsidRPr="002C6FFD" w:rsidRDefault="00FE0F01" w:rsidP="00FE0F01">
      <w:pPr>
        <w:ind w:firstLine="699"/>
        <w:rPr>
          <w:rFonts w:cs="Times New Roman"/>
          <w:szCs w:val="24"/>
        </w:rPr>
      </w:pPr>
      <w:r w:rsidRPr="002C6FFD">
        <w:rPr>
          <w:rFonts w:cs="Times New Roman"/>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2C6FFD">
        <w:rPr>
          <w:rFonts w:cs="Times New Roman"/>
          <w:color w:val="212121"/>
          <w:szCs w:val="24"/>
        </w:rPr>
        <w:t xml:space="preserve">Трепанобиопсия костного мозга </w:t>
      </w:r>
      <w:r w:rsidRPr="002C6FFD">
        <w:rPr>
          <w:rFonts w:cs="Times New Roman"/>
          <w:szCs w:val="24"/>
        </w:rPr>
        <w:t xml:space="preserve">выполняется одноразовой или многоразовой стерелизуемой иглой Jamshidi или иглой сходной с ней конструкции. </w:t>
      </w:r>
    </w:p>
    <w:p w14:paraId="19A82763" w14:textId="77777777" w:rsidR="00FE0F01" w:rsidRDefault="00FE0F01" w:rsidP="00FE0F01">
      <w:pPr>
        <w:ind w:firstLine="699"/>
        <w:rPr>
          <w:rFonts w:cs="Times New Roman"/>
          <w:szCs w:val="24"/>
        </w:rPr>
      </w:pPr>
      <w:r w:rsidRPr="002C6FFD">
        <w:rPr>
          <w:rFonts w:cs="Times New Roman"/>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62FBCCA4" w14:textId="77777777" w:rsidR="00FE0F01" w:rsidRPr="002C6FFD" w:rsidRDefault="00FE0F01" w:rsidP="00FE0F01">
      <w:pPr>
        <w:ind w:firstLine="699"/>
        <w:rPr>
          <w:rFonts w:cs="Times New Roman"/>
          <w:szCs w:val="24"/>
        </w:rPr>
      </w:pPr>
    </w:p>
    <w:p w14:paraId="70E69AF3" w14:textId="3EBA850D" w:rsidR="00FE0F01" w:rsidRPr="00F30696" w:rsidRDefault="00FE0F01" w:rsidP="00FE0F01">
      <w:pPr>
        <w:rPr>
          <w:b/>
          <w:i/>
          <w:iCs/>
          <w:u w:val="single"/>
          <w:shd w:val="clear" w:color="auto" w:fill="FFFFFF"/>
        </w:rPr>
      </w:pPr>
      <w:r w:rsidRPr="00F30696">
        <w:rPr>
          <w:i/>
          <w:iCs/>
          <w:u w:val="single"/>
          <w:shd w:val="clear" w:color="auto" w:fill="FFFFFF"/>
        </w:rPr>
        <w:t xml:space="preserve">Показания к выполнению пункционного (аспирационного) исследования костного мозга </w:t>
      </w:r>
      <w:r w:rsidRPr="00F30696">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F30696">
        <w:rPr>
          <w:b/>
          <w:i/>
          <w:iCs/>
          <w:u w:val="single"/>
          <w:shd w:val="clear" w:color="auto" w:fill="FFFFFF"/>
        </w:rPr>
        <w:fldChar w:fldCharType="separate"/>
      </w:r>
      <w:r w:rsidRPr="00FE0F01">
        <w:rPr>
          <w:iCs/>
          <w:noProof/>
          <w:shd w:val="clear" w:color="auto" w:fill="FFFFFF"/>
        </w:rPr>
        <w:t>[75]</w:t>
      </w:r>
      <w:r w:rsidRPr="00F30696">
        <w:rPr>
          <w:b/>
          <w:i/>
          <w:iCs/>
          <w:u w:val="single"/>
          <w:shd w:val="clear" w:color="auto" w:fill="FFFFFF"/>
        </w:rPr>
        <w:fldChar w:fldCharType="end"/>
      </w:r>
      <w:r w:rsidRPr="00F30696">
        <w:rPr>
          <w:i/>
          <w:iCs/>
          <w:u w:val="single"/>
          <w:shd w:val="clear" w:color="auto" w:fill="FFFFFF"/>
        </w:rPr>
        <w:t xml:space="preserve"> </w:t>
      </w:r>
    </w:p>
    <w:p w14:paraId="59D34148"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гематологических заболеваний: острых и хронических лейкозов</w:t>
      </w:r>
      <w:r w:rsidRPr="002C6FFD">
        <w:rPr>
          <w:rFonts w:cs="Times New Roman"/>
          <w:spacing w:val="0"/>
        </w:rPr>
        <w:t xml:space="preserve">, </w:t>
      </w:r>
      <w:r w:rsidRPr="002C6FFD">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14:paraId="187C3B4E"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14:paraId="70FBD222"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14:paraId="07B96867"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2C6FFD">
        <w:rPr>
          <w:rFonts w:cs="Times New Roman"/>
          <w:spacing w:val="0"/>
          <w:shd w:val="clear" w:color="auto" w:fill="FFFFFF"/>
          <w:vertAlign w:val="subscript"/>
        </w:rPr>
        <w:t>12</w:t>
      </w:r>
      <w:r w:rsidRPr="002C6FFD">
        <w:rPr>
          <w:rFonts w:cs="Times New Roman"/>
          <w:spacing w:val="0"/>
          <w:shd w:val="clear" w:color="auto" w:fill="FFFFFF"/>
        </w:rPr>
        <w:t xml:space="preserve"> или фолиевая кислота).</w:t>
      </w:r>
    </w:p>
    <w:p w14:paraId="6EE6E93E"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2C6FFD">
        <w:rPr>
          <w:rFonts w:cs="Times New Roman"/>
          <w:color w:val="auto"/>
          <w:spacing w:val="0"/>
          <w:shd w:val="clear" w:color="auto" w:fill="FFFFFF"/>
        </w:rPr>
        <w:t>размеров</w:t>
      </w:r>
      <w:r w:rsidRPr="002C6FFD">
        <w:rPr>
          <w:rFonts w:cs="Times New Roman"/>
          <w:spacing w:val="0"/>
          <w:shd w:val="clear" w:color="auto" w:fill="FFFFFF"/>
        </w:rPr>
        <w:t xml:space="preserve"> селезенки и/или лимфоузлов или без их увеличения.</w:t>
      </w:r>
    </w:p>
    <w:p w14:paraId="2B8EE7B6"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различных заболеваний системы крови.</w:t>
      </w:r>
    </w:p>
    <w:p w14:paraId="245BF215"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восстановления гемопоэза после трансплантации гемопоэтический стволовых клеток (ТГСК).</w:t>
      </w:r>
    </w:p>
    <w:p w14:paraId="7662D59C"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2C6FFD">
        <w:rPr>
          <w:rFonts w:cs="Times New Roman"/>
          <w:spacing w:val="0"/>
        </w:rPr>
        <w:t xml:space="preserve">ВИЧ-инфекцией </w:t>
      </w:r>
      <w:r w:rsidRPr="002C6FFD">
        <w:rPr>
          <w:rFonts w:cs="Times New Roman"/>
          <w:spacing w:val="0"/>
          <w:shd w:val="clear" w:color="auto" w:fill="FFFFFF"/>
        </w:rPr>
        <w:t>и СПИДом.</w:t>
      </w:r>
    </w:p>
    <w:p w14:paraId="48A9B489"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болезней накопления и других метаболических заболеваний.</w:t>
      </w:r>
    </w:p>
    <w:p w14:paraId="317FD725"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14:paraId="106D6516"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14:paraId="4FCBAAC6" w14:textId="77777777" w:rsidR="00FE0F01" w:rsidRPr="002C6FFD" w:rsidRDefault="00FE0F01" w:rsidP="00FE0F01">
      <w:pPr>
        <w:rPr>
          <w:rFonts w:cs="Times New Roman"/>
          <w:szCs w:val="24"/>
        </w:rPr>
      </w:pPr>
      <w:r w:rsidRPr="002C6FFD">
        <w:rPr>
          <w:rFonts w:cs="Times New Roman"/>
          <w:szCs w:val="24"/>
        </w:rPr>
        <w:t>При невозможности получить при пункции костного мозга адекватный диагностический материал («сухой» аспират), после повторной попытки показано выполнение трепанобиопсии костного мозга с приготовление отпечатков трепанобиоптата.</w:t>
      </w:r>
    </w:p>
    <w:p w14:paraId="53634718" w14:textId="77777777" w:rsidR="00FE0F01" w:rsidRDefault="00FE0F01" w:rsidP="00FE0F01">
      <w:pPr>
        <w:pStyle w:val="2"/>
        <w:spacing w:before="0"/>
        <w:rPr>
          <w:rFonts w:eastAsia="Arial Unicode MS"/>
          <w:shd w:val="clear" w:color="auto" w:fill="FFFFFF"/>
        </w:rPr>
      </w:pPr>
    </w:p>
    <w:p w14:paraId="22AB4367" w14:textId="6D9C584B" w:rsidR="00FE0F01" w:rsidRPr="00F30696" w:rsidRDefault="00FE0F01" w:rsidP="00FE0F01">
      <w:pPr>
        <w:rPr>
          <w:b/>
          <w:i/>
          <w:iCs/>
          <w:u w:val="single"/>
          <w:shd w:val="clear" w:color="auto" w:fill="FFFFFF"/>
        </w:rPr>
      </w:pPr>
      <w:r w:rsidRPr="00F30696">
        <w:rPr>
          <w:i/>
          <w:iCs/>
          <w:u w:val="single"/>
          <w:shd w:val="clear" w:color="auto" w:fill="FFFFFF"/>
        </w:rPr>
        <w:t xml:space="preserve">Показания к выполнению биопсийного исследования костного мозга (трепанобиопсии) </w:t>
      </w:r>
      <w:r w:rsidRPr="00F30696">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F30696">
        <w:rPr>
          <w:b/>
          <w:i/>
          <w:iCs/>
          <w:u w:val="single"/>
          <w:shd w:val="clear" w:color="auto" w:fill="FFFFFF"/>
        </w:rPr>
        <w:fldChar w:fldCharType="separate"/>
      </w:r>
      <w:r w:rsidRPr="00FE0F01">
        <w:rPr>
          <w:iCs/>
          <w:noProof/>
          <w:shd w:val="clear" w:color="auto" w:fill="FFFFFF"/>
        </w:rPr>
        <w:t>[75]</w:t>
      </w:r>
      <w:r w:rsidRPr="00F30696">
        <w:rPr>
          <w:b/>
          <w:i/>
          <w:iCs/>
          <w:u w:val="single"/>
          <w:shd w:val="clear" w:color="auto" w:fill="FFFFFF"/>
        </w:rPr>
        <w:fldChar w:fldCharType="end"/>
      </w:r>
    </w:p>
    <w:p w14:paraId="1F459E89"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Диагностика и </w:t>
      </w:r>
      <w:r w:rsidRPr="002C6FFD">
        <w:rPr>
          <w:rFonts w:cs="Times New Roman"/>
          <w:spacing w:val="0"/>
        </w:rPr>
        <w:t>определение распространенности (стадии) при первичной диагностике и/или при рецидиве заболевания</w:t>
      </w:r>
      <w:r w:rsidRPr="002C6FFD">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2C6FFD">
        <w:rPr>
          <w:rFonts w:cs="Times New Roman"/>
          <w:spacing w:val="0"/>
        </w:rPr>
        <w:t xml:space="preserve">истинная полицитемия, эссенциальная тромбоцитемия, первичный миелофиброз, системный мастоцитоз;  </w:t>
      </w:r>
      <w:r w:rsidRPr="002C6FFD">
        <w:rPr>
          <w:rFonts w:cs="Times New Roman"/>
          <w:spacing w:val="0"/>
          <w:shd w:val="clear" w:color="auto" w:fill="FFFFFF"/>
        </w:rPr>
        <w:t>множественная миелома и прочие плазмоклеточноые неоплазии).</w:t>
      </w:r>
    </w:p>
    <w:p w14:paraId="4CDFB89F"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 оценка эффективности лечения апластической анемии,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14:paraId="3DBA9736" w14:textId="77777777" w:rsidR="00FE0F01" w:rsidRPr="002C6FFD" w:rsidRDefault="00FE0F01" w:rsidP="000768AC">
      <w:pPr>
        <w:pStyle w:val="bullet"/>
        <w:numPr>
          <w:ilvl w:val="0"/>
          <w:numId w:val="81"/>
        </w:numPr>
        <w:spacing w:line="360" w:lineRule="auto"/>
        <w:jc w:val="both"/>
        <w:rPr>
          <w:rFonts w:cs="Times New Roman"/>
          <w:spacing w:val="0"/>
        </w:rPr>
      </w:pPr>
      <w:r w:rsidRPr="002C6FFD">
        <w:rPr>
          <w:rFonts w:cs="Times New Roman"/>
          <w:spacing w:val="0"/>
        </w:rPr>
        <w:t>Диагностика, определение распространенности (стадии),</w:t>
      </w:r>
      <w:r w:rsidRPr="002C6FFD">
        <w:rPr>
          <w:rFonts w:cs="Times New Roman"/>
          <w:spacing w:val="0"/>
          <w:shd w:val="clear" w:color="auto" w:fill="FFFFFF"/>
        </w:rPr>
        <w:t xml:space="preserve"> оценка метастатического поражения</w:t>
      </w:r>
      <w:r w:rsidRPr="002C6FFD">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14:paraId="3A47B83A"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или оценки прогрессирования заболеваний системы крови.</w:t>
      </w:r>
    </w:p>
    <w:p w14:paraId="6C735917"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14:paraId="202DC743"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rPr>
        <w:t>Обследование больных с предполагаемым первичным амилоидозом и заболеваниями костной ткани.</w:t>
      </w:r>
    </w:p>
    <w:p w14:paraId="17420B37"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14:paraId="5BB50775"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14:paraId="4AEC0279"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14:paraId="5B27B62B" w14:textId="77777777" w:rsidR="00FE0F01" w:rsidRDefault="00FE0F01" w:rsidP="00FE0F01">
      <w:pPr>
        <w:pStyle w:val="2"/>
        <w:spacing w:before="0"/>
        <w:rPr>
          <w:rFonts w:eastAsia="Arial Unicode MS"/>
        </w:rPr>
      </w:pPr>
    </w:p>
    <w:p w14:paraId="1D848423" w14:textId="39005640" w:rsidR="00FE0F01" w:rsidRPr="00F30696" w:rsidRDefault="00FE0F01" w:rsidP="00FE0F01">
      <w:pPr>
        <w:rPr>
          <w:b/>
          <w:i/>
          <w:iCs/>
          <w:u w:val="single"/>
          <w:shd w:val="clear" w:color="auto" w:fill="FFFFFF"/>
        </w:rPr>
      </w:pPr>
      <w:r w:rsidRPr="00F30696">
        <w:rPr>
          <w:i/>
          <w:iCs/>
          <w:u w:val="single"/>
          <w:shd w:val="clear" w:color="auto" w:fill="FFFFFF"/>
        </w:rPr>
        <w:t xml:space="preserve">Противопоказания для выполнения биопсийного исследования костного мозга </w:t>
      </w:r>
      <w:r w:rsidRPr="00F30696">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F30696">
        <w:rPr>
          <w:b/>
          <w:i/>
          <w:iCs/>
          <w:u w:val="single"/>
          <w:shd w:val="clear" w:color="auto" w:fill="FFFFFF"/>
        </w:rPr>
        <w:fldChar w:fldCharType="separate"/>
      </w:r>
      <w:r w:rsidRPr="00FE0F01">
        <w:rPr>
          <w:iCs/>
          <w:noProof/>
          <w:shd w:val="clear" w:color="auto" w:fill="FFFFFF"/>
        </w:rPr>
        <w:t>[75]</w:t>
      </w:r>
      <w:r w:rsidRPr="00F30696">
        <w:rPr>
          <w:b/>
          <w:i/>
          <w:iCs/>
          <w:u w:val="single"/>
          <w:shd w:val="clear" w:color="auto" w:fill="FFFFFF"/>
        </w:rPr>
        <w:fldChar w:fldCharType="end"/>
      </w:r>
    </w:p>
    <w:p w14:paraId="7FCDF77F" w14:textId="77777777" w:rsidR="00FE0F01" w:rsidRPr="002C6FFD" w:rsidRDefault="00FE0F01" w:rsidP="00FE0F01">
      <w:pPr>
        <w:pStyle w:val="Normal11"/>
        <w:spacing w:before="0" w:line="360" w:lineRule="auto"/>
        <w:ind w:firstLine="699"/>
        <w:jc w:val="both"/>
        <w:rPr>
          <w:rFonts w:cs="Times New Roman"/>
          <w:spacing w:val="0"/>
        </w:rPr>
      </w:pPr>
      <w:r w:rsidRPr="002C6FFD">
        <w:rPr>
          <w:rFonts w:cs="Times New Roman"/>
          <w:spacing w:val="0"/>
        </w:rPr>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1B9CB99A" w14:textId="77777777" w:rsidR="00FE0F01" w:rsidRPr="002C6FFD" w:rsidRDefault="00FE0F01" w:rsidP="000768AC">
      <w:pPr>
        <w:pStyle w:val="bullet"/>
        <w:numPr>
          <w:ilvl w:val="0"/>
          <w:numId w:val="81"/>
        </w:numPr>
        <w:spacing w:line="360" w:lineRule="auto"/>
        <w:jc w:val="both"/>
        <w:rPr>
          <w:rFonts w:cs="Times New Roman"/>
          <w:spacing w:val="0"/>
        </w:rPr>
      </w:pPr>
      <w:r w:rsidRPr="002C6FFD">
        <w:rPr>
          <w:rFonts w:cs="Times New Roman"/>
          <w:spacing w:val="0"/>
        </w:rPr>
        <w:t>Раневая поверхность кожи и подлежащих тканей с признаками воспаления в месте проведения процедуры.</w:t>
      </w:r>
    </w:p>
    <w:p w14:paraId="6689032A" w14:textId="77777777" w:rsidR="00FE0F01" w:rsidRPr="002C6FFD" w:rsidRDefault="00FE0F01" w:rsidP="000768AC">
      <w:pPr>
        <w:pStyle w:val="bullet"/>
        <w:numPr>
          <w:ilvl w:val="0"/>
          <w:numId w:val="81"/>
        </w:numPr>
        <w:spacing w:line="360" w:lineRule="auto"/>
        <w:jc w:val="both"/>
        <w:rPr>
          <w:rFonts w:cs="Times New Roman"/>
          <w:spacing w:val="0"/>
        </w:rPr>
      </w:pPr>
      <w:r w:rsidRPr="002C6FFD">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314B4145"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2F13B3D5"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 xml:space="preserve">Наличие признаков резорбции кости </w:t>
      </w:r>
      <w:r w:rsidRPr="002C6FFD">
        <w:rPr>
          <w:rFonts w:cs="Times New Roman"/>
          <w:spacing w:val="0"/>
        </w:rPr>
        <w:t>в месте проведения процедуры</w:t>
      </w:r>
      <w:r w:rsidRPr="002C6FFD">
        <w:rPr>
          <w:rFonts w:cs="Times New Roman"/>
          <w:spacing w:val="0"/>
          <w:shd w:val="clear" w:color="auto" w:fill="FFFFFF"/>
        </w:rPr>
        <w:t>.</w:t>
      </w:r>
    </w:p>
    <w:p w14:paraId="21E6BBF6" w14:textId="77777777" w:rsidR="00FE0F01" w:rsidRPr="002C6FFD" w:rsidRDefault="00FE0F01" w:rsidP="00FE0F01">
      <w:pPr>
        <w:pStyle w:val="bullet"/>
        <w:spacing w:line="360" w:lineRule="auto"/>
        <w:ind w:firstLine="709"/>
        <w:jc w:val="both"/>
        <w:rPr>
          <w:rFonts w:cs="Times New Roman"/>
          <w:spacing w:val="0"/>
          <w:shd w:val="clear" w:color="auto" w:fill="FFFFFF"/>
        </w:rPr>
      </w:pPr>
      <w:r w:rsidRPr="002C6FFD">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2BC58E15" w14:textId="77777777" w:rsidR="00FE0F01" w:rsidRDefault="00FE0F01" w:rsidP="00FE0F01">
      <w:pPr>
        <w:pStyle w:val="2"/>
        <w:spacing w:before="0"/>
        <w:rPr>
          <w:rFonts w:eastAsia="Arial Unicode MS"/>
        </w:rPr>
      </w:pPr>
    </w:p>
    <w:p w14:paraId="54E87A91" w14:textId="21B3DB7D" w:rsidR="00FE0F01" w:rsidRPr="00F30696" w:rsidRDefault="00FE0F01" w:rsidP="00FE0F01">
      <w:pPr>
        <w:rPr>
          <w:b/>
          <w:i/>
          <w:iCs/>
          <w:u w:val="single"/>
          <w:shd w:val="clear" w:color="auto" w:fill="FFFFFF"/>
        </w:rPr>
      </w:pPr>
      <w:r w:rsidRPr="00F30696">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F30696">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F30696">
        <w:rPr>
          <w:b/>
          <w:i/>
          <w:iCs/>
          <w:u w:val="single"/>
          <w:shd w:val="clear" w:color="auto" w:fill="FFFFFF"/>
        </w:rPr>
        <w:fldChar w:fldCharType="separate"/>
      </w:r>
      <w:r w:rsidRPr="00FE0F01">
        <w:rPr>
          <w:iCs/>
          <w:noProof/>
          <w:shd w:val="clear" w:color="auto" w:fill="FFFFFF"/>
        </w:rPr>
        <w:t>[75]</w:t>
      </w:r>
      <w:r w:rsidRPr="00F30696">
        <w:rPr>
          <w:b/>
          <w:i/>
          <w:iCs/>
          <w:u w:val="single"/>
          <w:shd w:val="clear" w:color="auto" w:fill="FFFFFF"/>
        </w:rPr>
        <w:fldChar w:fldCharType="end"/>
      </w:r>
    </w:p>
    <w:p w14:paraId="75B2FCB1"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Плохое качество инструментария.</w:t>
      </w:r>
    </w:p>
    <w:p w14:paraId="6E950158"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14:paraId="65616E4C"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Остеопороз.</w:t>
      </w:r>
    </w:p>
    <w:p w14:paraId="65D15803"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Фиброз стромы.</w:t>
      </w:r>
    </w:p>
    <w:p w14:paraId="2B2A5557" w14:textId="77777777" w:rsidR="00FE0F01" w:rsidRDefault="00FE0F01" w:rsidP="00FE0F01">
      <w:pPr>
        <w:pStyle w:val="2"/>
        <w:spacing w:before="0"/>
        <w:rPr>
          <w:rFonts w:eastAsia="Arial Unicode MS"/>
        </w:rPr>
      </w:pPr>
    </w:p>
    <w:p w14:paraId="1218B3D0" w14:textId="2CD42796" w:rsidR="00FE0F01" w:rsidRPr="00F30696" w:rsidRDefault="00FE0F01" w:rsidP="00FE0F01">
      <w:pPr>
        <w:rPr>
          <w:b/>
          <w:i/>
          <w:iCs/>
          <w:u w:val="single"/>
          <w:shd w:val="clear" w:color="auto" w:fill="FFFFFF"/>
        </w:rPr>
      </w:pPr>
      <w:r w:rsidRPr="00F30696">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F30696">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F30696">
        <w:rPr>
          <w:b/>
          <w:i/>
          <w:iCs/>
          <w:u w:val="single"/>
          <w:shd w:val="clear" w:color="auto" w:fill="FFFFFF"/>
        </w:rPr>
        <w:fldChar w:fldCharType="separate"/>
      </w:r>
      <w:r w:rsidRPr="00FE0F01">
        <w:rPr>
          <w:iCs/>
          <w:noProof/>
          <w:shd w:val="clear" w:color="auto" w:fill="FFFFFF"/>
        </w:rPr>
        <w:t>[75]</w:t>
      </w:r>
      <w:r w:rsidRPr="00F30696">
        <w:rPr>
          <w:b/>
          <w:i/>
          <w:iCs/>
          <w:u w:val="single"/>
          <w:shd w:val="clear" w:color="auto" w:fill="FFFFFF"/>
        </w:rPr>
        <w:fldChar w:fldCharType="end"/>
      </w:r>
    </w:p>
    <w:p w14:paraId="58B6F7CC"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14:paraId="7E4D20A7"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Инфекция, особенно в условиях иммунодефицита и нейтропении.</w:t>
      </w:r>
    </w:p>
    <w:p w14:paraId="6FEA94CF"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Длительный болевой синдром и дискомфорт в месте биопсии.</w:t>
      </w:r>
    </w:p>
    <w:p w14:paraId="155BCA01"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Переломы кости.</w:t>
      </w:r>
    </w:p>
    <w:p w14:paraId="7D614520"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Поломка инструмента.</w:t>
      </w:r>
    </w:p>
    <w:p w14:paraId="17A5E8BE"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Сквозное ранение органов средостения при выполнение стернальной пункции.</w:t>
      </w:r>
    </w:p>
    <w:p w14:paraId="52DE8E46" w14:textId="77777777" w:rsidR="00FE0F01" w:rsidRPr="002C6FFD" w:rsidRDefault="00FE0F01" w:rsidP="000768AC">
      <w:pPr>
        <w:pStyle w:val="bullet"/>
        <w:numPr>
          <w:ilvl w:val="0"/>
          <w:numId w:val="81"/>
        </w:numPr>
        <w:spacing w:line="360" w:lineRule="auto"/>
        <w:jc w:val="both"/>
        <w:rPr>
          <w:rFonts w:cs="Times New Roman"/>
          <w:spacing w:val="0"/>
          <w:shd w:val="clear" w:color="auto" w:fill="FFFFFF"/>
        </w:rPr>
      </w:pPr>
      <w:r w:rsidRPr="002C6FFD">
        <w:rPr>
          <w:rFonts w:cs="Times New Roman"/>
          <w:spacing w:val="0"/>
          <w:shd w:val="clear" w:color="auto" w:fill="FFFFFF"/>
        </w:rPr>
        <w:t>Анафилактические реакции (на анестетики).</w:t>
      </w:r>
    </w:p>
    <w:p w14:paraId="3F04F7AF" w14:textId="77777777" w:rsidR="00FE0F01" w:rsidRPr="002C6FFD" w:rsidRDefault="00FE0F01" w:rsidP="00FE0F01">
      <w:pPr>
        <w:ind w:firstLine="708"/>
        <w:rPr>
          <w:rFonts w:cs="Times New Roman"/>
          <w:szCs w:val="24"/>
        </w:rPr>
      </w:pPr>
    </w:p>
    <w:p w14:paraId="3C9ECFC3" w14:textId="77777777" w:rsidR="00FE0F01" w:rsidRPr="002C6FFD" w:rsidRDefault="00FE0F01" w:rsidP="00FE0F01">
      <w:pPr>
        <w:ind w:firstLine="708"/>
        <w:rPr>
          <w:rFonts w:cs="Times New Roman"/>
          <w:szCs w:val="24"/>
        </w:rPr>
      </w:pPr>
      <w:r w:rsidRPr="002C6FFD">
        <w:rPr>
          <w:rFonts w:cs="Times New Roman"/>
          <w:szCs w:val="24"/>
        </w:rPr>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339547DA" w14:textId="77777777" w:rsidR="00FE0F01" w:rsidRPr="002C6FFD" w:rsidRDefault="00FE0F01" w:rsidP="00FE0F01">
      <w:pPr>
        <w:ind w:firstLine="708"/>
        <w:rPr>
          <w:rFonts w:cs="Times New Roman"/>
          <w:color w:val="1A1718"/>
          <w:szCs w:val="24"/>
        </w:rPr>
      </w:pPr>
      <w:r w:rsidRPr="002C6FFD">
        <w:rPr>
          <w:rFonts w:cs="Times New Roman"/>
          <w:color w:val="212121"/>
          <w:szCs w:val="24"/>
        </w:rPr>
        <w:t xml:space="preserve">Ряд осложнений может быть обусловлен некоторыми анатомическими особенностями больного. </w:t>
      </w:r>
      <w:r w:rsidRPr="002C6FFD">
        <w:rPr>
          <w:rFonts w:cs="Times New Roman"/>
          <w:szCs w:val="24"/>
        </w:rPr>
        <w:t>Так у больных с ожирением выше вероятность развития осложнений, т</w:t>
      </w:r>
      <w:r w:rsidRPr="002C6FFD">
        <w:rPr>
          <w:rFonts w:cs="Times New Roman"/>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2C6FFD">
        <w:rPr>
          <w:rFonts w:cs="Times New Roman"/>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2C6FFD">
        <w:rPr>
          <w:rFonts w:cs="Times New Roman"/>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00F25223" w14:textId="77777777" w:rsidR="00FE0F01" w:rsidRPr="002C6FFD" w:rsidRDefault="00FE0F01" w:rsidP="00FE0F01">
      <w:pPr>
        <w:ind w:firstLine="708"/>
        <w:rPr>
          <w:rFonts w:cs="Times New Roman"/>
          <w:color w:val="000000"/>
          <w:szCs w:val="24"/>
        </w:rPr>
      </w:pPr>
      <w:r w:rsidRPr="002C6FFD">
        <w:rPr>
          <w:rFonts w:cs="Times New Roman"/>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гематологом. </w:t>
      </w:r>
    </w:p>
    <w:p w14:paraId="6B45B751" w14:textId="77777777" w:rsidR="00FE0F01" w:rsidRDefault="00FE0F01" w:rsidP="00FE0F01">
      <w:pPr>
        <w:pStyle w:val="2"/>
        <w:spacing w:before="0"/>
        <w:rPr>
          <w:rFonts w:eastAsia="Arial Unicode MS"/>
        </w:rPr>
      </w:pPr>
    </w:p>
    <w:p w14:paraId="6C969DE1" w14:textId="77777777" w:rsidR="00FE0F01" w:rsidRPr="00F30696" w:rsidRDefault="00FE0F01" w:rsidP="00FE0F01">
      <w:pPr>
        <w:rPr>
          <w:b/>
          <w:i/>
          <w:iCs/>
          <w:u w:val="single"/>
          <w:shd w:val="clear" w:color="auto" w:fill="FFFFFF"/>
        </w:rPr>
      </w:pPr>
      <w:r w:rsidRPr="00F30696">
        <w:rPr>
          <w:i/>
          <w:iCs/>
          <w:u w:val="single"/>
          <w:shd w:val="clear" w:color="auto" w:fill="FFFFFF"/>
        </w:rPr>
        <w:t>Односторонняя и двусторонняя биопсия подвздошной кости</w:t>
      </w:r>
    </w:p>
    <w:p w14:paraId="6933A511" w14:textId="1E38586B" w:rsidR="00FE0F01" w:rsidRPr="002C6FFD" w:rsidRDefault="00FE0F01" w:rsidP="00FE0F01">
      <w:pPr>
        <w:pStyle w:val="Normal11"/>
        <w:spacing w:before="0" w:line="360" w:lineRule="auto"/>
        <w:ind w:left="0" w:firstLine="699"/>
        <w:jc w:val="both"/>
        <w:rPr>
          <w:rFonts w:cs="Times New Roman"/>
          <w:spacing w:val="0"/>
        </w:rPr>
      </w:pPr>
      <w:r w:rsidRPr="002C6FFD">
        <w:rPr>
          <w:rFonts w:cs="Times New Roman"/>
          <w:spacing w:val="0"/>
        </w:rPr>
        <w:t>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w:t>
      </w:r>
      <w:r>
        <w:rPr>
          <w:rFonts w:cs="Times New Roman"/>
          <w:spacing w:val="0"/>
        </w:rPr>
        <w:t xml:space="preserve"> </w:t>
      </w:r>
      <w:r>
        <w:rPr>
          <w:rFonts w:cs="Times New Roman"/>
          <w:spacing w:val="0"/>
        </w:rPr>
        <w:fldChar w:fldCharType="begin" w:fldLock="1"/>
      </w:r>
      <w:r w:rsidR="00647057">
        <w:rPr>
          <w:rFonts w:cs="Times New Roman"/>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[76]","plainTextFormattedCitation":"[76]","previouslyFormattedCitation":"[76]"},"properties":{"noteIndex":0},"schema":"https://github.com/citation-style-language/schema/raw/master/csl-citation.json"}</w:instrText>
      </w:r>
      <w:r>
        <w:rPr>
          <w:rFonts w:cs="Times New Roman"/>
          <w:spacing w:val="0"/>
        </w:rPr>
        <w:fldChar w:fldCharType="separate"/>
      </w:r>
      <w:r w:rsidRPr="00FE0F01">
        <w:rPr>
          <w:rFonts w:cs="Times New Roman"/>
          <w:noProof/>
          <w:spacing w:val="0"/>
        </w:rPr>
        <w:t>[76]</w:t>
      </w:r>
      <w:r>
        <w:rPr>
          <w:rFonts w:cs="Times New Roman"/>
          <w:spacing w:val="0"/>
        </w:rPr>
        <w:fldChar w:fldCharType="end"/>
      </w:r>
      <w:r w:rsidRPr="002C6FFD">
        <w:rPr>
          <w:rFonts w:cs="Times New Roman"/>
          <w:spacing w:val="0"/>
        </w:rPr>
        <w:t xml:space="preserve">. </w:t>
      </w:r>
    </w:p>
    <w:p w14:paraId="7D505F67" w14:textId="77777777" w:rsidR="00FE0F01" w:rsidRPr="002C6FFD" w:rsidRDefault="00FE0F01" w:rsidP="00FE0F01">
      <w:pPr>
        <w:pStyle w:val="Normal11"/>
        <w:spacing w:before="0" w:line="360" w:lineRule="auto"/>
        <w:ind w:left="0" w:firstLine="699"/>
        <w:jc w:val="both"/>
        <w:rPr>
          <w:rFonts w:cs="Times New Roman"/>
          <w:spacing w:val="0"/>
        </w:rPr>
      </w:pPr>
      <w:r w:rsidRPr="002C6FFD">
        <w:rPr>
          <w:rFonts w:cs="Times New Roman"/>
          <w:spacing w:val="0"/>
        </w:rPr>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0F68F7A5" w14:textId="77777777" w:rsidR="00FE0F01" w:rsidRPr="002C6FFD" w:rsidRDefault="00FE0F01" w:rsidP="00FE0F01">
      <w:pPr>
        <w:ind w:firstLine="699"/>
        <w:rPr>
          <w:rFonts w:cs="Times New Roman"/>
          <w:szCs w:val="24"/>
        </w:rPr>
      </w:pPr>
      <w:r w:rsidRPr="002C6FFD">
        <w:rPr>
          <w:rFonts w:cs="Times New Roman"/>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48F126EB" w14:textId="77777777" w:rsidR="00FE0F01" w:rsidRDefault="00FE0F01" w:rsidP="00FE0F01">
      <w:pPr>
        <w:pStyle w:val="2"/>
        <w:spacing w:before="0"/>
        <w:rPr>
          <w:rFonts w:eastAsia="Arial Unicode MS"/>
        </w:rPr>
      </w:pPr>
    </w:p>
    <w:p w14:paraId="666EE521" w14:textId="77777777" w:rsidR="00FE0F01" w:rsidRPr="008E213C" w:rsidRDefault="00FE0F01" w:rsidP="00FE0F01">
      <w:pPr>
        <w:rPr>
          <w:b/>
          <w:i/>
          <w:iCs/>
          <w:u w:val="single"/>
          <w:shd w:val="clear" w:color="auto" w:fill="FFFFFF"/>
        </w:rPr>
      </w:pPr>
      <w:r w:rsidRPr="008E213C">
        <w:rPr>
          <w:i/>
          <w:iCs/>
          <w:u w:val="single"/>
          <w:shd w:val="clear" w:color="auto" w:fill="FFFFFF"/>
        </w:rPr>
        <w:t>Необходимая документация</w:t>
      </w:r>
    </w:p>
    <w:p w14:paraId="47590212" w14:textId="77777777" w:rsidR="00FE0F01" w:rsidRPr="002C6FFD" w:rsidRDefault="00FE0F01" w:rsidP="00FE0F01">
      <w:pPr>
        <w:pStyle w:val="Normal11"/>
        <w:spacing w:before="0" w:line="360" w:lineRule="auto"/>
        <w:ind w:firstLine="699"/>
        <w:jc w:val="both"/>
        <w:rPr>
          <w:rFonts w:cs="Times New Roman"/>
          <w:color w:val="212121"/>
          <w:spacing w:val="0"/>
        </w:rPr>
      </w:pPr>
      <w:r w:rsidRPr="002C6FFD">
        <w:rPr>
          <w:rFonts w:cs="Times New Roman"/>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2C6FFD">
        <w:rPr>
          <w:rFonts w:cs="Times New Roman"/>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2C6FFD">
        <w:rPr>
          <w:rFonts w:cs="Times New Roman"/>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2C6FFD">
        <w:rPr>
          <w:rFonts w:cs="Times New Roman"/>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2C6FFD">
        <w:rPr>
          <w:rFonts w:cs="Times New Roman"/>
          <w:spacing w:val="0"/>
        </w:rPr>
        <w:t xml:space="preserve">локуса </w:t>
      </w:r>
      <w:r w:rsidRPr="002C6FFD">
        <w:rPr>
          <w:rFonts w:cs="Times New Roman"/>
          <w:color w:val="212121"/>
          <w:spacing w:val="0"/>
        </w:rPr>
        <w:t>биопсийного исследования и возникших осложнений процедуры.</w:t>
      </w:r>
    </w:p>
    <w:p w14:paraId="3CB159A3" w14:textId="77777777" w:rsidR="00FE0F01" w:rsidRDefault="00FE0F01" w:rsidP="00FE0F01">
      <w:pPr>
        <w:pStyle w:val="2"/>
        <w:spacing w:before="0"/>
        <w:rPr>
          <w:rFonts w:eastAsia="Arial Unicode MS"/>
        </w:rPr>
      </w:pPr>
    </w:p>
    <w:p w14:paraId="7AC887AC" w14:textId="02C4326D" w:rsidR="00FE0F01" w:rsidRPr="008E213C" w:rsidRDefault="00FE0F01" w:rsidP="00FE0F01">
      <w:pPr>
        <w:rPr>
          <w:b/>
          <w:i/>
          <w:iCs/>
          <w:u w:val="single"/>
          <w:shd w:val="clear" w:color="auto" w:fill="FFFFFF"/>
        </w:rPr>
      </w:pPr>
      <w:r w:rsidRPr="008E213C">
        <w:rPr>
          <w:i/>
          <w:iCs/>
          <w:u w:val="single"/>
          <w:shd w:val="clear" w:color="auto" w:fill="FFFFFF"/>
        </w:rPr>
        <w:t xml:space="preserve">Техника выполнения пункции (аспирации) костного мозга из грудины (стернальной пункции) </w:t>
      </w:r>
      <w:r w:rsidRPr="008E213C">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8E213C">
        <w:rPr>
          <w:b/>
          <w:i/>
          <w:iCs/>
          <w:u w:val="single"/>
          <w:shd w:val="clear" w:color="auto" w:fill="FFFFFF"/>
        </w:rPr>
        <w:fldChar w:fldCharType="separate"/>
      </w:r>
      <w:r w:rsidRPr="00FE0F01">
        <w:rPr>
          <w:iCs/>
          <w:noProof/>
          <w:shd w:val="clear" w:color="auto" w:fill="FFFFFF"/>
        </w:rPr>
        <w:t>[75]</w:t>
      </w:r>
      <w:r w:rsidRPr="008E213C">
        <w:rPr>
          <w:b/>
          <w:i/>
          <w:iCs/>
          <w:u w:val="single"/>
          <w:shd w:val="clear" w:color="auto" w:fill="FFFFFF"/>
        </w:rPr>
        <w:fldChar w:fldCharType="end"/>
      </w:r>
    </w:p>
    <w:p w14:paraId="7A09B9EE" w14:textId="77777777" w:rsidR="00FE0F01" w:rsidRPr="002C6FFD" w:rsidRDefault="00FE0F01" w:rsidP="000768AC">
      <w:pPr>
        <w:pStyle w:val="Number1"/>
        <w:numPr>
          <w:ilvl w:val="0"/>
          <w:numId w:val="83"/>
        </w:numPr>
        <w:spacing w:before="0" w:line="360" w:lineRule="auto"/>
        <w:jc w:val="both"/>
        <w:rPr>
          <w:rFonts w:cs="Times New Roman"/>
          <w:spacing w:val="0"/>
        </w:rPr>
      </w:pPr>
      <w:r w:rsidRPr="002C6FFD">
        <w:rPr>
          <w:rFonts w:cs="Times New Roman"/>
          <w:spacing w:val="0"/>
          <w:shd w:val="clear" w:color="auto" w:fill="FFFFFF"/>
        </w:rPr>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14:paraId="622EE7C1" w14:textId="77777777" w:rsidR="00FE0F01" w:rsidRPr="002C6FFD" w:rsidRDefault="00FE0F01" w:rsidP="000768AC">
      <w:pPr>
        <w:pStyle w:val="Number1"/>
        <w:numPr>
          <w:ilvl w:val="0"/>
          <w:numId w:val="83"/>
        </w:numPr>
        <w:spacing w:before="0" w:line="360" w:lineRule="auto"/>
        <w:jc w:val="both"/>
        <w:rPr>
          <w:rFonts w:cs="Times New Roman"/>
          <w:spacing w:val="0"/>
        </w:rPr>
      </w:pPr>
      <w:r w:rsidRPr="002C6FFD">
        <w:rPr>
          <w:rFonts w:cs="Times New Roman"/>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3C7DC08A" w14:textId="77777777" w:rsidR="00FE0F01" w:rsidRPr="002C6FFD" w:rsidRDefault="00FE0F01" w:rsidP="000768AC">
      <w:pPr>
        <w:pStyle w:val="Number1"/>
        <w:numPr>
          <w:ilvl w:val="0"/>
          <w:numId w:val="83"/>
        </w:numPr>
        <w:spacing w:before="0" w:line="360" w:lineRule="auto"/>
        <w:jc w:val="both"/>
        <w:rPr>
          <w:rFonts w:cs="Times New Roman"/>
          <w:spacing w:val="0"/>
        </w:rPr>
      </w:pPr>
      <w:r w:rsidRPr="002C6FFD">
        <w:rPr>
          <w:rFonts w:cs="Times New Roman"/>
          <w:spacing w:val="0"/>
        </w:rPr>
        <w:t xml:space="preserve">Аспирация костного мозга может выполняться из </w:t>
      </w:r>
      <w:r w:rsidRPr="002C6FFD">
        <w:rPr>
          <w:rFonts w:cs="Times New Roman"/>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2C6FFD">
        <w:rPr>
          <w:rFonts w:cs="Times New Roman"/>
          <w:spacing w:val="0"/>
        </w:rPr>
        <w:t>по методу Аринкина</w:t>
      </w:r>
      <w:r w:rsidRPr="002C6FFD">
        <w:rPr>
          <w:rFonts w:cs="Times New Roman"/>
          <w:spacing w:val="0"/>
          <w:shd w:val="clear" w:color="auto" w:fill="FFFFFF"/>
        </w:rPr>
        <w:t>), или из гребня подвздошной кости</w:t>
      </w:r>
      <w:r w:rsidRPr="002C6FFD">
        <w:rPr>
          <w:rFonts w:cs="Times New Roman"/>
          <w:spacing w:val="0"/>
        </w:rPr>
        <w:t xml:space="preserve">. </w:t>
      </w:r>
    </w:p>
    <w:p w14:paraId="3F50376A" w14:textId="77777777" w:rsidR="00FE0F01" w:rsidRPr="002C6FFD" w:rsidRDefault="00FE0F01" w:rsidP="000768AC">
      <w:pPr>
        <w:pStyle w:val="Number1"/>
        <w:numPr>
          <w:ilvl w:val="0"/>
          <w:numId w:val="83"/>
        </w:numPr>
        <w:spacing w:before="0" w:line="360" w:lineRule="auto"/>
        <w:jc w:val="both"/>
        <w:rPr>
          <w:rFonts w:cs="Times New Roman"/>
          <w:color w:val="212121"/>
          <w:spacing w:val="0"/>
        </w:rPr>
      </w:pPr>
      <w:r w:rsidRPr="002C6FFD">
        <w:rPr>
          <w:rFonts w:cs="Times New Roman"/>
          <w:spacing w:val="0"/>
        </w:rPr>
        <w:t>При выполнении стернальной пункции (по методу Аринкина) больного укладывают на манипуляционный стол на спину.</w:t>
      </w:r>
      <w:r w:rsidRPr="002C6FFD">
        <w:rPr>
          <w:rFonts w:cs="Times New Roman"/>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14:paraId="036AA9B7" w14:textId="77777777" w:rsidR="00FE0F01" w:rsidRPr="002C6FFD" w:rsidRDefault="00FE0F01" w:rsidP="000768AC">
      <w:pPr>
        <w:pStyle w:val="Number1"/>
        <w:numPr>
          <w:ilvl w:val="0"/>
          <w:numId w:val="83"/>
        </w:numPr>
        <w:spacing w:before="0" w:line="360" w:lineRule="auto"/>
        <w:jc w:val="both"/>
        <w:rPr>
          <w:rFonts w:cs="Times New Roman"/>
          <w:spacing w:val="0"/>
        </w:rPr>
      </w:pPr>
      <w:r w:rsidRPr="002C6FFD">
        <w:rPr>
          <w:rFonts w:cs="Times New Roman"/>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2C6FFD">
        <w:rPr>
          <w:rFonts w:cs="Times New Roman"/>
          <w:color w:val="212121"/>
          <w:spacing w:val="0"/>
          <w:shd w:val="clear" w:color="auto" w:fill="FFFFFF"/>
        </w:rPr>
        <w:t>2,0% раствором лидокаина или 0,25—0,5% раствором новокаина</w:t>
      </w:r>
      <w:r w:rsidRPr="002C6FFD">
        <w:rPr>
          <w:rFonts w:cs="Times New Roman"/>
          <w:spacing w:val="0"/>
        </w:rPr>
        <w:t xml:space="preserve"> (анестетик выбирается с учетом аллергологического анамнеза) 1,0—2,0 мл. Использование 10% лидокаина недопустимо для местной анестезии в виду возможности некротизирования тканей. </w:t>
      </w:r>
    </w:p>
    <w:p w14:paraId="2DFD7A8B"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spacing w:val="0"/>
        </w:rPr>
        <w:t xml:space="preserve">Пункция костного мозга выполняется иглой Кассирского или иглой сходной с ней конструкции. </w:t>
      </w:r>
    </w:p>
    <w:p w14:paraId="7052EEA6"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spacing w:val="0"/>
        </w:rPr>
        <w:t xml:space="preserve">Ограничитель </w:t>
      </w:r>
      <w:r w:rsidRPr="002C6FFD">
        <w:rPr>
          <w:rFonts w:cs="Times New Roman"/>
          <w:color w:val="222222"/>
          <w:spacing w:val="0"/>
        </w:rPr>
        <w:t xml:space="preserve">устанавливается с учетом </w:t>
      </w:r>
      <w:r w:rsidRPr="002C6FFD">
        <w:rPr>
          <w:rFonts w:cs="Times New Roman"/>
          <w:spacing w:val="0"/>
        </w:rPr>
        <w:t xml:space="preserve">возраста, выраженности подкожно-жировой клетчатки пациента из расчета, </w:t>
      </w:r>
      <w:r w:rsidRPr="002C6FFD">
        <w:rPr>
          <w:rFonts w:cs="Times New Roman"/>
          <w:color w:val="222222"/>
          <w:spacing w:val="0"/>
        </w:rPr>
        <w:t>чтобы игла, пройдя мягкие ткани, продвинулась на 5 мм</w:t>
      </w:r>
      <w:r w:rsidRPr="002C6FFD">
        <w:rPr>
          <w:rFonts w:cs="Times New Roman"/>
          <w:spacing w:val="0"/>
        </w:rPr>
        <w:t xml:space="preserve">. </w:t>
      </w:r>
      <w:r w:rsidRPr="002C6FFD">
        <w:rPr>
          <w:rFonts w:cs="Times New Roman"/>
          <w:color w:val="222222"/>
          <w:spacing w:val="0"/>
        </w:rPr>
        <w:t xml:space="preserve">При этом конец иглы, проколов наружную пластинку грудины, окажется в полости грудины. </w:t>
      </w:r>
    </w:p>
    <w:p w14:paraId="389A5370"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2C6FFD">
        <w:rPr>
          <w:rFonts w:cs="Times New Roman"/>
          <w:color w:val="222222"/>
          <w:spacing w:val="0"/>
        </w:rPr>
        <w:t>Это момент ощущается врачом как «провал».</w:t>
      </w:r>
    </w:p>
    <w:p w14:paraId="137FB05B"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spacing w:val="0"/>
          <w:shd w:val="clear" w:color="auto" w:fill="FFFFFF"/>
        </w:rPr>
        <w:t xml:space="preserve">Игла должна быть неподвижно фиксирована в грудине. </w:t>
      </w:r>
    </w:p>
    <w:p w14:paraId="249D3D2C"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color w:val="222222"/>
          <w:spacing w:val="0"/>
        </w:rPr>
        <w:t xml:space="preserve">После извлечения мандрена к игле присоединяют шприц и производят аспирацию костного мозга. </w:t>
      </w:r>
    </w:p>
    <w:p w14:paraId="3F40779C"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color w:val="222222"/>
          <w:spacing w:val="0"/>
        </w:rPr>
        <w:t>Из полученного пунктата готовят мазки и направляют материал на различные исследования.</w:t>
      </w:r>
    </w:p>
    <w:p w14:paraId="27395F1C" w14:textId="77777777" w:rsidR="00FE0F01"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color w:val="222222"/>
          <w:spacing w:val="0"/>
        </w:rPr>
        <w:t>Первые 0,5 мл костномозговой взвеси используют для приготовления мазков, которые направляются на:</w:t>
      </w:r>
    </w:p>
    <w:p w14:paraId="5F027AEE" w14:textId="77777777" w:rsidR="00FE0F01" w:rsidRPr="002C6FFD" w:rsidRDefault="00FE0F01" w:rsidP="000768AC">
      <w:pPr>
        <w:pStyle w:val="Number1"/>
        <w:numPr>
          <w:ilvl w:val="1"/>
          <w:numId w:val="83"/>
        </w:numPr>
        <w:spacing w:before="0" w:line="360" w:lineRule="auto"/>
        <w:jc w:val="both"/>
        <w:rPr>
          <w:rFonts w:cs="Times New Roman"/>
          <w:color w:val="222222"/>
          <w:spacing w:val="0"/>
        </w:rPr>
      </w:pPr>
      <w:r w:rsidRPr="002C6FFD">
        <w:rPr>
          <w:rFonts w:cs="Times New Roman"/>
          <w:spacing w:val="0"/>
        </w:rPr>
        <w:t>цитологическое исследование;</w:t>
      </w:r>
    </w:p>
    <w:p w14:paraId="7D32DA6B" w14:textId="77777777" w:rsidR="00FE0F01" w:rsidRDefault="00FE0F01" w:rsidP="000768AC">
      <w:pPr>
        <w:pStyle w:val="Number1"/>
        <w:numPr>
          <w:ilvl w:val="1"/>
          <w:numId w:val="83"/>
        </w:numPr>
        <w:spacing w:before="0" w:line="360" w:lineRule="auto"/>
        <w:jc w:val="both"/>
        <w:rPr>
          <w:rFonts w:cs="Times New Roman"/>
          <w:color w:val="222222"/>
          <w:spacing w:val="0"/>
        </w:rPr>
      </w:pPr>
      <w:r w:rsidRPr="002C6FFD">
        <w:rPr>
          <w:rFonts w:cs="Times New Roman"/>
          <w:spacing w:val="0"/>
        </w:rPr>
        <w:t>цитохимическое исследование.</w:t>
      </w:r>
    </w:p>
    <w:p w14:paraId="22F23289" w14:textId="77777777" w:rsidR="00FE0F01" w:rsidRPr="002C6FFD" w:rsidRDefault="00FE0F01" w:rsidP="000768AC">
      <w:pPr>
        <w:pStyle w:val="Number1"/>
        <w:numPr>
          <w:ilvl w:val="0"/>
          <w:numId w:val="83"/>
        </w:numPr>
        <w:spacing w:before="0" w:line="360" w:lineRule="auto"/>
        <w:jc w:val="both"/>
        <w:rPr>
          <w:rFonts w:cs="Times New Roman"/>
          <w:color w:val="222222"/>
          <w:spacing w:val="0"/>
        </w:rPr>
      </w:pPr>
      <w:r w:rsidRPr="002C6FFD">
        <w:rPr>
          <w:rFonts w:cs="Times New Roman"/>
          <w:spacing w:val="0"/>
        </w:rPr>
        <w:t>При необходимости остальную костномозговую взвесь помещают</w:t>
      </w:r>
      <w:r>
        <w:rPr>
          <w:rFonts w:cs="Times New Roman"/>
          <w:spacing w:val="0"/>
        </w:rPr>
        <w:t>:</w:t>
      </w:r>
      <w:r w:rsidRPr="002C6FFD">
        <w:rPr>
          <w:rFonts w:cs="Times New Roman"/>
          <w:spacing w:val="0"/>
        </w:rPr>
        <w:t xml:space="preserve"> </w:t>
      </w:r>
    </w:p>
    <w:p w14:paraId="40896864" w14:textId="77777777" w:rsidR="00FE0F01" w:rsidRPr="002C6FFD" w:rsidRDefault="00FE0F01" w:rsidP="000768AC">
      <w:pPr>
        <w:pStyle w:val="Number1"/>
        <w:numPr>
          <w:ilvl w:val="1"/>
          <w:numId w:val="83"/>
        </w:numPr>
        <w:spacing w:before="0" w:line="360" w:lineRule="auto"/>
        <w:jc w:val="both"/>
        <w:rPr>
          <w:rFonts w:cs="Times New Roman"/>
          <w:color w:val="222222"/>
          <w:spacing w:val="0"/>
        </w:rPr>
      </w:pPr>
      <w:r w:rsidRPr="002C6FFD">
        <w:rPr>
          <w:rFonts w:cs="Times New Roman"/>
          <w:spacing w:val="0"/>
        </w:rPr>
        <w:t>в пробирки с консервантом ЭДТА для проведения исследований:</w:t>
      </w:r>
    </w:p>
    <w:p w14:paraId="7276AE20" w14:textId="77777777" w:rsidR="00FE0F01" w:rsidRPr="002C6FFD" w:rsidRDefault="00FE0F01" w:rsidP="000768AC">
      <w:pPr>
        <w:pStyle w:val="Number1"/>
        <w:numPr>
          <w:ilvl w:val="2"/>
          <w:numId w:val="83"/>
        </w:numPr>
        <w:spacing w:before="0" w:line="360" w:lineRule="auto"/>
        <w:jc w:val="both"/>
        <w:rPr>
          <w:rFonts w:cs="Times New Roman"/>
          <w:color w:val="222222"/>
          <w:spacing w:val="0"/>
        </w:rPr>
      </w:pPr>
      <w:r w:rsidRPr="002C6FFD">
        <w:rPr>
          <w:rFonts w:cs="Times New Roman"/>
          <w:spacing w:val="0"/>
        </w:rPr>
        <w:t>иммунофенотипическое исследование;</w:t>
      </w:r>
    </w:p>
    <w:p w14:paraId="4E02EDBF" w14:textId="77777777" w:rsidR="00FE0F01" w:rsidRDefault="00FE0F01" w:rsidP="000768AC">
      <w:pPr>
        <w:pStyle w:val="Number1"/>
        <w:numPr>
          <w:ilvl w:val="2"/>
          <w:numId w:val="83"/>
        </w:numPr>
        <w:spacing w:before="0" w:line="360" w:lineRule="auto"/>
        <w:jc w:val="both"/>
        <w:rPr>
          <w:rFonts w:cs="Times New Roman"/>
          <w:color w:val="222222"/>
          <w:spacing w:val="0"/>
        </w:rPr>
      </w:pPr>
      <w:r w:rsidRPr="002C6FFD">
        <w:rPr>
          <w:rFonts w:cs="Times New Roman"/>
          <w:spacing w:val="0"/>
        </w:rPr>
        <w:t>молекулярное исследование (методом ПЦР).</w:t>
      </w:r>
    </w:p>
    <w:p w14:paraId="6167966C" w14:textId="77777777" w:rsidR="00FE0F01" w:rsidRPr="002C6FFD" w:rsidRDefault="00FE0F01" w:rsidP="000768AC">
      <w:pPr>
        <w:pStyle w:val="Number1"/>
        <w:numPr>
          <w:ilvl w:val="1"/>
          <w:numId w:val="83"/>
        </w:numPr>
        <w:spacing w:before="0" w:line="360" w:lineRule="auto"/>
        <w:jc w:val="both"/>
        <w:rPr>
          <w:rFonts w:cs="Times New Roman"/>
          <w:color w:val="222222"/>
          <w:spacing w:val="0"/>
        </w:rPr>
      </w:pPr>
      <w:r w:rsidRPr="002C6FFD">
        <w:rPr>
          <w:rFonts w:cs="Times New Roman"/>
          <w:spacing w:val="0"/>
        </w:rPr>
        <w:t>в пробирки с литиевой солью гепарина для цитогенетического (кариологического) исследования.</w:t>
      </w:r>
    </w:p>
    <w:p w14:paraId="5E028580" w14:textId="77777777" w:rsidR="00FE0F01" w:rsidRPr="002C6FFD" w:rsidRDefault="00FE0F01" w:rsidP="000768AC">
      <w:pPr>
        <w:pStyle w:val="Number1"/>
        <w:numPr>
          <w:ilvl w:val="0"/>
          <w:numId w:val="83"/>
        </w:numPr>
        <w:spacing w:before="0" w:line="360" w:lineRule="auto"/>
        <w:jc w:val="both"/>
        <w:rPr>
          <w:rFonts w:cs="Times New Roman"/>
          <w:spacing w:val="0"/>
        </w:rPr>
      </w:pPr>
      <w:r w:rsidRPr="002C6FFD">
        <w:rPr>
          <w:rFonts w:cs="Times New Roman"/>
          <w:spacing w:val="0"/>
        </w:rPr>
        <w:t>После окончания процедуры аспирации иглу извлекают из грудины и на место пункции накладывают асептическую повязку.</w:t>
      </w:r>
    </w:p>
    <w:p w14:paraId="21C8584B" w14:textId="77777777" w:rsidR="00FE0F01" w:rsidRPr="002C6FFD" w:rsidRDefault="00FE0F01" w:rsidP="000768AC">
      <w:pPr>
        <w:pStyle w:val="Number1"/>
        <w:numPr>
          <w:ilvl w:val="0"/>
          <w:numId w:val="83"/>
        </w:numPr>
        <w:spacing w:before="0" w:line="360" w:lineRule="auto"/>
        <w:jc w:val="both"/>
        <w:rPr>
          <w:rFonts w:cs="Times New Roman"/>
          <w:spacing w:val="0"/>
        </w:rPr>
      </w:pPr>
      <w:r w:rsidRPr="002C6FFD">
        <w:rPr>
          <w:rFonts w:cs="Times New Roman"/>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1DEFF217" w14:textId="77777777" w:rsidR="00FE0F01" w:rsidRDefault="00FE0F01" w:rsidP="00FE0F01">
      <w:pPr>
        <w:pStyle w:val="2"/>
        <w:spacing w:before="0"/>
        <w:rPr>
          <w:rFonts w:eastAsia="Arial Unicode MS"/>
        </w:rPr>
      </w:pPr>
    </w:p>
    <w:p w14:paraId="192722B7" w14:textId="3427591D" w:rsidR="00FE0F01" w:rsidRPr="008E213C" w:rsidRDefault="00FE0F01" w:rsidP="00FE0F01">
      <w:pPr>
        <w:rPr>
          <w:b/>
          <w:i/>
          <w:iCs/>
          <w:u w:val="single"/>
          <w:shd w:val="clear" w:color="auto" w:fill="FFFFFF"/>
        </w:rPr>
      </w:pPr>
      <w:r w:rsidRPr="008E213C">
        <w:rPr>
          <w:i/>
          <w:iCs/>
          <w:u w:val="single"/>
          <w:shd w:val="clear" w:color="auto" w:fill="FFFFFF"/>
        </w:rPr>
        <w:t xml:space="preserve">Техника выполнения процедуры трепанобиопсии костного мозга </w:t>
      </w:r>
      <w:r w:rsidRPr="008E213C">
        <w:rPr>
          <w:b/>
          <w:i/>
          <w:iCs/>
          <w:u w:val="single"/>
          <w:shd w:val="clear" w:color="auto" w:fill="FFFFFF"/>
        </w:rPr>
        <w:fldChar w:fldCharType="begin" w:fldLock="1"/>
      </w:r>
      <w:r w:rsidR="00647057">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[75]","plainTextFormattedCitation":"[75]","previouslyFormattedCitation":"[75]"},"properties":{"noteIndex":0},"schema":"https://github.com/citation-style-language/schema/raw/master/csl-citation.json"}</w:instrText>
      </w:r>
      <w:r w:rsidRPr="008E213C">
        <w:rPr>
          <w:b/>
          <w:i/>
          <w:iCs/>
          <w:u w:val="single"/>
          <w:shd w:val="clear" w:color="auto" w:fill="FFFFFF"/>
        </w:rPr>
        <w:fldChar w:fldCharType="separate"/>
      </w:r>
      <w:r w:rsidRPr="00FE0F01">
        <w:rPr>
          <w:iCs/>
          <w:noProof/>
          <w:shd w:val="clear" w:color="auto" w:fill="FFFFFF"/>
        </w:rPr>
        <w:t>[75]</w:t>
      </w:r>
      <w:r w:rsidRPr="008E213C">
        <w:rPr>
          <w:b/>
          <w:i/>
          <w:iCs/>
          <w:u w:val="single"/>
          <w:shd w:val="clear" w:color="auto" w:fill="FFFFFF"/>
        </w:rPr>
        <w:fldChar w:fldCharType="end"/>
      </w:r>
    </w:p>
    <w:p w14:paraId="0D6B8F77"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726B788E"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(антикоагулянты и антиагреганты),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1FFCE5DC"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440AEF94"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color w:val="212121"/>
          <w:spacing w:val="0"/>
        </w:rPr>
        <w:t xml:space="preserve">Трепанобиопсия костного мозга </w:t>
      </w:r>
      <w:r w:rsidRPr="002C6FFD">
        <w:rPr>
          <w:rFonts w:cs="Times New Roman"/>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7295E59E"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7B96CAF7" w14:textId="77777777" w:rsidR="00FE0F01"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Пациента располагают в одном из положений: </w:t>
      </w:r>
    </w:p>
    <w:p w14:paraId="62F56D93" w14:textId="77777777" w:rsidR="00FE0F01" w:rsidRDefault="00FE0F01" w:rsidP="000768AC">
      <w:pPr>
        <w:pStyle w:val="Number1"/>
        <w:numPr>
          <w:ilvl w:val="1"/>
          <w:numId w:val="84"/>
        </w:numPr>
        <w:spacing w:before="0" w:line="360" w:lineRule="auto"/>
        <w:jc w:val="both"/>
        <w:rPr>
          <w:rFonts w:cs="Times New Roman"/>
          <w:spacing w:val="0"/>
        </w:rPr>
      </w:pPr>
      <w:r w:rsidRPr="002C6FFD">
        <w:rPr>
          <w:rFonts w:cs="Times New Roman"/>
          <w:spacing w:val="0"/>
        </w:rPr>
        <w:t xml:space="preserve">лежа на животе; </w:t>
      </w:r>
    </w:p>
    <w:p w14:paraId="7C798660" w14:textId="77777777" w:rsidR="00FE0F01" w:rsidRDefault="00FE0F01" w:rsidP="000768AC">
      <w:pPr>
        <w:pStyle w:val="Number1"/>
        <w:numPr>
          <w:ilvl w:val="1"/>
          <w:numId w:val="84"/>
        </w:numPr>
        <w:spacing w:before="0" w:line="360" w:lineRule="auto"/>
        <w:jc w:val="both"/>
        <w:rPr>
          <w:rFonts w:cs="Times New Roman"/>
          <w:spacing w:val="0"/>
        </w:rPr>
      </w:pPr>
      <w:r w:rsidRPr="002C6FFD">
        <w:rPr>
          <w:rFonts w:cs="Times New Roman"/>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5D25193E" w14:textId="77777777" w:rsidR="00FE0F01" w:rsidRDefault="00FE0F01" w:rsidP="000768AC">
      <w:pPr>
        <w:pStyle w:val="Number1"/>
        <w:numPr>
          <w:ilvl w:val="1"/>
          <w:numId w:val="84"/>
        </w:numPr>
        <w:spacing w:before="0" w:line="360" w:lineRule="auto"/>
        <w:jc w:val="both"/>
        <w:rPr>
          <w:rFonts w:cs="Times New Roman"/>
          <w:spacing w:val="0"/>
        </w:rPr>
      </w:pPr>
      <w:r w:rsidRPr="002C6FFD">
        <w:rPr>
          <w:rFonts w:cs="Times New Roman"/>
          <w:spacing w:val="0"/>
        </w:rPr>
        <w:t>лежа на боку, ноги согнуты в коленях и приведены к груди, спина несколько согнута</w:t>
      </w:r>
      <w:r>
        <w:rPr>
          <w:rFonts w:cs="Times New Roman"/>
          <w:spacing w:val="0"/>
        </w:rPr>
        <w:t>;</w:t>
      </w:r>
    </w:p>
    <w:p w14:paraId="73464FD7" w14:textId="77777777" w:rsidR="00FE0F01" w:rsidRPr="002C6FFD" w:rsidRDefault="00FE0F01" w:rsidP="000768AC">
      <w:pPr>
        <w:pStyle w:val="Number1"/>
        <w:numPr>
          <w:ilvl w:val="1"/>
          <w:numId w:val="84"/>
        </w:numPr>
        <w:spacing w:before="0" w:line="360" w:lineRule="auto"/>
        <w:jc w:val="both"/>
        <w:rPr>
          <w:rFonts w:cs="Times New Roman"/>
          <w:spacing w:val="0"/>
        </w:rPr>
      </w:pPr>
      <w:r w:rsidRPr="002C6FFD">
        <w:rPr>
          <w:rFonts w:cs="Times New Roman"/>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6B71CFA8"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Чаще всего при выполнении трепанобиопсии пациент находится в сознании. </w:t>
      </w:r>
      <w:r w:rsidRPr="002C6FFD">
        <w:rPr>
          <w:rFonts w:cs="Times New Roman"/>
          <w:spacing w:val="0"/>
          <w:shd w:val="clear" w:color="auto" w:fill="FFFFFF"/>
        </w:rPr>
        <w:t xml:space="preserve">При невозможности выполнения местной анестезии пункция может быть выполнена под общей анестезией. </w:t>
      </w:r>
      <w:r w:rsidRPr="002C6FFD">
        <w:rPr>
          <w:rFonts w:cs="Times New Roman"/>
          <w:spacing w:val="0"/>
        </w:rPr>
        <w:t xml:space="preserve">В педиатрической практике манипуляцию проводят под наркозом. </w:t>
      </w:r>
    </w:p>
    <w:p w14:paraId="0838573F"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7477BF0F"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Обработка кожи растворами антисептиков, как для оперативного вмешательства. </w:t>
      </w:r>
    </w:p>
    <w:p w14:paraId="30E9A4FA"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Обезболивание кожи («лимонная корочка») и далее послойная анестезия тканей вплоть до надкостницы и поднадкостнично — </w:t>
      </w:r>
      <w:r w:rsidRPr="002C6FFD">
        <w:rPr>
          <w:rFonts w:cs="Times New Roman"/>
          <w:spacing w:val="0"/>
          <w:shd w:val="clear" w:color="auto" w:fill="FFFFFF"/>
        </w:rPr>
        <w:t>2% раствор лидокаина или 0,25—0,5% раствор новокаина</w:t>
      </w:r>
      <w:r w:rsidRPr="002C6FFD">
        <w:rPr>
          <w:rFonts w:cs="Times New Roman"/>
          <w:spacing w:val="0"/>
        </w:rPr>
        <w:t xml:space="preserve"> (выбранным с учетом аллергологического анамнеза) 4,0—6,0 мл. Использование 10% лидокаина недопустимо для местной анестезии в виду возможности некротизирования тканей. </w:t>
      </w:r>
    </w:p>
    <w:p w14:paraId="0E6ACE7C"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Анестезия наступает не ранее через 1 мин после инфильтрации надкостницы раствором анестетика. </w:t>
      </w:r>
    </w:p>
    <w:p w14:paraId="32801F59"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783F6AED"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2C6FFD">
        <w:rPr>
          <w:rFonts w:cs="Times New Roman"/>
          <w:color w:val="auto"/>
          <w:spacing w:val="0"/>
        </w:rPr>
        <w:sym w:font="Symbol" w:char="F0B0"/>
      </w:r>
      <w:r w:rsidRPr="002C6FFD">
        <w:rPr>
          <w:rFonts w:cs="Times New Roman"/>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33F5FEE2"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7F3FF672"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53DE6528"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верхней ости подвздошной кости)  выталкивается в обратном направлении от острия к рукоятке, то есть через отверстие рукоятки инструмента. </w:t>
      </w:r>
    </w:p>
    <w:p w14:paraId="15DB7F2F"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20AAE4C6"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57174A55"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338B86E1"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0AC24414"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 xml:space="preserve">Пациент должен провести под наблюдением медицинского персонала 2—3 часа после процедуры. </w:t>
      </w:r>
    </w:p>
    <w:p w14:paraId="59BA5AAD" w14:textId="77777777" w:rsidR="00FE0F01" w:rsidRPr="002C6FFD" w:rsidRDefault="00FE0F01" w:rsidP="000768AC">
      <w:pPr>
        <w:pStyle w:val="Number1"/>
        <w:numPr>
          <w:ilvl w:val="0"/>
          <w:numId w:val="84"/>
        </w:numPr>
        <w:spacing w:before="0" w:line="360" w:lineRule="auto"/>
        <w:jc w:val="both"/>
        <w:rPr>
          <w:rFonts w:cs="Times New Roman"/>
          <w:spacing w:val="0"/>
        </w:rPr>
      </w:pPr>
      <w:r w:rsidRPr="002C6FFD">
        <w:rPr>
          <w:rFonts w:cs="Times New Roman"/>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5D358D84" w14:textId="77777777" w:rsidR="00FE0F01" w:rsidRPr="002C6FFD" w:rsidRDefault="00FE0F01" w:rsidP="000768AC">
      <w:pPr>
        <w:pStyle w:val="Number1"/>
        <w:numPr>
          <w:ilvl w:val="0"/>
          <w:numId w:val="84"/>
        </w:numPr>
        <w:spacing w:before="0" w:line="360" w:lineRule="auto"/>
        <w:jc w:val="both"/>
        <w:rPr>
          <w:rFonts w:cs="Times New Roman"/>
          <w:color w:val="auto"/>
          <w:spacing w:val="0"/>
        </w:rPr>
      </w:pPr>
      <w:r w:rsidRPr="002C6FFD">
        <w:rPr>
          <w:rFonts w:cs="Times New Roman"/>
          <w:spacing w:val="0"/>
        </w:rPr>
        <w:t>На следующий день после выполнения манипуляции медицинскому персоналу необходимо проконтролировать состояние пациента (</w:t>
      </w:r>
      <w:r w:rsidRPr="002C6FFD">
        <w:rPr>
          <w:rFonts w:cs="Times New Roman"/>
          <w:color w:val="auto"/>
          <w:spacing w:val="0"/>
        </w:rPr>
        <w:t xml:space="preserve">при выполнении манипуляции в амбулаторных условиях - возможно по телефону). </w:t>
      </w:r>
    </w:p>
    <w:p w14:paraId="6A82E5A8" w14:textId="11FDF28B" w:rsidR="00FE0F01" w:rsidRDefault="00FE0F01" w:rsidP="00FE0F01">
      <w:pPr>
        <w:rPr>
          <w:rFonts w:cs="Times New Roman"/>
          <w:szCs w:val="24"/>
        </w:rPr>
      </w:pPr>
    </w:p>
    <w:p w14:paraId="5ED03FF5" w14:textId="66C1EBBD" w:rsidR="00647057" w:rsidRPr="00647057" w:rsidRDefault="009A11DA" w:rsidP="00647057">
      <w:pPr>
        <w:pStyle w:val="2"/>
      </w:pPr>
      <w:bookmarkStart w:id="94" w:name="_Toc65108058"/>
      <w:r>
        <w:t xml:space="preserve">Приложение А3.5. </w:t>
      </w:r>
      <w:r w:rsidR="00647057" w:rsidRPr="00952000">
        <w:rPr>
          <w:bCs/>
        </w:rPr>
        <w:t>Обеспечение сосудистого доступа</w:t>
      </w:r>
      <w:bookmarkEnd w:id="94"/>
    </w:p>
    <w:p w14:paraId="0CB7A76C" w14:textId="374413F4" w:rsidR="00647057" w:rsidRPr="00952000" w:rsidRDefault="00647057" w:rsidP="00647057">
      <w:pPr>
        <w:rPr>
          <w:rFonts w:cs="Times New Roman"/>
          <w:szCs w:val="24"/>
          <w:shd w:val="clear" w:color="auto" w:fill="FFFFFF"/>
        </w:rPr>
      </w:pPr>
      <w:r w:rsidRPr="00952000">
        <w:rPr>
          <w:rFonts w:cs="Times New Roman"/>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952000">
        <w:rPr>
          <w:rFonts w:cs="Times New Roman"/>
          <w:szCs w:val="24"/>
        </w:rPr>
        <w:t xml:space="preserve">. </w:t>
      </w:r>
      <w:r w:rsidRPr="00952000">
        <w:rPr>
          <w:rFonts w:cs="Times New Roman"/>
          <w:szCs w:val="24"/>
          <w:shd w:val="clear" w:color="auto" w:fill="FFFFFF"/>
        </w:rPr>
        <w:t>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w:t>
      </w:r>
      <w:r>
        <w:rPr>
          <w:rFonts w:cs="Times New Roman"/>
          <w:szCs w:val="24"/>
          <w:shd w:val="clear" w:color="auto" w:fill="FFFFFF"/>
        </w:rPr>
        <w:t> </w:t>
      </w:r>
      <w:r w:rsidRPr="00952000">
        <w:rPr>
          <w:rFonts w:cs="Times New Roman"/>
          <w:szCs w:val="24"/>
          <w:shd w:val="clear" w:color="auto" w:fill="FFFFFF"/>
        </w:rPr>
        <w:t xml:space="preserve">д. </w:t>
      </w:r>
    </w:p>
    <w:p w14:paraId="7C9E9B32" w14:textId="35F773E4" w:rsidR="00647057" w:rsidRPr="00952000" w:rsidRDefault="00647057" w:rsidP="00647057">
      <w:pPr>
        <w:rPr>
          <w:rFonts w:cs="Times New Roman"/>
          <w:szCs w:val="24"/>
        </w:rPr>
      </w:pPr>
      <w:r w:rsidRPr="00952000">
        <w:rPr>
          <w:rFonts w:cs="Times New Roman"/>
          <w:szCs w:val="24"/>
        </w:rPr>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w:t>
      </w:r>
      <w:r w:rsidRPr="00952000">
        <w:rPr>
          <w:rFonts w:eastAsia="Times New Roman" w:cs="Times New Roman"/>
          <w:szCs w:val="24"/>
        </w:rPr>
        <w:t>как с внутригрудным, так и с внутрибрюшным поражением,</w:t>
      </w:r>
      <w:r w:rsidRPr="00952000">
        <w:rPr>
          <w:rFonts w:cs="Times New Roman"/>
          <w:szCs w:val="24"/>
        </w:rPr>
        <w:t xml:space="preserve"> что значительно затрудняет задачу обеспечения сосудистого доступа </w:t>
      </w:r>
      <w:r w:rsidRPr="00952000">
        <w:rPr>
          <w:rFonts w:cs="Times New Roman"/>
          <w:szCs w:val="24"/>
        </w:rPr>
        <w:fldChar w:fldCharType="begin" w:fldLock="1"/>
      </w:r>
      <w:r w:rsidR="003B7A61">
        <w:rPr>
          <w:rFonts w:cs="Times New Roman"/>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[77]","plainTextFormattedCitation":"[77]","previouslyFormattedCitation":"[77]"},"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[77]</w:t>
      </w:r>
      <w:r w:rsidRPr="00952000">
        <w:rPr>
          <w:rFonts w:cs="Times New Roman"/>
          <w:szCs w:val="24"/>
        </w:rPr>
        <w:fldChar w:fldCharType="end"/>
      </w:r>
      <w:r w:rsidRPr="00952000">
        <w:rPr>
          <w:rFonts w:cs="Times New Roman"/>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952000">
        <w:rPr>
          <w:rFonts w:cs="Times New Roman"/>
          <w:szCs w:val="24"/>
        </w:rPr>
        <w:fldChar w:fldCharType="begin" w:fldLock="1"/>
      </w:r>
      <w:r w:rsidR="003B7A61">
        <w:rPr>
          <w:rFonts w:cs="Times New Roman"/>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[78]","plainTextFormattedCitation":"[78]","previouslyFormattedCitation":"[78]"},"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[78]</w:t>
      </w:r>
      <w:r w:rsidRPr="00952000">
        <w:rPr>
          <w:rFonts w:cs="Times New Roman"/>
          <w:szCs w:val="24"/>
        </w:rPr>
        <w:fldChar w:fldCharType="end"/>
      </w:r>
      <w:r w:rsidRPr="00952000">
        <w:rPr>
          <w:rFonts w:cs="Times New Roman"/>
          <w:szCs w:val="24"/>
        </w:rPr>
        <w:t>. Помимо этого, у многих больных вследствие проводимой ранее химиотерапии нередко отсутствуют доступные периферические вены.</w:t>
      </w:r>
    </w:p>
    <w:p w14:paraId="6BB4B982" w14:textId="77777777" w:rsidR="00647057" w:rsidRDefault="00647057" w:rsidP="00647057">
      <w:pPr>
        <w:rPr>
          <w:rFonts w:cs="Times New Roman"/>
          <w:b/>
          <w:bCs/>
          <w:szCs w:val="24"/>
        </w:rPr>
      </w:pPr>
    </w:p>
    <w:p w14:paraId="0F3DA33F" w14:textId="77777777" w:rsidR="00647057" w:rsidRPr="004A739C" w:rsidRDefault="00647057" w:rsidP="00647057">
      <w:pPr>
        <w:rPr>
          <w:rFonts w:cs="Times New Roman"/>
          <w:i/>
          <w:iCs/>
          <w:szCs w:val="24"/>
          <w:u w:val="single"/>
        </w:rPr>
      </w:pPr>
      <w:r w:rsidRPr="004A739C">
        <w:rPr>
          <w:rFonts w:cs="Times New Roman"/>
          <w:i/>
          <w:iCs/>
          <w:szCs w:val="24"/>
          <w:u w:val="single"/>
        </w:rPr>
        <w:t>Показания к катетеризации центральных вен.</w:t>
      </w:r>
    </w:p>
    <w:p w14:paraId="4AAC5478" w14:textId="77777777" w:rsidR="00647057" w:rsidRPr="00952000" w:rsidRDefault="00647057" w:rsidP="000768AC">
      <w:pPr>
        <w:pStyle w:val="afe"/>
        <w:numPr>
          <w:ilvl w:val="0"/>
          <w:numId w:val="85"/>
        </w:numPr>
        <w:ind w:left="993" w:hanging="284"/>
        <w:rPr>
          <w:rFonts w:eastAsia="Times New Roman" w:cs="Times New Roman"/>
          <w:szCs w:val="24"/>
          <w:lang w:eastAsia="ru-RU"/>
        </w:rPr>
      </w:pPr>
      <w:r w:rsidRPr="00952000">
        <w:rPr>
          <w:rFonts w:eastAsia="Times New Roman" w:cs="Times New Roman"/>
          <w:szCs w:val="24"/>
          <w:lang w:eastAsia="ru-RU"/>
        </w:rPr>
        <w:t>ограниченный доступ к периферическим венам,</w:t>
      </w:r>
    </w:p>
    <w:p w14:paraId="50315C5B" w14:textId="77777777" w:rsidR="00647057" w:rsidRPr="00952000" w:rsidRDefault="00647057" w:rsidP="000768AC">
      <w:pPr>
        <w:pStyle w:val="afe"/>
        <w:numPr>
          <w:ilvl w:val="0"/>
          <w:numId w:val="85"/>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химиотерапии или парентерального питания, массивная инфузионная терапия,</w:t>
      </w:r>
    </w:p>
    <w:p w14:paraId="10B0E3F5" w14:textId="77777777" w:rsidR="00647057" w:rsidRPr="00952000" w:rsidRDefault="00647057" w:rsidP="000768AC">
      <w:pPr>
        <w:pStyle w:val="afe"/>
        <w:numPr>
          <w:ilvl w:val="0"/>
          <w:numId w:val="85"/>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гемодинамики (центральное венозное давление),</w:t>
      </w:r>
    </w:p>
    <w:p w14:paraId="6D25D9C2" w14:textId="77777777" w:rsidR="00647057" w:rsidRPr="00952000" w:rsidRDefault="00647057" w:rsidP="000768AC">
      <w:pPr>
        <w:pStyle w:val="afe"/>
        <w:numPr>
          <w:ilvl w:val="0"/>
          <w:numId w:val="85"/>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давления в легочной артерии,</w:t>
      </w:r>
    </w:p>
    <w:p w14:paraId="601FEAAD" w14:textId="77777777" w:rsidR="00647057" w:rsidRPr="00952000" w:rsidRDefault="00647057" w:rsidP="000768AC">
      <w:pPr>
        <w:pStyle w:val="afe"/>
        <w:numPr>
          <w:ilvl w:val="0"/>
          <w:numId w:val="85"/>
        </w:numPr>
        <w:ind w:left="993" w:hanging="284"/>
        <w:rPr>
          <w:rFonts w:eastAsia="Times New Roman" w:cs="Times New Roman"/>
          <w:szCs w:val="24"/>
          <w:lang w:eastAsia="ru-RU"/>
        </w:rPr>
      </w:pPr>
      <w:r w:rsidRPr="00952000">
        <w:rPr>
          <w:rFonts w:eastAsia="Times New Roman" w:cs="Times New Roman"/>
          <w:szCs w:val="24"/>
          <w:lang w:eastAsia="ru-RU"/>
        </w:rPr>
        <w:t>установка кардиостимулятора,</w:t>
      </w:r>
    </w:p>
    <w:p w14:paraId="437ACAC9" w14:textId="77777777" w:rsidR="00647057" w:rsidRPr="00952000" w:rsidRDefault="00647057" w:rsidP="000768AC">
      <w:pPr>
        <w:pStyle w:val="afe"/>
        <w:numPr>
          <w:ilvl w:val="0"/>
          <w:numId w:val="85"/>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заместительной почечной терапии.</w:t>
      </w:r>
    </w:p>
    <w:p w14:paraId="58C255FD" w14:textId="77777777" w:rsidR="00647057" w:rsidRDefault="00647057" w:rsidP="00647057">
      <w:pPr>
        <w:rPr>
          <w:rFonts w:cs="Times New Roman"/>
          <w:b/>
          <w:bCs/>
          <w:szCs w:val="24"/>
        </w:rPr>
      </w:pPr>
    </w:p>
    <w:p w14:paraId="3269A400" w14:textId="77777777" w:rsidR="00647057" w:rsidRPr="004A739C" w:rsidRDefault="00647057" w:rsidP="00647057">
      <w:pPr>
        <w:rPr>
          <w:rFonts w:cs="Times New Roman"/>
          <w:i/>
          <w:iCs/>
          <w:szCs w:val="24"/>
          <w:u w:val="single"/>
        </w:rPr>
      </w:pPr>
      <w:r w:rsidRPr="004A739C">
        <w:rPr>
          <w:rFonts w:cs="Times New Roman"/>
          <w:i/>
          <w:iCs/>
          <w:szCs w:val="24"/>
          <w:u w:val="single"/>
        </w:rPr>
        <w:t>Противопоказания к катетеризации центральных вен</w:t>
      </w:r>
    </w:p>
    <w:p w14:paraId="19C56CB8" w14:textId="77777777" w:rsidR="00647057" w:rsidRPr="004A739C" w:rsidRDefault="00647057" w:rsidP="000768AC">
      <w:pPr>
        <w:pStyle w:val="afe"/>
        <w:numPr>
          <w:ilvl w:val="0"/>
          <w:numId w:val="85"/>
        </w:numPr>
        <w:ind w:left="993" w:hanging="284"/>
        <w:rPr>
          <w:rFonts w:eastAsia="Times New Roman" w:cs="Times New Roman"/>
          <w:szCs w:val="24"/>
          <w:lang w:eastAsia="ru-RU"/>
        </w:rPr>
      </w:pPr>
      <w:r w:rsidRPr="004A739C">
        <w:rPr>
          <w:rFonts w:eastAsia="Times New Roman" w:cs="Times New Roman"/>
          <w:szCs w:val="24"/>
          <w:lang w:eastAsia="ru-RU"/>
        </w:rPr>
        <w:t>Абсолютные:</w:t>
      </w:r>
    </w:p>
    <w:p w14:paraId="45E884B8" w14:textId="77777777" w:rsidR="00647057" w:rsidRPr="004A739C" w:rsidRDefault="00647057" w:rsidP="000768AC">
      <w:pPr>
        <w:pStyle w:val="afe"/>
        <w:numPr>
          <w:ilvl w:val="1"/>
          <w:numId w:val="85"/>
        </w:numPr>
        <w:rPr>
          <w:rFonts w:eastAsia="Times New Roman" w:cs="Times New Roman"/>
          <w:szCs w:val="24"/>
          <w:lang w:eastAsia="ru-RU"/>
        </w:rPr>
      </w:pPr>
      <w:r w:rsidRPr="004A739C">
        <w:rPr>
          <w:rFonts w:eastAsia="Times New Roman" w:cs="Times New Roman"/>
          <w:szCs w:val="24"/>
          <w:lang w:eastAsia="ru-RU"/>
        </w:rPr>
        <w:t>воспаление в планируемом месте доступа</w:t>
      </w:r>
    </w:p>
    <w:p w14:paraId="04385154" w14:textId="77777777" w:rsidR="00647057" w:rsidRPr="004A739C" w:rsidRDefault="00647057" w:rsidP="000768AC">
      <w:pPr>
        <w:pStyle w:val="afe"/>
        <w:numPr>
          <w:ilvl w:val="1"/>
          <w:numId w:val="85"/>
        </w:numPr>
        <w:rPr>
          <w:rFonts w:eastAsia="Times New Roman" w:cs="Times New Roman"/>
          <w:szCs w:val="24"/>
          <w:lang w:eastAsia="ru-RU"/>
        </w:rPr>
      </w:pPr>
      <w:r w:rsidRPr="004A739C">
        <w:rPr>
          <w:rFonts w:eastAsia="Times New Roman" w:cs="Times New Roman"/>
          <w:szCs w:val="24"/>
          <w:lang w:eastAsia="ru-RU"/>
        </w:rPr>
        <w:t>недавно проведенное оперативное вмешательство в месте доступа</w:t>
      </w:r>
    </w:p>
    <w:p w14:paraId="7F94A5C1" w14:textId="77777777" w:rsidR="00647057" w:rsidRPr="004A739C" w:rsidRDefault="00647057" w:rsidP="000768AC">
      <w:pPr>
        <w:pStyle w:val="afe"/>
        <w:numPr>
          <w:ilvl w:val="0"/>
          <w:numId w:val="85"/>
        </w:numPr>
        <w:ind w:left="993" w:hanging="284"/>
        <w:rPr>
          <w:rFonts w:eastAsia="Times New Roman" w:cs="Times New Roman"/>
          <w:szCs w:val="24"/>
          <w:lang w:eastAsia="ru-RU"/>
        </w:rPr>
      </w:pPr>
      <w:r w:rsidRPr="004A739C">
        <w:rPr>
          <w:rFonts w:eastAsia="Times New Roman" w:cs="Times New Roman"/>
          <w:szCs w:val="24"/>
          <w:lang w:eastAsia="ru-RU"/>
        </w:rPr>
        <w:t>Относительные</w:t>
      </w:r>
    </w:p>
    <w:p w14:paraId="04A7DDB2" w14:textId="77777777" w:rsidR="00647057" w:rsidRPr="004A739C" w:rsidRDefault="00647057" w:rsidP="000768AC">
      <w:pPr>
        <w:pStyle w:val="afe"/>
        <w:numPr>
          <w:ilvl w:val="1"/>
          <w:numId w:val="85"/>
        </w:numPr>
        <w:rPr>
          <w:rFonts w:eastAsia="Times New Roman" w:cs="Times New Roman"/>
          <w:szCs w:val="24"/>
          <w:lang w:eastAsia="ru-RU"/>
        </w:rPr>
      </w:pPr>
      <w:r w:rsidRPr="004A739C">
        <w:rPr>
          <w:rFonts w:eastAsia="Times New Roman" w:cs="Times New Roman"/>
          <w:szCs w:val="24"/>
          <w:lang w:eastAsia="ru-RU"/>
        </w:rPr>
        <w:t>выраженный геморрагический синдром (вследствие тромбоцитопении, гипофибриногенемии, наследственных или приобретенных коагулопатий).</w:t>
      </w:r>
    </w:p>
    <w:p w14:paraId="36F09D74" w14:textId="77777777" w:rsidR="00647057" w:rsidRDefault="00647057" w:rsidP="00647057">
      <w:pPr>
        <w:pStyle w:val="Default"/>
        <w:spacing w:line="360" w:lineRule="auto"/>
        <w:ind w:firstLine="709"/>
        <w:jc w:val="both"/>
        <w:rPr>
          <w:i/>
          <w:color w:val="auto"/>
        </w:rPr>
      </w:pPr>
    </w:p>
    <w:p w14:paraId="47D52FED" w14:textId="77777777" w:rsidR="00647057" w:rsidRPr="00952000" w:rsidRDefault="00647057" w:rsidP="00647057">
      <w:pPr>
        <w:pStyle w:val="Default"/>
        <w:spacing w:line="360" w:lineRule="auto"/>
        <w:ind w:firstLine="709"/>
        <w:jc w:val="both"/>
        <w:rPr>
          <w:color w:val="auto"/>
        </w:rPr>
      </w:pPr>
      <w:r w:rsidRPr="00952000">
        <w:rPr>
          <w:i/>
          <w:color w:val="auto"/>
        </w:rPr>
        <w:t>Тромбоцитопения</w:t>
      </w:r>
      <w:r w:rsidRPr="00952000">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952000">
        <w:rPr>
          <w:color w:val="auto"/>
          <w:vertAlign w:val="superscript"/>
        </w:rPr>
        <w:t>9</w:t>
      </w:r>
      <w:r w:rsidRPr="00952000">
        <w:rPr>
          <w:color w:val="auto"/>
        </w:rPr>
        <w:t>/л.</w:t>
      </w:r>
    </w:p>
    <w:p w14:paraId="589C6732" w14:textId="23F30AA7" w:rsidR="00647057" w:rsidRPr="00952000" w:rsidRDefault="00647057" w:rsidP="00647057">
      <w:pPr>
        <w:rPr>
          <w:rFonts w:cs="Times New Roman"/>
          <w:szCs w:val="24"/>
        </w:rPr>
      </w:pPr>
      <w:r w:rsidRPr="00952000">
        <w:rPr>
          <w:rFonts w:cs="Times New Roman"/>
          <w:i/>
          <w:szCs w:val="24"/>
        </w:rPr>
        <w:t>Плазменная концентрация фибриногена</w:t>
      </w:r>
      <w:r w:rsidRPr="00952000">
        <w:rPr>
          <w:rFonts w:cs="Times New Roman"/>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952000">
        <w:rPr>
          <w:rFonts w:cs="Times New Roman"/>
          <w:szCs w:val="24"/>
        </w:rPr>
        <w:fldChar w:fldCharType="begin" w:fldLock="1"/>
      </w:r>
      <w:r w:rsidR="003B7A61">
        <w:rPr>
          <w:rFonts w:cs="Times New Roman"/>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[79]","plainTextFormattedCitation":"[79]","previouslyFormattedCitation":"[79]"},"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[79]</w:t>
      </w:r>
      <w:r w:rsidRPr="00952000">
        <w:rPr>
          <w:rFonts w:cs="Times New Roman"/>
          <w:szCs w:val="24"/>
        </w:rPr>
        <w:fldChar w:fldCharType="end"/>
      </w:r>
      <w:r w:rsidRPr="00952000">
        <w:rPr>
          <w:rFonts w:cs="Times New Roman"/>
          <w:szCs w:val="24"/>
        </w:rPr>
        <w:t>.</w:t>
      </w:r>
    </w:p>
    <w:p w14:paraId="032FC9AD" w14:textId="77777777" w:rsidR="00647057" w:rsidRDefault="00647057" w:rsidP="00647057">
      <w:pPr>
        <w:rPr>
          <w:rFonts w:cs="Times New Roman"/>
          <w:b/>
          <w:bCs/>
          <w:szCs w:val="24"/>
        </w:rPr>
      </w:pPr>
    </w:p>
    <w:p w14:paraId="5B58A386" w14:textId="77777777" w:rsidR="00647057" w:rsidRPr="008879EC" w:rsidRDefault="00647057" w:rsidP="00647057">
      <w:pPr>
        <w:rPr>
          <w:rFonts w:cs="Times New Roman"/>
          <w:i/>
          <w:iCs/>
          <w:szCs w:val="24"/>
          <w:u w:val="single"/>
        </w:rPr>
      </w:pPr>
      <w:r w:rsidRPr="008879EC">
        <w:rPr>
          <w:rFonts w:cs="Times New Roman"/>
          <w:i/>
          <w:iCs/>
          <w:szCs w:val="24"/>
          <w:u w:val="single"/>
        </w:rPr>
        <w:t>Типы катетеров</w:t>
      </w:r>
    </w:p>
    <w:p w14:paraId="728635ED" w14:textId="77777777" w:rsidR="00647057" w:rsidRPr="00952000" w:rsidRDefault="00647057" w:rsidP="00647057">
      <w:pPr>
        <w:ind w:firstLine="708"/>
        <w:contextualSpacing/>
        <w:rPr>
          <w:rFonts w:cs="Times New Roman"/>
          <w:szCs w:val="24"/>
        </w:rPr>
      </w:pPr>
      <w:r w:rsidRPr="00952000">
        <w:rPr>
          <w:rFonts w:cs="Times New Roman"/>
          <w:i/>
          <w:szCs w:val="24"/>
        </w:rPr>
        <w:t>ЦВК</w:t>
      </w:r>
      <w:r w:rsidRPr="00952000">
        <w:rPr>
          <w:rFonts w:cs="Times New Roman"/>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21CFCBAC" w14:textId="77777777" w:rsidR="00647057" w:rsidRPr="00952000" w:rsidRDefault="00647057" w:rsidP="00647057">
      <w:pPr>
        <w:ind w:firstLine="700"/>
        <w:rPr>
          <w:rFonts w:eastAsia="Times New Roman" w:cs="Times New Roman"/>
          <w:i/>
          <w:szCs w:val="24"/>
          <w:lang w:eastAsia="ru-RU"/>
        </w:rPr>
      </w:pPr>
      <w:r w:rsidRPr="00952000">
        <w:rPr>
          <w:rFonts w:eastAsia="Times New Roman" w:cs="Times New Roman"/>
          <w:i/>
          <w:szCs w:val="24"/>
          <w:lang w:eastAsia="ru-RU"/>
        </w:rPr>
        <w:t>Нетуннелируемые катетеры</w:t>
      </w:r>
    </w:p>
    <w:p w14:paraId="3BC541A7" w14:textId="5DBBBA83" w:rsidR="00647057" w:rsidRPr="00DE117D" w:rsidRDefault="00647057" w:rsidP="00647057">
      <w:pPr>
        <w:ind w:firstLine="700"/>
        <w:rPr>
          <w:rFonts w:eastAsia="Times New Roman" w:cs="Times New Roman"/>
          <w:strike/>
          <w:szCs w:val="24"/>
        </w:rPr>
      </w:pPr>
      <w:r w:rsidRPr="00952000">
        <w:rPr>
          <w:rFonts w:eastAsia="Times New Roman" w:cs="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952000">
        <w:rPr>
          <w:rFonts w:eastAsia="Times New Roman" w:cs="Times New Roman"/>
          <w:szCs w:val="24"/>
          <w:lang w:val="en-US" w:eastAsia="ru-RU"/>
        </w:rPr>
        <w:t>Fr</w:t>
      </w:r>
      <w:r w:rsidRPr="00952000">
        <w:rPr>
          <w:rFonts w:eastAsia="Times New Roman" w:cs="Times New Roman"/>
          <w:szCs w:val="24"/>
          <w:lang w:eastAsia="ru-RU"/>
        </w:rPr>
        <w:t>,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w:t>
      </w:r>
      <w:r>
        <w:rPr>
          <w:rFonts w:eastAsia="Times New Roman" w:cs="Times New Roman"/>
          <w:szCs w:val="24"/>
          <w:lang w:eastAsia="ru-RU"/>
        </w:rPr>
        <w:t>,</w:t>
      </w:r>
      <w:r w:rsidRPr="00952000">
        <w:rPr>
          <w:rFonts w:eastAsia="Times New Roman" w:cs="Times New Roman"/>
          <w:szCs w:val="24"/>
          <w:lang w:eastAsia="ru-RU"/>
        </w:rPr>
        <w:t xml:space="preserve">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952000">
        <w:rPr>
          <w:rFonts w:eastAsia="Times New Roman" w:cs="Times New Roman"/>
          <w:szCs w:val="24"/>
          <w:lang w:eastAsia="ru-RU"/>
        </w:rPr>
        <w:fldChar w:fldCharType="begin" w:fldLock="1"/>
      </w:r>
      <w:r w:rsidR="003B7A61">
        <w:rPr>
          <w:rFonts w:eastAsia="Times New Roman" w:cs="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[80]","plainTextFormattedCitation":"[80]","previouslyFormattedCitation":"[80]"},"properties":{"noteIndex":0},"schema":"https://github.com/citation-style-language/schema/raw/master/csl-citation.json"}</w:instrText>
      </w:r>
      <w:r w:rsidRPr="00952000">
        <w:rPr>
          <w:rFonts w:eastAsia="Times New Roman" w:cs="Times New Roman"/>
          <w:szCs w:val="24"/>
          <w:lang w:eastAsia="ru-RU"/>
        </w:rPr>
        <w:fldChar w:fldCharType="separate"/>
      </w:r>
      <w:r w:rsidRPr="00647057">
        <w:rPr>
          <w:rFonts w:eastAsia="Times New Roman" w:cs="Times New Roman"/>
          <w:noProof/>
          <w:szCs w:val="24"/>
          <w:lang w:eastAsia="ru-RU"/>
        </w:rPr>
        <w:t>[80]</w:t>
      </w:r>
      <w:r w:rsidRPr="00952000">
        <w:rPr>
          <w:rFonts w:eastAsia="Times New Roman" w:cs="Times New Roman"/>
          <w:szCs w:val="24"/>
          <w:lang w:eastAsia="ru-RU"/>
        </w:rPr>
        <w:fldChar w:fldCharType="end"/>
      </w:r>
      <w:r>
        <w:rPr>
          <w:rFonts w:eastAsia="Times New Roman" w:cs="Times New Roman"/>
          <w:szCs w:val="24"/>
          <w:lang w:eastAsia="ru-RU"/>
        </w:rPr>
        <w:t>. Существую</w:t>
      </w:r>
      <w:r w:rsidRPr="00952000">
        <w:rPr>
          <w:rFonts w:eastAsia="Times New Roman" w:cs="Times New Roman"/>
          <w:szCs w:val="24"/>
          <w:lang w:eastAsia="ru-RU"/>
        </w:rPr>
        <w:t>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w:t>
      </w:r>
      <w:r>
        <w:rPr>
          <w:rFonts w:eastAsia="Times New Roman" w:cs="Times New Roman"/>
          <w:szCs w:val="24"/>
          <w:lang w:eastAsia="ru-RU"/>
        </w:rPr>
        <w:t xml:space="preserve">. </w:t>
      </w:r>
    </w:p>
    <w:p w14:paraId="1974780A" w14:textId="77777777" w:rsidR="00647057" w:rsidRPr="00952000" w:rsidRDefault="00647057" w:rsidP="00647057">
      <w:pPr>
        <w:ind w:firstLine="708"/>
        <w:rPr>
          <w:rFonts w:eastAsia="Times New Roman" w:cs="Times New Roman"/>
          <w:i/>
          <w:szCs w:val="24"/>
          <w:lang w:eastAsia="ru-RU"/>
        </w:rPr>
      </w:pPr>
      <w:r w:rsidRPr="00952000">
        <w:rPr>
          <w:rFonts w:eastAsia="Times New Roman" w:cs="Times New Roman"/>
          <w:i/>
          <w:szCs w:val="24"/>
          <w:lang w:eastAsia="ru-RU"/>
        </w:rPr>
        <w:t xml:space="preserve">Туннелируемые катетеры </w:t>
      </w:r>
    </w:p>
    <w:p w14:paraId="242DDF57" w14:textId="76251CBD" w:rsidR="00647057" w:rsidRPr="00952000" w:rsidRDefault="00647057" w:rsidP="00647057">
      <w:pPr>
        <w:ind w:firstLine="708"/>
        <w:rPr>
          <w:rFonts w:eastAsia="Times New Roman" w:cs="Times New Roman"/>
          <w:strike/>
          <w:szCs w:val="24"/>
          <w:lang w:eastAsia="ru-RU"/>
        </w:rPr>
      </w:pPr>
      <w:r w:rsidRPr="00952000">
        <w:rPr>
          <w:rFonts w:eastAsia="Times New Roman" w:cs="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952000">
        <w:rPr>
          <w:rFonts w:eastAsia="Times New Roman" w:cs="Times New Roman"/>
          <w:szCs w:val="24"/>
          <w:lang w:eastAsia="ru-RU"/>
        </w:rPr>
        <w:fldChar w:fldCharType="begin" w:fldLock="1"/>
      </w:r>
      <w:r w:rsidR="003B7A61">
        <w:rPr>
          <w:rFonts w:eastAsia="Times New Roman" w:cs="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[81]","plainTextFormattedCitation":"[81]","previouslyFormattedCitation":"[81]"},"properties":{"noteIndex":0},"schema":"https://github.com/citation-style-language/schema/raw/master/csl-citation.json"}</w:instrText>
      </w:r>
      <w:r w:rsidRPr="00952000">
        <w:rPr>
          <w:rFonts w:eastAsia="Times New Roman" w:cs="Times New Roman"/>
          <w:szCs w:val="24"/>
          <w:lang w:eastAsia="ru-RU"/>
        </w:rPr>
        <w:fldChar w:fldCharType="separate"/>
      </w:r>
      <w:r w:rsidRPr="00647057">
        <w:rPr>
          <w:rFonts w:eastAsia="Times New Roman" w:cs="Times New Roman"/>
          <w:noProof/>
          <w:szCs w:val="24"/>
          <w:lang w:eastAsia="ru-RU"/>
        </w:rPr>
        <w:t>[81]</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0EDDDFEE" w14:textId="765F4CAC" w:rsidR="00647057" w:rsidRPr="00952000" w:rsidRDefault="00647057" w:rsidP="00647057">
      <w:pPr>
        <w:ind w:firstLine="708"/>
        <w:rPr>
          <w:rFonts w:eastAsia="Times New Roman" w:cs="Times New Roman"/>
          <w:szCs w:val="24"/>
          <w:lang w:eastAsia="ru-RU"/>
        </w:rPr>
      </w:pPr>
      <w:r w:rsidRPr="00952000">
        <w:rPr>
          <w:rFonts w:eastAsia="Times New Roman" w:cs="Times New Roman"/>
          <w:szCs w:val="24"/>
          <w:lang w:eastAsia="ru-RU"/>
        </w:rPr>
        <w:t>Туннелируемый тип катетера предпочтительнее нетуннелируемого</w:t>
      </w:r>
      <w:r>
        <w:rPr>
          <w:rFonts w:eastAsia="Times New Roman" w:cs="Times New Roman"/>
          <w:szCs w:val="24"/>
          <w:lang w:eastAsia="ru-RU"/>
        </w:rPr>
        <w:t>, особенно</w:t>
      </w:r>
      <w:r w:rsidRPr="00952000">
        <w:rPr>
          <w:rFonts w:eastAsia="Times New Roman" w:cs="Times New Roman"/>
          <w:szCs w:val="24"/>
          <w:lang w:eastAsia="ru-RU"/>
        </w:rPr>
        <w:t xml:space="preserve"> при необходимости проведения массивной инфузионной терапии </w:t>
      </w:r>
      <w:r>
        <w:rPr>
          <w:rFonts w:eastAsia="Times New Roman" w:cs="Times New Roman"/>
          <w:szCs w:val="24"/>
          <w:lang w:eastAsia="ru-RU"/>
        </w:rPr>
        <w:t>в течение более 3 недель</w:t>
      </w:r>
      <w:r w:rsidRPr="00952000">
        <w:rPr>
          <w:rFonts w:eastAsia="Times New Roman" w:cs="Times New Roman"/>
          <w:szCs w:val="24"/>
          <w:lang w:eastAsia="ru-RU"/>
        </w:rPr>
        <w:t xml:space="preserve">, особенно у онкогематологических пациентов </w:t>
      </w:r>
      <w:r w:rsidRPr="00952000">
        <w:rPr>
          <w:rFonts w:eastAsia="Times New Roman" w:cs="Times New Roman"/>
          <w:szCs w:val="24"/>
          <w:lang w:eastAsia="ru-RU"/>
        </w:rPr>
        <w:fldChar w:fldCharType="begin" w:fldLock="1"/>
      </w:r>
      <w:r w:rsidR="003B7A61">
        <w:rPr>
          <w:rFonts w:eastAsia="Times New Roman" w:cs="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[82]","plainTextFormattedCitation":"[82]","previouslyFormattedCitation":"[82]"},"properties":{"noteIndex":0},"schema":"https://github.com/citation-style-language/schema/raw/master/csl-citation.json"}</w:instrText>
      </w:r>
      <w:r w:rsidRPr="00952000">
        <w:rPr>
          <w:rFonts w:eastAsia="Times New Roman" w:cs="Times New Roman"/>
          <w:szCs w:val="24"/>
          <w:lang w:eastAsia="ru-RU"/>
        </w:rPr>
        <w:fldChar w:fldCharType="separate"/>
      </w:r>
      <w:r w:rsidRPr="00647057">
        <w:rPr>
          <w:rFonts w:eastAsia="Times New Roman" w:cs="Times New Roman"/>
          <w:noProof/>
          <w:szCs w:val="24"/>
          <w:lang w:eastAsia="ru-RU"/>
        </w:rPr>
        <w:t>[82]</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70E46056" w14:textId="77777777" w:rsidR="00647057" w:rsidRPr="00952000" w:rsidRDefault="00647057" w:rsidP="00647057">
      <w:pPr>
        <w:ind w:firstLine="708"/>
        <w:rPr>
          <w:rFonts w:eastAsia="Times New Roman" w:cs="Times New Roman"/>
          <w:i/>
          <w:szCs w:val="24"/>
          <w:lang w:eastAsia="ru-RU"/>
        </w:rPr>
      </w:pPr>
      <w:r w:rsidRPr="00952000">
        <w:rPr>
          <w:rFonts w:eastAsia="Times New Roman" w:cs="Times New Roman"/>
          <w:i/>
          <w:szCs w:val="24"/>
          <w:lang w:eastAsia="ru-RU"/>
        </w:rPr>
        <w:t xml:space="preserve">Порт-системы </w:t>
      </w:r>
    </w:p>
    <w:p w14:paraId="0450A9E6" w14:textId="55371E94" w:rsidR="00647057" w:rsidRPr="00952000" w:rsidRDefault="00647057" w:rsidP="00647057">
      <w:pPr>
        <w:ind w:firstLine="708"/>
        <w:rPr>
          <w:rFonts w:eastAsia="Times New Roman" w:cs="Times New Roman"/>
          <w:szCs w:val="24"/>
          <w:lang w:eastAsia="ru-RU"/>
        </w:rPr>
      </w:pPr>
      <w:r w:rsidRPr="00952000">
        <w:rPr>
          <w:rFonts w:eastAsia="Times New Roman" w:cs="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952000">
        <w:rPr>
          <w:rFonts w:eastAsia="Times New Roman" w:cs="Times New Roman"/>
          <w:strike/>
          <w:szCs w:val="24"/>
          <w:lang w:eastAsia="ru-RU"/>
        </w:rPr>
        <w:t xml:space="preserve"> </w:t>
      </w:r>
      <w:r w:rsidRPr="00952000">
        <w:rPr>
          <w:rFonts w:eastAsia="Times New Roman" w:cs="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952000">
        <w:rPr>
          <w:rFonts w:eastAsia="Times New Roman" w:cs="Times New Roman"/>
          <w:szCs w:val="24"/>
          <w:lang w:eastAsia="ru-RU"/>
        </w:rPr>
        <w:fldChar w:fldCharType="begin" w:fldLock="1"/>
      </w:r>
      <w:r w:rsidR="003B7A61">
        <w:rPr>
          <w:rFonts w:eastAsia="Times New Roman" w:cs="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[83]","plainTextFormattedCitation":"[83]","previouslyFormattedCitation":"[83]"},"properties":{"noteIndex":0},"schema":"https://github.com/citation-style-language/schema/raw/master/csl-citation.json"}</w:instrText>
      </w:r>
      <w:r w:rsidRPr="00952000">
        <w:rPr>
          <w:rFonts w:eastAsia="Times New Roman" w:cs="Times New Roman"/>
          <w:szCs w:val="24"/>
          <w:lang w:eastAsia="ru-RU"/>
        </w:rPr>
        <w:fldChar w:fldCharType="separate"/>
      </w:r>
      <w:r w:rsidRPr="00647057">
        <w:rPr>
          <w:rFonts w:eastAsia="Times New Roman" w:cs="Times New Roman"/>
          <w:noProof/>
          <w:szCs w:val="24"/>
          <w:lang w:eastAsia="ru-RU"/>
        </w:rPr>
        <w:t>[83]</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25928A56" w14:textId="77777777" w:rsidR="00647057" w:rsidRPr="00952000" w:rsidRDefault="00647057" w:rsidP="00647057">
      <w:pPr>
        <w:ind w:firstLine="708"/>
        <w:rPr>
          <w:rFonts w:eastAsia="Times New Roman" w:cs="Times New Roman"/>
          <w:szCs w:val="24"/>
          <w:lang w:eastAsia="ru-RU"/>
        </w:rPr>
      </w:pPr>
      <w:r w:rsidRPr="00952000">
        <w:rPr>
          <w:rFonts w:eastAsia="Times New Roman" w:cs="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01D1DE69" w14:textId="77777777" w:rsidR="00647057" w:rsidRPr="00952000" w:rsidRDefault="00647057" w:rsidP="00647057">
      <w:pPr>
        <w:ind w:firstLine="708"/>
        <w:rPr>
          <w:rFonts w:eastAsia="Times New Roman" w:cs="Times New Roman"/>
          <w:i/>
          <w:szCs w:val="24"/>
          <w:lang w:eastAsia="ru-RU"/>
        </w:rPr>
      </w:pPr>
      <w:r w:rsidRPr="00952000">
        <w:rPr>
          <w:rFonts w:eastAsia="Times New Roman" w:cs="Times New Roman"/>
          <w:i/>
          <w:szCs w:val="24"/>
          <w:lang w:eastAsia="ru-RU"/>
        </w:rPr>
        <w:t>Периферически имплантируемые центральные венозные катетеры.</w:t>
      </w:r>
    </w:p>
    <w:p w14:paraId="6B4E1B76" w14:textId="69250EF5" w:rsidR="00647057" w:rsidRPr="00952000" w:rsidRDefault="00647057" w:rsidP="00647057">
      <w:pPr>
        <w:ind w:firstLine="708"/>
        <w:rPr>
          <w:rFonts w:eastAsia="Times New Roman" w:cs="Times New Roman"/>
          <w:szCs w:val="24"/>
          <w:lang w:eastAsia="ru-RU"/>
        </w:rPr>
      </w:pPr>
      <w:r w:rsidRPr="00952000">
        <w:rPr>
          <w:rFonts w:eastAsia="Times New Roman" w:cs="Times New Roman"/>
          <w:szCs w:val="24"/>
          <w:lang w:eastAsia="ru-RU"/>
        </w:rPr>
        <w:t>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w:t>
      </w:r>
      <w:r>
        <w:rPr>
          <w:rFonts w:eastAsia="Times New Roman" w:cs="Times New Roman"/>
          <w:szCs w:val="24"/>
          <w:lang w:eastAsia="ru-RU"/>
        </w:rPr>
        <w:t xml:space="preserve"> </w:t>
      </w:r>
      <w:r w:rsidRPr="00952000">
        <w:rPr>
          <w:rFonts w:eastAsia="Times New Roman" w:cs="Times New Roman"/>
          <w:szCs w:val="24"/>
          <w:lang w:eastAsia="ru-RU"/>
        </w:rPr>
        <w:t xml:space="preserve">(химиотерапия,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952000">
        <w:rPr>
          <w:rFonts w:eastAsia="Times New Roman" w:cs="Times New Roman"/>
          <w:szCs w:val="24"/>
          <w:lang w:eastAsia="ru-RU"/>
        </w:rPr>
        <w:fldChar w:fldCharType="begin" w:fldLock="1"/>
      </w:r>
      <w:r w:rsidR="003B7A61">
        <w:rPr>
          <w:rFonts w:eastAsia="Times New Roman" w:cs="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mendeley":{"formattedCitation":"[84]","plainTextFormattedCitation":"[84]","previouslyFormattedCitation":"[84]"},"properties":{"noteIndex":0},"schema":"https://github.com/citation-style-language/schema/raw/master/csl-citation.json"}</w:instrText>
      </w:r>
      <w:r w:rsidRPr="00952000">
        <w:rPr>
          <w:rFonts w:eastAsia="Times New Roman" w:cs="Times New Roman"/>
          <w:szCs w:val="24"/>
          <w:lang w:eastAsia="ru-RU"/>
        </w:rPr>
        <w:fldChar w:fldCharType="separate"/>
      </w:r>
      <w:r w:rsidRPr="00647057">
        <w:rPr>
          <w:rFonts w:eastAsia="Times New Roman" w:cs="Times New Roman"/>
          <w:noProof/>
          <w:szCs w:val="24"/>
          <w:lang w:eastAsia="ru-RU"/>
        </w:rPr>
        <w:t>[84]</w:t>
      </w:r>
      <w:r w:rsidRPr="00952000">
        <w:rPr>
          <w:rFonts w:eastAsia="Times New Roman" w:cs="Times New Roman"/>
          <w:szCs w:val="24"/>
          <w:lang w:eastAsia="ru-RU"/>
        </w:rPr>
        <w:fldChar w:fldCharType="end"/>
      </w:r>
      <w:r w:rsidRPr="00952000">
        <w:rPr>
          <w:rFonts w:eastAsia="Times New Roman" w:cs="Times New Roman"/>
          <w:szCs w:val="24"/>
          <w:lang w:eastAsia="ru-RU"/>
        </w:rPr>
        <w:fldChar w:fldCharType="begin" w:fldLock="1"/>
      </w:r>
      <w:r w:rsidR="003B7A61">
        <w:rPr>
          <w:rFonts w:eastAsia="Times New Roman" w:cs="Times New Roman"/>
          <w:szCs w:val="24"/>
          <w:lang w:val="en-US" w:eastAsia="ru-RU"/>
        </w:rPr>
        <w:instrText>ADDIN CSL_CITATION {"citationItems":[{"id":"ITEM-1","itemData":{"DOI":"10.1007/978-88-470-5665-7_1","author":[{"dropping-particle":"","family":"Biffi","given":"Roberto","non-dropping-particle":"","parse-names":false,"suffix":""}],"container-title":"Peripherally Inserted Central Venous Catheters","id":"ITEM-1","issued":{"date-parts":[["2014"]]},"page":"1-6","publisher":"Springer Milan","publisher-place":"Milano","title":"Introduction and Overview of PICC History","type":"chapter"},"uris":["http://www.mendeley.com/documents/?uuid=7dba9d59-13c1-354f-9c32-ced4c0b75a01","http://www.mendeley.com/documents/?uuid=575e509f-3cbc-47da-b3dc-996cea404095"]}],"mendeley":{"formattedCitation":"[85]","plainTextFormattedCitation":"[85]","previouslyFormattedCitation":"[85]"},"properties":{"noteIndex":0},"schema":"https://github.com/citation-style-language/schema/raw/master/csl-citation.json"}</w:instrText>
      </w:r>
      <w:r w:rsidRPr="00952000">
        <w:rPr>
          <w:rFonts w:eastAsia="Times New Roman" w:cs="Times New Roman"/>
          <w:szCs w:val="24"/>
          <w:lang w:eastAsia="ru-RU"/>
        </w:rPr>
        <w:fldChar w:fldCharType="separate"/>
      </w:r>
      <w:r w:rsidRPr="00647057">
        <w:rPr>
          <w:rFonts w:eastAsia="Times New Roman" w:cs="Times New Roman"/>
          <w:noProof/>
          <w:szCs w:val="24"/>
          <w:lang w:eastAsia="ru-RU"/>
        </w:rPr>
        <w:t>[85]</w:t>
      </w:r>
      <w:r w:rsidRPr="00952000">
        <w:rPr>
          <w:rFonts w:eastAsia="Times New Roman" w:cs="Times New Roman"/>
          <w:szCs w:val="24"/>
          <w:lang w:eastAsia="ru-RU"/>
        </w:rPr>
        <w:fldChar w:fldCharType="end"/>
      </w:r>
      <w:r w:rsidRPr="00952000">
        <w:rPr>
          <w:rFonts w:eastAsia="Times New Roman" w:cs="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2E807C5A" w14:textId="77777777" w:rsidR="00647057" w:rsidRPr="00952000" w:rsidRDefault="00647057" w:rsidP="00647057">
      <w:pPr>
        <w:ind w:firstLine="708"/>
        <w:rPr>
          <w:rFonts w:eastAsia="Times New Roman" w:cs="Times New Roman"/>
          <w:i/>
          <w:szCs w:val="24"/>
          <w:lang w:eastAsia="ru-RU"/>
        </w:rPr>
      </w:pPr>
      <w:r w:rsidRPr="00952000">
        <w:rPr>
          <w:rFonts w:eastAsia="Times New Roman" w:cs="Times New Roman"/>
          <w:i/>
          <w:szCs w:val="24"/>
          <w:lang w:eastAsia="ru-RU"/>
        </w:rPr>
        <w:t>Диализные катетеры.</w:t>
      </w:r>
    </w:p>
    <w:p w14:paraId="122F4444" w14:textId="77777777" w:rsidR="00647057" w:rsidRPr="00952000" w:rsidRDefault="00647057" w:rsidP="00647057">
      <w:pPr>
        <w:ind w:firstLine="700"/>
        <w:rPr>
          <w:rFonts w:cs="Times New Roman"/>
          <w:szCs w:val="24"/>
        </w:rPr>
      </w:pPr>
      <w:r w:rsidRPr="00952000">
        <w:rPr>
          <w:rFonts w:eastAsia="Times New Roman" w:cs="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952000">
        <w:rPr>
          <w:rFonts w:cs="Times New Roman"/>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3A5AA7B1" w14:textId="77777777" w:rsidR="00647057" w:rsidRPr="00781F82" w:rsidRDefault="00647057" w:rsidP="00647057">
      <w:pPr>
        <w:rPr>
          <w:rFonts w:cs="Times New Roman"/>
          <w:i/>
          <w:iCs/>
          <w:szCs w:val="24"/>
          <w:u w:val="single"/>
        </w:rPr>
      </w:pPr>
      <w:r w:rsidRPr="00781F82">
        <w:rPr>
          <w:rFonts w:cs="Times New Roman"/>
          <w:i/>
          <w:iCs/>
          <w:szCs w:val="24"/>
          <w:u w:val="single"/>
        </w:rPr>
        <w:t>Осложнения</w:t>
      </w:r>
      <w:r w:rsidRPr="00781F82">
        <w:rPr>
          <w:rFonts w:eastAsia="Times New Roman" w:cs="Times New Roman"/>
          <w:i/>
          <w:iCs/>
          <w:szCs w:val="24"/>
          <w:u w:val="single"/>
          <w:lang w:eastAsia="ru-RU"/>
        </w:rPr>
        <w:t xml:space="preserve"> катетеризации центральных вен</w:t>
      </w:r>
    </w:p>
    <w:p w14:paraId="42DFF39D" w14:textId="77777777" w:rsidR="00647057" w:rsidRPr="00952000" w:rsidRDefault="00647057" w:rsidP="00647057">
      <w:pPr>
        <w:rPr>
          <w:rFonts w:eastAsia="Times New Roman" w:cs="Times New Roman"/>
          <w:szCs w:val="24"/>
          <w:lang w:eastAsia="ru-RU"/>
        </w:rPr>
      </w:pPr>
      <w:r w:rsidRPr="00952000">
        <w:rPr>
          <w:rFonts w:eastAsia="Times New Roman" w:cs="Times New Roman"/>
          <w:i/>
          <w:szCs w:val="24"/>
          <w:lang w:eastAsia="ru-RU"/>
        </w:rPr>
        <w:t>К ранним осложнениям</w:t>
      </w:r>
      <w:r w:rsidRPr="00952000">
        <w:rPr>
          <w:rFonts w:eastAsia="Times New Roman" w:cs="Times New Roman"/>
          <w:szCs w:val="24"/>
          <w:lang w:eastAsia="ru-RU"/>
        </w:rPr>
        <w:t xml:space="preserve"> относят возникшие во время проведения манипуляции:</w:t>
      </w:r>
    </w:p>
    <w:p w14:paraId="24919E5C" w14:textId="77777777" w:rsidR="00647057" w:rsidRPr="00952000" w:rsidRDefault="00647057" w:rsidP="000768AC">
      <w:pPr>
        <w:pStyle w:val="afe"/>
        <w:numPr>
          <w:ilvl w:val="0"/>
          <w:numId w:val="86"/>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магистральных артерий, </w:t>
      </w:r>
    </w:p>
    <w:p w14:paraId="0174FE7A" w14:textId="77777777" w:rsidR="00647057" w:rsidRPr="00952000" w:rsidRDefault="00647057" w:rsidP="000768AC">
      <w:pPr>
        <w:pStyle w:val="afe"/>
        <w:numPr>
          <w:ilvl w:val="0"/>
          <w:numId w:val="86"/>
        </w:numPr>
        <w:ind w:left="993" w:hanging="284"/>
        <w:rPr>
          <w:rFonts w:eastAsia="Times New Roman" w:cs="Times New Roman"/>
          <w:szCs w:val="24"/>
          <w:lang w:eastAsia="ru-RU"/>
        </w:rPr>
      </w:pPr>
      <w:r w:rsidRPr="00952000">
        <w:rPr>
          <w:rFonts w:eastAsia="Times New Roman" w:cs="Times New Roman"/>
          <w:szCs w:val="24"/>
          <w:lang w:eastAsia="ru-RU"/>
        </w:rPr>
        <w:t>развитие гематомы в месте пункции сосуда</w:t>
      </w:r>
    </w:p>
    <w:p w14:paraId="005333A4" w14:textId="77777777" w:rsidR="00647057" w:rsidRPr="00952000" w:rsidRDefault="00647057" w:rsidP="000768AC">
      <w:pPr>
        <w:pStyle w:val="afe"/>
        <w:numPr>
          <w:ilvl w:val="0"/>
          <w:numId w:val="86"/>
        </w:numPr>
        <w:ind w:left="993" w:hanging="284"/>
        <w:rPr>
          <w:rFonts w:eastAsia="Times New Roman" w:cs="Times New Roman"/>
          <w:szCs w:val="24"/>
          <w:lang w:eastAsia="ru-RU"/>
        </w:rPr>
      </w:pPr>
      <w:r w:rsidRPr="00952000">
        <w:rPr>
          <w:rFonts w:eastAsia="Times New Roman" w:cs="Times New Roman"/>
          <w:szCs w:val="24"/>
          <w:lang w:eastAsia="ru-RU"/>
        </w:rPr>
        <w:t xml:space="preserve">развитие пневмоторакса, гемоторакса, </w:t>
      </w:r>
    </w:p>
    <w:p w14:paraId="12F0B93A" w14:textId="77777777" w:rsidR="00647057" w:rsidRPr="00952000" w:rsidRDefault="00647057" w:rsidP="000768AC">
      <w:pPr>
        <w:pStyle w:val="afe"/>
        <w:numPr>
          <w:ilvl w:val="0"/>
          <w:numId w:val="86"/>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грудного лимфатического протока, </w:t>
      </w:r>
    </w:p>
    <w:p w14:paraId="37FEB036" w14:textId="77777777" w:rsidR="00647057" w:rsidRPr="00952000" w:rsidRDefault="00647057" w:rsidP="000768AC">
      <w:pPr>
        <w:pStyle w:val="afe"/>
        <w:numPr>
          <w:ilvl w:val="0"/>
          <w:numId w:val="86"/>
        </w:numPr>
        <w:ind w:left="993" w:hanging="284"/>
        <w:rPr>
          <w:rFonts w:eastAsia="Times New Roman" w:cs="Times New Roman"/>
          <w:szCs w:val="24"/>
          <w:lang w:eastAsia="ru-RU"/>
        </w:rPr>
      </w:pPr>
      <w:r w:rsidRPr="00952000">
        <w:rPr>
          <w:rFonts w:eastAsia="Times New Roman" w:cs="Times New Roman"/>
          <w:szCs w:val="24"/>
          <w:lang w:eastAsia="ru-RU"/>
        </w:rPr>
        <w:t xml:space="preserve">повреждение нервных сплетений, </w:t>
      </w:r>
    </w:p>
    <w:p w14:paraId="40BAD64B" w14:textId="77777777" w:rsidR="00647057" w:rsidRPr="00952000" w:rsidRDefault="00647057" w:rsidP="000768AC">
      <w:pPr>
        <w:pStyle w:val="afe"/>
        <w:numPr>
          <w:ilvl w:val="0"/>
          <w:numId w:val="86"/>
        </w:numPr>
        <w:ind w:left="993" w:hanging="284"/>
        <w:rPr>
          <w:rFonts w:eastAsia="Times New Roman" w:cs="Times New Roman"/>
          <w:szCs w:val="24"/>
          <w:lang w:eastAsia="ru-RU"/>
        </w:rPr>
      </w:pPr>
      <w:r w:rsidRPr="00952000">
        <w:rPr>
          <w:rFonts w:eastAsia="Times New Roman" w:cs="Times New Roman"/>
          <w:szCs w:val="24"/>
          <w:lang w:eastAsia="ru-RU"/>
        </w:rPr>
        <w:t>неправильная установка катетера</w:t>
      </w:r>
    </w:p>
    <w:p w14:paraId="5ABBCA72" w14:textId="77777777" w:rsidR="00647057" w:rsidRPr="00952000" w:rsidRDefault="00647057" w:rsidP="00647057">
      <w:pPr>
        <w:rPr>
          <w:rFonts w:cs="Times New Roman"/>
          <w:szCs w:val="24"/>
        </w:rPr>
      </w:pPr>
      <w:r w:rsidRPr="00952000">
        <w:rPr>
          <w:rFonts w:cs="Times New Roman"/>
          <w:i/>
          <w:iCs/>
          <w:szCs w:val="24"/>
        </w:rPr>
        <w:t>Поздние осложнения</w:t>
      </w:r>
      <w:r>
        <w:rPr>
          <w:rFonts w:cs="Times New Roman"/>
          <w:i/>
          <w:iCs/>
          <w:szCs w:val="24"/>
        </w:rPr>
        <w:t>,</w:t>
      </w:r>
      <w:r w:rsidRPr="00952000">
        <w:rPr>
          <w:rFonts w:cs="Times New Roman"/>
          <w:szCs w:val="24"/>
        </w:rPr>
        <w:t xml:space="preserve"> возникающие во время или после эксплуатации катетера</w:t>
      </w:r>
      <w:r>
        <w:rPr>
          <w:rFonts w:cs="Times New Roman"/>
          <w:szCs w:val="24"/>
        </w:rPr>
        <w:t>,</w:t>
      </w:r>
      <w:r w:rsidRPr="00952000">
        <w:rPr>
          <w:rFonts w:cs="Times New Roman"/>
          <w:szCs w:val="24"/>
        </w:rPr>
        <w:t xml:space="preserve"> бывают тромботическими, стенотическими и инфекционными.</w:t>
      </w:r>
    </w:p>
    <w:p w14:paraId="71525107" w14:textId="77777777" w:rsidR="00647057" w:rsidRPr="00952000" w:rsidRDefault="00647057" w:rsidP="00647057">
      <w:pPr>
        <w:ind w:firstLine="708"/>
        <w:rPr>
          <w:rFonts w:cs="Times New Roman"/>
          <w:szCs w:val="24"/>
        </w:rPr>
      </w:pPr>
      <w:r w:rsidRPr="00952000">
        <w:rPr>
          <w:rFonts w:cs="Times New Roman"/>
          <w:szCs w:val="24"/>
        </w:rPr>
        <w:t>Под катетер-ассоциированным тромбозом (</w:t>
      </w:r>
      <w:r w:rsidRPr="00952000">
        <w:rPr>
          <w:rFonts w:cs="Times New Roman"/>
          <w:i/>
          <w:szCs w:val="24"/>
        </w:rPr>
        <w:t xml:space="preserve">КАТ) </w:t>
      </w:r>
      <w:r w:rsidRPr="00952000">
        <w:rPr>
          <w:rFonts w:cs="Times New Roman"/>
          <w:szCs w:val="24"/>
        </w:rPr>
        <w:t xml:space="preserve">понимают сочетание клинических и инструментальных признаков тромбоза. </w:t>
      </w:r>
    </w:p>
    <w:p w14:paraId="7DFB5CAB" w14:textId="77777777" w:rsidR="00647057" w:rsidRPr="00952000" w:rsidRDefault="00647057" w:rsidP="000768AC">
      <w:pPr>
        <w:pStyle w:val="afe"/>
        <w:numPr>
          <w:ilvl w:val="0"/>
          <w:numId w:val="90"/>
        </w:numPr>
        <w:ind w:left="0" w:firstLine="349"/>
        <w:rPr>
          <w:rFonts w:cs="Times New Roman"/>
          <w:szCs w:val="24"/>
        </w:rPr>
      </w:pPr>
      <w:r w:rsidRPr="00952000">
        <w:rPr>
          <w:rFonts w:cs="Times New Roman"/>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2F1F1850" w14:textId="77777777" w:rsidR="00647057" w:rsidRPr="00952000" w:rsidRDefault="00647057" w:rsidP="000768AC">
      <w:pPr>
        <w:pStyle w:val="afe"/>
        <w:numPr>
          <w:ilvl w:val="0"/>
          <w:numId w:val="90"/>
        </w:numPr>
        <w:ind w:left="0" w:firstLine="349"/>
        <w:rPr>
          <w:rFonts w:cs="Times New Roman"/>
          <w:szCs w:val="24"/>
        </w:rPr>
      </w:pPr>
      <w:r w:rsidRPr="00952000">
        <w:rPr>
          <w:rFonts w:cs="Times New Roman"/>
          <w:szCs w:val="24"/>
        </w:rPr>
        <w:t xml:space="preserve">Инструментальные признаки: выявление при </w:t>
      </w:r>
      <w:r w:rsidRPr="00952000">
        <w:rPr>
          <w:rFonts w:cs="Times New Roman"/>
          <w:i/>
          <w:szCs w:val="24"/>
        </w:rPr>
        <w:t>УЗИ</w:t>
      </w:r>
      <w:r w:rsidRPr="00952000">
        <w:rPr>
          <w:rFonts w:cs="Times New Roman"/>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952000">
        <w:rPr>
          <w:rFonts w:cs="Times New Roman"/>
          <w:i/>
          <w:szCs w:val="24"/>
        </w:rPr>
        <w:t>КТ-ангиографии или прямой ангиографии</w:t>
      </w:r>
      <w:r w:rsidRPr="00952000">
        <w:rPr>
          <w:rFonts w:cs="Times New Roman"/>
          <w:szCs w:val="24"/>
        </w:rPr>
        <w:t>.</w:t>
      </w:r>
    </w:p>
    <w:p w14:paraId="56F48935" w14:textId="77777777" w:rsidR="00647057" w:rsidRPr="00952000" w:rsidRDefault="00647057" w:rsidP="00647057">
      <w:pPr>
        <w:pStyle w:val="afd"/>
      </w:pPr>
      <w:r w:rsidRPr="00952000">
        <w:t xml:space="preserve">Тромботические осложнения, ассоциированные с ЦВК, можно разделить на три вида: </w:t>
      </w:r>
    </w:p>
    <w:p w14:paraId="7E408F6A" w14:textId="77777777" w:rsidR="00647057" w:rsidRPr="00952000" w:rsidRDefault="00647057" w:rsidP="000768AC">
      <w:pPr>
        <w:pStyle w:val="afd"/>
        <w:numPr>
          <w:ilvl w:val="0"/>
          <w:numId w:val="87"/>
        </w:numPr>
        <w:spacing w:before="0" w:beforeAutospacing="0" w:after="0" w:afterAutospacing="0"/>
      </w:pPr>
      <w:r w:rsidRPr="00952000">
        <w:t xml:space="preserve">«фибриновый чехол», </w:t>
      </w:r>
    </w:p>
    <w:p w14:paraId="0DCADB8F" w14:textId="77777777" w:rsidR="00647057" w:rsidRPr="00952000" w:rsidRDefault="00647057" w:rsidP="000768AC">
      <w:pPr>
        <w:pStyle w:val="afd"/>
        <w:numPr>
          <w:ilvl w:val="0"/>
          <w:numId w:val="87"/>
        </w:numPr>
        <w:spacing w:before="0" w:beforeAutospacing="0" w:after="0" w:afterAutospacing="0"/>
      </w:pPr>
      <w:r w:rsidRPr="00952000">
        <w:t>обструкция катетера</w:t>
      </w:r>
    </w:p>
    <w:p w14:paraId="3A55AEC7" w14:textId="77777777" w:rsidR="00647057" w:rsidRPr="00952000" w:rsidRDefault="00647057" w:rsidP="000768AC">
      <w:pPr>
        <w:pStyle w:val="afd"/>
        <w:numPr>
          <w:ilvl w:val="0"/>
          <w:numId w:val="87"/>
        </w:numPr>
        <w:spacing w:before="0" w:beforeAutospacing="0" w:after="0" w:afterAutospacing="0"/>
      </w:pPr>
      <w:r w:rsidRPr="00952000">
        <w:t>пристеночный или обтурирующий внутрисосудистый тромбоз.</w:t>
      </w:r>
    </w:p>
    <w:p w14:paraId="041EDA1E" w14:textId="6E389679" w:rsidR="00647057" w:rsidRPr="00952000" w:rsidRDefault="00647057" w:rsidP="00647057">
      <w:pPr>
        <w:pStyle w:val="afd"/>
      </w:pPr>
      <w:r w:rsidRPr="00952000">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952000">
        <w:fldChar w:fldCharType="begin" w:fldLock="1"/>
      </w:r>
      <w:r w:rsidR="003B7A61">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[86,87]","plainTextFormattedCitation":"[86,87]","previouslyFormattedCitation":"[86,87]"},"properties":{"noteIndex":0},"schema":"https://github.com/citation-style-language/schema/raw/master/csl-citation.json"}</w:instrText>
      </w:r>
      <w:r w:rsidRPr="00952000">
        <w:fldChar w:fldCharType="separate"/>
      </w:r>
      <w:r w:rsidRPr="00647057">
        <w:rPr>
          <w:noProof/>
        </w:rPr>
        <w:t>[86,87]</w:t>
      </w:r>
      <w:r w:rsidRPr="00952000">
        <w:fldChar w:fldCharType="end"/>
      </w:r>
      <w:r w:rsidRPr="00952000">
        <w:t xml:space="preserve">. Факторы, предрасполагающие к развитию КАТ, разделяют на три группы: </w:t>
      </w:r>
    </w:p>
    <w:p w14:paraId="2EA271DD" w14:textId="77777777" w:rsidR="00647057" w:rsidRPr="00952000" w:rsidRDefault="00647057" w:rsidP="000768AC">
      <w:pPr>
        <w:pStyle w:val="afd"/>
        <w:numPr>
          <w:ilvl w:val="0"/>
          <w:numId w:val="95"/>
        </w:numPr>
        <w:spacing w:before="0" w:beforeAutospacing="0" w:after="0" w:afterAutospacing="0"/>
      </w:pPr>
      <w:r w:rsidRPr="00952000">
        <w:t xml:space="preserve">связанные с пациентом (пол, возраст, наличие опухолевого заболевания, тромбофилии); </w:t>
      </w:r>
    </w:p>
    <w:p w14:paraId="28F6F145" w14:textId="77777777" w:rsidR="00647057" w:rsidRPr="00952000" w:rsidRDefault="00647057" w:rsidP="000768AC">
      <w:pPr>
        <w:pStyle w:val="afd"/>
        <w:numPr>
          <w:ilvl w:val="0"/>
          <w:numId w:val="95"/>
        </w:numPr>
        <w:spacing w:before="0" w:beforeAutospacing="0" w:after="0" w:afterAutospacing="0"/>
      </w:pPr>
      <w:r w:rsidRPr="00952000">
        <w:t xml:space="preserve">связанные с катетером (большой диаметр, материал катетера, т.е. «жесткий» катетер); </w:t>
      </w:r>
    </w:p>
    <w:p w14:paraId="2492B092" w14:textId="77777777" w:rsidR="00647057" w:rsidRPr="00952000" w:rsidRDefault="00647057" w:rsidP="000768AC">
      <w:pPr>
        <w:pStyle w:val="afd"/>
        <w:numPr>
          <w:ilvl w:val="0"/>
          <w:numId w:val="95"/>
        </w:numPr>
        <w:spacing w:before="0" w:beforeAutospacing="0" w:after="0" w:afterAutospacing="0"/>
      </w:pPr>
      <w:r w:rsidRPr="00952000">
        <w:t xml:space="preserve">связанные с лечением (химиотерапия, парентеральное питание и введение других раздражающих веществ). </w:t>
      </w:r>
    </w:p>
    <w:p w14:paraId="2A8C95FA" w14:textId="77777777" w:rsidR="00647057" w:rsidRPr="00952000" w:rsidRDefault="00647057" w:rsidP="00647057">
      <w:pPr>
        <w:ind w:firstLine="708"/>
        <w:rPr>
          <w:rFonts w:cs="Times New Roman"/>
          <w:strike/>
          <w:szCs w:val="24"/>
        </w:rPr>
      </w:pPr>
      <w:r w:rsidRPr="00952000">
        <w:rPr>
          <w:rFonts w:cs="Times New Roman"/>
          <w:szCs w:val="24"/>
        </w:rPr>
        <w:t>Наличие опухолевого заболевания увеличивает риск тромбоза.</w:t>
      </w:r>
    </w:p>
    <w:p w14:paraId="6E624F7D" w14:textId="74814E75" w:rsidR="00647057" w:rsidRPr="00952000" w:rsidRDefault="00647057" w:rsidP="00647057">
      <w:pPr>
        <w:ind w:firstLine="708"/>
        <w:rPr>
          <w:rFonts w:cs="Times New Roman"/>
          <w:szCs w:val="24"/>
        </w:rPr>
      </w:pPr>
      <w:r w:rsidRPr="00952000">
        <w:rPr>
          <w:rFonts w:cs="Times New Roman"/>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952000">
        <w:rPr>
          <w:rFonts w:cs="Times New Roman"/>
          <w:szCs w:val="24"/>
        </w:rPr>
        <w:fldChar w:fldCharType="begin" w:fldLock="1"/>
      </w:r>
      <w:r w:rsidR="003B7A61">
        <w:rPr>
          <w:rFonts w:cs="Times New Roman"/>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[88]","plainTextFormattedCitation":"[88]","previouslyFormattedCitation":"[88]"},"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[88]</w:t>
      </w:r>
      <w:r w:rsidRPr="00952000">
        <w:rPr>
          <w:rFonts w:cs="Times New Roman"/>
          <w:szCs w:val="24"/>
        </w:rPr>
        <w:fldChar w:fldCharType="end"/>
      </w:r>
      <w:r w:rsidRPr="00952000">
        <w:rPr>
          <w:rFonts w:cs="Times New Roman"/>
          <w:szCs w:val="24"/>
        </w:rPr>
        <w:t xml:space="preserve">. При сравнении силиконовых и полиуретановых катетеров, установленных в вены плеча, значимой разницы </w:t>
      </w:r>
      <w:r w:rsidRPr="00DB2B4A">
        <w:rPr>
          <w:rFonts w:cs="Times New Roman"/>
          <w:szCs w:val="24"/>
        </w:rPr>
        <w:t xml:space="preserve">в частоте развития КАТ </w:t>
      </w:r>
      <w:r w:rsidRPr="00952000">
        <w:rPr>
          <w:rFonts w:cs="Times New Roman"/>
          <w:szCs w:val="24"/>
        </w:rPr>
        <w:t xml:space="preserve">не выявили, но отмечен факт повреждения эндотелия, способствующего развитию тромбоза </w:t>
      </w:r>
      <w:r w:rsidRPr="00952000">
        <w:rPr>
          <w:rFonts w:cs="Times New Roman"/>
          <w:szCs w:val="24"/>
        </w:rPr>
        <w:fldChar w:fldCharType="begin" w:fldLock="1"/>
      </w:r>
      <w:r w:rsidR="003B7A61">
        <w:rPr>
          <w:rFonts w:cs="Times New Roman"/>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[89]","plainTextFormattedCitation":"[89]","previouslyFormattedCitation":"[89]"},"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[89]</w:t>
      </w:r>
      <w:r w:rsidRPr="00952000">
        <w:rPr>
          <w:rFonts w:cs="Times New Roman"/>
          <w:szCs w:val="24"/>
        </w:rPr>
        <w:fldChar w:fldCharType="end"/>
      </w:r>
      <w:r w:rsidRPr="00952000">
        <w:rPr>
          <w:rFonts w:cs="Times New Roman"/>
          <w:szCs w:val="24"/>
        </w:rPr>
        <w:t xml:space="preserve">. Также в патогенезе развития КАТ значимы такие факторы, как травматичность установки </w:t>
      </w:r>
      <w:r w:rsidRPr="00DE117D">
        <w:rPr>
          <w:rFonts w:cs="Times New Roman"/>
          <w:strike/>
          <w:szCs w:val="24"/>
        </w:rPr>
        <w:t>катетера</w:t>
      </w:r>
      <w:r w:rsidRPr="00952000">
        <w:rPr>
          <w:rFonts w:cs="Times New Roman"/>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952000">
        <w:rPr>
          <w:rFonts w:eastAsia="Times New Roman" w:cs="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952000">
        <w:rPr>
          <w:rFonts w:eastAsia="Arial Unicode MS" w:cs="Times New Roman"/>
          <w:szCs w:val="24"/>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952000">
        <w:rPr>
          <w:rFonts w:eastAsia="Arial Unicode MS" w:cs="Times New Roman"/>
          <w:szCs w:val="24"/>
        </w:rPr>
        <w:fldChar w:fldCharType="begin" w:fldLock="1"/>
      </w:r>
      <w:r w:rsidR="003B7A61">
        <w:rPr>
          <w:rFonts w:eastAsia="Arial Unicode MS" w:cs="Times New Roman"/>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[90]","plainTextFormattedCitation":"[90]","previouslyFormattedCitation":"[90]"},"properties":{"noteIndex":0},"schema":"https://github.com/citation-style-language/schema/raw/master/csl-citation.json"}</w:instrText>
      </w:r>
      <w:r w:rsidRPr="00952000">
        <w:rPr>
          <w:rFonts w:eastAsia="Arial Unicode MS" w:cs="Times New Roman"/>
          <w:szCs w:val="24"/>
        </w:rPr>
        <w:fldChar w:fldCharType="separate"/>
      </w:r>
      <w:r w:rsidRPr="00647057">
        <w:rPr>
          <w:rFonts w:eastAsia="Arial Unicode MS" w:cs="Times New Roman"/>
          <w:noProof/>
          <w:szCs w:val="24"/>
        </w:rPr>
        <w:t>[90]</w:t>
      </w:r>
      <w:r w:rsidRPr="00952000">
        <w:rPr>
          <w:rFonts w:eastAsia="Arial Unicode MS" w:cs="Times New Roman"/>
          <w:szCs w:val="24"/>
        </w:rPr>
        <w:fldChar w:fldCharType="end"/>
      </w:r>
      <w:r w:rsidRPr="00952000">
        <w:rPr>
          <w:rFonts w:eastAsia="Arial Unicode MS" w:cs="Times New Roman"/>
          <w:szCs w:val="24"/>
        </w:rPr>
        <w:t xml:space="preserve">. </w:t>
      </w:r>
      <w:r w:rsidRPr="00952000">
        <w:rPr>
          <w:rFonts w:cs="Times New Roman"/>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952000">
        <w:rPr>
          <w:rFonts w:cs="Times New Roman"/>
          <w:szCs w:val="24"/>
        </w:rPr>
        <w:fldChar w:fldCharType="begin" w:fldLock="1"/>
      </w:r>
      <w:r w:rsidR="003B7A61">
        <w:rPr>
          <w:rFonts w:cs="Times New Roman"/>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[91]","plainTextFormattedCitation":"[91]","previouslyFormattedCitation":"[91]"},"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[91]</w:t>
      </w:r>
      <w:r w:rsidRPr="00952000">
        <w:rPr>
          <w:rFonts w:cs="Times New Roman"/>
          <w:szCs w:val="24"/>
        </w:rPr>
        <w:fldChar w:fldCharType="end"/>
      </w:r>
      <w:r w:rsidRPr="00952000">
        <w:rPr>
          <w:rFonts w:cs="Times New Roman"/>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952000">
        <w:rPr>
          <w:rFonts w:cs="Times New Roman"/>
          <w:szCs w:val="24"/>
        </w:rPr>
        <w:fldChar w:fldCharType="begin" w:fldLock="1"/>
      </w:r>
      <w:r w:rsidR="003B7A61">
        <w:rPr>
          <w:rFonts w:cs="Times New Roman"/>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[92]","plainTextFormattedCitation":"[92]","previouslyFormattedCitation":"[92]"},"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[92]</w:t>
      </w:r>
      <w:r w:rsidRPr="00952000">
        <w:rPr>
          <w:rFonts w:cs="Times New Roman"/>
          <w:szCs w:val="24"/>
        </w:rPr>
        <w:fldChar w:fldCharType="end"/>
      </w:r>
      <w:r w:rsidRPr="00952000">
        <w:rPr>
          <w:rFonts w:cs="Times New Roman"/>
          <w:szCs w:val="24"/>
        </w:rPr>
        <w:t>, что особенно важно при диагностике катетерассоциированного стеноза (КА</w:t>
      </w:r>
      <w:r w:rsidRPr="00952000">
        <w:rPr>
          <w:rFonts w:cs="Times New Roman"/>
          <w:szCs w:val="24"/>
          <w:lang w:val="en-US"/>
        </w:rPr>
        <w:t>C</w:t>
      </w:r>
      <w:r w:rsidRPr="00952000">
        <w:rPr>
          <w:rFonts w:cs="Times New Roman"/>
          <w:szCs w:val="24"/>
        </w:rPr>
        <w:t xml:space="preserve">). </w:t>
      </w:r>
    </w:p>
    <w:p w14:paraId="4C906D0A" w14:textId="626AD4D5" w:rsidR="00647057" w:rsidRPr="00952000" w:rsidRDefault="00647057" w:rsidP="00647057">
      <w:pPr>
        <w:ind w:firstLine="708"/>
        <w:rPr>
          <w:rFonts w:cs="Times New Roman"/>
          <w:b/>
          <w:szCs w:val="24"/>
        </w:rPr>
      </w:pPr>
      <w:r w:rsidRPr="00952000">
        <w:rPr>
          <w:rFonts w:cs="Times New Roman"/>
          <w:szCs w:val="24"/>
        </w:rPr>
        <w:t>Катетер-ассоциированый стеноз (</w:t>
      </w:r>
      <w:r w:rsidRPr="00952000">
        <w:rPr>
          <w:rFonts w:cs="Times New Roman"/>
          <w:i/>
          <w:szCs w:val="24"/>
        </w:rPr>
        <w:t>КАС)</w:t>
      </w:r>
      <w:r w:rsidRPr="00952000">
        <w:rPr>
          <w:rFonts w:cs="Times New Roman"/>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952000">
        <w:rPr>
          <w:rFonts w:cs="Times New Roman"/>
          <w:szCs w:val="24"/>
        </w:rPr>
        <w:fldChar w:fldCharType="begin" w:fldLock="1"/>
      </w:r>
      <w:r w:rsidR="003B7A61">
        <w:rPr>
          <w:rFonts w:cs="Times New Roman"/>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[93]","plainTextFormattedCitation":"[93]","previouslyFormattedCitation":"[93]"},"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[93]</w:t>
      </w:r>
      <w:r w:rsidRPr="00952000">
        <w:rPr>
          <w:rFonts w:cs="Times New Roman"/>
          <w:szCs w:val="24"/>
        </w:rPr>
        <w:fldChar w:fldCharType="end"/>
      </w:r>
      <w:r w:rsidRPr="00952000">
        <w:rPr>
          <w:rFonts w:cs="Times New Roman"/>
          <w:szCs w:val="24"/>
        </w:rPr>
        <w:t>.</w:t>
      </w:r>
    </w:p>
    <w:p w14:paraId="5BB3F192" w14:textId="1BD54A49" w:rsidR="00647057" w:rsidRPr="00952000" w:rsidRDefault="00647057" w:rsidP="00647057">
      <w:pPr>
        <w:ind w:firstLine="708"/>
        <w:rPr>
          <w:rFonts w:cs="Times New Roman"/>
          <w:szCs w:val="24"/>
        </w:rPr>
      </w:pPr>
      <w:r w:rsidRPr="00952000">
        <w:rPr>
          <w:rFonts w:cs="Times New Roman"/>
          <w:szCs w:val="24"/>
        </w:rPr>
        <w:t>Катетер-ассоциированная инфекция кровотока (</w:t>
      </w:r>
      <w:r w:rsidRPr="00952000">
        <w:rPr>
          <w:rFonts w:cs="Times New Roman"/>
          <w:i/>
          <w:szCs w:val="24"/>
        </w:rPr>
        <w:t>КАИК)</w:t>
      </w:r>
      <w:r w:rsidRPr="00952000">
        <w:rPr>
          <w:rFonts w:cs="Times New Roman"/>
          <w:szCs w:val="24"/>
        </w:rPr>
        <w:t xml:space="preserve">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952000">
        <w:rPr>
          <w:rFonts w:cs="Times New Roman"/>
          <w:szCs w:val="24"/>
        </w:rPr>
        <w:fldChar w:fldCharType="begin" w:fldLock="1"/>
      </w:r>
      <w:r w:rsidR="003B7A61">
        <w:rPr>
          <w:rFonts w:cs="Times New Roman"/>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[94]","plainTextFormattedCitation":"[94]","previouslyFormattedCitation":"[94]"},"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[94]</w:t>
      </w:r>
      <w:r w:rsidRPr="00952000">
        <w:rPr>
          <w:rFonts w:cs="Times New Roman"/>
          <w:szCs w:val="24"/>
        </w:rPr>
        <w:fldChar w:fldCharType="end"/>
      </w:r>
      <w:r w:rsidRPr="00952000">
        <w:rPr>
          <w:rFonts w:cs="Times New Roman"/>
          <w:szCs w:val="24"/>
        </w:rPr>
        <w:t>.</w:t>
      </w:r>
    </w:p>
    <w:p w14:paraId="21475F2F" w14:textId="77777777" w:rsidR="00647057" w:rsidRPr="00952000" w:rsidRDefault="00647057" w:rsidP="00647057">
      <w:pPr>
        <w:ind w:left="360"/>
        <w:rPr>
          <w:rFonts w:cs="Times New Roman"/>
          <w:szCs w:val="24"/>
        </w:rPr>
      </w:pPr>
      <w:r w:rsidRPr="00952000">
        <w:rPr>
          <w:rFonts w:cs="Times New Roman"/>
          <w:szCs w:val="24"/>
        </w:rPr>
        <w:t>При применении туннелируемых катетеров могут возникать следующие виды инфицирования:</w:t>
      </w:r>
    </w:p>
    <w:p w14:paraId="4A1B4C31" w14:textId="77777777" w:rsidR="00647057" w:rsidRPr="00952000" w:rsidRDefault="00647057" w:rsidP="000768AC">
      <w:pPr>
        <w:pStyle w:val="afe"/>
        <w:numPr>
          <w:ilvl w:val="0"/>
          <w:numId w:val="89"/>
        </w:numPr>
        <w:rPr>
          <w:rFonts w:cs="Times New Roman"/>
          <w:i/>
          <w:szCs w:val="24"/>
        </w:rPr>
      </w:pPr>
      <w:r w:rsidRPr="00952000">
        <w:rPr>
          <w:rFonts w:cs="Times New Roman"/>
          <w:i/>
          <w:szCs w:val="24"/>
        </w:rPr>
        <w:t xml:space="preserve">Туннельная инфекция – </w:t>
      </w:r>
      <w:r w:rsidRPr="00952000">
        <w:rPr>
          <w:rFonts w:cs="Times New Roman"/>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952000">
        <w:rPr>
          <w:rFonts w:cs="Times New Roman"/>
          <w:iCs/>
          <w:szCs w:val="24"/>
        </w:rPr>
        <w:t>области фиксации манжеты</w:t>
      </w:r>
      <w:r w:rsidRPr="00952000">
        <w:rPr>
          <w:rFonts w:cs="Times New Roman"/>
          <w:i/>
          <w:szCs w:val="24"/>
        </w:rPr>
        <w:t>.</w:t>
      </w:r>
    </w:p>
    <w:p w14:paraId="1446BD89" w14:textId="77777777" w:rsidR="00647057" w:rsidRPr="00952000" w:rsidRDefault="00647057" w:rsidP="000768AC">
      <w:pPr>
        <w:pStyle w:val="afe"/>
        <w:numPr>
          <w:ilvl w:val="0"/>
          <w:numId w:val="89"/>
        </w:numPr>
        <w:rPr>
          <w:rFonts w:cs="Times New Roman"/>
          <w:szCs w:val="24"/>
        </w:rPr>
      </w:pPr>
      <w:r w:rsidRPr="00952000">
        <w:rPr>
          <w:rFonts w:cs="Times New Roman"/>
          <w:i/>
          <w:szCs w:val="24"/>
        </w:rPr>
        <w:t xml:space="preserve">Инфекция выходного отверстия – </w:t>
      </w:r>
      <w:r w:rsidRPr="00952000">
        <w:rPr>
          <w:rFonts w:cs="Times New Roman"/>
          <w:szCs w:val="24"/>
        </w:rPr>
        <w:t>местное воспаление, с локализацией только в месте выхода катетера на поверхность кожи.</w:t>
      </w:r>
    </w:p>
    <w:p w14:paraId="78E1DA0D" w14:textId="77777777" w:rsidR="00647057" w:rsidRPr="00952000" w:rsidRDefault="00647057" w:rsidP="000768AC">
      <w:pPr>
        <w:pStyle w:val="afe"/>
        <w:numPr>
          <w:ilvl w:val="0"/>
          <w:numId w:val="89"/>
        </w:numPr>
        <w:rPr>
          <w:rFonts w:cs="Times New Roman"/>
          <w:szCs w:val="24"/>
        </w:rPr>
      </w:pPr>
      <w:r w:rsidRPr="00952000">
        <w:rPr>
          <w:rFonts w:cs="Times New Roman"/>
          <w:i/>
          <w:szCs w:val="24"/>
        </w:rPr>
        <w:t xml:space="preserve">Инфекция подкожного кармана – </w:t>
      </w:r>
      <w:r w:rsidRPr="00952000">
        <w:rPr>
          <w:rFonts w:cs="Times New Roman"/>
          <w:szCs w:val="24"/>
        </w:rPr>
        <w:t xml:space="preserve">местное воспаление, локализующееся в месте установки камеры порт-системы. </w:t>
      </w:r>
    </w:p>
    <w:p w14:paraId="0B772827" w14:textId="77777777" w:rsidR="00647057" w:rsidRDefault="00647057" w:rsidP="00647057">
      <w:pPr>
        <w:rPr>
          <w:rFonts w:eastAsia="Arial Unicode MS" w:cs="Times New Roman"/>
          <w:b/>
          <w:bCs/>
          <w:szCs w:val="24"/>
          <w:lang w:eastAsia="ru-RU"/>
        </w:rPr>
      </w:pPr>
    </w:p>
    <w:p w14:paraId="754C045B" w14:textId="77777777" w:rsidR="00647057" w:rsidRPr="009F4EC0" w:rsidRDefault="00647057" w:rsidP="00647057">
      <w:pPr>
        <w:rPr>
          <w:rFonts w:eastAsia="Arial Unicode MS" w:cs="Times New Roman"/>
          <w:i/>
          <w:iCs/>
          <w:szCs w:val="24"/>
          <w:u w:val="single"/>
          <w:lang w:eastAsia="ru-RU"/>
        </w:rPr>
      </w:pPr>
      <w:r w:rsidRPr="009F4EC0">
        <w:rPr>
          <w:rFonts w:eastAsia="Arial Unicode MS" w:cs="Times New Roman"/>
          <w:i/>
          <w:iCs/>
          <w:szCs w:val="24"/>
          <w:u w:val="single"/>
          <w:lang w:eastAsia="ru-RU"/>
        </w:rPr>
        <w:t>Способы контроля дистального конца ЦВК</w:t>
      </w:r>
    </w:p>
    <w:p w14:paraId="00500D00" w14:textId="77777777" w:rsidR="00647057" w:rsidRPr="009F4EC0" w:rsidRDefault="00647057" w:rsidP="00647057">
      <w:pPr>
        <w:rPr>
          <w:rFonts w:eastAsia="Arial Unicode MS" w:cs="Times New Roman"/>
          <w:i/>
          <w:iCs/>
          <w:szCs w:val="24"/>
          <w:lang w:eastAsia="ru-RU"/>
        </w:rPr>
      </w:pPr>
      <w:r w:rsidRPr="009F4EC0">
        <w:rPr>
          <w:rFonts w:eastAsia="Arial Unicode MS" w:cs="Times New Roman"/>
          <w:i/>
          <w:iCs/>
          <w:szCs w:val="24"/>
          <w:lang w:eastAsia="ru-RU"/>
        </w:rPr>
        <w:t>Электрокардиографический метод</w:t>
      </w:r>
    </w:p>
    <w:p w14:paraId="1A0F68E2" w14:textId="77777777" w:rsidR="00647057" w:rsidRPr="00952000" w:rsidRDefault="00647057" w:rsidP="00647057">
      <w:pPr>
        <w:rPr>
          <w:rFonts w:eastAsia="Arial Unicode MS" w:cs="Times New Roman"/>
          <w:strike/>
          <w:szCs w:val="24"/>
          <w:lang w:eastAsia="ru-RU"/>
        </w:rPr>
      </w:pPr>
      <w:r w:rsidRPr="00952000">
        <w:rPr>
          <w:rFonts w:eastAsia="Arial Unicode MS" w:cs="Times New Roman"/>
          <w:szCs w:val="24"/>
          <w:lang w:eastAsia="ru-RU"/>
        </w:rPr>
        <w:t xml:space="preserve">Для контроля положения ЦВК, снабженных штатным электродом, используют эндовенозную </w:t>
      </w:r>
      <w:r w:rsidRPr="00952000">
        <w:rPr>
          <w:rFonts w:cs="Times New Roman"/>
          <w:szCs w:val="24"/>
        </w:rPr>
        <w:t>электрокардиографию (</w:t>
      </w:r>
      <w:r w:rsidRPr="00952000">
        <w:rPr>
          <w:rFonts w:eastAsia="Arial Unicode MS" w:cs="Times New Roman"/>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5C375C33" w14:textId="77777777" w:rsidR="00647057" w:rsidRDefault="00647057" w:rsidP="00647057">
      <w:pPr>
        <w:rPr>
          <w:rFonts w:eastAsia="ＭＳ 明朝 (Основной текст темы (ази" w:cs="Times New Roman"/>
          <w:b/>
          <w:bCs/>
          <w:szCs w:val="24"/>
          <w:lang w:eastAsia="ru-RU"/>
        </w:rPr>
      </w:pPr>
    </w:p>
    <w:p w14:paraId="52D8FE47" w14:textId="77777777" w:rsidR="00647057" w:rsidRPr="009F4EC0" w:rsidRDefault="00647057" w:rsidP="00647057">
      <w:pPr>
        <w:rPr>
          <w:rFonts w:eastAsia="ＭＳ 明朝 (Основной текст темы (ази" w:cs="Times New Roman"/>
          <w:i/>
          <w:iCs/>
          <w:szCs w:val="24"/>
          <w:lang w:eastAsia="ru-RU"/>
        </w:rPr>
      </w:pPr>
      <w:r w:rsidRPr="009F4EC0">
        <w:rPr>
          <w:rFonts w:eastAsia="ＭＳ 明朝 (Основной текст темы (ази" w:cs="Times New Roman"/>
          <w:i/>
          <w:iCs/>
          <w:szCs w:val="24"/>
          <w:lang w:eastAsia="ru-RU"/>
        </w:rPr>
        <w:t xml:space="preserve">Рентгенологический метод </w:t>
      </w:r>
    </w:p>
    <w:p w14:paraId="699FCF78" w14:textId="77777777" w:rsidR="00647057" w:rsidRPr="00952000" w:rsidRDefault="00647057" w:rsidP="00647057">
      <w:pPr>
        <w:rPr>
          <w:rFonts w:cs="Times New Roman"/>
          <w:strike/>
          <w:szCs w:val="24"/>
        </w:rPr>
      </w:pPr>
      <w:r w:rsidRPr="00952000">
        <w:rPr>
          <w:rFonts w:eastAsia="ＭＳ 明朝 (Основной текст темы (ази" w:cs="Times New Roman"/>
          <w:szCs w:val="24"/>
          <w:lang w:eastAsia="ru-RU"/>
        </w:rPr>
        <w:t xml:space="preserve">При установке туннелируемых ЦВК, ПИЦВК, порт-систем, а также в </w:t>
      </w:r>
      <w:r w:rsidRPr="00952000">
        <w:rPr>
          <w:rFonts w:cs="Times New Roman"/>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952000">
        <w:rPr>
          <w:rFonts w:cs="Times New Roman"/>
          <w:strike/>
          <w:szCs w:val="24"/>
        </w:rPr>
        <w:t xml:space="preserve"> </w:t>
      </w:r>
    </w:p>
    <w:p w14:paraId="32E71B17" w14:textId="77777777" w:rsidR="00647057" w:rsidRPr="00952000" w:rsidRDefault="00647057" w:rsidP="00647057">
      <w:pPr>
        <w:rPr>
          <w:rFonts w:cs="Times New Roman"/>
          <w:szCs w:val="24"/>
        </w:rPr>
      </w:pPr>
      <w:r w:rsidRPr="00952000">
        <w:rPr>
          <w:rFonts w:cs="Times New Roman"/>
          <w:szCs w:val="24"/>
        </w:rPr>
        <w:t xml:space="preserve">- на </w:t>
      </w:r>
      <w:r w:rsidRPr="00952000">
        <w:rPr>
          <w:rFonts w:cs="Times New Roman"/>
          <w:bCs/>
          <w:szCs w:val="24"/>
        </w:rPr>
        <w:t xml:space="preserve">рентгенограмме грудной клетки дистальный конец ЦВК должен был находиться между </w:t>
      </w:r>
      <w:r w:rsidRPr="00952000">
        <w:rPr>
          <w:rFonts w:cs="Times New Roman"/>
          <w:bCs/>
          <w:szCs w:val="24"/>
          <w:lang w:val="en-US"/>
        </w:rPr>
        <w:t>V</w:t>
      </w:r>
      <w:r w:rsidRPr="00952000">
        <w:rPr>
          <w:rFonts w:cs="Times New Roman"/>
          <w:bCs/>
          <w:szCs w:val="24"/>
        </w:rPr>
        <w:t xml:space="preserve"> и </w:t>
      </w:r>
      <w:r w:rsidRPr="00952000">
        <w:rPr>
          <w:rFonts w:cs="Times New Roman"/>
          <w:bCs/>
          <w:szCs w:val="24"/>
          <w:lang w:val="en-US"/>
        </w:rPr>
        <w:t>VI</w:t>
      </w:r>
      <w:r w:rsidRPr="00952000">
        <w:rPr>
          <w:rFonts w:cs="Times New Roman"/>
          <w:bCs/>
          <w:szCs w:val="24"/>
        </w:rPr>
        <w:t xml:space="preserve"> грудными позвонками. </w:t>
      </w:r>
    </w:p>
    <w:p w14:paraId="67071BCB" w14:textId="77777777" w:rsidR="00647057" w:rsidRPr="00952000" w:rsidRDefault="00647057" w:rsidP="00647057">
      <w:pPr>
        <w:widowControl w:val="0"/>
        <w:ind w:firstLine="708"/>
        <w:rPr>
          <w:rFonts w:cs="Times New Roman"/>
          <w:szCs w:val="24"/>
        </w:rPr>
      </w:pPr>
      <w:r w:rsidRPr="00952000">
        <w:rPr>
          <w:rFonts w:cs="Times New Roman"/>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16C21DCE" w14:textId="77777777" w:rsidR="00647057" w:rsidRPr="00952000" w:rsidRDefault="00647057" w:rsidP="00647057">
      <w:pPr>
        <w:widowControl w:val="0"/>
        <w:ind w:firstLine="708"/>
        <w:rPr>
          <w:rFonts w:cs="Times New Roman"/>
          <w:szCs w:val="24"/>
        </w:rPr>
      </w:pPr>
      <w:r w:rsidRPr="00952000">
        <w:rPr>
          <w:rFonts w:cs="Times New Roman"/>
          <w:szCs w:val="24"/>
        </w:rPr>
        <w:t>-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средостения.</w:t>
      </w:r>
    </w:p>
    <w:p w14:paraId="2FFE2042" w14:textId="77777777" w:rsidR="00647057" w:rsidRDefault="00647057" w:rsidP="00647057">
      <w:pPr>
        <w:rPr>
          <w:rFonts w:cs="Times New Roman"/>
          <w:b/>
          <w:bCs/>
          <w:szCs w:val="24"/>
        </w:rPr>
      </w:pPr>
    </w:p>
    <w:p w14:paraId="43285533" w14:textId="77777777" w:rsidR="00647057" w:rsidRPr="009F4EC0" w:rsidRDefault="00647057" w:rsidP="00647057">
      <w:pPr>
        <w:ind w:firstLine="708"/>
        <w:rPr>
          <w:rFonts w:cs="Times New Roman"/>
          <w:i/>
          <w:iCs/>
          <w:szCs w:val="24"/>
          <w:u w:val="single"/>
        </w:rPr>
      </w:pPr>
      <w:r w:rsidRPr="009F4EC0">
        <w:rPr>
          <w:rFonts w:cs="Times New Roman"/>
          <w:i/>
          <w:iCs/>
          <w:szCs w:val="24"/>
          <w:u w:val="single"/>
        </w:rPr>
        <w:t>Обследование пациента, подготовка к манипуляции</w:t>
      </w:r>
    </w:p>
    <w:p w14:paraId="7D595B77" w14:textId="77777777" w:rsidR="00647057" w:rsidRPr="00952000" w:rsidRDefault="00647057" w:rsidP="00647057">
      <w:pPr>
        <w:ind w:firstLine="708"/>
        <w:rPr>
          <w:rFonts w:cs="Times New Roman"/>
          <w:szCs w:val="24"/>
        </w:rPr>
      </w:pPr>
      <w:r w:rsidRPr="00952000">
        <w:rPr>
          <w:rFonts w:cs="Times New Roman"/>
          <w:szCs w:val="24"/>
        </w:rPr>
        <w:t xml:space="preserve">Для обеспечения сосудистого доступа необходима консультация врачом-анестезиологом-реаниматологом. </w:t>
      </w:r>
    </w:p>
    <w:p w14:paraId="6816F18B" w14:textId="77777777" w:rsidR="00647057" w:rsidRPr="00952000" w:rsidRDefault="00647057" w:rsidP="00647057">
      <w:pPr>
        <w:ind w:firstLine="708"/>
        <w:rPr>
          <w:rFonts w:cs="Times New Roman"/>
          <w:szCs w:val="24"/>
        </w:rPr>
      </w:pPr>
      <w:r w:rsidRPr="00952000">
        <w:rPr>
          <w:rFonts w:cs="Times New Roman"/>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533D5183" w14:textId="77777777" w:rsidR="00647057" w:rsidRDefault="00647057" w:rsidP="00647057">
      <w:pPr>
        <w:ind w:firstLine="708"/>
        <w:rPr>
          <w:rFonts w:cs="Times New Roman"/>
          <w:b/>
          <w:bCs/>
          <w:szCs w:val="24"/>
          <w:shd w:val="clear" w:color="auto" w:fill="FFFFFF"/>
        </w:rPr>
      </w:pPr>
    </w:p>
    <w:p w14:paraId="726CFDA1" w14:textId="77777777" w:rsidR="00647057" w:rsidRPr="009F4EC0" w:rsidRDefault="00647057" w:rsidP="00647057">
      <w:pPr>
        <w:ind w:firstLine="708"/>
        <w:rPr>
          <w:rFonts w:cs="Times New Roman"/>
          <w:i/>
          <w:iCs/>
          <w:szCs w:val="24"/>
          <w:shd w:val="clear" w:color="auto" w:fill="FFFFFF"/>
        </w:rPr>
      </w:pPr>
      <w:r w:rsidRPr="009F4EC0">
        <w:rPr>
          <w:rFonts w:cs="Times New Roman"/>
          <w:i/>
          <w:iCs/>
          <w:szCs w:val="24"/>
          <w:shd w:val="clear" w:color="auto" w:fill="FFFFFF"/>
        </w:rPr>
        <w:t>Лабораторная диагностика.</w:t>
      </w:r>
    </w:p>
    <w:p w14:paraId="5A4B1108" w14:textId="77777777" w:rsidR="00647057" w:rsidRPr="00952000" w:rsidRDefault="00647057" w:rsidP="00647057">
      <w:pPr>
        <w:rPr>
          <w:rFonts w:cs="Times New Roman"/>
          <w:szCs w:val="24"/>
          <w:shd w:val="clear" w:color="auto" w:fill="FFFFFF"/>
        </w:rPr>
      </w:pPr>
      <w:r w:rsidRPr="00952000">
        <w:rPr>
          <w:rFonts w:cs="Times New Roman"/>
          <w:szCs w:val="24"/>
          <w:shd w:val="clear" w:color="auto" w:fill="FFFFFF"/>
        </w:rPr>
        <w:t>Перед установкой ЦВК необходимо выполнить:</w:t>
      </w:r>
    </w:p>
    <w:p w14:paraId="0CD95061" w14:textId="77777777" w:rsidR="00647057" w:rsidRPr="00952000" w:rsidRDefault="00647057" w:rsidP="000768AC">
      <w:pPr>
        <w:pStyle w:val="afe"/>
        <w:numPr>
          <w:ilvl w:val="0"/>
          <w:numId w:val="92"/>
        </w:numPr>
        <w:rPr>
          <w:rFonts w:cs="Times New Roman"/>
          <w:i/>
          <w:szCs w:val="24"/>
          <w:shd w:val="clear" w:color="auto" w:fill="FFFFFF"/>
        </w:rPr>
      </w:pPr>
      <w:r w:rsidRPr="00952000">
        <w:rPr>
          <w:rFonts w:cs="Times New Roman"/>
          <w:szCs w:val="24"/>
        </w:rPr>
        <w:t>общий (клинический) анализ крови развернутый (при необходимости – с исследованием уровня тромбоцитов в крови по мазку)</w:t>
      </w:r>
    </w:p>
    <w:p w14:paraId="07ED3F02" w14:textId="77777777" w:rsidR="00647057" w:rsidRPr="00952000" w:rsidRDefault="00647057" w:rsidP="000768AC">
      <w:pPr>
        <w:pStyle w:val="afe"/>
        <w:numPr>
          <w:ilvl w:val="0"/>
          <w:numId w:val="91"/>
        </w:numPr>
        <w:rPr>
          <w:rFonts w:cs="Times New Roman"/>
          <w:szCs w:val="24"/>
        </w:rPr>
      </w:pPr>
      <w:r w:rsidRPr="00952000">
        <w:rPr>
          <w:rFonts w:cs="Times New Roman"/>
          <w:szCs w:val="24"/>
          <w:shd w:val="clear" w:color="auto" w:fill="FFFFFF"/>
        </w:rPr>
        <w:t>коагулограмма с определением АЧТВ, протромбинового индекса, фибриногена, при необходимости – с и</w:t>
      </w:r>
      <w:r w:rsidRPr="00952000">
        <w:rPr>
          <w:rFonts w:cs="Times New Roman"/>
          <w:szCs w:val="24"/>
        </w:rPr>
        <w:t>сследованием агрегации тромбоцитов</w:t>
      </w:r>
    </w:p>
    <w:p w14:paraId="3396D1D2" w14:textId="77777777" w:rsidR="00647057" w:rsidRPr="00952000" w:rsidRDefault="00647057" w:rsidP="000768AC">
      <w:pPr>
        <w:pStyle w:val="afe"/>
        <w:numPr>
          <w:ilvl w:val="0"/>
          <w:numId w:val="91"/>
        </w:numPr>
        <w:rPr>
          <w:rFonts w:cs="Times New Roman"/>
          <w:szCs w:val="24"/>
        </w:rPr>
      </w:pPr>
      <w:r w:rsidRPr="00952000">
        <w:rPr>
          <w:rFonts w:cs="Times New Roman"/>
          <w:szCs w:val="24"/>
        </w:rPr>
        <w:t xml:space="preserve">определение активности факторов </w:t>
      </w:r>
      <w:r w:rsidRPr="00952000">
        <w:rPr>
          <w:rFonts w:cs="Times New Roman"/>
          <w:szCs w:val="24"/>
          <w:lang w:val="en-US"/>
        </w:rPr>
        <w:t>VIII</w:t>
      </w:r>
      <w:r w:rsidRPr="00952000">
        <w:rPr>
          <w:rFonts w:cs="Times New Roman"/>
          <w:szCs w:val="24"/>
        </w:rPr>
        <w:t xml:space="preserve">, </w:t>
      </w:r>
      <w:r w:rsidRPr="00952000">
        <w:rPr>
          <w:rFonts w:cs="Times New Roman"/>
          <w:szCs w:val="24"/>
          <w:lang w:val="en-US"/>
        </w:rPr>
        <w:t>IX</w:t>
      </w:r>
      <w:r w:rsidRPr="00952000">
        <w:rPr>
          <w:rFonts w:cs="Times New Roman"/>
          <w:szCs w:val="24"/>
        </w:rPr>
        <w:t xml:space="preserve"> и иных в сыворотке крови – по показаниям</w:t>
      </w:r>
    </w:p>
    <w:p w14:paraId="3BFC3191" w14:textId="77777777" w:rsidR="00647057" w:rsidRPr="00952000" w:rsidRDefault="00647057" w:rsidP="000768AC">
      <w:pPr>
        <w:pStyle w:val="afe"/>
        <w:numPr>
          <w:ilvl w:val="0"/>
          <w:numId w:val="91"/>
        </w:numPr>
        <w:rPr>
          <w:rFonts w:cs="Times New Roman"/>
          <w:szCs w:val="24"/>
        </w:rPr>
      </w:pPr>
      <w:r w:rsidRPr="00952000">
        <w:rPr>
          <w:rFonts w:cs="Times New Roman"/>
          <w:szCs w:val="24"/>
        </w:rPr>
        <w:t>определение основных групп крови, определение подгруппы м других групп крови меньшего значения, определение резус-фактора</w:t>
      </w:r>
    </w:p>
    <w:p w14:paraId="55065E11" w14:textId="77777777" w:rsidR="00647057" w:rsidRDefault="00647057" w:rsidP="00647057">
      <w:pPr>
        <w:ind w:firstLine="708"/>
        <w:rPr>
          <w:rFonts w:cs="Times New Roman"/>
          <w:b/>
          <w:bCs/>
          <w:szCs w:val="24"/>
        </w:rPr>
      </w:pPr>
    </w:p>
    <w:p w14:paraId="70539C92" w14:textId="77777777" w:rsidR="00647057" w:rsidRPr="009F4EC0" w:rsidRDefault="00647057" w:rsidP="00647057">
      <w:pPr>
        <w:ind w:firstLine="708"/>
        <w:rPr>
          <w:rFonts w:cs="Times New Roman"/>
          <w:i/>
          <w:iCs/>
          <w:szCs w:val="24"/>
        </w:rPr>
      </w:pPr>
      <w:r w:rsidRPr="009F4EC0">
        <w:rPr>
          <w:rFonts w:cs="Times New Roman"/>
          <w:i/>
          <w:iCs/>
          <w:szCs w:val="24"/>
        </w:rPr>
        <w:t>Инструментальная диагностика</w:t>
      </w:r>
    </w:p>
    <w:p w14:paraId="52AA8A8B" w14:textId="77777777" w:rsidR="00647057" w:rsidRPr="00952000" w:rsidRDefault="00647057" w:rsidP="00647057">
      <w:pPr>
        <w:rPr>
          <w:rFonts w:cs="Times New Roman"/>
          <w:szCs w:val="24"/>
        </w:rPr>
      </w:pPr>
      <w:r w:rsidRPr="00952000">
        <w:rPr>
          <w:rFonts w:cs="Times New Roman"/>
          <w:szCs w:val="24"/>
        </w:rPr>
        <w:t>Перед выполнением катетеризации необходимо выполнить:</w:t>
      </w:r>
    </w:p>
    <w:p w14:paraId="7391D9EC" w14:textId="77777777" w:rsidR="00647057" w:rsidRPr="00DB2B4A" w:rsidRDefault="00647057" w:rsidP="000768AC">
      <w:pPr>
        <w:pStyle w:val="afe"/>
        <w:numPr>
          <w:ilvl w:val="0"/>
          <w:numId w:val="91"/>
        </w:numPr>
        <w:rPr>
          <w:rFonts w:cs="Times New Roman"/>
          <w:szCs w:val="24"/>
        </w:rPr>
      </w:pPr>
      <w:r w:rsidRPr="00DB2B4A">
        <w:rPr>
          <w:rFonts w:cs="Times New Roman"/>
          <w:szCs w:val="24"/>
        </w:rPr>
        <w:t xml:space="preserve">рентгенография органов грудной клетки или </w:t>
      </w:r>
      <w:r w:rsidRPr="00DB2B4A">
        <w:rPr>
          <w:rFonts w:cs="Times New Roman"/>
          <w:szCs w:val="24"/>
          <w:shd w:val="clear" w:color="auto" w:fill="FFFFFF" w:themeFill="background1"/>
        </w:rPr>
        <w:t>– предпочтительно</w:t>
      </w:r>
      <w:r w:rsidRPr="00DB2B4A">
        <w:rPr>
          <w:rFonts w:cs="Times New Roman"/>
          <w:szCs w:val="24"/>
        </w:rPr>
        <w:t xml:space="preserve"> </w:t>
      </w:r>
      <w:r>
        <w:rPr>
          <w:rFonts w:cs="Times New Roman"/>
          <w:szCs w:val="24"/>
        </w:rPr>
        <w:t xml:space="preserve">– </w:t>
      </w:r>
      <w:r w:rsidRPr="00DB2B4A">
        <w:rPr>
          <w:rFonts w:cs="Times New Roman"/>
          <w:szCs w:val="24"/>
        </w:rPr>
        <w:t>компьютерная томография органов грудной клетки (КТ)</w:t>
      </w:r>
      <w:r w:rsidRPr="00DB2B4A">
        <w:rPr>
          <w:rFonts w:cs="Times New Roman"/>
          <w:szCs w:val="24"/>
          <w:shd w:val="clear" w:color="auto" w:fill="FFFFFF" w:themeFill="background1"/>
        </w:rPr>
        <w:t>, с болюсным контрастным усилением (по показаниям)</w:t>
      </w:r>
    </w:p>
    <w:p w14:paraId="3D62345C" w14:textId="77777777" w:rsidR="00647057" w:rsidRPr="00952000" w:rsidRDefault="00647057" w:rsidP="000768AC">
      <w:pPr>
        <w:pStyle w:val="afe"/>
        <w:numPr>
          <w:ilvl w:val="0"/>
          <w:numId w:val="91"/>
        </w:numPr>
        <w:rPr>
          <w:rFonts w:cs="Times New Roman"/>
          <w:szCs w:val="24"/>
        </w:rPr>
      </w:pPr>
      <w:r w:rsidRPr="00952000">
        <w:rPr>
          <w:rFonts w:cs="Times New Roman"/>
          <w:szCs w:val="24"/>
        </w:rPr>
        <w:t xml:space="preserve">ультразвуковое агиосканирование </w:t>
      </w:r>
    </w:p>
    <w:p w14:paraId="7B7F908C" w14:textId="77777777" w:rsidR="00647057" w:rsidRPr="00952000" w:rsidRDefault="00647057" w:rsidP="000768AC">
      <w:pPr>
        <w:pStyle w:val="afe"/>
        <w:numPr>
          <w:ilvl w:val="0"/>
          <w:numId w:val="91"/>
        </w:numPr>
        <w:rPr>
          <w:rFonts w:cs="Times New Roman"/>
          <w:szCs w:val="24"/>
        </w:rPr>
      </w:pPr>
      <w:r w:rsidRPr="00952000">
        <w:rPr>
          <w:rFonts w:cs="Times New Roman"/>
          <w:szCs w:val="24"/>
        </w:rPr>
        <w:t>ЭКГ</w:t>
      </w:r>
    </w:p>
    <w:p w14:paraId="67D956F9" w14:textId="25874471" w:rsidR="00647057" w:rsidRPr="00952000" w:rsidRDefault="00647057" w:rsidP="00647057">
      <w:pPr>
        <w:pStyle w:val="afd"/>
      </w:pPr>
      <w:r w:rsidRPr="00952000">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952000">
        <w:fldChar w:fldCharType="begin" w:fldLock="1"/>
      </w:r>
      <w:r w:rsidR="003B7A61">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[95]","plainTextFormattedCitation":"[95]","previouslyFormattedCitation":"[95]"},"properties":{"noteIndex":0},"schema":"https://github.com/citation-style-language/schema/raw/master/csl-citation.json"}</w:instrText>
      </w:r>
      <w:r w:rsidRPr="00952000">
        <w:fldChar w:fldCharType="separate"/>
      </w:r>
      <w:r w:rsidRPr="00647057">
        <w:rPr>
          <w:noProof/>
        </w:rPr>
        <w:t>[95]</w:t>
      </w:r>
      <w:r w:rsidRPr="00952000">
        <w:fldChar w:fldCharType="end"/>
      </w:r>
      <w:r w:rsidRPr="00952000">
        <w:t>.</w:t>
      </w:r>
    </w:p>
    <w:p w14:paraId="17EA8213" w14:textId="77777777" w:rsidR="00647057" w:rsidRPr="00952000" w:rsidRDefault="00647057" w:rsidP="00647057">
      <w:pPr>
        <w:pStyle w:val="afd"/>
        <w:rPr>
          <w:strike/>
        </w:rPr>
      </w:pPr>
      <w:r w:rsidRPr="00952000">
        <w:t>Использование ультразвукового сопровождения даже при установке ЦВК при тромбоцитопении менее 20х10</w:t>
      </w:r>
      <w:r w:rsidRPr="00952000">
        <w:rPr>
          <w:vertAlign w:val="superscript"/>
        </w:rPr>
        <w:t>9</w:t>
      </w:r>
      <w:r w:rsidRPr="00952000">
        <w:t>/л позволяет избежать серьезных геморрагических осложнений.</w:t>
      </w:r>
    </w:p>
    <w:p w14:paraId="1A8CD0CC" w14:textId="460DABFF" w:rsidR="00647057" w:rsidRPr="00952000" w:rsidRDefault="00647057" w:rsidP="00647057">
      <w:pPr>
        <w:pStyle w:val="afd"/>
      </w:pPr>
      <w:r w:rsidRPr="00952000">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952000">
        <w:fldChar w:fldCharType="begin" w:fldLock="1"/>
      </w:r>
      <w:r w:rsidR="003B7A61">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[96]","plainTextFormattedCitation":"[96]","previouslyFormattedCitation":"[96]"},"properties":{"noteIndex":0},"schema":"https://github.com/citation-style-language/schema/raw/master/csl-citation.json"}</w:instrText>
      </w:r>
      <w:r w:rsidRPr="00952000">
        <w:fldChar w:fldCharType="separate"/>
      </w:r>
      <w:r w:rsidRPr="00647057">
        <w:rPr>
          <w:noProof/>
        </w:rPr>
        <w:t>[96]</w:t>
      </w:r>
      <w:r w:rsidRPr="00952000">
        <w:fldChar w:fldCharType="end"/>
      </w:r>
      <w:r w:rsidRPr="00952000">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2732D6F0" w14:textId="77777777" w:rsidR="00647057" w:rsidRPr="00952000" w:rsidRDefault="00647057" w:rsidP="00647057">
      <w:pPr>
        <w:ind w:firstLine="700"/>
        <w:rPr>
          <w:rFonts w:eastAsia="Times New Roman" w:cs="Times New Roman"/>
          <w:szCs w:val="24"/>
          <w:lang w:eastAsia="ru-RU"/>
        </w:rPr>
      </w:pPr>
      <w:r w:rsidRPr="00952000">
        <w:rPr>
          <w:rFonts w:eastAsia="Times New Roman" w:cs="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646C6AD6" w14:textId="77777777" w:rsidR="00647057" w:rsidRPr="00952000" w:rsidRDefault="00647057" w:rsidP="00647057">
      <w:pPr>
        <w:ind w:firstLine="708"/>
        <w:rPr>
          <w:rFonts w:cs="Times New Roman"/>
          <w:szCs w:val="24"/>
        </w:rPr>
      </w:pPr>
      <w:r w:rsidRPr="00952000">
        <w:rPr>
          <w:rFonts w:cs="Times New Roman"/>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2E4B6FAE" w14:textId="77777777" w:rsidR="00647057" w:rsidRDefault="00647057" w:rsidP="00647057">
      <w:pPr>
        <w:rPr>
          <w:rFonts w:cs="Times New Roman"/>
          <w:b/>
          <w:bCs/>
          <w:szCs w:val="24"/>
        </w:rPr>
      </w:pPr>
    </w:p>
    <w:p w14:paraId="1F083B2F" w14:textId="77777777" w:rsidR="00647057" w:rsidRPr="009F4EC0" w:rsidRDefault="00647057" w:rsidP="00647057">
      <w:pPr>
        <w:rPr>
          <w:rFonts w:cs="Times New Roman"/>
          <w:i/>
          <w:iCs/>
          <w:szCs w:val="24"/>
        </w:rPr>
      </w:pPr>
      <w:r w:rsidRPr="009F4EC0">
        <w:rPr>
          <w:rFonts w:cs="Times New Roman"/>
          <w:i/>
          <w:iCs/>
          <w:szCs w:val="24"/>
        </w:rPr>
        <w:t xml:space="preserve">Выбор типа ЦВК </w:t>
      </w:r>
    </w:p>
    <w:p w14:paraId="19D32CCE" w14:textId="77777777" w:rsidR="00647057" w:rsidRPr="00952000" w:rsidRDefault="00647057" w:rsidP="00647057">
      <w:pPr>
        <w:rPr>
          <w:rFonts w:cs="Times New Roman"/>
          <w:szCs w:val="24"/>
        </w:rPr>
      </w:pPr>
      <w:r w:rsidRPr="00952000">
        <w:rPr>
          <w:rFonts w:cs="Times New Roman"/>
          <w:szCs w:val="24"/>
        </w:rPr>
        <w:t xml:space="preserve">Больным </w:t>
      </w:r>
      <w:r w:rsidRPr="00952000">
        <w:rPr>
          <w:rFonts w:cs="Times New Roman"/>
          <w:b/>
          <w:szCs w:val="24"/>
        </w:rPr>
        <w:t>острым миелоидным лейкозом</w:t>
      </w:r>
      <w:r w:rsidRPr="00952000">
        <w:rPr>
          <w:rFonts w:cs="Times New Roman"/>
          <w:szCs w:val="24"/>
        </w:rPr>
        <w:t xml:space="preserve"> при проведении индукционных курсов химиотерапии, а также при проведении курсов консолидации и поддерживающей терапии устанавливается нетуннелируемый центральный венозный катетер в одну из вен бассейна верхней полой вены (внутреннюю яремную вену, подключичную вену, аксиллярную вену). Следует отдавать предпочтение двухпросветным или трехпросветным нетуннелируемым катетерам, поскольку нередко больным одновременно вводят несовместимые между собой растворы.</w:t>
      </w:r>
    </w:p>
    <w:p w14:paraId="556A8D30" w14:textId="77777777" w:rsidR="00647057" w:rsidRPr="00952000" w:rsidRDefault="00647057" w:rsidP="00647057">
      <w:pPr>
        <w:ind w:firstLine="708"/>
        <w:rPr>
          <w:rFonts w:cs="Times New Roman"/>
          <w:szCs w:val="24"/>
        </w:rPr>
      </w:pPr>
      <w:r w:rsidRPr="00952000">
        <w:rPr>
          <w:rFonts w:cs="Times New Roman"/>
          <w:szCs w:val="24"/>
        </w:rPr>
        <w:t>Установка долговременных венозных катетеров не оправдана из-за высокого риска инфицирования системы.</w:t>
      </w:r>
    </w:p>
    <w:p w14:paraId="73B746AC" w14:textId="77777777" w:rsidR="00647057" w:rsidRPr="00952000" w:rsidRDefault="00647057" w:rsidP="00647057">
      <w:pPr>
        <w:ind w:firstLine="708"/>
        <w:rPr>
          <w:rFonts w:cs="Times New Roman"/>
          <w:szCs w:val="24"/>
        </w:rPr>
      </w:pPr>
      <w:r w:rsidRPr="00952000">
        <w:rPr>
          <w:rFonts w:cs="Times New Roman"/>
          <w:szCs w:val="24"/>
        </w:rPr>
        <w:t xml:space="preserve">У больных </w:t>
      </w:r>
      <w:r w:rsidRPr="00952000">
        <w:rPr>
          <w:rFonts w:cs="Times New Roman"/>
          <w:b/>
          <w:szCs w:val="24"/>
        </w:rPr>
        <w:t>острым промиелоцитарным лейкозом</w:t>
      </w:r>
      <w:r w:rsidRPr="00952000">
        <w:rPr>
          <w:rFonts w:cs="Times New Roman"/>
          <w:szCs w:val="24"/>
        </w:rPr>
        <w:t xml:space="preserve"> при наличии выраженного геморрагического синдрома, как правило, вызванного тромбоцитопенией, гипофибриногенемией, гиперфибринолизом при проведении индукционного курса химиотерапии рекомендуется воздержаться от катетеризации яремных или подключичных вен из-за риска развития угрожающих жизни геморрагических осложнений (возможно развитие гемоторакса, обширных гематом на грудной клетке, развитие гематомы на шее со сдавлением и обструкцией верхних дыхательных путей). В условиях выраженного геморрагического синдрома у этой категории больных методом выбора может явиться катетеризация бедренной вены, либо установка периферически имплантируемого центрального венозного катетера (ПИЦВК) в кубитальную или плечевую вену. Поскольку этим больным требуются большие объемы инфузий, предпочтение следует отдать высокопоточным ПИЦВК, желательно имеющим два-три просвета. После купирования геморрагического синдрома в результате применения дифференцировочных препаратов (полностью транс-ретиноевой кислоты, мышьяка) и/или циторедуктивной химиотерапии больному может быть безопасно установлен нетуннелируемый катетер в одну из вен бассейна верхней полой вены (внутреннюю яремную вену, подключичную вену, аксиллярную вену). В то же время у больных острым промиелоцитарным лейкозом ПИ-ЦВК могут использоваться длительно, при отсутствии осложнений вся программа лечения лейкоза может быть выполнена через него. </w:t>
      </w:r>
    </w:p>
    <w:p w14:paraId="591F2553" w14:textId="77777777" w:rsidR="00647057" w:rsidRPr="00952000" w:rsidRDefault="00647057" w:rsidP="00647057">
      <w:pPr>
        <w:ind w:firstLine="708"/>
        <w:rPr>
          <w:rFonts w:cs="Times New Roman"/>
          <w:szCs w:val="24"/>
        </w:rPr>
      </w:pPr>
      <w:r w:rsidRPr="00952000">
        <w:rPr>
          <w:rFonts w:cs="Times New Roman"/>
          <w:szCs w:val="24"/>
        </w:rPr>
        <w:t>Нет четких показаний для удаления ПИЦВК в межкурсовом периоде. Учитывая срок службы катетера, а также с целью предотвращения дополнительной травмы венозной стенки или для продолжения терапии может быть установлена полностью имплантируемая порт-система (порт-система).</w:t>
      </w:r>
    </w:p>
    <w:p w14:paraId="1AE7D046" w14:textId="77777777" w:rsidR="00647057" w:rsidRPr="00952000" w:rsidRDefault="00647057" w:rsidP="00647057">
      <w:pPr>
        <w:ind w:firstLine="708"/>
        <w:rPr>
          <w:rFonts w:cs="Times New Roman"/>
          <w:szCs w:val="24"/>
        </w:rPr>
      </w:pPr>
      <w:r w:rsidRPr="00952000">
        <w:rPr>
          <w:rFonts w:cs="Times New Roman"/>
          <w:szCs w:val="24"/>
        </w:rPr>
        <w:t xml:space="preserve">Важной задачей является обеспечение сосудистого доступа </w:t>
      </w:r>
      <w:r w:rsidRPr="00952000">
        <w:rPr>
          <w:rFonts w:cs="Times New Roman"/>
          <w:b/>
          <w:szCs w:val="24"/>
        </w:rPr>
        <w:t>при проведении трансплантации гемопоэтических стволовых клеток</w:t>
      </w:r>
      <w:r w:rsidRPr="00952000">
        <w:rPr>
          <w:rFonts w:cs="Times New Roman"/>
          <w:szCs w:val="24"/>
        </w:rPr>
        <w:t xml:space="preserve"> (ТГСК). При трансплантации аутологичных ГСК достаточно установки нетуннелируемого катетера. При трансплантации аллогенных ГСК и прежде всего неродственных ГСК показана установка либо двухпросветного или трехпросветного ЦВК либо туннелируемых катетеров (катетер Хикмана, Леонарда). При проведении трансплантации с использованием туннелируемых ЦВК значительно реже развиваются ЦВК-ассоциированные инфекционные осложнения. Туннелируемые ЦВК не имеют преимуществ перед нетуннелируемыми ЦВК с антибактериальным покрытием при использовании в течение одного месяца. Однако при длительном использовании туннелируемых катетеров осложнений значительно меньше, чем при использовании нетуннелируемых (как с антибактериальным покрытием, так и без него). Поскольку при трансплантации аллогенных ГСК (прежде всего, неродственных) многие осложнения (реакция трансплантат против хозяина с поражением кожи, кишечника, инфекционные осложнения, геморрагический цистит и т. д.) возникают в первые 100 дней после трансплантации, и больные длительно нуждаются в сосудистом доступе, предпочтение следует отдать туннелируемым ЦВК (катетер Хикмана, Леонарда). Эти катетеры следует оставлять на несколько месяцев даже после выписки больного из стационара. Для уменьшения риска воздушной эмболии может быть установлен катетер Хикмана с клапаном Грошонга на дистальном конце, либо на проксимальный конец туннелируемого катетера устанавливаются специальные клапаны. Опыт длительного (в течение 4—6 мес) использования туннелируемых катетеров после ТГСК показал их безопасность и эффективность.</w:t>
      </w:r>
    </w:p>
    <w:p w14:paraId="4A2DCF37" w14:textId="77777777" w:rsidR="00647057" w:rsidRDefault="00647057" w:rsidP="00647057">
      <w:pPr>
        <w:ind w:firstLine="708"/>
        <w:rPr>
          <w:rFonts w:cs="Times New Roman"/>
          <w:b/>
          <w:bCs/>
          <w:szCs w:val="24"/>
        </w:rPr>
      </w:pPr>
    </w:p>
    <w:p w14:paraId="5A735D40" w14:textId="77777777" w:rsidR="00647057" w:rsidRPr="009F4EC0" w:rsidRDefault="00647057" w:rsidP="00647057">
      <w:pPr>
        <w:ind w:firstLine="708"/>
        <w:rPr>
          <w:rFonts w:cs="Times New Roman"/>
          <w:i/>
          <w:iCs/>
          <w:szCs w:val="24"/>
          <w:u w:val="single"/>
        </w:rPr>
      </w:pPr>
      <w:r w:rsidRPr="009F4EC0">
        <w:rPr>
          <w:rFonts w:cs="Times New Roman"/>
          <w:i/>
          <w:iCs/>
          <w:szCs w:val="24"/>
          <w:u w:val="single"/>
        </w:rPr>
        <w:t>Профилактика осложнений</w:t>
      </w:r>
    </w:p>
    <w:p w14:paraId="16CD4C26" w14:textId="77777777" w:rsidR="00647057" w:rsidRPr="009F4EC0" w:rsidRDefault="00647057" w:rsidP="00647057">
      <w:pPr>
        <w:ind w:firstLine="708"/>
        <w:rPr>
          <w:rFonts w:cs="Times New Roman"/>
          <w:i/>
          <w:iCs/>
          <w:szCs w:val="24"/>
        </w:rPr>
      </w:pPr>
      <w:r w:rsidRPr="009F4EC0">
        <w:rPr>
          <w:rFonts w:cs="Times New Roman"/>
          <w:i/>
          <w:iCs/>
          <w:szCs w:val="24"/>
        </w:rPr>
        <w:t>Методы профилактики ранних осложнений</w:t>
      </w:r>
    </w:p>
    <w:p w14:paraId="5CEF16DC" w14:textId="77777777" w:rsidR="00647057" w:rsidRPr="00952000" w:rsidRDefault="00647057" w:rsidP="000768AC">
      <w:pPr>
        <w:pStyle w:val="afe"/>
        <w:numPr>
          <w:ilvl w:val="0"/>
          <w:numId w:val="93"/>
        </w:numPr>
        <w:tabs>
          <w:tab w:val="left" w:pos="709"/>
        </w:tabs>
        <w:ind w:left="709"/>
        <w:rPr>
          <w:rFonts w:cs="Times New Roman"/>
          <w:szCs w:val="24"/>
        </w:rPr>
      </w:pPr>
      <w:r w:rsidRPr="00952000">
        <w:rPr>
          <w:rFonts w:cs="Times New Roman"/>
          <w:szCs w:val="24"/>
        </w:rPr>
        <w:t>Ультразвуковое сопровождение катетеризации центральных вен</w:t>
      </w:r>
    </w:p>
    <w:p w14:paraId="5B4CD395" w14:textId="77777777" w:rsidR="00647057" w:rsidRPr="00952000" w:rsidRDefault="00647057" w:rsidP="00647057">
      <w:pPr>
        <w:ind w:firstLine="708"/>
        <w:rPr>
          <w:rFonts w:cs="Times New Roman"/>
          <w:strike/>
          <w:szCs w:val="24"/>
        </w:rPr>
      </w:pPr>
      <w:r w:rsidRPr="00952000">
        <w:rPr>
          <w:rFonts w:cs="Times New Roman"/>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2D5DD6EB" w14:textId="77777777" w:rsidR="00647057" w:rsidRPr="00952000" w:rsidRDefault="00647057" w:rsidP="00647057">
      <w:pPr>
        <w:ind w:firstLine="708"/>
        <w:rPr>
          <w:rFonts w:cs="Times New Roman"/>
          <w:szCs w:val="24"/>
        </w:rPr>
      </w:pPr>
      <w:r w:rsidRPr="00952000">
        <w:rPr>
          <w:rFonts w:cs="Times New Roman"/>
          <w:szCs w:val="24"/>
        </w:rPr>
        <w:t>Пункцию вены осуществляют в режиме постоянной визуализации острия иглы.</w:t>
      </w:r>
    </w:p>
    <w:p w14:paraId="040ABC68" w14:textId="77777777" w:rsidR="00647057" w:rsidRPr="00952000" w:rsidRDefault="00647057" w:rsidP="00647057">
      <w:pPr>
        <w:ind w:firstLine="708"/>
        <w:rPr>
          <w:rFonts w:cs="Times New Roman"/>
          <w:szCs w:val="24"/>
        </w:rPr>
      </w:pPr>
      <w:r w:rsidRPr="00952000">
        <w:rPr>
          <w:rFonts w:cs="Times New Roman"/>
          <w:szCs w:val="24"/>
        </w:rPr>
        <w:t xml:space="preserve">Нарушения гемостаза компенсируются с помощью заместительной терапии компонентами крови. </w:t>
      </w:r>
    </w:p>
    <w:p w14:paraId="2AEA9CC0" w14:textId="77777777" w:rsidR="00647057" w:rsidRPr="00952000" w:rsidRDefault="00647057" w:rsidP="00647057">
      <w:pPr>
        <w:ind w:firstLine="708"/>
        <w:rPr>
          <w:rFonts w:eastAsia="ＭＳ 明朝 (Основной текст темы (ази" w:cs="Times New Roman"/>
          <w:szCs w:val="24"/>
          <w:lang w:eastAsia="ru-RU"/>
        </w:rPr>
      </w:pPr>
      <w:r w:rsidRPr="00952000">
        <w:rPr>
          <w:rFonts w:cs="Times New Roman"/>
          <w:szCs w:val="24"/>
        </w:rPr>
        <w:t>Трансфузию концентратов тромбоцитов выполняют при снижении их концентрации в периферической крови ниже 20х10</w:t>
      </w:r>
      <w:r w:rsidRPr="00952000">
        <w:rPr>
          <w:rFonts w:cs="Times New Roman"/>
          <w:szCs w:val="24"/>
          <w:vertAlign w:val="superscript"/>
        </w:rPr>
        <w:t>9</w:t>
      </w:r>
      <w:r w:rsidRPr="00952000">
        <w:rPr>
          <w:rFonts w:cs="Times New Roman"/>
          <w:szCs w:val="24"/>
        </w:rPr>
        <w:t xml:space="preserve">/л </w:t>
      </w:r>
      <w:r w:rsidRPr="00952000">
        <w:rPr>
          <w:rFonts w:eastAsia="ＭＳ 明朝 (Основной текст темы (ази" w:cs="Times New Roman"/>
          <w:szCs w:val="24"/>
          <w:lang w:eastAsia="ru-RU"/>
        </w:rPr>
        <w:t>из расчета 1 ед. или 0,6х10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10 кг массы тела либо 1 терапевтическая доза (2х10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 м</w:t>
      </w:r>
      <w:r w:rsidRPr="00952000">
        <w:rPr>
          <w:rFonts w:eastAsia="ＭＳ 明朝 (Основной текст темы (ази" w:cs="Times New Roman"/>
          <w:szCs w:val="24"/>
          <w:vertAlign w:val="superscript"/>
          <w:lang w:eastAsia="ru-RU"/>
        </w:rPr>
        <w:t>2</w:t>
      </w:r>
      <w:r w:rsidRPr="00952000">
        <w:rPr>
          <w:rFonts w:eastAsia="ＭＳ 明朝 (Основной текст темы (ази" w:cs="Times New Roman"/>
          <w:szCs w:val="24"/>
          <w:lang w:eastAsia="ru-RU"/>
        </w:rPr>
        <w:t xml:space="preserve"> поверхности тела.</w:t>
      </w:r>
    </w:p>
    <w:p w14:paraId="058C49B8" w14:textId="77777777" w:rsidR="00647057" w:rsidRPr="00952000" w:rsidRDefault="00647057" w:rsidP="00647057">
      <w:pPr>
        <w:ind w:firstLine="708"/>
        <w:rPr>
          <w:rFonts w:cs="Times New Roman"/>
          <w:szCs w:val="24"/>
        </w:rPr>
      </w:pPr>
      <w:r w:rsidRPr="00952000">
        <w:rPr>
          <w:rFonts w:eastAsia="ＭＳ 明朝 (Основной текст темы (ази" w:cs="Times New Roman"/>
          <w:szCs w:val="24"/>
          <w:lang w:eastAsia="ru-RU"/>
        </w:rPr>
        <w:t>Трансфузии</w:t>
      </w:r>
      <w:r w:rsidRPr="00952000">
        <w:rPr>
          <w:rFonts w:cs="Times New Roman"/>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71F4D4C2" w14:textId="77777777" w:rsidR="00647057" w:rsidRPr="00952000" w:rsidRDefault="00647057" w:rsidP="00647057">
      <w:pPr>
        <w:ind w:firstLine="708"/>
        <w:rPr>
          <w:rFonts w:eastAsia="ＭＳ 明朝 (Основной текст темы (ази" w:cs="Times New Roman"/>
          <w:szCs w:val="24"/>
          <w:lang w:eastAsia="ru-RU"/>
        </w:rPr>
      </w:pPr>
      <w:r w:rsidRPr="00952000">
        <w:rPr>
          <w:rFonts w:cs="Times New Roman"/>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58930A2A" w14:textId="5F9892BD" w:rsidR="00647057" w:rsidRPr="00952000" w:rsidRDefault="00647057" w:rsidP="00647057">
      <w:pPr>
        <w:rPr>
          <w:rFonts w:cs="Times New Roman"/>
          <w:szCs w:val="24"/>
        </w:rPr>
      </w:pPr>
      <w:r w:rsidRPr="00952000">
        <w:rPr>
          <w:rFonts w:cs="Times New Roman"/>
          <w:szCs w:val="24"/>
        </w:rPr>
        <w:t xml:space="preserve">У больных гемофилией расчет дозы концентрата дефицитного фактора свертывания проводят по формулам </w:t>
      </w:r>
      <w:r w:rsidRPr="00952000">
        <w:rPr>
          <w:rFonts w:cs="Times New Roman"/>
          <w:szCs w:val="24"/>
        </w:rPr>
        <w:fldChar w:fldCharType="begin" w:fldLock="1"/>
      </w:r>
      <w:r w:rsidR="003B7A61">
        <w:rPr>
          <w:rFonts w:cs="Times New Roman"/>
          <w:szCs w:val="24"/>
        </w:rPr>
        <w:instrText>ADDIN CSL_CITATION {"citationItems":[{"id":"ITEM-1","itemData":{"author":[{"dropping-particle":"","family":"Зозуля","given":"Н.И.","non-dropping-particle":"","parse-names":false,"suffix":""},{"dropping-particle":"","family":"Кумскова","given":"М.А.","non-dropping-particle":"","parse-names":false,"suffix":""}],"container-title":"Алгоритмы диагностики и протоколы лечения заболеваний системы крови. Том 1.","edition":"Практика","editor":[{"dropping-particle":"","family":"Савченко","given":"В.Г.","non-dropping-particle":"","parse-names":false,"suffix":""}],"id":"ITEM-1","issued":{"date-parts":[["2018"]]},"page":"333-358","publisher-place":"Москва","title":"Протокол диагностики и лечения гемофилии.","type":"chapter"},"uris":["http://www.mendeley.com/documents/?uuid=0f5fa306-495f-47fd-a308-cb7187da6dc9","http://www.mendeley.com/documents/?uuid=401a8177-eb94-4a41-8d27-6243609619c9"]}],"mendeley":{"formattedCitation":"[97]","plainTextFormattedCitation":"[97]","previouslyFormattedCitation":"[97]"},"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[97]</w:t>
      </w:r>
      <w:r w:rsidRPr="00952000">
        <w:rPr>
          <w:rFonts w:cs="Times New Roman"/>
          <w:szCs w:val="24"/>
        </w:rPr>
        <w:fldChar w:fldCharType="end"/>
      </w:r>
      <w:r w:rsidRPr="00952000">
        <w:rPr>
          <w:rFonts w:cs="Times New Roman"/>
          <w:szCs w:val="24"/>
        </w:rPr>
        <w:t>:</w:t>
      </w:r>
    </w:p>
    <w:p w14:paraId="1BF9D87C" w14:textId="77777777" w:rsidR="00647057" w:rsidRPr="00952000" w:rsidRDefault="00647057" w:rsidP="000768AC">
      <w:pPr>
        <w:pStyle w:val="afe"/>
        <w:numPr>
          <w:ilvl w:val="0"/>
          <w:numId w:val="88"/>
        </w:numPr>
        <w:rPr>
          <w:rFonts w:cs="Times New Roman"/>
          <w:szCs w:val="24"/>
        </w:rPr>
      </w:pPr>
      <w:r w:rsidRPr="00952000">
        <w:rPr>
          <w:rFonts w:cs="Times New Roman"/>
          <w:szCs w:val="24"/>
        </w:rPr>
        <w:t>FVIII: доза (МЕ) = масса тела (кг) х (требуемая активность (не менее 70%) – базальная активность) х 0,5,</w:t>
      </w:r>
    </w:p>
    <w:p w14:paraId="5AF2BDC0" w14:textId="77777777" w:rsidR="00647057" w:rsidRPr="00952000" w:rsidRDefault="00647057" w:rsidP="000768AC">
      <w:pPr>
        <w:pStyle w:val="afe"/>
        <w:numPr>
          <w:ilvl w:val="0"/>
          <w:numId w:val="88"/>
        </w:numPr>
        <w:rPr>
          <w:rFonts w:cs="Times New Roman"/>
          <w:szCs w:val="24"/>
        </w:rPr>
      </w:pPr>
      <w:r w:rsidRPr="00952000">
        <w:rPr>
          <w:rFonts w:cs="Times New Roman"/>
          <w:szCs w:val="24"/>
        </w:rPr>
        <w:t>FIX: доза (МЕ) = масса тела (кг) х (требуемая активность (не менее 70%) – базальная активность).</w:t>
      </w:r>
    </w:p>
    <w:p w14:paraId="2D664B23" w14:textId="5C1F51ED" w:rsidR="00647057" w:rsidRPr="00952000" w:rsidRDefault="00647057" w:rsidP="00647057">
      <w:pPr>
        <w:ind w:firstLine="360"/>
        <w:rPr>
          <w:rFonts w:cs="Times New Roman"/>
          <w:szCs w:val="24"/>
        </w:rPr>
      </w:pPr>
      <w:r w:rsidRPr="00952000">
        <w:rPr>
          <w:rFonts w:cs="Times New Roman"/>
          <w:szCs w:val="24"/>
        </w:rPr>
        <w:t xml:space="preserve">При применении противоингибиторного коагулянтного комплекса дозу препарата рассчитывают исходя из потребности в 50-100 МЕ/кг </w:t>
      </w:r>
      <w:r w:rsidRPr="00952000">
        <w:rPr>
          <w:rFonts w:cs="Times New Roman"/>
          <w:szCs w:val="24"/>
        </w:rPr>
        <w:fldChar w:fldCharType="begin" w:fldLock="1"/>
      </w:r>
      <w:r w:rsidR="003B7A61">
        <w:rPr>
          <w:rFonts w:cs="Times New Roman"/>
          <w:szCs w:val="24"/>
        </w:rPr>
        <w:instrText>ADDIN CSL_CITATION {"citationItems":[{"id":"ITEM-1","itemData":{"author":[{"dropping-particle":"","family":"Галстян","given":"Г.М.","non-dropping-particle":"","parse-names":false,"suffix":""}],"container-title":"Гематология и трансфузиология.","id":"ITEM-1","issue":"2","issued":{"date-parts":[["2012"]]},"page":"7 - 21","title":"НАРУШЕНИЯ ГЕМОСТАЗА, ОБУСЛОВЛЕННЫЕ ДЕФИЦИТОМ ВИТАМИН К-ЗАВИСИМЫХ ФАКТОРОВ СВЕРТЫВАНИЯ КРОВИ — ПАТОГЕНЕЗ, СПОСОБЫ КОРРЕКЦИИ И РЕКОМЕНДАЦИИ ПО ЛЕЧЕНИЮ.","type":"article-journal","volume":"27"},"uris":["http://www.mendeley.com/documents/?uuid=52f305ab-0108-47a6-9673-c9e5246a7900","http://www.mendeley.com/documents/?uuid=e948cfe1-2831-4737-b489-e36df40a40f3"]}],"mendeley":{"formattedCitation":"[98]","plainTextFormattedCitation":"[98]","previouslyFormattedCitation":"[98]"},"properties":{"noteIndex":0},"schema":"https://github.com/citation-style-language/schema/raw/master/csl-citation.json"}</w:instrText>
      </w:r>
      <w:r w:rsidRPr="00952000">
        <w:rPr>
          <w:rFonts w:cs="Times New Roman"/>
          <w:szCs w:val="24"/>
        </w:rPr>
        <w:fldChar w:fldCharType="separate"/>
      </w:r>
      <w:r w:rsidRPr="00647057">
        <w:rPr>
          <w:rFonts w:cs="Times New Roman"/>
          <w:noProof/>
          <w:szCs w:val="24"/>
        </w:rPr>
        <w:t>[98]</w:t>
      </w:r>
      <w:r w:rsidRPr="00952000">
        <w:rPr>
          <w:rFonts w:cs="Times New Roman"/>
          <w:szCs w:val="24"/>
        </w:rPr>
        <w:fldChar w:fldCharType="end"/>
      </w:r>
      <w:r w:rsidRPr="00952000">
        <w:rPr>
          <w:rFonts w:cs="Times New Roman"/>
          <w:szCs w:val="24"/>
        </w:rPr>
        <w:t xml:space="preserve"> для однократного применения.</w:t>
      </w:r>
    </w:p>
    <w:p w14:paraId="485D5621" w14:textId="77777777" w:rsidR="00647057" w:rsidRPr="00952000" w:rsidRDefault="00647057" w:rsidP="00647057">
      <w:pPr>
        <w:ind w:firstLine="360"/>
        <w:rPr>
          <w:rFonts w:cs="Times New Roman"/>
          <w:szCs w:val="24"/>
        </w:rPr>
      </w:pPr>
      <w:r w:rsidRPr="00952000">
        <w:rPr>
          <w:rFonts w:cs="Times New Roman"/>
          <w:szCs w:val="24"/>
        </w:rPr>
        <w:t>Препараты рекомбинантного активированного фактора свертывания VII (rFVIIa) вводят в дозе 120 мг/кг однократно, после процедуры, в случаях неэффективности предшествующих мероприятий.</w:t>
      </w:r>
    </w:p>
    <w:p w14:paraId="3FBE16B7" w14:textId="77777777" w:rsidR="00647057" w:rsidRPr="00952000" w:rsidRDefault="00647057" w:rsidP="00647057">
      <w:pPr>
        <w:pStyle w:val="Default"/>
        <w:spacing w:line="360" w:lineRule="auto"/>
        <w:ind w:firstLine="709"/>
        <w:jc w:val="both"/>
        <w:rPr>
          <w:color w:val="auto"/>
        </w:rPr>
      </w:pPr>
      <w:r w:rsidRPr="00952000">
        <w:rPr>
          <w:color w:val="auto"/>
        </w:rPr>
        <w:t>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7A7A4571" w14:textId="77777777" w:rsidR="00647057" w:rsidRDefault="00647057" w:rsidP="00647057">
      <w:pPr>
        <w:ind w:firstLine="708"/>
        <w:rPr>
          <w:rFonts w:cs="Times New Roman"/>
          <w:b/>
          <w:bCs/>
          <w:szCs w:val="24"/>
        </w:rPr>
      </w:pPr>
    </w:p>
    <w:p w14:paraId="3FC6ED85" w14:textId="77777777" w:rsidR="00647057" w:rsidRPr="009F4EC0" w:rsidRDefault="00647057" w:rsidP="00647057">
      <w:pPr>
        <w:ind w:firstLine="708"/>
        <w:rPr>
          <w:rFonts w:cs="Times New Roman"/>
          <w:i/>
          <w:iCs/>
          <w:szCs w:val="24"/>
        </w:rPr>
      </w:pPr>
      <w:r w:rsidRPr="009F4EC0">
        <w:rPr>
          <w:rFonts w:cs="Times New Roman"/>
          <w:i/>
          <w:iCs/>
          <w:szCs w:val="24"/>
        </w:rPr>
        <w:t>Методы профилактики поздних осложнений</w:t>
      </w:r>
    </w:p>
    <w:p w14:paraId="4D92EFB1" w14:textId="77777777" w:rsidR="00647057" w:rsidRPr="00952000" w:rsidRDefault="00647057" w:rsidP="00647057">
      <w:pPr>
        <w:ind w:firstLine="708"/>
        <w:rPr>
          <w:rFonts w:cs="Times New Roman"/>
          <w:szCs w:val="24"/>
        </w:rPr>
      </w:pPr>
      <w:r w:rsidRPr="00952000">
        <w:rPr>
          <w:rFonts w:cs="Times New Roman"/>
          <w:szCs w:val="24"/>
        </w:rPr>
        <w:t xml:space="preserve">После окончания использования все катетеры должны быть промыты соответствующим объемом физиологического раствора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при закрытии катетера на длительный срок, а также при высоком риске инфицирования катетера предпочтительным является использование раствора Тауролока. </w:t>
      </w:r>
    </w:p>
    <w:p w14:paraId="1902341E" w14:textId="77777777" w:rsidR="00647057" w:rsidRPr="00952000" w:rsidRDefault="00647057" w:rsidP="00647057">
      <w:pPr>
        <w:ind w:firstLine="708"/>
        <w:rPr>
          <w:rFonts w:eastAsia="ＭＳ 明朝 (Основной текст темы (ази" w:cs="Times New Roman"/>
          <w:szCs w:val="24"/>
        </w:rPr>
      </w:pPr>
      <w:r w:rsidRPr="00952000">
        <w:rPr>
          <w:rFonts w:eastAsia="ＭＳ 明朝 (Основной текст темы (ази" w:cs="Times New Roman"/>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04961C13" w14:textId="77777777" w:rsidR="00647057" w:rsidRPr="009F4EC0" w:rsidRDefault="00647057" w:rsidP="00647057">
      <w:pPr>
        <w:ind w:firstLine="708"/>
        <w:rPr>
          <w:rFonts w:cs="Times New Roman"/>
          <w:szCs w:val="24"/>
        </w:rPr>
      </w:pPr>
      <w:r w:rsidRPr="00952000">
        <w:rPr>
          <w:rFonts w:eastAsia="ＭＳ 明朝 (Основной текст темы (ази" w:cs="Times New Roman"/>
          <w:szCs w:val="24"/>
        </w:rPr>
        <w:t xml:space="preserve">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w:t>
      </w:r>
      <w:r w:rsidRPr="009F4EC0">
        <w:rPr>
          <w:rFonts w:eastAsia="ＭＳ 明朝 (Основной текст темы (ази" w:cs="Times New Roman"/>
          <w:szCs w:val="24"/>
        </w:rPr>
        <w:t>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0DBFA8B9" w14:textId="77777777" w:rsidR="00647057" w:rsidRPr="00952000" w:rsidRDefault="00647057" w:rsidP="00647057">
      <w:pPr>
        <w:ind w:firstLine="708"/>
        <w:rPr>
          <w:rFonts w:cs="Times New Roman"/>
          <w:szCs w:val="24"/>
        </w:rPr>
      </w:pPr>
      <w:r w:rsidRPr="009F4EC0">
        <w:rPr>
          <w:rFonts w:cs="Times New Roman"/>
          <w:szCs w:val="24"/>
        </w:rPr>
        <w:t>Таблица 1. Режимы промы</w:t>
      </w:r>
      <w:r w:rsidRPr="00952000">
        <w:rPr>
          <w:rFonts w:cs="Times New Roman"/>
          <w:szCs w:val="24"/>
        </w:rPr>
        <w:t>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87"/>
        <w:gridCol w:w="6156"/>
      </w:tblGrid>
      <w:tr w:rsidR="00647057" w:rsidRPr="00952000" w14:paraId="685908C4" w14:textId="77777777" w:rsidTr="005A428D">
        <w:trPr>
          <w:cantSplit/>
          <w:trHeight w:val="2220"/>
        </w:trPr>
        <w:tc>
          <w:tcPr>
            <w:tcW w:w="534" w:type="dxa"/>
            <w:vMerge w:val="restart"/>
            <w:textDirection w:val="btLr"/>
          </w:tcPr>
          <w:p w14:paraId="0CB86DF1" w14:textId="77777777" w:rsidR="00647057" w:rsidRPr="00952000" w:rsidRDefault="00647057" w:rsidP="00DD4FFF">
            <w:pPr>
              <w:ind w:left="113" w:right="113" w:firstLine="0"/>
              <w:rPr>
                <w:rFonts w:eastAsia="ＭＳ 明朝 (Основной текст темы (ази" w:cs="Times New Roman"/>
                <w:szCs w:val="24"/>
              </w:rPr>
            </w:pPr>
            <w:r w:rsidRPr="00952000">
              <w:rPr>
                <w:rFonts w:eastAsia="ＭＳ 明朝 (Основной текст темы (ази" w:cs="Times New Roman"/>
                <w:szCs w:val="24"/>
              </w:rPr>
              <w:t>Промывание катетера</w:t>
            </w:r>
          </w:p>
        </w:tc>
        <w:tc>
          <w:tcPr>
            <w:tcW w:w="2011" w:type="dxa"/>
            <w:shd w:val="clear" w:color="auto" w:fill="auto"/>
          </w:tcPr>
          <w:p w14:paraId="1A5E7AE3"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Введение препаратов</w:t>
            </w:r>
          </w:p>
        </w:tc>
        <w:tc>
          <w:tcPr>
            <w:tcW w:w="7026" w:type="dxa"/>
            <w:shd w:val="clear" w:color="auto" w:fill="auto"/>
          </w:tcPr>
          <w:p w14:paraId="359D231E"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647057" w:rsidRPr="00952000" w14:paraId="4C10F5AE" w14:textId="77777777" w:rsidTr="005A428D">
        <w:trPr>
          <w:cantSplit/>
          <w:trHeight w:val="1920"/>
        </w:trPr>
        <w:tc>
          <w:tcPr>
            <w:tcW w:w="534" w:type="dxa"/>
            <w:vMerge/>
            <w:textDirection w:val="btLr"/>
          </w:tcPr>
          <w:p w14:paraId="3AB2435C" w14:textId="77777777" w:rsidR="00647057" w:rsidRPr="00952000" w:rsidRDefault="00647057" w:rsidP="00DD4FFF">
            <w:pPr>
              <w:ind w:left="113" w:right="113" w:firstLine="0"/>
              <w:rPr>
                <w:rFonts w:eastAsia="ＭＳ 明朝 (Основной текст темы (ази" w:cs="Times New Roman"/>
                <w:szCs w:val="24"/>
              </w:rPr>
            </w:pPr>
          </w:p>
        </w:tc>
        <w:tc>
          <w:tcPr>
            <w:tcW w:w="2011" w:type="dxa"/>
            <w:shd w:val="clear" w:color="auto" w:fill="auto"/>
          </w:tcPr>
          <w:p w14:paraId="63CEF96F"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Парентеральное питание, компоненты крови</w:t>
            </w:r>
          </w:p>
        </w:tc>
        <w:tc>
          <w:tcPr>
            <w:tcW w:w="7026" w:type="dxa"/>
            <w:shd w:val="clear" w:color="auto" w:fill="auto"/>
          </w:tcPr>
          <w:p w14:paraId="16440F70"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647057" w:rsidRPr="00952000" w14:paraId="68ABD0C8" w14:textId="77777777" w:rsidTr="005A428D">
        <w:trPr>
          <w:cantSplit/>
          <w:trHeight w:val="1134"/>
        </w:trPr>
        <w:tc>
          <w:tcPr>
            <w:tcW w:w="534" w:type="dxa"/>
            <w:vMerge w:val="restart"/>
            <w:textDirection w:val="btLr"/>
          </w:tcPr>
          <w:p w14:paraId="41AE04AE" w14:textId="77777777" w:rsidR="00647057" w:rsidRPr="00952000" w:rsidRDefault="00647057" w:rsidP="00DD4FFF">
            <w:pPr>
              <w:ind w:left="113" w:right="113" w:firstLine="0"/>
              <w:rPr>
                <w:rFonts w:eastAsia="ＭＳ 明朝 (Основной текст темы (ази" w:cs="Times New Roman"/>
                <w:szCs w:val="24"/>
              </w:rPr>
            </w:pPr>
            <w:r w:rsidRPr="00952000">
              <w:rPr>
                <w:rFonts w:eastAsia="ＭＳ 明朝 (Основной текст темы (ази" w:cs="Times New Roman"/>
                <w:szCs w:val="24"/>
              </w:rPr>
              <w:t>Закрытие катетера</w:t>
            </w:r>
          </w:p>
        </w:tc>
        <w:tc>
          <w:tcPr>
            <w:tcW w:w="2011" w:type="dxa"/>
            <w:shd w:val="clear" w:color="auto" w:fill="auto"/>
          </w:tcPr>
          <w:p w14:paraId="4BF65356"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Объем </w:t>
            </w:r>
          </w:p>
        </w:tc>
        <w:tc>
          <w:tcPr>
            <w:tcW w:w="7026" w:type="dxa"/>
            <w:shd w:val="clear" w:color="auto" w:fill="auto"/>
          </w:tcPr>
          <w:p w14:paraId="43E7F910"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1 мл для периферических катетеров</w:t>
            </w:r>
          </w:p>
          <w:p w14:paraId="354AA717"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1,5 мл для катетеров типа </w:t>
            </w:r>
            <w:r w:rsidRPr="00952000">
              <w:rPr>
                <w:rFonts w:eastAsia="ＭＳ 明朝 (Основной текст темы (ази" w:cs="Times New Roman"/>
                <w:szCs w:val="24"/>
                <w:lang w:val="en-US"/>
              </w:rPr>
              <w:t>MidLine</w:t>
            </w:r>
            <w:r w:rsidRPr="00952000">
              <w:rPr>
                <w:rFonts w:eastAsia="ＭＳ 明朝 (Основной текст темы (ази" w:cs="Times New Roman"/>
                <w:szCs w:val="24"/>
              </w:rPr>
              <w:t>, ПИЦВК, нетуннелируемых ЦВК и туннелируемых ЦВК с небольшим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w:t>
            </w:r>
          </w:p>
          <w:p w14:paraId="0BF8F3C0"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2,0-2,5 мл для туннелируемых ЦВК с 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(в каждый ход), порт систем</w:t>
            </w:r>
          </w:p>
        </w:tc>
      </w:tr>
      <w:tr w:rsidR="00647057" w:rsidRPr="00952000" w14:paraId="47D3D01F" w14:textId="77777777" w:rsidTr="005A428D">
        <w:trPr>
          <w:cantSplit/>
          <w:trHeight w:val="1134"/>
        </w:trPr>
        <w:tc>
          <w:tcPr>
            <w:tcW w:w="534" w:type="dxa"/>
            <w:vMerge/>
            <w:textDirection w:val="btLr"/>
          </w:tcPr>
          <w:p w14:paraId="2275862A" w14:textId="77777777" w:rsidR="00647057" w:rsidRPr="00952000" w:rsidRDefault="00647057" w:rsidP="00DD4FFF">
            <w:pPr>
              <w:ind w:left="113" w:right="113" w:firstLine="0"/>
              <w:rPr>
                <w:rFonts w:eastAsia="ＭＳ 明朝 (Основной текст темы (ази" w:cs="Times New Roman"/>
                <w:szCs w:val="24"/>
              </w:rPr>
            </w:pPr>
          </w:p>
        </w:tc>
        <w:tc>
          <w:tcPr>
            <w:tcW w:w="2011" w:type="dxa"/>
            <w:shd w:val="clear" w:color="auto" w:fill="auto"/>
          </w:tcPr>
          <w:p w14:paraId="11A8B641"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Режимы</w:t>
            </w:r>
          </w:p>
        </w:tc>
        <w:tc>
          <w:tcPr>
            <w:tcW w:w="7026" w:type="dxa"/>
            <w:shd w:val="clear" w:color="auto" w:fill="auto"/>
          </w:tcPr>
          <w:p w14:paraId="1064898C"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Каждые 8-24 ч для кратковременных ЦВК</w:t>
            </w:r>
          </w:p>
          <w:p w14:paraId="7BFD8098"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Еженедельно – для туннелируемых ЦВК и ПИЦВК</w:t>
            </w:r>
          </w:p>
          <w:p w14:paraId="473B4506" w14:textId="77777777" w:rsidR="00647057" w:rsidRPr="00952000" w:rsidRDefault="00647057" w:rsidP="00DD4FFF">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Каждые 6-8 недель для порт-систем</w:t>
            </w:r>
          </w:p>
        </w:tc>
      </w:tr>
    </w:tbl>
    <w:p w14:paraId="23E4000B" w14:textId="77777777" w:rsidR="00647057" w:rsidRPr="00952000" w:rsidRDefault="00647057" w:rsidP="00647057">
      <w:pPr>
        <w:rPr>
          <w:rFonts w:cs="Times New Roman"/>
          <w:b/>
          <w:bCs/>
          <w:szCs w:val="24"/>
        </w:rPr>
      </w:pPr>
    </w:p>
    <w:p w14:paraId="7CE2641C" w14:textId="77777777" w:rsidR="00647057" w:rsidRDefault="00647057" w:rsidP="00647057">
      <w:pPr>
        <w:rPr>
          <w:rFonts w:cs="Times New Roman"/>
          <w:b/>
          <w:bCs/>
          <w:szCs w:val="24"/>
        </w:rPr>
      </w:pPr>
    </w:p>
    <w:p w14:paraId="14277645" w14:textId="77777777" w:rsidR="00647057" w:rsidRDefault="00647057" w:rsidP="00647057">
      <w:pPr>
        <w:rPr>
          <w:rFonts w:cs="Times New Roman"/>
          <w:b/>
          <w:bCs/>
          <w:szCs w:val="24"/>
        </w:rPr>
      </w:pPr>
    </w:p>
    <w:p w14:paraId="48F0DE5A" w14:textId="77777777" w:rsidR="00647057" w:rsidRPr="009F4EC0" w:rsidRDefault="00647057" w:rsidP="00647057">
      <w:pPr>
        <w:rPr>
          <w:rFonts w:cs="Times New Roman"/>
          <w:i/>
          <w:iCs/>
          <w:szCs w:val="24"/>
          <w:u w:val="single"/>
        </w:rPr>
      </w:pPr>
      <w:r w:rsidRPr="009F4EC0">
        <w:rPr>
          <w:rFonts w:cs="Times New Roman"/>
          <w:i/>
          <w:iCs/>
          <w:szCs w:val="24"/>
          <w:u w:val="single"/>
        </w:rPr>
        <w:t>Алгоритм действий врача</w:t>
      </w:r>
    </w:p>
    <w:p w14:paraId="5B8EFFC1" w14:textId="77777777" w:rsidR="00647057" w:rsidRPr="00952000" w:rsidRDefault="00647057" w:rsidP="00647057">
      <w:pPr>
        <w:rPr>
          <w:rFonts w:cs="Times New Roman"/>
          <w:szCs w:val="24"/>
        </w:rPr>
      </w:pPr>
      <w:r w:rsidRPr="00952000">
        <w:rPr>
          <w:rFonts w:cs="Times New Roman"/>
          <w:szCs w:val="24"/>
        </w:rPr>
        <w:tab/>
        <w:t>Манипуляция проводится только при наличии информированного согласия на проведение катетеризации.</w:t>
      </w:r>
    </w:p>
    <w:p w14:paraId="17F67FE2" w14:textId="77777777" w:rsidR="00647057" w:rsidRPr="009F4EC0" w:rsidRDefault="00647057" w:rsidP="000768AC">
      <w:pPr>
        <w:pStyle w:val="afe"/>
        <w:numPr>
          <w:ilvl w:val="0"/>
          <w:numId w:val="96"/>
        </w:numPr>
        <w:rPr>
          <w:rFonts w:cs="Times New Roman"/>
          <w:szCs w:val="24"/>
        </w:rPr>
      </w:pPr>
      <w:r w:rsidRPr="009F4EC0">
        <w:rPr>
          <w:rFonts w:cs="Times New Roman"/>
          <w:szCs w:val="24"/>
        </w:rPr>
        <w:t>Физикальный осмотр</w:t>
      </w:r>
    </w:p>
    <w:p w14:paraId="6694C2BD" w14:textId="77777777" w:rsidR="00647057" w:rsidRPr="009F4EC0" w:rsidRDefault="00647057" w:rsidP="000768AC">
      <w:pPr>
        <w:pStyle w:val="afe"/>
        <w:numPr>
          <w:ilvl w:val="0"/>
          <w:numId w:val="96"/>
        </w:numPr>
        <w:rPr>
          <w:rFonts w:cs="Times New Roman"/>
          <w:szCs w:val="24"/>
        </w:rPr>
      </w:pPr>
      <w:r w:rsidRPr="009F4EC0">
        <w:rPr>
          <w:rFonts w:cs="Times New Roman"/>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73FFAAFE" w14:textId="77777777" w:rsidR="00647057" w:rsidRPr="009F4EC0" w:rsidRDefault="00647057" w:rsidP="000768AC">
      <w:pPr>
        <w:pStyle w:val="afe"/>
        <w:numPr>
          <w:ilvl w:val="0"/>
          <w:numId w:val="96"/>
        </w:numPr>
        <w:rPr>
          <w:rFonts w:cs="Times New Roman"/>
          <w:szCs w:val="24"/>
        </w:rPr>
      </w:pPr>
      <w:r w:rsidRPr="009F4EC0">
        <w:rPr>
          <w:rFonts w:cs="Times New Roman"/>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324FC66A" w14:textId="77777777" w:rsidR="00647057" w:rsidRPr="009F4EC0" w:rsidRDefault="00647057" w:rsidP="000768AC">
      <w:pPr>
        <w:pStyle w:val="afe"/>
        <w:numPr>
          <w:ilvl w:val="0"/>
          <w:numId w:val="96"/>
        </w:numPr>
        <w:rPr>
          <w:rFonts w:cs="Times New Roman"/>
          <w:szCs w:val="24"/>
        </w:rPr>
      </w:pPr>
      <w:r w:rsidRPr="009F4EC0">
        <w:rPr>
          <w:rFonts w:cs="Times New Roman"/>
          <w:szCs w:val="24"/>
        </w:rPr>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397B98F7" w14:textId="77777777" w:rsidR="00647057" w:rsidRPr="009F4EC0" w:rsidRDefault="00647057" w:rsidP="000768AC">
      <w:pPr>
        <w:pStyle w:val="afe"/>
        <w:numPr>
          <w:ilvl w:val="0"/>
          <w:numId w:val="96"/>
        </w:numPr>
        <w:rPr>
          <w:rFonts w:cs="Times New Roman"/>
          <w:szCs w:val="24"/>
        </w:rPr>
      </w:pPr>
      <w:r w:rsidRPr="009F4EC0">
        <w:rPr>
          <w:rFonts w:cs="Times New Roman"/>
          <w:szCs w:val="24"/>
        </w:rPr>
        <w:t>Закрепление катетера на коже больного у места выхода с использованием шовных материалов или устройств бесшовной фиксации.</w:t>
      </w:r>
    </w:p>
    <w:p w14:paraId="55A80802" w14:textId="77777777" w:rsidR="00647057" w:rsidRPr="009F4EC0" w:rsidRDefault="00647057" w:rsidP="000768AC">
      <w:pPr>
        <w:pStyle w:val="afe"/>
        <w:numPr>
          <w:ilvl w:val="0"/>
          <w:numId w:val="96"/>
        </w:numPr>
        <w:rPr>
          <w:rFonts w:cs="Times New Roman"/>
          <w:szCs w:val="24"/>
        </w:rPr>
      </w:pPr>
      <w:r w:rsidRPr="009F4EC0">
        <w:rPr>
          <w:rFonts w:cs="Times New Roman"/>
          <w:szCs w:val="24"/>
        </w:rPr>
        <w:t>Наложение асептической повязки.</w:t>
      </w:r>
    </w:p>
    <w:p w14:paraId="2A480B1F" w14:textId="77777777" w:rsidR="00647057" w:rsidRPr="009F4EC0" w:rsidRDefault="00647057" w:rsidP="000768AC">
      <w:pPr>
        <w:pStyle w:val="afe"/>
        <w:numPr>
          <w:ilvl w:val="0"/>
          <w:numId w:val="96"/>
        </w:numPr>
        <w:rPr>
          <w:rFonts w:cs="Times New Roman"/>
          <w:szCs w:val="24"/>
        </w:rPr>
      </w:pPr>
      <w:r w:rsidRPr="009F4EC0">
        <w:rPr>
          <w:rFonts w:cs="Times New Roman"/>
          <w:szCs w:val="24"/>
        </w:rPr>
        <w:t>Заполнение протокола катетеризации с обязательным указанием ранних осложнений, количества попыток катетеризации, типа установленного ЦВК.</w:t>
      </w:r>
    </w:p>
    <w:p w14:paraId="28DF684C" w14:textId="77777777" w:rsidR="00647057" w:rsidRPr="00952000" w:rsidRDefault="00647057" w:rsidP="00647057">
      <w:pPr>
        <w:rPr>
          <w:rFonts w:cs="Times New Roman"/>
          <w:szCs w:val="24"/>
        </w:rPr>
      </w:pPr>
    </w:p>
    <w:p w14:paraId="1DB102C1" w14:textId="77777777" w:rsidR="00647057" w:rsidRPr="008635A0" w:rsidRDefault="00647057" w:rsidP="00647057">
      <w:pPr>
        <w:ind w:firstLine="708"/>
        <w:rPr>
          <w:rFonts w:cs="Times New Roman"/>
          <w:bCs/>
          <w:i/>
          <w:iCs/>
          <w:szCs w:val="24"/>
        </w:rPr>
      </w:pPr>
      <w:r w:rsidRPr="008635A0">
        <w:rPr>
          <w:rFonts w:cs="Times New Roman"/>
          <w:bCs/>
          <w:i/>
          <w:iCs/>
          <w:spacing w:val="2"/>
          <w:szCs w:val="24"/>
          <w:shd w:val="clear" w:color="auto" w:fill="FFFFFF"/>
        </w:rPr>
        <w:t>Дополнительные сведения об особенностях выполнения обработки катетера (смена повязки):</w:t>
      </w:r>
    </w:p>
    <w:p w14:paraId="2AC3631B" w14:textId="77777777" w:rsidR="00647057" w:rsidRPr="001352F1" w:rsidRDefault="00647057" w:rsidP="000768AC">
      <w:pPr>
        <w:pStyle w:val="afe"/>
        <w:numPr>
          <w:ilvl w:val="0"/>
          <w:numId w:val="94"/>
        </w:numPr>
        <w:rPr>
          <w:rFonts w:cs="Times New Roman"/>
          <w:b/>
          <w:szCs w:val="24"/>
        </w:rPr>
      </w:pPr>
      <w:r w:rsidRPr="008635A0">
        <w:rPr>
          <w:rFonts w:cs="Times New Roman"/>
          <w:spacing w:val="2"/>
          <w:szCs w:val="24"/>
          <w:shd w:val="clear" w:color="auto" w:fill="FFFFFF"/>
        </w:rPr>
        <w:t>При проведении процедуры обработки (перевязки) с ЦВК пациент может</w:t>
      </w:r>
      <w:r w:rsidRPr="001352F1">
        <w:rPr>
          <w:rFonts w:cs="Times New Roman"/>
          <w:spacing w:val="2"/>
          <w:szCs w:val="24"/>
          <w:shd w:val="clear" w:color="auto" w:fill="FFFFFF"/>
        </w:rPr>
        <w:t xml:space="preserve">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24BDD71B" w14:textId="77777777" w:rsidR="00647057" w:rsidRPr="00952000" w:rsidRDefault="00647057" w:rsidP="000768AC">
      <w:pPr>
        <w:pStyle w:val="afe"/>
        <w:numPr>
          <w:ilvl w:val="0"/>
          <w:numId w:val="94"/>
        </w:numPr>
        <w:rPr>
          <w:rFonts w:cs="Times New Roman"/>
          <w:szCs w:val="24"/>
        </w:rPr>
      </w:pPr>
      <w:r w:rsidRPr="00952000">
        <w:rPr>
          <w:rFonts w:cs="Times New Roman"/>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21F1E78C" w14:textId="77777777" w:rsidR="00647057" w:rsidRPr="00952000" w:rsidRDefault="00647057" w:rsidP="000768AC">
      <w:pPr>
        <w:pStyle w:val="afe"/>
        <w:numPr>
          <w:ilvl w:val="0"/>
          <w:numId w:val="94"/>
        </w:numPr>
        <w:rPr>
          <w:rFonts w:cs="Times New Roman"/>
          <w:szCs w:val="24"/>
        </w:rPr>
      </w:pPr>
      <w:r w:rsidRPr="00952000">
        <w:rPr>
          <w:rFonts w:cs="Times New Roman"/>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 Для прочих случаев оптимальным выбором является стерильная прозрачная повязка.</w:t>
      </w:r>
    </w:p>
    <w:p w14:paraId="584CBD4D" w14:textId="77777777" w:rsidR="00647057" w:rsidRPr="00952000" w:rsidRDefault="00647057" w:rsidP="000768AC">
      <w:pPr>
        <w:pStyle w:val="afe"/>
        <w:numPr>
          <w:ilvl w:val="0"/>
          <w:numId w:val="94"/>
        </w:numPr>
        <w:rPr>
          <w:rFonts w:cs="Times New Roman"/>
          <w:szCs w:val="24"/>
        </w:rPr>
      </w:pPr>
      <w:r w:rsidRPr="00952000">
        <w:rPr>
          <w:rFonts w:cs="Times New Roman"/>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w:t>
      </w:r>
      <w:r>
        <w:rPr>
          <w:rFonts w:cs="Times New Roman"/>
          <w:spacing w:val="2"/>
          <w:szCs w:val="24"/>
          <w:shd w:val="clear" w:color="auto" w:fill="FFFFFF"/>
        </w:rPr>
        <w:t>т замене на прозрачную через 24</w:t>
      </w:r>
      <w:r w:rsidRPr="00952000">
        <w:rPr>
          <w:rFonts w:cs="Times New Roman"/>
          <w:spacing w:val="2"/>
          <w:szCs w:val="24"/>
          <w:shd w:val="clear" w:color="auto" w:fill="FFFFFF"/>
        </w:rPr>
        <w:t>ч.</w:t>
      </w:r>
    </w:p>
    <w:p w14:paraId="13070BD7" w14:textId="77777777" w:rsidR="00647057" w:rsidRPr="00952000" w:rsidRDefault="00647057" w:rsidP="000768AC">
      <w:pPr>
        <w:pStyle w:val="afe"/>
        <w:numPr>
          <w:ilvl w:val="0"/>
          <w:numId w:val="94"/>
        </w:numPr>
        <w:rPr>
          <w:rFonts w:cs="Times New Roman"/>
          <w:szCs w:val="24"/>
        </w:rPr>
      </w:pPr>
      <w:r w:rsidRPr="00952000">
        <w:rPr>
          <w:rFonts w:cs="Times New Roman"/>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105DFAEB" w14:textId="77777777" w:rsidR="00647057" w:rsidRDefault="00647057" w:rsidP="000768AC">
      <w:pPr>
        <w:pStyle w:val="afe"/>
        <w:numPr>
          <w:ilvl w:val="0"/>
          <w:numId w:val="94"/>
        </w:numPr>
        <w:rPr>
          <w:rFonts w:cs="Times New Roman"/>
          <w:spacing w:val="2"/>
          <w:szCs w:val="24"/>
          <w:shd w:val="clear" w:color="auto" w:fill="FFFFFF"/>
        </w:rPr>
      </w:pPr>
      <w:r w:rsidRPr="00952000">
        <w:rPr>
          <w:rFonts w:cs="Times New Roman"/>
          <w:spacing w:val="2"/>
          <w:szCs w:val="24"/>
          <w:shd w:val="clear" w:color="auto" w:fill="FFFFFF"/>
        </w:rPr>
        <w:t>Визуальный осмотр места установки сосудистого катетера проводить не реже 1 раза в сутки</w:t>
      </w:r>
    </w:p>
    <w:p w14:paraId="006FCB9D" w14:textId="77777777" w:rsidR="00647057" w:rsidRPr="00952000" w:rsidRDefault="00647057" w:rsidP="00647057">
      <w:pPr>
        <w:widowControl w:val="0"/>
        <w:autoSpaceDE w:val="0"/>
        <w:autoSpaceDN w:val="0"/>
        <w:adjustRightInd w:val="0"/>
        <w:spacing w:line="240" w:lineRule="auto"/>
        <w:ind w:left="640" w:hanging="640"/>
        <w:rPr>
          <w:rFonts w:cs="Times New Roman"/>
          <w:szCs w:val="24"/>
        </w:rPr>
      </w:pPr>
    </w:p>
    <w:p w14:paraId="30462BF2" w14:textId="64A86B9F" w:rsidR="0040765B" w:rsidRDefault="00DD4FFF" w:rsidP="0040765B">
      <w:pPr>
        <w:pStyle w:val="2"/>
      </w:pPr>
      <w:bookmarkStart w:id="95" w:name="_Toc65108059"/>
      <w:r>
        <w:t xml:space="preserve">Приложение А3.6. </w:t>
      </w:r>
      <w:bookmarkStart w:id="96" w:name="_Toc64477951"/>
      <w:r w:rsidR="0040765B">
        <w:t>Применение</w:t>
      </w:r>
      <w:r w:rsidR="0040765B" w:rsidRPr="009848E0">
        <w:t xml:space="preserve"> компонентов донорской крови у </w:t>
      </w:r>
      <w:r w:rsidR="0040765B">
        <w:t xml:space="preserve">гематологических </w:t>
      </w:r>
      <w:r w:rsidR="0040765B" w:rsidRPr="009848E0">
        <w:t>пациентов</w:t>
      </w:r>
      <w:bookmarkEnd w:id="95"/>
      <w:bookmarkEnd w:id="96"/>
    </w:p>
    <w:p w14:paraId="10DB21A4" w14:textId="77777777" w:rsidR="0040765B" w:rsidRPr="00106C1D" w:rsidRDefault="0040765B" w:rsidP="0040765B">
      <w:pPr>
        <w:ind w:firstLine="708"/>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 xml:space="preserve">процедур плазмафереза при гиперлейкоцитозе, </w:t>
      </w:r>
      <w:r>
        <w:rPr>
          <w:szCs w:val="24"/>
        </w:rPr>
        <w:t>Выбор конкретного вида компонента крови для гемотрансфузии (тип э</w:t>
      </w:r>
      <w:r>
        <w:rPr>
          <w:szCs w:val="24"/>
          <w:lang w:eastAsia="ru-RU"/>
        </w:rPr>
        <w:t>ритроцитосодержащего компонента</w:t>
      </w:r>
      <w:r w:rsidRPr="003B52EE">
        <w:rPr>
          <w:szCs w:val="24"/>
          <w:lang w:eastAsia="ru-RU"/>
        </w:rPr>
        <w:t xml:space="preserve"> крови</w:t>
      </w:r>
      <w:r>
        <w:rPr>
          <w:szCs w:val="24"/>
          <w:lang w:eastAsia="ru-RU"/>
        </w:rPr>
        <w:t xml:space="preserve">, тип </w:t>
      </w:r>
      <w:r w:rsidRPr="003B52EE">
        <w:rPr>
          <w:bCs/>
          <w:iCs/>
          <w:szCs w:val="24"/>
          <w:lang w:eastAsia="ru-RU"/>
        </w:rPr>
        <w:t>концентрата тромбоцитов</w:t>
      </w:r>
      <w:r>
        <w:rPr>
          <w:bCs/>
          <w:iCs/>
          <w:szCs w:val="24"/>
          <w:lang w:eastAsia="ru-RU"/>
        </w:rPr>
        <w:t xml:space="preserve">, тип препарата </w:t>
      </w:r>
      <w:r w:rsidRPr="003B52EE">
        <w:rPr>
          <w:iCs/>
          <w:szCs w:val="24"/>
        </w:rPr>
        <w:t>плазмы</w:t>
      </w:r>
      <w:r>
        <w:rPr>
          <w:iCs/>
          <w:szCs w:val="24"/>
        </w:rPr>
        <w:t xml:space="preserve">) осуществляется лечащим врачом или врачом-трансфузиологом в соответствии с клинической ситуаций и на основании </w:t>
      </w:r>
      <w:r w:rsidRPr="00EE003B">
        <w:rPr>
          <w:szCs w:val="24"/>
        </w:rPr>
        <w:t>Приказа Минздрава России от 28.10.2020 N 1170н</w:t>
      </w:r>
      <w:r w:rsidRPr="00EE003B">
        <w:rPr>
          <w:szCs w:val="24"/>
        </w:rPr>
        <w:br/>
        <w:t xml:space="preserve">"Об утверждении порядка оказания медицинской помощи населению по профилю "трансфузиология", Приказа Минздрава России от 20.10.2020 </w:t>
      </w:r>
      <w:r w:rsidRPr="00EE003B">
        <w:rPr>
          <w:szCs w:val="24"/>
          <w:lang w:val="en-US"/>
        </w:rPr>
        <w:t>N</w:t>
      </w:r>
      <w:r w:rsidRPr="00EE003B">
        <w:rPr>
          <w:szCs w:val="24"/>
        </w:rPr>
        <w:t xml:space="preserve">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w:t>
      </w:r>
      <w:r>
        <w:rPr>
          <w:szCs w:val="24"/>
        </w:rPr>
        <w:t>, рекомендациями «Клиническое использование эритроцитсодержащих компонентов крови»  (2018</w:t>
      </w:r>
      <w:r w:rsidRPr="00360841">
        <w:rPr>
          <w:szCs w:val="24"/>
        </w:rPr>
        <w:t xml:space="preserve"> </w:t>
      </w:r>
      <w:r>
        <w:rPr>
          <w:szCs w:val="24"/>
        </w:rPr>
        <w:t>г</w:t>
      </w:r>
      <w:r w:rsidRPr="00360841">
        <w:rPr>
          <w:szCs w:val="24"/>
        </w:rPr>
        <w:t>.</w:t>
      </w:r>
      <w:r>
        <w:rPr>
          <w:szCs w:val="24"/>
        </w:rPr>
        <w:t xml:space="preserve">), </w:t>
      </w:r>
      <w:r w:rsidRPr="00106C1D">
        <w:rPr>
          <w:szCs w:val="24"/>
        </w:rPr>
        <w:t xml:space="preserve">Постановления от 22.06.2019 г. </w:t>
      </w:r>
      <w:r w:rsidRPr="00106C1D">
        <w:rPr>
          <w:szCs w:val="24"/>
          <w:lang w:val="en-US"/>
        </w:rPr>
        <w:t>N</w:t>
      </w:r>
      <w:r w:rsidRPr="00106C1D">
        <w:rPr>
          <w:szCs w:val="24"/>
        </w:rPr>
        <w:t xml:space="preserve">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41A64C85" w14:textId="77777777" w:rsidR="0040765B" w:rsidRDefault="0040765B" w:rsidP="0040765B">
      <w:pPr>
        <w:contextualSpacing/>
        <w:rPr>
          <w:b/>
          <w:szCs w:val="24"/>
          <w:lang w:eastAsia="ru-RU"/>
        </w:rPr>
      </w:pPr>
    </w:p>
    <w:p w14:paraId="23D27025" w14:textId="77777777" w:rsidR="0040765B" w:rsidRPr="00360841" w:rsidRDefault="0040765B" w:rsidP="0040765B">
      <w:pPr>
        <w:contextualSpacing/>
        <w:rPr>
          <w:i/>
          <w:szCs w:val="24"/>
          <w:u w:val="single"/>
          <w:lang w:eastAsia="ru-RU"/>
        </w:rPr>
      </w:pPr>
      <w:r w:rsidRPr="00360841">
        <w:rPr>
          <w:i/>
          <w:szCs w:val="24"/>
          <w:u w:val="single"/>
          <w:lang w:eastAsia="ru-RU"/>
        </w:rPr>
        <w:t>Трансфузии эритроцитосодержащих компонентов крови (ЭСК)</w:t>
      </w:r>
    </w:p>
    <w:p w14:paraId="5B250F82" w14:textId="77777777" w:rsidR="0040765B" w:rsidRPr="00FA3E28" w:rsidRDefault="0040765B" w:rsidP="0040765B">
      <w:pPr>
        <w:ind w:firstLine="708"/>
        <w:rPr>
          <w:rFonts w:eastAsia="Times New Roman"/>
          <w:szCs w:val="24"/>
          <w:u w:val="single"/>
        </w:rPr>
      </w:pPr>
      <w:r w:rsidRPr="00FA3E28">
        <w:rPr>
          <w:rFonts w:eastAsia="Times New Roman"/>
          <w:bCs/>
          <w:szCs w:val="24"/>
          <w:u w:val="single"/>
        </w:rPr>
        <w:t>Необходимые исследования до трансфузии</w:t>
      </w:r>
    </w:p>
    <w:p w14:paraId="37D0E6C9" w14:textId="77777777" w:rsidR="0040765B" w:rsidRDefault="0040765B" w:rsidP="0040765B">
      <w:pPr>
        <w:ind w:firstLine="708"/>
        <w:rPr>
          <w:rFonts w:eastAsia="Times New Roman"/>
          <w:szCs w:val="24"/>
        </w:rPr>
      </w:pPr>
      <w:r>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643290D2" w14:textId="77777777" w:rsidR="0040765B" w:rsidRPr="00360841" w:rsidRDefault="0040765B" w:rsidP="000768AC">
      <w:pPr>
        <w:pStyle w:val="afe"/>
        <w:numPr>
          <w:ilvl w:val="0"/>
          <w:numId w:val="101"/>
        </w:numPr>
        <w:rPr>
          <w:szCs w:val="24"/>
        </w:rPr>
      </w:pPr>
      <w:r w:rsidRPr="00360841">
        <w:rPr>
          <w:rFonts w:eastAsia="Times New Roman"/>
          <w:szCs w:val="24"/>
        </w:rPr>
        <w:t>определение группы крови по системе AB0 и резус-принадлежности;</w:t>
      </w:r>
    </w:p>
    <w:p w14:paraId="02EAC666" w14:textId="77777777" w:rsidR="0040765B" w:rsidRPr="00360841" w:rsidRDefault="0040765B" w:rsidP="000768AC">
      <w:pPr>
        <w:pStyle w:val="afe"/>
        <w:numPr>
          <w:ilvl w:val="0"/>
          <w:numId w:val="101"/>
        </w:numPr>
        <w:rPr>
          <w:szCs w:val="24"/>
        </w:rPr>
      </w:pPr>
      <w:r w:rsidRPr="00360841">
        <w:rPr>
          <w:rFonts w:eastAsia="Times New Roman"/>
          <w:szCs w:val="24"/>
        </w:rPr>
        <w:t>определение антигена K;</w:t>
      </w:r>
    </w:p>
    <w:p w14:paraId="03C9DF12" w14:textId="77777777" w:rsidR="0040765B" w:rsidRPr="00360841" w:rsidRDefault="0040765B" w:rsidP="000768AC">
      <w:pPr>
        <w:pStyle w:val="afe"/>
        <w:numPr>
          <w:ilvl w:val="0"/>
          <w:numId w:val="101"/>
        </w:numPr>
        <w:rPr>
          <w:szCs w:val="24"/>
        </w:rPr>
      </w:pPr>
      <w:r w:rsidRPr="00360841">
        <w:rPr>
          <w:rFonts w:eastAsia="Times New Roman"/>
          <w:szCs w:val="24"/>
        </w:rPr>
        <w:t>скрининг аллоиммунных антител с использованием не менее 3 образцов тест-эритроцитов;</w:t>
      </w:r>
    </w:p>
    <w:p w14:paraId="727F68DD" w14:textId="77777777" w:rsidR="0040765B" w:rsidRPr="00360841" w:rsidRDefault="0040765B" w:rsidP="000768AC">
      <w:pPr>
        <w:pStyle w:val="afe"/>
        <w:numPr>
          <w:ilvl w:val="0"/>
          <w:numId w:val="101"/>
        </w:numPr>
        <w:rPr>
          <w:szCs w:val="24"/>
        </w:rPr>
      </w:pPr>
      <w:r w:rsidRPr="00360841">
        <w:rPr>
          <w:rFonts w:eastAsia="Times New Roman"/>
          <w:szCs w:val="24"/>
        </w:rPr>
        <w:t>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1CE6E761" w14:textId="77777777" w:rsidR="0040765B" w:rsidRDefault="0040765B" w:rsidP="0040765B">
      <w:pPr>
        <w:ind w:firstLine="708"/>
        <w:rPr>
          <w:szCs w:val="24"/>
        </w:rPr>
      </w:pPr>
      <w:r>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61473D97" w14:textId="77777777" w:rsidR="0040765B" w:rsidRDefault="0040765B" w:rsidP="0040765B">
      <w:pPr>
        <w:ind w:firstLine="708"/>
        <w:rPr>
          <w:rFonts w:eastAsia="Times New Roman"/>
          <w:szCs w:val="24"/>
        </w:rPr>
      </w:pPr>
      <w:r>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Pr>
          <w:rFonts w:eastAsia="Times New Roman"/>
          <w:szCs w:val="24"/>
          <w:vertAlign w:val="superscript"/>
          <w:lang w:val="en-US" w:eastAsia="ru-RU"/>
        </w:rPr>
        <w:t>W</w:t>
      </w:r>
      <w:r>
        <w:rPr>
          <w:rFonts w:eastAsia="Times New Roman"/>
          <w:szCs w:val="24"/>
        </w:rPr>
        <w:t>.</w:t>
      </w:r>
    </w:p>
    <w:p w14:paraId="0512C365" w14:textId="77777777" w:rsidR="0040765B" w:rsidRDefault="0040765B" w:rsidP="0040765B">
      <w:pPr>
        <w:ind w:firstLine="708"/>
        <w:rPr>
          <w:rFonts w:eastAsia="Times New Roman"/>
          <w:szCs w:val="24"/>
        </w:rPr>
      </w:pPr>
      <w:r>
        <w:rPr>
          <w:rFonts w:eastAsia="Times New Roman"/>
          <w:szCs w:val="24"/>
          <w:lang w:eastAsia="ru-RU"/>
        </w:rPr>
        <w:t xml:space="preserve">Индивидуальный подбор компонентов крови осуществляется реципиентам, имеющим: </w:t>
      </w:r>
    </w:p>
    <w:p w14:paraId="3BDE9EA2" w14:textId="77777777" w:rsidR="0040765B" w:rsidRPr="00360841" w:rsidRDefault="0040765B" w:rsidP="000768AC">
      <w:pPr>
        <w:pStyle w:val="afe"/>
        <w:numPr>
          <w:ilvl w:val="0"/>
          <w:numId w:val="102"/>
        </w:numPr>
        <w:rPr>
          <w:rFonts w:eastAsia="Times New Roman"/>
          <w:szCs w:val="24"/>
        </w:rPr>
      </w:pPr>
      <w:r w:rsidRPr="00360841">
        <w:rPr>
          <w:rFonts w:eastAsia="Times New Roman"/>
          <w:szCs w:val="24"/>
          <w:lang w:eastAsia="ru-RU"/>
        </w:rPr>
        <w:t>посттрансфузионные осложнения в анамнезе</w:t>
      </w:r>
    </w:p>
    <w:p w14:paraId="66787561" w14:textId="77777777" w:rsidR="0040765B" w:rsidRPr="00360841" w:rsidRDefault="0040765B" w:rsidP="000768AC">
      <w:pPr>
        <w:pStyle w:val="afe"/>
        <w:numPr>
          <w:ilvl w:val="0"/>
          <w:numId w:val="102"/>
        </w:numPr>
        <w:rPr>
          <w:rFonts w:eastAsia="Times New Roman"/>
          <w:szCs w:val="24"/>
          <w:lang w:eastAsia="ru-RU"/>
        </w:rPr>
      </w:pPr>
      <w:r w:rsidRPr="00360841">
        <w:rPr>
          <w:rFonts w:eastAsia="Times New Roman"/>
          <w:szCs w:val="24"/>
          <w:lang w:eastAsia="ru-RU"/>
        </w:rPr>
        <w:t>беременность</w:t>
      </w:r>
    </w:p>
    <w:p w14:paraId="363C03D9" w14:textId="77777777" w:rsidR="0040765B" w:rsidRPr="00360841" w:rsidRDefault="0040765B" w:rsidP="000768AC">
      <w:pPr>
        <w:pStyle w:val="afe"/>
        <w:numPr>
          <w:ilvl w:val="0"/>
          <w:numId w:val="102"/>
        </w:numPr>
        <w:rPr>
          <w:rFonts w:eastAsia="Times New Roman"/>
          <w:szCs w:val="24"/>
          <w:lang w:eastAsia="ru-RU"/>
        </w:rPr>
      </w:pPr>
      <w:r w:rsidRPr="00360841">
        <w:rPr>
          <w:rFonts w:eastAsia="Times New Roman"/>
          <w:szCs w:val="24"/>
          <w:lang w:eastAsia="ru-RU"/>
        </w:rPr>
        <w:t>рождение детей с гемолитической болезнью новорожденного в анамнезе</w:t>
      </w:r>
    </w:p>
    <w:p w14:paraId="376C6E1B" w14:textId="77777777" w:rsidR="0040765B" w:rsidRPr="00360841" w:rsidRDefault="0040765B" w:rsidP="000768AC">
      <w:pPr>
        <w:pStyle w:val="afe"/>
        <w:numPr>
          <w:ilvl w:val="0"/>
          <w:numId w:val="102"/>
        </w:numPr>
        <w:rPr>
          <w:rFonts w:eastAsia="Times New Roman"/>
          <w:szCs w:val="24"/>
        </w:rPr>
      </w:pPr>
      <w:r w:rsidRPr="00360841">
        <w:rPr>
          <w:rFonts w:eastAsia="Times New Roman"/>
          <w:szCs w:val="24"/>
          <w:lang w:eastAsia="ru-RU"/>
        </w:rPr>
        <w:t xml:space="preserve">аллоиммунные антитела. </w:t>
      </w:r>
    </w:p>
    <w:p w14:paraId="55C8C638" w14:textId="77777777" w:rsidR="0040765B" w:rsidRDefault="0040765B" w:rsidP="0040765B">
      <w:pPr>
        <w:ind w:firstLine="708"/>
        <w:rPr>
          <w:rFonts w:eastAsia="Times New Roman"/>
          <w:szCs w:val="24"/>
        </w:rPr>
      </w:pPr>
      <w:r w:rsidRPr="001A5953">
        <w:rPr>
          <w:rFonts w:eastAsia="Times New Roman"/>
          <w:szCs w:val="24"/>
        </w:rPr>
        <w:t>Индивидуальный подбор не отменяет постановку пробы на совместимость на плоскости</w:t>
      </w:r>
      <w:r>
        <w:rPr>
          <w:rFonts w:eastAsia="Times New Roman"/>
          <w:szCs w:val="24"/>
        </w:rPr>
        <w:t xml:space="preserve"> при комнатной температуре</w:t>
      </w:r>
      <w:r w:rsidRPr="001A5953">
        <w:rPr>
          <w:rFonts w:eastAsia="Times New Roman"/>
          <w:szCs w:val="24"/>
        </w:rPr>
        <w:t xml:space="preserve"> и биологическую пробу врачом, проводящим трансфузию.</w:t>
      </w:r>
    </w:p>
    <w:p w14:paraId="126925F8" w14:textId="77777777" w:rsidR="0040765B" w:rsidRDefault="0040765B" w:rsidP="0040765B">
      <w:pPr>
        <w:ind w:firstLine="708"/>
        <w:rPr>
          <w:rFonts w:eastAsia="Times New Roman"/>
          <w:szCs w:val="24"/>
        </w:rPr>
      </w:pPr>
      <w:r>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66E2437A" w14:textId="77777777" w:rsidR="0040765B" w:rsidRPr="00360841" w:rsidRDefault="0040765B" w:rsidP="000768AC">
      <w:pPr>
        <w:pStyle w:val="afe"/>
        <w:numPr>
          <w:ilvl w:val="0"/>
          <w:numId w:val="103"/>
        </w:numPr>
        <w:rPr>
          <w:rFonts w:eastAsia="Times New Roman"/>
          <w:szCs w:val="24"/>
        </w:rPr>
      </w:pPr>
      <w:r w:rsidRPr="00360841">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11439BDB" w14:textId="77777777" w:rsidR="0040765B" w:rsidRPr="00360841" w:rsidRDefault="0040765B" w:rsidP="000768AC">
      <w:pPr>
        <w:pStyle w:val="afe"/>
        <w:numPr>
          <w:ilvl w:val="0"/>
          <w:numId w:val="103"/>
        </w:numPr>
        <w:rPr>
          <w:szCs w:val="24"/>
        </w:rPr>
      </w:pPr>
      <w:r w:rsidRPr="00360841">
        <w:rPr>
          <w:rFonts w:eastAsia="Times New Roman"/>
          <w:szCs w:val="24"/>
        </w:rPr>
        <w:t>Перед трансфузией СЗП, криопреципитата и криосупернатантной плазмы - коагулограмма.</w:t>
      </w:r>
    </w:p>
    <w:p w14:paraId="69BECFB0" w14:textId="77777777" w:rsidR="0040765B" w:rsidRPr="00360841" w:rsidRDefault="0040765B" w:rsidP="000768AC">
      <w:pPr>
        <w:pStyle w:val="afe"/>
        <w:numPr>
          <w:ilvl w:val="0"/>
          <w:numId w:val="103"/>
        </w:numPr>
        <w:rPr>
          <w:szCs w:val="24"/>
        </w:rPr>
      </w:pPr>
      <w:r w:rsidRPr="00360841">
        <w:rPr>
          <w:rFonts w:eastAsia="Times New Roman"/>
          <w:szCs w:val="24"/>
        </w:rPr>
        <w:t>После трансфузии компонентов крови</w:t>
      </w:r>
    </w:p>
    <w:p w14:paraId="58327671" w14:textId="77777777" w:rsidR="0040765B" w:rsidRPr="004E4312" w:rsidRDefault="0040765B" w:rsidP="0040765B">
      <w:pPr>
        <w:rPr>
          <w:b/>
          <w:u w:val="single"/>
        </w:rPr>
      </w:pPr>
      <w:r w:rsidRPr="004E4312">
        <w:rPr>
          <w:u w:val="single"/>
        </w:rPr>
        <w:t>Показания к переливанию ЭСК</w:t>
      </w:r>
    </w:p>
    <w:p w14:paraId="22F6AF49"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Пациентам с хронической анемией переливание показано при уровне гемоглобина &lt; 60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6CAF3C03"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100 г/л.</w:t>
      </w:r>
    </w:p>
    <w:p w14:paraId="199E3DA5"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Пациентам старше 60 лет трансфузии эритроцитов показаны при уровне гемоглобина &lt; 100 г/л.</w:t>
      </w:r>
    </w:p>
    <w:p w14:paraId="66AFB4D6"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Беременным пациенткам с заболеваниями системы крови рекомендовано обеспечивать уровень гемоглобина в крови не менее 80 г/л.</w:t>
      </w:r>
    </w:p>
    <w:p w14:paraId="7DB96408" w14:textId="77777777" w:rsidR="0040765B" w:rsidRPr="004E4312" w:rsidRDefault="0040765B" w:rsidP="0040765B">
      <w:pPr>
        <w:rPr>
          <w:b/>
          <w:u w:val="single"/>
        </w:rPr>
      </w:pPr>
      <w:r w:rsidRPr="004E4312">
        <w:rPr>
          <w:u w:val="single"/>
        </w:rPr>
        <w:t>Показания к ЭСК при острой анемии вследствие массивной кровопотери</w:t>
      </w:r>
    </w:p>
    <w:p w14:paraId="4C3F957F"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3E56F617"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Уровень гемоглобина ниже 70—90 г/л при активном кровотечении.</w:t>
      </w:r>
    </w:p>
    <w:p w14:paraId="292B98BD" w14:textId="77777777" w:rsidR="0040765B" w:rsidRPr="003E19FB" w:rsidRDefault="0040765B" w:rsidP="000768AC">
      <w:pPr>
        <w:pStyle w:val="FitzBullet"/>
        <w:numPr>
          <w:ilvl w:val="0"/>
          <w:numId w:val="104"/>
        </w:numPr>
        <w:tabs>
          <w:tab w:val="clear" w:pos="317"/>
          <w:tab w:val="left" w:pos="144"/>
        </w:tabs>
        <w:spacing w:before="0" w:after="0" w:line="360" w:lineRule="auto"/>
        <w:jc w:val="both"/>
      </w:pPr>
      <w:r w:rsidRPr="003E19FB">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088F4FF9" w14:textId="77777777" w:rsidR="0040765B" w:rsidRDefault="0040765B" w:rsidP="000768AC">
      <w:pPr>
        <w:pStyle w:val="FitzBullet"/>
        <w:numPr>
          <w:ilvl w:val="0"/>
          <w:numId w:val="104"/>
        </w:numPr>
        <w:tabs>
          <w:tab w:val="clear" w:pos="317"/>
          <w:tab w:val="left" w:pos="144"/>
        </w:tabs>
        <w:spacing w:before="0" w:after="0" w:line="360" w:lineRule="auto"/>
        <w:jc w:val="both"/>
      </w:pPr>
      <w:r w:rsidRPr="003E19FB">
        <w:t>Рекомендуется соблюдение формулы 1:1:1, обозначающей должное соотношение эритроцитов, СЗП и тромбоцитов.</w:t>
      </w:r>
    </w:p>
    <w:p w14:paraId="7CFBB79B" w14:textId="77777777" w:rsidR="0040765B" w:rsidRPr="003E19FB" w:rsidRDefault="0040765B" w:rsidP="0040765B">
      <w:pPr>
        <w:pStyle w:val="FitzBullet"/>
        <w:spacing w:before="0" w:after="0" w:line="360" w:lineRule="auto"/>
        <w:ind w:left="720" w:firstLine="0"/>
      </w:pPr>
    </w:p>
    <w:p w14:paraId="5FBF9F55" w14:textId="77777777" w:rsidR="0040765B" w:rsidRPr="00360841" w:rsidRDefault="0040765B" w:rsidP="0040765B">
      <w:pPr>
        <w:rPr>
          <w:bCs/>
          <w:i/>
          <w:iCs/>
          <w:szCs w:val="24"/>
          <w:u w:val="single"/>
          <w:lang w:eastAsia="ru-RU"/>
        </w:rPr>
      </w:pPr>
      <w:r w:rsidRPr="00360841">
        <w:rPr>
          <w:bCs/>
          <w:i/>
          <w:iCs/>
          <w:szCs w:val="24"/>
          <w:u w:val="single"/>
          <w:lang w:eastAsia="ru-RU"/>
        </w:rPr>
        <w:t>Трансфузии концентрата тромбоцитов</w:t>
      </w:r>
    </w:p>
    <w:p w14:paraId="55505A9E" w14:textId="77777777" w:rsidR="0040765B" w:rsidRPr="003E19FB" w:rsidRDefault="0040765B" w:rsidP="0040765B">
      <w:pPr>
        <w:contextualSpacing/>
        <w:rPr>
          <w:color w:val="333333"/>
          <w:szCs w:val="24"/>
        </w:rPr>
      </w:pPr>
      <w:r>
        <w:rPr>
          <w:color w:val="373838"/>
          <w:szCs w:val="24"/>
        </w:rPr>
        <w:t xml:space="preserve">Считается, что </w:t>
      </w:r>
      <w:r w:rsidRPr="003E19FB">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w:t>
      </w:r>
      <w:r>
        <w:rPr>
          <w:color w:val="333333"/>
          <w:szCs w:val="24"/>
        </w:rPr>
        <w:t>-30</w:t>
      </w:r>
      <w:r>
        <w:rPr>
          <w:szCs w:val="24"/>
        </w:rPr>
        <w:t>х</w:t>
      </w:r>
      <w:r w:rsidRPr="003E19FB">
        <w:rPr>
          <w:color w:val="333333"/>
          <w:szCs w:val="24"/>
        </w:rPr>
        <w:t>10</w:t>
      </w:r>
      <w:r w:rsidRPr="003E19FB">
        <w:rPr>
          <w:color w:val="333333"/>
          <w:szCs w:val="24"/>
          <w:vertAlign w:val="superscript"/>
        </w:rPr>
        <w:t>9</w:t>
      </w:r>
      <w:r w:rsidRPr="003E19FB">
        <w:rPr>
          <w:color w:val="333333"/>
          <w:szCs w:val="24"/>
        </w:rPr>
        <w:t>/л и ниже, а перед люмбальной пункцией или объемной операцией пороговый уровень тромбоцитов повышается до 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color w:val="333333"/>
          <w:szCs w:val="24"/>
        </w:rPr>
        <w:t>.</w:t>
      </w:r>
      <w:r>
        <w:rPr>
          <w:szCs w:val="24"/>
        </w:rPr>
        <w:t xml:space="preserve"> </w:t>
      </w:r>
    </w:p>
    <w:p w14:paraId="06B137F8" w14:textId="77777777" w:rsidR="0040765B" w:rsidRDefault="0040765B" w:rsidP="0040765B">
      <w:pPr>
        <w:contextualSpacing/>
        <w:rPr>
          <w:bCs/>
          <w:szCs w:val="24"/>
        </w:rPr>
      </w:pPr>
      <w:r>
        <w:rPr>
          <w:szCs w:val="24"/>
        </w:rPr>
        <w:t>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Так,  у  всех пациентов</w:t>
      </w:r>
      <w:r w:rsidRPr="003E19FB">
        <w:rPr>
          <w:szCs w:val="24"/>
        </w:rPr>
        <w:t xml:space="preserve"> с острым промиелоцитарным лейкозом (ОПЛ)</w:t>
      </w:r>
      <w:r>
        <w:rPr>
          <w:szCs w:val="24"/>
        </w:rPr>
        <w:t xml:space="preserve"> пороговый уровень тромбоцитов увеличен до </w:t>
      </w:r>
      <w:r w:rsidRPr="003E19FB">
        <w:rPr>
          <w:color w:val="333333"/>
          <w:szCs w:val="24"/>
        </w:rPr>
        <w:t>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szCs w:val="24"/>
        </w:rPr>
        <w:t>,</w:t>
      </w:r>
      <w:r w:rsidRPr="003E19FB">
        <w:rPr>
          <w:szCs w:val="24"/>
        </w:rPr>
        <w:t xml:space="preserve"> </w:t>
      </w:r>
      <w:r w:rsidRPr="003E19FB">
        <w:rPr>
          <w:bCs/>
          <w:szCs w:val="24"/>
        </w:rPr>
        <w:t>поскольку ОПЛ характеризуется тяжелым геморрагическим синдромом и избыточным активированным фибринолизом</w:t>
      </w:r>
      <w:r>
        <w:rPr>
          <w:bCs/>
          <w:szCs w:val="24"/>
        </w:rPr>
        <w:t xml:space="preserve">; у  </w:t>
      </w:r>
      <w:r w:rsidRPr="003E19FB">
        <w:rPr>
          <w:szCs w:val="24"/>
        </w:rPr>
        <w:t>беременны</w:t>
      </w:r>
      <w:r>
        <w:rPr>
          <w:szCs w:val="24"/>
        </w:rPr>
        <w:t>х</w:t>
      </w:r>
      <w:r w:rsidRPr="003E19FB">
        <w:rPr>
          <w:szCs w:val="24"/>
        </w:rPr>
        <w:t xml:space="preserve"> пациент</w:t>
      </w:r>
      <w:r>
        <w:rPr>
          <w:szCs w:val="24"/>
        </w:rPr>
        <w:t>ок</w:t>
      </w:r>
      <w:r w:rsidRPr="003E19FB">
        <w:rPr>
          <w:szCs w:val="24"/>
        </w:rPr>
        <w:t xml:space="preserve"> с </w:t>
      </w:r>
      <w:r>
        <w:rPr>
          <w:szCs w:val="24"/>
        </w:rPr>
        <w:t xml:space="preserve">другими </w:t>
      </w:r>
      <w:r w:rsidRPr="003E19FB">
        <w:rPr>
          <w:szCs w:val="24"/>
        </w:rPr>
        <w:t xml:space="preserve">опухолевыми </w:t>
      </w:r>
      <w:r>
        <w:rPr>
          <w:szCs w:val="24"/>
        </w:rPr>
        <w:t>гематологическими заболеваниями</w:t>
      </w:r>
      <w:r w:rsidRPr="003E19FB">
        <w:rPr>
          <w:bCs/>
          <w:szCs w:val="24"/>
        </w:rPr>
        <w:t xml:space="preserve"> пороговый уровень тромбоцитов составляет 30</w:t>
      </w:r>
      <w:r>
        <w:rPr>
          <w:bCs/>
          <w:szCs w:val="24"/>
        </w:rPr>
        <w:t>х</w:t>
      </w:r>
      <w:r w:rsidRPr="003E19FB">
        <w:rPr>
          <w:bCs/>
          <w:szCs w:val="24"/>
        </w:rPr>
        <w:t>10</w:t>
      </w:r>
      <w:r w:rsidRPr="003E19FB">
        <w:rPr>
          <w:bCs/>
          <w:szCs w:val="24"/>
          <w:vertAlign w:val="superscript"/>
        </w:rPr>
        <w:t>9</w:t>
      </w:r>
      <w:r w:rsidRPr="003E19FB">
        <w:rPr>
          <w:bCs/>
          <w:szCs w:val="24"/>
        </w:rPr>
        <w:t>/л.</w:t>
      </w:r>
    </w:p>
    <w:p w14:paraId="57BCCD08" w14:textId="77777777" w:rsidR="0040765B" w:rsidRPr="003E19FB" w:rsidRDefault="0040765B" w:rsidP="0040765B">
      <w:pPr>
        <w:contextualSpacing/>
        <w:rPr>
          <w:szCs w:val="24"/>
          <w:lang w:eastAsia="ru-RU"/>
        </w:rPr>
      </w:pPr>
      <w:r w:rsidRPr="003E19FB">
        <w:rPr>
          <w:szCs w:val="24"/>
          <w:lang w:eastAsia="ru-RU"/>
        </w:rPr>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w:t>
      </w:r>
      <w:r>
        <w:rPr>
          <w:szCs w:val="24"/>
          <w:lang w:eastAsia="ru-RU"/>
        </w:rPr>
        <w:t>е</w:t>
      </w:r>
      <w:r w:rsidRPr="003E19FB">
        <w:rPr>
          <w:szCs w:val="24"/>
          <w:lang w:eastAsia="ru-RU"/>
        </w:rPr>
        <w:t>мся кровотечении.</w:t>
      </w:r>
      <w:r>
        <w:rPr>
          <w:szCs w:val="24"/>
          <w:lang w:eastAsia="ru-RU"/>
        </w:rPr>
        <w:t xml:space="preserve"> </w:t>
      </w:r>
      <w:r w:rsidRPr="003E19FB">
        <w:rPr>
          <w:szCs w:val="24"/>
          <w:lang w:eastAsia="ru-RU"/>
        </w:rPr>
        <w:t xml:space="preserve">При тромбоцитопатиях трансфузия тромбоцитов также </w:t>
      </w:r>
      <w:r>
        <w:rPr>
          <w:szCs w:val="24"/>
          <w:lang w:eastAsia="ru-RU"/>
        </w:rPr>
        <w:t xml:space="preserve">рутинно не показана, и </w:t>
      </w:r>
      <w:r w:rsidRPr="003E19FB">
        <w:rPr>
          <w:szCs w:val="24"/>
          <w:lang w:eastAsia="ru-RU"/>
        </w:rPr>
        <w:t>осуществляется только в неотложных ситуациях: при массивных кровотечениях, операциях, родах.</w:t>
      </w:r>
    </w:p>
    <w:p w14:paraId="01127EA2" w14:textId="77777777" w:rsidR="0040765B" w:rsidRDefault="0040765B" w:rsidP="0040765B">
      <w:pPr>
        <w:contextualSpacing/>
        <w:rPr>
          <w:szCs w:val="24"/>
        </w:rPr>
      </w:pPr>
      <w:r w:rsidRPr="002A1C4D">
        <w:rPr>
          <w:szCs w:val="24"/>
          <w:u w:val="single"/>
        </w:rPr>
        <w:t>Показания к переливанию концентрата тромбоцитов с профилактической целью</w:t>
      </w:r>
      <w:r w:rsidRPr="00BA458B">
        <w:rPr>
          <w:szCs w:val="24"/>
        </w:rPr>
        <w:t xml:space="preserve"> приведены в табл. 1.</w:t>
      </w:r>
    </w:p>
    <w:p w14:paraId="3D90AE58" w14:textId="77777777" w:rsidR="0040765B" w:rsidRDefault="0040765B" w:rsidP="0040765B">
      <w:pPr>
        <w:contextualSpacing/>
        <w:rPr>
          <w:bCs/>
          <w:szCs w:val="24"/>
        </w:rPr>
      </w:pPr>
    </w:p>
    <w:p w14:paraId="727D4739" w14:textId="77777777" w:rsidR="0040765B" w:rsidRPr="0008195A" w:rsidRDefault="0040765B" w:rsidP="0040765B">
      <w:pPr>
        <w:contextualSpacing/>
        <w:rPr>
          <w:szCs w:val="24"/>
        </w:rPr>
      </w:pPr>
      <w:r w:rsidRPr="0008195A">
        <w:rPr>
          <w:bCs/>
          <w:szCs w:val="24"/>
        </w:rPr>
        <w:t>Таблица 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40765B" w:rsidRPr="004C7AAC" w14:paraId="2BFDBC2E" w14:textId="77777777" w:rsidTr="005A428D">
        <w:tc>
          <w:tcPr>
            <w:tcW w:w="3007" w:type="dxa"/>
            <w:vAlign w:val="center"/>
          </w:tcPr>
          <w:p w14:paraId="4B225888" w14:textId="77777777" w:rsidR="0040765B" w:rsidRPr="00BA458B" w:rsidRDefault="0040765B" w:rsidP="005A428D">
            <w:pPr>
              <w:pStyle w:val="Table-head-italic"/>
              <w:spacing w:line="360" w:lineRule="auto"/>
              <w:jc w:val="center"/>
              <w:rPr>
                <w:i w:val="0"/>
                <w:sz w:val="22"/>
                <w:szCs w:val="22"/>
                <w:lang w:val="ru-RU"/>
              </w:rPr>
            </w:pPr>
            <w:r w:rsidRPr="00BA458B">
              <w:rPr>
                <w:i w:val="0"/>
                <w:sz w:val="22"/>
                <w:szCs w:val="22"/>
                <w:lang w:val="ru-RU"/>
              </w:rPr>
              <w:t>Показание</w:t>
            </w:r>
          </w:p>
        </w:tc>
        <w:tc>
          <w:tcPr>
            <w:tcW w:w="2663" w:type="dxa"/>
            <w:vAlign w:val="center"/>
          </w:tcPr>
          <w:p w14:paraId="7FAB38F0" w14:textId="77777777" w:rsidR="0040765B" w:rsidRPr="00BA458B" w:rsidRDefault="0040765B" w:rsidP="005A428D">
            <w:pPr>
              <w:pStyle w:val="Table-head-italic"/>
              <w:spacing w:line="360" w:lineRule="auto"/>
              <w:jc w:val="center"/>
              <w:rPr>
                <w:i w:val="0"/>
                <w:sz w:val="22"/>
                <w:szCs w:val="22"/>
                <w:lang w:val="ru-RU"/>
              </w:rPr>
            </w:pPr>
            <w:r w:rsidRPr="00BA458B">
              <w:rPr>
                <w:i w:val="0"/>
                <w:sz w:val="22"/>
                <w:szCs w:val="22"/>
                <w:lang w:val="ru-RU"/>
              </w:rPr>
              <w:t>Количество тромбоцитов в периферической крови</w:t>
            </w:r>
          </w:p>
        </w:tc>
        <w:tc>
          <w:tcPr>
            <w:tcW w:w="3690" w:type="dxa"/>
            <w:vAlign w:val="center"/>
          </w:tcPr>
          <w:p w14:paraId="66B43FBA" w14:textId="77777777" w:rsidR="0040765B" w:rsidRPr="00BA458B" w:rsidRDefault="0040765B" w:rsidP="005A428D">
            <w:pPr>
              <w:pStyle w:val="Table-head-italic"/>
              <w:spacing w:line="360" w:lineRule="auto"/>
              <w:jc w:val="center"/>
              <w:rPr>
                <w:i w:val="0"/>
                <w:sz w:val="22"/>
                <w:szCs w:val="22"/>
                <w:lang w:val="ru-RU"/>
              </w:rPr>
            </w:pPr>
            <w:r w:rsidRPr="00BA458B">
              <w:rPr>
                <w:i w:val="0"/>
                <w:sz w:val="22"/>
                <w:szCs w:val="22"/>
                <w:lang w:val="ru-RU"/>
              </w:rPr>
              <w:t>Примечания</w:t>
            </w:r>
          </w:p>
        </w:tc>
      </w:tr>
      <w:tr w:rsidR="0040765B" w:rsidRPr="004C7AAC" w14:paraId="2853F3E1" w14:textId="77777777" w:rsidTr="005A428D">
        <w:tc>
          <w:tcPr>
            <w:tcW w:w="3007" w:type="dxa"/>
          </w:tcPr>
          <w:p w14:paraId="402902FC" w14:textId="77777777" w:rsidR="0040765B" w:rsidRPr="00BA458B" w:rsidRDefault="0040765B" w:rsidP="005A428D">
            <w:pPr>
              <w:pStyle w:val="table-text-0"/>
              <w:spacing w:before="0" w:line="360" w:lineRule="auto"/>
              <w:ind w:firstLine="0"/>
              <w:rPr>
                <w:sz w:val="22"/>
                <w:szCs w:val="22"/>
                <w:lang w:val="ru-RU"/>
              </w:rPr>
            </w:pPr>
            <w:r w:rsidRPr="00BA458B">
              <w:rPr>
                <w:sz w:val="22"/>
                <w:szCs w:val="22"/>
                <w:lang w:val="ru-RU"/>
              </w:rPr>
              <w:t>Во время или после химиотерапии, в период миелотоксического агранулоцитоза</w:t>
            </w:r>
          </w:p>
        </w:tc>
        <w:tc>
          <w:tcPr>
            <w:tcW w:w="2663" w:type="dxa"/>
            <w:vAlign w:val="center"/>
          </w:tcPr>
          <w:p w14:paraId="006441F6"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10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214327A0" w14:textId="77777777" w:rsidR="0040765B" w:rsidRPr="00A83EB7" w:rsidRDefault="0040765B" w:rsidP="005A428D">
            <w:pPr>
              <w:pStyle w:val="table-text-0"/>
              <w:spacing w:before="0" w:line="360" w:lineRule="auto"/>
              <w:ind w:firstLine="0"/>
              <w:rPr>
                <w:sz w:val="22"/>
                <w:szCs w:val="22"/>
                <w:lang w:val="ru-RU"/>
              </w:rPr>
            </w:pPr>
            <w:r w:rsidRPr="00A83EB7">
              <w:rPr>
                <w:sz w:val="22"/>
                <w:szCs w:val="22"/>
                <w:lang w:val="ru-RU"/>
              </w:rPr>
              <w:t>При синдроме повышенного потребления тромбоцитов* данный порог необходимо повысить</w:t>
            </w:r>
          </w:p>
        </w:tc>
      </w:tr>
      <w:tr w:rsidR="0040765B" w:rsidRPr="004C7AAC" w14:paraId="7F1C7BAB" w14:textId="77777777" w:rsidTr="005A428D">
        <w:tc>
          <w:tcPr>
            <w:tcW w:w="3007" w:type="dxa"/>
          </w:tcPr>
          <w:p w14:paraId="37BFBCEE" w14:textId="77777777" w:rsidR="0040765B" w:rsidRPr="00BA458B" w:rsidRDefault="0040765B" w:rsidP="005A428D">
            <w:pPr>
              <w:pStyle w:val="table-text-0"/>
              <w:spacing w:before="0" w:line="360" w:lineRule="auto"/>
              <w:ind w:firstLine="0"/>
              <w:rPr>
                <w:sz w:val="22"/>
                <w:szCs w:val="22"/>
                <w:lang w:val="ru-RU"/>
              </w:rPr>
            </w:pPr>
            <w:r w:rsidRPr="00BA458B">
              <w:rPr>
                <w:sz w:val="22"/>
                <w:szCs w:val="22"/>
                <w:lang w:val="ru-RU"/>
              </w:rPr>
              <w:t>Установка ЦВК</w:t>
            </w:r>
          </w:p>
        </w:tc>
        <w:tc>
          <w:tcPr>
            <w:tcW w:w="2663" w:type="dxa"/>
            <w:vAlign w:val="center"/>
          </w:tcPr>
          <w:p w14:paraId="51BFC728"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45483B6C" w14:textId="77777777" w:rsidR="0040765B" w:rsidRPr="00A83EB7" w:rsidRDefault="0040765B" w:rsidP="005A428D">
            <w:pPr>
              <w:pStyle w:val="table-text-0"/>
              <w:spacing w:before="0" w:line="360" w:lineRule="auto"/>
              <w:ind w:firstLine="0"/>
              <w:jc w:val="center"/>
              <w:rPr>
                <w:sz w:val="22"/>
                <w:szCs w:val="22"/>
                <w:lang w:val="ru-RU"/>
              </w:rPr>
            </w:pPr>
            <w:r>
              <w:rPr>
                <w:sz w:val="22"/>
                <w:szCs w:val="22"/>
                <w:lang w:val="ru-RU"/>
              </w:rPr>
              <w:t>-</w:t>
            </w:r>
          </w:p>
        </w:tc>
      </w:tr>
      <w:tr w:rsidR="0040765B" w:rsidRPr="004C7AAC" w14:paraId="497747B5" w14:textId="77777777" w:rsidTr="005A428D">
        <w:tc>
          <w:tcPr>
            <w:tcW w:w="3007" w:type="dxa"/>
          </w:tcPr>
          <w:p w14:paraId="02C13C5F" w14:textId="77777777" w:rsidR="0040765B" w:rsidRPr="00BA458B" w:rsidRDefault="0040765B" w:rsidP="005A428D">
            <w:pPr>
              <w:pStyle w:val="table-text-0"/>
              <w:spacing w:before="0" w:line="360" w:lineRule="auto"/>
              <w:ind w:firstLine="0"/>
              <w:rPr>
                <w:sz w:val="22"/>
                <w:szCs w:val="22"/>
                <w:lang w:val="ru-RU"/>
              </w:rPr>
            </w:pPr>
            <w:r w:rsidRPr="00BA458B">
              <w:rPr>
                <w:sz w:val="22"/>
                <w:szCs w:val="22"/>
                <w:lang w:val="ru-RU"/>
              </w:rPr>
              <w:t>Люмбальная пункция</w:t>
            </w:r>
          </w:p>
        </w:tc>
        <w:tc>
          <w:tcPr>
            <w:tcW w:w="2663" w:type="dxa"/>
            <w:vAlign w:val="center"/>
          </w:tcPr>
          <w:p w14:paraId="4A35B5B1"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09883574" w14:textId="77777777" w:rsidR="0040765B" w:rsidRPr="00A83EB7" w:rsidRDefault="0040765B" w:rsidP="005A428D">
            <w:pPr>
              <w:pStyle w:val="table-text-0"/>
              <w:spacing w:before="0" w:line="360" w:lineRule="auto"/>
              <w:ind w:firstLine="0"/>
              <w:jc w:val="center"/>
              <w:rPr>
                <w:sz w:val="22"/>
                <w:szCs w:val="22"/>
                <w:lang w:val="ru-RU"/>
              </w:rPr>
            </w:pPr>
            <w:r>
              <w:rPr>
                <w:sz w:val="22"/>
                <w:szCs w:val="22"/>
                <w:lang w:val="ru-RU"/>
              </w:rPr>
              <w:t>-</w:t>
            </w:r>
          </w:p>
        </w:tc>
      </w:tr>
      <w:tr w:rsidR="0040765B" w:rsidRPr="004C7AAC" w14:paraId="6A543AE5" w14:textId="77777777" w:rsidTr="005A428D">
        <w:tc>
          <w:tcPr>
            <w:tcW w:w="3007" w:type="dxa"/>
          </w:tcPr>
          <w:p w14:paraId="0006B6CF" w14:textId="77777777" w:rsidR="0040765B" w:rsidRPr="00BA458B" w:rsidRDefault="0040765B" w:rsidP="005A428D">
            <w:pPr>
              <w:pStyle w:val="table-text-0"/>
              <w:spacing w:before="0" w:line="360" w:lineRule="auto"/>
              <w:ind w:firstLine="0"/>
              <w:rPr>
                <w:sz w:val="22"/>
                <w:szCs w:val="22"/>
                <w:lang w:val="ru-RU"/>
              </w:rPr>
            </w:pPr>
            <w:r w:rsidRPr="00BA458B">
              <w:rPr>
                <w:sz w:val="22"/>
                <w:szCs w:val="22"/>
                <w:lang w:val="ru-RU"/>
              </w:rPr>
              <w:t>Объемные операции и малообъемные инвазивные вмешательства</w:t>
            </w:r>
          </w:p>
        </w:tc>
        <w:tc>
          <w:tcPr>
            <w:tcW w:w="2663" w:type="dxa"/>
            <w:vAlign w:val="center"/>
          </w:tcPr>
          <w:p w14:paraId="1C9FE4B0"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3D150456" w14:textId="77777777" w:rsidR="0040765B" w:rsidRPr="00A83EB7" w:rsidRDefault="0040765B" w:rsidP="005A428D">
            <w:pPr>
              <w:pStyle w:val="table-text-0"/>
              <w:spacing w:before="0" w:line="360" w:lineRule="auto"/>
              <w:ind w:firstLine="0"/>
              <w:rPr>
                <w:sz w:val="22"/>
                <w:szCs w:val="22"/>
                <w:lang w:val="ru-RU"/>
              </w:rPr>
            </w:pPr>
            <w:r w:rsidRPr="00A83EB7">
              <w:rPr>
                <w:sz w:val="22"/>
                <w:szCs w:val="22"/>
                <w:lang w:val="ru-RU"/>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40765B" w:rsidRPr="004C7AAC" w14:paraId="583E0941" w14:textId="77777777" w:rsidTr="005A428D">
        <w:tc>
          <w:tcPr>
            <w:tcW w:w="3007" w:type="dxa"/>
          </w:tcPr>
          <w:p w14:paraId="3C64535C" w14:textId="77777777" w:rsidR="0040765B" w:rsidRPr="00BA458B" w:rsidRDefault="0040765B" w:rsidP="005A428D">
            <w:pPr>
              <w:pStyle w:val="table-text-0"/>
              <w:spacing w:before="0" w:line="360" w:lineRule="auto"/>
              <w:ind w:firstLine="0"/>
              <w:rPr>
                <w:sz w:val="22"/>
                <w:szCs w:val="22"/>
                <w:lang w:val="ru-RU"/>
              </w:rPr>
            </w:pPr>
            <w:r w:rsidRPr="00BA458B">
              <w:rPr>
                <w:sz w:val="22"/>
                <w:szCs w:val="22"/>
                <w:lang w:val="ru-RU"/>
              </w:rPr>
              <w:t>Беременные</w:t>
            </w:r>
          </w:p>
        </w:tc>
        <w:tc>
          <w:tcPr>
            <w:tcW w:w="2663" w:type="dxa"/>
          </w:tcPr>
          <w:p w14:paraId="6FDEC709"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 xml:space="preserve">Менее </w:t>
            </w:r>
            <w:r w:rsidRPr="00BA458B">
              <w:rPr>
                <w:sz w:val="22"/>
                <w:szCs w:val="22"/>
                <w:lang w:val="ru-RU"/>
              </w:rPr>
              <w:t>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086A392" w14:textId="77777777" w:rsidR="0040765B" w:rsidRPr="00A83EB7" w:rsidRDefault="0040765B" w:rsidP="005A428D">
            <w:pPr>
              <w:pStyle w:val="table-text-0"/>
              <w:spacing w:before="0" w:line="360" w:lineRule="auto"/>
              <w:ind w:firstLine="0"/>
              <w:jc w:val="center"/>
              <w:rPr>
                <w:sz w:val="22"/>
                <w:szCs w:val="22"/>
                <w:lang w:val="ru-RU"/>
              </w:rPr>
            </w:pPr>
            <w:r>
              <w:rPr>
                <w:sz w:val="22"/>
                <w:szCs w:val="22"/>
                <w:lang w:val="ru-RU"/>
              </w:rPr>
              <w:t>-</w:t>
            </w:r>
          </w:p>
        </w:tc>
      </w:tr>
      <w:tr w:rsidR="0040765B" w:rsidRPr="004C7AAC" w14:paraId="6FDEC983" w14:textId="77777777" w:rsidTr="005A428D">
        <w:tc>
          <w:tcPr>
            <w:tcW w:w="3007" w:type="dxa"/>
          </w:tcPr>
          <w:p w14:paraId="5EF5EE0F"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Пациенты с</w:t>
            </w:r>
            <w:r w:rsidRPr="00BA458B">
              <w:rPr>
                <w:sz w:val="22"/>
                <w:szCs w:val="22"/>
                <w:lang w:val="ru-RU"/>
              </w:rPr>
              <w:t xml:space="preserve"> ОПЛ</w:t>
            </w:r>
          </w:p>
        </w:tc>
        <w:tc>
          <w:tcPr>
            <w:tcW w:w="2663" w:type="dxa"/>
          </w:tcPr>
          <w:p w14:paraId="1BBAA16C"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61CF7C42" w14:textId="77777777" w:rsidR="0040765B" w:rsidRPr="00A83EB7" w:rsidRDefault="0040765B" w:rsidP="005A428D">
            <w:pPr>
              <w:pStyle w:val="table-text-0"/>
              <w:spacing w:before="0" w:line="360" w:lineRule="auto"/>
              <w:ind w:firstLine="0"/>
              <w:jc w:val="center"/>
              <w:rPr>
                <w:sz w:val="22"/>
                <w:szCs w:val="22"/>
                <w:lang w:val="ru-RU"/>
              </w:rPr>
            </w:pPr>
            <w:r>
              <w:rPr>
                <w:sz w:val="22"/>
                <w:szCs w:val="22"/>
                <w:lang w:val="ru-RU"/>
              </w:rPr>
              <w:t>-</w:t>
            </w:r>
          </w:p>
        </w:tc>
      </w:tr>
      <w:tr w:rsidR="0040765B" w:rsidRPr="004C7AAC" w14:paraId="15139FA3" w14:textId="77777777" w:rsidTr="005A428D">
        <w:tc>
          <w:tcPr>
            <w:tcW w:w="3007" w:type="dxa"/>
          </w:tcPr>
          <w:p w14:paraId="50E5A91D" w14:textId="77777777" w:rsidR="0040765B" w:rsidRPr="00BA458B" w:rsidRDefault="0040765B" w:rsidP="005A428D">
            <w:pPr>
              <w:pStyle w:val="table-text-0"/>
              <w:spacing w:before="0" w:line="360" w:lineRule="auto"/>
              <w:ind w:firstLine="0"/>
              <w:rPr>
                <w:sz w:val="22"/>
                <w:szCs w:val="22"/>
                <w:lang w:val="ru-RU"/>
              </w:rPr>
            </w:pPr>
            <w:r w:rsidRPr="00BA458B">
              <w:rPr>
                <w:sz w:val="22"/>
                <w:szCs w:val="22"/>
                <w:lang w:val="ru-RU"/>
              </w:rPr>
              <w:t>ДВС</w:t>
            </w:r>
            <w:r>
              <w:rPr>
                <w:sz w:val="22"/>
                <w:szCs w:val="22"/>
                <w:lang w:val="ru-RU"/>
              </w:rPr>
              <w:t>-</w:t>
            </w:r>
            <w:r w:rsidRPr="00BA458B">
              <w:rPr>
                <w:sz w:val="22"/>
                <w:szCs w:val="22"/>
                <w:lang w:val="ru-RU"/>
              </w:rPr>
              <w:t>синдром</w:t>
            </w:r>
          </w:p>
        </w:tc>
        <w:tc>
          <w:tcPr>
            <w:tcW w:w="2663" w:type="dxa"/>
          </w:tcPr>
          <w:p w14:paraId="1595A790" w14:textId="77777777" w:rsidR="0040765B" w:rsidRPr="00BA458B" w:rsidRDefault="0040765B" w:rsidP="005A428D">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2949F39D" w14:textId="77777777" w:rsidR="0040765B" w:rsidRPr="00A83EB7" w:rsidRDefault="0040765B" w:rsidP="005A428D">
            <w:pPr>
              <w:pStyle w:val="table-text-0"/>
              <w:spacing w:before="0" w:line="360" w:lineRule="auto"/>
              <w:ind w:firstLine="0"/>
              <w:rPr>
                <w:sz w:val="22"/>
                <w:szCs w:val="22"/>
                <w:lang w:val="ru-RU"/>
              </w:rPr>
            </w:pPr>
            <w:r w:rsidRPr="00A83EB7">
              <w:rPr>
                <w:sz w:val="22"/>
                <w:szCs w:val="22"/>
                <w:lang w:val="ru-RU"/>
              </w:rPr>
              <w:t>Как часть основной терапии ДВС- синдрома</w:t>
            </w:r>
          </w:p>
        </w:tc>
      </w:tr>
    </w:tbl>
    <w:p w14:paraId="2CDFDC46" w14:textId="77777777" w:rsidR="0040765B" w:rsidRPr="0008195A" w:rsidRDefault="0040765B" w:rsidP="0040765B">
      <w:pPr>
        <w:rPr>
          <w:b/>
        </w:rPr>
      </w:pPr>
      <w:r w:rsidRPr="0008195A">
        <w:t>* Сепсис, пульмонологические заболевания, лихорадка.</w:t>
      </w:r>
    </w:p>
    <w:p w14:paraId="23123BC7" w14:textId="77777777" w:rsidR="0040765B" w:rsidRDefault="0040765B" w:rsidP="0040765B">
      <w:pPr>
        <w:pStyle w:val="3"/>
        <w:spacing w:before="0"/>
        <w:ind w:firstLine="708"/>
        <w:rPr>
          <w:rFonts w:ascii="Times New Roman" w:hAnsi="Times New Roman" w:cs="Times New Roman"/>
          <w:b/>
          <w:u w:val="single"/>
        </w:rPr>
      </w:pPr>
    </w:p>
    <w:p w14:paraId="0D8C0CAD" w14:textId="77777777" w:rsidR="0040765B" w:rsidRPr="00287E25" w:rsidRDefault="0040765B" w:rsidP="0040765B">
      <w:pPr>
        <w:ind w:firstLine="708"/>
        <w:rPr>
          <w:b/>
          <w:u w:val="single"/>
        </w:rPr>
      </w:pPr>
      <w:r w:rsidRPr="00287E25">
        <w:rPr>
          <w:u w:val="single"/>
        </w:rPr>
        <w:t>Показания к переливанию концентрата тромбоцитов с лечебной целью.</w:t>
      </w:r>
    </w:p>
    <w:p w14:paraId="50CEF1FC" w14:textId="77777777" w:rsidR="0040765B" w:rsidRDefault="0040765B" w:rsidP="0040765B">
      <w:pPr>
        <w:ind w:firstLine="708"/>
        <w:rPr>
          <w:szCs w:val="24"/>
        </w:rPr>
      </w:pPr>
      <w:r w:rsidRPr="004C7AAC">
        <w:rPr>
          <w:bCs/>
          <w:szCs w:val="24"/>
        </w:rPr>
        <w:t>Наличие у пациента геморрагического синдрома</w:t>
      </w:r>
      <w:r>
        <w:rPr>
          <w:bCs/>
          <w:szCs w:val="24"/>
        </w:rPr>
        <w:t xml:space="preserve"> — </w:t>
      </w:r>
      <w:r w:rsidRPr="00A83EB7">
        <w:rPr>
          <w:bCs/>
          <w:szCs w:val="24"/>
        </w:rPr>
        <w:t>прямое показание к переливанию концентрата тромбоцитов независимо от лабораторных показателей. Оценка тяжести</w:t>
      </w:r>
      <w:r>
        <w:rPr>
          <w:bCs/>
          <w:szCs w:val="24"/>
        </w:rPr>
        <w:t xml:space="preserve"> </w:t>
      </w:r>
      <w:r w:rsidRPr="004C7AAC">
        <w:rPr>
          <w:bCs/>
          <w:szCs w:val="24"/>
        </w:rPr>
        <w:t>геморрагического синдрома проводится по шкале ВОЗ</w:t>
      </w:r>
      <w:r>
        <w:rPr>
          <w:bCs/>
          <w:szCs w:val="24"/>
        </w:rPr>
        <w:t xml:space="preserve"> (табл. 2)</w:t>
      </w:r>
      <w:r w:rsidRPr="004C7AAC">
        <w:rPr>
          <w:szCs w:val="24"/>
        </w:rPr>
        <w:t>.</w:t>
      </w:r>
    </w:p>
    <w:p w14:paraId="2E261FAC" w14:textId="77777777" w:rsidR="0040765B" w:rsidRDefault="0040765B" w:rsidP="0040765B">
      <w:pPr>
        <w:rPr>
          <w:bCs/>
          <w:szCs w:val="24"/>
        </w:rPr>
      </w:pPr>
    </w:p>
    <w:p w14:paraId="0799DC22" w14:textId="77777777" w:rsidR="0040765B" w:rsidRPr="002A1C4D" w:rsidRDefault="0040765B" w:rsidP="0040765B">
      <w:pPr>
        <w:rPr>
          <w:szCs w:val="24"/>
        </w:rPr>
      </w:pPr>
      <w:r w:rsidRPr="002A1C4D">
        <w:rPr>
          <w:bCs/>
          <w:szCs w:val="24"/>
        </w:rPr>
        <w:t>Таблица 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9"/>
      </w:tblGrid>
      <w:tr w:rsidR="0040765B" w:rsidRPr="004C7AAC" w14:paraId="4A019A8A" w14:textId="77777777" w:rsidTr="005A428D">
        <w:tc>
          <w:tcPr>
            <w:tcW w:w="9121" w:type="dxa"/>
            <w:shd w:val="clear" w:color="auto" w:fill="auto"/>
          </w:tcPr>
          <w:p w14:paraId="349EC53E" w14:textId="77777777" w:rsidR="0040765B" w:rsidRPr="004C7AAC" w:rsidRDefault="0040765B" w:rsidP="005A428D">
            <w:pPr>
              <w:pStyle w:val="table-text-1"/>
              <w:spacing w:before="0" w:after="0" w:line="360" w:lineRule="auto"/>
              <w:rPr>
                <w:b/>
                <w:i/>
                <w:sz w:val="24"/>
                <w:szCs w:val="24"/>
              </w:rPr>
            </w:pPr>
            <w:r w:rsidRPr="002E0659">
              <w:rPr>
                <w:sz w:val="22"/>
                <w:szCs w:val="22"/>
              </w:rPr>
              <w:t>1 степень (не требует трансфузии)</w:t>
            </w:r>
          </w:p>
        </w:tc>
      </w:tr>
      <w:tr w:rsidR="0040765B" w:rsidRPr="004C7AAC" w14:paraId="3507E8A2" w14:textId="77777777" w:rsidTr="005A428D">
        <w:tc>
          <w:tcPr>
            <w:tcW w:w="9121" w:type="dxa"/>
            <w:shd w:val="clear" w:color="auto" w:fill="auto"/>
          </w:tcPr>
          <w:p w14:paraId="3A9270C2"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 xml:space="preserve">Кровоточивость кожи и слизистых, включая </w:t>
            </w:r>
            <w:r>
              <w:rPr>
                <w:sz w:val="22"/>
                <w:szCs w:val="22"/>
                <w:lang w:val="ru-RU"/>
              </w:rPr>
              <w:t>полость рта</w:t>
            </w:r>
          </w:p>
          <w:p w14:paraId="1EFC870A"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Петехии менее 2</w:t>
            </w:r>
            <w:r>
              <w:rPr>
                <w:sz w:val="22"/>
                <w:szCs w:val="22"/>
                <w:lang w:val="ru-RU"/>
              </w:rPr>
              <w:t> </w:t>
            </w:r>
            <w:r w:rsidRPr="002E0659">
              <w:rPr>
                <w:sz w:val="22"/>
                <w:szCs w:val="22"/>
                <w:lang w:val="ru-RU"/>
              </w:rPr>
              <w:t>мм</w:t>
            </w:r>
          </w:p>
          <w:p w14:paraId="58D545D3" w14:textId="77777777" w:rsidR="0040765B" w:rsidRPr="002E0659" w:rsidRDefault="0040765B" w:rsidP="005A428D">
            <w:pPr>
              <w:pStyle w:val="table-text-0"/>
              <w:spacing w:before="0" w:line="360" w:lineRule="auto"/>
              <w:ind w:firstLine="0"/>
              <w:rPr>
                <w:sz w:val="22"/>
                <w:szCs w:val="22"/>
                <w:lang w:val="ru-RU"/>
              </w:rPr>
            </w:pPr>
            <w:r>
              <w:rPr>
                <w:sz w:val="22"/>
                <w:szCs w:val="22"/>
                <w:lang w:val="ru-RU"/>
              </w:rPr>
              <w:t>Пурпура менее 2,54 </w:t>
            </w:r>
            <w:r w:rsidRPr="002E0659">
              <w:rPr>
                <w:sz w:val="22"/>
                <w:szCs w:val="22"/>
                <w:lang w:val="ru-RU"/>
              </w:rPr>
              <w:t>см в диаметре</w:t>
            </w:r>
          </w:p>
          <w:p w14:paraId="08E49C87" w14:textId="77777777" w:rsidR="0040765B" w:rsidRPr="002E0659" w:rsidRDefault="0040765B" w:rsidP="005A428D">
            <w:pPr>
              <w:pStyle w:val="table-text-0"/>
              <w:spacing w:before="0" w:line="360" w:lineRule="auto"/>
              <w:ind w:firstLine="0"/>
              <w:rPr>
                <w:sz w:val="22"/>
                <w:szCs w:val="22"/>
                <w:lang w:val="ru-RU"/>
              </w:rPr>
            </w:pPr>
            <w:r>
              <w:rPr>
                <w:sz w:val="22"/>
                <w:szCs w:val="22"/>
                <w:lang w:val="ru-RU"/>
              </w:rPr>
              <w:t>Экхимозы (очаги менее 10 </w:t>
            </w:r>
            <w:r w:rsidRPr="002E0659">
              <w:rPr>
                <w:sz w:val="22"/>
                <w:szCs w:val="22"/>
                <w:lang w:val="ru-RU"/>
              </w:rPr>
              <w:t>см в диаметре)</w:t>
            </w:r>
          </w:p>
          <w:p w14:paraId="45559799"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Ротоглоточные кровотечения</w:t>
            </w:r>
          </w:p>
          <w:p w14:paraId="7FA59707"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Кровоизлияния в конъюнктиву</w:t>
            </w:r>
          </w:p>
          <w:p w14:paraId="0E9FEE91"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менее 1</w:t>
            </w:r>
            <w:r>
              <w:rPr>
                <w:sz w:val="22"/>
                <w:szCs w:val="22"/>
                <w:lang w:val="ru-RU"/>
              </w:rPr>
              <w:t> </w:t>
            </w:r>
            <w:r w:rsidRPr="002E0659">
              <w:rPr>
                <w:sz w:val="22"/>
                <w:szCs w:val="22"/>
                <w:lang w:val="ru-RU"/>
              </w:rPr>
              <w:t>часа</w:t>
            </w:r>
            <w:r>
              <w:rPr>
                <w:sz w:val="22"/>
                <w:szCs w:val="22"/>
                <w:lang w:val="ru-RU"/>
              </w:rPr>
              <w:t>,</w:t>
            </w:r>
            <w:r w:rsidRPr="002E0659">
              <w:rPr>
                <w:sz w:val="22"/>
                <w:szCs w:val="22"/>
                <w:lang w:val="ru-RU"/>
              </w:rPr>
              <w:t xml:space="preserve"> не требующие вмешательства</w:t>
            </w:r>
          </w:p>
          <w:p w14:paraId="288FF071"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(менее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tc>
      </w:tr>
      <w:tr w:rsidR="0040765B" w:rsidRPr="004C7AAC" w14:paraId="0843899F" w14:textId="77777777" w:rsidTr="005A428D">
        <w:tc>
          <w:tcPr>
            <w:tcW w:w="9121" w:type="dxa"/>
            <w:shd w:val="clear" w:color="auto" w:fill="auto"/>
          </w:tcPr>
          <w:p w14:paraId="0B745091" w14:textId="77777777" w:rsidR="0040765B" w:rsidRPr="002E0659" w:rsidRDefault="0040765B" w:rsidP="005A428D">
            <w:pPr>
              <w:pStyle w:val="table-text-1"/>
              <w:spacing w:before="0" w:after="0" w:line="360" w:lineRule="auto"/>
              <w:rPr>
                <w:sz w:val="22"/>
                <w:szCs w:val="22"/>
              </w:rPr>
            </w:pPr>
            <w:r w:rsidRPr="002E0659">
              <w:rPr>
                <w:sz w:val="22"/>
                <w:szCs w:val="22"/>
              </w:rPr>
              <w:t>2 степень (</w:t>
            </w:r>
            <w:r>
              <w:rPr>
                <w:sz w:val="22"/>
                <w:szCs w:val="22"/>
              </w:rPr>
              <w:t xml:space="preserve">в основном </w:t>
            </w:r>
            <w:r w:rsidRPr="002E0659">
              <w:rPr>
                <w:sz w:val="22"/>
                <w:szCs w:val="22"/>
              </w:rPr>
              <w:t>не требуют трансфузии)</w:t>
            </w:r>
          </w:p>
        </w:tc>
      </w:tr>
      <w:tr w:rsidR="0040765B" w:rsidRPr="004C7AAC" w14:paraId="1401C480" w14:textId="77777777" w:rsidTr="005A428D">
        <w:tc>
          <w:tcPr>
            <w:tcW w:w="9121" w:type="dxa"/>
            <w:shd w:val="clear" w:color="auto" w:fill="auto"/>
          </w:tcPr>
          <w:p w14:paraId="22033C0E"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Экхимозы (более 10</w:t>
            </w:r>
            <w:r>
              <w:rPr>
                <w:sz w:val="22"/>
                <w:szCs w:val="22"/>
                <w:lang w:val="ru-RU"/>
              </w:rPr>
              <w:t> </w:t>
            </w:r>
            <w:r w:rsidRPr="002E0659">
              <w:rPr>
                <w:sz w:val="22"/>
                <w:szCs w:val="22"/>
                <w:lang w:val="ru-RU"/>
              </w:rPr>
              <w:t>см в диаметре)</w:t>
            </w:r>
          </w:p>
          <w:p w14:paraId="7123ADC4"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Гематомы</w:t>
            </w:r>
          </w:p>
          <w:p w14:paraId="00CE1964"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более 1</w:t>
            </w:r>
            <w:r>
              <w:rPr>
                <w:sz w:val="22"/>
                <w:szCs w:val="22"/>
                <w:lang w:val="ru-RU"/>
              </w:rPr>
              <w:t> </w:t>
            </w:r>
            <w:r w:rsidRPr="002E0659">
              <w:rPr>
                <w:sz w:val="22"/>
                <w:szCs w:val="22"/>
                <w:lang w:val="ru-RU"/>
              </w:rPr>
              <w:t>часа или требующие тампонады</w:t>
            </w:r>
          </w:p>
          <w:p w14:paraId="7DB0B511"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Кровоизлияния в сетчатку без ухудшения зрения</w:t>
            </w:r>
          </w:p>
          <w:p w14:paraId="7F1F3FAA"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(более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p w14:paraId="6CDA571D"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Мелена, рвота с кровью, кровохарканье, гематурия, стул с кровью</w:t>
            </w:r>
          </w:p>
          <w:p w14:paraId="0F4CE534" w14:textId="77777777" w:rsidR="0040765B" w:rsidRPr="00360841" w:rsidRDefault="0040765B" w:rsidP="005A428D">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w:t>
            </w:r>
          </w:p>
        </w:tc>
      </w:tr>
      <w:tr w:rsidR="0040765B" w:rsidRPr="004C7AAC" w14:paraId="705248D8" w14:textId="77777777" w:rsidTr="005A428D">
        <w:tc>
          <w:tcPr>
            <w:tcW w:w="9121" w:type="dxa"/>
            <w:shd w:val="clear" w:color="auto" w:fill="auto"/>
          </w:tcPr>
          <w:p w14:paraId="22DC165A" w14:textId="77777777" w:rsidR="0040765B" w:rsidRPr="004C7AAC" w:rsidRDefault="0040765B" w:rsidP="005A428D">
            <w:pPr>
              <w:pStyle w:val="table-text-1"/>
              <w:spacing w:before="0" w:after="0" w:line="360" w:lineRule="auto"/>
              <w:rPr>
                <w:b/>
                <w:i/>
                <w:sz w:val="24"/>
                <w:szCs w:val="24"/>
              </w:rPr>
            </w:pPr>
            <w:r w:rsidRPr="002E0659">
              <w:rPr>
                <w:sz w:val="22"/>
                <w:szCs w:val="22"/>
              </w:rPr>
              <w:t>3 степень (требуют трансфузии)</w:t>
            </w:r>
          </w:p>
        </w:tc>
      </w:tr>
      <w:tr w:rsidR="0040765B" w:rsidRPr="004C7AAC" w14:paraId="54C0FB25" w14:textId="77777777" w:rsidTr="005A428D">
        <w:tc>
          <w:tcPr>
            <w:tcW w:w="9121" w:type="dxa"/>
            <w:shd w:val="clear" w:color="auto" w:fill="auto"/>
          </w:tcPr>
          <w:p w14:paraId="1FC1719E"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Мелена</w:t>
            </w:r>
          </w:p>
          <w:p w14:paraId="5B308AA5"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Рвота с кровью</w:t>
            </w:r>
          </w:p>
          <w:p w14:paraId="7043CA62"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Кровохарканье</w:t>
            </w:r>
          </w:p>
          <w:p w14:paraId="73B807C3"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Гематурия</w:t>
            </w:r>
            <w:r>
              <w:rPr>
                <w:sz w:val="22"/>
                <w:szCs w:val="22"/>
                <w:lang w:val="ru-RU"/>
              </w:rPr>
              <w:t>,</w:t>
            </w:r>
            <w:r w:rsidRPr="002E0659">
              <w:rPr>
                <w:sz w:val="22"/>
                <w:szCs w:val="22"/>
                <w:lang w:val="ru-RU"/>
              </w:rPr>
              <w:t xml:space="preserve"> включая непрекращающееся кровотечение без свертывания </w:t>
            </w:r>
          </w:p>
          <w:p w14:paraId="760EAEE9"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Аномальные маточные кровотечения</w:t>
            </w:r>
          </w:p>
          <w:p w14:paraId="2C591037"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Стул с кровью</w:t>
            </w:r>
          </w:p>
          <w:p w14:paraId="6FCFD349"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 xml:space="preserve">Носовое кровотечение </w:t>
            </w:r>
          </w:p>
          <w:p w14:paraId="12E99866" w14:textId="77777777" w:rsidR="0040765B" w:rsidRPr="002E0659" w:rsidRDefault="0040765B" w:rsidP="005A428D">
            <w:pPr>
              <w:pStyle w:val="table-text-0"/>
              <w:spacing w:before="0" w:line="360" w:lineRule="auto"/>
              <w:ind w:firstLine="0"/>
              <w:rPr>
                <w:sz w:val="22"/>
                <w:szCs w:val="22"/>
                <w:lang w:val="ru-RU"/>
              </w:rPr>
            </w:pPr>
            <w:r w:rsidRPr="00A83EB7">
              <w:rPr>
                <w:sz w:val="22"/>
                <w:szCs w:val="22"/>
                <w:lang w:val="ru-RU"/>
              </w:rPr>
              <w:t>Ротоглоточное кровотечение</w:t>
            </w:r>
          </w:p>
          <w:p w14:paraId="268844B8" w14:textId="77777777" w:rsidR="0040765B" w:rsidRPr="00360841" w:rsidRDefault="0040765B" w:rsidP="005A428D">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 или кровоизлияния в мягкие ткани</w:t>
            </w:r>
          </w:p>
        </w:tc>
      </w:tr>
      <w:tr w:rsidR="0040765B" w:rsidRPr="004C7AAC" w14:paraId="745C2E0D" w14:textId="77777777" w:rsidTr="005A428D">
        <w:tc>
          <w:tcPr>
            <w:tcW w:w="9121" w:type="dxa"/>
            <w:shd w:val="clear" w:color="auto" w:fill="auto"/>
          </w:tcPr>
          <w:p w14:paraId="0A6F8C0B" w14:textId="77777777" w:rsidR="0040765B" w:rsidRPr="004C7AAC" w:rsidRDefault="0040765B" w:rsidP="005A428D">
            <w:pPr>
              <w:pStyle w:val="table-text-1"/>
              <w:spacing w:before="0" w:after="0" w:line="360" w:lineRule="auto"/>
              <w:rPr>
                <w:b/>
                <w:i/>
                <w:sz w:val="24"/>
                <w:szCs w:val="24"/>
              </w:rPr>
            </w:pPr>
            <w:r w:rsidRPr="002E0659">
              <w:rPr>
                <w:sz w:val="22"/>
                <w:szCs w:val="22"/>
              </w:rPr>
              <w:t>4 степень (требуют трансфузии)</w:t>
            </w:r>
          </w:p>
        </w:tc>
      </w:tr>
      <w:tr w:rsidR="0040765B" w:rsidRPr="004C7AAC" w14:paraId="5AD2C5D7" w14:textId="77777777" w:rsidTr="005A428D">
        <w:tc>
          <w:tcPr>
            <w:tcW w:w="9121" w:type="dxa"/>
            <w:shd w:val="clear" w:color="auto" w:fill="auto"/>
          </w:tcPr>
          <w:p w14:paraId="0F5FA16F"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Кровоизлияния в сетчатку с нарушением зрения</w:t>
            </w:r>
          </w:p>
          <w:p w14:paraId="62C0EAC6" w14:textId="77777777" w:rsidR="0040765B" w:rsidRPr="002E0659" w:rsidRDefault="0040765B" w:rsidP="005A428D">
            <w:pPr>
              <w:pStyle w:val="table-text-0"/>
              <w:spacing w:before="0" w:line="360" w:lineRule="auto"/>
              <w:ind w:firstLine="0"/>
              <w:rPr>
                <w:sz w:val="22"/>
                <w:szCs w:val="22"/>
                <w:lang w:val="ru-RU"/>
              </w:rPr>
            </w:pPr>
            <w:r w:rsidRPr="002E0659">
              <w:rPr>
                <w:sz w:val="22"/>
                <w:szCs w:val="22"/>
                <w:lang w:val="ru-RU"/>
              </w:rPr>
              <w:t xml:space="preserve">Нефатальные кровоизлияния в </w:t>
            </w:r>
            <w:r>
              <w:rPr>
                <w:sz w:val="22"/>
                <w:szCs w:val="22"/>
                <w:lang w:val="ru-RU"/>
              </w:rPr>
              <w:t>ЦНС</w:t>
            </w:r>
            <w:r w:rsidRPr="002E0659">
              <w:rPr>
                <w:sz w:val="22"/>
                <w:szCs w:val="22"/>
                <w:lang w:val="ru-RU"/>
              </w:rPr>
              <w:t xml:space="preserve"> с невро</w:t>
            </w:r>
            <w:r>
              <w:rPr>
                <w:sz w:val="22"/>
                <w:szCs w:val="22"/>
                <w:lang w:val="ru-RU"/>
              </w:rPr>
              <w:t>логической симптоматикой</w:t>
            </w:r>
          </w:p>
          <w:p w14:paraId="1DFBAAC3" w14:textId="77777777" w:rsidR="0040765B" w:rsidRPr="00360841" w:rsidRDefault="0040765B" w:rsidP="005A428D">
            <w:pPr>
              <w:pStyle w:val="table-text-0"/>
              <w:spacing w:before="0" w:line="360" w:lineRule="auto"/>
              <w:ind w:firstLine="0"/>
              <w:rPr>
                <w:sz w:val="24"/>
                <w:szCs w:val="24"/>
                <w:lang w:val="ru-RU"/>
              </w:rPr>
            </w:pPr>
            <w:r w:rsidRPr="002E0659">
              <w:rPr>
                <w:sz w:val="22"/>
                <w:szCs w:val="22"/>
                <w:lang w:val="ru-RU"/>
              </w:rPr>
              <w:t>Фатальные кровотечения вне зависимости от источника</w:t>
            </w:r>
          </w:p>
        </w:tc>
      </w:tr>
    </w:tbl>
    <w:p w14:paraId="62FCC27D" w14:textId="77777777" w:rsidR="0040765B" w:rsidRDefault="0040765B" w:rsidP="0040765B">
      <w:pPr>
        <w:pStyle w:val="3"/>
        <w:spacing w:before="0"/>
        <w:ind w:firstLine="708"/>
        <w:rPr>
          <w:rFonts w:ascii="Times New Roman" w:hAnsi="Times New Roman" w:cs="Times New Roman"/>
          <w:b/>
          <w:u w:val="single"/>
        </w:rPr>
      </w:pPr>
    </w:p>
    <w:p w14:paraId="15BE1925" w14:textId="77777777" w:rsidR="0040765B" w:rsidRPr="00287E25" w:rsidRDefault="0040765B" w:rsidP="0040765B">
      <w:pPr>
        <w:ind w:firstLine="708"/>
        <w:rPr>
          <w:b/>
          <w:u w:val="single"/>
        </w:rPr>
      </w:pPr>
      <w:r w:rsidRPr="00287E25">
        <w:rPr>
          <w:u w:val="single"/>
        </w:rPr>
        <w:t>Расчет дозы концентрата тромбоцитов для трансфузий</w:t>
      </w:r>
    </w:p>
    <w:p w14:paraId="38D74ADA" w14:textId="77777777" w:rsidR="0040765B" w:rsidRPr="001A1BC0" w:rsidRDefault="0040765B" w:rsidP="0040765B">
      <w:pPr>
        <w:ind w:firstLine="708"/>
        <w:rPr>
          <w:szCs w:val="24"/>
        </w:rPr>
      </w:pPr>
      <w:r w:rsidRPr="001A5953">
        <w:rPr>
          <w:rFonts w:eastAsia="Times New Roman"/>
          <w:szCs w:val="24"/>
        </w:rPr>
        <w:t>Количество концентрата тромбоцитов для трансфузии необходимо использовать из расчета 50-70х</w:t>
      </w:r>
      <w:r w:rsidRPr="001A5953">
        <w:rPr>
          <w:szCs w:val="24"/>
        </w:rPr>
        <w:t>10</w:t>
      </w:r>
      <w:r>
        <w:rPr>
          <w:szCs w:val="24"/>
          <w:vertAlign w:val="superscript"/>
        </w:rPr>
        <w:t>9</w:t>
      </w:r>
      <w:r w:rsidRPr="001A5953">
        <w:rPr>
          <w:szCs w:val="24"/>
        </w:rPr>
        <w:t xml:space="preserve"> тромбоцитов на 10</w:t>
      </w:r>
      <w:r>
        <w:rPr>
          <w:szCs w:val="24"/>
        </w:rPr>
        <w:t xml:space="preserve"> </w:t>
      </w:r>
      <w:r w:rsidRPr="001A5953">
        <w:rPr>
          <w:szCs w:val="24"/>
        </w:rPr>
        <w:t>кг массы тела реципиента или 200-2</w:t>
      </w:r>
      <w:r w:rsidRPr="001A5953">
        <w:rPr>
          <w:rFonts w:eastAsia="Times New Roman"/>
          <w:szCs w:val="24"/>
        </w:rPr>
        <w:t>50х</w:t>
      </w:r>
      <w:r w:rsidRPr="001A5953">
        <w:rPr>
          <w:szCs w:val="24"/>
        </w:rPr>
        <w:t>10</w:t>
      </w:r>
      <w:r>
        <w:rPr>
          <w:szCs w:val="24"/>
          <w:vertAlign w:val="superscript"/>
        </w:rPr>
        <w:t>9</w:t>
      </w:r>
      <w:r w:rsidRPr="001A5953">
        <w:rPr>
          <w:szCs w:val="24"/>
        </w:rPr>
        <w:t xml:space="preserve"> тромбоцитов на 1м</w:t>
      </w:r>
      <w:r w:rsidRPr="00A17D81">
        <w:rPr>
          <w:szCs w:val="24"/>
          <w:vertAlign w:val="superscript"/>
        </w:rPr>
        <w:t>2</w:t>
      </w:r>
      <w:r w:rsidRPr="001A5953">
        <w:rPr>
          <w:szCs w:val="24"/>
        </w:rPr>
        <w:t xml:space="preserve"> поверхности тела реципиента.</w:t>
      </w:r>
    </w:p>
    <w:p w14:paraId="365F5FB1" w14:textId="77777777" w:rsidR="0040765B" w:rsidRDefault="0040765B" w:rsidP="0040765B">
      <w:pPr>
        <w:ind w:firstLine="708"/>
        <w:rPr>
          <w:szCs w:val="24"/>
        </w:rPr>
      </w:pPr>
      <w:r>
        <w:rPr>
          <w:szCs w:val="24"/>
        </w:rPr>
        <w:t>О</w:t>
      </w:r>
      <w:r w:rsidRPr="001A1BC0">
        <w:rPr>
          <w:szCs w:val="24"/>
        </w:rPr>
        <w:t xml:space="preserve">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03E6E29F" w14:textId="77777777" w:rsidR="0040765B" w:rsidRDefault="0040765B" w:rsidP="0040765B">
      <w:pPr>
        <w:ind w:firstLine="708"/>
        <w:rPr>
          <w:u w:val="single"/>
        </w:rPr>
      </w:pPr>
    </w:p>
    <w:p w14:paraId="4B908EA8" w14:textId="77777777" w:rsidR="0040765B" w:rsidRPr="00287E25" w:rsidRDefault="0040765B" w:rsidP="0040765B">
      <w:pPr>
        <w:ind w:firstLine="708"/>
        <w:rPr>
          <w:b/>
          <w:u w:val="single"/>
        </w:rPr>
      </w:pPr>
      <w:r w:rsidRPr="00287E25">
        <w:rPr>
          <w:u w:val="single"/>
        </w:rPr>
        <w:t>Критерии эффективности трансфузий концентрата тромбоцитов</w:t>
      </w:r>
    </w:p>
    <w:p w14:paraId="03BD92E9" w14:textId="77777777" w:rsidR="0040765B" w:rsidRPr="00A17D81" w:rsidRDefault="0040765B" w:rsidP="0040765B">
      <w:pPr>
        <w:ind w:firstLine="708"/>
        <w:contextualSpacing/>
        <w:rPr>
          <w:szCs w:val="24"/>
          <w:lang w:eastAsia="ru-RU"/>
        </w:rPr>
      </w:pPr>
      <w:r w:rsidRPr="003B6BB6">
        <w:rPr>
          <w:i/>
          <w:szCs w:val="24"/>
          <w:lang w:eastAsia="ru-RU"/>
        </w:rPr>
        <w:t xml:space="preserve">Клиническими критериями </w:t>
      </w:r>
      <w:r w:rsidRPr="00A17D81">
        <w:rPr>
          <w:szCs w:val="24"/>
          <w:lang w:eastAsia="ru-RU"/>
        </w:rPr>
        <w:t xml:space="preserve">эффективности трансфузии </w:t>
      </w:r>
      <w:r>
        <w:rPr>
          <w:szCs w:val="24"/>
          <w:lang w:eastAsia="ru-RU"/>
        </w:rPr>
        <w:t xml:space="preserve">концентрата </w:t>
      </w:r>
      <w:r w:rsidRPr="00A17D81">
        <w:rPr>
          <w:szCs w:val="24"/>
          <w:lang w:eastAsia="ru-RU"/>
        </w:rPr>
        <w:t>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1AB999E3" w14:textId="77777777" w:rsidR="0040765B" w:rsidRPr="00A17D81" w:rsidRDefault="0040765B" w:rsidP="0040765B">
      <w:pPr>
        <w:ind w:firstLine="708"/>
        <w:contextualSpacing/>
        <w:rPr>
          <w:szCs w:val="24"/>
          <w:lang w:eastAsia="ru-RU"/>
        </w:rPr>
      </w:pPr>
      <w:r w:rsidRPr="003B6BB6">
        <w:rPr>
          <w:i/>
          <w:szCs w:val="24"/>
          <w:lang w:eastAsia="ru-RU"/>
        </w:rPr>
        <w:t xml:space="preserve">Лабораторными </w:t>
      </w:r>
      <w:r>
        <w:rPr>
          <w:i/>
          <w:szCs w:val="24"/>
          <w:lang w:eastAsia="ru-RU"/>
        </w:rPr>
        <w:t>критериями</w:t>
      </w:r>
      <w:r w:rsidRPr="00A17D81">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5D515781" w14:textId="77777777" w:rsidR="0040765B" w:rsidRPr="00A17D81" w:rsidRDefault="0040765B" w:rsidP="0040765B">
      <w:pPr>
        <w:ind w:firstLine="708"/>
        <w:contextualSpacing/>
        <w:rPr>
          <w:bCs/>
          <w:szCs w:val="24"/>
        </w:rPr>
      </w:pPr>
      <w:r w:rsidRPr="00A17D81">
        <w:rPr>
          <w:color w:val="000000"/>
          <w:szCs w:val="24"/>
        </w:rPr>
        <w:t xml:space="preserve">Трансфузию считают эффективной, если абсолютный прирост тромбоцитов через 1 час составил </w:t>
      </w:r>
      <w:r w:rsidRPr="00A17D81">
        <w:rPr>
          <w:szCs w:val="24"/>
        </w:rPr>
        <w:t>10</w:t>
      </w:r>
      <w:r>
        <w:rPr>
          <w:szCs w:val="24"/>
        </w:rPr>
        <w:t>х</w:t>
      </w:r>
      <w:r w:rsidRPr="00A17D81">
        <w:rPr>
          <w:szCs w:val="24"/>
        </w:rPr>
        <w:t>10</w:t>
      </w:r>
      <w:r w:rsidRPr="00A17D81">
        <w:rPr>
          <w:szCs w:val="24"/>
          <w:vertAlign w:val="superscript"/>
        </w:rPr>
        <w:t>9</w:t>
      </w:r>
      <w:r w:rsidRPr="00A17D81">
        <w:rPr>
          <w:szCs w:val="24"/>
        </w:rPr>
        <w:t>/л от исходного уровня.</w:t>
      </w:r>
      <w:r>
        <w:rPr>
          <w:szCs w:val="24"/>
        </w:rPr>
        <w:t xml:space="preserve"> </w:t>
      </w:r>
      <w:r w:rsidRPr="00A17D81">
        <w:rPr>
          <w:bCs/>
          <w:szCs w:val="24"/>
        </w:rPr>
        <w:t>Для стандартизации оценки эффективности трансфузий скорректированный прирост тромбоцитов рассчитывается по формуле и выража</w:t>
      </w:r>
      <w:r>
        <w:rPr>
          <w:bCs/>
          <w:szCs w:val="24"/>
        </w:rPr>
        <w:t>ется в расчетных единицах (РЕ)</w:t>
      </w:r>
      <w:r w:rsidRPr="00A17D81">
        <w:rPr>
          <w:bCs/>
          <w:szCs w:val="24"/>
        </w:rPr>
        <w:t>:</w:t>
      </w:r>
    </w:p>
    <w:p w14:paraId="1496D8FE" w14:textId="77777777" w:rsidR="0040765B" w:rsidRPr="00A17D81" w:rsidRDefault="0040765B" w:rsidP="0040765B">
      <w:pPr>
        <w:pStyle w:val="formula"/>
        <w:spacing w:before="0" w:after="0" w:line="360" w:lineRule="auto"/>
        <w:rPr>
          <w:sz w:val="24"/>
          <w:szCs w:val="24"/>
        </w:rPr>
      </w:pPr>
      <w:r w:rsidRPr="00A17D81">
        <w:rPr>
          <w:sz w:val="24"/>
          <w:szCs w:val="24"/>
        </w:rPr>
        <w:t>СПТ = (АПТ </w:t>
      </w:r>
      <w:r>
        <w:rPr>
          <w:sz w:val="24"/>
          <w:szCs w:val="24"/>
        </w:rPr>
        <w:t xml:space="preserve">х </w:t>
      </w:r>
      <w:r w:rsidRPr="00A17D81">
        <w:rPr>
          <w:sz w:val="24"/>
          <w:szCs w:val="24"/>
        </w:rPr>
        <w:t>площадь поверхности тела, м</w:t>
      </w:r>
      <w:r w:rsidRPr="00A17D81">
        <w:rPr>
          <w:sz w:val="24"/>
          <w:szCs w:val="24"/>
          <w:vertAlign w:val="superscript"/>
        </w:rPr>
        <w:t>2</w:t>
      </w:r>
      <w:r w:rsidRPr="00A17D81">
        <w:rPr>
          <w:sz w:val="24"/>
          <w:szCs w:val="24"/>
        </w:rPr>
        <w:t xml:space="preserve">) / количество перелитых тромбоцитов </w:t>
      </w:r>
      <w:r>
        <w:rPr>
          <w:sz w:val="24"/>
          <w:szCs w:val="24"/>
        </w:rPr>
        <w:t>х</w:t>
      </w:r>
      <w:r w:rsidRPr="00A17D81">
        <w:rPr>
          <w:sz w:val="24"/>
          <w:szCs w:val="24"/>
        </w:rPr>
        <w:t> 10</w:t>
      </w:r>
      <w:r w:rsidRPr="00A17D81">
        <w:rPr>
          <w:sz w:val="24"/>
          <w:szCs w:val="24"/>
          <w:vertAlign w:val="superscript"/>
        </w:rPr>
        <w:t>11</w:t>
      </w:r>
    </w:p>
    <w:p w14:paraId="7A0F35AD" w14:textId="77777777" w:rsidR="0040765B" w:rsidRPr="00D77CA7" w:rsidRDefault="0040765B" w:rsidP="0040765B">
      <w:pPr>
        <w:ind w:firstLine="227"/>
        <w:contextualSpacing/>
        <w:rPr>
          <w:szCs w:val="24"/>
        </w:rPr>
      </w:pPr>
      <w:r w:rsidRPr="00A17D81">
        <w:rPr>
          <w:szCs w:val="24"/>
        </w:rPr>
        <w:t>Трансфузию считают эффективной, если СПТ через 1 час составил &gt; 7,5 РЕ, а СПТ через 24 ч &gt; 4,5 РЕ.</w:t>
      </w:r>
      <w:r>
        <w:rPr>
          <w:szCs w:val="24"/>
        </w:rPr>
        <w:t xml:space="preserve"> </w:t>
      </w:r>
      <w:r w:rsidRPr="00A17D81">
        <w:rPr>
          <w:szCs w:val="24"/>
          <w:lang w:eastAsia="ru-RU"/>
        </w:rPr>
        <w:t>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w:t>
      </w:r>
      <w:r>
        <w:rPr>
          <w:szCs w:val="24"/>
          <w:lang w:eastAsia="ru-RU"/>
        </w:rPr>
        <w:t xml:space="preserve">ьный подбор тромбоцитов донора, применение плазмафереза (см. Приложение </w:t>
      </w:r>
      <w:r w:rsidRPr="00D77CA7">
        <w:rPr>
          <w:szCs w:val="24"/>
        </w:rPr>
        <w:t>«Лечебный цитаферез и плазмаферез при гематологических заболеваниях»</w:t>
      </w:r>
      <w:r w:rsidRPr="00D77CA7">
        <w:rPr>
          <w:szCs w:val="24"/>
          <w:lang w:eastAsia="ru-RU"/>
        </w:rPr>
        <w:t>).</w:t>
      </w:r>
    </w:p>
    <w:p w14:paraId="348B30E6" w14:textId="77777777" w:rsidR="0040765B" w:rsidRDefault="0040765B" w:rsidP="0040765B">
      <w:pPr>
        <w:rPr>
          <w:i/>
          <w:iCs/>
          <w:u w:val="single"/>
        </w:rPr>
      </w:pPr>
    </w:p>
    <w:p w14:paraId="5ADFB58E" w14:textId="77777777" w:rsidR="0040765B" w:rsidRPr="00287E25" w:rsidRDefault="0040765B" w:rsidP="0040765B">
      <w:pPr>
        <w:rPr>
          <w:b/>
          <w:i/>
          <w:iCs/>
          <w:u w:val="single"/>
        </w:rPr>
      </w:pPr>
      <w:r w:rsidRPr="00287E25">
        <w:rPr>
          <w:i/>
          <w:iCs/>
          <w:u w:val="single"/>
        </w:rPr>
        <w:t>Трансфузии СЗП</w:t>
      </w:r>
    </w:p>
    <w:p w14:paraId="5344E5CC" w14:textId="77777777" w:rsidR="0040765B" w:rsidRPr="00287E25" w:rsidRDefault="0040765B" w:rsidP="0040765B">
      <w:pPr>
        <w:ind w:firstLine="349"/>
        <w:rPr>
          <w:b/>
          <w:u w:val="single"/>
        </w:rPr>
      </w:pPr>
      <w:r w:rsidRPr="00287E25">
        <w:rPr>
          <w:u w:val="single"/>
        </w:rPr>
        <w:t>Показания к переливанию СЗП:</w:t>
      </w:r>
    </w:p>
    <w:p w14:paraId="15309B74" w14:textId="77777777" w:rsidR="0040765B" w:rsidRPr="003B52EE" w:rsidRDefault="0040765B" w:rsidP="000768AC">
      <w:pPr>
        <w:pStyle w:val="FitzBullet"/>
        <w:numPr>
          <w:ilvl w:val="0"/>
          <w:numId w:val="105"/>
        </w:numPr>
        <w:tabs>
          <w:tab w:val="clear" w:pos="317"/>
          <w:tab w:val="left" w:pos="144"/>
        </w:tabs>
        <w:spacing w:before="0" w:after="0" w:line="360" w:lineRule="auto"/>
        <w:ind w:left="709"/>
        <w:jc w:val="both"/>
      </w:pPr>
      <w:r w:rsidRPr="003B52EE">
        <w:t xml:space="preserve">Экстренная реверсия действия непрямых антикоагулянтов (варфарин); переливают </w:t>
      </w:r>
      <w:r>
        <w:t xml:space="preserve">СЗП из расчета </w:t>
      </w:r>
      <w:r w:rsidRPr="003B52EE">
        <w:t>5—8 мл/кг.</w:t>
      </w:r>
    </w:p>
    <w:p w14:paraId="04C86A8A" w14:textId="77777777" w:rsidR="0040765B" w:rsidRPr="003B52EE" w:rsidRDefault="0040765B" w:rsidP="000768AC">
      <w:pPr>
        <w:pStyle w:val="FitzBullet"/>
        <w:numPr>
          <w:ilvl w:val="0"/>
          <w:numId w:val="105"/>
        </w:numPr>
        <w:tabs>
          <w:tab w:val="clear" w:pos="317"/>
          <w:tab w:val="left" w:pos="144"/>
        </w:tabs>
        <w:spacing w:before="0" w:after="0" w:line="360" w:lineRule="auto"/>
        <w:ind w:left="709"/>
        <w:jc w:val="both"/>
      </w:pPr>
      <w:r w:rsidRPr="003B52EE">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17ABE8DB" w14:textId="77777777" w:rsidR="0040765B" w:rsidRPr="003B52EE" w:rsidRDefault="0040765B" w:rsidP="000768AC">
      <w:pPr>
        <w:pStyle w:val="FitzBullet"/>
        <w:numPr>
          <w:ilvl w:val="0"/>
          <w:numId w:val="105"/>
        </w:numPr>
        <w:tabs>
          <w:tab w:val="clear" w:pos="317"/>
          <w:tab w:val="left" w:pos="144"/>
        </w:tabs>
        <w:spacing w:before="0" w:after="0" w:line="360" w:lineRule="auto"/>
        <w:ind w:left="709"/>
        <w:jc w:val="both"/>
      </w:pPr>
      <w:r w:rsidRPr="003B52EE">
        <w:t>Коррекция геморрагического синдрома при увеличении (&gt; 1,5 раз по сравнению с нормой) ПВ или АЧТВ.</w:t>
      </w:r>
    </w:p>
    <w:p w14:paraId="3910E04B" w14:textId="77777777" w:rsidR="0040765B" w:rsidRPr="003B52EE" w:rsidRDefault="0040765B" w:rsidP="000768AC">
      <w:pPr>
        <w:pStyle w:val="FitzBullet"/>
        <w:numPr>
          <w:ilvl w:val="0"/>
          <w:numId w:val="105"/>
        </w:numPr>
        <w:tabs>
          <w:tab w:val="clear" w:pos="317"/>
          <w:tab w:val="left" w:pos="144"/>
        </w:tabs>
        <w:spacing w:before="0" w:after="0" w:line="360" w:lineRule="auto"/>
        <w:ind w:left="709"/>
        <w:jc w:val="both"/>
      </w:pPr>
      <w:r>
        <w:t>В</w:t>
      </w:r>
      <w:r w:rsidRPr="003B52EE">
        <w:t>озмещени</w:t>
      </w:r>
      <w:r>
        <w:t>е</w:t>
      </w:r>
      <w:r w:rsidRPr="003B52EE">
        <w:t xml:space="preserve"> объема при проведении плазмафереза.</w:t>
      </w:r>
    </w:p>
    <w:p w14:paraId="577962B4" w14:textId="77777777" w:rsidR="0040765B" w:rsidRPr="003B52EE" w:rsidRDefault="0040765B" w:rsidP="000768AC">
      <w:pPr>
        <w:pStyle w:val="FitzBullet"/>
        <w:numPr>
          <w:ilvl w:val="0"/>
          <w:numId w:val="105"/>
        </w:numPr>
        <w:tabs>
          <w:tab w:val="clear" w:pos="317"/>
          <w:tab w:val="left" w:pos="144"/>
        </w:tabs>
        <w:spacing w:before="0" w:after="0" w:line="360" w:lineRule="auto"/>
        <w:ind w:left="709"/>
        <w:jc w:val="both"/>
      </w:pPr>
      <w:r>
        <w:t>Д</w:t>
      </w:r>
      <w:r w:rsidRPr="003B52EE">
        <w:t>ефицит антитромбина III в ходе терапии аспарагиназой. СЗП вводят в дозе 3—3,5 мл/кг/сут.</w:t>
      </w:r>
    </w:p>
    <w:p w14:paraId="66CC7BD7" w14:textId="77777777" w:rsidR="0040765B" w:rsidRPr="003B52EE" w:rsidRDefault="0040765B" w:rsidP="000768AC">
      <w:pPr>
        <w:pStyle w:val="FitzBullet"/>
        <w:numPr>
          <w:ilvl w:val="0"/>
          <w:numId w:val="105"/>
        </w:numPr>
        <w:tabs>
          <w:tab w:val="clear" w:pos="317"/>
          <w:tab w:val="left" w:pos="144"/>
        </w:tabs>
        <w:spacing w:before="0" w:after="0" w:line="360" w:lineRule="auto"/>
        <w:ind w:left="709"/>
        <w:jc w:val="both"/>
      </w:pPr>
      <w:r>
        <w:t>И</w:t>
      </w:r>
      <w:r w:rsidRPr="003B52EE">
        <w:t>нгибиторн</w:t>
      </w:r>
      <w:r>
        <w:t>ая</w:t>
      </w:r>
      <w:r w:rsidRPr="003B52EE">
        <w:t xml:space="preserve"> форм</w:t>
      </w:r>
      <w:r>
        <w:t>а</w:t>
      </w:r>
      <w:r w:rsidRPr="003B52EE">
        <w:t xml:space="preserve"> гемофилии </w:t>
      </w:r>
      <w:r w:rsidRPr="003B52EE">
        <w:rPr>
          <w:lang w:val="en-US"/>
        </w:rPr>
        <w:t>A</w:t>
      </w:r>
      <w:r w:rsidRPr="003B52EE">
        <w:t xml:space="preserve"> и массивны</w:t>
      </w:r>
      <w:r>
        <w:t>е</w:t>
      </w:r>
      <w:r w:rsidRPr="003B52EE">
        <w:t xml:space="preserve"> кровопотер</w:t>
      </w:r>
      <w:r>
        <w:t>и. П</w:t>
      </w:r>
      <w:r w:rsidRPr="003B52EE">
        <w:t>оказано переливание криосупернатантной плазмы (плазма со сниженной концентрацией фактора VIII).</w:t>
      </w:r>
    </w:p>
    <w:p w14:paraId="4DB7C8E3" w14:textId="77777777" w:rsidR="0040765B" w:rsidRPr="00287E25" w:rsidRDefault="0040765B" w:rsidP="0040765B">
      <w:pPr>
        <w:ind w:firstLine="349"/>
        <w:rPr>
          <w:b/>
          <w:u w:val="single"/>
        </w:rPr>
      </w:pPr>
      <w:r w:rsidRPr="00287E25">
        <w:rPr>
          <w:u w:val="single"/>
        </w:rPr>
        <w:t>Показания к переливанию криопреципитата</w:t>
      </w:r>
    </w:p>
    <w:p w14:paraId="1EA287E1" w14:textId="77777777" w:rsidR="0040765B" w:rsidRPr="003B52EE" w:rsidRDefault="0040765B" w:rsidP="000768AC">
      <w:pPr>
        <w:pStyle w:val="FitzBullet"/>
        <w:numPr>
          <w:ilvl w:val="0"/>
          <w:numId w:val="106"/>
        </w:numPr>
        <w:tabs>
          <w:tab w:val="clear" w:pos="317"/>
          <w:tab w:val="left" w:pos="144"/>
        </w:tabs>
        <w:spacing w:before="0" w:after="0" w:line="360" w:lineRule="auto"/>
        <w:ind w:left="709"/>
        <w:jc w:val="both"/>
      </w:pPr>
      <w:r w:rsidRPr="003B52EE">
        <w:t xml:space="preserve">Операции или роды у </w:t>
      </w:r>
      <w:r>
        <w:t>пациентов с</w:t>
      </w:r>
      <w:r w:rsidRPr="003B52EE">
        <w:t xml:space="preserve"> болезнью Виллебранда (при отсутствии эффекта десмопрессина).</w:t>
      </w:r>
    </w:p>
    <w:p w14:paraId="5C438D4A" w14:textId="77777777" w:rsidR="0040765B" w:rsidRPr="003B52EE" w:rsidRDefault="0040765B" w:rsidP="000768AC">
      <w:pPr>
        <w:pStyle w:val="FitzBullet"/>
        <w:numPr>
          <w:ilvl w:val="0"/>
          <w:numId w:val="106"/>
        </w:numPr>
        <w:tabs>
          <w:tab w:val="clear" w:pos="317"/>
          <w:tab w:val="left" w:pos="144"/>
        </w:tabs>
        <w:spacing w:before="0" w:after="0" w:line="360" w:lineRule="auto"/>
        <w:ind w:left="709"/>
        <w:jc w:val="both"/>
      </w:pPr>
      <w:r w:rsidRPr="003B52EE">
        <w:t>Гипофибриногенемия (&lt; 1 г/л).</w:t>
      </w:r>
    </w:p>
    <w:p w14:paraId="269045D2" w14:textId="77777777" w:rsidR="0040765B" w:rsidRPr="003B52EE" w:rsidRDefault="0040765B" w:rsidP="000768AC">
      <w:pPr>
        <w:pStyle w:val="FitzBullet"/>
        <w:numPr>
          <w:ilvl w:val="0"/>
          <w:numId w:val="106"/>
        </w:numPr>
        <w:tabs>
          <w:tab w:val="clear" w:pos="317"/>
          <w:tab w:val="left" w:pos="144"/>
        </w:tabs>
        <w:spacing w:before="0" w:after="0" w:line="360" w:lineRule="auto"/>
        <w:ind w:left="709"/>
        <w:jc w:val="both"/>
      </w:pPr>
      <w:r w:rsidRPr="003B52EE">
        <w:t>Болезнь Виллебранда с геморрагическими осложнениями.</w:t>
      </w:r>
    </w:p>
    <w:p w14:paraId="07D35F63" w14:textId="77777777" w:rsidR="0040765B" w:rsidRPr="003B52EE" w:rsidRDefault="0040765B" w:rsidP="000768AC">
      <w:pPr>
        <w:pStyle w:val="FitzBullet"/>
        <w:numPr>
          <w:ilvl w:val="0"/>
          <w:numId w:val="106"/>
        </w:numPr>
        <w:tabs>
          <w:tab w:val="clear" w:pos="317"/>
          <w:tab w:val="left" w:pos="144"/>
        </w:tabs>
        <w:spacing w:before="0" w:after="0" w:line="360" w:lineRule="auto"/>
        <w:ind w:left="709"/>
        <w:jc w:val="both"/>
      </w:pPr>
      <w:r>
        <w:t>П</w:t>
      </w:r>
      <w:r w:rsidRPr="003B52EE">
        <w:t>ериоперационн</w:t>
      </w:r>
      <w:r>
        <w:t>ый</w:t>
      </w:r>
      <w:r w:rsidRPr="003B52EE">
        <w:t xml:space="preserve"> период или массивны</w:t>
      </w:r>
      <w:r>
        <w:t>е</w:t>
      </w:r>
      <w:r w:rsidRPr="003B52EE">
        <w:t xml:space="preserve"> </w:t>
      </w:r>
      <w:r>
        <w:t>кровотечения при</w:t>
      </w:r>
      <w:r w:rsidRPr="003B52EE">
        <w:t xml:space="preserve"> уровне фибриногена &lt; 1,5 г/л.</w:t>
      </w:r>
    </w:p>
    <w:p w14:paraId="52FF0120" w14:textId="77777777" w:rsidR="0040765B" w:rsidRPr="003B52EE" w:rsidRDefault="0040765B" w:rsidP="0040765B">
      <w:pPr>
        <w:ind w:firstLine="708"/>
        <w:rPr>
          <w:szCs w:val="24"/>
        </w:rPr>
      </w:pPr>
      <w:r w:rsidRPr="003B52EE">
        <w:rPr>
          <w:szCs w:val="24"/>
        </w:rPr>
        <w:t xml:space="preserve">Расчетная доза </w:t>
      </w:r>
      <w:r w:rsidRPr="00C019E2">
        <w:rPr>
          <w:iCs/>
          <w:szCs w:val="24"/>
        </w:rPr>
        <w:t>криопреципитата</w:t>
      </w:r>
      <w:r w:rsidRPr="003B52EE">
        <w:rPr>
          <w:szCs w:val="24"/>
        </w:rPr>
        <w:t xml:space="preserve"> составляет 1 ед на 5 кг массы тела </w:t>
      </w:r>
      <w:r>
        <w:rPr>
          <w:szCs w:val="24"/>
        </w:rPr>
        <w:t>пациента</w:t>
      </w:r>
      <w:r w:rsidRPr="003B52EE">
        <w:rPr>
          <w:szCs w:val="24"/>
        </w:rPr>
        <w:t xml:space="preserve"> или 15</w:t>
      </w:r>
      <w:r>
        <w:rPr>
          <w:szCs w:val="24"/>
        </w:rPr>
        <w:t>—20 ед при массе тела 70 кг</w:t>
      </w:r>
      <w:r w:rsidRPr="003B52EE">
        <w:rPr>
          <w:szCs w:val="24"/>
        </w:rPr>
        <w:t>. В 1 единице содержится: фибриногена не менее 140 мг, FVIII — не менее 70 МЕ.</w:t>
      </w:r>
    </w:p>
    <w:p w14:paraId="1BDB1041" w14:textId="77777777" w:rsidR="0040765B" w:rsidRDefault="0040765B" w:rsidP="0040765B">
      <w:pPr>
        <w:ind w:firstLine="708"/>
        <w:rPr>
          <w:u w:val="single"/>
        </w:rPr>
      </w:pPr>
    </w:p>
    <w:p w14:paraId="3E0B491B" w14:textId="77777777" w:rsidR="0040765B" w:rsidRPr="00287E25" w:rsidRDefault="0040765B" w:rsidP="0040765B">
      <w:pPr>
        <w:ind w:firstLine="708"/>
        <w:rPr>
          <w:b/>
          <w:u w:val="single"/>
        </w:rPr>
      </w:pPr>
      <w:r w:rsidRPr="00287E25">
        <w:rPr>
          <w:u w:val="single"/>
        </w:rPr>
        <w:t xml:space="preserve">Качество компонентов крови, применяемых при сопроводительной терапии гематологических пациентов </w:t>
      </w:r>
    </w:p>
    <w:p w14:paraId="52007330" w14:textId="77777777" w:rsidR="0040765B" w:rsidRPr="003B52EE" w:rsidRDefault="0040765B" w:rsidP="0040765B">
      <w:pPr>
        <w:rPr>
          <w:szCs w:val="24"/>
        </w:rPr>
      </w:pPr>
      <w:r>
        <w:rPr>
          <w:szCs w:val="24"/>
        </w:rPr>
        <w:t xml:space="preserve">При </w:t>
      </w:r>
      <w:r w:rsidRPr="003B52EE">
        <w:rPr>
          <w:szCs w:val="24"/>
        </w:rPr>
        <w:t>гематологически</w:t>
      </w:r>
      <w:r>
        <w:rPr>
          <w:szCs w:val="24"/>
        </w:rPr>
        <w:t>х заболеваниях с известными показаниями</w:t>
      </w:r>
      <w:r w:rsidRPr="003B52EE">
        <w:rPr>
          <w:szCs w:val="24"/>
        </w:rPr>
        <w:t xml:space="preserve"> </w:t>
      </w:r>
      <w:r>
        <w:rPr>
          <w:szCs w:val="24"/>
        </w:rPr>
        <w:t>к неоднократным</w:t>
      </w:r>
      <w:r w:rsidRPr="003B52EE">
        <w:rPr>
          <w:szCs w:val="24"/>
        </w:rPr>
        <w:t xml:space="preserve"> трансфузия</w:t>
      </w:r>
      <w:r>
        <w:rPr>
          <w:szCs w:val="24"/>
        </w:rPr>
        <w:t>м</w:t>
      </w:r>
      <w:r w:rsidRPr="003B52EE">
        <w:rPr>
          <w:szCs w:val="24"/>
        </w:rPr>
        <w:t xml:space="preserve"> компонентов крови</w:t>
      </w:r>
      <w:r>
        <w:rPr>
          <w:szCs w:val="24"/>
        </w:rPr>
        <w:t xml:space="preserve"> (лейкозы, лимфомы, миелодиспластические синдромы, апластическая анемия и др), </w:t>
      </w:r>
      <w:r w:rsidRPr="003B52EE">
        <w:rPr>
          <w:szCs w:val="24"/>
        </w:rPr>
        <w:t xml:space="preserve">с целью профилактики нежелательных реакций и осложнений, связанных с трансфузиями, </w:t>
      </w:r>
      <w:r>
        <w:rPr>
          <w:szCs w:val="24"/>
        </w:rPr>
        <w:t>рекомендуется</w:t>
      </w:r>
      <w:r w:rsidRPr="003B52EE">
        <w:rPr>
          <w:szCs w:val="24"/>
        </w:rPr>
        <w:t xml:space="preserve"> использование компонентов крови со следующими характеристиками:</w:t>
      </w:r>
    </w:p>
    <w:p w14:paraId="764FE53B"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Лейкоредуцированные — содержание лейкоцитов в дозе переливаемой среды снижено до 1 </w:t>
      </w:r>
      <w:r>
        <w:t>х</w:t>
      </w:r>
      <w:r w:rsidRPr="003B52EE">
        <w:t xml:space="preserve"> 10</w:t>
      </w:r>
      <w:r w:rsidRPr="003B52EE">
        <w:rPr>
          <w:vertAlign w:val="superscript"/>
        </w:rPr>
        <w:t>6</w:t>
      </w:r>
      <w:r w:rsidRPr="003B52EE">
        <w:t> клеток.</w:t>
      </w:r>
    </w:p>
    <w:p w14:paraId="7219FEBE"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Облученные эритроциты и тромбоциты (гамма-излучение или рентегновское излучение в дозе 25—50 Гр).</w:t>
      </w:r>
    </w:p>
    <w:p w14:paraId="6A4EB808"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Ограничение использования донорской плазмы путем использования взвешивающих растворов для эритроцитов.</w:t>
      </w:r>
    </w:p>
    <w:p w14:paraId="68F6F23B"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После исследования донорской крови на маркеры вирусных инфекций посредством молекулярно-биологических методов.</w:t>
      </w:r>
    </w:p>
    <w:p w14:paraId="64B7ADC7" w14:textId="77777777" w:rsidR="0040765B" w:rsidRPr="00360841" w:rsidRDefault="0040765B" w:rsidP="000768AC">
      <w:pPr>
        <w:pStyle w:val="afe"/>
        <w:numPr>
          <w:ilvl w:val="0"/>
          <w:numId w:val="107"/>
        </w:numPr>
        <w:ind w:left="709"/>
        <w:rPr>
          <w:szCs w:val="24"/>
        </w:rPr>
      </w:pPr>
      <w:r w:rsidRPr="00360841">
        <w:rPr>
          <w:szCs w:val="24"/>
        </w:rPr>
        <w:t>С целью повышения безопасности трансфузий дополнительно могут применяться следующие технологии:</w:t>
      </w:r>
    </w:p>
    <w:p w14:paraId="75929E28"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Инактивация патогенов в концентрате тромбоцитов.</w:t>
      </w:r>
    </w:p>
    <w:p w14:paraId="14CA4FD5"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Применение добавочных растворов для замещения донорской плазмы в концентрате тромбоцитов.</w:t>
      </w:r>
    </w:p>
    <w:p w14:paraId="3065560D" w14:textId="77777777" w:rsidR="0040765B" w:rsidRPr="003B52EE" w:rsidRDefault="0040765B" w:rsidP="000768AC">
      <w:pPr>
        <w:pStyle w:val="FitzBullet"/>
        <w:numPr>
          <w:ilvl w:val="0"/>
          <w:numId w:val="107"/>
        </w:numPr>
        <w:tabs>
          <w:tab w:val="clear" w:pos="317"/>
          <w:tab w:val="left" w:pos="144"/>
        </w:tabs>
        <w:spacing w:before="0" w:after="0" w:line="360" w:lineRule="auto"/>
        <w:ind w:left="709"/>
        <w:jc w:val="both"/>
      </w:pPr>
      <w:r w:rsidRPr="003B52EE">
        <w:t>Расширение спектра тестируемых маркеров вирусных инфекций (цитомегаловирус, вирус гепатита </w:t>
      </w:r>
      <w:r w:rsidRPr="003B52EE">
        <w:rPr>
          <w:lang w:val="en-US"/>
        </w:rPr>
        <w:t>B</w:t>
      </w:r>
      <w:r w:rsidRPr="003B52EE">
        <w:t xml:space="preserve">, </w:t>
      </w:r>
      <w:r w:rsidRPr="003B52EE">
        <w:rPr>
          <w:lang w:val="en-US"/>
        </w:rPr>
        <w:t>T</w:t>
      </w:r>
      <w:r w:rsidRPr="003B52EE">
        <w:t>-лимфотропный вирус человека и другие).</w:t>
      </w:r>
    </w:p>
    <w:p w14:paraId="3AA308FD" w14:textId="77777777" w:rsidR="0040765B" w:rsidRDefault="0040765B" w:rsidP="0040765B">
      <w:pPr>
        <w:rPr>
          <w:szCs w:val="24"/>
        </w:rPr>
      </w:pPr>
      <w:r w:rsidRPr="003B52EE">
        <w:rPr>
          <w:szCs w:val="24"/>
        </w:rPr>
        <w:t>Основные реакции и осложнения, связанные с трансфузией приведены в табл. 3.</w:t>
      </w:r>
    </w:p>
    <w:p w14:paraId="1B9CAAB4" w14:textId="77777777" w:rsidR="0040765B" w:rsidRDefault="0040765B" w:rsidP="0040765B">
      <w:pPr>
        <w:rPr>
          <w:bCs/>
          <w:szCs w:val="24"/>
        </w:rPr>
      </w:pPr>
    </w:p>
    <w:p w14:paraId="644D783B" w14:textId="77777777" w:rsidR="0040765B" w:rsidRPr="008E43BE" w:rsidRDefault="0040765B" w:rsidP="0040765B">
      <w:pPr>
        <w:rPr>
          <w:szCs w:val="24"/>
        </w:rPr>
      </w:pPr>
      <w:r w:rsidRPr="008E43BE">
        <w:rPr>
          <w:bCs/>
          <w:szCs w:val="24"/>
        </w:rPr>
        <w:t>Таблица 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40765B" w:rsidRPr="004C7AAC" w14:paraId="29494BD6" w14:textId="77777777" w:rsidTr="005A428D">
        <w:trPr>
          <w:jc w:val="center"/>
        </w:trPr>
        <w:tc>
          <w:tcPr>
            <w:tcW w:w="2110" w:type="dxa"/>
          </w:tcPr>
          <w:p w14:paraId="0B0A5C28" w14:textId="77777777" w:rsidR="0040765B" w:rsidRPr="00CA11E8" w:rsidRDefault="0040765B" w:rsidP="005A428D">
            <w:pPr>
              <w:pStyle w:val="Table-head-italic"/>
              <w:spacing w:line="360" w:lineRule="auto"/>
              <w:jc w:val="center"/>
              <w:rPr>
                <w:i w:val="0"/>
                <w:sz w:val="22"/>
                <w:szCs w:val="22"/>
                <w:lang w:val="ru-RU"/>
              </w:rPr>
            </w:pPr>
            <w:r w:rsidRPr="00CA11E8">
              <w:rPr>
                <w:i w:val="0"/>
                <w:sz w:val="22"/>
                <w:szCs w:val="22"/>
                <w:lang w:val="ru-RU"/>
              </w:rPr>
              <w:t>Реакция (осложнение)</w:t>
            </w:r>
          </w:p>
        </w:tc>
        <w:tc>
          <w:tcPr>
            <w:tcW w:w="2340" w:type="dxa"/>
          </w:tcPr>
          <w:p w14:paraId="277E3383" w14:textId="77777777" w:rsidR="0040765B" w:rsidRPr="00CA11E8" w:rsidRDefault="0040765B" w:rsidP="005A428D">
            <w:pPr>
              <w:pStyle w:val="Table-head-italic"/>
              <w:spacing w:line="360" w:lineRule="auto"/>
              <w:jc w:val="center"/>
              <w:rPr>
                <w:i w:val="0"/>
                <w:sz w:val="22"/>
                <w:szCs w:val="22"/>
                <w:lang w:val="ru-RU"/>
              </w:rPr>
            </w:pPr>
            <w:r w:rsidRPr="00CA11E8">
              <w:rPr>
                <w:i w:val="0"/>
                <w:sz w:val="22"/>
                <w:szCs w:val="22"/>
                <w:lang w:val="ru-RU"/>
              </w:rPr>
              <w:t>Причина</w:t>
            </w:r>
          </w:p>
        </w:tc>
        <w:tc>
          <w:tcPr>
            <w:tcW w:w="2520" w:type="dxa"/>
          </w:tcPr>
          <w:p w14:paraId="2F8AFF49" w14:textId="77777777" w:rsidR="0040765B" w:rsidRPr="00CA11E8" w:rsidRDefault="0040765B" w:rsidP="005A428D">
            <w:pPr>
              <w:pStyle w:val="Table-head-italic"/>
              <w:spacing w:line="360" w:lineRule="auto"/>
              <w:jc w:val="center"/>
              <w:rPr>
                <w:i w:val="0"/>
                <w:sz w:val="22"/>
                <w:szCs w:val="22"/>
                <w:lang w:val="ru-RU"/>
              </w:rPr>
            </w:pPr>
            <w:r w:rsidRPr="00CA11E8">
              <w:rPr>
                <w:i w:val="0"/>
                <w:sz w:val="22"/>
                <w:szCs w:val="22"/>
                <w:lang w:val="ru-RU"/>
              </w:rPr>
              <w:t>Лечение</w:t>
            </w:r>
          </w:p>
        </w:tc>
        <w:tc>
          <w:tcPr>
            <w:tcW w:w="2284" w:type="dxa"/>
          </w:tcPr>
          <w:p w14:paraId="02704D12" w14:textId="77777777" w:rsidR="0040765B" w:rsidRPr="00CA11E8" w:rsidRDefault="0040765B" w:rsidP="005A428D">
            <w:pPr>
              <w:pStyle w:val="Table-head-italic"/>
              <w:spacing w:line="360" w:lineRule="auto"/>
              <w:jc w:val="center"/>
              <w:rPr>
                <w:i w:val="0"/>
                <w:sz w:val="22"/>
                <w:szCs w:val="22"/>
                <w:lang w:val="ru-RU"/>
              </w:rPr>
            </w:pPr>
            <w:r w:rsidRPr="00CA11E8">
              <w:rPr>
                <w:i w:val="0"/>
                <w:sz w:val="22"/>
                <w:szCs w:val="22"/>
                <w:lang w:val="ru-RU"/>
              </w:rPr>
              <w:t>Обязательные и дополнительные лабораторные и инструментальные исследования*</w:t>
            </w:r>
          </w:p>
        </w:tc>
      </w:tr>
      <w:tr w:rsidR="0040765B" w:rsidRPr="004C7AAC" w14:paraId="1F0921E9" w14:textId="77777777" w:rsidTr="005A428D">
        <w:trPr>
          <w:jc w:val="center"/>
        </w:trPr>
        <w:tc>
          <w:tcPr>
            <w:tcW w:w="2110" w:type="dxa"/>
            <w:vAlign w:val="center"/>
          </w:tcPr>
          <w:p w14:paraId="7BEF0F3B"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Острая сердечно-сосудистая недостаточность, отек легких (синдром </w:t>
            </w:r>
            <w:r w:rsidRPr="00CA11E8">
              <w:rPr>
                <w:sz w:val="22"/>
                <w:szCs w:val="22"/>
              </w:rPr>
              <w:t>TACO</w:t>
            </w:r>
            <w:r w:rsidRPr="00CA11E8">
              <w:rPr>
                <w:sz w:val="22"/>
                <w:szCs w:val="22"/>
                <w:lang w:val="ru-RU"/>
              </w:rPr>
              <w:t xml:space="preserve">, от </w:t>
            </w:r>
            <w:r w:rsidRPr="00CA11E8">
              <w:rPr>
                <w:sz w:val="22"/>
                <w:szCs w:val="22"/>
              </w:rPr>
              <w:t>t</w:t>
            </w:r>
            <w:r w:rsidRPr="00CA11E8">
              <w:rPr>
                <w:sz w:val="22"/>
                <w:szCs w:val="22"/>
                <w:lang w:val="ru-RU"/>
              </w:rPr>
              <w:t>ransfusion associated circulatory overload)</w:t>
            </w:r>
          </w:p>
        </w:tc>
        <w:tc>
          <w:tcPr>
            <w:tcW w:w="2340" w:type="dxa"/>
          </w:tcPr>
          <w:p w14:paraId="1D284E0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Перегрузка объемом</w:t>
            </w:r>
          </w:p>
        </w:tc>
        <w:tc>
          <w:tcPr>
            <w:tcW w:w="2520" w:type="dxa"/>
          </w:tcPr>
          <w:p w14:paraId="2E457B1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Симптоматическая терапия отека легких </w:t>
            </w:r>
          </w:p>
        </w:tc>
        <w:tc>
          <w:tcPr>
            <w:tcW w:w="2284" w:type="dxa"/>
          </w:tcPr>
          <w:p w14:paraId="3A8F1AEF" w14:textId="77777777" w:rsidR="0040765B" w:rsidRPr="00CA11E8" w:rsidRDefault="0040765B" w:rsidP="005A428D">
            <w:pPr>
              <w:pStyle w:val="table-text-0"/>
              <w:spacing w:before="0" w:line="360" w:lineRule="auto"/>
              <w:ind w:firstLine="0"/>
              <w:rPr>
                <w:sz w:val="22"/>
                <w:szCs w:val="22"/>
                <w:lang w:val="ru-RU"/>
              </w:rPr>
            </w:pPr>
          </w:p>
        </w:tc>
      </w:tr>
      <w:tr w:rsidR="0040765B" w:rsidRPr="004C7AAC" w14:paraId="4AD145F8" w14:textId="77777777" w:rsidTr="005A428D">
        <w:trPr>
          <w:jc w:val="center"/>
        </w:trPr>
        <w:tc>
          <w:tcPr>
            <w:tcW w:w="2110" w:type="dxa"/>
          </w:tcPr>
          <w:p w14:paraId="3C66AE61"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Острое обусловленное трансфузией повреждение легких (синдром TRALI, от </w:t>
            </w:r>
            <w:r w:rsidRPr="00CA11E8">
              <w:rPr>
                <w:sz w:val="22"/>
                <w:szCs w:val="22"/>
              </w:rPr>
              <w:t>t</w:t>
            </w:r>
            <w:r w:rsidRPr="00CA11E8">
              <w:rPr>
                <w:sz w:val="22"/>
                <w:szCs w:val="22"/>
                <w:lang w:val="ru-RU"/>
              </w:rPr>
              <w:t>ransfusion-related acute lung injury)</w:t>
            </w:r>
          </w:p>
        </w:tc>
        <w:tc>
          <w:tcPr>
            <w:tcW w:w="2340" w:type="dxa"/>
          </w:tcPr>
          <w:p w14:paraId="4A3C84B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Наличие донорских антилейкоцитарных антител в крови реципиента</w:t>
            </w:r>
          </w:p>
        </w:tc>
        <w:tc>
          <w:tcPr>
            <w:tcW w:w="2520" w:type="dxa"/>
          </w:tcPr>
          <w:p w14:paraId="0EBB891E"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по 4—8 мг)</w:t>
            </w:r>
          </w:p>
          <w:p w14:paraId="4B87FF51"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Симптоматическая терапия отека легких</w:t>
            </w:r>
          </w:p>
        </w:tc>
        <w:tc>
          <w:tcPr>
            <w:tcW w:w="2284" w:type="dxa"/>
          </w:tcPr>
          <w:p w14:paraId="3B5AA1D7"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рентгенография органов грудной клетки</w:t>
            </w:r>
          </w:p>
          <w:p w14:paraId="1EFF7FA9"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тесты на антилейкоцитарные антитела и антитела к нейтрофилам в сыворотке</w:t>
            </w:r>
          </w:p>
        </w:tc>
      </w:tr>
      <w:tr w:rsidR="0040765B" w:rsidRPr="004C7AAC" w14:paraId="5E1D7E5E" w14:textId="77777777" w:rsidTr="005A428D">
        <w:trPr>
          <w:jc w:val="center"/>
        </w:trPr>
        <w:tc>
          <w:tcPr>
            <w:tcW w:w="2110" w:type="dxa"/>
          </w:tcPr>
          <w:p w14:paraId="5976112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Одышка, связанная с трансфузией (синдром TAD, от transfusion-associated dyspnea)</w:t>
            </w:r>
          </w:p>
        </w:tc>
        <w:tc>
          <w:tcPr>
            <w:tcW w:w="2340" w:type="dxa"/>
          </w:tcPr>
          <w:p w14:paraId="217E2CF7"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Острый респираторный дистресс-синдром, развивающийся в течение 24 часов после трансфузии</w:t>
            </w:r>
          </w:p>
        </w:tc>
        <w:tc>
          <w:tcPr>
            <w:tcW w:w="2520" w:type="dxa"/>
          </w:tcPr>
          <w:p w14:paraId="008FC0F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Симптоматическая терапия</w:t>
            </w:r>
          </w:p>
        </w:tc>
        <w:tc>
          <w:tcPr>
            <w:tcW w:w="2284" w:type="dxa"/>
          </w:tcPr>
          <w:p w14:paraId="25EBB222" w14:textId="77777777" w:rsidR="0040765B" w:rsidRPr="00CA11E8" w:rsidRDefault="0040765B" w:rsidP="005A428D">
            <w:pPr>
              <w:pStyle w:val="table-text-0"/>
              <w:spacing w:before="0" w:line="360" w:lineRule="auto"/>
              <w:ind w:firstLine="0"/>
              <w:rPr>
                <w:sz w:val="22"/>
                <w:szCs w:val="22"/>
                <w:lang w:val="ru-RU"/>
              </w:rPr>
            </w:pPr>
          </w:p>
        </w:tc>
      </w:tr>
      <w:tr w:rsidR="0040765B" w:rsidRPr="004C7AAC" w14:paraId="009680A6" w14:textId="77777777" w:rsidTr="005A428D">
        <w:trPr>
          <w:jc w:val="center"/>
        </w:trPr>
        <w:tc>
          <w:tcPr>
            <w:tcW w:w="2110" w:type="dxa"/>
            <w:vMerge w:val="restart"/>
          </w:tcPr>
          <w:p w14:paraId="2C85D47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Аллергические реакции (крапивница, анафилактический шок и др.)</w:t>
            </w:r>
          </w:p>
        </w:tc>
        <w:tc>
          <w:tcPr>
            <w:tcW w:w="2340" w:type="dxa"/>
          </w:tcPr>
          <w:p w14:paraId="2533F7FA"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Крапивница: наличие антител к белкам плазмы</w:t>
            </w:r>
          </w:p>
        </w:tc>
        <w:tc>
          <w:tcPr>
            <w:tcW w:w="2520" w:type="dxa"/>
          </w:tcPr>
          <w:p w14:paraId="55BCEE2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tc>
        <w:tc>
          <w:tcPr>
            <w:tcW w:w="2284" w:type="dxa"/>
          </w:tcPr>
          <w:p w14:paraId="4C089705" w14:textId="77777777" w:rsidR="0040765B" w:rsidRPr="00CA11E8" w:rsidRDefault="0040765B" w:rsidP="005A428D">
            <w:pPr>
              <w:pStyle w:val="table-text-0"/>
              <w:spacing w:before="0" w:line="360" w:lineRule="auto"/>
              <w:ind w:firstLine="0"/>
              <w:rPr>
                <w:sz w:val="22"/>
                <w:szCs w:val="22"/>
                <w:lang w:val="ru-RU"/>
              </w:rPr>
            </w:pPr>
          </w:p>
        </w:tc>
      </w:tr>
      <w:tr w:rsidR="0040765B" w:rsidRPr="004C7AAC" w14:paraId="37A3A3E5" w14:textId="77777777" w:rsidTr="005A428D">
        <w:trPr>
          <w:jc w:val="center"/>
        </w:trPr>
        <w:tc>
          <w:tcPr>
            <w:tcW w:w="2110" w:type="dxa"/>
            <w:vMerge/>
            <w:vAlign w:val="center"/>
          </w:tcPr>
          <w:p w14:paraId="28D20E03" w14:textId="77777777" w:rsidR="0040765B" w:rsidRPr="00CA11E8" w:rsidRDefault="0040765B" w:rsidP="005A428D">
            <w:pPr>
              <w:pStyle w:val="table-text-0"/>
              <w:spacing w:before="0" w:line="360" w:lineRule="auto"/>
              <w:ind w:firstLine="0"/>
              <w:rPr>
                <w:sz w:val="22"/>
                <w:szCs w:val="22"/>
                <w:lang w:val="ru-RU"/>
              </w:rPr>
            </w:pPr>
          </w:p>
        </w:tc>
        <w:tc>
          <w:tcPr>
            <w:tcW w:w="2340" w:type="dxa"/>
          </w:tcPr>
          <w:p w14:paraId="1D705B4A"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Анафилактический шок: первичный иммунодефицит IgA у реципиента</w:t>
            </w:r>
          </w:p>
        </w:tc>
        <w:tc>
          <w:tcPr>
            <w:tcW w:w="2520" w:type="dxa"/>
          </w:tcPr>
          <w:p w14:paraId="7A6AEED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Противошоковая терапия</w:t>
            </w:r>
          </w:p>
        </w:tc>
        <w:tc>
          <w:tcPr>
            <w:tcW w:w="2284" w:type="dxa"/>
          </w:tcPr>
          <w:p w14:paraId="7358FB0A"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оценка уровня сывороточного IgA у реципиента</w:t>
            </w:r>
          </w:p>
        </w:tc>
      </w:tr>
      <w:tr w:rsidR="0040765B" w:rsidRPr="004C7AAC" w14:paraId="7C0CA84C" w14:textId="77777777" w:rsidTr="005A428D">
        <w:trPr>
          <w:jc w:val="center"/>
        </w:trPr>
        <w:tc>
          <w:tcPr>
            <w:tcW w:w="2110" w:type="dxa"/>
          </w:tcPr>
          <w:p w14:paraId="1BD36C60"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Пострансфузионная артериальная гипотония (HTR, от </w:t>
            </w:r>
            <w:r w:rsidRPr="00CA11E8">
              <w:rPr>
                <w:sz w:val="22"/>
                <w:szCs w:val="22"/>
              </w:rPr>
              <w:t>post</w:t>
            </w:r>
            <w:r w:rsidRPr="00CA11E8">
              <w:rPr>
                <w:sz w:val="22"/>
                <w:szCs w:val="22"/>
                <w:lang w:val="ru-RU"/>
              </w:rPr>
              <w:t>-</w:t>
            </w:r>
            <w:r w:rsidRPr="00CA11E8">
              <w:rPr>
                <w:sz w:val="22"/>
                <w:szCs w:val="22"/>
              </w:rPr>
              <w:t>transfusion</w:t>
            </w:r>
            <w:r w:rsidRPr="00CA11E8">
              <w:rPr>
                <w:sz w:val="22"/>
                <w:szCs w:val="22"/>
                <w:lang w:val="ru-RU"/>
              </w:rPr>
              <w:t xml:space="preserve"> </w:t>
            </w:r>
            <w:r w:rsidRPr="00CA11E8">
              <w:rPr>
                <w:sz w:val="22"/>
                <w:szCs w:val="22"/>
              </w:rPr>
              <w:t>hypotension</w:t>
            </w:r>
            <w:r w:rsidRPr="00CA11E8">
              <w:rPr>
                <w:sz w:val="22"/>
                <w:szCs w:val="22"/>
                <w:lang w:val="ru-RU"/>
              </w:rPr>
              <w:t>)</w:t>
            </w:r>
          </w:p>
        </w:tc>
        <w:tc>
          <w:tcPr>
            <w:tcW w:w="2340" w:type="dxa"/>
          </w:tcPr>
          <w:p w14:paraId="18F14CBC"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Сосудистая реакция, обусловленная выбросом брадикинина</w:t>
            </w:r>
          </w:p>
        </w:tc>
        <w:tc>
          <w:tcPr>
            <w:tcW w:w="2520" w:type="dxa"/>
          </w:tcPr>
          <w:p w14:paraId="7C198210"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Симптоматическая терапия, в тяжелых случаях — применение вазопрессоров </w:t>
            </w:r>
          </w:p>
        </w:tc>
        <w:tc>
          <w:tcPr>
            <w:tcW w:w="2284" w:type="dxa"/>
          </w:tcPr>
          <w:p w14:paraId="799FA1BC" w14:textId="77777777" w:rsidR="0040765B" w:rsidRPr="00CA11E8" w:rsidRDefault="0040765B" w:rsidP="005A428D">
            <w:pPr>
              <w:pStyle w:val="table-text-0"/>
              <w:spacing w:before="0" w:line="360" w:lineRule="auto"/>
              <w:ind w:firstLine="0"/>
              <w:rPr>
                <w:sz w:val="22"/>
                <w:szCs w:val="22"/>
                <w:lang w:val="ru-RU"/>
              </w:rPr>
            </w:pPr>
          </w:p>
        </w:tc>
      </w:tr>
      <w:tr w:rsidR="0040765B" w:rsidRPr="004C7AAC" w14:paraId="4EDB6E3C" w14:textId="77777777" w:rsidTr="005A428D">
        <w:trPr>
          <w:jc w:val="center"/>
        </w:trPr>
        <w:tc>
          <w:tcPr>
            <w:tcW w:w="2110" w:type="dxa"/>
          </w:tcPr>
          <w:p w14:paraId="0CA1675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Гипертермическая (фебрильная) негемолитическая реакция (FNHTR, от febrile non-hemolytic transfusion reaction)</w:t>
            </w:r>
          </w:p>
        </w:tc>
        <w:tc>
          <w:tcPr>
            <w:tcW w:w="2340" w:type="dxa"/>
          </w:tcPr>
          <w:p w14:paraId="2705641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Секреция цитокинов иммунокомпетентными клетками, сопровождающаяся повышением температуры тела реципиента выше 38</w:t>
            </w:r>
            <w:r w:rsidRPr="00CA11E8">
              <w:rPr>
                <w:rFonts w:ascii="Symbol" w:hAnsi="Symbol" w:cs="Symbol"/>
              </w:rPr>
              <w:t></w:t>
            </w:r>
            <w:r w:rsidRPr="00CA11E8">
              <w:rPr>
                <w:sz w:val="22"/>
                <w:szCs w:val="22"/>
                <w:lang w:val="ru-RU"/>
              </w:rPr>
              <w:t>С</w:t>
            </w:r>
          </w:p>
        </w:tc>
        <w:tc>
          <w:tcPr>
            <w:tcW w:w="2520" w:type="dxa"/>
          </w:tcPr>
          <w:p w14:paraId="14DCD19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p w14:paraId="7662746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Наркотические анальгетики (промедол 2%, 2 мл)</w:t>
            </w:r>
          </w:p>
          <w:p w14:paraId="3A17D99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tc>
        <w:tc>
          <w:tcPr>
            <w:tcW w:w="2284" w:type="dxa"/>
          </w:tcPr>
          <w:p w14:paraId="4002AD8D"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p w14:paraId="41C8C93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определение антилейкоцитарных антител, антитромбоцитарных антител, антител к нейтрофилам в сыворотке</w:t>
            </w:r>
          </w:p>
        </w:tc>
      </w:tr>
      <w:tr w:rsidR="0040765B" w:rsidRPr="004C7AAC" w14:paraId="16EB9CF9" w14:textId="77777777" w:rsidTr="005A428D">
        <w:trPr>
          <w:jc w:val="center"/>
        </w:trPr>
        <w:tc>
          <w:tcPr>
            <w:tcW w:w="2110" w:type="dxa"/>
            <w:vMerge w:val="restart"/>
          </w:tcPr>
          <w:p w14:paraId="5320E34A" w14:textId="77777777" w:rsidR="0040765B" w:rsidRPr="00360841" w:rsidRDefault="0040765B" w:rsidP="005A428D">
            <w:pPr>
              <w:pStyle w:val="table-text-0"/>
              <w:spacing w:before="0" w:line="360" w:lineRule="auto"/>
              <w:ind w:firstLine="0"/>
              <w:rPr>
                <w:sz w:val="22"/>
                <w:szCs w:val="22"/>
              </w:rPr>
            </w:pPr>
            <w:r w:rsidRPr="00CA11E8">
              <w:rPr>
                <w:sz w:val="22"/>
                <w:szCs w:val="22"/>
                <w:lang w:val="ru-RU"/>
              </w:rPr>
              <w:t>Острый</w:t>
            </w:r>
            <w:r w:rsidRPr="00360841">
              <w:rPr>
                <w:sz w:val="22"/>
                <w:szCs w:val="22"/>
              </w:rPr>
              <w:t xml:space="preserve"> </w:t>
            </w:r>
            <w:r w:rsidRPr="00CA11E8">
              <w:rPr>
                <w:sz w:val="22"/>
                <w:szCs w:val="22"/>
                <w:lang w:val="ru-RU"/>
              </w:rPr>
              <w:t>гемолиз</w:t>
            </w:r>
            <w:r w:rsidRPr="00360841">
              <w:rPr>
                <w:sz w:val="22"/>
                <w:szCs w:val="22"/>
              </w:rPr>
              <w:t xml:space="preserve"> (AHTR, </w:t>
            </w:r>
            <w:r w:rsidRPr="00CA11E8">
              <w:rPr>
                <w:sz w:val="22"/>
                <w:szCs w:val="22"/>
                <w:lang w:val="ru-RU"/>
              </w:rPr>
              <w:t>от</w:t>
            </w:r>
            <w:r w:rsidRPr="00360841">
              <w:rPr>
                <w:sz w:val="22"/>
                <w:szCs w:val="22"/>
              </w:rPr>
              <w:t xml:space="preserve"> acute hemolytic transfusion reaction)</w:t>
            </w:r>
          </w:p>
        </w:tc>
        <w:tc>
          <w:tcPr>
            <w:tcW w:w="2340" w:type="dxa"/>
          </w:tcPr>
          <w:p w14:paraId="2FBC7283"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6B81E341"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p w14:paraId="70F82261"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7A4BE77C"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4CFC70D0"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0B80C3A4"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65DE2984"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прямая проба Кумбса, оценка химеризма эритроцитов в периферической крови реципиента</w:t>
            </w:r>
          </w:p>
        </w:tc>
      </w:tr>
      <w:tr w:rsidR="0040765B" w:rsidRPr="004C7AAC" w14:paraId="61CD4FCA" w14:textId="77777777" w:rsidTr="005A428D">
        <w:trPr>
          <w:jc w:val="center"/>
        </w:trPr>
        <w:tc>
          <w:tcPr>
            <w:tcW w:w="2110" w:type="dxa"/>
            <w:vMerge/>
          </w:tcPr>
          <w:p w14:paraId="67F1C523" w14:textId="77777777" w:rsidR="0040765B" w:rsidRPr="00CA11E8" w:rsidRDefault="0040765B" w:rsidP="005A428D">
            <w:pPr>
              <w:pStyle w:val="table-text-0"/>
              <w:spacing w:before="0" w:line="360" w:lineRule="auto"/>
              <w:ind w:firstLine="0"/>
              <w:rPr>
                <w:sz w:val="22"/>
                <w:szCs w:val="22"/>
                <w:lang w:val="ru-RU"/>
              </w:rPr>
            </w:pPr>
          </w:p>
        </w:tc>
        <w:tc>
          <w:tcPr>
            <w:tcW w:w="2340" w:type="dxa"/>
          </w:tcPr>
          <w:p w14:paraId="4124B0E6"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37A33196" w14:textId="77777777" w:rsidR="0040765B" w:rsidRPr="00CA11E8" w:rsidRDefault="0040765B" w:rsidP="005A428D">
            <w:pPr>
              <w:pStyle w:val="table-text-0"/>
              <w:spacing w:before="0" w:line="360" w:lineRule="auto"/>
              <w:ind w:firstLine="0"/>
              <w:rPr>
                <w:sz w:val="22"/>
                <w:szCs w:val="22"/>
                <w:lang w:val="ru-RU"/>
              </w:rPr>
            </w:pPr>
          </w:p>
        </w:tc>
        <w:tc>
          <w:tcPr>
            <w:tcW w:w="2284" w:type="dxa"/>
          </w:tcPr>
          <w:p w14:paraId="0AB20CA8"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6B9C2F3E" w14:textId="77777777" w:rsidR="0040765B" w:rsidRPr="00CA11E8" w:rsidRDefault="0040765B" w:rsidP="005A428D">
            <w:pPr>
              <w:pStyle w:val="table-text-0"/>
              <w:spacing w:before="0" w:line="360" w:lineRule="auto"/>
              <w:ind w:firstLine="0"/>
              <w:rPr>
                <w:sz w:val="22"/>
                <w:szCs w:val="22"/>
                <w:lang w:val="ru-RU"/>
              </w:rPr>
            </w:pPr>
          </w:p>
        </w:tc>
      </w:tr>
      <w:tr w:rsidR="0040765B" w:rsidRPr="004C7AAC" w14:paraId="2ED36B76" w14:textId="77777777" w:rsidTr="005A428D">
        <w:trPr>
          <w:jc w:val="center"/>
        </w:trPr>
        <w:tc>
          <w:tcPr>
            <w:tcW w:w="2110" w:type="dxa"/>
          </w:tcPr>
          <w:p w14:paraId="1C7AD260" w14:textId="77777777" w:rsidR="0040765B" w:rsidRPr="00360841" w:rsidRDefault="0040765B" w:rsidP="005A428D">
            <w:pPr>
              <w:pStyle w:val="table-text-0"/>
              <w:spacing w:before="0" w:line="360" w:lineRule="auto"/>
              <w:ind w:firstLine="0"/>
              <w:rPr>
                <w:sz w:val="22"/>
                <w:szCs w:val="22"/>
              </w:rPr>
            </w:pPr>
            <w:r w:rsidRPr="00CA11E8">
              <w:rPr>
                <w:sz w:val="22"/>
                <w:szCs w:val="22"/>
                <w:lang w:val="ru-RU"/>
              </w:rPr>
              <w:t>Отсроченный</w:t>
            </w:r>
            <w:r w:rsidRPr="00360841">
              <w:rPr>
                <w:sz w:val="22"/>
                <w:szCs w:val="22"/>
              </w:rPr>
              <w:t xml:space="preserve"> </w:t>
            </w:r>
            <w:r w:rsidRPr="00CA11E8">
              <w:rPr>
                <w:sz w:val="22"/>
                <w:szCs w:val="22"/>
                <w:lang w:val="ru-RU"/>
              </w:rPr>
              <w:t>гемолиз</w:t>
            </w:r>
            <w:r w:rsidRPr="00360841">
              <w:rPr>
                <w:sz w:val="22"/>
                <w:szCs w:val="22"/>
              </w:rPr>
              <w:t xml:space="preserve"> (DHTR, </w:t>
            </w:r>
            <w:r w:rsidRPr="00CA11E8">
              <w:rPr>
                <w:sz w:val="22"/>
                <w:szCs w:val="22"/>
                <w:lang w:val="ru-RU"/>
              </w:rPr>
              <w:t>от</w:t>
            </w:r>
            <w:r w:rsidRPr="00360841">
              <w:rPr>
                <w:sz w:val="22"/>
                <w:szCs w:val="22"/>
              </w:rPr>
              <w:t xml:space="preserve"> delayed hemolytic transfusion reaction)</w:t>
            </w:r>
          </w:p>
        </w:tc>
        <w:tc>
          <w:tcPr>
            <w:tcW w:w="2340" w:type="dxa"/>
          </w:tcPr>
          <w:p w14:paraId="2EE5661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Внутриклеточный (тканевый) гемолиз в результате трансфузии несовместимых по аллоантигенам эритроцитов донора</w:t>
            </w:r>
          </w:p>
          <w:p w14:paraId="318B8469"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Аллоиммунизация отмечается в период от 24 часов до 28 дней после трансфузии</w:t>
            </w:r>
          </w:p>
        </w:tc>
        <w:tc>
          <w:tcPr>
            <w:tcW w:w="2520" w:type="dxa"/>
          </w:tcPr>
          <w:p w14:paraId="50637F1E"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 Глюкокортикоиды (преднизолон, 30—60 мг, или дексаметазон, 4—8 мг)</w:t>
            </w:r>
          </w:p>
          <w:p w14:paraId="14108CF9"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59FCF596"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5866601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6A825CED"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 прямая проба Кумбса</w:t>
            </w:r>
          </w:p>
          <w:p w14:paraId="2633DDD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выявление антиэритроцитарных аллоантител с новой специфичностью</w:t>
            </w:r>
          </w:p>
        </w:tc>
      </w:tr>
      <w:tr w:rsidR="0040765B" w:rsidRPr="004C7AAC" w14:paraId="64C13D8C" w14:textId="77777777" w:rsidTr="005A428D">
        <w:trPr>
          <w:jc w:val="center"/>
        </w:trPr>
        <w:tc>
          <w:tcPr>
            <w:tcW w:w="2110" w:type="dxa"/>
          </w:tcPr>
          <w:p w14:paraId="7FCE5139"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Отсроченная серологическая трансфузионная реакция (DSTR, от delayed serologic transfusion reaction)</w:t>
            </w:r>
          </w:p>
        </w:tc>
        <w:tc>
          <w:tcPr>
            <w:tcW w:w="2340" w:type="dxa"/>
          </w:tcPr>
          <w:p w14:paraId="290F033A"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3FFB83F0" w14:textId="77777777" w:rsidR="0040765B" w:rsidRPr="00CA11E8" w:rsidRDefault="0040765B" w:rsidP="005A428D">
            <w:pPr>
              <w:pStyle w:val="table-text-0"/>
              <w:spacing w:before="0" w:line="360" w:lineRule="auto"/>
              <w:ind w:firstLine="0"/>
              <w:rPr>
                <w:sz w:val="22"/>
                <w:szCs w:val="22"/>
                <w:lang w:val="ru-RU"/>
              </w:rPr>
            </w:pPr>
          </w:p>
        </w:tc>
        <w:tc>
          <w:tcPr>
            <w:tcW w:w="2284" w:type="dxa"/>
          </w:tcPr>
          <w:p w14:paraId="2F016D0C"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прямая проба Кумбса</w:t>
            </w:r>
          </w:p>
        </w:tc>
      </w:tr>
      <w:tr w:rsidR="0040765B" w:rsidRPr="004C7AAC" w14:paraId="69F21C39" w14:textId="77777777" w:rsidTr="005A428D">
        <w:trPr>
          <w:jc w:val="center"/>
        </w:trPr>
        <w:tc>
          <w:tcPr>
            <w:tcW w:w="2110" w:type="dxa"/>
          </w:tcPr>
          <w:p w14:paraId="64631C0B"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Посттрансфузионная реакция «трансплантат против хозяина» (TA-GVHD, от transfusion-associated graft-versus-host-disease)</w:t>
            </w:r>
          </w:p>
        </w:tc>
        <w:tc>
          <w:tcPr>
            <w:tcW w:w="2340" w:type="dxa"/>
          </w:tcPr>
          <w:p w14:paraId="4937B95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Введение иммунокомпетентных клеток донора (</w:t>
            </w:r>
            <w:r w:rsidRPr="00CA11E8">
              <w:rPr>
                <w:sz w:val="22"/>
                <w:szCs w:val="22"/>
              </w:rPr>
              <w:t>T</w:t>
            </w:r>
            <w:r w:rsidRPr="00CA11E8">
              <w:rPr>
                <w:sz w:val="22"/>
                <w:szCs w:val="22"/>
                <w:lang w:val="ru-RU"/>
              </w:rPr>
              <w:t xml:space="preserve">-лимфоцитов)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w:t>
            </w:r>
            <w:r w:rsidRPr="00CA11E8">
              <w:rPr>
                <w:sz w:val="22"/>
                <w:szCs w:val="22"/>
              </w:rPr>
              <w:t>I</w:t>
            </w:r>
            <w:r w:rsidRPr="00CA11E8">
              <w:rPr>
                <w:sz w:val="22"/>
                <w:szCs w:val="22"/>
                <w:lang w:val="ru-RU"/>
              </w:rPr>
              <w:t xml:space="preserve"> и </w:t>
            </w:r>
            <w:r w:rsidRPr="00CA11E8">
              <w:rPr>
                <w:sz w:val="22"/>
                <w:szCs w:val="22"/>
              </w:rPr>
              <w:t>II</w:t>
            </w:r>
            <w:r w:rsidRPr="00CA11E8">
              <w:rPr>
                <w:sz w:val="22"/>
                <w:szCs w:val="22"/>
                <w:lang w:val="ru-RU"/>
              </w:rPr>
              <w:t> классов (кожа, ЖКТ, печень, селезенка, костный мозг)</w:t>
            </w:r>
          </w:p>
          <w:p w14:paraId="79CD6B2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Характерны кожная эритема, диарея, поражение печени с гепатомегалией</w:t>
            </w:r>
          </w:p>
          <w:p w14:paraId="5893EA37"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Синдром может развиваться в сроки от 2 дней до 6 недель после трансфузии</w:t>
            </w:r>
          </w:p>
        </w:tc>
        <w:tc>
          <w:tcPr>
            <w:tcW w:w="2520" w:type="dxa"/>
          </w:tcPr>
          <w:p w14:paraId="3D8D2B5A"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Глюкокортикоиды</w:t>
            </w:r>
          </w:p>
        </w:tc>
        <w:tc>
          <w:tcPr>
            <w:tcW w:w="2284" w:type="dxa"/>
          </w:tcPr>
          <w:p w14:paraId="6BC500B2"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7FB8A72B"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исследование химеризма лейкоцитов; УЗИ брюшной полости</w:t>
            </w:r>
          </w:p>
        </w:tc>
      </w:tr>
      <w:tr w:rsidR="0040765B" w:rsidRPr="004C7AAC" w14:paraId="3788F46A" w14:textId="77777777" w:rsidTr="005A428D">
        <w:trPr>
          <w:jc w:val="center"/>
        </w:trPr>
        <w:tc>
          <w:tcPr>
            <w:tcW w:w="2110" w:type="dxa"/>
          </w:tcPr>
          <w:p w14:paraId="08319D70"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Пострансфузионная пурпура (PTP, от post-transfusion purpura)</w:t>
            </w:r>
          </w:p>
        </w:tc>
        <w:tc>
          <w:tcPr>
            <w:tcW w:w="2340" w:type="dxa"/>
          </w:tcPr>
          <w:p w14:paraId="72718649"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2520" w:type="dxa"/>
          </w:tcPr>
          <w:p w14:paraId="08398BFE"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 xml:space="preserve">Глюкокортикоиды </w:t>
            </w:r>
          </w:p>
        </w:tc>
        <w:tc>
          <w:tcPr>
            <w:tcW w:w="2284" w:type="dxa"/>
          </w:tcPr>
          <w:p w14:paraId="22BC514A"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общий анализ крови, выявление антилейкоцитарных аллоантител (анти-HLA) в сыворотке</w:t>
            </w:r>
          </w:p>
          <w:p w14:paraId="2D873856"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Дополнительные: выявление антитромбоцитарных антител (анти-HPA) в сыворотке</w:t>
            </w:r>
          </w:p>
        </w:tc>
      </w:tr>
      <w:tr w:rsidR="0040765B" w:rsidRPr="004C7AAC" w14:paraId="4DDBF23D" w14:textId="77777777" w:rsidTr="005A428D">
        <w:trPr>
          <w:jc w:val="center"/>
        </w:trPr>
        <w:tc>
          <w:tcPr>
            <w:tcW w:w="2110" w:type="dxa"/>
            <w:vMerge w:val="restart"/>
          </w:tcPr>
          <w:p w14:paraId="1C1550B0"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Другие</w:t>
            </w:r>
          </w:p>
        </w:tc>
        <w:tc>
          <w:tcPr>
            <w:tcW w:w="2340" w:type="dxa"/>
          </w:tcPr>
          <w:p w14:paraId="78C54308"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Септический шок при переливании инфицированного компонента крови</w:t>
            </w:r>
          </w:p>
        </w:tc>
        <w:tc>
          <w:tcPr>
            <w:tcW w:w="2520" w:type="dxa"/>
          </w:tcPr>
          <w:p w14:paraId="42A9749B"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Антибактериальная терапия широкого спектра действия, противошоковая терапия</w:t>
            </w:r>
          </w:p>
        </w:tc>
        <w:tc>
          <w:tcPr>
            <w:tcW w:w="2284" w:type="dxa"/>
          </w:tcPr>
          <w:p w14:paraId="79EB2AF5"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tc>
      </w:tr>
      <w:tr w:rsidR="0040765B" w:rsidRPr="004C7AAC" w14:paraId="1425F783" w14:textId="77777777" w:rsidTr="005A428D">
        <w:trPr>
          <w:jc w:val="center"/>
        </w:trPr>
        <w:tc>
          <w:tcPr>
            <w:tcW w:w="2110" w:type="dxa"/>
            <w:vMerge/>
          </w:tcPr>
          <w:p w14:paraId="09E8E41B" w14:textId="77777777" w:rsidR="0040765B" w:rsidRPr="00CA11E8" w:rsidRDefault="0040765B" w:rsidP="005A428D">
            <w:pPr>
              <w:pStyle w:val="table-text-0"/>
              <w:spacing w:before="0" w:line="360" w:lineRule="auto"/>
              <w:ind w:firstLine="0"/>
              <w:rPr>
                <w:sz w:val="22"/>
                <w:szCs w:val="22"/>
                <w:lang w:val="ru-RU"/>
              </w:rPr>
            </w:pPr>
          </w:p>
        </w:tc>
        <w:tc>
          <w:tcPr>
            <w:tcW w:w="2340" w:type="dxa"/>
          </w:tcPr>
          <w:p w14:paraId="4683A066"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Перегрузка железом (гемосидероз) органов в результате множественных переливаний эритроцитов</w:t>
            </w:r>
          </w:p>
        </w:tc>
        <w:tc>
          <w:tcPr>
            <w:tcW w:w="2520" w:type="dxa"/>
          </w:tcPr>
          <w:p w14:paraId="42AD328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Комплексообразующие средства (деферазирокс, 15—20 мг/кг или другой препарат с аналогичным действием)</w:t>
            </w:r>
          </w:p>
        </w:tc>
        <w:tc>
          <w:tcPr>
            <w:tcW w:w="2284" w:type="dxa"/>
          </w:tcPr>
          <w:p w14:paraId="0979790F"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Обязательные: определение уровня ферритина в сыворотке (не должен превышать 1000 мкг/л)</w:t>
            </w:r>
          </w:p>
        </w:tc>
      </w:tr>
    </w:tbl>
    <w:p w14:paraId="0F9525DF" w14:textId="77777777" w:rsidR="0040765B" w:rsidRPr="008E43BE" w:rsidRDefault="0040765B" w:rsidP="0040765B">
      <w:pPr>
        <w:rPr>
          <w:sz w:val="20"/>
          <w:szCs w:val="20"/>
        </w:rPr>
      </w:pPr>
      <w:r w:rsidRPr="008E43BE">
        <w:rPr>
          <w:sz w:val="20"/>
          <w:szCs w:val="20"/>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67DAA836" w14:textId="77777777" w:rsidR="0040765B" w:rsidRDefault="0040765B" w:rsidP="0040765B">
      <w:pPr>
        <w:ind w:firstLine="708"/>
        <w:rPr>
          <w:szCs w:val="24"/>
        </w:rPr>
      </w:pPr>
    </w:p>
    <w:p w14:paraId="4A741567" w14:textId="77777777" w:rsidR="0040765B" w:rsidRDefault="0040765B" w:rsidP="0040765B">
      <w:pPr>
        <w:ind w:firstLine="708"/>
        <w:rPr>
          <w:szCs w:val="24"/>
        </w:rPr>
      </w:pPr>
      <w:r w:rsidRPr="002D194B">
        <w:rPr>
          <w:szCs w:val="24"/>
        </w:rPr>
        <w:t>Степень тяжести посттрансфузионных реакции и осложнений можно определить по шкале</w:t>
      </w:r>
      <w:r>
        <w:rPr>
          <w:szCs w:val="24"/>
        </w:rPr>
        <w:t>,</w:t>
      </w:r>
      <w:r w:rsidRPr="002D194B">
        <w:rPr>
          <w:szCs w:val="24"/>
        </w:rPr>
        <w:t xml:space="preserve"> приведенной в табл</w:t>
      </w:r>
      <w:r>
        <w:rPr>
          <w:szCs w:val="24"/>
        </w:rPr>
        <w:t>. </w:t>
      </w:r>
      <w:r w:rsidRPr="002D194B">
        <w:rPr>
          <w:szCs w:val="24"/>
        </w:rPr>
        <w:t>4.</w:t>
      </w:r>
    </w:p>
    <w:p w14:paraId="6265FEEF" w14:textId="77777777" w:rsidR="0040765B" w:rsidRDefault="0040765B" w:rsidP="0040765B">
      <w:pPr>
        <w:rPr>
          <w:bCs/>
          <w:szCs w:val="24"/>
        </w:rPr>
      </w:pPr>
    </w:p>
    <w:p w14:paraId="7DF213F3" w14:textId="77777777" w:rsidR="0040765B" w:rsidRPr="008E43BE" w:rsidRDefault="0040765B" w:rsidP="0040765B">
      <w:pPr>
        <w:rPr>
          <w:szCs w:val="24"/>
        </w:rPr>
      </w:pPr>
      <w:r w:rsidRPr="008E43BE">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40765B" w:rsidRPr="004C7AAC" w14:paraId="35742E4C" w14:textId="77777777" w:rsidTr="005A428D">
        <w:tc>
          <w:tcPr>
            <w:tcW w:w="1800" w:type="dxa"/>
          </w:tcPr>
          <w:p w14:paraId="4AF45E84" w14:textId="77777777" w:rsidR="0040765B" w:rsidRPr="002F2E09" w:rsidRDefault="0040765B" w:rsidP="005A428D">
            <w:pPr>
              <w:pStyle w:val="Table-head-italic"/>
              <w:spacing w:line="360" w:lineRule="auto"/>
              <w:rPr>
                <w:i w:val="0"/>
                <w:sz w:val="22"/>
                <w:szCs w:val="22"/>
                <w:lang w:val="ru-RU"/>
              </w:rPr>
            </w:pPr>
            <w:r w:rsidRPr="002F2E09">
              <w:rPr>
                <w:i w:val="0"/>
                <w:sz w:val="22"/>
                <w:szCs w:val="22"/>
                <w:lang w:val="ru-RU"/>
              </w:rPr>
              <w:t>Категори</w:t>
            </w:r>
            <w:r>
              <w:rPr>
                <w:i w:val="0"/>
                <w:sz w:val="22"/>
                <w:szCs w:val="22"/>
                <w:lang w:val="ru-RU"/>
              </w:rPr>
              <w:t>я</w:t>
            </w:r>
          </w:p>
        </w:tc>
        <w:tc>
          <w:tcPr>
            <w:tcW w:w="7380" w:type="dxa"/>
          </w:tcPr>
          <w:p w14:paraId="1BDAD6EE" w14:textId="77777777" w:rsidR="0040765B" w:rsidRPr="002F2E09" w:rsidRDefault="0040765B" w:rsidP="005A428D">
            <w:pPr>
              <w:pStyle w:val="Table-head-italic"/>
              <w:spacing w:line="360" w:lineRule="auto"/>
              <w:rPr>
                <w:i w:val="0"/>
                <w:sz w:val="22"/>
                <w:szCs w:val="22"/>
                <w:lang w:val="ru-RU"/>
              </w:rPr>
            </w:pPr>
            <w:r>
              <w:rPr>
                <w:i w:val="0"/>
                <w:sz w:val="22"/>
                <w:szCs w:val="22"/>
                <w:lang w:val="ru-RU"/>
              </w:rPr>
              <w:t>Определение</w:t>
            </w:r>
          </w:p>
        </w:tc>
      </w:tr>
      <w:tr w:rsidR="0040765B" w:rsidRPr="004C7AAC" w14:paraId="061E08F8" w14:textId="77777777" w:rsidTr="005A428D">
        <w:tc>
          <w:tcPr>
            <w:tcW w:w="1800" w:type="dxa"/>
          </w:tcPr>
          <w:p w14:paraId="4520D82D"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0</w:t>
            </w:r>
          </w:p>
        </w:tc>
        <w:tc>
          <w:tcPr>
            <w:tcW w:w="7380" w:type="dxa"/>
          </w:tcPr>
          <w:p w14:paraId="18120387"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Реакци</w:t>
            </w:r>
            <w:r>
              <w:rPr>
                <w:sz w:val="22"/>
                <w:szCs w:val="22"/>
                <w:lang w:val="ru-RU"/>
              </w:rPr>
              <w:t>и</w:t>
            </w:r>
            <w:r w:rsidRPr="002F2E09">
              <w:rPr>
                <w:sz w:val="22"/>
                <w:szCs w:val="22"/>
                <w:lang w:val="ru-RU"/>
              </w:rPr>
              <w:t xml:space="preserve"> и осложнений нет</w:t>
            </w:r>
          </w:p>
        </w:tc>
      </w:tr>
      <w:tr w:rsidR="0040765B" w:rsidRPr="004C7AAC" w14:paraId="4968A886" w14:textId="77777777" w:rsidTr="005A428D">
        <w:tc>
          <w:tcPr>
            <w:tcW w:w="1800" w:type="dxa"/>
          </w:tcPr>
          <w:p w14:paraId="494ACB0A"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1</w:t>
            </w:r>
          </w:p>
        </w:tc>
        <w:tc>
          <w:tcPr>
            <w:tcW w:w="7380" w:type="dxa"/>
          </w:tcPr>
          <w:p w14:paraId="555C1A45"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Легкой степени: температура &lt;</w:t>
            </w:r>
            <w:r>
              <w:rPr>
                <w:sz w:val="22"/>
                <w:szCs w:val="22"/>
                <w:lang w:val="ru-RU"/>
              </w:rPr>
              <w:t> </w:t>
            </w:r>
            <w:r w:rsidRPr="002F2E09">
              <w:rPr>
                <w:sz w:val="22"/>
                <w:szCs w:val="22"/>
                <w:lang w:val="ru-RU"/>
              </w:rPr>
              <w:t>38</w:t>
            </w:r>
            <w:r w:rsidRPr="003511FE">
              <w:rPr>
                <w:rFonts w:ascii="Symbol" w:hAnsi="Symbol" w:cs="Symbol"/>
              </w:rPr>
              <w:t></w:t>
            </w:r>
            <w:r>
              <w:rPr>
                <w:sz w:val="22"/>
                <w:szCs w:val="22"/>
              </w:rPr>
              <w:t>C</w:t>
            </w:r>
            <w:r w:rsidRPr="002F2E09">
              <w:rPr>
                <w:sz w:val="22"/>
                <w:szCs w:val="22"/>
                <w:lang w:val="ru-RU"/>
              </w:rPr>
              <w:t xml:space="preserve">, другие незначительные симптомы, без долгосрочных </w:t>
            </w:r>
            <w:r>
              <w:rPr>
                <w:sz w:val="22"/>
                <w:szCs w:val="22"/>
                <w:lang w:val="ru-RU"/>
              </w:rPr>
              <w:t xml:space="preserve">патологических </w:t>
            </w:r>
            <w:r w:rsidRPr="002F2E09">
              <w:rPr>
                <w:sz w:val="22"/>
                <w:szCs w:val="22"/>
                <w:lang w:val="ru-RU"/>
              </w:rPr>
              <w:t xml:space="preserve">последствий. </w:t>
            </w:r>
            <w:r w:rsidRPr="002F2E09">
              <w:rPr>
                <w:sz w:val="22"/>
                <w:szCs w:val="22"/>
                <w:u w:val="single"/>
                <w:lang w:val="ru-RU"/>
              </w:rPr>
              <w:t>Не требует</w:t>
            </w:r>
            <w:r>
              <w:rPr>
                <w:sz w:val="22"/>
                <w:szCs w:val="22"/>
                <w:u w:val="single"/>
                <w:lang w:val="ru-RU"/>
              </w:rPr>
              <w:t xml:space="preserve"> </w:t>
            </w:r>
            <w:r w:rsidRPr="002F2E09">
              <w:rPr>
                <w:sz w:val="22"/>
                <w:szCs w:val="22"/>
                <w:u w:val="single"/>
                <w:lang w:val="ru-RU"/>
              </w:rPr>
              <w:t>терапевтического вмешательства</w:t>
            </w:r>
          </w:p>
        </w:tc>
      </w:tr>
      <w:tr w:rsidR="0040765B" w:rsidRPr="004C7AAC" w14:paraId="21112957" w14:textId="77777777" w:rsidTr="005A428D">
        <w:tc>
          <w:tcPr>
            <w:tcW w:w="1800" w:type="dxa"/>
          </w:tcPr>
          <w:p w14:paraId="4F160641"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2</w:t>
            </w:r>
          </w:p>
        </w:tc>
        <w:tc>
          <w:tcPr>
            <w:tcW w:w="7380" w:type="dxa"/>
          </w:tcPr>
          <w:p w14:paraId="1AFAC2D5"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w:t>
            </w:r>
            <w:r>
              <w:rPr>
                <w:sz w:val="22"/>
                <w:szCs w:val="22"/>
                <w:lang w:val="ru-RU"/>
              </w:rPr>
              <w:t>,</w:t>
            </w:r>
            <w:r w:rsidRPr="002F2E09">
              <w:rPr>
                <w:sz w:val="22"/>
                <w:szCs w:val="22"/>
                <w:lang w:val="ru-RU"/>
              </w:rPr>
              <w:t xml:space="preserve"> аллосенсибилизация в качестве причины рефрактерности к трансфузиям)</w:t>
            </w:r>
          </w:p>
        </w:tc>
      </w:tr>
      <w:tr w:rsidR="0040765B" w:rsidRPr="004C7AAC" w14:paraId="6D03BC7C" w14:textId="77777777" w:rsidTr="005A428D">
        <w:tc>
          <w:tcPr>
            <w:tcW w:w="1800" w:type="dxa"/>
          </w:tcPr>
          <w:p w14:paraId="2A6BBEC8"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3</w:t>
            </w:r>
          </w:p>
        </w:tc>
        <w:tc>
          <w:tcPr>
            <w:tcW w:w="7380" w:type="dxa"/>
          </w:tcPr>
          <w:p w14:paraId="0282BFC6" w14:textId="77777777" w:rsidR="0040765B" w:rsidRPr="002F2E09" w:rsidRDefault="0040765B" w:rsidP="005A428D">
            <w:pPr>
              <w:pStyle w:val="table-text-0"/>
              <w:spacing w:before="0" w:line="360" w:lineRule="auto"/>
              <w:ind w:firstLine="0"/>
              <w:rPr>
                <w:sz w:val="22"/>
                <w:szCs w:val="22"/>
                <w:lang w:val="ru-RU"/>
              </w:rPr>
            </w:pPr>
            <w:r w:rsidRPr="002F2E09">
              <w:rPr>
                <w:sz w:val="22"/>
                <w:szCs w:val="22"/>
                <w:lang w:val="ru-RU"/>
              </w:rPr>
              <w:t>Тяжелой степени (непосредственная угроза жизни реципиента): нестабильные гемодинамичес</w:t>
            </w:r>
            <w:r>
              <w:rPr>
                <w:sz w:val="22"/>
                <w:szCs w:val="22"/>
                <w:lang w:val="ru-RU"/>
              </w:rPr>
              <w:t>кие и вентиляционные показатели</w:t>
            </w:r>
          </w:p>
        </w:tc>
      </w:tr>
      <w:tr w:rsidR="0040765B" w:rsidRPr="00CA11E8" w14:paraId="01BEFFEA" w14:textId="77777777" w:rsidTr="005A428D">
        <w:tc>
          <w:tcPr>
            <w:tcW w:w="1800" w:type="dxa"/>
          </w:tcPr>
          <w:p w14:paraId="4362CBAC"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4</w:t>
            </w:r>
          </w:p>
        </w:tc>
        <w:tc>
          <w:tcPr>
            <w:tcW w:w="7380" w:type="dxa"/>
          </w:tcPr>
          <w:p w14:paraId="402C622C" w14:textId="77777777" w:rsidR="0040765B" w:rsidRPr="00CA11E8" w:rsidRDefault="0040765B" w:rsidP="005A428D">
            <w:pPr>
              <w:pStyle w:val="table-text-0"/>
              <w:spacing w:before="0" w:line="360" w:lineRule="auto"/>
              <w:ind w:firstLine="0"/>
              <w:rPr>
                <w:sz w:val="22"/>
                <w:szCs w:val="22"/>
                <w:lang w:val="ru-RU"/>
              </w:rPr>
            </w:pPr>
            <w:r w:rsidRPr="00CA11E8">
              <w:rPr>
                <w:sz w:val="22"/>
                <w:szCs w:val="22"/>
                <w:lang w:val="ru-RU"/>
              </w:rPr>
              <w:t>Смерть от осложнения, выявленного в первые 24 часов после трансфузии</w:t>
            </w:r>
          </w:p>
        </w:tc>
      </w:tr>
    </w:tbl>
    <w:p w14:paraId="176C63E4" w14:textId="77777777" w:rsidR="0040765B" w:rsidRDefault="0040765B" w:rsidP="0040765B">
      <w:pPr>
        <w:jc w:val="center"/>
        <w:rPr>
          <w:b/>
          <w:bCs/>
          <w:szCs w:val="24"/>
        </w:rPr>
      </w:pPr>
    </w:p>
    <w:p w14:paraId="3440D7EE" w14:textId="77777777" w:rsidR="0040765B" w:rsidRPr="00360841" w:rsidRDefault="0040765B" w:rsidP="0040765B">
      <w:pPr>
        <w:rPr>
          <w:bCs/>
          <w:i/>
          <w:szCs w:val="24"/>
          <w:u w:val="single"/>
        </w:rPr>
      </w:pPr>
      <w:r w:rsidRPr="00360841">
        <w:rPr>
          <w:bCs/>
          <w:i/>
          <w:szCs w:val="24"/>
          <w:u w:val="single"/>
        </w:rPr>
        <w:t>Премедикация перед проведением трансфузии компонентов донорской крови</w:t>
      </w:r>
    </w:p>
    <w:p w14:paraId="36A8957C" w14:textId="77777777" w:rsidR="0040765B" w:rsidRDefault="0040765B" w:rsidP="0040765B">
      <w:pPr>
        <w:rPr>
          <w:bCs/>
          <w:szCs w:val="24"/>
        </w:rPr>
      </w:pPr>
      <w:r>
        <w:rPr>
          <w:bCs/>
          <w:szCs w:val="24"/>
        </w:rPr>
        <w:t xml:space="preserve">Для профилактики нежелательных реакций на трансфузию при неоднократном проведении трансфузий компонентов крови может потребоваться премедикация. </w:t>
      </w:r>
      <w:r w:rsidRPr="00BC3659">
        <w:rPr>
          <w:bCs/>
          <w:szCs w:val="24"/>
        </w:rPr>
        <w:t>Алгоритм выбора премедикации перед проведением трансфузии компонентов донорской крови</w:t>
      </w:r>
      <w:r>
        <w:rPr>
          <w:bCs/>
          <w:szCs w:val="24"/>
        </w:rPr>
        <w:t xml:space="preserve"> приведен в табл.5.</w:t>
      </w:r>
    </w:p>
    <w:p w14:paraId="7C7B8F95" w14:textId="77777777" w:rsidR="0040765B" w:rsidRDefault="0040765B" w:rsidP="0040765B">
      <w:pPr>
        <w:rPr>
          <w:bCs/>
          <w:szCs w:val="24"/>
        </w:rPr>
      </w:pPr>
    </w:p>
    <w:p w14:paraId="2B4049A8" w14:textId="77777777" w:rsidR="0040765B" w:rsidRPr="00BC3659" w:rsidRDefault="0040765B" w:rsidP="0040765B">
      <w:pPr>
        <w:rPr>
          <w:bCs/>
          <w:szCs w:val="24"/>
        </w:rPr>
      </w:pPr>
      <w:r>
        <w:rPr>
          <w:bCs/>
          <w:szCs w:val="24"/>
        </w:rPr>
        <w:t>Таблица 5. В</w:t>
      </w:r>
      <w:r w:rsidRPr="00BC3659">
        <w:rPr>
          <w:bCs/>
          <w:szCs w:val="24"/>
        </w:rPr>
        <w:t>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375"/>
        <w:gridCol w:w="4202"/>
      </w:tblGrid>
      <w:tr w:rsidR="0040765B" w:rsidRPr="00915AAD" w14:paraId="2DB47303" w14:textId="77777777" w:rsidTr="005A428D">
        <w:tc>
          <w:tcPr>
            <w:tcW w:w="3208" w:type="dxa"/>
            <w:shd w:val="clear" w:color="auto" w:fill="auto"/>
          </w:tcPr>
          <w:p w14:paraId="5C5675B1" w14:textId="77777777" w:rsidR="0040765B" w:rsidRPr="007A2B03" w:rsidRDefault="0040765B" w:rsidP="0040765B">
            <w:pPr>
              <w:ind w:firstLine="0"/>
              <w:jc w:val="center"/>
              <w:rPr>
                <w:bCs/>
              </w:rPr>
            </w:pPr>
            <w:r w:rsidRPr="007A2B03">
              <w:rPr>
                <w:bCs/>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7BEDE1F6" w14:textId="77777777" w:rsidR="0040765B" w:rsidRPr="007A2B03" w:rsidRDefault="0040765B" w:rsidP="0040765B">
            <w:pPr>
              <w:ind w:firstLine="0"/>
              <w:jc w:val="center"/>
              <w:rPr>
                <w:bCs/>
              </w:rPr>
            </w:pPr>
            <w:r w:rsidRPr="007A2B03">
              <w:rPr>
                <w:bCs/>
              </w:rPr>
              <w:t>Наименование компонента донорской крови, показанного для предстоящей трансфузии</w:t>
            </w:r>
          </w:p>
        </w:tc>
        <w:tc>
          <w:tcPr>
            <w:tcW w:w="8270" w:type="dxa"/>
            <w:shd w:val="clear" w:color="auto" w:fill="auto"/>
          </w:tcPr>
          <w:p w14:paraId="70029253" w14:textId="77777777" w:rsidR="0040765B" w:rsidRPr="007A2B03" w:rsidRDefault="0040765B" w:rsidP="0040765B">
            <w:pPr>
              <w:ind w:firstLine="0"/>
              <w:jc w:val="center"/>
              <w:rPr>
                <w:bCs/>
              </w:rPr>
            </w:pPr>
            <w:r w:rsidRPr="007A2B03">
              <w:rPr>
                <w:bCs/>
              </w:rPr>
              <w:t>Премедикация перед предстоящей трансфузией</w:t>
            </w:r>
          </w:p>
        </w:tc>
      </w:tr>
      <w:tr w:rsidR="0040765B" w:rsidRPr="00915AAD" w14:paraId="50D123E8" w14:textId="77777777" w:rsidTr="005A428D">
        <w:tc>
          <w:tcPr>
            <w:tcW w:w="14560" w:type="dxa"/>
            <w:gridSpan w:val="3"/>
            <w:shd w:val="clear" w:color="auto" w:fill="auto"/>
          </w:tcPr>
          <w:p w14:paraId="7EAD137A" w14:textId="77777777" w:rsidR="0040765B" w:rsidRPr="007A2B03" w:rsidRDefault="0040765B" w:rsidP="0040765B">
            <w:pPr>
              <w:ind w:firstLine="0"/>
              <w:jc w:val="center"/>
              <w:rPr>
                <w:b/>
                <w:bCs/>
              </w:rPr>
            </w:pPr>
            <w:r w:rsidRPr="007A2B03">
              <w:rPr>
                <w:b/>
                <w:bCs/>
              </w:rPr>
              <w:t>А. Пациент без трансфузий донорской крови и/или её компонентов в анамнезе</w:t>
            </w:r>
          </w:p>
        </w:tc>
      </w:tr>
      <w:tr w:rsidR="0040765B" w:rsidRPr="00915AAD" w14:paraId="0598B5E6" w14:textId="77777777" w:rsidTr="005A428D">
        <w:tc>
          <w:tcPr>
            <w:tcW w:w="3208" w:type="dxa"/>
            <w:shd w:val="clear" w:color="auto" w:fill="auto"/>
          </w:tcPr>
          <w:p w14:paraId="025B6D67" w14:textId="77777777" w:rsidR="0040765B" w:rsidRPr="007A2B03" w:rsidRDefault="0040765B" w:rsidP="0040765B">
            <w:pPr>
              <w:ind w:firstLine="0"/>
            </w:pPr>
            <w:r w:rsidRPr="007A2B03">
              <w:t>-</w:t>
            </w:r>
          </w:p>
        </w:tc>
        <w:tc>
          <w:tcPr>
            <w:tcW w:w="3082" w:type="dxa"/>
            <w:shd w:val="clear" w:color="auto" w:fill="auto"/>
          </w:tcPr>
          <w:p w14:paraId="0880AE09"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4BA149CA"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2A924FA3" w14:textId="77777777" w:rsidTr="005A428D">
        <w:tc>
          <w:tcPr>
            <w:tcW w:w="14560" w:type="dxa"/>
            <w:gridSpan w:val="3"/>
            <w:shd w:val="clear" w:color="auto" w:fill="auto"/>
          </w:tcPr>
          <w:p w14:paraId="4E86F5D8" w14:textId="77777777" w:rsidR="0040765B" w:rsidRPr="007A2B03" w:rsidRDefault="0040765B" w:rsidP="0040765B">
            <w:pPr>
              <w:ind w:firstLine="0"/>
              <w:jc w:val="center"/>
              <w:rPr>
                <w:b/>
                <w:bCs/>
              </w:rPr>
            </w:pPr>
            <w:r w:rsidRPr="007A2B03">
              <w:rPr>
                <w:b/>
                <w:bCs/>
              </w:rPr>
              <w:t>Б. Пациент с трансфузией донорской крови и/или её компонентов без реакций или осложнений в анамнезе*</w:t>
            </w:r>
          </w:p>
        </w:tc>
      </w:tr>
      <w:tr w:rsidR="0040765B" w:rsidRPr="00915AAD" w14:paraId="275E9528" w14:textId="77777777" w:rsidTr="005A428D">
        <w:tc>
          <w:tcPr>
            <w:tcW w:w="3208" w:type="dxa"/>
            <w:shd w:val="clear" w:color="auto" w:fill="auto"/>
          </w:tcPr>
          <w:p w14:paraId="4A05F6D5" w14:textId="77777777" w:rsidR="0040765B" w:rsidRPr="007A2B03" w:rsidRDefault="0040765B" w:rsidP="0040765B">
            <w:pPr>
              <w:ind w:firstLine="0"/>
            </w:pPr>
            <w:r w:rsidRPr="007A2B03">
              <w:t>-</w:t>
            </w:r>
          </w:p>
        </w:tc>
        <w:tc>
          <w:tcPr>
            <w:tcW w:w="3082" w:type="dxa"/>
            <w:shd w:val="clear" w:color="auto" w:fill="auto"/>
          </w:tcPr>
          <w:p w14:paraId="61DB2251"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2EC06E92"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22DD7EFE" w14:textId="77777777" w:rsidTr="005A428D">
        <w:tc>
          <w:tcPr>
            <w:tcW w:w="14560" w:type="dxa"/>
            <w:gridSpan w:val="3"/>
            <w:shd w:val="clear" w:color="auto" w:fill="auto"/>
          </w:tcPr>
          <w:p w14:paraId="728CE942" w14:textId="77777777" w:rsidR="0040765B" w:rsidRPr="007A2B03" w:rsidRDefault="0040765B" w:rsidP="0040765B">
            <w:pPr>
              <w:ind w:firstLine="0"/>
              <w:jc w:val="center"/>
              <w:rPr>
                <w:b/>
                <w:bCs/>
              </w:rPr>
            </w:pPr>
            <w:r w:rsidRPr="007A2B03">
              <w:rPr>
                <w:b/>
                <w:bCs/>
              </w:rPr>
              <w:t>В. Пациент с трансфузией донорской крови и/или её компонентов с реакциями или осложнениями на в анамнезе</w:t>
            </w:r>
          </w:p>
        </w:tc>
      </w:tr>
      <w:tr w:rsidR="0040765B" w:rsidRPr="00915AAD" w14:paraId="6DF8D6BB" w14:textId="77777777" w:rsidTr="005A428D">
        <w:tc>
          <w:tcPr>
            <w:tcW w:w="14560" w:type="dxa"/>
            <w:gridSpan w:val="3"/>
            <w:shd w:val="clear" w:color="auto" w:fill="auto"/>
          </w:tcPr>
          <w:p w14:paraId="265D8D0C" w14:textId="77777777" w:rsidR="0040765B" w:rsidRPr="007A2B03" w:rsidRDefault="0040765B" w:rsidP="000768AC">
            <w:pPr>
              <w:pStyle w:val="afe"/>
              <w:numPr>
                <w:ilvl w:val="0"/>
                <w:numId w:val="79"/>
              </w:numPr>
              <w:ind w:firstLine="0"/>
              <w:rPr>
                <w:b/>
                <w:bCs/>
              </w:rPr>
            </w:pPr>
            <w:r w:rsidRPr="007A2B03">
              <w:rPr>
                <w:b/>
                <w:bCs/>
              </w:rPr>
              <w:t>Аллергические реакции (крапивница, бронхоспазм, отек Квинке, анафилактический шок и др.) в зависимости от степени тяжести</w:t>
            </w:r>
          </w:p>
        </w:tc>
      </w:tr>
      <w:tr w:rsidR="0040765B" w:rsidRPr="00915AAD" w14:paraId="14C53CE3" w14:textId="77777777" w:rsidTr="005A428D">
        <w:tc>
          <w:tcPr>
            <w:tcW w:w="3208" w:type="dxa"/>
            <w:shd w:val="clear" w:color="auto" w:fill="auto"/>
          </w:tcPr>
          <w:p w14:paraId="7E52A7CF" w14:textId="77777777" w:rsidR="0040765B" w:rsidRPr="007A2B03" w:rsidRDefault="0040765B" w:rsidP="000768AC">
            <w:pPr>
              <w:pStyle w:val="afe"/>
              <w:numPr>
                <w:ilvl w:val="0"/>
                <w:numId w:val="73"/>
              </w:numPr>
              <w:ind w:left="0" w:firstLine="0"/>
            </w:pPr>
            <w:r w:rsidRPr="007A2B03">
              <w:t>Аллергические реакции легкой степени</w:t>
            </w:r>
          </w:p>
          <w:p w14:paraId="43FCB559" w14:textId="77777777" w:rsidR="0040765B" w:rsidRPr="007A2B03" w:rsidRDefault="0040765B" w:rsidP="0040765B">
            <w:pPr>
              <w:ind w:firstLine="0"/>
            </w:pPr>
          </w:p>
        </w:tc>
        <w:tc>
          <w:tcPr>
            <w:tcW w:w="3082" w:type="dxa"/>
            <w:shd w:val="clear" w:color="auto" w:fill="auto"/>
          </w:tcPr>
          <w:p w14:paraId="50C5E8A1"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537A4566"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6FBCA3CD" w14:textId="77777777" w:rsidTr="005A428D">
        <w:tc>
          <w:tcPr>
            <w:tcW w:w="3208" w:type="dxa"/>
            <w:vMerge w:val="restart"/>
            <w:shd w:val="clear" w:color="auto" w:fill="auto"/>
          </w:tcPr>
          <w:p w14:paraId="6DBD9A57" w14:textId="77777777" w:rsidR="0040765B" w:rsidRPr="007A2B03" w:rsidRDefault="0040765B" w:rsidP="000768AC">
            <w:pPr>
              <w:pStyle w:val="afe"/>
              <w:numPr>
                <w:ilvl w:val="0"/>
                <w:numId w:val="73"/>
              </w:numPr>
              <w:ind w:left="0" w:firstLine="0"/>
            </w:pPr>
            <w:r w:rsidRPr="007A2B03">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1DD6FF8E" w14:textId="77777777" w:rsidR="0040765B" w:rsidRPr="007A2B03" w:rsidRDefault="0040765B" w:rsidP="0040765B">
            <w:pPr>
              <w:ind w:firstLine="0"/>
            </w:pPr>
            <w:r w:rsidRPr="007A2B03">
              <w:t>Компонент донорской крови, вызвавший реакцию ранее</w:t>
            </w:r>
          </w:p>
        </w:tc>
        <w:tc>
          <w:tcPr>
            <w:tcW w:w="8270" w:type="dxa"/>
            <w:shd w:val="clear" w:color="auto" w:fill="auto"/>
          </w:tcPr>
          <w:p w14:paraId="5C16BF7A"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40765B" w:rsidRPr="00915AAD" w14:paraId="49AF03FB" w14:textId="77777777" w:rsidTr="005A428D">
        <w:tc>
          <w:tcPr>
            <w:tcW w:w="3208" w:type="dxa"/>
            <w:vMerge/>
            <w:shd w:val="clear" w:color="auto" w:fill="auto"/>
          </w:tcPr>
          <w:p w14:paraId="32E4F2AC" w14:textId="77777777" w:rsidR="0040765B" w:rsidRPr="007A2B03" w:rsidRDefault="0040765B" w:rsidP="000768AC">
            <w:pPr>
              <w:pStyle w:val="afe"/>
              <w:numPr>
                <w:ilvl w:val="0"/>
                <w:numId w:val="73"/>
              </w:numPr>
              <w:ind w:left="0" w:firstLine="0"/>
            </w:pPr>
          </w:p>
        </w:tc>
        <w:tc>
          <w:tcPr>
            <w:tcW w:w="3082" w:type="dxa"/>
            <w:shd w:val="clear" w:color="auto" w:fill="auto"/>
          </w:tcPr>
          <w:p w14:paraId="143E8C6D" w14:textId="77777777" w:rsidR="0040765B" w:rsidRPr="007A2B03" w:rsidRDefault="0040765B" w:rsidP="0040765B">
            <w:pPr>
              <w:ind w:firstLine="0"/>
            </w:pPr>
            <w:r w:rsidRPr="007A2B03">
              <w:t>Другие компоненты донорской крови (не вызывавшие реакции ранее)</w:t>
            </w:r>
          </w:p>
        </w:tc>
        <w:tc>
          <w:tcPr>
            <w:tcW w:w="8270" w:type="dxa"/>
            <w:shd w:val="clear" w:color="auto" w:fill="auto"/>
          </w:tcPr>
          <w:p w14:paraId="3E9DE034"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3C19ECF7" w14:textId="77777777" w:rsidTr="005A428D">
        <w:tc>
          <w:tcPr>
            <w:tcW w:w="3208" w:type="dxa"/>
            <w:shd w:val="clear" w:color="auto" w:fill="auto"/>
          </w:tcPr>
          <w:p w14:paraId="5A388CE6" w14:textId="77777777" w:rsidR="0040765B" w:rsidRPr="007A2B03" w:rsidRDefault="0040765B" w:rsidP="000768AC">
            <w:pPr>
              <w:pStyle w:val="afe"/>
              <w:numPr>
                <w:ilvl w:val="0"/>
                <w:numId w:val="73"/>
              </w:numPr>
              <w:ind w:left="0" w:firstLine="0"/>
            </w:pPr>
            <w:r w:rsidRPr="007A2B03">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46822FCB"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0B70493A"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6DB5FEAC" w14:textId="77777777" w:rsidR="0040765B" w:rsidRPr="007A2B03" w:rsidRDefault="0040765B" w:rsidP="0040765B">
            <w:pPr>
              <w:pStyle w:val="afe"/>
              <w:ind w:left="0" w:firstLine="0"/>
            </w:pPr>
            <w:r w:rsidRPr="007A2B03">
              <w:t>Возможно разовое применение глюкокортикостероидов**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p w14:paraId="79F80D0F" w14:textId="77777777" w:rsidR="0040765B" w:rsidRPr="007A2B03" w:rsidRDefault="0040765B" w:rsidP="0040765B">
            <w:pPr>
              <w:ind w:firstLine="0"/>
            </w:pPr>
            <w:r w:rsidRPr="007A2B03">
              <w:t>Уменьшение скорости трансфузии.</w:t>
            </w:r>
          </w:p>
        </w:tc>
      </w:tr>
      <w:tr w:rsidR="0040765B" w:rsidRPr="00915AAD" w14:paraId="477F6BEC" w14:textId="77777777" w:rsidTr="005A428D">
        <w:tc>
          <w:tcPr>
            <w:tcW w:w="14560" w:type="dxa"/>
            <w:gridSpan w:val="3"/>
            <w:shd w:val="clear" w:color="auto" w:fill="auto"/>
          </w:tcPr>
          <w:p w14:paraId="49A48497" w14:textId="77777777" w:rsidR="0040765B" w:rsidRPr="007A2B03" w:rsidRDefault="0040765B" w:rsidP="000768AC">
            <w:pPr>
              <w:pStyle w:val="afe"/>
              <w:numPr>
                <w:ilvl w:val="0"/>
                <w:numId w:val="78"/>
              </w:numPr>
              <w:ind w:firstLine="0"/>
              <w:jc w:val="center"/>
              <w:rPr>
                <w:b/>
                <w:bCs/>
              </w:rPr>
            </w:pPr>
            <w:r w:rsidRPr="007A2B03">
              <w:rPr>
                <w:b/>
                <w:bCs/>
              </w:rPr>
              <w:t>Однократная гипертермическая фебрильная негемолитическая реакция (ФНР) в анамнезе</w:t>
            </w:r>
          </w:p>
        </w:tc>
      </w:tr>
      <w:tr w:rsidR="0040765B" w:rsidRPr="00915AAD" w14:paraId="2EE82B5E" w14:textId="77777777" w:rsidTr="005A428D">
        <w:tc>
          <w:tcPr>
            <w:tcW w:w="3208" w:type="dxa"/>
            <w:shd w:val="clear" w:color="auto" w:fill="auto"/>
          </w:tcPr>
          <w:p w14:paraId="7E5C191E" w14:textId="77777777" w:rsidR="0040765B" w:rsidRPr="007A2B03" w:rsidRDefault="0040765B" w:rsidP="000768AC">
            <w:pPr>
              <w:pStyle w:val="afe"/>
              <w:numPr>
                <w:ilvl w:val="0"/>
                <w:numId w:val="73"/>
              </w:numPr>
              <w:ind w:left="0" w:firstLine="0"/>
            </w:pPr>
            <w:r w:rsidRPr="007A2B03">
              <w:t>Однократная ФНР в анамнезе</w:t>
            </w:r>
          </w:p>
        </w:tc>
        <w:tc>
          <w:tcPr>
            <w:tcW w:w="3082" w:type="dxa"/>
            <w:shd w:val="clear" w:color="auto" w:fill="auto"/>
          </w:tcPr>
          <w:p w14:paraId="2E3C92AE"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64D3DD93"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41AFB1EA" w14:textId="77777777" w:rsidTr="005A428D">
        <w:tc>
          <w:tcPr>
            <w:tcW w:w="14560" w:type="dxa"/>
            <w:gridSpan w:val="3"/>
            <w:shd w:val="clear" w:color="auto" w:fill="auto"/>
          </w:tcPr>
          <w:p w14:paraId="1BD47C42" w14:textId="77777777" w:rsidR="0040765B" w:rsidRPr="007A2B03" w:rsidRDefault="0040765B" w:rsidP="000768AC">
            <w:pPr>
              <w:pStyle w:val="afe"/>
              <w:numPr>
                <w:ilvl w:val="0"/>
                <w:numId w:val="78"/>
              </w:numPr>
              <w:ind w:firstLine="0"/>
              <w:jc w:val="center"/>
              <w:rPr>
                <w:b/>
                <w:bCs/>
              </w:rPr>
            </w:pPr>
            <w:r w:rsidRPr="007A2B03">
              <w:rPr>
                <w:b/>
                <w:bCs/>
              </w:rPr>
              <w:t>Многократные (≥2) гипертермические фебрильные негемолитические реакции (ФНР) в анамнезе</w:t>
            </w:r>
          </w:p>
        </w:tc>
      </w:tr>
      <w:tr w:rsidR="0040765B" w:rsidRPr="00915AAD" w14:paraId="4AF2C849" w14:textId="77777777" w:rsidTr="005A428D">
        <w:tc>
          <w:tcPr>
            <w:tcW w:w="3208" w:type="dxa"/>
            <w:vMerge w:val="restart"/>
            <w:shd w:val="clear" w:color="auto" w:fill="auto"/>
          </w:tcPr>
          <w:p w14:paraId="0C4931DB" w14:textId="77777777" w:rsidR="0040765B" w:rsidRPr="007A2B03" w:rsidRDefault="0040765B" w:rsidP="000768AC">
            <w:pPr>
              <w:pStyle w:val="afe"/>
              <w:numPr>
                <w:ilvl w:val="0"/>
                <w:numId w:val="75"/>
              </w:numPr>
              <w:ind w:left="0" w:firstLine="0"/>
            </w:pPr>
            <w:r w:rsidRPr="007A2B03">
              <w:t>Протекающие без потрясающего озноба</w:t>
            </w:r>
          </w:p>
        </w:tc>
        <w:tc>
          <w:tcPr>
            <w:tcW w:w="3082" w:type="dxa"/>
            <w:shd w:val="clear" w:color="auto" w:fill="auto"/>
          </w:tcPr>
          <w:p w14:paraId="6F0A5BD9" w14:textId="77777777" w:rsidR="0040765B" w:rsidRPr="007A2B03" w:rsidRDefault="0040765B" w:rsidP="0040765B">
            <w:pPr>
              <w:ind w:firstLine="0"/>
            </w:pPr>
            <w:r w:rsidRPr="007A2B03">
              <w:t>Компонент донорской крови, вызвавший реакцию ранее</w:t>
            </w:r>
          </w:p>
        </w:tc>
        <w:tc>
          <w:tcPr>
            <w:tcW w:w="8270" w:type="dxa"/>
            <w:shd w:val="clear" w:color="auto" w:fill="auto"/>
          </w:tcPr>
          <w:p w14:paraId="7B7283FF"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733ECAB0" w14:textId="77777777" w:rsidR="0040765B" w:rsidRPr="007A2B03" w:rsidRDefault="0040765B" w:rsidP="0040765B">
            <w:pPr>
              <w:ind w:firstLine="0"/>
            </w:pPr>
            <w:r w:rsidRPr="007A2B03">
              <w:t>При сохраняющихся ФНР, несмотря на добавление антигистаминных препаратов, дополнительно за 60 минут до трансфузии ввести 250-650 мг парацетамола в 250 мл 0,9% раствора NaC</w:t>
            </w:r>
            <w:r w:rsidRPr="007A2B03">
              <w:rPr>
                <w:lang w:val="en-US"/>
              </w:rPr>
              <w:t>l</w:t>
            </w:r>
            <w:r w:rsidRPr="007A2B03">
              <w:t xml:space="preserve"> в/в капельно (не рекомендовано у пациентов с нейтропенией, глубокой тромбоцитопенией).</w:t>
            </w:r>
          </w:p>
        </w:tc>
      </w:tr>
      <w:tr w:rsidR="0040765B" w:rsidRPr="00915AAD" w14:paraId="55F2968C" w14:textId="77777777" w:rsidTr="005A428D">
        <w:tc>
          <w:tcPr>
            <w:tcW w:w="3208" w:type="dxa"/>
            <w:vMerge/>
            <w:shd w:val="clear" w:color="auto" w:fill="auto"/>
          </w:tcPr>
          <w:p w14:paraId="5EFA6638" w14:textId="77777777" w:rsidR="0040765B" w:rsidRPr="007A2B03" w:rsidRDefault="0040765B" w:rsidP="000768AC">
            <w:pPr>
              <w:pStyle w:val="afe"/>
              <w:numPr>
                <w:ilvl w:val="0"/>
                <w:numId w:val="75"/>
              </w:numPr>
              <w:ind w:left="0" w:firstLine="0"/>
            </w:pPr>
          </w:p>
        </w:tc>
        <w:tc>
          <w:tcPr>
            <w:tcW w:w="3082" w:type="dxa"/>
            <w:shd w:val="clear" w:color="auto" w:fill="auto"/>
          </w:tcPr>
          <w:p w14:paraId="47305A0B" w14:textId="77777777" w:rsidR="0040765B" w:rsidRPr="007A2B03" w:rsidRDefault="0040765B" w:rsidP="0040765B">
            <w:pPr>
              <w:ind w:firstLine="0"/>
            </w:pPr>
            <w:r w:rsidRPr="007A2B03">
              <w:t>Другие компоненты донорской крови (не вызывавшие реакции ранее)</w:t>
            </w:r>
          </w:p>
        </w:tc>
        <w:tc>
          <w:tcPr>
            <w:tcW w:w="8270" w:type="dxa"/>
            <w:shd w:val="clear" w:color="auto" w:fill="auto"/>
          </w:tcPr>
          <w:p w14:paraId="24FB40D3"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2A71D079" w14:textId="77777777" w:rsidTr="005A428D">
        <w:tc>
          <w:tcPr>
            <w:tcW w:w="3208" w:type="dxa"/>
            <w:vMerge w:val="restart"/>
            <w:shd w:val="clear" w:color="auto" w:fill="auto"/>
          </w:tcPr>
          <w:p w14:paraId="56866607" w14:textId="77777777" w:rsidR="0040765B" w:rsidRPr="007A2B03" w:rsidRDefault="0040765B" w:rsidP="000768AC">
            <w:pPr>
              <w:pStyle w:val="afe"/>
              <w:numPr>
                <w:ilvl w:val="0"/>
                <w:numId w:val="75"/>
              </w:numPr>
              <w:ind w:left="0" w:firstLine="0"/>
            </w:pPr>
            <w:r w:rsidRPr="007A2B03">
              <w:t>Протекающие с потрясающим ознобом</w:t>
            </w:r>
          </w:p>
        </w:tc>
        <w:tc>
          <w:tcPr>
            <w:tcW w:w="3082" w:type="dxa"/>
            <w:shd w:val="clear" w:color="auto" w:fill="auto"/>
          </w:tcPr>
          <w:p w14:paraId="7D050D54" w14:textId="77777777" w:rsidR="0040765B" w:rsidRPr="007A2B03" w:rsidRDefault="0040765B" w:rsidP="0040765B">
            <w:pPr>
              <w:ind w:firstLine="0"/>
            </w:pPr>
            <w:r w:rsidRPr="007A2B03">
              <w:t>Компонент донорской крови, вызвавший реакцию ранее</w:t>
            </w:r>
          </w:p>
        </w:tc>
        <w:tc>
          <w:tcPr>
            <w:tcW w:w="8270" w:type="dxa"/>
            <w:shd w:val="clear" w:color="auto" w:fill="auto"/>
          </w:tcPr>
          <w:p w14:paraId="45DD5A35"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 В случае сохранения тяжелых реакций возможно дополнительное введение 0,5-1 мл 2% промедола в 100 мл 0,9% раствора NaC</w:t>
            </w:r>
            <w:r w:rsidRPr="007A2B03">
              <w:rPr>
                <w:lang w:val="en-US"/>
              </w:rPr>
              <w:t>l</w:t>
            </w:r>
            <w:r w:rsidRPr="007A2B03">
              <w:t xml:space="preserve"> в/в капельно (до или параллельно с трансфузией).</w:t>
            </w:r>
          </w:p>
          <w:p w14:paraId="57DA857C" w14:textId="77777777" w:rsidR="0040765B" w:rsidRPr="007A2B03" w:rsidRDefault="0040765B" w:rsidP="0040765B">
            <w:pPr>
              <w:pStyle w:val="afe"/>
              <w:ind w:left="0" w:firstLine="0"/>
            </w:pPr>
            <w:r w:rsidRPr="007A2B03">
              <w:t>Возможно разовое применение глюкокортикостероидов**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p w14:paraId="753FC4E7" w14:textId="77777777" w:rsidR="0040765B" w:rsidRPr="007A2B03" w:rsidRDefault="0040765B" w:rsidP="0040765B">
            <w:pPr>
              <w:ind w:firstLine="0"/>
            </w:pPr>
            <w:r w:rsidRPr="007A2B03">
              <w:t>Уменьшение скорости трансфузии.</w:t>
            </w:r>
          </w:p>
        </w:tc>
      </w:tr>
      <w:tr w:rsidR="0040765B" w:rsidRPr="00915AAD" w14:paraId="3FA52117" w14:textId="77777777" w:rsidTr="005A428D">
        <w:tc>
          <w:tcPr>
            <w:tcW w:w="3208" w:type="dxa"/>
            <w:vMerge/>
            <w:shd w:val="clear" w:color="auto" w:fill="auto"/>
          </w:tcPr>
          <w:p w14:paraId="6B5783DA" w14:textId="77777777" w:rsidR="0040765B" w:rsidRPr="007A2B03" w:rsidRDefault="0040765B" w:rsidP="000768AC">
            <w:pPr>
              <w:pStyle w:val="afe"/>
              <w:numPr>
                <w:ilvl w:val="0"/>
                <w:numId w:val="75"/>
              </w:numPr>
              <w:ind w:left="0" w:firstLine="0"/>
            </w:pPr>
          </w:p>
        </w:tc>
        <w:tc>
          <w:tcPr>
            <w:tcW w:w="3082" w:type="dxa"/>
            <w:shd w:val="clear" w:color="auto" w:fill="auto"/>
          </w:tcPr>
          <w:p w14:paraId="176A307E" w14:textId="77777777" w:rsidR="0040765B" w:rsidRPr="007A2B03" w:rsidRDefault="0040765B" w:rsidP="0040765B">
            <w:pPr>
              <w:ind w:firstLine="0"/>
            </w:pPr>
            <w:r w:rsidRPr="007A2B03">
              <w:t>Другие компоненты донорской крови (не вызывавшие реакции ранее)</w:t>
            </w:r>
          </w:p>
        </w:tc>
        <w:tc>
          <w:tcPr>
            <w:tcW w:w="8270" w:type="dxa"/>
            <w:shd w:val="clear" w:color="auto" w:fill="auto"/>
          </w:tcPr>
          <w:p w14:paraId="5FD313A2"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40765B" w:rsidRPr="00915AAD" w14:paraId="0359DECD" w14:textId="77777777" w:rsidTr="005A428D">
        <w:tc>
          <w:tcPr>
            <w:tcW w:w="14560" w:type="dxa"/>
            <w:gridSpan w:val="3"/>
            <w:shd w:val="clear" w:color="auto" w:fill="auto"/>
          </w:tcPr>
          <w:p w14:paraId="3CF35722" w14:textId="77777777" w:rsidR="0040765B" w:rsidRPr="007A2B03" w:rsidRDefault="0040765B" w:rsidP="000768AC">
            <w:pPr>
              <w:pStyle w:val="afe"/>
              <w:numPr>
                <w:ilvl w:val="0"/>
                <w:numId w:val="78"/>
              </w:numPr>
              <w:ind w:firstLine="0"/>
              <w:jc w:val="center"/>
              <w:rPr>
                <w:b/>
                <w:bCs/>
              </w:rPr>
            </w:pPr>
            <w:r w:rsidRPr="007A2B03">
              <w:rPr>
                <w:b/>
                <w:bCs/>
              </w:rPr>
              <w:t>Отсроченная серологическая трансфузионная реакция:</w:t>
            </w:r>
          </w:p>
          <w:p w14:paraId="5E627CC8" w14:textId="77777777" w:rsidR="0040765B" w:rsidRPr="007A2B03" w:rsidRDefault="0040765B" w:rsidP="0040765B">
            <w:pPr>
              <w:ind w:left="360" w:firstLine="0"/>
              <w:rPr>
                <w:b/>
                <w:bCs/>
              </w:rPr>
            </w:pPr>
            <w:r w:rsidRPr="007A2B03">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40765B" w:rsidRPr="00915AAD" w14:paraId="171B6ADC" w14:textId="77777777" w:rsidTr="005A428D">
        <w:tc>
          <w:tcPr>
            <w:tcW w:w="3208" w:type="dxa"/>
            <w:shd w:val="clear" w:color="auto" w:fill="auto"/>
          </w:tcPr>
          <w:p w14:paraId="29C4FF4B" w14:textId="77777777" w:rsidR="0040765B" w:rsidRPr="007A2B03" w:rsidRDefault="0040765B" w:rsidP="0040765B">
            <w:pPr>
              <w:ind w:firstLine="0"/>
            </w:pPr>
            <w:r w:rsidRPr="007A2B03">
              <w:t xml:space="preserve">Отсроченная серологическая трансфузионная реакция </w:t>
            </w:r>
          </w:p>
        </w:tc>
        <w:tc>
          <w:tcPr>
            <w:tcW w:w="3082" w:type="dxa"/>
            <w:shd w:val="clear" w:color="auto" w:fill="auto"/>
          </w:tcPr>
          <w:p w14:paraId="0582A928"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00A00CE5"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3CAEFEC5" w14:textId="77777777" w:rsidTr="005A428D">
        <w:tc>
          <w:tcPr>
            <w:tcW w:w="14560" w:type="dxa"/>
            <w:gridSpan w:val="3"/>
            <w:shd w:val="clear" w:color="auto" w:fill="auto"/>
          </w:tcPr>
          <w:p w14:paraId="11DF4035" w14:textId="77777777" w:rsidR="0040765B" w:rsidRPr="007A2B03" w:rsidRDefault="0040765B" w:rsidP="000768AC">
            <w:pPr>
              <w:pStyle w:val="afe"/>
              <w:numPr>
                <w:ilvl w:val="0"/>
                <w:numId w:val="78"/>
              </w:numPr>
              <w:ind w:firstLine="0"/>
              <w:jc w:val="center"/>
              <w:rPr>
                <w:b/>
                <w:bCs/>
              </w:rPr>
            </w:pPr>
            <w:r w:rsidRPr="007A2B03">
              <w:rPr>
                <w:b/>
                <w:bCs/>
              </w:rPr>
              <w:t>Острый или отсроченный иммунный гемолиз</w:t>
            </w:r>
          </w:p>
        </w:tc>
      </w:tr>
      <w:tr w:rsidR="0040765B" w:rsidRPr="00915AAD" w14:paraId="4E356C25" w14:textId="77777777" w:rsidTr="005A428D">
        <w:tc>
          <w:tcPr>
            <w:tcW w:w="3208" w:type="dxa"/>
            <w:shd w:val="clear" w:color="auto" w:fill="auto"/>
          </w:tcPr>
          <w:p w14:paraId="20708EAB" w14:textId="77777777" w:rsidR="0040765B" w:rsidRPr="007A2B03" w:rsidRDefault="0040765B" w:rsidP="000768AC">
            <w:pPr>
              <w:pStyle w:val="afe"/>
              <w:numPr>
                <w:ilvl w:val="0"/>
                <w:numId w:val="76"/>
              </w:numPr>
              <w:ind w:left="0" w:firstLine="0"/>
            </w:pPr>
            <w:r w:rsidRPr="007A2B03">
              <w:t>Гемолиз в анамнезе (клинических признаков гемолиза в настоящее время нет)</w:t>
            </w:r>
          </w:p>
        </w:tc>
        <w:tc>
          <w:tcPr>
            <w:tcW w:w="3082" w:type="dxa"/>
            <w:shd w:val="clear" w:color="auto" w:fill="auto"/>
          </w:tcPr>
          <w:p w14:paraId="191DEFAB"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2C8039C8"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31F044BB" w14:textId="77777777" w:rsidTr="005A428D">
        <w:tc>
          <w:tcPr>
            <w:tcW w:w="3208" w:type="dxa"/>
            <w:vMerge w:val="restart"/>
            <w:shd w:val="clear" w:color="auto" w:fill="auto"/>
          </w:tcPr>
          <w:p w14:paraId="7282B402" w14:textId="77777777" w:rsidR="0040765B" w:rsidRPr="007A2B03" w:rsidRDefault="0040765B" w:rsidP="000768AC">
            <w:pPr>
              <w:pStyle w:val="afe"/>
              <w:numPr>
                <w:ilvl w:val="0"/>
                <w:numId w:val="76"/>
              </w:numPr>
              <w:ind w:left="0" w:firstLine="0"/>
            </w:pPr>
            <w:r w:rsidRPr="007A2B03">
              <w:t>Активный гемолиз (признаки гемолиза сохраняются)</w:t>
            </w:r>
          </w:p>
        </w:tc>
        <w:tc>
          <w:tcPr>
            <w:tcW w:w="3082" w:type="dxa"/>
            <w:shd w:val="clear" w:color="auto" w:fill="auto"/>
          </w:tcPr>
          <w:p w14:paraId="1B40B880" w14:textId="77777777" w:rsidR="0040765B" w:rsidRPr="007A2B03" w:rsidRDefault="0040765B" w:rsidP="0040765B">
            <w:pPr>
              <w:ind w:firstLine="0"/>
            </w:pPr>
            <w:r w:rsidRPr="007A2B03">
              <w:t>Эритроцитсодержащие компоненты донорской крови</w:t>
            </w:r>
          </w:p>
        </w:tc>
        <w:tc>
          <w:tcPr>
            <w:tcW w:w="8270" w:type="dxa"/>
            <w:shd w:val="clear" w:color="auto" w:fill="auto"/>
          </w:tcPr>
          <w:p w14:paraId="1CF2BF13" w14:textId="77777777" w:rsidR="0040765B" w:rsidRPr="007A2B03" w:rsidRDefault="0040765B" w:rsidP="0040765B">
            <w:pPr>
              <w:ind w:firstLine="0"/>
            </w:pPr>
            <w:r w:rsidRPr="007A2B03">
              <w:t>10 мл 10% кальция глюконата в 250-500 мл 0,9% раствора NaC</w:t>
            </w:r>
            <w:r w:rsidRPr="007A2B03">
              <w:rPr>
                <w:lang w:val="en-US"/>
              </w:rPr>
              <w:t>l</w:t>
            </w:r>
            <w:r w:rsidRPr="007A2B03">
              <w:t xml:space="preserve"> в/в капельно.</w:t>
            </w:r>
          </w:p>
          <w:p w14:paraId="2798F4B3" w14:textId="77777777" w:rsidR="0040765B" w:rsidRPr="007A2B03" w:rsidRDefault="0040765B" w:rsidP="0040765B">
            <w:pPr>
              <w:ind w:firstLine="0"/>
            </w:pPr>
            <w:r w:rsidRPr="007A2B03">
              <w:t>При высоком риске дальнейшего усиления иммунного гемолиза следует индивидуально рассмотреть возможность введения глюкокортикостероидов**, ритуксимаба.</w:t>
            </w:r>
          </w:p>
        </w:tc>
      </w:tr>
      <w:tr w:rsidR="0040765B" w:rsidRPr="00915AAD" w14:paraId="3F075C2A" w14:textId="77777777" w:rsidTr="005A428D">
        <w:tc>
          <w:tcPr>
            <w:tcW w:w="3208" w:type="dxa"/>
            <w:vMerge/>
            <w:shd w:val="clear" w:color="auto" w:fill="auto"/>
          </w:tcPr>
          <w:p w14:paraId="69897B45" w14:textId="77777777" w:rsidR="0040765B" w:rsidRPr="007A2B03" w:rsidRDefault="0040765B" w:rsidP="0040765B">
            <w:pPr>
              <w:ind w:firstLine="0"/>
            </w:pPr>
          </w:p>
        </w:tc>
        <w:tc>
          <w:tcPr>
            <w:tcW w:w="3082" w:type="dxa"/>
            <w:shd w:val="clear" w:color="auto" w:fill="auto"/>
          </w:tcPr>
          <w:p w14:paraId="5A4AEEE4" w14:textId="77777777" w:rsidR="0040765B" w:rsidRPr="007A2B03" w:rsidRDefault="0040765B" w:rsidP="0040765B">
            <w:pPr>
              <w:ind w:firstLine="0"/>
            </w:pPr>
            <w:r w:rsidRPr="007A2B03">
              <w:t>Концентрат тромбоцитов, свежезамороженная плазма, криопреципитат, криосупернатант</w:t>
            </w:r>
          </w:p>
        </w:tc>
        <w:tc>
          <w:tcPr>
            <w:tcW w:w="8270" w:type="dxa"/>
            <w:shd w:val="clear" w:color="auto" w:fill="auto"/>
          </w:tcPr>
          <w:p w14:paraId="07BB7F17" w14:textId="77777777" w:rsidR="0040765B" w:rsidRPr="007A2B03" w:rsidRDefault="0040765B" w:rsidP="0040765B">
            <w:pPr>
              <w:ind w:firstLine="0"/>
            </w:pPr>
            <w:r w:rsidRPr="007A2B03">
              <w:t>10 мл 10% кальция глюконата в 500 мл 0,9% раствора NaC</w:t>
            </w:r>
            <w:r w:rsidRPr="007A2B03">
              <w:rPr>
                <w:lang w:val="en-US"/>
              </w:rPr>
              <w:t>l</w:t>
            </w:r>
            <w:r w:rsidRPr="007A2B03">
              <w:t xml:space="preserve"> в/в капельно</w:t>
            </w:r>
          </w:p>
        </w:tc>
      </w:tr>
      <w:tr w:rsidR="0040765B" w:rsidRPr="00915AAD" w14:paraId="5633B4E7" w14:textId="77777777" w:rsidTr="005A428D">
        <w:tc>
          <w:tcPr>
            <w:tcW w:w="14560" w:type="dxa"/>
            <w:gridSpan w:val="3"/>
            <w:shd w:val="clear" w:color="auto" w:fill="auto"/>
          </w:tcPr>
          <w:p w14:paraId="186783B0" w14:textId="77777777" w:rsidR="0040765B" w:rsidRPr="007A2B03" w:rsidRDefault="0040765B" w:rsidP="000768AC">
            <w:pPr>
              <w:pStyle w:val="afe"/>
              <w:numPr>
                <w:ilvl w:val="0"/>
                <w:numId w:val="78"/>
              </w:numPr>
              <w:ind w:firstLine="0"/>
              <w:jc w:val="center"/>
              <w:rPr>
                <w:b/>
                <w:bCs/>
              </w:rPr>
            </w:pPr>
            <w:r w:rsidRPr="007A2B03">
              <w:rPr>
                <w:b/>
                <w:bCs/>
              </w:rPr>
              <w:t>Посттрансфузионная болезнь «трансплантат против хозяина»</w:t>
            </w:r>
          </w:p>
        </w:tc>
      </w:tr>
      <w:tr w:rsidR="0040765B" w:rsidRPr="00915AAD" w14:paraId="5C48DCE5" w14:textId="77777777" w:rsidTr="005A428D">
        <w:tc>
          <w:tcPr>
            <w:tcW w:w="3208" w:type="dxa"/>
            <w:shd w:val="clear" w:color="auto" w:fill="auto"/>
          </w:tcPr>
          <w:p w14:paraId="18AFE414" w14:textId="77777777" w:rsidR="0040765B" w:rsidRPr="007A2B03" w:rsidRDefault="0040765B" w:rsidP="0040765B">
            <w:pPr>
              <w:ind w:firstLine="0"/>
            </w:pPr>
            <w:r w:rsidRPr="007A2B03">
              <w:t>Посттрансфузионная болезнь «трансплантат против хозяина»</w:t>
            </w:r>
          </w:p>
        </w:tc>
        <w:tc>
          <w:tcPr>
            <w:tcW w:w="3082" w:type="dxa"/>
            <w:shd w:val="clear" w:color="auto" w:fill="auto"/>
          </w:tcPr>
          <w:p w14:paraId="2ECD84CB" w14:textId="77777777" w:rsidR="0040765B" w:rsidRPr="007A2B03" w:rsidRDefault="0040765B" w:rsidP="0040765B">
            <w:pPr>
              <w:ind w:firstLine="0"/>
            </w:pPr>
            <w:r w:rsidRPr="007A2B03">
              <w:t>Любой компонент донорской крови</w:t>
            </w:r>
          </w:p>
        </w:tc>
        <w:tc>
          <w:tcPr>
            <w:tcW w:w="8270" w:type="dxa"/>
            <w:shd w:val="clear" w:color="auto" w:fill="auto"/>
          </w:tcPr>
          <w:p w14:paraId="1D6C3C0F"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40765B" w:rsidRPr="00915AAD" w14:paraId="19566F6A" w14:textId="77777777" w:rsidTr="005A428D">
        <w:tc>
          <w:tcPr>
            <w:tcW w:w="14560" w:type="dxa"/>
            <w:gridSpan w:val="3"/>
            <w:shd w:val="clear" w:color="auto" w:fill="auto"/>
          </w:tcPr>
          <w:p w14:paraId="724F2809" w14:textId="77777777" w:rsidR="0040765B" w:rsidRPr="007A2B03" w:rsidRDefault="0040765B" w:rsidP="000768AC">
            <w:pPr>
              <w:pStyle w:val="afe"/>
              <w:numPr>
                <w:ilvl w:val="0"/>
                <w:numId w:val="78"/>
              </w:numPr>
              <w:ind w:firstLine="0"/>
              <w:jc w:val="center"/>
              <w:rPr>
                <w:b/>
                <w:bCs/>
              </w:rPr>
            </w:pPr>
            <w:r w:rsidRPr="007A2B03">
              <w:rPr>
                <w:b/>
                <w:bCs/>
              </w:rPr>
              <w:t xml:space="preserve">Посттрансфузионная пурпура: </w:t>
            </w:r>
          </w:p>
          <w:p w14:paraId="61BFE238" w14:textId="77777777" w:rsidR="0040765B" w:rsidRPr="007A2B03" w:rsidRDefault="0040765B" w:rsidP="0040765B">
            <w:pPr>
              <w:ind w:firstLine="0"/>
              <w:rPr>
                <w:b/>
                <w:bCs/>
              </w:rPr>
            </w:pPr>
            <w:r w:rsidRPr="007A2B03">
              <w:t>наличие антилейкоцитарных и (или) специфических антитромбоцитарных антител, рефрактерность к трансфузиям тромбоцитсодержащих сред</w:t>
            </w:r>
          </w:p>
        </w:tc>
      </w:tr>
      <w:tr w:rsidR="0040765B" w:rsidRPr="00915AAD" w14:paraId="19720276" w14:textId="77777777" w:rsidTr="005A428D">
        <w:tc>
          <w:tcPr>
            <w:tcW w:w="3208" w:type="dxa"/>
            <w:vMerge w:val="restart"/>
            <w:shd w:val="clear" w:color="auto" w:fill="auto"/>
          </w:tcPr>
          <w:p w14:paraId="23FCECA8" w14:textId="77777777" w:rsidR="0040765B" w:rsidRPr="007A2B03" w:rsidRDefault="0040765B" w:rsidP="0040765B">
            <w:pPr>
              <w:ind w:firstLine="0"/>
            </w:pPr>
            <w:r w:rsidRPr="007A2B03">
              <w:t xml:space="preserve">Посттрансфузионная пурпура </w:t>
            </w:r>
          </w:p>
        </w:tc>
        <w:tc>
          <w:tcPr>
            <w:tcW w:w="3082" w:type="dxa"/>
            <w:shd w:val="clear" w:color="auto" w:fill="auto"/>
          </w:tcPr>
          <w:p w14:paraId="390FB6E2" w14:textId="77777777" w:rsidR="0040765B" w:rsidRPr="007A2B03" w:rsidRDefault="0040765B" w:rsidP="0040765B">
            <w:pPr>
              <w:ind w:firstLine="0"/>
            </w:pPr>
            <w:r w:rsidRPr="007A2B03">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2AE7CB61"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40765B" w:rsidRPr="00915AAD" w14:paraId="2211E701" w14:textId="77777777" w:rsidTr="005A428D">
        <w:tc>
          <w:tcPr>
            <w:tcW w:w="3208" w:type="dxa"/>
            <w:vMerge/>
            <w:shd w:val="clear" w:color="auto" w:fill="auto"/>
          </w:tcPr>
          <w:p w14:paraId="45D52183" w14:textId="77777777" w:rsidR="0040765B" w:rsidRPr="007A2B03" w:rsidRDefault="0040765B" w:rsidP="0040765B">
            <w:pPr>
              <w:ind w:firstLine="0"/>
            </w:pPr>
          </w:p>
        </w:tc>
        <w:tc>
          <w:tcPr>
            <w:tcW w:w="3082" w:type="dxa"/>
            <w:shd w:val="clear" w:color="auto" w:fill="auto"/>
          </w:tcPr>
          <w:p w14:paraId="1C7384B8" w14:textId="77777777" w:rsidR="0040765B" w:rsidRPr="007A2B03" w:rsidRDefault="0040765B" w:rsidP="0040765B">
            <w:pPr>
              <w:ind w:firstLine="0"/>
            </w:pPr>
            <w:r w:rsidRPr="007A2B03">
              <w:t>Концентрат тромбоцитов с невозможностью проведения индивидуального подбора</w:t>
            </w:r>
          </w:p>
        </w:tc>
        <w:tc>
          <w:tcPr>
            <w:tcW w:w="8270" w:type="dxa"/>
            <w:shd w:val="clear" w:color="auto" w:fill="auto"/>
          </w:tcPr>
          <w:p w14:paraId="16B7506D" w14:textId="77777777" w:rsidR="0040765B" w:rsidRPr="007A2B03" w:rsidRDefault="0040765B" w:rsidP="0040765B">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11952750" w14:textId="77777777" w:rsidR="0040765B" w:rsidRPr="007A2B03" w:rsidRDefault="0040765B" w:rsidP="0040765B">
            <w:pPr>
              <w:ind w:firstLine="0"/>
            </w:pPr>
            <w:r w:rsidRPr="007A2B03">
              <w:t>Индивидуально рассмотреть возможность разового введения глюкокортикостероидов**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tc>
      </w:tr>
      <w:tr w:rsidR="0040765B" w:rsidRPr="00915AAD" w14:paraId="3C9DC7D2" w14:textId="77777777" w:rsidTr="005A428D">
        <w:tc>
          <w:tcPr>
            <w:tcW w:w="3208" w:type="dxa"/>
            <w:vMerge/>
            <w:shd w:val="clear" w:color="auto" w:fill="auto"/>
          </w:tcPr>
          <w:p w14:paraId="23D7DB05" w14:textId="77777777" w:rsidR="0040765B" w:rsidRPr="007A2B03" w:rsidRDefault="0040765B" w:rsidP="0040765B">
            <w:pPr>
              <w:ind w:firstLine="0"/>
            </w:pPr>
          </w:p>
        </w:tc>
        <w:tc>
          <w:tcPr>
            <w:tcW w:w="3082" w:type="dxa"/>
            <w:shd w:val="clear" w:color="auto" w:fill="auto"/>
          </w:tcPr>
          <w:p w14:paraId="2AFA1780" w14:textId="77777777" w:rsidR="0040765B" w:rsidRPr="007A2B03" w:rsidRDefault="0040765B" w:rsidP="0040765B">
            <w:pPr>
              <w:ind w:firstLine="0"/>
            </w:pPr>
            <w:r w:rsidRPr="007A2B03">
              <w:t>Другие компоненты донорской крови</w:t>
            </w:r>
          </w:p>
        </w:tc>
        <w:tc>
          <w:tcPr>
            <w:tcW w:w="8270" w:type="dxa"/>
            <w:shd w:val="clear" w:color="auto" w:fill="auto"/>
          </w:tcPr>
          <w:p w14:paraId="57644451" w14:textId="77777777" w:rsidR="0040765B" w:rsidRPr="007A2B03" w:rsidRDefault="0040765B" w:rsidP="0040765B">
            <w:pPr>
              <w:ind w:firstLine="0"/>
            </w:pPr>
            <w:r w:rsidRPr="007A2B03">
              <w:t>10 мл 10% кальция глюконата в 100 мл 0,9% раствора NaC</w:t>
            </w:r>
            <w:r w:rsidRPr="007A2B03">
              <w:rPr>
                <w:lang w:val="en-US"/>
              </w:rPr>
              <w:t>l</w:t>
            </w:r>
            <w:r w:rsidRPr="007A2B03">
              <w:t xml:space="preserve"> в/в капельно</w:t>
            </w:r>
          </w:p>
        </w:tc>
      </w:tr>
    </w:tbl>
    <w:p w14:paraId="0C078874" w14:textId="77777777" w:rsidR="0040765B" w:rsidRPr="00BC3659" w:rsidRDefault="0040765B" w:rsidP="0040765B">
      <w:pPr>
        <w:rPr>
          <w:sz w:val="20"/>
          <w:szCs w:val="20"/>
        </w:rPr>
      </w:pPr>
      <w:r w:rsidRPr="00915AAD">
        <w:rPr>
          <w:szCs w:val="24"/>
        </w:rPr>
        <w:t xml:space="preserve">* </w:t>
      </w:r>
      <w:r w:rsidRPr="00BC3659">
        <w:rPr>
          <w:sz w:val="20"/>
          <w:szCs w:val="20"/>
        </w:rPr>
        <w:t>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180A705B" w14:textId="77777777" w:rsidR="0040765B" w:rsidRPr="00BC3659" w:rsidRDefault="0040765B" w:rsidP="000768AC">
      <w:pPr>
        <w:pStyle w:val="afe"/>
        <w:numPr>
          <w:ilvl w:val="0"/>
          <w:numId w:val="77"/>
        </w:numPr>
        <w:rPr>
          <w:sz w:val="20"/>
          <w:szCs w:val="20"/>
        </w:rPr>
      </w:pPr>
      <w:r w:rsidRPr="00BC3659">
        <w:rPr>
          <w:sz w:val="20"/>
          <w:szCs w:val="20"/>
        </w:rPr>
        <w:t>Иммунные:</w:t>
      </w:r>
    </w:p>
    <w:p w14:paraId="63851EF6" w14:textId="77777777" w:rsidR="0040765B" w:rsidRPr="00BC3659" w:rsidRDefault="0040765B" w:rsidP="000768AC">
      <w:pPr>
        <w:pStyle w:val="afe"/>
        <w:numPr>
          <w:ilvl w:val="0"/>
          <w:numId w:val="72"/>
        </w:numPr>
        <w:rPr>
          <w:sz w:val="20"/>
          <w:szCs w:val="20"/>
        </w:rPr>
      </w:pPr>
      <w:r w:rsidRPr="00BC3659">
        <w:rPr>
          <w:sz w:val="20"/>
          <w:szCs w:val="20"/>
        </w:rPr>
        <w:t>Обусловленное трансфузией острое повреждение легких</w:t>
      </w:r>
    </w:p>
    <w:p w14:paraId="05019D49" w14:textId="77777777" w:rsidR="0040765B" w:rsidRPr="00BC3659" w:rsidRDefault="0040765B" w:rsidP="000768AC">
      <w:pPr>
        <w:pStyle w:val="afe"/>
        <w:numPr>
          <w:ilvl w:val="0"/>
          <w:numId w:val="72"/>
        </w:numPr>
        <w:rPr>
          <w:sz w:val="20"/>
          <w:szCs w:val="20"/>
        </w:rPr>
      </w:pPr>
      <w:r w:rsidRPr="00BC3659">
        <w:rPr>
          <w:sz w:val="20"/>
          <w:szCs w:val="20"/>
        </w:rPr>
        <w:t>Обусловленная трансфузией одышка</w:t>
      </w:r>
    </w:p>
    <w:p w14:paraId="29FBABCC" w14:textId="77777777" w:rsidR="0040765B" w:rsidRPr="00BC3659" w:rsidRDefault="0040765B" w:rsidP="000768AC">
      <w:pPr>
        <w:pStyle w:val="afe"/>
        <w:numPr>
          <w:ilvl w:val="0"/>
          <w:numId w:val="77"/>
        </w:numPr>
        <w:rPr>
          <w:sz w:val="20"/>
          <w:szCs w:val="20"/>
        </w:rPr>
      </w:pPr>
      <w:r w:rsidRPr="00BC3659">
        <w:rPr>
          <w:sz w:val="20"/>
          <w:szCs w:val="20"/>
        </w:rPr>
        <w:t>Неиммуные:</w:t>
      </w:r>
    </w:p>
    <w:p w14:paraId="36FA8661" w14:textId="77777777" w:rsidR="0040765B" w:rsidRPr="00BC3659" w:rsidRDefault="0040765B" w:rsidP="000768AC">
      <w:pPr>
        <w:pStyle w:val="afe"/>
        <w:numPr>
          <w:ilvl w:val="0"/>
          <w:numId w:val="74"/>
        </w:numPr>
        <w:rPr>
          <w:sz w:val="20"/>
          <w:szCs w:val="20"/>
        </w:rPr>
      </w:pPr>
      <w:r w:rsidRPr="00BC3659">
        <w:rPr>
          <w:sz w:val="20"/>
          <w:szCs w:val="20"/>
        </w:rPr>
        <w:t>Обусловленная трансфузией циркуляторная перегрузка</w:t>
      </w:r>
    </w:p>
    <w:p w14:paraId="440205D7" w14:textId="77777777" w:rsidR="0040765B" w:rsidRPr="00BC3659" w:rsidRDefault="0040765B" w:rsidP="000768AC">
      <w:pPr>
        <w:pStyle w:val="afe"/>
        <w:numPr>
          <w:ilvl w:val="0"/>
          <w:numId w:val="74"/>
        </w:numPr>
        <w:rPr>
          <w:sz w:val="20"/>
          <w:szCs w:val="20"/>
        </w:rPr>
      </w:pPr>
      <w:r w:rsidRPr="00BC3659">
        <w:rPr>
          <w:sz w:val="20"/>
          <w:szCs w:val="20"/>
        </w:rPr>
        <w:t>Посттрансфузионная гипертензия</w:t>
      </w:r>
    </w:p>
    <w:p w14:paraId="1CA6D157" w14:textId="77777777" w:rsidR="0040765B" w:rsidRPr="00BC3659" w:rsidRDefault="0040765B" w:rsidP="000768AC">
      <w:pPr>
        <w:pStyle w:val="afe"/>
        <w:numPr>
          <w:ilvl w:val="0"/>
          <w:numId w:val="74"/>
        </w:numPr>
        <w:rPr>
          <w:sz w:val="20"/>
          <w:szCs w:val="20"/>
        </w:rPr>
      </w:pPr>
      <w:r w:rsidRPr="00BC3659">
        <w:rPr>
          <w:sz w:val="20"/>
          <w:szCs w:val="20"/>
        </w:rPr>
        <w:t>Острый неиммунный гемолиз</w:t>
      </w:r>
    </w:p>
    <w:p w14:paraId="46B9ADFA" w14:textId="77777777" w:rsidR="0040765B" w:rsidRPr="00BC3659" w:rsidRDefault="0040765B" w:rsidP="000768AC">
      <w:pPr>
        <w:pStyle w:val="afe"/>
        <w:numPr>
          <w:ilvl w:val="0"/>
          <w:numId w:val="74"/>
        </w:numPr>
        <w:rPr>
          <w:sz w:val="20"/>
          <w:szCs w:val="20"/>
        </w:rPr>
      </w:pPr>
      <w:r w:rsidRPr="00BC3659">
        <w:rPr>
          <w:sz w:val="20"/>
          <w:szCs w:val="20"/>
        </w:rPr>
        <w:t>Септический шок</w:t>
      </w:r>
    </w:p>
    <w:p w14:paraId="5C543293" w14:textId="77777777" w:rsidR="0040765B" w:rsidRPr="00BC3659" w:rsidRDefault="0040765B" w:rsidP="000768AC">
      <w:pPr>
        <w:pStyle w:val="afe"/>
        <w:numPr>
          <w:ilvl w:val="0"/>
          <w:numId w:val="74"/>
        </w:numPr>
        <w:rPr>
          <w:sz w:val="20"/>
          <w:szCs w:val="20"/>
        </w:rPr>
      </w:pPr>
      <w:r w:rsidRPr="00BC3659">
        <w:rPr>
          <w:sz w:val="20"/>
          <w:szCs w:val="20"/>
        </w:rPr>
        <w:t>Хроническая перегрузка железом</w:t>
      </w:r>
    </w:p>
    <w:p w14:paraId="25251AAE" w14:textId="77777777" w:rsidR="0040765B" w:rsidRPr="00BC3659" w:rsidRDefault="0040765B" w:rsidP="0040765B">
      <w:pPr>
        <w:rPr>
          <w:sz w:val="20"/>
          <w:szCs w:val="20"/>
        </w:rPr>
      </w:pPr>
      <w:r w:rsidRPr="00BC3659">
        <w:rPr>
          <w:sz w:val="20"/>
          <w:szCs w:val="20"/>
        </w:rPr>
        <w:t xml:space="preserve">** 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1B7D408F" w14:textId="77777777" w:rsidR="0040765B" w:rsidRDefault="0040765B" w:rsidP="0040765B">
      <w:pPr>
        <w:rPr>
          <w:b/>
          <w:szCs w:val="24"/>
        </w:rPr>
      </w:pPr>
    </w:p>
    <w:p w14:paraId="2F225C08" w14:textId="77777777" w:rsidR="0040765B" w:rsidRPr="00360841" w:rsidRDefault="0040765B" w:rsidP="0040765B">
      <w:pPr>
        <w:rPr>
          <w:i/>
          <w:szCs w:val="24"/>
          <w:u w:val="single"/>
        </w:rPr>
      </w:pPr>
      <w:r w:rsidRPr="00360841">
        <w:rPr>
          <w:i/>
          <w:szCs w:val="24"/>
          <w:u w:val="single"/>
        </w:rPr>
        <w:t xml:space="preserve">Лечебный плазмаферез в терапии рефрактерности к трансфузиям тромбоцитов </w:t>
      </w:r>
    </w:p>
    <w:p w14:paraId="54316D94" w14:textId="77777777" w:rsidR="0040765B" w:rsidRPr="003A7159" w:rsidRDefault="0040765B" w:rsidP="0040765B">
      <w:pPr>
        <w:pStyle w:val="afe"/>
        <w:ind w:left="0"/>
        <w:rPr>
          <w:szCs w:val="24"/>
        </w:rPr>
      </w:pPr>
      <w:r w:rsidRPr="003A7159">
        <w:rPr>
          <w:szCs w:val="24"/>
        </w:rPr>
        <w:t xml:space="preserve">Если с помощью индивидуального подбора донорских </w:t>
      </w:r>
      <w:r>
        <w:rPr>
          <w:szCs w:val="24"/>
        </w:rPr>
        <w:t>т</w:t>
      </w:r>
      <w:r w:rsidRPr="003A7159">
        <w:rPr>
          <w:szCs w:val="24"/>
        </w:rPr>
        <w:t xml:space="preserve">ромбоцитов не удаётся получить достаточный прирост тромбоцитов и клинический эффект от  трансфузий </w:t>
      </w:r>
      <w:r>
        <w:rPr>
          <w:szCs w:val="24"/>
        </w:rPr>
        <w:t>концентрата тромбоцитов</w:t>
      </w:r>
      <w:r w:rsidRPr="003A7159">
        <w:rPr>
          <w:szCs w:val="24"/>
        </w:rPr>
        <w:t xml:space="preserve">, то для улучшения эффективности индивидуального подбора пары «донор-реципиент» к терапии добавляют процедуры плазмафереза. В основе развивающейся рефрактерности к трансфузиям </w:t>
      </w:r>
      <w:r>
        <w:rPr>
          <w:szCs w:val="24"/>
        </w:rPr>
        <w:t>концентрата тромбоцитов</w:t>
      </w:r>
      <w:r w:rsidRPr="003A7159">
        <w:rPr>
          <w:szCs w:val="24"/>
        </w:rPr>
        <w:t xml:space="preserve"> лежит аллосенсибилизация реципиента лейкоцитарными и тромбоцитарными антигенами донорских клеток крови. </w:t>
      </w:r>
      <w:r>
        <w:rPr>
          <w:szCs w:val="24"/>
        </w:rPr>
        <w:t>В этом случае ц</w:t>
      </w:r>
      <w:r w:rsidRPr="003A7159">
        <w:rPr>
          <w:szCs w:val="24"/>
        </w:rPr>
        <w:t>елью проведения ПА является уменьшение концентрации циркулирующих аллоантител и иммунных комплексов.</w:t>
      </w:r>
    </w:p>
    <w:p w14:paraId="0745BC55" w14:textId="77777777" w:rsidR="0040765B" w:rsidRPr="003A7159" w:rsidRDefault="0040765B" w:rsidP="0040765B">
      <w:pPr>
        <w:pStyle w:val="afe"/>
        <w:ind w:left="0"/>
        <w:rPr>
          <w:szCs w:val="24"/>
        </w:rPr>
      </w:pPr>
      <w:r w:rsidRPr="003A7159">
        <w:rPr>
          <w:szCs w:val="24"/>
        </w:rPr>
        <w:t>Для преод</w:t>
      </w:r>
      <w:r>
        <w:rPr>
          <w:szCs w:val="24"/>
        </w:rPr>
        <w:t>о</w:t>
      </w:r>
      <w:r w:rsidRPr="003A7159">
        <w:rPr>
          <w:szCs w:val="24"/>
        </w:rPr>
        <w:t xml:space="preserve">ления рефрактерности к трансфузиям </w:t>
      </w:r>
      <w:r>
        <w:rPr>
          <w:szCs w:val="24"/>
        </w:rPr>
        <w:t>концентрата тромбоцитов</w:t>
      </w:r>
      <w:r w:rsidRPr="003A7159">
        <w:rPr>
          <w:szCs w:val="24"/>
        </w:rPr>
        <w:t xml:space="preserve"> в большинстве случаев достаточно провести 5-6 процедур (от 2 до 15 процедур) ПА в сочетании с индивидуальным подбором тромбоцитов. </w:t>
      </w:r>
    </w:p>
    <w:p w14:paraId="1956BC22" w14:textId="77777777" w:rsidR="0040765B" w:rsidRPr="00736DDC" w:rsidRDefault="0040765B" w:rsidP="000768AC">
      <w:pPr>
        <w:pStyle w:val="afe"/>
        <w:numPr>
          <w:ilvl w:val="0"/>
          <w:numId w:val="97"/>
        </w:numPr>
        <w:rPr>
          <w:szCs w:val="24"/>
        </w:rPr>
      </w:pPr>
      <w:r w:rsidRPr="00736DDC">
        <w:rPr>
          <w:szCs w:val="24"/>
        </w:rPr>
        <w:t xml:space="preserve">ПА проводятся 2-3 раза в неделю с интервалом 2-3 дня. </w:t>
      </w:r>
    </w:p>
    <w:p w14:paraId="2F7C211F" w14:textId="77777777" w:rsidR="0040765B" w:rsidRPr="00736DDC" w:rsidRDefault="0040765B" w:rsidP="000768AC">
      <w:pPr>
        <w:pStyle w:val="afe"/>
        <w:numPr>
          <w:ilvl w:val="0"/>
          <w:numId w:val="97"/>
        </w:numPr>
        <w:rPr>
          <w:szCs w:val="24"/>
        </w:rPr>
      </w:pPr>
      <w:r w:rsidRPr="00736DDC">
        <w:rPr>
          <w:szCs w:val="24"/>
        </w:rPr>
        <w:t>Объём удаляемой плазмы:</w:t>
      </w:r>
      <w:r>
        <w:rPr>
          <w:szCs w:val="24"/>
        </w:rPr>
        <w:t xml:space="preserve"> </w:t>
      </w:r>
      <w:r w:rsidRPr="00736DDC">
        <w:rPr>
          <w:szCs w:val="24"/>
        </w:rPr>
        <w:t xml:space="preserve">за одну процедуру удаляется 0,5 </w:t>
      </w:r>
      <w:r>
        <w:rPr>
          <w:szCs w:val="24"/>
        </w:rPr>
        <w:t>ОЦП</w:t>
      </w:r>
      <w:r w:rsidRPr="00736DDC">
        <w:rPr>
          <w:szCs w:val="24"/>
        </w:rPr>
        <w:t>, в среднем 1500</w:t>
      </w:r>
      <w:r>
        <w:rPr>
          <w:szCs w:val="24"/>
        </w:rPr>
        <w:t xml:space="preserve"> </w:t>
      </w:r>
      <w:r w:rsidRPr="00736DDC">
        <w:rPr>
          <w:szCs w:val="24"/>
        </w:rPr>
        <w:t>мл</w:t>
      </w:r>
      <w:r>
        <w:rPr>
          <w:szCs w:val="24"/>
        </w:rPr>
        <w:t xml:space="preserve"> (1000 – </w:t>
      </w:r>
      <w:r w:rsidRPr="00736DDC">
        <w:rPr>
          <w:szCs w:val="24"/>
        </w:rPr>
        <w:t>2000</w:t>
      </w:r>
      <w:r>
        <w:rPr>
          <w:szCs w:val="24"/>
        </w:rPr>
        <w:t xml:space="preserve"> </w:t>
      </w:r>
      <w:r w:rsidRPr="00736DDC">
        <w:rPr>
          <w:szCs w:val="24"/>
        </w:rPr>
        <w:t>мл)</w:t>
      </w:r>
      <w:r>
        <w:rPr>
          <w:szCs w:val="24"/>
        </w:rPr>
        <w:t>.</w:t>
      </w:r>
    </w:p>
    <w:p w14:paraId="480F61A7" w14:textId="1A5A218B" w:rsidR="0040765B" w:rsidRPr="003A7159" w:rsidRDefault="0040765B" w:rsidP="0040765B">
      <w:pPr>
        <w:rPr>
          <w:szCs w:val="24"/>
        </w:rPr>
      </w:pPr>
      <w:r w:rsidRPr="003A7159">
        <w:rPr>
          <w:szCs w:val="24"/>
        </w:rPr>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 и раствором</w:t>
      </w:r>
      <w:r>
        <w:rPr>
          <w:szCs w:val="24"/>
        </w:rPr>
        <w:t xml:space="preserve"> натрия хлорида 0,9%</w:t>
      </w:r>
      <w:r w:rsidRPr="003A7159">
        <w:rPr>
          <w:szCs w:val="24"/>
        </w:rPr>
        <w:t>.</w:t>
      </w:r>
    </w:p>
    <w:p w14:paraId="112210C6" w14:textId="77777777" w:rsidR="0040765B" w:rsidRDefault="0040765B" w:rsidP="0040765B">
      <w:pPr>
        <w:rPr>
          <w:szCs w:val="24"/>
        </w:rPr>
      </w:pPr>
      <w:r w:rsidRPr="003A7159">
        <w:rPr>
          <w:szCs w:val="24"/>
        </w:rPr>
        <w:t xml:space="preserve">Соотношение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3A7159">
        <w:rPr>
          <w:szCs w:val="24"/>
        </w:rPr>
        <w:t>1:1 при уровне общего белка ≥ 65г/л</w:t>
      </w:r>
      <w:r>
        <w:rPr>
          <w:szCs w:val="24"/>
        </w:rPr>
        <w:t xml:space="preserve">: </w:t>
      </w:r>
    </w:p>
    <w:p w14:paraId="62EA2BE2" w14:textId="77777777" w:rsidR="0040765B" w:rsidRPr="009A1835" w:rsidRDefault="0040765B" w:rsidP="000768AC">
      <w:pPr>
        <w:pStyle w:val="afe"/>
        <w:numPr>
          <w:ilvl w:val="0"/>
          <w:numId w:val="98"/>
        </w:numPr>
        <w:rPr>
          <w:szCs w:val="24"/>
        </w:rPr>
      </w:pPr>
      <w:r w:rsidRPr="009A1835">
        <w:rPr>
          <w:szCs w:val="24"/>
        </w:rPr>
        <w:t xml:space="preserve">Альбумин 5% - (500мл – 1000мл) в среднем 800 мл; </w:t>
      </w:r>
    </w:p>
    <w:p w14:paraId="4CA26088" w14:textId="77777777" w:rsidR="0040765B" w:rsidRPr="009A1835" w:rsidRDefault="0040765B" w:rsidP="000768AC">
      <w:pPr>
        <w:pStyle w:val="afe"/>
        <w:numPr>
          <w:ilvl w:val="0"/>
          <w:numId w:val="98"/>
        </w:numPr>
        <w:rPr>
          <w:szCs w:val="24"/>
        </w:rPr>
      </w:pPr>
      <w:r>
        <w:rPr>
          <w:szCs w:val="24"/>
        </w:rPr>
        <w:t>Р</w:t>
      </w:r>
      <w:r w:rsidRPr="00623297">
        <w:rPr>
          <w:szCs w:val="24"/>
        </w:rPr>
        <w:t xml:space="preserve">аствор </w:t>
      </w:r>
      <w:r>
        <w:rPr>
          <w:szCs w:val="24"/>
        </w:rPr>
        <w:t xml:space="preserve">натрия хлорида 0,9% </w:t>
      </w:r>
      <w:r w:rsidRPr="009A1835">
        <w:rPr>
          <w:szCs w:val="24"/>
        </w:rPr>
        <w:t>в среднем 800 мл (500 – 1000 мл).</w:t>
      </w:r>
    </w:p>
    <w:p w14:paraId="0C5E1CAC" w14:textId="77777777" w:rsidR="0040765B" w:rsidRDefault="0040765B" w:rsidP="0040765B">
      <w:pPr>
        <w:rPr>
          <w:szCs w:val="24"/>
          <w:u w:val="single"/>
        </w:rPr>
      </w:pPr>
    </w:p>
    <w:p w14:paraId="117EAF1B" w14:textId="77777777" w:rsidR="0040765B" w:rsidRDefault="0040765B" w:rsidP="0040765B">
      <w:pPr>
        <w:rPr>
          <w:szCs w:val="24"/>
          <w:u w:val="single"/>
        </w:rPr>
      </w:pPr>
      <w:r w:rsidRPr="00623297">
        <w:rPr>
          <w:szCs w:val="24"/>
          <w:u w:val="single"/>
        </w:rPr>
        <w:t>Методические аспекты проведения ПА при тромбоцитопении, рефрактерной к трансфузиям концентрата тромбоцитов:</w:t>
      </w:r>
      <w:r>
        <w:rPr>
          <w:szCs w:val="24"/>
          <w:u w:val="single"/>
        </w:rPr>
        <w:t xml:space="preserve"> </w:t>
      </w:r>
    </w:p>
    <w:p w14:paraId="44105043" w14:textId="0EC5A412" w:rsidR="0040765B" w:rsidRPr="00623297" w:rsidRDefault="0040765B" w:rsidP="000768AC">
      <w:pPr>
        <w:pStyle w:val="afe"/>
        <w:numPr>
          <w:ilvl w:val="0"/>
          <w:numId w:val="99"/>
        </w:numPr>
        <w:rPr>
          <w:szCs w:val="24"/>
          <w:u w:val="single"/>
        </w:rPr>
      </w:pPr>
      <w:r w:rsidRPr="00623297">
        <w:rPr>
          <w:szCs w:val="24"/>
        </w:rPr>
        <w:t>При наличии глубокой тромбоцитопении (≤ 20х10</w:t>
      </w:r>
      <w:r w:rsidRPr="00623297">
        <w:rPr>
          <w:szCs w:val="24"/>
          <w:vertAlign w:val="superscript"/>
        </w:rPr>
        <w:t>9</w:t>
      </w:r>
      <w:r w:rsidRPr="00623297">
        <w:rPr>
          <w:szCs w:val="24"/>
        </w:rPr>
        <w:t>/л) перед началом проведения процедуры ПА необходимо провести трансфузию 4 – 6 доз тромбоцитов, заказать концентрат тромбоцитов для трансфузии после окончания процедуры ПА.</w:t>
      </w:r>
    </w:p>
    <w:p w14:paraId="40E3EFAF" w14:textId="77777777" w:rsidR="0040765B" w:rsidRPr="00C62ED8" w:rsidRDefault="0040765B" w:rsidP="000768AC">
      <w:pPr>
        <w:pStyle w:val="afe"/>
        <w:numPr>
          <w:ilvl w:val="0"/>
          <w:numId w:val="99"/>
        </w:numPr>
        <w:rPr>
          <w:szCs w:val="24"/>
        </w:rPr>
      </w:pPr>
      <w:r w:rsidRPr="00C62ED8">
        <w:rPr>
          <w:szCs w:val="24"/>
        </w:rPr>
        <w:t>После проведённой процедуры ПА уровень общего белка плазмы должен быть ≥ 50г/л; если уровень общего белка плазмы будет меньше, то требуется дополнительное введение альбумина.</w:t>
      </w:r>
    </w:p>
    <w:p w14:paraId="036EE225" w14:textId="77777777" w:rsidR="0040765B" w:rsidRDefault="0040765B" w:rsidP="000768AC">
      <w:pPr>
        <w:pStyle w:val="afe"/>
        <w:numPr>
          <w:ilvl w:val="0"/>
          <w:numId w:val="99"/>
        </w:numPr>
        <w:rPr>
          <w:szCs w:val="24"/>
        </w:rPr>
      </w:pPr>
      <w:r w:rsidRPr="00623297">
        <w:rPr>
          <w:szCs w:val="24"/>
        </w:rPr>
        <w:t xml:space="preserve">После каждых 2 – 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р-ром 5% альбумина  и </w:t>
      </w:r>
      <w:r>
        <w:rPr>
          <w:szCs w:val="24"/>
        </w:rPr>
        <w:t>р</w:t>
      </w:r>
      <w:r w:rsidRPr="00623297">
        <w:rPr>
          <w:szCs w:val="24"/>
        </w:rPr>
        <w:t>аствор</w:t>
      </w:r>
      <w:r>
        <w:rPr>
          <w:szCs w:val="24"/>
        </w:rPr>
        <w:t>ом</w:t>
      </w:r>
      <w:r w:rsidRPr="00623297">
        <w:rPr>
          <w:szCs w:val="24"/>
        </w:rPr>
        <w:t xml:space="preserve"> </w:t>
      </w:r>
      <w:r>
        <w:rPr>
          <w:szCs w:val="24"/>
        </w:rPr>
        <w:t>натрия хлорида 0,9%</w:t>
      </w:r>
      <w:r w:rsidRPr="00623297">
        <w:rPr>
          <w:szCs w:val="24"/>
        </w:rPr>
        <w:t xml:space="preserve">. </w:t>
      </w:r>
    </w:p>
    <w:p w14:paraId="4FE6698D" w14:textId="77777777" w:rsidR="0040765B" w:rsidRPr="00623297" w:rsidRDefault="0040765B" w:rsidP="000768AC">
      <w:pPr>
        <w:pStyle w:val="afe"/>
        <w:numPr>
          <w:ilvl w:val="0"/>
          <w:numId w:val="99"/>
        </w:numPr>
        <w:rPr>
          <w:szCs w:val="24"/>
        </w:rPr>
      </w:pPr>
      <w:r w:rsidRPr="00623297">
        <w:rPr>
          <w:szCs w:val="24"/>
        </w:rPr>
        <w:t xml:space="preserve">Соотношение СЗП +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623297">
        <w:rPr>
          <w:szCs w:val="24"/>
        </w:rPr>
        <w:t xml:space="preserve">1:1 при уровне общего белка ≥ 65г/л </w:t>
      </w:r>
    </w:p>
    <w:p w14:paraId="556C2455" w14:textId="77777777" w:rsidR="0040765B" w:rsidRPr="00623297" w:rsidRDefault="0040765B" w:rsidP="000768AC">
      <w:pPr>
        <w:pStyle w:val="afe"/>
        <w:numPr>
          <w:ilvl w:val="0"/>
          <w:numId w:val="100"/>
        </w:numPr>
        <w:rPr>
          <w:szCs w:val="24"/>
        </w:rPr>
      </w:pPr>
      <w:r w:rsidRPr="00623297">
        <w:rPr>
          <w:szCs w:val="24"/>
        </w:rPr>
        <w:t>СЗП –  в среднем 500</w:t>
      </w:r>
      <w:r>
        <w:rPr>
          <w:szCs w:val="24"/>
        </w:rPr>
        <w:t xml:space="preserve"> </w:t>
      </w:r>
      <w:r w:rsidRPr="00623297">
        <w:rPr>
          <w:szCs w:val="24"/>
        </w:rPr>
        <w:t>мл</w:t>
      </w:r>
      <w:r>
        <w:rPr>
          <w:szCs w:val="24"/>
        </w:rPr>
        <w:t xml:space="preserve"> (500 – </w:t>
      </w:r>
      <w:r w:rsidRPr="00623297">
        <w:rPr>
          <w:szCs w:val="24"/>
        </w:rPr>
        <w:t>1000</w:t>
      </w:r>
      <w:r>
        <w:rPr>
          <w:szCs w:val="24"/>
        </w:rPr>
        <w:t xml:space="preserve"> </w:t>
      </w:r>
      <w:r w:rsidRPr="00623297">
        <w:rPr>
          <w:szCs w:val="24"/>
        </w:rPr>
        <w:t>мл);</w:t>
      </w:r>
    </w:p>
    <w:p w14:paraId="30BAB01D" w14:textId="77777777" w:rsidR="0040765B" w:rsidRPr="00623297" w:rsidRDefault="0040765B" w:rsidP="000768AC">
      <w:pPr>
        <w:pStyle w:val="afe"/>
        <w:numPr>
          <w:ilvl w:val="0"/>
          <w:numId w:val="100"/>
        </w:numPr>
        <w:rPr>
          <w:szCs w:val="24"/>
        </w:rPr>
      </w:pPr>
      <w:r>
        <w:rPr>
          <w:szCs w:val="24"/>
        </w:rPr>
        <w:t xml:space="preserve">Альбумин 5%  200 – </w:t>
      </w:r>
      <w:r w:rsidRPr="00623297">
        <w:rPr>
          <w:szCs w:val="24"/>
        </w:rPr>
        <w:t>300мл (10 - 15г);</w:t>
      </w:r>
    </w:p>
    <w:p w14:paraId="05031D35" w14:textId="77777777" w:rsidR="0040765B" w:rsidRPr="00623297" w:rsidRDefault="0040765B" w:rsidP="000768AC">
      <w:pPr>
        <w:pStyle w:val="afe"/>
        <w:numPr>
          <w:ilvl w:val="0"/>
          <w:numId w:val="100"/>
        </w:numPr>
        <w:rPr>
          <w:szCs w:val="24"/>
        </w:rPr>
      </w:pPr>
      <w:r>
        <w:rPr>
          <w:szCs w:val="24"/>
        </w:rPr>
        <w:t>Р</w:t>
      </w:r>
      <w:r w:rsidRPr="00623297">
        <w:rPr>
          <w:szCs w:val="24"/>
        </w:rPr>
        <w:t xml:space="preserve">аствор </w:t>
      </w:r>
      <w:r>
        <w:rPr>
          <w:szCs w:val="24"/>
        </w:rPr>
        <w:t xml:space="preserve">натрия хлорида 0,9% </w:t>
      </w:r>
      <w:r w:rsidRPr="00623297">
        <w:rPr>
          <w:szCs w:val="24"/>
        </w:rPr>
        <w:t>в среднем 800</w:t>
      </w:r>
      <w:r>
        <w:rPr>
          <w:szCs w:val="24"/>
        </w:rPr>
        <w:t xml:space="preserve"> </w:t>
      </w:r>
      <w:r w:rsidRPr="00623297">
        <w:rPr>
          <w:szCs w:val="24"/>
        </w:rPr>
        <w:t>мл</w:t>
      </w:r>
      <w:r>
        <w:rPr>
          <w:szCs w:val="24"/>
        </w:rPr>
        <w:t xml:space="preserve"> </w:t>
      </w:r>
      <w:r w:rsidRPr="003A7159">
        <w:rPr>
          <w:szCs w:val="24"/>
        </w:rPr>
        <w:t>(500 – 1000</w:t>
      </w:r>
      <w:r>
        <w:rPr>
          <w:szCs w:val="24"/>
        </w:rPr>
        <w:t xml:space="preserve"> </w:t>
      </w:r>
      <w:r w:rsidRPr="003A7159">
        <w:rPr>
          <w:szCs w:val="24"/>
        </w:rPr>
        <w:t>мл)</w:t>
      </w:r>
      <w:r>
        <w:rPr>
          <w:szCs w:val="24"/>
        </w:rPr>
        <w:t>.</w:t>
      </w:r>
      <w:r w:rsidRPr="00623297">
        <w:rPr>
          <w:szCs w:val="24"/>
        </w:rPr>
        <w:t xml:space="preserve"> </w:t>
      </w:r>
    </w:p>
    <w:p w14:paraId="63843778" w14:textId="77777777" w:rsidR="0040765B" w:rsidRPr="003A7159" w:rsidRDefault="0040765B" w:rsidP="0040765B">
      <w:pPr>
        <w:rPr>
          <w:szCs w:val="24"/>
        </w:rPr>
      </w:pPr>
      <w:r w:rsidRPr="003A7159">
        <w:rPr>
          <w:szCs w:val="24"/>
        </w:rPr>
        <w:t>Соотношение СЗП + раствора 5% альбумина и раствора</w:t>
      </w:r>
      <w:r>
        <w:rPr>
          <w:szCs w:val="24"/>
        </w:rPr>
        <w:t xml:space="preserve"> натрия хлорида 0,9% </w:t>
      </w:r>
      <w:r w:rsidRPr="003A7159">
        <w:rPr>
          <w:szCs w:val="24"/>
        </w:rPr>
        <w:t xml:space="preserve"> </w:t>
      </w:r>
      <w:r>
        <w:rPr>
          <w:szCs w:val="24"/>
        </w:rPr>
        <w:t xml:space="preserve">составляет </w:t>
      </w:r>
      <w:r w:rsidRPr="003A7159">
        <w:rPr>
          <w:szCs w:val="24"/>
        </w:rPr>
        <w:t xml:space="preserve">2:1 при уровне общего белка </w:t>
      </w:r>
      <w:r>
        <w:rPr>
          <w:szCs w:val="24"/>
        </w:rPr>
        <w:t xml:space="preserve"> ≤ 55г/л:</w:t>
      </w:r>
    </w:p>
    <w:p w14:paraId="6250DFCB" w14:textId="77777777" w:rsidR="0040765B" w:rsidRPr="00767D08" w:rsidRDefault="0040765B" w:rsidP="000768AC">
      <w:pPr>
        <w:pStyle w:val="afe"/>
        <w:numPr>
          <w:ilvl w:val="0"/>
          <w:numId w:val="100"/>
        </w:numPr>
        <w:rPr>
          <w:szCs w:val="24"/>
        </w:rPr>
      </w:pPr>
      <w:r w:rsidRPr="00C02A00">
        <w:rPr>
          <w:szCs w:val="24"/>
        </w:rPr>
        <w:t xml:space="preserve">СЗП </w:t>
      </w:r>
      <w:r>
        <w:rPr>
          <w:szCs w:val="24"/>
        </w:rPr>
        <w:t>–</w:t>
      </w:r>
      <w:r w:rsidRPr="00C02A00">
        <w:rPr>
          <w:szCs w:val="24"/>
        </w:rPr>
        <w:t xml:space="preserve"> </w:t>
      </w:r>
      <w:r w:rsidRPr="00767D08">
        <w:rPr>
          <w:szCs w:val="24"/>
        </w:rPr>
        <w:t>в среднем 800</w:t>
      </w:r>
      <w:r>
        <w:rPr>
          <w:szCs w:val="24"/>
        </w:rPr>
        <w:t xml:space="preserve"> </w:t>
      </w:r>
      <w:r w:rsidRPr="00767D08">
        <w:rPr>
          <w:szCs w:val="24"/>
        </w:rPr>
        <w:t>мл</w:t>
      </w:r>
      <w:r>
        <w:rPr>
          <w:szCs w:val="24"/>
        </w:rPr>
        <w:t xml:space="preserve"> </w:t>
      </w:r>
      <w:r w:rsidRPr="00C02A00">
        <w:rPr>
          <w:szCs w:val="24"/>
        </w:rPr>
        <w:t>(500 – 1000мл)</w:t>
      </w:r>
      <w:r w:rsidRPr="00767D08">
        <w:rPr>
          <w:szCs w:val="24"/>
        </w:rPr>
        <w:t xml:space="preserve">; </w:t>
      </w:r>
    </w:p>
    <w:p w14:paraId="53A6497C" w14:textId="77777777" w:rsidR="0040765B" w:rsidRPr="00767D08" w:rsidRDefault="0040765B" w:rsidP="000768AC">
      <w:pPr>
        <w:pStyle w:val="afe"/>
        <w:numPr>
          <w:ilvl w:val="0"/>
          <w:numId w:val="100"/>
        </w:numPr>
        <w:rPr>
          <w:szCs w:val="24"/>
        </w:rPr>
      </w:pPr>
      <w:r>
        <w:rPr>
          <w:szCs w:val="24"/>
        </w:rPr>
        <w:t>Альбумин 5%</w:t>
      </w:r>
      <w:r w:rsidRPr="00C02A00">
        <w:rPr>
          <w:szCs w:val="24"/>
        </w:rPr>
        <w:t xml:space="preserve"> 200</w:t>
      </w:r>
      <w:r>
        <w:rPr>
          <w:szCs w:val="24"/>
        </w:rPr>
        <w:t xml:space="preserve"> – </w:t>
      </w:r>
      <w:r w:rsidRPr="00767D08">
        <w:rPr>
          <w:szCs w:val="24"/>
        </w:rPr>
        <w:t>300мл  (10-15г);</w:t>
      </w:r>
    </w:p>
    <w:p w14:paraId="2D5DF29D" w14:textId="77777777" w:rsidR="0040765B" w:rsidRPr="00C02A00" w:rsidRDefault="0040765B" w:rsidP="000768AC">
      <w:pPr>
        <w:pStyle w:val="afe"/>
        <w:numPr>
          <w:ilvl w:val="0"/>
          <w:numId w:val="100"/>
        </w:numPr>
        <w:rPr>
          <w:szCs w:val="24"/>
        </w:rPr>
      </w:pPr>
      <w:r w:rsidRPr="00C02A00">
        <w:rPr>
          <w:szCs w:val="24"/>
        </w:rPr>
        <w:t>Раствор натрия хлорида 0,9% –</w:t>
      </w:r>
      <w:r>
        <w:rPr>
          <w:szCs w:val="24"/>
        </w:rPr>
        <w:t xml:space="preserve"> </w:t>
      </w:r>
      <w:r w:rsidRPr="00C02A00">
        <w:rPr>
          <w:szCs w:val="24"/>
        </w:rPr>
        <w:t>в среднем 500мл (500 – 1000мл)</w:t>
      </w:r>
      <w:r>
        <w:rPr>
          <w:szCs w:val="24"/>
        </w:rPr>
        <w:t>.</w:t>
      </w:r>
      <w:r w:rsidRPr="00C02A00">
        <w:rPr>
          <w:szCs w:val="24"/>
        </w:rPr>
        <w:t xml:space="preserve">   </w:t>
      </w:r>
    </w:p>
    <w:p w14:paraId="08313F57" w14:textId="77777777" w:rsidR="0040765B" w:rsidRPr="003A7159" w:rsidRDefault="0040765B" w:rsidP="0040765B">
      <w:pPr>
        <w:pStyle w:val="afe"/>
        <w:ind w:left="0"/>
        <w:rPr>
          <w:szCs w:val="24"/>
        </w:rPr>
      </w:pPr>
      <w:r w:rsidRPr="003A7159">
        <w:rPr>
          <w:szCs w:val="24"/>
        </w:rPr>
        <w:t xml:space="preserve">С целью профилактики цитратной реакции на каждый 1л СЗП вводится </w:t>
      </w:r>
      <w:r>
        <w:rPr>
          <w:szCs w:val="24"/>
        </w:rPr>
        <w:t>внутривенно 5мл раствора к</w:t>
      </w:r>
      <w:r w:rsidRPr="003A7159">
        <w:rPr>
          <w:szCs w:val="24"/>
        </w:rPr>
        <w:t xml:space="preserve">альция глюконата 10% или 5мл раствора </w:t>
      </w:r>
      <w:r>
        <w:rPr>
          <w:szCs w:val="24"/>
        </w:rPr>
        <w:t>к</w:t>
      </w:r>
      <w:r w:rsidRPr="003A7159">
        <w:rPr>
          <w:szCs w:val="24"/>
        </w:rPr>
        <w:t>альция хлорида 10%.</w:t>
      </w:r>
    </w:p>
    <w:p w14:paraId="645798F6" w14:textId="77777777" w:rsidR="0040765B" w:rsidRDefault="0040765B" w:rsidP="0040765B">
      <w:pPr>
        <w:pStyle w:val="afe"/>
        <w:ind w:left="0"/>
        <w:rPr>
          <w:szCs w:val="24"/>
        </w:rPr>
      </w:pPr>
      <w:r w:rsidRPr="003A7159">
        <w:rPr>
          <w:szCs w:val="24"/>
        </w:rPr>
        <w:t xml:space="preserve">При наличии негемолитической посттрансфузионной реакции на трансфузии СЗП перед процедурой необходима премедикация (антигистаминные препараты, 10% раствор </w:t>
      </w:r>
      <w:r>
        <w:rPr>
          <w:szCs w:val="24"/>
        </w:rPr>
        <w:t>к</w:t>
      </w:r>
      <w:r w:rsidRPr="003A7159">
        <w:rPr>
          <w:szCs w:val="24"/>
        </w:rPr>
        <w:t>альция глюконата 10</w:t>
      </w:r>
      <w:r>
        <w:rPr>
          <w:szCs w:val="24"/>
        </w:rPr>
        <w:t xml:space="preserve"> </w:t>
      </w:r>
      <w:r w:rsidRPr="003A7159">
        <w:rPr>
          <w:szCs w:val="24"/>
        </w:rPr>
        <w:t>мл).</w:t>
      </w:r>
    </w:p>
    <w:p w14:paraId="0F940397" w14:textId="77777777" w:rsidR="0040765B" w:rsidRPr="00A33DCF" w:rsidRDefault="0040765B" w:rsidP="0040765B">
      <w:pPr>
        <w:pStyle w:val="afffff1"/>
        <w:spacing w:after="0" w:line="360" w:lineRule="auto"/>
        <w:rPr>
          <w:i w:val="0"/>
          <w:lang w:val="ru-RU"/>
        </w:rPr>
      </w:pPr>
    </w:p>
    <w:p w14:paraId="048FA487" w14:textId="356E1387" w:rsidR="003B7A61" w:rsidRPr="003B7A61" w:rsidRDefault="0040765B" w:rsidP="003B7A61">
      <w:pPr>
        <w:pStyle w:val="2"/>
      </w:pPr>
      <w:bookmarkStart w:id="97" w:name="_Toc65108060"/>
      <w:r>
        <w:t xml:space="preserve">Приложение А3.7. </w:t>
      </w:r>
      <w:r w:rsidR="003B7A61" w:rsidRPr="00CC66C1">
        <w:t>Инфузионная терапия у гематологических пациентов</w:t>
      </w:r>
      <w:bookmarkEnd w:id="97"/>
    </w:p>
    <w:p w14:paraId="56D0F3C8" w14:textId="77777777" w:rsidR="003B7A61" w:rsidRPr="00CC66C1" w:rsidRDefault="003B7A61" w:rsidP="003B7A61">
      <w:pPr>
        <w:rPr>
          <w:rFonts w:cs="Times New Roman"/>
          <w:szCs w:val="24"/>
        </w:rPr>
      </w:pPr>
      <w:r w:rsidRPr="00CC66C1">
        <w:rPr>
          <w:rFonts w:cs="Times New Roman"/>
          <w:szCs w:val="24"/>
        </w:rPr>
        <w:t>Особое место в сопроводительной терапии пациентов с онкогематологическими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Несмотря на накопленный опыт использования ИТ (первое сообщение о применении внутривенной инфузии раствора солей у больных холерой появилось почти 200 лет назад), концепции и схемы ИТ продолжают развиваться.</w:t>
      </w:r>
    </w:p>
    <w:p w14:paraId="2925130E" w14:textId="77777777" w:rsidR="003B7A61" w:rsidRPr="00CC66C1" w:rsidRDefault="003B7A61" w:rsidP="003B7A61">
      <w:pPr>
        <w:rPr>
          <w:rFonts w:cs="Times New Roman"/>
          <w:szCs w:val="24"/>
        </w:rPr>
      </w:pPr>
      <w:r w:rsidRPr="00CC66C1">
        <w:rPr>
          <w:rFonts w:cs="Times New Roman"/>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0E58B9EF" w14:textId="77777777" w:rsidR="003B7A61" w:rsidRDefault="003B7A61" w:rsidP="003B7A61">
      <w:pPr>
        <w:rPr>
          <w:rFonts w:cs="Times New Roman"/>
          <w:i/>
          <w:szCs w:val="24"/>
        </w:rPr>
      </w:pPr>
    </w:p>
    <w:p w14:paraId="7CE1C1FD" w14:textId="77777777" w:rsidR="003B7A61" w:rsidRPr="00CC66C1" w:rsidRDefault="003B7A61" w:rsidP="003B7A61">
      <w:pPr>
        <w:rPr>
          <w:rFonts w:cs="Times New Roman"/>
          <w:i/>
          <w:szCs w:val="24"/>
          <w:u w:val="single"/>
        </w:rPr>
      </w:pPr>
      <w:r w:rsidRPr="00CC66C1">
        <w:rPr>
          <w:rFonts w:cs="Times New Roman"/>
          <w:i/>
          <w:szCs w:val="24"/>
          <w:u w:val="single"/>
        </w:rPr>
        <w:t>Виды инфузионных растворов</w:t>
      </w:r>
    </w:p>
    <w:p w14:paraId="7BDC01A4" w14:textId="77777777" w:rsidR="003B7A61" w:rsidRPr="00CC66C1" w:rsidRDefault="003B7A61" w:rsidP="003B7A61">
      <w:pPr>
        <w:rPr>
          <w:rFonts w:cs="Times New Roman"/>
          <w:szCs w:val="24"/>
        </w:rPr>
      </w:pPr>
      <w:r w:rsidRPr="00CC66C1">
        <w:rPr>
          <w:rFonts w:cs="Times New Roman"/>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C66C1">
        <w:rPr>
          <w:rFonts w:cs="Times New Roman"/>
          <w:i/>
          <w:szCs w:val="24"/>
        </w:rPr>
        <w:t>дегидратации</w:t>
      </w:r>
      <w:r w:rsidRPr="00CC66C1">
        <w:rPr>
          <w:rFonts w:cs="Times New Roman"/>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w:t>
      </w:r>
      <w:r w:rsidRPr="00CC66C1">
        <w:rPr>
          <w:rFonts w:cs="Times New Roman"/>
          <w:i/>
          <w:szCs w:val="24"/>
        </w:rPr>
        <w:t>гиповолемия</w:t>
      </w:r>
      <w:r w:rsidRPr="00CC66C1">
        <w:rPr>
          <w:rFonts w:cs="Times New Roman"/>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4237DECC" w14:textId="19785B32" w:rsidR="003B7A61" w:rsidRPr="00CC66C1" w:rsidRDefault="003B7A61" w:rsidP="003B7A61">
      <w:pPr>
        <w:rPr>
          <w:rFonts w:cs="Times New Roman"/>
          <w:szCs w:val="24"/>
        </w:rPr>
      </w:pPr>
      <w:r w:rsidRPr="00CC66C1">
        <w:rPr>
          <w:rFonts w:cs="Times New Roman"/>
          <w:i/>
          <w:szCs w:val="24"/>
        </w:rPr>
        <w:t xml:space="preserve">Изотонический 0,9% раствор натрия хлорида (0,9% </w:t>
      </w:r>
      <w:r w:rsidRPr="00CC66C1">
        <w:rPr>
          <w:rFonts w:cs="Times New Roman"/>
          <w:i/>
          <w:szCs w:val="24"/>
          <w:lang w:val="en-US"/>
        </w:rPr>
        <w:t>NaCl</w:t>
      </w:r>
      <w:r w:rsidRPr="00CC66C1">
        <w:rPr>
          <w:rFonts w:cs="Times New Roman"/>
          <w:i/>
          <w:szCs w:val="24"/>
        </w:rPr>
        <w:t>),</w:t>
      </w:r>
      <w:r w:rsidRPr="00CC66C1">
        <w:rPr>
          <w:rFonts w:cs="Times New Roman"/>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Pr="0048699E">
        <w:rPr>
          <w:rFonts w:cs="Times New Roman"/>
          <w:szCs w:val="24"/>
        </w:rPr>
        <w:t xml:space="preserve"> </w:t>
      </w:r>
      <w:r w:rsidRPr="00CC66C1">
        <w:rPr>
          <w:rFonts w:cs="Times New Roman"/>
          <w:szCs w:val="24"/>
        </w:rPr>
        <w:fldChar w:fldCharType="begin" w:fldLock="1"/>
      </w:r>
      <w:r w:rsidR="00C1188C">
        <w:rPr>
          <w:rFonts w:cs="Times New Roman"/>
          <w:szCs w:val="24"/>
        </w:rPr>
        <w:instrText>ADDIN CSL_CITATION {"citationItems":[{"id":"ITEM-1","itemData":{"DOI":"10.1001/jama.2015.12334","ISSN":"15383598","abstract":"IMPORTANCE: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Association","id":"ITEM-1","issue":"16","issued":{"date-parts":[["2015","10"]]},"page":"1701-1710","publisher":"American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2c88c5d9-bfcc-3520-b6bd-db50c835be5e","http://www.mendeley.com/documents/?uuid=14481e58-7f37-4980-972f-c16576e0318f"]}],"mendeley":{"formattedCitation":"[99]","plainTextFormattedCitation":"[99]","previouslyFormattedCitation":"[99]"},"properties":{"noteIndex":0},"schema":"https://github.com/citation-style-language/schema/raw/master/csl-citation.json"}</w:instrText>
      </w:r>
      <w:r w:rsidRPr="00CC66C1">
        <w:rPr>
          <w:rFonts w:cs="Times New Roman"/>
          <w:szCs w:val="24"/>
        </w:rPr>
        <w:fldChar w:fldCharType="end"/>
      </w:r>
      <w:r w:rsidR="000768AC">
        <w:rPr>
          <w:rFonts w:cs="Times New Roman"/>
          <w:szCs w:val="24"/>
        </w:rPr>
        <w:t>[99]</w:t>
      </w:r>
      <w:r w:rsidR="004C1C16">
        <w:rPr>
          <w:rFonts w:cs="Times New Roman"/>
          <w:szCs w:val="24"/>
        </w:rPr>
        <w:t>[99][99][99]</w:t>
      </w:r>
      <w:r w:rsidR="00FD2D61">
        <w:rPr>
          <w:rFonts w:cs="Times New Roman"/>
          <w:szCs w:val="24"/>
        </w:rPr>
        <w:t>[99][99][99]</w:t>
      </w:r>
      <w:r w:rsidR="00146A73">
        <w:rPr>
          <w:rFonts w:cs="Times New Roman"/>
          <w:szCs w:val="24"/>
        </w:rPr>
        <w:t>[99][99]</w:t>
      </w:r>
      <w:r w:rsidR="00B436BD">
        <w:rPr>
          <w:rFonts w:cs="Times New Roman"/>
          <w:szCs w:val="24"/>
        </w:rPr>
        <w:t>[99]</w:t>
      </w:r>
      <w:r w:rsidR="00C1188C">
        <w:rPr>
          <w:rFonts w:cs="Times New Roman"/>
          <w:szCs w:val="24"/>
        </w:rPr>
        <w:t>[99]</w:t>
      </w:r>
      <w:r>
        <w:rPr>
          <w:rFonts w:cs="Times New Roman"/>
          <w:szCs w:val="24"/>
        </w:rPr>
        <w:t>[99][1]</w:t>
      </w:r>
      <w:r w:rsidRPr="00CC66C1">
        <w:rPr>
          <w:rFonts w:cs="Times New Roman"/>
          <w:szCs w:val="24"/>
        </w:rPr>
        <w:t xml:space="preserve">. </w:t>
      </w:r>
    </w:p>
    <w:p w14:paraId="746B1970" w14:textId="77777777" w:rsidR="003B7A61" w:rsidRPr="00CC66C1" w:rsidRDefault="003B7A61" w:rsidP="003B7A61">
      <w:pPr>
        <w:rPr>
          <w:rFonts w:cs="Times New Roman"/>
          <w:szCs w:val="24"/>
        </w:rPr>
      </w:pPr>
      <w:r w:rsidRPr="00CC66C1">
        <w:rPr>
          <w:rFonts w:cs="Times New Roman"/>
          <w:szCs w:val="24"/>
        </w:rPr>
        <w:t xml:space="preserve">Введение 1000 мл 0,9% натрия хлорида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C66C1">
        <w:rPr>
          <w:rFonts w:cs="Times New Roman"/>
          <w:szCs w:val="24"/>
          <w:lang w:val="en-US"/>
        </w:rPr>
        <w:t>Na</w:t>
      </w:r>
      <w:r w:rsidRPr="00CC66C1">
        <w:rPr>
          <w:rFonts w:cs="Times New Roman"/>
          <w:szCs w:val="24"/>
        </w:rPr>
        <w:t xml:space="preserve">).   Принимая во внимание побочные эффекты, следует избегать использования 0,9% </w:t>
      </w:r>
      <w:r w:rsidRPr="00CC66C1">
        <w:rPr>
          <w:rFonts w:cs="Times New Roman"/>
          <w:szCs w:val="24"/>
          <w:lang w:val="en-US"/>
        </w:rPr>
        <w:t>NaCl</w:t>
      </w:r>
      <w:r w:rsidRPr="00CC66C1">
        <w:rPr>
          <w:rFonts w:cs="Times New Roman"/>
          <w:szCs w:val="24"/>
        </w:rPr>
        <w:t xml:space="preserve"> для ИТ и применять его в качестве растворителя для фармакологических препаратов. </w:t>
      </w:r>
    </w:p>
    <w:p w14:paraId="4BBBDC04" w14:textId="77777777" w:rsidR="003B7A61" w:rsidRPr="00CC66C1" w:rsidRDefault="003B7A61" w:rsidP="003B7A61">
      <w:pPr>
        <w:rPr>
          <w:rFonts w:cs="Times New Roman"/>
          <w:szCs w:val="24"/>
        </w:rPr>
      </w:pPr>
      <w:r w:rsidRPr="00CC66C1">
        <w:rPr>
          <w:rFonts w:cs="Times New Roman"/>
          <w:i/>
          <w:szCs w:val="24"/>
        </w:rPr>
        <w:t>Сбалансированные кристаллоидные растворы (Стерофундин, Плазмалит, Рингер-лактат (таб.1))</w:t>
      </w:r>
      <w:r w:rsidRPr="00CC66C1">
        <w:rPr>
          <w:rFonts w:cs="Times New Roman"/>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раствор Рингер-лактата</w:t>
      </w:r>
      <w:r w:rsidRPr="00CC66C1">
        <w:rPr>
          <w:rFonts w:cs="Times New Roman"/>
          <w:i/>
          <w:szCs w:val="24"/>
        </w:rPr>
        <w:t xml:space="preserve"> </w:t>
      </w:r>
      <w:r w:rsidRPr="00CC66C1">
        <w:rPr>
          <w:rFonts w:cs="Times New Roman"/>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00F468E3" w14:textId="77777777" w:rsidR="003B7A61" w:rsidRPr="00CC66C1" w:rsidRDefault="003B7A61" w:rsidP="003B7A61">
      <w:pPr>
        <w:rPr>
          <w:rFonts w:cs="Times New Roman"/>
          <w:szCs w:val="24"/>
        </w:rPr>
      </w:pPr>
      <w:r w:rsidRPr="00CC66C1">
        <w:rPr>
          <w:rFonts w:cs="Times New Roman"/>
          <w:szCs w:val="24"/>
        </w:rPr>
        <w:t xml:space="preserve">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пациентов с циркуляторным шоком. Необходимо с осторожностью использовать раствор Рингер – Лактата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3B68815D" w14:textId="77777777" w:rsidR="003B7A61" w:rsidRPr="00CC66C1" w:rsidRDefault="003B7A61" w:rsidP="003B7A61">
      <w:pPr>
        <w:ind w:firstLine="708"/>
        <w:rPr>
          <w:rFonts w:cs="Times New Roman"/>
          <w:szCs w:val="24"/>
        </w:rPr>
      </w:pPr>
      <w:r w:rsidRPr="00CC66C1">
        <w:rPr>
          <w:rFonts w:cs="Times New Roman"/>
          <w:szCs w:val="24"/>
        </w:rPr>
        <w:t xml:space="preserve">Современные растворы, такие как </w:t>
      </w:r>
      <w:r w:rsidRPr="00CC66C1">
        <w:rPr>
          <w:rFonts w:cs="Times New Roman"/>
          <w:i/>
          <w:szCs w:val="24"/>
        </w:rPr>
        <w:t>Стерофундин, Плазмалит</w:t>
      </w:r>
      <w:r w:rsidRPr="00CC66C1">
        <w:rPr>
          <w:rFonts w:cs="Times New Roman"/>
          <w:szCs w:val="24"/>
        </w:rPr>
        <w:t xml:space="preserve"> и др.,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диареи, рвоте, лихорадке. </w:t>
      </w:r>
    </w:p>
    <w:p w14:paraId="3337AFC5" w14:textId="77777777" w:rsidR="003B7A61" w:rsidRPr="00CC66C1" w:rsidRDefault="003B7A61" w:rsidP="003B7A61">
      <w:pPr>
        <w:rPr>
          <w:rFonts w:cs="Times New Roman"/>
          <w:szCs w:val="24"/>
        </w:rPr>
      </w:pPr>
      <w:r w:rsidRPr="00CC66C1">
        <w:rPr>
          <w:rFonts w:cs="Times New Roman"/>
          <w:szCs w:val="24"/>
        </w:rPr>
        <w:t xml:space="preserve">Не рекомендуется использование изотонического раствора  натрия хлорида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7A5ED57B" w14:textId="77777777" w:rsidR="003B7A61" w:rsidRPr="00CC66C1" w:rsidRDefault="003B7A61" w:rsidP="003B7A61">
      <w:pPr>
        <w:rPr>
          <w:rFonts w:cs="Times New Roman"/>
          <w:szCs w:val="24"/>
        </w:rPr>
      </w:pPr>
      <w:r w:rsidRPr="00CC66C1">
        <w:rPr>
          <w:rFonts w:cs="Times New Roman"/>
          <w:szCs w:val="24"/>
        </w:rPr>
        <w:t xml:space="preserve">Растворы глюкозы в настоящее время для инфузионной терапии практически не применяются. Это связано как с побочными эффектами – гипергликемия  и повышение концентрации лактата крови, так и с низкой волемической активностью 5% раствора глюкозы: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2330C360" w14:textId="77777777" w:rsidR="003B7A61" w:rsidRDefault="003B7A61" w:rsidP="003B7A61">
      <w:pPr>
        <w:rPr>
          <w:rFonts w:cs="Times New Roman"/>
          <w:szCs w:val="24"/>
        </w:rPr>
      </w:pPr>
    </w:p>
    <w:p w14:paraId="20C3FEBD" w14:textId="77777777" w:rsidR="003B7A61" w:rsidRPr="00CC66C1" w:rsidRDefault="003B7A61" w:rsidP="003B7A61">
      <w:pPr>
        <w:rPr>
          <w:rFonts w:cs="Times New Roman"/>
          <w:szCs w:val="24"/>
        </w:rPr>
      </w:pPr>
      <w:r w:rsidRPr="00CC66C1">
        <w:rPr>
          <w:rFonts w:cs="Times New Roman"/>
          <w:szCs w:val="24"/>
        </w:rPr>
        <w:t>Таблица 1. Кристаллоидные растворы</w:t>
      </w:r>
    </w:p>
    <w:tbl>
      <w:tblPr>
        <w:tblStyle w:val="aff9"/>
        <w:tblW w:w="0" w:type="auto"/>
        <w:tblLook w:val="04A0" w:firstRow="1" w:lastRow="0" w:firstColumn="1" w:lastColumn="0" w:noHBand="0" w:noVBand="1"/>
      </w:tblPr>
      <w:tblGrid>
        <w:gridCol w:w="1863"/>
        <w:gridCol w:w="1721"/>
        <w:gridCol w:w="1659"/>
        <w:gridCol w:w="1728"/>
        <w:gridCol w:w="1808"/>
      </w:tblGrid>
      <w:tr w:rsidR="003B7A61" w:rsidRPr="00CC66C1" w14:paraId="225E7A05" w14:textId="77777777" w:rsidTr="005A428D">
        <w:tc>
          <w:tcPr>
            <w:tcW w:w="1914" w:type="dxa"/>
          </w:tcPr>
          <w:p w14:paraId="1A10495E" w14:textId="77777777" w:rsidR="003B7A61" w:rsidRPr="00CC66C1" w:rsidRDefault="003B7A61" w:rsidP="003B7A61">
            <w:pPr>
              <w:ind w:firstLine="0"/>
              <w:jc w:val="center"/>
              <w:rPr>
                <w:rFonts w:cs="Times New Roman"/>
                <w:b/>
                <w:szCs w:val="24"/>
              </w:rPr>
            </w:pPr>
            <w:r w:rsidRPr="00CC66C1">
              <w:rPr>
                <w:rFonts w:cs="Times New Roman"/>
                <w:b/>
                <w:szCs w:val="24"/>
              </w:rPr>
              <w:t>Компоненты</w:t>
            </w:r>
          </w:p>
        </w:tc>
        <w:tc>
          <w:tcPr>
            <w:tcW w:w="1914" w:type="dxa"/>
          </w:tcPr>
          <w:p w14:paraId="7DDB512B" w14:textId="77777777" w:rsidR="003B7A61" w:rsidRPr="00CC66C1" w:rsidRDefault="003B7A61" w:rsidP="003B7A61">
            <w:pPr>
              <w:ind w:firstLine="0"/>
              <w:jc w:val="center"/>
              <w:rPr>
                <w:rFonts w:cs="Times New Roman"/>
                <w:b/>
                <w:szCs w:val="24"/>
              </w:rPr>
            </w:pPr>
            <w:r w:rsidRPr="00CC66C1">
              <w:rPr>
                <w:rFonts w:cs="Times New Roman"/>
                <w:b/>
                <w:szCs w:val="24"/>
              </w:rPr>
              <w:t>Плазма</w:t>
            </w:r>
          </w:p>
        </w:tc>
        <w:tc>
          <w:tcPr>
            <w:tcW w:w="1914" w:type="dxa"/>
          </w:tcPr>
          <w:p w14:paraId="61C5DD66" w14:textId="77777777" w:rsidR="003B7A61" w:rsidRPr="00CC66C1" w:rsidRDefault="003B7A61" w:rsidP="003B7A61">
            <w:pPr>
              <w:ind w:firstLine="0"/>
              <w:jc w:val="center"/>
              <w:rPr>
                <w:rFonts w:cs="Times New Roman"/>
                <w:b/>
                <w:szCs w:val="24"/>
                <w:lang w:val="en-US"/>
              </w:rPr>
            </w:pPr>
            <w:r w:rsidRPr="00CC66C1">
              <w:rPr>
                <w:rFonts w:cs="Times New Roman"/>
                <w:b/>
                <w:szCs w:val="24"/>
              </w:rPr>
              <w:t xml:space="preserve">0,9% </w:t>
            </w:r>
            <w:r w:rsidRPr="00CC66C1">
              <w:rPr>
                <w:rFonts w:cs="Times New Roman"/>
                <w:b/>
                <w:szCs w:val="24"/>
                <w:lang w:val="en-US"/>
              </w:rPr>
              <w:t>NaCl</w:t>
            </w:r>
          </w:p>
        </w:tc>
        <w:tc>
          <w:tcPr>
            <w:tcW w:w="1914" w:type="dxa"/>
          </w:tcPr>
          <w:p w14:paraId="7ECB78C7" w14:textId="77777777" w:rsidR="003B7A61" w:rsidRPr="00CC66C1" w:rsidRDefault="003B7A61" w:rsidP="003B7A61">
            <w:pPr>
              <w:ind w:firstLine="0"/>
              <w:jc w:val="center"/>
              <w:rPr>
                <w:rFonts w:cs="Times New Roman"/>
                <w:b/>
                <w:szCs w:val="24"/>
              </w:rPr>
            </w:pPr>
            <w:r w:rsidRPr="00CC66C1">
              <w:rPr>
                <w:rFonts w:cs="Times New Roman"/>
                <w:b/>
                <w:szCs w:val="24"/>
              </w:rPr>
              <w:t>Рингер-лактат</w:t>
            </w:r>
          </w:p>
        </w:tc>
        <w:tc>
          <w:tcPr>
            <w:tcW w:w="1915" w:type="dxa"/>
          </w:tcPr>
          <w:p w14:paraId="5EE56B9E" w14:textId="77777777" w:rsidR="003B7A61" w:rsidRPr="00CC66C1" w:rsidRDefault="003B7A61" w:rsidP="003B7A61">
            <w:pPr>
              <w:ind w:firstLine="0"/>
              <w:jc w:val="center"/>
              <w:rPr>
                <w:rFonts w:cs="Times New Roman"/>
                <w:b/>
                <w:szCs w:val="24"/>
              </w:rPr>
            </w:pPr>
            <w:r w:rsidRPr="00CC66C1">
              <w:rPr>
                <w:rFonts w:cs="Times New Roman"/>
                <w:b/>
                <w:szCs w:val="24"/>
              </w:rPr>
              <w:t>Плазмалит</w:t>
            </w:r>
          </w:p>
        </w:tc>
      </w:tr>
      <w:tr w:rsidR="003B7A61" w:rsidRPr="00CC66C1" w14:paraId="6133BCFA" w14:textId="77777777" w:rsidTr="005A428D">
        <w:tc>
          <w:tcPr>
            <w:tcW w:w="1914" w:type="dxa"/>
          </w:tcPr>
          <w:p w14:paraId="1D7BE1B1" w14:textId="77777777" w:rsidR="003B7A61" w:rsidRPr="00CC66C1" w:rsidRDefault="003B7A61" w:rsidP="003B7A61">
            <w:pPr>
              <w:ind w:firstLine="0"/>
              <w:jc w:val="center"/>
              <w:rPr>
                <w:rFonts w:cs="Times New Roman"/>
                <w:szCs w:val="24"/>
              </w:rPr>
            </w:pPr>
            <w:r w:rsidRPr="00CC66C1">
              <w:rPr>
                <w:rFonts w:cs="Times New Roman"/>
                <w:szCs w:val="24"/>
              </w:rPr>
              <w:t>Натрий (ммоль/л)</w:t>
            </w:r>
          </w:p>
        </w:tc>
        <w:tc>
          <w:tcPr>
            <w:tcW w:w="1914" w:type="dxa"/>
          </w:tcPr>
          <w:p w14:paraId="348E0EE8" w14:textId="77777777" w:rsidR="003B7A61" w:rsidRPr="00CC66C1" w:rsidRDefault="003B7A61" w:rsidP="003B7A61">
            <w:pPr>
              <w:ind w:firstLine="0"/>
              <w:jc w:val="center"/>
              <w:rPr>
                <w:rFonts w:cs="Times New Roman"/>
                <w:szCs w:val="24"/>
              </w:rPr>
            </w:pPr>
            <w:r w:rsidRPr="00CC66C1">
              <w:rPr>
                <w:rFonts w:cs="Times New Roman"/>
                <w:szCs w:val="24"/>
              </w:rPr>
              <w:t>135-145</w:t>
            </w:r>
          </w:p>
        </w:tc>
        <w:tc>
          <w:tcPr>
            <w:tcW w:w="1914" w:type="dxa"/>
          </w:tcPr>
          <w:p w14:paraId="48DE9852"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154</w:t>
            </w:r>
          </w:p>
        </w:tc>
        <w:tc>
          <w:tcPr>
            <w:tcW w:w="1914" w:type="dxa"/>
          </w:tcPr>
          <w:p w14:paraId="1E866AEA"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130</w:t>
            </w:r>
          </w:p>
        </w:tc>
        <w:tc>
          <w:tcPr>
            <w:tcW w:w="1915" w:type="dxa"/>
          </w:tcPr>
          <w:p w14:paraId="25C066C8" w14:textId="77777777" w:rsidR="003B7A61" w:rsidRPr="00CC66C1" w:rsidRDefault="003B7A61" w:rsidP="003B7A61">
            <w:pPr>
              <w:ind w:firstLine="0"/>
              <w:jc w:val="center"/>
              <w:rPr>
                <w:rFonts w:cs="Times New Roman"/>
                <w:szCs w:val="24"/>
              </w:rPr>
            </w:pPr>
            <w:r w:rsidRPr="00CC66C1">
              <w:rPr>
                <w:rFonts w:cs="Times New Roman"/>
                <w:szCs w:val="24"/>
              </w:rPr>
              <w:t>140</w:t>
            </w:r>
          </w:p>
        </w:tc>
      </w:tr>
      <w:tr w:rsidR="003B7A61" w:rsidRPr="00CC66C1" w14:paraId="41DA5B6F" w14:textId="77777777" w:rsidTr="005A428D">
        <w:tc>
          <w:tcPr>
            <w:tcW w:w="1914" w:type="dxa"/>
          </w:tcPr>
          <w:p w14:paraId="18E5B71D" w14:textId="77777777" w:rsidR="003B7A61" w:rsidRPr="00CC66C1" w:rsidRDefault="003B7A61" w:rsidP="003B7A61">
            <w:pPr>
              <w:ind w:firstLine="0"/>
              <w:jc w:val="center"/>
              <w:rPr>
                <w:rFonts w:cs="Times New Roman"/>
                <w:szCs w:val="24"/>
              </w:rPr>
            </w:pPr>
            <w:r w:rsidRPr="00CC66C1">
              <w:rPr>
                <w:rFonts w:cs="Times New Roman"/>
                <w:szCs w:val="24"/>
              </w:rPr>
              <w:t>Хлорид (ммоль/л)</w:t>
            </w:r>
          </w:p>
        </w:tc>
        <w:tc>
          <w:tcPr>
            <w:tcW w:w="1914" w:type="dxa"/>
          </w:tcPr>
          <w:p w14:paraId="3FAE836A" w14:textId="77777777" w:rsidR="003B7A61" w:rsidRPr="00CC66C1" w:rsidRDefault="003B7A61" w:rsidP="003B7A61">
            <w:pPr>
              <w:ind w:firstLine="0"/>
              <w:jc w:val="center"/>
              <w:rPr>
                <w:rFonts w:cs="Times New Roman"/>
                <w:szCs w:val="24"/>
              </w:rPr>
            </w:pPr>
            <w:r w:rsidRPr="00CC66C1">
              <w:rPr>
                <w:rFonts w:cs="Times New Roman"/>
                <w:szCs w:val="24"/>
              </w:rPr>
              <w:t>98-106</w:t>
            </w:r>
          </w:p>
        </w:tc>
        <w:tc>
          <w:tcPr>
            <w:tcW w:w="1914" w:type="dxa"/>
          </w:tcPr>
          <w:p w14:paraId="24F455F9"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154</w:t>
            </w:r>
          </w:p>
        </w:tc>
        <w:tc>
          <w:tcPr>
            <w:tcW w:w="1914" w:type="dxa"/>
          </w:tcPr>
          <w:p w14:paraId="4C92EA7A"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109</w:t>
            </w:r>
          </w:p>
        </w:tc>
        <w:tc>
          <w:tcPr>
            <w:tcW w:w="1915" w:type="dxa"/>
          </w:tcPr>
          <w:p w14:paraId="3B3A2CED" w14:textId="77777777" w:rsidR="003B7A61" w:rsidRPr="00CC66C1" w:rsidRDefault="003B7A61" w:rsidP="003B7A61">
            <w:pPr>
              <w:ind w:firstLine="0"/>
              <w:jc w:val="center"/>
              <w:rPr>
                <w:rFonts w:cs="Times New Roman"/>
                <w:szCs w:val="24"/>
              </w:rPr>
            </w:pPr>
            <w:r w:rsidRPr="00CC66C1">
              <w:rPr>
                <w:rFonts w:cs="Times New Roman"/>
                <w:szCs w:val="24"/>
              </w:rPr>
              <w:t>98</w:t>
            </w:r>
          </w:p>
        </w:tc>
      </w:tr>
      <w:tr w:rsidR="003B7A61" w:rsidRPr="00CC66C1" w14:paraId="1DD4240D" w14:textId="77777777" w:rsidTr="005A428D">
        <w:tc>
          <w:tcPr>
            <w:tcW w:w="1914" w:type="dxa"/>
          </w:tcPr>
          <w:p w14:paraId="70F29B45" w14:textId="77777777" w:rsidR="003B7A61" w:rsidRPr="00CC66C1" w:rsidRDefault="003B7A61" w:rsidP="003B7A61">
            <w:pPr>
              <w:ind w:firstLine="0"/>
              <w:jc w:val="center"/>
              <w:rPr>
                <w:rFonts w:cs="Times New Roman"/>
                <w:szCs w:val="24"/>
              </w:rPr>
            </w:pPr>
            <w:r w:rsidRPr="00CC66C1">
              <w:rPr>
                <w:rFonts w:cs="Times New Roman"/>
                <w:szCs w:val="24"/>
              </w:rPr>
              <w:t>Калий (ммоль/л)</w:t>
            </w:r>
          </w:p>
        </w:tc>
        <w:tc>
          <w:tcPr>
            <w:tcW w:w="1914" w:type="dxa"/>
          </w:tcPr>
          <w:p w14:paraId="263BA020" w14:textId="77777777" w:rsidR="003B7A61" w:rsidRPr="00CC66C1" w:rsidRDefault="003B7A61" w:rsidP="003B7A61">
            <w:pPr>
              <w:ind w:firstLine="0"/>
              <w:jc w:val="center"/>
              <w:rPr>
                <w:rFonts w:cs="Times New Roman"/>
                <w:szCs w:val="24"/>
              </w:rPr>
            </w:pPr>
            <w:r w:rsidRPr="00CC66C1">
              <w:rPr>
                <w:rFonts w:cs="Times New Roman"/>
                <w:szCs w:val="24"/>
              </w:rPr>
              <w:t>3,5-5,0</w:t>
            </w:r>
          </w:p>
        </w:tc>
        <w:tc>
          <w:tcPr>
            <w:tcW w:w="1914" w:type="dxa"/>
          </w:tcPr>
          <w:p w14:paraId="587AC16B"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w:t>
            </w:r>
          </w:p>
        </w:tc>
        <w:tc>
          <w:tcPr>
            <w:tcW w:w="1914" w:type="dxa"/>
          </w:tcPr>
          <w:p w14:paraId="785AFEE2"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4</w:t>
            </w:r>
          </w:p>
        </w:tc>
        <w:tc>
          <w:tcPr>
            <w:tcW w:w="1915" w:type="dxa"/>
          </w:tcPr>
          <w:p w14:paraId="55F11C36" w14:textId="77777777" w:rsidR="003B7A61" w:rsidRPr="00CC66C1" w:rsidRDefault="003B7A61" w:rsidP="003B7A61">
            <w:pPr>
              <w:ind w:firstLine="0"/>
              <w:jc w:val="center"/>
              <w:rPr>
                <w:rFonts w:cs="Times New Roman"/>
                <w:szCs w:val="24"/>
              </w:rPr>
            </w:pPr>
            <w:r w:rsidRPr="00CC66C1">
              <w:rPr>
                <w:rFonts w:cs="Times New Roman"/>
                <w:szCs w:val="24"/>
              </w:rPr>
              <w:t>5</w:t>
            </w:r>
          </w:p>
        </w:tc>
      </w:tr>
      <w:tr w:rsidR="003B7A61" w:rsidRPr="00CC66C1" w14:paraId="49B0568A" w14:textId="77777777" w:rsidTr="005A428D">
        <w:tc>
          <w:tcPr>
            <w:tcW w:w="1914" w:type="dxa"/>
          </w:tcPr>
          <w:p w14:paraId="6E77D7CB" w14:textId="77777777" w:rsidR="003B7A61" w:rsidRPr="00CC66C1" w:rsidRDefault="003B7A61" w:rsidP="003B7A61">
            <w:pPr>
              <w:ind w:firstLine="0"/>
              <w:jc w:val="center"/>
              <w:rPr>
                <w:rFonts w:cs="Times New Roman"/>
                <w:szCs w:val="24"/>
              </w:rPr>
            </w:pPr>
            <w:r w:rsidRPr="00CC66C1">
              <w:rPr>
                <w:rFonts w:cs="Times New Roman"/>
                <w:szCs w:val="24"/>
              </w:rPr>
              <w:t>Кальций (мг/дл)</w:t>
            </w:r>
          </w:p>
        </w:tc>
        <w:tc>
          <w:tcPr>
            <w:tcW w:w="1914" w:type="dxa"/>
          </w:tcPr>
          <w:p w14:paraId="069E751F" w14:textId="77777777" w:rsidR="003B7A61" w:rsidRPr="00CC66C1" w:rsidRDefault="003B7A61" w:rsidP="003B7A61">
            <w:pPr>
              <w:ind w:firstLine="0"/>
              <w:jc w:val="center"/>
              <w:rPr>
                <w:rFonts w:cs="Times New Roman"/>
                <w:szCs w:val="24"/>
              </w:rPr>
            </w:pPr>
            <w:r w:rsidRPr="00CC66C1">
              <w:rPr>
                <w:rFonts w:cs="Times New Roman"/>
                <w:szCs w:val="24"/>
              </w:rPr>
              <w:t>3,0-4,5</w:t>
            </w:r>
          </w:p>
        </w:tc>
        <w:tc>
          <w:tcPr>
            <w:tcW w:w="1914" w:type="dxa"/>
          </w:tcPr>
          <w:p w14:paraId="07FFC8CF"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w:t>
            </w:r>
          </w:p>
        </w:tc>
        <w:tc>
          <w:tcPr>
            <w:tcW w:w="1914" w:type="dxa"/>
          </w:tcPr>
          <w:p w14:paraId="7AC7568E"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4</w:t>
            </w:r>
          </w:p>
        </w:tc>
        <w:tc>
          <w:tcPr>
            <w:tcW w:w="1915" w:type="dxa"/>
          </w:tcPr>
          <w:p w14:paraId="4C508FFA" w14:textId="77777777" w:rsidR="003B7A61" w:rsidRPr="00CC66C1" w:rsidRDefault="003B7A61" w:rsidP="003B7A61">
            <w:pPr>
              <w:ind w:firstLine="0"/>
              <w:jc w:val="center"/>
              <w:rPr>
                <w:rFonts w:cs="Times New Roman"/>
                <w:szCs w:val="24"/>
              </w:rPr>
            </w:pPr>
            <w:r w:rsidRPr="00CC66C1">
              <w:rPr>
                <w:rFonts w:cs="Times New Roman"/>
                <w:szCs w:val="24"/>
              </w:rPr>
              <w:t>-</w:t>
            </w:r>
          </w:p>
        </w:tc>
      </w:tr>
      <w:tr w:rsidR="003B7A61" w:rsidRPr="00CC66C1" w14:paraId="103FFA8C" w14:textId="77777777" w:rsidTr="005A428D">
        <w:tc>
          <w:tcPr>
            <w:tcW w:w="1914" w:type="dxa"/>
          </w:tcPr>
          <w:p w14:paraId="0CF4DB7B" w14:textId="77777777" w:rsidR="003B7A61" w:rsidRPr="00CC66C1" w:rsidRDefault="003B7A61" w:rsidP="003B7A61">
            <w:pPr>
              <w:ind w:firstLine="0"/>
              <w:jc w:val="center"/>
              <w:rPr>
                <w:rFonts w:cs="Times New Roman"/>
                <w:szCs w:val="24"/>
              </w:rPr>
            </w:pPr>
            <w:r w:rsidRPr="00CC66C1">
              <w:rPr>
                <w:rFonts w:cs="Times New Roman"/>
                <w:szCs w:val="24"/>
              </w:rPr>
              <w:t>Магний (ммоль/л)</w:t>
            </w:r>
          </w:p>
        </w:tc>
        <w:tc>
          <w:tcPr>
            <w:tcW w:w="1914" w:type="dxa"/>
          </w:tcPr>
          <w:p w14:paraId="2894AE04" w14:textId="77777777" w:rsidR="003B7A61" w:rsidRPr="00CC66C1" w:rsidRDefault="003B7A61" w:rsidP="003B7A61">
            <w:pPr>
              <w:ind w:firstLine="0"/>
              <w:jc w:val="center"/>
              <w:rPr>
                <w:rFonts w:cs="Times New Roman"/>
                <w:szCs w:val="24"/>
              </w:rPr>
            </w:pPr>
            <w:r w:rsidRPr="00CC66C1">
              <w:rPr>
                <w:rFonts w:cs="Times New Roman"/>
                <w:szCs w:val="24"/>
              </w:rPr>
              <w:t>0,7-1,2</w:t>
            </w:r>
          </w:p>
        </w:tc>
        <w:tc>
          <w:tcPr>
            <w:tcW w:w="1914" w:type="dxa"/>
          </w:tcPr>
          <w:p w14:paraId="6AE488FF"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w:t>
            </w:r>
          </w:p>
        </w:tc>
        <w:tc>
          <w:tcPr>
            <w:tcW w:w="1914" w:type="dxa"/>
          </w:tcPr>
          <w:p w14:paraId="5C688BA8"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w:t>
            </w:r>
          </w:p>
        </w:tc>
        <w:tc>
          <w:tcPr>
            <w:tcW w:w="1915" w:type="dxa"/>
          </w:tcPr>
          <w:p w14:paraId="31C290F6" w14:textId="77777777" w:rsidR="003B7A61" w:rsidRPr="00CC66C1" w:rsidRDefault="003B7A61" w:rsidP="003B7A61">
            <w:pPr>
              <w:ind w:firstLine="0"/>
              <w:jc w:val="center"/>
              <w:rPr>
                <w:rFonts w:cs="Times New Roman"/>
                <w:szCs w:val="24"/>
              </w:rPr>
            </w:pPr>
            <w:r w:rsidRPr="00CC66C1">
              <w:rPr>
                <w:rFonts w:cs="Times New Roman"/>
                <w:szCs w:val="24"/>
              </w:rPr>
              <w:t>3</w:t>
            </w:r>
          </w:p>
        </w:tc>
      </w:tr>
      <w:tr w:rsidR="003B7A61" w:rsidRPr="00CC66C1" w14:paraId="0A2C0753" w14:textId="77777777" w:rsidTr="005A428D">
        <w:tc>
          <w:tcPr>
            <w:tcW w:w="1914" w:type="dxa"/>
          </w:tcPr>
          <w:p w14:paraId="017B83C9" w14:textId="77777777" w:rsidR="003B7A61" w:rsidRPr="00CC66C1" w:rsidRDefault="003B7A61" w:rsidP="003B7A61">
            <w:pPr>
              <w:ind w:firstLine="0"/>
              <w:jc w:val="center"/>
              <w:rPr>
                <w:rFonts w:cs="Times New Roman"/>
                <w:szCs w:val="24"/>
              </w:rPr>
            </w:pPr>
            <w:r w:rsidRPr="00CC66C1">
              <w:rPr>
                <w:rFonts w:cs="Times New Roman"/>
                <w:szCs w:val="24"/>
              </w:rPr>
              <w:t>Буфер (ммоль/л)</w:t>
            </w:r>
          </w:p>
        </w:tc>
        <w:tc>
          <w:tcPr>
            <w:tcW w:w="1914" w:type="dxa"/>
          </w:tcPr>
          <w:p w14:paraId="7A7B6EF6" w14:textId="77777777" w:rsidR="003B7A61" w:rsidRPr="00CC66C1" w:rsidRDefault="003B7A61" w:rsidP="003B7A61">
            <w:pPr>
              <w:ind w:firstLine="0"/>
              <w:jc w:val="center"/>
              <w:rPr>
                <w:rFonts w:cs="Times New Roman"/>
                <w:szCs w:val="24"/>
                <w:vertAlign w:val="subscript"/>
                <w:lang w:val="en-US"/>
              </w:rPr>
            </w:pPr>
            <w:r w:rsidRPr="00CC66C1">
              <w:rPr>
                <w:rFonts w:cs="Times New Roman"/>
                <w:szCs w:val="24"/>
                <w:lang w:val="en-US"/>
              </w:rPr>
              <w:t>HCO</w:t>
            </w:r>
            <w:r w:rsidRPr="00CC66C1">
              <w:rPr>
                <w:rFonts w:cs="Times New Roman"/>
                <w:szCs w:val="24"/>
                <w:vertAlign w:val="superscript"/>
                <w:lang w:val="en-US"/>
              </w:rPr>
              <w:t>-</w:t>
            </w:r>
            <w:r w:rsidRPr="00CC66C1">
              <w:rPr>
                <w:rFonts w:cs="Times New Roman"/>
                <w:szCs w:val="24"/>
                <w:vertAlign w:val="subscript"/>
                <w:lang w:val="en-US"/>
              </w:rPr>
              <w:t>3</w:t>
            </w:r>
          </w:p>
          <w:p w14:paraId="6C5CD55E"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(22-28)</w:t>
            </w:r>
          </w:p>
        </w:tc>
        <w:tc>
          <w:tcPr>
            <w:tcW w:w="1914" w:type="dxa"/>
          </w:tcPr>
          <w:p w14:paraId="40726239"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w:t>
            </w:r>
          </w:p>
        </w:tc>
        <w:tc>
          <w:tcPr>
            <w:tcW w:w="1914" w:type="dxa"/>
          </w:tcPr>
          <w:p w14:paraId="7F2EEDE9" w14:textId="77777777" w:rsidR="003B7A61" w:rsidRPr="00CC66C1" w:rsidRDefault="003B7A61" w:rsidP="003B7A61">
            <w:pPr>
              <w:ind w:firstLine="0"/>
              <w:jc w:val="center"/>
              <w:rPr>
                <w:rFonts w:cs="Times New Roman"/>
                <w:szCs w:val="24"/>
              </w:rPr>
            </w:pPr>
            <w:r w:rsidRPr="00CC66C1">
              <w:rPr>
                <w:rFonts w:cs="Times New Roman"/>
                <w:szCs w:val="24"/>
              </w:rPr>
              <w:t>Лактат (28)</w:t>
            </w:r>
          </w:p>
        </w:tc>
        <w:tc>
          <w:tcPr>
            <w:tcW w:w="1915" w:type="dxa"/>
          </w:tcPr>
          <w:p w14:paraId="4669EF3E" w14:textId="77777777" w:rsidR="003B7A61" w:rsidRPr="00CC66C1" w:rsidRDefault="003B7A61" w:rsidP="003B7A61">
            <w:pPr>
              <w:ind w:firstLine="0"/>
              <w:jc w:val="center"/>
              <w:rPr>
                <w:rFonts w:cs="Times New Roman"/>
                <w:szCs w:val="24"/>
              </w:rPr>
            </w:pPr>
            <w:r w:rsidRPr="00CC66C1">
              <w:rPr>
                <w:rFonts w:cs="Times New Roman"/>
                <w:szCs w:val="24"/>
              </w:rPr>
              <w:t>Ацетат (27)</w:t>
            </w:r>
          </w:p>
          <w:p w14:paraId="690BF111" w14:textId="77777777" w:rsidR="003B7A61" w:rsidRPr="00CC66C1" w:rsidRDefault="003B7A61" w:rsidP="003B7A61">
            <w:pPr>
              <w:ind w:firstLine="0"/>
              <w:jc w:val="center"/>
              <w:rPr>
                <w:rFonts w:cs="Times New Roman"/>
                <w:szCs w:val="24"/>
              </w:rPr>
            </w:pPr>
            <w:r w:rsidRPr="00CC66C1">
              <w:rPr>
                <w:rFonts w:cs="Times New Roman"/>
                <w:szCs w:val="24"/>
              </w:rPr>
              <w:t>Глюканат (23)</w:t>
            </w:r>
          </w:p>
        </w:tc>
      </w:tr>
      <w:tr w:rsidR="003B7A61" w:rsidRPr="00CC66C1" w14:paraId="1B9C6D7F" w14:textId="77777777" w:rsidTr="005A428D">
        <w:tc>
          <w:tcPr>
            <w:tcW w:w="1914" w:type="dxa"/>
          </w:tcPr>
          <w:p w14:paraId="5621AF14" w14:textId="77777777" w:rsidR="003B7A61" w:rsidRPr="00CC66C1" w:rsidRDefault="003B7A61" w:rsidP="003B7A61">
            <w:pPr>
              <w:ind w:firstLine="0"/>
              <w:jc w:val="center"/>
              <w:rPr>
                <w:rFonts w:cs="Times New Roman"/>
                <w:szCs w:val="24"/>
              </w:rPr>
            </w:pPr>
            <w:r w:rsidRPr="00CC66C1">
              <w:rPr>
                <w:rFonts w:cs="Times New Roman"/>
                <w:szCs w:val="24"/>
              </w:rPr>
              <w:t>Осмолярность  (мОсм/л)</w:t>
            </w:r>
          </w:p>
        </w:tc>
        <w:tc>
          <w:tcPr>
            <w:tcW w:w="1914" w:type="dxa"/>
          </w:tcPr>
          <w:p w14:paraId="65466762"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290</w:t>
            </w:r>
          </w:p>
        </w:tc>
        <w:tc>
          <w:tcPr>
            <w:tcW w:w="1914" w:type="dxa"/>
          </w:tcPr>
          <w:p w14:paraId="58F901A0" w14:textId="77777777" w:rsidR="003B7A61" w:rsidRPr="00CC66C1" w:rsidRDefault="003B7A61" w:rsidP="003B7A61">
            <w:pPr>
              <w:ind w:firstLine="0"/>
              <w:jc w:val="center"/>
              <w:rPr>
                <w:rFonts w:cs="Times New Roman"/>
                <w:szCs w:val="24"/>
                <w:lang w:val="en-US"/>
              </w:rPr>
            </w:pPr>
            <w:r w:rsidRPr="00CC66C1">
              <w:rPr>
                <w:rFonts w:cs="Times New Roman"/>
                <w:szCs w:val="24"/>
                <w:lang w:val="en-US"/>
              </w:rPr>
              <w:t>308</w:t>
            </w:r>
          </w:p>
        </w:tc>
        <w:tc>
          <w:tcPr>
            <w:tcW w:w="1914" w:type="dxa"/>
          </w:tcPr>
          <w:p w14:paraId="63C04DF6" w14:textId="77777777" w:rsidR="003B7A61" w:rsidRPr="00CC66C1" w:rsidRDefault="003B7A61" w:rsidP="003B7A61">
            <w:pPr>
              <w:ind w:firstLine="0"/>
              <w:jc w:val="center"/>
              <w:rPr>
                <w:rFonts w:cs="Times New Roman"/>
                <w:szCs w:val="24"/>
              </w:rPr>
            </w:pPr>
            <w:r w:rsidRPr="00CC66C1">
              <w:rPr>
                <w:rFonts w:cs="Times New Roman"/>
                <w:szCs w:val="24"/>
              </w:rPr>
              <w:t>273</w:t>
            </w:r>
          </w:p>
        </w:tc>
        <w:tc>
          <w:tcPr>
            <w:tcW w:w="1915" w:type="dxa"/>
          </w:tcPr>
          <w:p w14:paraId="637BB35A" w14:textId="77777777" w:rsidR="003B7A61" w:rsidRPr="00CC66C1" w:rsidRDefault="003B7A61" w:rsidP="003B7A61">
            <w:pPr>
              <w:ind w:firstLine="0"/>
              <w:jc w:val="center"/>
              <w:rPr>
                <w:rFonts w:cs="Times New Roman"/>
                <w:szCs w:val="24"/>
              </w:rPr>
            </w:pPr>
            <w:r w:rsidRPr="00CC66C1">
              <w:rPr>
                <w:rFonts w:cs="Times New Roman"/>
                <w:szCs w:val="24"/>
              </w:rPr>
              <w:t>295</w:t>
            </w:r>
          </w:p>
        </w:tc>
      </w:tr>
    </w:tbl>
    <w:p w14:paraId="5B2166E5" w14:textId="77777777" w:rsidR="003B7A61" w:rsidRPr="00CC66C1" w:rsidRDefault="003B7A61" w:rsidP="003B7A61">
      <w:pPr>
        <w:rPr>
          <w:rFonts w:cs="Times New Roman"/>
          <w:szCs w:val="24"/>
        </w:rPr>
      </w:pPr>
    </w:p>
    <w:p w14:paraId="2B753D27" w14:textId="77777777" w:rsidR="003B7A61" w:rsidRPr="00CC66C1" w:rsidRDefault="003B7A61" w:rsidP="003B7A61">
      <w:pPr>
        <w:rPr>
          <w:rFonts w:cs="Times New Roman"/>
          <w:i/>
          <w:szCs w:val="24"/>
          <w:u w:val="single"/>
        </w:rPr>
      </w:pPr>
      <w:r w:rsidRPr="00CC66C1">
        <w:rPr>
          <w:rFonts w:cs="Times New Roman"/>
          <w:i/>
          <w:szCs w:val="24"/>
          <w:u w:val="single"/>
        </w:rPr>
        <w:t>Показания к проведению инфузионной терапии</w:t>
      </w:r>
    </w:p>
    <w:p w14:paraId="4BB7D277" w14:textId="77777777" w:rsidR="003B7A61" w:rsidRPr="00CC66C1" w:rsidRDefault="003B7A61" w:rsidP="003B7A61">
      <w:pPr>
        <w:rPr>
          <w:rFonts w:cs="Times New Roman"/>
          <w:szCs w:val="24"/>
        </w:rPr>
      </w:pPr>
      <w:r w:rsidRPr="00CC66C1">
        <w:rPr>
          <w:rFonts w:cs="Times New Roman"/>
          <w:szCs w:val="24"/>
        </w:rPr>
        <w:t>Основными показаниями для инфузионной терапии у пацментов с онкогематологическими заболеваниями (лейкозы, лимфомы) являются:</w:t>
      </w:r>
    </w:p>
    <w:p w14:paraId="6611FC24" w14:textId="77777777" w:rsidR="003B7A61" w:rsidRPr="00CC66C1" w:rsidRDefault="003B7A61" w:rsidP="000768AC">
      <w:pPr>
        <w:pStyle w:val="afe"/>
        <w:numPr>
          <w:ilvl w:val="0"/>
          <w:numId w:val="108"/>
        </w:numPr>
        <w:rPr>
          <w:rFonts w:cs="Times New Roman"/>
          <w:szCs w:val="24"/>
        </w:rPr>
      </w:pPr>
      <w:r w:rsidRPr="00CC66C1">
        <w:rPr>
          <w:rFonts w:cs="Times New Roman"/>
          <w:szCs w:val="24"/>
        </w:rPr>
        <w:t>Дегидратация,</w:t>
      </w:r>
      <w:r w:rsidRPr="00CC66C1">
        <w:rPr>
          <w:rFonts w:cs="Times New Roman"/>
          <w:i/>
          <w:szCs w:val="24"/>
        </w:rPr>
        <w:t xml:space="preserve"> </w:t>
      </w:r>
      <w:r w:rsidRPr="00CC66C1">
        <w:rPr>
          <w:rFonts w:cs="Times New Roman"/>
          <w:szCs w:val="24"/>
        </w:rPr>
        <w:t>причинами которой могут быть диарея, перспирация (вследствие лихорадки), рвота, алиментарная недостаточность.</w:t>
      </w:r>
    </w:p>
    <w:p w14:paraId="5B02D3E8" w14:textId="77777777" w:rsidR="003B7A61" w:rsidRPr="00CC66C1" w:rsidRDefault="003B7A61" w:rsidP="000768AC">
      <w:pPr>
        <w:pStyle w:val="afe"/>
        <w:numPr>
          <w:ilvl w:val="0"/>
          <w:numId w:val="108"/>
        </w:numPr>
        <w:rPr>
          <w:rFonts w:cs="Times New Roman"/>
          <w:szCs w:val="24"/>
        </w:rPr>
      </w:pPr>
      <w:r w:rsidRPr="00CC66C1">
        <w:rPr>
          <w:rFonts w:cs="Times New Roman"/>
          <w:szCs w:val="24"/>
        </w:rPr>
        <w:t>Гиповолемия или дефицит объема циркулирующей крови (например, при кровотечении у гематологических пациентов).</w:t>
      </w:r>
    </w:p>
    <w:p w14:paraId="16885B87" w14:textId="77777777" w:rsidR="003B7A61" w:rsidRPr="00CC66C1" w:rsidRDefault="003B7A61" w:rsidP="000768AC">
      <w:pPr>
        <w:pStyle w:val="afe"/>
        <w:numPr>
          <w:ilvl w:val="0"/>
          <w:numId w:val="108"/>
        </w:numPr>
        <w:rPr>
          <w:rFonts w:cs="Times New Roman"/>
          <w:szCs w:val="24"/>
        </w:rPr>
      </w:pPr>
      <w:r w:rsidRPr="00CC66C1">
        <w:rPr>
          <w:rFonts w:cs="Times New Roman"/>
          <w:szCs w:val="24"/>
        </w:rPr>
        <w:t xml:space="preserve">Проведение форсированного диуреза для профилактики синдрома лизиса опухоли. </w:t>
      </w:r>
    </w:p>
    <w:p w14:paraId="082C0145" w14:textId="77777777" w:rsidR="003B7A61" w:rsidRPr="00CC66C1" w:rsidRDefault="003B7A61" w:rsidP="000768AC">
      <w:pPr>
        <w:pStyle w:val="afe"/>
        <w:numPr>
          <w:ilvl w:val="0"/>
          <w:numId w:val="108"/>
        </w:numPr>
        <w:rPr>
          <w:rFonts w:cs="Times New Roman"/>
          <w:szCs w:val="24"/>
        </w:rPr>
      </w:pPr>
      <w:r w:rsidRPr="00CC66C1">
        <w:rPr>
          <w:rFonts w:cs="Times New Roman"/>
          <w:szCs w:val="24"/>
        </w:rPr>
        <w:t xml:space="preserve">Проведение терапевтической гемоделюции (для лечения ишемических и тромботических осложнений). </w:t>
      </w:r>
    </w:p>
    <w:p w14:paraId="1B396286" w14:textId="77777777" w:rsidR="003B7A61" w:rsidRPr="00CC66C1" w:rsidRDefault="003B7A61" w:rsidP="000768AC">
      <w:pPr>
        <w:pStyle w:val="afe"/>
        <w:numPr>
          <w:ilvl w:val="0"/>
          <w:numId w:val="108"/>
        </w:numPr>
        <w:rPr>
          <w:rFonts w:cs="Times New Roman"/>
          <w:szCs w:val="24"/>
        </w:rPr>
      </w:pPr>
      <w:r w:rsidRPr="00CC66C1">
        <w:rPr>
          <w:rFonts w:cs="Times New Roman"/>
          <w:szCs w:val="24"/>
        </w:rPr>
        <w:t xml:space="preserve">Коррекция электролитных нарушений. </w:t>
      </w:r>
    </w:p>
    <w:p w14:paraId="038579D6" w14:textId="77777777" w:rsidR="003B7A61" w:rsidRPr="00CC66C1" w:rsidRDefault="003B7A61" w:rsidP="000768AC">
      <w:pPr>
        <w:pStyle w:val="afe"/>
        <w:numPr>
          <w:ilvl w:val="0"/>
          <w:numId w:val="108"/>
        </w:numPr>
        <w:rPr>
          <w:rFonts w:cs="Times New Roman"/>
          <w:szCs w:val="24"/>
        </w:rPr>
      </w:pPr>
      <w:r w:rsidRPr="00CC66C1">
        <w:rPr>
          <w:rFonts w:cs="Times New Roman"/>
          <w:szCs w:val="24"/>
        </w:rPr>
        <w:t xml:space="preserve">Дезинтоксикационная терапия. </w:t>
      </w:r>
    </w:p>
    <w:p w14:paraId="329FC156" w14:textId="77777777" w:rsidR="003B7A61" w:rsidRDefault="003B7A61" w:rsidP="003B7A61">
      <w:pPr>
        <w:rPr>
          <w:rFonts w:cs="Times New Roman"/>
          <w:b/>
          <w:szCs w:val="24"/>
        </w:rPr>
      </w:pPr>
    </w:p>
    <w:p w14:paraId="35C8DBBB" w14:textId="51FF977E" w:rsidR="003B7A61" w:rsidRPr="00512B9A" w:rsidRDefault="003B7A61" w:rsidP="003B7A61">
      <w:pPr>
        <w:rPr>
          <w:rFonts w:cs="Times New Roman"/>
          <w:i/>
          <w:szCs w:val="24"/>
          <w:u w:val="single"/>
        </w:rPr>
      </w:pPr>
      <w:r w:rsidRPr="00CC66C1">
        <w:rPr>
          <w:rFonts w:cs="Times New Roman"/>
          <w:i/>
          <w:szCs w:val="24"/>
          <w:u w:val="single"/>
        </w:rPr>
        <w:t>Выбор инфузионных растворов</w:t>
      </w:r>
      <w:r>
        <w:rPr>
          <w:rFonts w:cs="Times New Roman"/>
          <w:i/>
          <w:szCs w:val="24"/>
          <w:u w:val="single"/>
        </w:rPr>
        <w:t xml:space="preserve"> </w:t>
      </w:r>
      <w:r>
        <w:rPr>
          <w:rFonts w:cs="Times New Roman"/>
          <w:i/>
          <w:szCs w:val="24"/>
          <w:u w:val="single"/>
        </w:rPr>
        <w:fldChar w:fldCharType="begin" w:fldLock="1"/>
      </w:r>
      <w:r w:rsidR="00C1188C">
        <w:rPr>
          <w:rFonts w:cs="Times New Roman"/>
          <w:i/>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[100]","plainTextFormattedCitation":"[100]","previouslyFormattedCitation":"[100]"},"properties":{"noteIndex":0},"schema":"https://github.com/citation-style-language/schema/raw/master/csl-citation.json"}</w:instrText>
      </w:r>
      <w:r>
        <w:rPr>
          <w:rFonts w:cs="Times New Roman"/>
          <w:i/>
          <w:szCs w:val="24"/>
          <w:u w:val="single"/>
        </w:rPr>
        <w:fldChar w:fldCharType="separate"/>
      </w:r>
      <w:r w:rsidRPr="003B7A61">
        <w:rPr>
          <w:rFonts w:cs="Times New Roman"/>
          <w:noProof/>
          <w:szCs w:val="24"/>
        </w:rPr>
        <w:t>[100]</w:t>
      </w:r>
      <w:r>
        <w:rPr>
          <w:rFonts w:cs="Times New Roman"/>
          <w:i/>
          <w:szCs w:val="24"/>
          <w:u w:val="single"/>
        </w:rPr>
        <w:fldChar w:fldCharType="end"/>
      </w:r>
    </w:p>
    <w:p w14:paraId="75A26674" w14:textId="77777777" w:rsidR="003B7A61" w:rsidRPr="00CC66C1" w:rsidRDefault="003B7A61" w:rsidP="003B7A61">
      <w:pPr>
        <w:rPr>
          <w:rFonts w:cs="Times New Roman"/>
          <w:szCs w:val="24"/>
        </w:rPr>
      </w:pPr>
      <w:r w:rsidRPr="00CC66C1">
        <w:rPr>
          <w:rFonts w:cs="Times New Roman"/>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724161F4" w14:textId="77777777" w:rsidR="003B7A61" w:rsidRPr="00CC66C1" w:rsidRDefault="003B7A61" w:rsidP="003B7A61">
      <w:pPr>
        <w:rPr>
          <w:rFonts w:cs="Times New Roman"/>
          <w:szCs w:val="24"/>
        </w:rPr>
      </w:pPr>
      <w:r w:rsidRPr="00CC66C1">
        <w:rPr>
          <w:rFonts w:cs="Times New Roman"/>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5157CA8C" w14:textId="77777777" w:rsidR="003B7A61" w:rsidRPr="00CC66C1" w:rsidRDefault="003B7A61" w:rsidP="003B7A61">
      <w:pPr>
        <w:rPr>
          <w:rFonts w:cs="Times New Roman"/>
          <w:szCs w:val="24"/>
        </w:rPr>
      </w:pPr>
      <w:r w:rsidRPr="00CC66C1">
        <w:rPr>
          <w:rFonts w:cs="Times New Roman"/>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30022EE8" w14:textId="77777777" w:rsidR="003B7A61" w:rsidRPr="00CC66C1" w:rsidRDefault="003B7A61" w:rsidP="003B7A61">
      <w:pPr>
        <w:rPr>
          <w:rFonts w:cs="Times New Roman"/>
          <w:szCs w:val="24"/>
        </w:rPr>
      </w:pPr>
      <w:r w:rsidRPr="00CC66C1">
        <w:rPr>
          <w:rFonts w:cs="Times New Roman"/>
          <w:szCs w:val="24"/>
        </w:rPr>
        <w:t xml:space="preserve">Объем инфузионной терапии определяется клиническими показаниями. </w:t>
      </w:r>
    </w:p>
    <w:p w14:paraId="5ECE5026" w14:textId="77777777" w:rsidR="003B7A61" w:rsidRDefault="003B7A61" w:rsidP="003B7A61">
      <w:pPr>
        <w:rPr>
          <w:rFonts w:cs="Times New Roman"/>
          <w:b/>
          <w:szCs w:val="24"/>
        </w:rPr>
      </w:pPr>
    </w:p>
    <w:p w14:paraId="2BE5A1CA" w14:textId="77777777" w:rsidR="003B7A61" w:rsidRPr="00CC66C1" w:rsidRDefault="003B7A61" w:rsidP="003B7A61">
      <w:pPr>
        <w:rPr>
          <w:rFonts w:cs="Times New Roman"/>
          <w:i/>
          <w:szCs w:val="24"/>
          <w:u w:val="single"/>
        </w:rPr>
      </w:pPr>
      <w:r w:rsidRPr="00CC66C1">
        <w:rPr>
          <w:rFonts w:cs="Times New Roman"/>
          <w:i/>
          <w:szCs w:val="24"/>
          <w:u w:val="single"/>
        </w:rPr>
        <w:t>Алгоритм действия врача</w:t>
      </w:r>
    </w:p>
    <w:p w14:paraId="237C9003" w14:textId="77777777" w:rsidR="003B7A61" w:rsidRPr="00CC66C1" w:rsidRDefault="003B7A61" w:rsidP="000768AC">
      <w:pPr>
        <w:pStyle w:val="afe"/>
        <w:numPr>
          <w:ilvl w:val="0"/>
          <w:numId w:val="109"/>
        </w:numPr>
        <w:rPr>
          <w:rFonts w:cs="Times New Roman"/>
          <w:szCs w:val="24"/>
        </w:rPr>
      </w:pPr>
      <w:r w:rsidRPr="00CC66C1">
        <w:rPr>
          <w:rFonts w:cs="Times New Roman"/>
          <w:szCs w:val="24"/>
        </w:rPr>
        <w:t>Определение показаний для инфузионная терапии.</w:t>
      </w:r>
    </w:p>
    <w:p w14:paraId="7CAD7D75" w14:textId="77777777" w:rsidR="003B7A61" w:rsidRPr="00CC66C1" w:rsidRDefault="003B7A61" w:rsidP="000768AC">
      <w:pPr>
        <w:pStyle w:val="afe"/>
        <w:numPr>
          <w:ilvl w:val="0"/>
          <w:numId w:val="109"/>
        </w:numPr>
        <w:rPr>
          <w:rFonts w:cs="Times New Roman"/>
          <w:szCs w:val="24"/>
        </w:rPr>
      </w:pPr>
      <w:r w:rsidRPr="00CC66C1">
        <w:rPr>
          <w:rFonts w:cs="Times New Roman"/>
          <w:szCs w:val="24"/>
        </w:rPr>
        <w:t>Выбор инфузионного раствора в зависимости от показаний.</w:t>
      </w:r>
    </w:p>
    <w:p w14:paraId="26B2DE74" w14:textId="77777777" w:rsidR="003B7A61" w:rsidRPr="00CC66C1" w:rsidRDefault="003B7A61" w:rsidP="000768AC">
      <w:pPr>
        <w:pStyle w:val="afe"/>
        <w:numPr>
          <w:ilvl w:val="0"/>
          <w:numId w:val="109"/>
        </w:numPr>
        <w:rPr>
          <w:rFonts w:cs="Times New Roman"/>
          <w:szCs w:val="24"/>
        </w:rPr>
      </w:pPr>
      <w:r w:rsidRPr="00CC66C1">
        <w:rPr>
          <w:rFonts w:cs="Times New Roman"/>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370CBFD0" w14:textId="77777777" w:rsidR="003B7A61" w:rsidRPr="00CC66C1" w:rsidRDefault="003B7A61" w:rsidP="000768AC">
      <w:pPr>
        <w:pStyle w:val="afe"/>
        <w:numPr>
          <w:ilvl w:val="0"/>
          <w:numId w:val="109"/>
        </w:numPr>
        <w:rPr>
          <w:rFonts w:cs="Times New Roman"/>
          <w:szCs w:val="24"/>
        </w:rPr>
      </w:pPr>
      <w:r w:rsidRPr="00CC66C1">
        <w:rPr>
          <w:rFonts w:cs="Times New Roman"/>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7F2766D3" w14:textId="77777777" w:rsidR="003B7A61" w:rsidRPr="00CC66C1" w:rsidRDefault="003B7A61" w:rsidP="003B7A61">
      <w:pPr>
        <w:widowControl w:val="0"/>
        <w:autoSpaceDE w:val="0"/>
        <w:autoSpaceDN w:val="0"/>
        <w:adjustRightInd w:val="0"/>
        <w:rPr>
          <w:rFonts w:cs="Times New Roman"/>
          <w:szCs w:val="24"/>
        </w:rPr>
      </w:pPr>
    </w:p>
    <w:p w14:paraId="61BE4396" w14:textId="5A8DDF8F" w:rsidR="00C1188C" w:rsidRPr="00C1188C" w:rsidRDefault="00512B9A" w:rsidP="00C1188C">
      <w:pPr>
        <w:pStyle w:val="2"/>
      </w:pPr>
      <w:bookmarkStart w:id="98" w:name="_Toc65108061"/>
      <w:r w:rsidRPr="00C1188C">
        <w:t xml:space="preserve">Приложение А3.8. </w:t>
      </w:r>
      <w:bookmarkStart w:id="99" w:name="_Toc64475918"/>
      <w:bookmarkStart w:id="100" w:name="_Toc44926599"/>
      <w:r w:rsidR="00C1188C" w:rsidRPr="00C1188C">
        <w:t>Трансплантация аутологичных гемопоэтических стволовых клеток</w:t>
      </w:r>
      <w:bookmarkEnd w:id="98"/>
      <w:bookmarkEnd w:id="99"/>
    </w:p>
    <w:p w14:paraId="5B33C52E" w14:textId="77777777" w:rsidR="00C1188C" w:rsidRPr="00BA4F0F" w:rsidRDefault="00C1188C" w:rsidP="00C1188C">
      <w:pPr>
        <w:rPr>
          <w:rFonts w:cs="Times New Roman"/>
          <w:i/>
          <w:szCs w:val="24"/>
          <w:u w:val="single"/>
        </w:rPr>
      </w:pPr>
      <w:r w:rsidRPr="00BA4F0F">
        <w:rPr>
          <w:rFonts w:cs="Times New Roman"/>
          <w:i/>
          <w:szCs w:val="24"/>
          <w:u w:val="single"/>
        </w:rPr>
        <w:t>Мобилизация и сбор гемопоэтических стволовых клеток крови</w:t>
      </w:r>
      <w:bookmarkEnd w:id="100"/>
    </w:p>
    <w:p w14:paraId="6C2060EE" w14:textId="77777777" w:rsidR="00C1188C" w:rsidRPr="00BA4F0F" w:rsidRDefault="00C1188C" w:rsidP="00C1188C">
      <w:pPr>
        <w:ind w:firstLine="567"/>
        <w:rPr>
          <w:rFonts w:cs="Times New Roman"/>
          <w:szCs w:val="24"/>
        </w:rPr>
      </w:pPr>
      <w:r w:rsidRPr="00BA4F0F">
        <w:rPr>
          <w:rFonts w:cs="Times New Roman"/>
          <w:szCs w:val="24"/>
        </w:rPr>
        <w:t>Мобилизация – резкое увеличение количества гемопоэтических стволовых клеток (ГСК) в периферической крови под воздействием ростовых факторов.</w:t>
      </w:r>
    </w:p>
    <w:p w14:paraId="313387E4" w14:textId="6770B958" w:rsidR="00C1188C" w:rsidRPr="00BA4F0F" w:rsidRDefault="00C1188C" w:rsidP="00C1188C">
      <w:pPr>
        <w:ind w:firstLine="567"/>
        <w:rPr>
          <w:rFonts w:cs="Times New Roman"/>
          <w:szCs w:val="24"/>
        </w:rPr>
      </w:pPr>
      <w:r w:rsidRPr="00BA4F0F">
        <w:rPr>
          <w:rFonts w:cs="Times New Roman"/>
          <w:szCs w:val="24"/>
        </w:rPr>
        <w:t xml:space="preserve">Исторически схемы мобилизации были основаны на применении химиотерапевтических препаратов, так как во время восстановления гемопоэза было замечено временное увеличение циркуляции стволовых клеток в крови. Однако результаты сбора ГСК были неудовлетворительными. Первые упоминания о присутствии в крови факторов, влияющих на кроветворение, относятся к началу прошлого столетия. В середине </w:t>
      </w:r>
      <w:r w:rsidRPr="00BA4F0F">
        <w:rPr>
          <w:rFonts w:cs="Times New Roman"/>
          <w:szCs w:val="24"/>
          <w:lang w:val="en-US"/>
        </w:rPr>
        <w:t>XX</w:t>
      </w:r>
      <w:r w:rsidRPr="00BA4F0F">
        <w:rPr>
          <w:rFonts w:cs="Times New Roman"/>
          <w:szCs w:val="24"/>
        </w:rPr>
        <w:t xml:space="preserve"> века две группы исследователей из США и Австралии разработали культуральную агаровую систему, в которой наблюдали рост колоний кроветворных клеток-предшественниц при добавлении определенных веществ. Эти вещества назвали колониестимулирующими факторами (КСФ). Дальнейшее их изучение позволило выделить несколько видов КСФ: гранулоцитарный (Г-КСФ), гранулоцитарно-макрофагальный (ГМ-КСФ), макрофагальный (М-КСФ), а также интерлейкин-3 (ИЛ-3) </w:t>
      </w:r>
      <w:r w:rsidRPr="00BA4F0F">
        <w:rPr>
          <w:rFonts w:cs="Times New Roman"/>
          <w:szCs w:val="24"/>
        </w:rPr>
        <w:fldChar w:fldCharType="begin" w:fldLock="1"/>
      </w:r>
      <w:r w:rsidR="00B436BD">
        <w:rPr>
          <w:rFonts w:cs="Times New Roman"/>
          <w:szCs w:val="24"/>
        </w:rPr>
        <w:instrText>ADDIN CSL_CITATION {"citationItems":[{"id":"ITEM-1","itemData":{"DOI":"10.1073/pnas.82.5.1526","ISSN":"00278424","PMID":"3871951","abstract":"Pluripotent hematopoietic colony-stimulating factor (pluripotent CSF), a protein that is constitutively produced by the human bladder carcinoma cell line 5637, has been purified from low serum (0.2% fetal calf serum)-containing conditioned medium. The purification involved sequential ammonium sulfate precipitation, ion-exchange chromatography, gel filtration, and reversed-phase high-performance liquid chromatography. The purified protein has a molecular weight of 18,000 in NaDodSO4/polyacrylamide gel electrophoresis, both by the silver staining technique and by elution of biological activity from a corresponding gel slice, and has an isoelectric point of 5.5. Pluripotent CSF supports the growth of human mixed colonies, granulocyte-macrophage colonies, and early erythroid colonies and induces differentiation of the human promyelocytic leukemic cell line HL-60 and the murine myelomonocytic leukemic cell line WEHI-3B (D+). The specific activity of the purified pluripotent CSF in the granulocyte-macrophage colony assay is 1.5 x 108 units/mg of protein.","author":[{"dropping-particle":"","family":"Welte","given":"K.","non-dropping-particle":"","parse-names":false,"suffix":""},{"dropping-particle":"","family":"Platzer","given":"E.","non-dropping-particle":"","parse-names":false,"suffix":""},{"dropping-particle":"","family":"Lu","given":"L.","non-dropping-particle":"","parse-names":false,"suffix":""},{"dropping-particle":"","family":"Gabrilove","given":"J. L.","non-dropping-particle":"","parse-names":false,"suffix":""},{"dropping-particle":"","family":"Levi","given":"E.","non-dropping-particle":"","parse-names":false,"suffix":""},{"dropping-particle":"","family":"Mertelsmann","given":"R.","non-dropping-particle":"","parse-names":false,"suffix":""},{"dropping-particle":"","family":"Moore","given":"M. A.","non-dropping-particle":"","parse-names":false,"suffix":""}],"container-title":"Proceedings of the National Academy of Sciences of the United States of America","id":"ITEM-1","issue":"5","issued":{"date-parts":[["1985"]]},"page":"1526-1530","publisher":"Proc Natl Acad Sci U S A","title":"Purification and biochemical characterization of human pluripotent hematopoietic colony-stimulating factor","type":"article-journal","volume":"82"},"uris":["http://www.mendeley.com/documents/?uuid=5a57c90b-10d4-3d1e-84dc-5ac72b3ec78e","http://www.mendeley.com/documents/?uuid=41736d03-81c6-4c9d-9a68-05b29415ebd4","http://www.mendeley.com/documents/?uuid=8b38e00f-df77-4da9-9ba0-e5a98fa4faf8","http://www.mendeley.com/documents/?uuid=9ac7dafe-885b-40a2-b482-765fe36e21ca","http://www.mendeley.com/documents/?uuid=bc0e2586-6f76-47d1-901a-4feb252dd38c","http://www.mendeley.com/documents/?uuid=ce804cbb-1eb2-4746-a514-982ca9436e54","http://www.mendeley.com/documents/?uuid=b7e547dc-3d9b-40b2-b055-6d376790a636"]}],"mendeley":{"formattedCitation":"[101]","plainTextFormattedCitation":"[101]","previouslyFormattedCitation":"[101]"},"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[101]</w:t>
      </w:r>
      <w:r w:rsidRPr="00BA4F0F">
        <w:rPr>
          <w:rFonts w:cs="Times New Roman"/>
          <w:szCs w:val="24"/>
        </w:rPr>
        <w:fldChar w:fldCharType="end"/>
      </w:r>
      <w:r w:rsidRPr="00BA4F0F">
        <w:rPr>
          <w:rFonts w:cs="Times New Roman"/>
          <w:szCs w:val="24"/>
        </w:rPr>
        <w:t>.</w:t>
      </w:r>
    </w:p>
    <w:p w14:paraId="20F1125E" w14:textId="77777777" w:rsidR="00C1188C" w:rsidRPr="00BA4F0F" w:rsidRDefault="00C1188C" w:rsidP="00C1188C">
      <w:pPr>
        <w:ind w:firstLine="567"/>
        <w:rPr>
          <w:rFonts w:cs="Times New Roman"/>
          <w:szCs w:val="24"/>
        </w:rPr>
      </w:pPr>
      <w:r w:rsidRPr="00BA4F0F">
        <w:rPr>
          <w:rFonts w:cs="Times New Roman"/>
          <w:szCs w:val="24"/>
        </w:rPr>
        <w:t xml:space="preserve">В клинической практике рекомбинантные препараты Г-КСФ получили наиболее широкое распространение в качестве стимуляторов лейкопоэза. В настоящее время применение Г-КСФ является стандартом при мобилизации ГСК . </w:t>
      </w:r>
    </w:p>
    <w:p w14:paraId="5B5A6023" w14:textId="77777777" w:rsidR="00C1188C" w:rsidRPr="00BA4F0F" w:rsidRDefault="00C1188C" w:rsidP="00C1188C">
      <w:pPr>
        <w:ind w:firstLine="567"/>
        <w:rPr>
          <w:rFonts w:cs="Times New Roman"/>
          <w:szCs w:val="24"/>
        </w:rPr>
      </w:pPr>
      <w:r w:rsidRPr="00BA4F0F">
        <w:rPr>
          <w:rFonts w:cs="Times New Roman"/>
          <w:szCs w:val="24"/>
        </w:rPr>
        <w:t xml:space="preserve">Разработано несколько схем мобилизации ГСК, используемых в онкогематологии, в каждой из которых применяется Г-КСФ. </w:t>
      </w:r>
    </w:p>
    <w:p w14:paraId="3526FD33" w14:textId="77777777" w:rsidR="00C1188C" w:rsidRPr="00BA4F0F" w:rsidRDefault="00C1188C" w:rsidP="00C1188C">
      <w:pPr>
        <w:pStyle w:val="11"/>
        <w:spacing w:before="0"/>
      </w:pPr>
      <w:bookmarkStart w:id="101" w:name="_Toc44926601"/>
    </w:p>
    <w:p w14:paraId="33CC693E" w14:textId="77777777" w:rsidR="00C1188C" w:rsidRPr="00BA4F0F" w:rsidRDefault="00C1188C" w:rsidP="00C1188C">
      <w:pPr>
        <w:rPr>
          <w:rFonts w:cs="Times New Roman"/>
          <w:b/>
          <w:szCs w:val="24"/>
        </w:rPr>
      </w:pPr>
      <w:r w:rsidRPr="00BA4F0F">
        <w:rPr>
          <w:rFonts w:cs="Times New Roman"/>
          <w:b/>
          <w:szCs w:val="24"/>
        </w:rPr>
        <w:t>Алгоритм принятия решения перед мобилизацией ГСК</w:t>
      </w:r>
      <w:bookmarkEnd w:id="101"/>
    </w:p>
    <w:p w14:paraId="43EE2F96" w14:textId="77777777" w:rsidR="00C1188C" w:rsidRPr="00BA4F0F" w:rsidRDefault="00C1188C" w:rsidP="000768AC">
      <w:pPr>
        <w:pStyle w:val="afe"/>
        <w:numPr>
          <w:ilvl w:val="0"/>
          <w:numId w:val="211"/>
        </w:numPr>
        <w:rPr>
          <w:rFonts w:cs="Times New Roman"/>
          <w:szCs w:val="24"/>
        </w:rPr>
      </w:pPr>
      <w:r w:rsidRPr="00BA4F0F">
        <w:rPr>
          <w:rFonts w:cs="Times New Roman"/>
          <w:szCs w:val="24"/>
        </w:rPr>
        <w:t>оценка статуса больного (наличие показаний для трансплантации аутологичных гемопоэтических стволовых клеток (ауто-ТГСК),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 количество курсов и сроки окончания лечения, использование лучевой терапии)</w:t>
      </w:r>
    </w:p>
    <w:p w14:paraId="23A472F2" w14:textId="77777777" w:rsidR="00C1188C" w:rsidRPr="00BA4F0F" w:rsidRDefault="00C1188C" w:rsidP="000768AC">
      <w:pPr>
        <w:pStyle w:val="afe"/>
        <w:numPr>
          <w:ilvl w:val="0"/>
          <w:numId w:val="211"/>
        </w:numPr>
        <w:rPr>
          <w:rFonts w:cs="Times New Roman"/>
          <w:szCs w:val="24"/>
        </w:rPr>
      </w:pPr>
      <w:r w:rsidRPr="00BA4F0F">
        <w:rPr>
          <w:rFonts w:cs="Times New Roman"/>
          <w:szCs w:val="24"/>
        </w:rPr>
        <w:t>оценка статуса болезни - глубина противоопухолевого ответа, наличие ремиссии, сроки ее достижения;</w:t>
      </w:r>
    </w:p>
    <w:p w14:paraId="76DA8581" w14:textId="77777777" w:rsidR="00C1188C" w:rsidRPr="00BA4F0F" w:rsidRDefault="00C1188C" w:rsidP="000768AC">
      <w:pPr>
        <w:pStyle w:val="afe"/>
        <w:numPr>
          <w:ilvl w:val="0"/>
          <w:numId w:val="211"/>
        </w:numPr>
        <w:rPr>
          <w:rFonts w:cs="Times New Roman"/>
          <w:szCs w:val="24"/>
        </w:rPr>
      </w:pPr>
      <w:r w:rsidRPr="00BA4F0F">
        <w:rPr>
          <w:rFonts w:cs="Times New Roman"/>
          <w:szCs w:val="24"/>
        </w:rPr>
        <w:t>оценка состояния кроветворения (гистологическое исследование костного мозга позволит выявить угнетение ростков кроветворения, а также инфильтрацию костного мозга опухолевыми клетками)</w:t>
      </w:r>
    </w:p>
    <w:p w14:paraId="38408CAA" w14:textId="77777777" w:rsidR="00C1188C" w:rsidRPr="00BA4F0F" w:rsidRDefault="00C1188C" w:rsidP="00C1188C">
      <w:pPr>
        <w:ind w:firstLine="567"/>
        <w:rPr>
          <w:rFonts w:cs="Times New Roman"/>
          <w:szCs w:val="24"/>
        </w:rPr>
      </w:pPr>
      <w:r w:rsidRPr="00BA4F0F">
        <w:rPr>
          <w:rFonts w:cs="Times New Roman"/>
          <w:szCs w:val="24"/>
        </w:rPr>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гемопоэтических клетках экспрессии CD34 нет.</w:t>
      </w:r>
    </w:p>
    <w:p w14:paraId="1F6137B1" w14:textId="29CAA80C" w:rsidR="00C1188C" w:rsidRPr="00BA4F0F" w:rsidRDefault="00C1188C" w:rsidP="00C1188C">
      <w:pPr>
        <w:ind w:firstLine="567"/>
        <w:rPr>
          <w:rFonts w:cs="Times New Roman"/>
          <w:szCs w:val="24"/>
        </w:rPr>
      </w:pPr>
      <w:r w:rsidRPr="00BA4F0F">
        <w:rPr>
          <w:rFonts w:cs="Times New Roman"/>
          <w:szCs w:val="24"/>
        </w:rPr>
        <w:t xml:space="preserve">Именно суммарный пул CD34+ клеток определяет сроки восстановления кроветворения после трансплантации </w:t>
      </w:r>
      <w:r w:rsidRPr="00BA4F0F">
        <w:rPr>
          <w:rFonts w:cs="Times New Roman"/>
          <w:szCs w:val="24"/>
        </w:rPr>
        <w:fldChar w:fldCharType="begin" w:fldLock="1"/>
      </w:r>
      <w:r w:rsidR="00B436BD">
        <w:rPr>
          <w:rFonts w:cs="Times New Roman"/>
          <w:szCs w:val="24"/>
        </w:rPr>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e4a53186-d5a2-35ce-9c02-67bfa05e0886","http://www.mendeley.com/documents/?uuid=1a71f447-44fb-4b59-ac8a-1da92d0990b3","http://www.mendeley.com/documents/?uuid=518c4307-6db7-4716-894c-8d6c14cf80db","http://www.mendeley.com/documents/?uuid=c05ac1ea-efeb-4341-9a99-2e75eb37db1e","http://www.mendeley.com/documents/?uuid=95496d3c-b097-411f-9ec4-45c1036c6a68","http://www.mendeley.com/documents/?uuid=f461ab1d-9e2e-41ce-99d7-7c0f5d907eb5","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f0ad3abd-ce55-3df5-b4f9-e8598b8d0fa8","http://www.mendeley.com/documents/?uuid=aa3272db-ed0f-40c1-949a-b78843f4ce67","http://www.mendeley.com/documents/?uuid=cf158ac3-8f92-4973-85ea-fed641e1f9aa","http://www.mendeley.com/documents/?uuid=312e78a3-0bac-4bd4-bc5d-4ab2db1ceb87","http://www.mendeley.com/documents/?uuid=e4bbc320-ed80-4839-8759-9919ec753098","http://www.mendeley.com/documents/?uuid=43c5883b-a94a-435d-a102-5bbe11f4e704","http://www.mendeley.com/documents/?uuid=43ce11fb-9802-4761-b036-0d546f3d6abf"]}],"mendeley":{"formattedCitation":"[102,103]","plainTextFormattedCitation":"[102,103]","previouslyFormattedCitation":"[102,103]"},"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[102,103]</w:t>
      </w:r>
      <w:r w:rsidRPr="00BA4F0F">
        <w:rPr>
          <w:rFonts w:cs="Times New Roman"/>
          <w:szCs w:val="24"/>
        </w:rPr>
        <w:fldChar w:fldCharType="end"/>
      </w:r>
      <w:r w:rsidRPr="00BA4F0F">
        <w:rPr>
          <w:rFonts w:cs="Times New Roman"/>
          <w:szCs w:val="24"/>
        </w:rPr>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sidRPr="00BA4F0F">
        <w:rPr>
          <w:rFonts w:cs="Times New Roman"/>
          <w:szCs w:val="24"/>
        </w:rPr>
        <w:fldChar w:fldCharType="begin" w:fldLock="1"/>
      </w:r>
      <w:r w:rsidR="00B436BD">
        <w:rPr>
          <w:rFonts w:cs="Times New Roman"/>
          <w:szCs w:val="24"/>
        </w:rPr>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48a19164-f2f4-3c72-92ac-75035529f84f","http://www.mendeley.com/documents/?uuid=0a6d07c9-82c9-4733-a748-4fde4ac355bf","http://www.mendeley.com/documents/?uuid=bf0d8f8a-f914-4a58-91b3-f9ddad3e5687","http://www.mendeley.com/documents/?uuid=b1384089-6533-4d2c-bd79-0f7357070e64","http://www.mendeley.com/documents/?uuid=58d20dd0-b39a-406e-8082-76a20c05645c","http://www.mendeley.com/documents/?uuid=cfbf2990-7580-4b9a-af63-5c87bebbc637","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9f936e14-dfc0-3b69-9eaa-703ea91a9517","http://www.mendeley.com/documents/?uuid=9bed808d-d71c-46a0-b6d7-9d6ce13e9c7d","http://www.mendeley.com/documents/?uuid=3706d09b-9023-490d-be3b-1e194d3fc1e4","http://www.mendeley.com/documents/?uuid=b899bbef-369f-4f35-8bd0-80f8725dd530","http://www.mendeley.com/documents/?uuid=32153687-438a-4c6a-ac63-3b5dbfa89f35","http://www.mendeley.com/documents/?uuid=69a86837-0dbe-4f8c-a0e9-040b7ce7c64b","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93812be1-7e65-3951-a468-4e3845502bab","http://www.mendeley.com/documents/?uuid=5b122eed-6453-4084-bfc7-422828bb1ccd","http://www.mendeley.com/documents/?uuid=b7c9c36c-a1b4-443e-870d-da0340dfc5f8","http://www.mendeley.com/documents/?uuid=80050e51-5010-4c71-a36b-97f1521bf43a","http://www.mendeley.com/documents/?uuid=38148a1c-e077-4358-ba14-0dc030862937","http://www.mendeley.com/documents/?uuid=7bc7df1c-3342-4a37-b645-1fd9957bd694","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[103–106]","plainTextFormattedCitation":"[103–106]","previouslyFormattedCitation":"[103–106]"},"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[103–106]</w:t>
      </w:r>
      <w:r w:rsidRPr="00BA4F0F">
        <w:rPr>
          <w:rFonts w:cs="Times New Roman"/>
          <w:szCs w:val="24"/>
        </w:rPr>
        <w:fldChar w:fldCharType="end"/>
      </w:r>
      <w:r w:rsidRPr="00BA4F0F">
        <w:rPr>
          <w:rFonts w:cs="Times New Roman"/>
          <w:szCs w:val="24"/>
        </w:rPr>
        <w:t xml:space="preserve">. </w:t>
      </w:r>
    </w:p>
    <w:p w14:paraId="6FA24449" w14:textId="77777777" w:rsidR="00C1188C" w:rsidRPr="00BA4F0F" w:rsidRDefault="00C1188C" w:rsidP="00C1188C">
      <w:pPr>
        <w:ind w:firstLine="567"/>
        <w:rPr>
          <w:rFonts w:cs="Times New Roman"/>
          <w:szCs w:val="24"/>
        </w:rPr>
      </w:pPr>
      <w:r w:rsidRPr="00BA4F0F">
        <w:rPr>
          <w:rFonts w:cs="Times New Roman"/>
          <w:szCs w:val="24"/>
        </w:rPr>
        <w:t>В настоящее время принято считать, что минимальным количеством клеток, необходимым для проведения одной аутологичной трансплантации, является 2×10</w:t>
      </w:r>
      <w:r w:rsidRPr="00BA4F0F">
        <w:rPr>
          <w:rFonts w:cs="Times New Roman"/>
          <w:szCs w:val="24"/>
          <w:vertAlign w:val="superscript"/>
        </w:rPr>
        <w:t xml:space="preserve">6 </w:t>
      </w:r>
      <w:r w:rsidRPr="00BA4F0F">
        <w:rPr>
          <w:rFonts w:cs="Times New Roman"/>
          <w:szCs w:val="24"/>
        </w:rPr>
        <w:t>CD34+ клеток/кг веса больного, а оптимальным количеством – значение 3 – 5 × 10</w:t>
      </w:r>
      <w:r w:rsidRPr="00BA4F0F">
        <w:rPr>
          <w:rFonts w:cs="Times New Roman"/>
          <w:szCs w:val="24"/>
          <w:vertAlign w:val="superscript"/>
        </w:rPr>
        <w:t xml:space="preserve">6 </w:t>
      </w:r>
      <w:r w:rsidRPr="00BA4F0F">
        <w:rPr>
          <w:rFonts w:cs="Times New Roman"/>
          <w:szCs w:val="24"/>
        </w:rPr>
        <w:t>CD34+ клеток/кг. В некоторых работах представлено, что при использовании трансплантата, содержащего более 5х10</w:t>
      </w:r>
      <w:r w:rsidRPr="00BA4F0F">
        <w:rPr>
          <w:rFonts w:cs="Times New Roman"/>
          <w:szCs w:val="24"/>
          <w:vertAlign w:val="superscript"/>
        </w:rPr>
        <w:t xml:space="preserve">6 </w:t>
      </w:r>
      <w:r w:rsidRPr="00BA4F0F">
        <w:rPr>
          <w:rFonts w:cs="Times New Roman"/>
          <w:szCs w:val="24"/>
        </w:rPr>
        <w:t xml:space="preserve">CD34+клеток/кг, отмечается меньшая длительность нейтропении и тромбоцитопении. </w:t>
      </w:r>
    </w:p>
    <w:p w14:paraId="3F228D32" w14:textId="7FB31702" w:rsidR="00C1188C" w:rsidRPr="00BA4F0F" w:rsidRDefault="00C1188C" w:rsidP="00C1188C">
      <w:pPr>
        <w:ind w:firstLine="567"/>
        <w:rPr>
          <w:rFonts w:cs="Times New Roman"/>
          <w:szCs w:val="24"/>
        </w:rPr>
      </w:pPr>
      <w:r w:rsidRPr="00BA4F0F">
        <w:rPr>
          <w:rFonts w:cs="Times New Roman"/>
          <w:szCs w:val="24"/>
        </w:rPr>
        <w:t xml:space="preserve">Однако тщательно спланированных проспективных рандомизированных исследований не проводилось, поэтому определить влияние высоких доз CD34+ клеток на кинетику приживления не представляется возможным </w:t>
      </w:r>
      <w:r w:rsidRPr="00BA4F0F">
        <w:rPr>
          <w:rFonts w:cs="Times New Roman"/>
          <w:szCs w:val="24"/>
        </w:rPr>
        <w:fldChar w:fldCharType="begin" w:fldLock="1"/>
      </w:r>
      <w:r w:rsidR="00B436BD">
        <w:rPr>
          <w:rFonts w:cs="Times New Roman"/>
          <w:szCs w:val="24"/>
        </w:rPr>
        <w:instrText>ADDIN CSL_CITATION {"citationItems":[{"id":"ITEM-1","itemData":{"DOI":"10.1016/j.bbmt.2013.10.013","ISSN":"10838791","abstract":"Autologous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Transplantation","id":"ITEM-1","issue":"3","issued":{"date-parts":[["2014","3"]]},"page":"295-308","publisher":"Elsevier","title":"Optimizing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[103]","plainTextFormattedCitation":"[103]","previouslyFormattedCitation":"[103]"},"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[103]</w:t>
      </w:r>
      <w:r w:rsidRPr="00BA4F0F">
        <w:rPr>
          <w:rFonts w:cs="Times New Roman"/>
          <w:szCs w:val="24"/>
        </w:rPr>
        <w:fldChar w:fldCharType="end"/>
      </w:r>
      <w:r w:rsidRPr="00BA4F0F">
        <w:rPr>
          <w:rFonts w:cs="Times New Roman"/>
          <w:szCs w:val="24"/>
        </w:rPr>
        <w:t>.</w:t>
      </w:r>
    </w:p>
    <w:p w14:paraId="2B8F8790" w14:textId="77777777" w:rsidR="00C1188C" w:rsidRPr="00BA4F0F" w:rsidRDefault="00C1188C" w:rsidP="00C1188C">
      <w:pPr>
        <w:pStyle w:val="11"/>
        <w:spacing w:before="0"/>
      </w:pPr>
      <w:bookmarkStart w:id="102" w:name="_Toc44926602"/>
    </w:p>
    <w:p w14:paraId="3C507555" w14:textId="77777777" w:rsidR="00C1188C" w:rsidRPr="00BA4F0F" w:rsidRDefault="00C1188C" w:rsidP="00C1188C">
      <w:pPr>
        <w:rPr>
          <w:rFonts w:cs="Times New Roman"/>
          <w:b/>
          <w:bCs/>
          <w:szCs w:val="24"/>
        </w:rPr>
      </w:pPr>
      <w:r w:rsidRPr="00BA4F0F">
        <w:rPr>
          <w:rFonts w:cs="Times New Roman"/>
          <w:b/>
          <w:bCs/>
          <w:szCs w:val="24"/>
        </w:rPr>
        <w:t>Факторы риска неэффективной мобилизации ГСК</w:t>
      </w:r>
      <w:bookmarkEnd w:id="102"/>
    </w:p>
    <w:p w14:paraId="75B2056F" w14:textId="5932DC69" w:rsidR="00C1188C" w:rsidRPr="00BA4F0F" w:rsidRDefault="00C1188C" w:rsidP="00C1188C">
      <w:pPr>
        <w:ind w:firstLine="567"/>
        <w:rPr>
          <w:rFonts w:cs="Times New Roman"/>
          <w:szCs w:val="24"/>
        </w:rPr>
      </w:pPr>
      <w:r w:rsidRPr="00BA4F0F">
        <w:rPr>
          <w:rFonts w:cs="Times New Roman"/>
          <w:szCs w:val="24"/>
        </w:rPr>
        <w:t xml:space="preserve">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 </w:t>
      </w:r>
      <w:r w:rsidRPr="00BA4F0F">
        <w:rPr>
          <w:rFonts w:cs="Times New Roman"/>
          <w:szCs w:val="24"/>
        </w:rPr>
        <w:fldChar w:fldCharType="begin" w:fldLock="1"/>
      </w:r>
      <w:r w:rsidR="00B436BD">
        <w:rPr>
          <w:rFonts w:cs="Times New Roman"/>
          <w:szCs w:val="24"/>
        </w:rPr>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ffac3994-c2e2-36fa-a30d-0feb13f9a7fd","http://www.mendeley.com/documents/?uuid=8770f689-e379-4f05-bd8a-15cddd1006fb"]}],"mendeley":{"formattedCitation":"[107]","plainTextFormattedCitation":"[107]","previouslyFormattedCitation":"[107]"},"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[107]</w:t>
      </w:r>
      <w:r w:rsidRPr="00BA4F0F">
        <w:rPr>
          <w:rFonts w:cs="Times New Roman"/>
          <w:szCs w:val="24"/>
        </w:rPr>
        <w:fldChar w:fldCharType="end"/>
      </w:r>
      <w:r w:rsidRPr="00BA4F0F">
        <w:rPr>
          <w:rFonts w:cs="Times New Roman"/>
          <w:szCs w:val="24"/>
        </w:rPr>
        <w:t>. Группа итальянских исследователей GITIMO определила критерии доказанного и вероятного риска неудачи мобилизации ГСК у больных ММ и НХЛ.</w:t>
      </w:r>
    </w:p>
    <w:p w14:paraId="49875F12" w14:textId="77777777" w:rsidR="00C1188C" w:rsidRPr="00BA4F0F" w:rsidRDefault="00C1188C" w:rsidP="00C1188C">
      <w:pPr>
        <w:ind w:firstLine="567"/>
        <w:rPr>
          <w:rFonts w:cs="Times New Roman"/>
          <w:szCs w:val="24"/>
        </w:rPr>
      </w:pPr>
      <w:r w:rsidRPr="00BA4F0F">
        <w:rPr>
          <w:rFonts w:cs="Times New Roman"/>
          <w:szCs w:val="24"/>
        </w:rPr>
        <w:t>К факторам доказанного риска неудачи относятся два параметра: если показатели циркулирующих в крови СD34+ не достигают 20 клеток в 1 мкл. на 4-6-й дни после старта Г–КСФ или же заготовлено менее 2х10</w:t>
      </w:r>
      <w:r w:rsidRPr="00BA4F0F">
        <w:rPr>
          <w:rFonts w:cs="Times New Roman"/>
          <w:szCs w:val="24"/>
          <w:vertAlign w:val="superscript"/>
        </w:rPr>
        <w:t xml:space="preserve">6 </w:t>
      </w:r>
      <w:r w:rsidRPr="00BA4F0F">
        <w:rPr>
          <w:rFonts w:cs="Times New Roman"/>
          <w:szCs w:val="24"/>
        </w:rPr>
        <w:t>CD34+ клеток/кг за 3 лейкафереза.</w:t>
      </w:r>
    </w:p>
    <w:p w14:paraId="6957172B" w14:textId="7F335186" w:rsidR="00C1188C" w:rsidRPr="00BA4F0F" w:rsidRDefault="00C1188C" w:rsidP="00C1188C">
      <w:pPr>
        <w:ind w:firstLine="567"/>
        <w:rPr>
          <w:rFonts w:cs="Times New Roman"/>
          <w:szCs w:val="24"/>
        </w:rPr>
      </w:pPr>
      <w:r w:rsidRPr="00BA4F0F">
        <w:rPr>
          <w:rFonts w:cs="Times New Roman"/>
          <w:szCs w:val="24"/>
        </w:rPr>
        <w:t xml:space="preserve">Критериями вероятного риска неудачи мобилизации ГСК является наличие предшествующей неэффективной мобилизации ГСК; длительной ХТ или лучевой терапии, использование флюдарабина, мелфалана, леналидомида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BA4F0F">
        <w:rPr>
          <w:rFonts w:cs="Times New Roman"/>
          <w:szCs w:val="24"/>
        </w:rPr>
        <w:fldChar w:fldCharType="begin" w:fldLock="1"/>
      </w:r>
      <w:r w:rsidR="00B436BD">
        <w:rPr>
          <w:rFonts w:cs="Times New Roman"/>
          <w:szCs w:val="24"/>
        </w:rPr>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ba171d2e-11ed-30e4-8419-628863ccc7d5","http://www.mendeley.com/documents/?uuid=889b327f-5a75-4546-9a08-eda1f05160e3","http://www.mendeley.com/documents/?uuid=8da75729-e2dd-4c45-a604-256ab831ad9d","http://www.mendeley.com/documents/?uuid=5f9c85d8-eabb-4b72-a615-ad332ceb6a28","http://www.mendeley.com/documents/?uuid=77a1aded-f417-40b5-92fe-c81e7ab18493","http://www.mendeley.com/documents/?uuid=8ccbbe36-8201-44c0-91bf-f8fc6344c830","http://www.mendeley.com/documents/?uuid=39d3b635-3780-462d-8abb-b71c080a2618"]}],"mendeley":{"formattedCitation":"[108]","plainTextFormattedCitation":"[108]","previouslyFormattedCitation":"[108]"},"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[108]</w:t>
      </w:r>
      <w:r w:rsidRPr="00BA4F0F">
        <w:rPr>
          <w:rFonts w:cs="Times New Roman"/>
          <w:szCs w:val="24"/>
        </w:rPr>
        <w:fldChar w:fldCharType="end"/>
      </w:r>
      <w:r w:rsidRPr="00BA4F0F">
        <w:rPr>
          <w:rFonts w:cs="Times New Roman"/>
          <w:szCs w:val="24"/>
        </w:rPr>
        <w:t>.</w:t>
      </w:r>
    </w:p>
    <w:p w14:paraId="4D20C076" w14:textId="77777777" w:rsidR="00C1188C" w:rsidRPr="00BA4F0F" w:rsidRDefault="00C1188C" w:rsidP="00C1188C">
      <w:pPr>
        <w:ind w:firstLine="567"/>
        <w:rPr>
          <w:rFonts w:cs="Times New Roman"/>
          <w:szCs w:val="24"/>
        </w:rPr>
      </w:pPr>
      <w:r w:rsidRPr="00BA4F0F">
        <w:rPr>
          <w:rFonts w:cs="Times New Roman"/>
          <w:szCs w:val="24"/>
        </w:rPr>
        <w:t>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В настоящее время трансплантация ГСК, полученных из периферической крови, вытесняет трансплантацию костного мозга. Это связанно с тем, что методы сбора клеток из периферической крови менее инвазивны, а восстановление гемопоэза после трансплантации ГСК происходит быстрее, чем после трансплантации костного мозга.</w:t>
      </w:r>
    </w:p>
    <w:p w14:paraId="7C8441A9" w14:textId="77777777" w:rsidR="00C1188C" w:rsidRPr="00BA4F0F" w:rsidRDefault="00C1188C" w:rsidP="00C1188C">
      <w:pPr>
        <w:ind w:firstLine="567"/>
        <w:rPr>
          <w:rFonts w:cs="Times New Roman"/>
          <w:szCs w:val="24"/>
        </w:rPr>
      </w:pPr>
      <w:r w:rsidRPr="00BA4F0F">
        <w:rPr>
          <w:rFonts w:cs="Times New Roman"/>
          <w:szCs w:val="24"/>
        </w:rPr>
        <w:t>Цель мобилизации – заготовка адекватного количества CD34+клеток, достаточного для выполнения одной или двух трансплантаций.</w:t>
      </w:r>
    </w:p>
    <w:p w14:paraId="78D7E594" w14:textId="77777777" w:rsidR="00C1188C" w:rsidRPr="00BA4F0F" w:rsidRDefault="00C1188C" w:rsidP="00C1188C">
      <w:pPr>
        <w:ind w:firstLine="567"/>
        <w:rPr>
          <w:rFonts w:cs="Times New Roman"/>
          <w:szCs w:val="24"/>
        </w:rPr>
      </w:pPr>
      <w:r w:rsidRPr="00BA4F0F">
        <w:rPr>
          <w:rFonts w:cs="Times New Roman"/>
          <w:szCs w:val="24"/>
        </w:rPr>
        <w:t>Далее представлена подробная характеристика препаратов, стимулирующих выброс ГСК в периферическую кровь.</w:t>
      </w:r>
    </w:p>
    <w:p w14:paraId="0D8F6245" w14:textId="77777777" w:rsidR="00C1188C" w:rsidRPr="00BA4F0F" w:rsidRDefault="00C1188C" w:rsidP="00C1188C">
      <w:pPr>
        <w:pStyle w:val="11"/>
        <w:spacing w:before="0"/>
      </w:pPr>
      <w:bookmarkStart w:id="103" w:name="_Toc44926603"/>
    </w:p>
    <w:p w14:paraId="50B99C26" w14:textId="77777777" w:rsidR="00C1188C" w:rsidRPr="00BA4F0F" w:rsidRDefault="00C1188C" w:rsidP="00C1188C">
      <w:pPr>
        <w:rPr>
          <w:rFonts w:cs="Times New Roman"/>
          <w:b/>
          <w:bCs/>
          <w:szCs w:val="24"/>
        </w:rPr>
      </w:pPr>
      <w:r w:rsidRPr="00BA4F0F">
        <w:rPr>
          <w:rFonts w:cs="Times New Roman"/>
          <w:b/>
          <w:bCs/>
          <w:szCs w:val="24"/>
        </w:rPr>
        <w:t>Препараты, используемые для мобилизации ГСК.</w:t>
      </w:r>
      <w:bookmarkEnd w:id="103"/>
    </w:p>
    <w:p w14:paraId="7BA848A6" w14:textId="77777777" w:rsidR="00C1188C" w:rsidRPr="00BA4F0F" w:rsidRDefault="00C1188C" w:rsidP="00C1188C">
      <w:pPr>
        <w:pStyle w:val="afe"/>
        <w:ind w:left="0"/>
        <w:rPr>
          <w:rFonts w:cs="Times New Roman"/>
          <w:szCs w:val="24"/>
          <w:u w:val="single"/>
        </w:rPr>
      </w:pPr>
      <w:r w:rsidRPr="00BA4F0F">
        <w:rPr>
          <w:rFonts w:cs="Times New Roman"/>
          <w:szCs w:val="24"/>
          <w:u w:val="single"/>
        </w:rPr>
        <w:t>Гранулоцитарный колониестимулирующий фактор</w:t>
      </w:r>
    </w:p>
    <w:p w14:paraId="01F80943" w14:textId="77777777" w:rsidR="00C1188C" w:rsidRPr="00BA4F0F" w:rsidRDefault="00C1188C" w:rsidP="00C1188C">
      <w:pPr>
        <w:ind w:firstLine="567"/>
        <w:rPr>
          <w:rFonts w:cs="Times New Roman"/>
          <w:szCs w:val="24"/>
        </w:rPr>
      </w:pPr>
      <w:r w:rsidRPr="00BA4F0F">
        <w:rPr>
          <w:rFonts w:cs="Times New Roman"/>
          <w:szCs w:val="24"/>
        </w:rPr>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 как после курса химиотерапии (ХТ), так и независимо от нее, приводит к мобилизации в периферическую кровь клеток-предшественниц гемопоэза. </w:t>
      </w:r>
    </w:p>
    <w:p w14:paraId="2387F3AF" w14:textId="77777777" w:rsidR="00C1188C" w:rsidRPr="00BA4F0F" w:rsidRDefault="00C1188C" w:rsidP="00C1188C">
      <w:pPr>
        <w:ind w:firstLine="567"/>
        <w:rPr>
          <w:rFonts w:cs="Times New Roman"/>
          <w:szCs w:val="24"/>
        </w:rPr>
      </w:pPr>
      <w:r w:rsidRPr="00BA4F0F">
        <w:rPr>
          <w:rFonts w:cs="Times New Roman"/>
          <w:szCs w:val="24"/>
        </w:rPr>
        <w:t xml:space="preserve">Г-КСФ значительно увеличивает число нейтрофилов в периферической крови уже в первые 24 часа после введения. После окончания применения Г-КСФ число нейтрофилов в периферической крови снижается на 50% в течение 1-2 дней и возвращается к нормальным значениям в течение 1-7 дней. </w:t>
      </w:r>
    </w:p>
    <w:p w14:paraId="319C37BA" w14:textId="36D7D843" w:rsidR="00C1188C" w:rsidRPr="00BA4F0F" w:rsidRDefault="00C1188C" w:rsidP="00C1188C">
      <w:pPr>
        <w:ind w:firstLine="567"/>
        <w:rPr>
          <w:rFonts w:cs="Times New Roman"/>
          <w:szCs w:val="24"/>
        </w:rPr>
      </w:pPr>
      <w:r w:rsidRPr="00BA4F0F">
        <w:rPr>
          <w:rFonts w:cs="Times New Roman"/>
          <w:szCs w:val="24"/>
        </w:rPr>
        <w:t xml:space="preserve">Изучение фармакокинетики Г-КСФ показало, что препарат быстро выводится из организма, что требует применения многократных инъекций. С целью пролонгации действия разработана иммобилизованная на полиэтиленгликоле (ПЭГ) форма Г-КСФ.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до 42ч. После одной инъекции препарата высокий уровень нейтрофилов поддерживается в крови в течение 9 дней </w:t>
      </w:r>
      <w:r w:rsidRPr="00BA4F0F">
        <w:rPr>
          <w:rFonts w:cs="Times New Roman"/>
          <w:szCs w:val="24"/>
        </w:rPr>
        <w:fldChar w:fldCharType="begin" w:fldLock="1"/>
      </w:r>
      <w:r w:rsidR="00B436BD">
        <w:rPr>
          <w:rFonts w:cs="Times New Roman"/>
          <w:szCs w:val="24"/>
        </w:rPr>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445b8605-4444-3286-9533-f890634da33f","http://www.mendeley.com/documents/?uuid=8c131309-d633-4467-9e52-e36f2f6739d8","http://www.mendeley.com/documents/?uuid=d0ae95d8-455a-466d-b2b7-1cf20c6911c3","http://www.mendeley.com/documents/?uuid=350f69c3-8670-4b28-9ce6-bbf7bbe95719","http://www.mendeley.com/documents/?uuid=aed192a7-bd44-4087-8c83-7bb80ed986b5","http://www.mendeley.com/documents/?uuid=4fb6ef40-750e-4e26-80f5-5d3e68016e6f","http://www.mendeley.com/documents/?uuid=ec9d7c0f-5da5-47cd-a932-c0af1a9d94a0"]}],"mendeley":{"formattedCitation":"[109]","plainTextFormattedCitation":"[109]","previouslyFormattedCitation":"[109]"},"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[109]</w:t>
      </w:r>
      <w:r w:rsidRPr="00BA4F0F">
        <w:rPr>
          <w:rFonts w:cs="Times New Roman"/>
          <w:szCs w:val="24"/>
        </w:rPr>
        <w:fldChar w:fldCharType="end"/>
      </w:r>
      <w:r w:rsidRPr="00BA4F0F">
        <w:rPr>
          <w:rFonts w:cs="Times New Roman"/>
          <w:szCs w:val="24"/>
        </w:rPr>
        <w:t>.</w:t>
      </w:r>
    </w:p>
    <w:p w14:paraId="5112990F" w14:textId="77777777" w:rsidR="00C1188C" w:rsidRPr="00BA4F0F" w:rsidRDefault="00C1188C" w:rsidP="00C1188C">
      <w:pPr>
        <w:rPr>
          <w:rFonts w:cs="Times New Roman"/>
          <w:i/>
          <w:szCs w:val="24"/>
        </w:rPr>
      </w:pPr>
    </w:p>
    <w:p w14:paraId="5186C105" w14:textId="77777777" w:rsidR="00C1188C" w:rsidRPr="00BA4F0F" w:rsidRDefault="00C1188C" w:rsidP="00C1188C">
      <w:pPr>
        <w:rPr>
          <w:rFonts w:cs="Times New Roman"/>
          <w:b/>
          <w:i/>
          <w:szCs w:val="24"/>
        </w:rPr>
      </w:pPr>
      <w:r w:rsidRPr="00BA4F0F">
        <w:rPr>
          <w:rFonts w:cs="Times New Roman"/>
          <w:b/>
          <w:i/>
          <w:szCs w:val="24"/>
          <w:lang w:val="en-US"/>
        </w:rPr>
        <w:t>P</w:t>
      </w:r>
      <w:r w:rsidRPr="00BA4F0F">
        <w:rPr>
          <w:rFonts w:cs="Times New Roman"/>
          <w:b/>
          <w:i/>
          <w:szCs w:val="24"/>
        </w:rPr>
        <w:t xml:space="preserve">ежим дозирования Г-КСФ для мобилизации СКК </w:t>
      </w:r>
    </w:p>
    <w:p w14:paraId="39A7BE39" w14:textId="546504C1" w:rsidR="00C1188C" w:rsidRPr="00BA4F0F" w:rsidRDefault="00C1188C" w:rsidP="00C1188C">
      <w:pPr>
        <w:ind w:firstLine="567"/>
        <w:rPr>
          <w:rFonts w:cs="Times New Roman"/>
          <w:szCs w:val="24"/>
        </w:rPr>
      </w:pPr>
      <w:r w:rsidRPr="00BA4F0F">
        <w:rPr>
          <w:rFonts w:cs="Times New Roman"/>
          <w:szCs w:val="24"/>
        </w:rPr>
        <w:t xml:space="preserve">Г-КСФ вводится в дозе 5 или 10 мкг/кг/сутки подкожно в зависимости от режима мобилизации ГСК. Пегилированный Г-КСФ вводится однократно в дозе 12 мг подкожно </w:t>
      </w:r>
      <w:r w:rsidRPr="00BA4F0F">
        <w:rPr>
          <w:rFonts w:cs="Times New Roman"/>
          <w:szCs w:val="24"/>
        </w:rPr>
        <w:fldChar w:fldCharType="begin" w:fldLock="1"/>
      </w:r>
      <w:r w:rsidR="00B436BD">
        <w:rPr>
          <w:rFonts w:cs="Times New Roman"/>
          <w:szCs w:val="24"/>
        </w:rPr>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c9b6d466-e5cf-3a1f-9950-47a4a1f2595f","http://www.mendeley.com/documents/?uuid=5869ab33-84d0-4d40-9e0a-c68492375302","http://www.mendeley.com/documents/?uuid=da79130c-3245-4bb6-b0b1-d1a74f3c45ce","http://www.mendeley.com/documents/?uuid=23c5daaf-4836-423a-a293-5308de4b05a8","http://www.mendeley.com/documents/?uuid=5bc9223b-2a8e-4a1d-a5ea-925322f33fc0","http://www.mendeley.com/documents/?uuid=cfca06c2-6f99-4d09-bcd1-d6e958d0398f","http://www.mendeley.com/documents/?uuid=f71837f6-2c18-4b5c-aa96-74199fe38ec4"]}],"mendeley":{"formattedCitation":"[110]","plainTextFormattedCitation":"[110]","previouslyFormattedCitation":"[110]"},"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[110]</w:t>
      </w:r>
      <w:r w:rsidRPr="00BA4F0F">
        <w:rPr>
          <w:rFonts w:cs="Times New Roman"/>
          <w:szCs w:val="24"/>
        </w:rPr>
        <w:fldChar w:fldCharType="end"/>
      </w:r>
      <w:r w:rsidRPr="00BA4F0F">
        <w:rPr>
          <w:rFonts w:cs="Times New Roman"/>
          <w:szCs w:val="24"/>
        </w:rPr>
        <w:t>.</w:t>
      </w:r>
    </w:p>
    <w:p w14:paraId="73396FA3" w14:textId="77777777" w:rsidR="00C1188C" w:rsidRPr="00BA4F0F" w:rsidRDefault="00C1188C" w:rsidP="00C1188C">
      <w:pPr>
        <w:rPr>
          <w:rFonts w:cs="Times New Roman"/>
          <w:b/>
          <w:i/>
          <w:szCs w:val="24"/>
        </w:rPr>
      </w:pPr>
    </w:p>
    <w:p w14:paraId="7D7CC5BC" w14:textId="77777777" w:rsidR="00C1188C" w:rsidRPr="00BA4F0F" w:rsidRDefault="00C1188C" w:rsidP="00C1188C">
      <w:pPr>
        <w:rPr>
          <w:rFonts w:cs="Times New Roman"/>
          <w:b/>
          <w:i/>
          <w:szCs w:val="24"/>
        </w:rPr>
      </w:pPr>
      <w:r w:rsidRPr="00BA4F0F">
        <w:rPr>
          <w:rFonts w:cs="Times New Roman"/>
          <w:b/>
          <w:i/>
          <w:szCs w:val="24"/>
        </w:rPr>
        <w:t xml:space="preserve">Особые указания при применении Г-КСФ </w:t>
      </w:r>
    </w:p>
    <w:p w14:paraId="36BAB183" w14:textId="77777777" w:rsidR="00C1188C" w:rsidRPr="00BA4F0F" w:rsidRDefault="00C1188C" w:rsidP="00C1188C">
      <w:pPr>
        <w:ind w:firstLine="567"/>
        <w:rPr>
          <w:rFonts w:cs="Times New Roman"/>
          <w:szCs w:val="24"/>
        </w:rPr>
      </w:pPr>
      <w:r w:rsidRPr="00BA4F0F">
        <w:rPr>
          <w:rFonts w:cs="Times New Roman"/>
          <w:szCs w:val="24"/>
        </w:rPr>
        <w:t>На фоне терапии Г-КСФ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ГКС.</w:t>
      </w:r>
    </w:p>
    <w:p w14:paraId="3338BDF1" w14:textId="2054A765" w:rsidR="00C1188C" w:rsidRPr="00BA4F0F" w:rsidRDefault="00C1188C" w:rsidP="00C1188C">
      <w:pPr>
        <w:ind w:firstLine="567"/>
        <w:rPr>
          <w:rFonts w:cs="Times New Roman"/>
          <w:szCs w:val="24"/>
        </w:rPr>
      </w:pPr>
      <w:r w:rsidRPr="00BA4F0F">
        <w:rPr>
          <w:rFonts w:cs="Times New Roman"/>
          <w:szCs w:val="24"/>
        </w:rPr>
        <w:t xml:space="preserve">Эффективность и безопасность Г-КСФ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BA4F0F">
        <w:rPr>
          <w:rFonts w:cs="Times New Roman"/>
          <w:szCs w:val="24"/>
        </w:rPr>
        <w:fldChar w:fldCharType="begin" w:fldLock="1"/>
      </w:r>
      <w:r w:rsidR="00B436BD">
        <w:rPr>
          <w:rFonts w:cs="Times New Roman"/>
          <w:szCs w:val="24"/>
        </w:rPr>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550ab93e-65c6-3635-bdec-ce1335957f6b","http://www.mendeley.com/documents/?uuid=81154266-ebc4-4411-a600-130a38d299b0","http://www.mendeley.com/documents/?uuid=c2be01fc-c6e8-4713-b92d-b16c6c5c4162","http://www.mendeley.com/documents/?uuid=51012d54-9729-4c59-8188-bd27dd02ced0","http://www.mendeley.com/documents/?uuid=7b228875-1c78-4dc7-aa5d-6018d173c1d5","http://www.mendeley.com/documents/?uuid=330cd959-497b-4a4c-b7a0-3a2c812989a6","http://www.mendeley.com/documents/?uuid=5ddce061-fa65-466f-9706-626067ecf30d"]}],"mendeley":{"formattedCitation":"[111]","plainTextFormattedCitation":"[111]","previouslyFormattedCitation":"[111]"},"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[111]</w:t>
      </w:r>
      <w:r w:rsidRPr="00BA4F0F">
        <w:rPr>
          <w:rFonts w:cs="Times New Roman"/>
          <w:szCs w:val="24"/>
        </w:rPr>
        <w:fldChar w:fldCharType="end"/>
      </w:r>
      <w:r w:rsidRPr="00BA4F0F">
        <w:rPr>
          <w:rFonts w:cs="Times New Roman"/>
          <w:szCs w:val="24"/>
        </w:rPr>
        <w:t xml:space="preserve">. </w:t>
      </w:r>
    </w:p>
    <w:p w14:paraId="22DB87BE" w14:textId="77777777" w:rsidR="00C1188C" w:rsidRPr="00BA4F0F" w:rsidRDefault="00C1188C" w:rsidP="00C1188C">
      <w:pPr>
        <w:rPr>
          <w:rFonts w:cs="Times New Roman"/>
          <w:b/>
          <w:i/>
          <w:szCs w:val="24"/>
        </w:rPr>
      </w:pPr>
    </w:p>
    <w:p w14:paraId="5AF3388C" w14:textId="77777777" w:rsidR="00C1188C" w:rsidRPr="00BA4F0F" w:rsidRDefault="00C1188C" w:rsidP="00C1188C">
      <w:pPr>
        <w:rPr>
          <w:rFonts w:cs="Times New Roman"/>
          <w:b/>
          <w:i/>
          <w:szCs w:val="24"/>
        </w:rPr>
      </w:pPr>
      <w:r w:rsidRPr="00BA4F0F">
        <w:rPr>
          <w:rFonts w:cs="Times New Roman"/>
          <w:b/>
          <w:i/>
          <w:szCs w:val="24"/>
        </w:rPr>
        <w:t>Побочные эффекты Г-КСФ</w:t>
      </w:r>
    </w:p>
    <w:p w14:paraId="3FCD395D" w14:textId="77777777" w:rsidR="00C1188C" w:rsidRPr="00BA4F0F" w:rsidRDefault="00C1188C" w:rsidP="00C1188C">
      <w:pPr>
        <w:ind w:firstLine="567"/>
        <w:rPr>
          <w:rFonts w:cs="Times New Roman"/>
          <w:szCs w:val="24"/>
        </w:rPr>
      </w:pPr>
      <w:r w:rsidRPr="00BA4F0F">
        <w:rPr>
          <w:rFonts w:cs="Times New Roman"/>
          <w:szCs w:val="24"/>
        </w:rPr>
        <w:t>Нежелательные явления после назначения встречаются в 30% случаев, как у пациентов, так и у здоровых доноров.</w:t>
      </w:r>
    </w:p>
    <w:p w14:paraId="3F1E6AD8" w14:textId="31530591" w:rsidR="00C1188C" w:rsidRPr="00BA4F0F" w:rsidRDefault="00C1188C" w:rsidP="00C1188C">
      <w:pPr>
        <w:ind w:firstLine="567"/>
        <w:rPr>
          <w:rFonts w:cs="Times New Roman"/>
          <w:szCs w:val="24"/>
        </w:rPr>
      </w:pPr>
      <w:r w:rsidRPr="00BA4F0F">
        <w:rPr>
          <w:rFonts w:cs="Times New Roman"/>
          <w:szCs w:val="24"/>
        </w:rPr>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BA4F0F">
        <w:rPr>
          <w:rFonts w:cs="Times New Roman"/>
          <w:szCs w:val="24"/>
        </w:rPr>
        <w:fldChar w:fldCharType="begin" w:fldLock="1"/>
      </w:r>
      <w:r w:rsidR="00B436BD">
        <w:rPr>
          <w:rFonts w:cs="Times New Roman"/>
          <w:szCs w:val="24"/>
        </w:rPr>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996f59f3-1fa6-3fdf-aac4-35481ffe75e2","http://www.mendeley.com/documents/?uuid=77b4204a-c7e8-425a-b269-9b71b8f10079","http://www.mendeley.com/documents/?uuid=baf8a5c7-f217-426b-bdd6-7823d15881a5","http://www.mendeley.com/documents/?uuid=029b05a4-3aab-45bc-848d-3c17ab334b1a","http://www.mendeley.com/documents/?uuid=c4b68753-8af0-43d3-9c09-5a220cdb4e31","http://www.mendeley.com/documents/?uuid=aea3c5b8-ada6-45f7-8bc1-f029c0318fdc","http://www.mendeley.com/documents/?uuid=0f204161-3323-434c-b1c0-eb5ffafca3ca"]}],"mendeley":{"formattedCitation":"[112]","plainTextFormattedCitation":"[112]","previouslyFormattedCitation":"[112]"},"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[112]</w:t>
      </w:r>
      <w:r w:rsidRPr="00BA4F0F">
        <w:rPr>
          <w:rFonts w:cs="Times New Roman"/>
          <w:szCs w:val="24"/>
        </w:rPr>
        <w:fldChar w:fldCharType="end"/>
      </w:r>
      <w:r w:rsidRPr="00BA4F0F">
        <w:rPr>
          <w:rFonts w:cs="Times New Roman"/>
          <w:szCs w:val="24"/>
        </w:rPr>
        <w:t xml:space="preserve">. </w:t>
      </w:r>
    </w:p>
    <w:p w14:paraId="0CF5B3F1" w14:textId="77777777" w:rsidR="00C1188C" w:rsidRPr="00BA4F0F" w:rsidRDefault="00C1188C" w:rsidP="00C1188C">
      <w:pPr>
        <w:ind w:firstLine="567"/>
        <w:rPr>
          <w:rFonts w:cs="Times New Roman"/>
          <w:szCs w:val="24"/>
        </w:rPr>
      </w:pPr>
      <w:r w:rsidRPr="00BA4F0F">
        <w:rPr>
          <w:rFonts w:cs="Times New Roman"/>
          <w:szCs w:val="24"/>
        </w:rPr>
        <w:t>Оссалгии связаны с изменением метаболизма костной ткани под действием Г-КСФ. Боли 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14:paraId="4904E55D" w14:textId="77777777" w:rsidR="00C1188C" w:rsidRPr="00BA4F0F" w:rsidRDefault="00C1188C" w:rsidP="00C1188C">
      <w:pPr>
        <w:pStyle w:val="afe"/>
        <w:ind w:left="0"/>
        <w:rPr>
          <w:rFonts w:cs="Times New Roman"/>
          <w:b/>
          <w:szCs w:val="24"/>
        </w:rPr>
      </w:pPr>
    </w:p>
    <w:p w14:paraId="5BDFFF32" w14:textId="77777777" w:rsidR="00C1188C" w:rsidRPr="00BA4F0F" w:rsidRDefault="00C1188C" w:rsidP="00C1188C">
      <w:pPr>
        <w:pStyle w:val="afe"/>
        <w:ind w:left="0"/>
        <w:rPr>
          <w:rFonts w:cs="Times New Roman"/>
          <w:szCs w:val="24"/>
          <w:u w:val="single"/>
        </w:rPr>
      </w:pPr>
      <w:r w:rsidRPr="00BA4F0F">
        <w:rPr>
          <w:rFonts w:cs="Times New Roman"/>
          <w:szCs w:val="24"/>
          <w:u w:val="single"/>
        </w:rPr>
        <w:t>Плериксафор</w:t>
      </w:r>
    </w:p>
    <w:p w14:paraId="3B4DF5E9" w14:textId="77777777" w:rsidR="00C1188C" w:rsidRPr="00BA4F0F" w:rsidRDefault="00C1188C" w:rsidP="00C1188C">
      <w:pPr>
        <w:ind w:firstLine="567"/>
        <w:rPr>
          <w:rFonts w:cs="Times New Roman"/>
          <w:szCs w:val="24"/>
        </w:rPr>
      </w:pPr>
      <w:r w:rsidRPr="00BA4F0F">
        <w:rPr>
          <w:rFonts w:cs="Times New Roman"/>
          <w:szCs w:val="24"/>
        </w:rPr>
        <w:t xml:space="preserve">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для «удержания» стволовой клетки в костном мозге. </w:t>
      </w:r>
    </w:p>
    <w:p w14:paraId="38DFAFD4" w14:textId="77777777" w:rsidR="00C1188C" w:rsidRPr="00BA4F0F" w:rsidRDefault="00C1188C" w:rsidP="00C1188C">
      <w:pPr>
        <w:ind w:firstLine="567"/>
        <w:rPr>
          <w:rFonts w:cs="Times New Roman"/>
          <w:szCs w:val="24"/>
        </w:rPr>
      </w:pPr>
      <w:r w:rsidRPr="00BA4F0F">
        <w:rPr>
          <w:rFonts w:cs="Times New Roman"/>
          <w:szCs w:val="24"/>
        </w:rPr>
        <w:t xml:space="preserve">Плериксафор –селективный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78693D17" w14:textId="3266EDDC" w:rsidR="00C1188C" w:rsidRPr="00BA4F0F" w:rsidRDefault="00C1188C" w:rsidP="00C1188C">
      <w:pPr>
        <w:ind w:firstLine="567"/>
        <w:rPr>
          <w:rFonts w:cs="Times New Roman"/>
          <w:szCs w:val="24"/>
        </w:rPr>
      </w:pPr>
      <w:r w:rsidRPr="00BA4F0F">
        <w:rPr>
          <w:rFonts w:cs="Times New Roman"/>
          <w:szCs w:val="24"/>
        </w:rPr>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BA4F0F">
        <w:rPr>
          <w:rFonts w:cs="Times New Roman"/>
          <w:szCs w:val="24"/>
        </w:rPr>
        <w:fldChar w:fldCharType="begin" w:fldLock="1"/>
      </w:r>
      <w:r w:rsidR="00B436BD">
        <w:rPr>
          <w:rFonts w:cs="Times New Roman"/>
          <w:szCs w:val="24"/>
        </w:rPr>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772496d3-3f49-3543-8e45-953927e66576","http://www.mendeley.com/documents/?uuid=0e6ef96a-3564-45dd-86c9-2dcce383b7dc","http://www.mendeley.com/documents/?uuid=80ac083b-a6cc-43ec-ac5c-5dd1106427cb","http://www.mendeley.com/documents/?uuid=d683afc4-05d3-4238-aa1a-cbd32aa0e13a","http://www.mendeley.com/documents/?uuid=b4dd41b8-108e-46be-ac3b-33a16d49ba72","http://www.mendeley.com/documents/?uuid=4631457b-a0e4-4adb-98c7-81b6f793c719","http://www.mendeley.com/documents/?uuid=2945107f-96a2-4ce6-a467-54c0b3287fab"]}],"mendeley":{"formattedCitation":"[113]","plainTextFormattedCitation":"[113]","previouslyFormattedCitation":"[113]"},"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[113]</w:t>
      </w:r>
      <w:r w:rsidRPr="00BA4F0F">
        <w:rPr>
          <w:rFonts w:cs="Times New Roman"/>
          <w:szCs w:val="24"/>
        </w:rPr>
        <w:fldChar w:fldCharType="end"/>
      </w:r>
      <w:r w:rsidRPr="00BA4F0F">
        <w:rPr>
          <w:rFonts w:cs="Times New Roman"/>
          <w:szCs w:val="24"/>
        </w:rPr>
        <w:t>.</w:t>
      </w:r>
    </w:p>
    <w:p w14:paraId="78599CD4" w14:textId="77777777" w:rsidR="00C1188C" w:rsidRPr="00BA4F0F" w:rsidRDefault="00C1188C" w:rsidP="00C1188C">
      <w:pPr>
        <w:ind w:firstLine="567"/>
        <w:rPr>
          <w:rFonts w:cs="Times New Roman"/>
          <w:szCs w:val="24"/>
        </w:rPr>
      </w:pPr>
      <w:r w:rsidRPr="00BA4F0F">
        <w:rPr>
          <w:rFonts w:cs="Times New Roman"/>
          <w:szCs w:val="24"/>
        </w:rPr>
        <w:t>Плериксафор применяется для усиления мобилизации гемопоэтических стволовых клеток в периферический кровоток с целью их сбора и последующей ауто-ТГСК пациентам с лимфомой и множественной миеломой в сочетании с Г-КСФ.</w:t>
      </w:r>
    </w:p>
    <w:p w14:paraId="20E26C6D" w14:textId="77777777" w:rsidR="00C1188C" w:rsidRPr="00BA4F0F" w:rsidRDefault="00C1188C" w:rsidP="00C1188C">
      <w:pPr>
        <w:pStyle w:val="afe"/>
        <w:rPr>
          <w:rFonts w:cs="Times New Roman"/>
          <w:b/>
          <w:szCs w:val="24"/>
        </w:rPr>
      </w:pPr>
    </w:p>
    <w:p w14:paraId="29664B5E" w14:textId="77777777" w:rsidR="00C1188C" w:rsidRPr="00BA4F0F" w:rsidRDefault="00C1188C" w:rsidP="00C1188C">
      <w:pPr>
        <w:rPr>
          <w:rFonts w:cs="Times New Roman"/>
          <w:b/>
          <w:i/>
          <w:szCs w:val="24"/>
        </w:rPr>
      </w:pPr>
      <w:r w:rsidRPr="00BA4F0F">
        <w:rPr>
          <w:rFonts w:cs="Times New Roman"/>
          <w:b/>
          <w:i/>
          <w:szCs w:val="24"/>
          <w:lang w:val="en-US"/>
        </w:rPr>
        <w:t>P</w:t>
      </w:r>
      <w:r w:rsidRPr="00BA4F0F">
        <w:rPr>
          <w:rFonts w:cs="Times New Roman"/>
          <w:b/>
          <w:i/>
          <w:szCs w:val="24"/>
        </w:rPr>
        <w:t>ежим дозирования плериксафора</w:t>
      </w:r>
    </w:p>
    <w:p w14:paraId="546630B6" w14:textId="77777777" w:rsidR="00C1188C" w:rsidRPr="00BA4F0F" w:rsidRDefault="00C1188C" w:rsidP="00C1188C">
      <w:pPr>
        <w:ind w:firstLine="567"/>
        <w:rPr>
          <w:rFonts w:cs="Times New Roman"/>
          <w:szCs w:val="24"/>
        </w:rPr>
      </w:pPr>
      <w:r w:rsidRPr="00BA4F0F">
        <w:rPr>
          <w:rFonts w:cs="Times New Roman"/>
          <w:szCs w:val="24"/>
        </w:rPr>
        <w:t>Рекомендованная доза плериксафора составляет 0,24 мг/кг/сут. Препарат вводят подкожно за 6-11 ч до начала афереза после предварительной 4-дневной терапии Г-КСФ. В клинических исследованиях препарат обычно использовался в течение 2-4 дней подряд (до 7 дней непрерывного применения).</w:t>
      </w:r>
    </w:p>
    <w:p w14:paraId="6F678E9B" w14:textId="77777777" w:rsidR="00C1188C" w:rsidRPr="00BA4F0F" w:rsidRDefault="00C1188C" w:rsidP="00C1188C">
      <w:pPr>
        <w:ind w:firstLine="567"/>
        <w:rPr>
          <w:rFonts w:cs="Times New Roman"/>
          <w:szCs w:val="24"/>
        </w:rPr>
      </w:pPr>
      <w:r w:rsidRPr="00BA4F0F">
        <w:rPr>
          <w:rFonts w:cs="Times New Roman"/>
          <w:szCs w:val="24"/>
        </w:rPr>
        <w:t>У пациентов с нарушением функции почек при скорости клубочковой фильтрации (СКФ) менее 50 мл/мин дозу плериксафора следует уменьшить на 1/3 до 0,16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72D6BE00" w14:textId="77777777" w:rsidR="00C1188C" w:rsidRPr="00BA4F0F" w:rsidRDefault="00C1188C" w:rsidP="00C1188C">
      <w:pPr>
        <w:pStyle w:val="afe"/>
        <w:rPr>
          <w:rFonts w:cs="Times New Roman"/>
          <w:b/>
          <w:szCs w:val="24"/>
        </w:rPr>
      </w:pPr>
    </w:p>
    <w:p w14:paraId="33440335" w14:textId="77777777" w:rsidR="00C1188C" w:rsidRPr="00BA4F0F" w:rsidRDefault="00C1188C" w:rsidP="00C1188C">
      <w:pPr>
        <w:rPr>
          <w:rFonts w:cs="Times New Roman"/>
          <w:b/>
          <w:i/>
          <w:szCs w:val="24"/>
        </w:rPr>
      </w:pPr>
      <w:r w:rsidRPr="00BA4F0F">
        <w:rPr>
          <w:rFonts w:cs="Times New Roman"/>
          <w:b/>
          <w:i/>
          <w:szCs w:val="24"/>
        </w:rPr>
        <w:t>Особые указания при применении плериксафора</w:t>
      </w:r>
    </w:p>
    <w:p w14:paraId="533BCFCF" w14:textId="77777777" w:rsidR="00C1188C" w:rsidRPr="00BA4F0F" w:rsidRDefault="00C1188C" w:rsidP="00C1188C">
      <w:pPr>
        <w:ind w:firstLine="567"/>
        <w:rPr>
          <w:rFonts w:cs="Times New Roman"/>
          <w:i/>
          <w:szCs w:val="24"/>
        </w:rPr>
      </w:pPr>
      <w:r w:rsidRPr="00BA4F0F">
        <w:rPr>
          <w:rFonts w:cs="Times New Roman"/>
          <w:i/>
          <w:szCs w:val="24"/>
        </w:rPr>
        <w:t>Мобилизация опухолевых клеток у пациентов с лейкозами.</w:t>
      </w:r>
    </w:p>
    <w:p w14:paraId="38A023F2" w14:textId="77777777" w:rsidR="00C1188C" w:rsidRPr="00BA4F0F" w:rsidRDefault="00C1188C" w:rsidP="00C1188C">
      <w:pPr>
        <w:ind w:firstLine="567"/>
        <w:rPr>
          <w:rFonts w:cs="Times New Roman"/>
          <w:szCs w:val="24"/>
        </w:rPr>
      </w:pPr>
      <w:r w:rsidRPr="00BA4F0F">
        <w:rPr>
          <w:rFonts w:cs="Times New Roman"/>
          <w:szCs w:val="24"/>
        </w:rPr>
        <w:t>Плериксафор и Г-КСФ назначали при остром миелоидном и плазмоцитарном лейкозах в рамках программы по применению исследуемого препарата в индивидуальном порядке. При этом в отдельных случаях наблюдалось увеличение числа циркулирующих лейкемических клеток. Поэтому плериксафор не рекомендуется применять при лейкозах для мобилизации гемопоэтических стволовых клеток и их последующего забора.</w:t>
      </w:r>
    </w:p>
    <w:p w14:paraId="728FDC65" w14:textId="77777777" w:rsidR="00C1188C" w:rsidRPr="00BA4F0F" w:rsidRDefault="00C1188C" w:rsidP="00C1188C">
      <w:pPr>
        <w:ind w:firstLine="567"/>
        <w:rPr>
          <w:rFonts w:cs="Times New Roman"/>
          <w:i/>
          <w:szCs w:val="24"/>
        </w:rPr>
      </w:pPr>
      <w:r w:rsidRPr="00BA4F0F">
        <w:rPr>
          <w:rFonts w:cs="Times New Roman"/>
          <w:i/>
          <w:szCs w:val="24"/>
        </w:rPr>
        <w:t xml:space="preserve">Тромбоцитопения. </w:t>
      </w:r>
    </w:p>
    <w:p w14:paraId="1406F499" w14:textId="77777777" w:rsidR="00C1188C" w:rsidRPr="00BA4F0F" w:rsidRDefault="00C1188C" w:rsidP="00C1188C">
      <w:pPr>
        <w:ind w:firstLine="567"/>
        <w:rPr>
          <w:rFonts w:cs="Times New Roman"/>
          <w:szCs w:val="24"/>
        </w:rPr>
      </w:pPr>
      <w:r w:rsidRPr="00BA4F0F">
        <w:rPr>
          <w:rFonts w:cs="Times New Roman"/>
          <w:szCs w:val="24"/>
        </w:rPr>
        <w:t xml:space="preserve">Тромбоцитопения является известным осложнением афереза и наблюдается у пациентов, получающих как Г-КСФ, так и плериксафор. </w:t>
      </w:r>
    </w:p>
    <w:p w14:paraId="69E24641" w14:textId="77777777" w:rsidR="00C1188C" w:rsidRPr="00BA4F0F" w:rsidRDefault="00C1188C" w:rsidP="00C1188C">
      <w:pPr>
        <w:ind w:firstLine="567"/>
        <w:rPr>
          <w:rFonts w:cs="Times New Roman"/>
          <w:i/>
          <w:szCs w:val="24"/>
        </w:rPr>
      </w:pPr>
      <w:r w:rsidRPr="00BA4F0F">
        <w:rPr>
          <w:rFonts w:cs="Times New Roman"/>
          <w:i/>
          <w:szCs w:val="24"/>
        </w:rPr>
        <w:t>Возможность мобилизации опухолевых клеток у пациентов с лимфомой и множественной миеломой.</w:t>
      </w:r>
    </w:p>
    <w:p w14:paraId="28AE200E" w14:textId="77777777" w:rsidR="00C1188C" w:rsidRPr="00BA4F0F" w:rsidRDefault="00C1188C" w:rsidP="00C1188C">
      <w:pPr>
        <w:ind w:firstLine="567"/>
        <w:rPr>
          <w:rFonts w:cs="Times New Roman"/>
          <w:szCs w:val="24"/>
        </w:rPr>
      </w:pPr>
      <w:r w:rsidRPr="00BA4F0F">
        <w:rPr>
          <w:rFonts w:cs="Times New Roman"/>
          <w:szCs w:val="24"/>
        </w:rPr>
        <w:t>Последствия потенциальной реинфузии опухолевых клеток должным образом не изучены. При применении плериксафора в сочетании с Г-КСФ для мобилизации гемопоэтических стволовых клеток при лимфоме или множественной миеломе (ММ) возможно высвобождение опухолевых клеток из костного мозга и их последующий забор при лейкаферезе. Клиническое значение возможного риска мобилизации опухолевых клеток определено не полностью. В клинических исследованиях с участием пациентов с неходжкинской лимфомой и множественной миеломой не наблюдалось мобилизации клеток опухоли при применении плериксафора.</w:t>
      </w:r>
    </w:p>
    <w:p w14:paraId="3B1076E7" w14:textId="77777777" w:rsidR="00C1188C" w:rsidRPr="00BA4F0F" w:rsidRDefault="00C1188C" w:rsidP="00C1188C">
      <w:pPr>
        <w:ind w:firstLine="567"/>
        <w:rPr>
          <w:rFonts w:cs="Times New Roman"/>
          <w:i/>
          <w:szCs w:val="24"/>
        </w:rPr>
      </w:pPr>
      <w:r w:rsidRPr="00BA4F0F">
        <w:rPr>
          <w:rFonts w:cs="Times New Roman"/>
          <w:i/>
          <w:szCs w:val="24"/>
        </w:rPr>
        <w:t>Вазовагальные реакции</w:t>
      </w:r>
    </w:p>
    <w:p w14:paraId="01AE5024" w14:textId="77777777" w:rsidR="00C1188C" w:rsidRPr="00BA4F0F" w:rsidRDefault="00C1188C" w:rsidP="00C1188C">
      <w:pPr>
        <w:ind w:firstLine="567"/>
        <w:rPr>
          <w:rFonts w:cs="Times New Roman"/>
          <w:szCs w:val="24"/>
        </w:rPr>
      </w:pPr>
      <w:r w:rsidRPr="00BA4F0F">
        <w:rPr>
          <w:rFonts w:cs="Times New Roman"/>
          <w:szCs w:val="24"/>
        </w:rPr>
        <w:t>После подкожной инъекций препарата могут отмечаться вазовагальные реакции, ортостатическая гипотензия и/или синкопе.</w:t>
      </w:r>
    </w:p>
    <w:p w14:paraId="17452EDA" w14:textId="77777777" w:rsidR="00C1188C" w:rsidRPr="00BA4F0F" w:rsidRDefault="00C1188C" w:rsidP="00C1188C">
      <w:pPr>
        <w:ind w:firstLine="567"/>
        <w:rPr>
          <w:rFonts w:cs="Times New Roman"/>
          <w:i/>
          <w:szCs w:val="24"/>
        </w:rPr>
      </w:pPr>
      <w:r w:rsidRPr="00BA4F0F">
        <w:rPr>
          <w:rFonts w:cs="Times New Roman"/>
          <w:i/>
          <w:szCs w:val="24"/>
        </w:rPr>
        <w:t>Спленомегалия</w:t>
      </w:r>
    </w:p>
    <w:p w14:paraId="54231665" w14:textId="77777777" w:rsidR="00C1188C" w:rsidRPr="00BA4F0F" w:rsidRDefault="00C1188C" w:rsidP="00C1188C">
      <w:pPr>
        <w:ind w:firstLine="567"/>
        <w:rPr>
          <w:rFonts w:cs="Times New Roman"/>
          <w:szCs w:val="24"/>
        </w:rPr>
      </w:pPr>
      <w:r w:rsidRPr="00BA4F0F">
        <w:rPr>
          <w:rFonts w:cs="Times New Roman"/>
          <w:szCs w:val="24"/>
        </w:rPr>
        <w:t>В клинических исследованиях влияние плериксафора на размер селезенки специально не оценивалось. Учитывая, что использование Г-КСФ может провоцировать спленомегалию, а также сочетанное применение плериксафора и Г-КСФ, необходимо регулярно контролировать размеры селезенки.</w:t>
      </w:r>
    </w:p>
    <w:p w14:paraId="611F102F" w14:textId="77777777" w:rsidR="00C1188C" w:rsidRPr="00BA4F0F" w:rsidRDefault="00C1188C" w:rsidP="00C1188C">
      <w:pPr>
        <w:pStyle w:val="afe"/>
        <w:rPr>
          <w:rFonts w:cs="Times New Roman"/>
          <w:b/>
          <w:szCs w:val="24"/>
        </w:rPr>
      </w:pPr>
    </w:p>
    <w:p w14:paraId="7FBCBFB3" w14:textId="77777777" w:rsidR="00C1188C" w:rsidRPr="00BA4F0F" w:rsidRDefault="00C1188C" w:rsidP="00C1188C">
      <w:pPr>
        <w:rPr>
          <w:rFonts w:cs="Times New Roman"/>
          <w:b/>
          <w:i/>
          <w:szCs w:val="24"/>
        </w:rPr>
      </w:pPr>
      <w:r w:rsidRPr="00BA4F0F">
        <w:rPr>
          <w:rFonts w:cs="Times New Roman"/>
          <w:b/>
          <w:i/>
          <w:szCs w:val="24"/>
        </w:rPr>
        <w:t>Побочные эффекты плериксафора</w:t>
      </w:r>
    </w:p>
    <w:p w14:paraId="0713340F" w14:textId="77777777" w:rsidR="00C1188C" w:rsidRPr="00BA4F0F" w:rsidRDefault="00C1188C" w:rsidP="00C1188C">
      <w:pPr>
        <w:ind w:firstLine="567"/>
        <w:rPr>
          <w:rFonts w:cs="Times New Roman"/>
          <w:szCs w:val="24"/>
        </w:rPr>
      </w:pPr>
      <w:r w:rsidRPr="00BA4F0F">
        <w:rPr>
          <w:rFonts w:cs="Times New Roman"/>
          <w:szCs w:val="24"/>
        </w:rPr>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p>
    <w:p w14:paraId="06C0EB02" w14:textId="77777777" w:rsidR="00C1188C" w:rsidRPr="00BA4F0F" w:rsidRDefault="00C1188C" w:rsidP="00C1188C">
      <w:pPr>
        <w:pStyle w:val="11"/>
        <w:spacing w:before="0"/>
        <w:ind w:left="480"/>
      </w:pPr>
      <w:bookmarkStart w:id="104" w:name="_Toc44926604"/>
    </w:p>
    <w:p w14:paraId="3204711D" w14:textId="77777777" w:rsidR="00C1188C" w:rsidRPr="00BA4F0F" w:rsidRDefault="00C1188C" w:rsidP="00C1188C">
      <w:pPr>
        <w:pStyle w:val="11"/>
        <w:spacing w:before="0"/>
      </w:pPr>
      <w:bookmarkStart w:id="105" w:name="_Toc64475919"/>
      <w:bookmarkStart w:id="106" w:name="_Toc65108062"/>
      <w:r w:rsidRPr="00BA4F0F">
        <w:t>Режимы мобилизации ГСК</w:t>
      </w:r>
      <w:bookmarkEnd w:id="104"/>
      <w:bookmarkEnd w:id="105"/>
      <w:bookmarkEnd w:id="106"/>
    </w:p>
    <w:p w14:paraId="6F7420A7" w14:textId="77777777" w:rsidR="00C1188C" w:rsidRPr="00BA4F0F" w:rsidRDefault="00C1188C" w:rsidP="00C1188C">
      <w:pPr>
        <w:autoSpaceDE w:val="0"/>
        <w:autoSpaceDN w:val="0"/>
        <w:adjustRightInd w:val="0"/>
        <w:ind w:firstLine="567"/>
        <w:rPr>
          <w:rFonts w:cs="Times New Roman"/>
          <w:szCs w:val="24"/>
        </w:rPr>
      </w:pPr>
      <w:r w:rsidRPr="00BA4F0F">
        <w:rPr>
          <w:rFonts w:cs="Times New Roman"/>
          <w:szCs w:val="24"/>
        </w:rPr>
        <w:t>В настоящее время в онкогематологии широкое распространение получили следующие режимы мобилизации ГСК:</w:t>
      </w:r>
    </w:p>
    <w:p w14:paraId="55158C92" w14:textId="77777777" w:rsidR="00C1188C" w:rsidRPr="00BA4F0F" w:rsidRDefault="00C1188C" w:rsidP="000768AC">
      <w:pPr>
        <w:numPr>
          <w:ilvl w:val="0"/>
          <w:numId w:val="110"/>
        </w:numPr>
        <w:contextualSpacing/>
        <w:rPr>
          <w:rFonts w:cs="Times New Roman"/>
          <w:szCs w:val="24"/>
        </w:rPr>
      </w:pPr>
      <w:r w:rsidRPr="00BA4F0F">
        <w:rPr>
          <w:rFonts w:cs="Times New Roman"/>
          <w:szCs w:val="24"/>
        </w:rPr>
        <w:t>Г-КСФ в монорежиме</w:t>
      </w:r>
    </w:p>
    <w:p w14:paraId="36BE9814" w14:textId="77777777" w:rsidR="00C1188C" w:rsidRPr="00BA4F0F" w:rsidRDefault="00C1188C" w:rsidP="000768AC">
      <w:pPr>
        <w:numPr>
          <w:ilvl w:val="0"/>
          <w:numId w:val="110"/>
        </w:numPr>
        <w:contextualSpacing/>
        <w:rPr>
          <w:rFonts w:cs="Times New Roman"/>
          <w:szCs w:val="24"/>
        </w:rPr>
      </w:pPr>
      <w:r w:rsidRPr="00BA4F0F">
        <w:rPr>
          <w:rFonts w:cs="Times New Roman"/>
          <w:szCs w:val="24"/>
        </w:rPr>
        <w:t>Г-КСФ после миелосупрессивной химиотерапии (ХТ + Г-КСФ)</w:t>
      </w:r>
    </w:p>
    <w:p w14:paraId="48DD0557" w14:textId="77777777" w:rsidR="00C1188C" w:rsidRPr="00BA4F0F" w:rsidRDefault="00C1188C" w:rsidP="000768AC">
      <w:pPr>
        <w:numPr>
          <w:ilvl w:val="0"/>
          <w:numId w:val="110"/>
        </w:numPr>
        <w:contextualSpacing/>
        <w:rPr>
          <w:rFonts w:cs="Times New Roman"/>
          <w:szCs w:val="24"/>
        </w:rPr>
      </w:pPr>
      <w:r w:rsidRPr="00BA4F0F">
        <w:rPr>
          <w:rFonts w:cs="Times New Roman"/>
          <w:szCs w:val="24"/>
        </w:rPr>
        <w:t>Г-КСФ в сочетании с плериксафором</w:t>
      </w:r>
    </w:p>
    <w:p w14:paraId="6222BEC8" w14:textId="77777777" w:rsidR="00C1188C" w:rsidRPr="00BA4F0F" w:rsidRDefault="00C1188C" w:rsidP="00C1188C">
      <w:pPr>
        <w:pStyle w:val="afe"/>
        <w:ind w:left="0"/>
        <w:rPr>
          <w:rFonts w:cs="Times New Roman"/>
          <w:szCs w:val="24"/>
          <w:u w:val="single"/>
        </w:rPr>
      </w:pPr>
      <w:bookmarkStart w:id="107" w:name="_Toc44926605"/>
    </w:p>
    <w:p w14:paraId="69FDF93D" w14:textId="77777777" w:rsidR="00C1188C" w:rsidRPr="00BA4F0F" w:rsidRDefault="00C1188C" w:rsidP="00C1188C">
      <w:pPr>
        <w:pStyle w:val="afe"/>
        <w:ind w:left="0"/>
        <w:rPr>
          <w:rFonts w:cs="Times New Roman"/>
          <w:szCs w:val="24"/>
          <w:u w:val="single"/>
        </w:rPr>
      </w:pPr>
      <w:r w:rsidRPr="00BA4F0F">
        <w:rPr>
          <w:rFonts w:cs="Times New Roman"/>
          <w:szCs w:val="24"/>
          <w:u w:val="single"/>
        </w:rPr>
        <w:t>Г-КСФ в монорежиме</w:t>
      </w:r>
      <w:bookmarkEnd w:id="107"/>
    </w:p>
    <w:p w14:paraId="4F4F794B" w14:textId="77777777" w:rsidR="00C1188C" w:rsidRPr="00BA4F0F" w:rsidRDefault="00C1188C" w:rsidP="00C1188C">
      <w:pPr>
        <w:ind w:firstLine="567"/>
        <w:rPr>
          <w:rFonts w:cs="Times New Roman"/>
          <w:szCs w:val="24"/>
        </w:rPr>
      </w:pPr>
      <w:r w:rsidRPr="00BA4F0F">
        <w:rPr>
          <w:rFonts w:cs="Times New Roman"/>
          <w:szCs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36ED0DCF" w14:textId="77777777" w:rsidR="00C1188C" w:rsidRPr="00BA4F0F" w:rsidRDefault="00C1188C" w:rsidP="00C1188C">
      <w:pPr>
        <w:contextualSpacing/>
        <w:rPr>
          <w:rFonts w:cs="Times New Roman"/>
          <w:b/>
          <w:szCs w:val="24"/>
        </w:rPr>
      </w:pPr>
      <w:r w:rsidRPr="00BA4F0F">
        <w:rPr>
          <w:rFonts w:cs="Times New Roman"/>
          <w:b/>
          <w:szCs w:val="24"/>
        </w:rPr>
        <w:t xml:space="preserve">Показания </w:t>
      </w:r>
    </w:p>
    <w:p w14:paraId="3F3796B1" w14:textId="77777777" w:rsidR="00C1188C" w:rsidRPr="00BA4F0F" w:rsidRDefault="00C1188C" w:rsidP="000768AC">
      <w:pPr>
        <w:numPr>
          <w:ilvl w:val="0"/>
          <w:numId w:val="202"/>
        </w:numPr>
        <w:ind w:left="426"/>
        <w:contextualSpacing/>
        <w:rPr>
          <w:rFonts w:cs="Times New Roman"/>
          <w:szCs w:val="24"/>
        </w:rPr>
      </w:pPr>
      <w:r w:rsidRPr="00BA4F0F">
        <w:rPr>
          <w:rFonts w:cs="Times New Roman"/>
          <w:szCs w:val="24"/>
        </w:rPr>
        <w:t>Мобилизация ГСК у здоровых доноров;</w:t>
      </w:r>
    </w:p>
    <w:p w14:paraId="529CCBA2" w14:textId="77777777" w:rsidR="00C1188C" w:rsidRPr="00BA4F0F" w:rsidRDefault="00C1188C" w:rsidP="000768AC">
      <w:pPr>
        <w:numPr>
          <w:ilvl w:val="0"/>
          <w:numId w:val="202"/>
        </w:numPr>
        <w:ind w:left="426"/>
        <w:contextualSpacing/>
        <w:rPr>
          <w:rFonts w:cs="Times New Roman"/>
          <w:szCs w:val="24"/>
        </w:rPr>
      </w:pPr>
      <w:r w:rsidRPr="00BA4F0F">
        <w:rPr>
          <w:rFonts w:cs="Times New Roman"/>
          <w:szCs w:val="24"/>
        </w:rPr>
        <w:t xml:space="preserve"> Мобилизация ГСК у пациентов с онкогематологическими заболеваниями;</w:t>
      </w:r>
    </w:p>
    <w:p w14:paraId="643CDCB1" w14:textId="77777777" w:rsidR="00C1188C" w:rsidRPr="00BA4F0F" w:rsidRDefault="00C1188C" w:rsidP="000768AC">
      <w:pPr>
        <w:numPr>
          <w:ilvl w:val="0"/>
          <w:numId w:val="202"/>
        </w:numPr>
        <w:ind w:left="426"/>
        <w:contextualSpacing/>
        <w:rPr>
          <w:rFonts w:cs="Times New Roman"/>
          <w:szCs w:val="24"/>
        </w:rPr>
      </w:pPr>
      <w:r w:rsidRPr="00BA4F0F">
        <w:rPr>
          <w:rFonts w:cs="Times New Roman"/>
          <w:szCs w:val="24"/>
        </w:rPr>
        <w:t>Мобилизация ГСК у пациентов, проведение которым режима «ХТ+ Г-КСФ» не является безопасным (при наличии коморбидности, кардиальной патологии, диализ-зависимой почечной недостаточности);</w:t>
      </w:r>
    </w:p>
    <w:p w14:paraId="0DEB6026" w14:textId="77777777" w:rsidR="00C1188C" w:rsidRPr="00BA4F0F" w:rsidRDefault="00C1188C" w:rsidP="000768AC">
      <w:pPr>
        <w:numPr>
          <w:ilvl w:val="0"/>
          <w:numId w:val="202"/>
        </w:numPr>
        <w:ind w:left="426"/>
        <w:contextualSpacing/>
        <w:rPr>
          <w:rFonts w:cs="Times New Roman"/>
          <w:szCs w:val="24"/>
        </w:rPr>
      </w:pPr>
      <w:r w:rsidRPr="00BA4F0F">
        <w:rPr>
          <w:rFonts w:cs="Times New Roman"/>
          <w:szCs w:val="24"/>
        </w:rPr>
        <w:t>Повторная мобилизация после неудачи первой мобилизации ГСК схемами, включающими миелосупрессивные препараты.</w:t>
      </w:r>
    </w:p>
    <w:p w14:paraId="19D45039" w14:textId="77777777" w:rsidR="00C1188C" w:rsidRPr="00BA4F0F" w:rsidRDefault="00C1188C" w:rsidP="00C1188C">
      <w:pPr>
        <w:contextualSpacing/>
        <w:rPr>
          <w:rFonts w:cs="Times New Roman"/>
          <w:b/>
          <w:szCs w:val="24"/>
        </w:rPr>
      </w:pPr>
      <w:r w:rsidRPr="00BA4F0F">
        <w:rPr>
          <w:rFonts w:cs="Times New Roman"/>
          <w:b/>
          <w:szCs w:val="24"/>
        </w:rPr>
        <w:t>Схема мобилизации ГСК</w:t>
      </w:r>
    </w:p>
    <w:p w14:paraId="011659F3" w14:textId="77777777" w:rsidR="00C1188C" w:rsidRPr="00BA4F0F" w:rsidRDefault="00C1188C" w:rsidP="00C1188C">
      <w:pPr>
        <w:ind w:firstLine="426"/>
        <w:rPr>
          <w:rFonts w:cs="Times New Roman"/>
          <w:szCs w:val="24"/>
        </w:rPr>
      </w:pPr>
      <w:r w:rsidRPr="00BA4F0F">
        <w:rPr>
          <w:rFonts w:cs="Times New Roman"/>
          <w:szCs w:val="24"/>
        </w:rPr>
        <w:t xml:space="preserve">Г-КСФ назначают в дозе 10 мкг/кг/сутки, вводят подкожно утром (или по 5 мкг 2 раза в сутки). Лейкаферез начинается на четвертый день введения Г-КСФ при наличии адекватного количества </w:t>
      </w:r>
      <w:r w:rsidRPr="00BA4F0F">
        <w:rPr>
          <w:rFonts w:cs="Times New Roman"/>
          <w:szCs w:val="24"/>
          <w:lang w:val="en-US"/>
        </w:rPr>
        <w:t>CD</w:t>
      </w:r>
      <w:r w:rsidRPr="00BA4F0F">
        <w:rPr>
          <w:rFonts w:cs="Times New Roman"/>
          <w:szCs w:val="24"/>
        </w:rPr>
        <w:t xml:space="preserve">34+ клеток в периферической крови. При их количестве более 10-20 клеток/мкл начинают сепарацию клеток. Если </w:t>
      </w:r>
      <w:r w:rsidRPr="00BA4F0F">
        <w:rPr>
          <w:rFonts w:cs="Times New Roman"/>
          <w:szCs w:val="24"/>
          <w:lang w:val="en-US"/>
        </w:rPr>
        <w:t>CD</w:t>
      </w:r>
      <w:r w:rsidRPr="00BA4F0F">
        <w:rPr>
          <w:rFonts w:cs="Times New Roman"/>
          <w:szCs w:val="24"/>
        </w:rPr>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зависит от результатов сбора ГСК, для заготовки оптимального  количества CD34+ клеток необходимо 2 - 4 процедуры (от 1 до 5). В заключительный день проведения лейкафереза Г-КСФ не вводится (таблица 1).</w:t>
      </w:r>
    </w:p>
    <w:p w14:paraId="51857E71" w14:textId="77777777" w:rsidR="00C1188C" w:rsidRPr="00BA4F0F" w:rsidRDefault="00C1188C" w:rsidP="00C1188C">
      <w:pPr>
        <w:rPr>
          <w:rFonts w:cs="Times New Roman"/>
          <w:szCs w:val="24"/>
        </w:rPr>
      </w:pPr>
    </w:p>
    <w:p w14:paraId="0950939D" w14:textId="77777777" w:rsidR="00C1188C" w:rsidRPr="00BA4F0F" w:rsidRDefault="00C1188C" w:rsidP="00C1188C">
      <w:pPr>
        <w:rPr>
          <w:rFonts w:cs="Times New Roman"/>
          <w:szCs w:val="24"/>
        </w:rPr>
      </w:pPr>
      <w:r w:rsidRPr="00BA4F0F">
        <w:rPr>
          <w:rFonts w:cs="Times New Roman"/>
          <w:szCs w:val="24"/>
        </w:rPr>
        <w:t xml:space="preserve">Таблица 1 . Схема мобилизации ГСК «Г-КСФ в монорежиме» </w:t>
      </w:r>
    </w:p>
    <w:tbl>
      <w:tblPr>
        <w:tblStyle w:val="1f3"/>
        <w:tblW w:w="9269" w:type="dxa"/>
        <w:tblInd w:w="108" w:type="dxa"/>
        <w:tblLook w:val="04A0" w:firstRow="1" w:lastRow="0" w:firstColumn="1" w:lastColumn="0" w:noHBand="0" w:noVBand="1"/>
      </w:tblPr>
      <w:tblGrid>
        <w:gridCol w:w="2130"/>
        <w:gridCol w:w="1099"/>
        <w:gridCol w:w="1099"/>
        <w:gridCol w:w="1099"/>
        <w:gridCol w:w="1099"/>
        <w:gridCol w:w="1099"/>
        <w:gridCol w:w="1644"/>
      </w:tblGrid>
      <w:tr w:rsidR="00C1188C" w:rsidRPr="00BA4F0F" w14:paraId="1D70951D" w14:textId="77777777" w:rsidTr="004871F2">
        <w:tc>
          <w:tcPr>
            <w:tcW w:w="2130" w:type="dxa"/>
          </w:tcPr>
          <w:p w14:paraId="733BB5D0" w14:textId="77777777" w:rsidR="00C1188C" w:rsidRPr="00BA4F0F" w:rsidRDefault="00C1188C" w:rsidP="004871F2">
            <w:pPr>
              <w:ind w:firstLine="0"/>
              <w:rPr>
                <w:rFonts w:cs="Times New Roman"/>
              </w:rPr>
            </w:pPr>
            <w:r w:rsidRPr="00BA4F0F">
              <w:rPr>
                <w:rFonts w:cs="Times New Roman"/>
              </w:rPr>
              <w:t>Дни</w:t>
            </w:r>
          </w:p>
        </w:tc>
        <w:tc>
          <w:tcPr>
            <w:tcW w:w="1099" w:type="dxa"/>
          </w:tcPr>
          <w:p w14:paraId="54BAED37" w14:textId="77777777" w:rsidR="00C1188C" w:rsidRPr="00BA4F0F" w:rsidRDefault="00C1188C" w:rsidP="004871F2">
            <w:pPr>
              <w:ind w:firstLine="0"/>
              <w:rPr>
                <w:rFonts w:cs="Times New Roman"/>
              </w:rPr>
            </w:pPr>
            <w:r w:rsidRPr="00BA4F0F">
              <w:rPr>
                <w:rFonts w:cs="Times New Roman"/>
              </w:rPr>
              <w:t>1</w:t>
            </w:r>
          </w:p>
        </w:tc>
        <w:tc>
          <w:tcPr>
            <w:tcW w:w="1099" w:type="dxa"/>
          </w:tcPr>
          <w:p w14:paraId="222B2C2D" w14:textId="77777777" w:rsidR="00C1188C" w:rsidRPr="00BA4F0F" w:rsidRDefault="00C1188C" w:rsidP="004871F2">
            <w:pPr>
              <w:ind w:firstLine="0"/>
              <w:rPr>
                <w:rFonts w:cs="Times New Roman"/>
              </w:rPr>
            </w:pPr>
            <w:r w:rsidRPr="00BA4F0F">
              <w:rPr>
                <w:rFonts w:cs="Times New Roman"/>
              </w:rPr>
              <w:t>2</w:t>
            </w:r>
          </w:p>
        </w:tc>
        <w:tc>
          <w:tcPr>
            <w:tcW w:w="1099" w:type="dxa"/>
          </w:tcPr>
          <w:p w14:paraId="6D4A81FA" w14:textId="77777777" w:rsidR="00C1188C" w:rsidRPr="00BA4F0F" w:rsidRDefault="00C1188C" w:rsidP="004871F2">
            <w:pPr>
              <w:ind w:firstLine="0"/>
              <w:rPr>
                <w:rFonts w:cs="Times New Roman"/>
              </w:rPr>
            </w:pPr>
            <w:r w:rsidRPr="00BA4F0F">
              <w:rPr>
                <w:rFonts w:cs="Times New Roman"/>
              </w:rPr>
              <w:t>3</w:t>
            </w:r>
          </w:p>
        </w:tc>
        <w:tc>
          <w:tcPr>
            <w:tcW w:w="1099" w:type="dxa"/>
          </w:tcPr>
          <w:p w14:paraId="5E694689" w14:textId="77777777" w:rsidR="00C1188C" w:rsidRPr="00BA4F0F" w:rsidRDefault="00C1188C" w:rsidP="004871F2">
            <w:pPr>
              <w:ind w:firstLine="0"/>
              <w:rPr>
                <w:rFonts w:cs="Times New Roman"/>
              </w:rPr>
            </w:pPr>
            <w:r w:rsidRPr="00BA4F0F">
              <w:rPr>
                <w:rFonts w:cs="Times New Roman"/>
              </w:rPr>
              <w:t>4</w:t>
            </w:r>
          </w:p>
        </w:tc>
        <w:tc>
          <w:tcPr>
            <w:tcW w:w="1099" w:type="dxa"/>
          </w:tcPr>
          <w:p w14:paraId="07C3D335" w14:textId="77777777" w:rsidR="00C1188C" w:rsidRPr="00BA4F0F" w:rsidRDefault="00C1188C" w:rsidP="004871F2">
            <w:pPr>
              <w:ind w:firstLine="0"/>
              <w:rPr>
                <w:rFonts w:cs="Times New Roman"/>
              </w:rPr>
            </w:pPr>
            <w:r w:rsidRPr="00BA4F0F">
              <w:rPr>
                <w:rFonts w:cs="Times New Roman"/>
              </w:rPr>
              <w:t>5</w:t>
            </w:r>
          </w:p>
        </w:tc>
        <w:tc>
          <w:tcPr>
            <w:tcW w:w="1644" w:type="dxa"/>
          </w:tcPr>
          <w:p w14:paraId="7E8A5F22" w14:textId="77777777" w:rsidR="00C1188C" w:rsidRPr="00BA4F0F" w:rsidRDefault="00C1188C" w:rsidP="004871F2">
            <w:pPr>
              <w:ind w:firstLine="0"/>
              <w:rPr>
                <w:rFonts w:cs="Times New Roman"/>
              </w:rPr>
            </w:pPr>
            <w:r w:rsidRPr="00BA4F0F">
              <w:rPr>
                <w:rFonts w:cs="Times New Roman"/>
              </w:rPr>
              <w:t>6</w:t>
            </w:r>
          </w:p>
        </w:tc>
      </w:tr>
      <w:tr w:rsidR="00C1188C" w:rsidRPr="00BA4F0F" w14:paraId="41390A34" w14:textId="77777777" w:rsidTr="004871F2">
        <w:tc>
          <w:tcPr>
            <w:tcW w:w="2130" w:type="dxa"/>
          </w:tcPr>
          <w:p w14:paraId="03153375" w14:textId="77777777" w:rsidR="00C1188C" w:rsidRPr="00BA4F0F" w:rsidRDefault="00C1188C" w:rsidP="004871F2">
            <w:pPr>
              <w:ind w:firstLine="0"/>
              <w:rPr>
                <w:rFonts w:cs="Times New Roman"/>
              </w:rPr>
            </w:pPr>
            <w:r w:rsidRPr="00BA4F0F">
              <w:rPr>
                <w:rFonts w:cs="Times New Roman"/>
              </w:rPr>
              <w:t xml:space="preserve">Г-КСФ, </w:t>
            </w:r>
          </w:p>
          <w:p w14:paraId="5F63D2A3" w14:textId="77777777" w:rsidR="00C1188C" w:rsidRPr="00BA4F0F" w:rsidRDefault="00C1188C" w:rsidP="004871F2">
            <w:pPr>
              <w:ind w:firstLine="0"/>
              <w:rPr>
                <w:rFonts w:cs="Times New Roman"/>
              </w:rPr>
            </w:pPr>
            <w:r w:rsidRPr="00BA4F0F">
              <w:rPr>
                <w:rFonts w:cs="Times New Roman"/>
              </w:rPr>
              <w:t>10 мкг/кг</w:t>
            </w:r>
          </w:p>
        </w:tc>
        <w:tc>
          <w:tcPr>
            <w:tcW w:w="1099" w:type="dxa"/>
          </w:tcPr>
          <w:p w14:paraId="1394ADD5" w14:textId="77777777" w:rsidR="00C1188C" w:rsidRPr="00BA4F0F" w:rsidRDefault="00C1188C" w:rsidP="004871F2">
            <w:pPr>
              <w:ind w:firstLine="0"/>
              <w:rPr>
                <w:rFonts w:cs="Times New Roman"/>
              </w:rPr>
            </w:pPr>
            <w:r w:rsidRPr="00BA4F0F">
              <w:rPr>
                <w:rFonts w:cs="Times New Roman"/>
              </w:rPr>
              <w:t>Х</w:t>
            </w:r>
          </w:p>
        </w:tc>
        <w:tc>
          <w:tcPr>
            <w:tcW w:w="1099" w:type="dxa"/>
          </w:tcPr>
          <w:p w14:paraId="49DD7D19" w14:textId="77777777" w:rsidR="00C1188C" w:rsidRPr="00BA4F0F" w:rsidRDefault="00C1188C" w:rsidP="004871F2">
            <w:pPr>
              <w:ind w:firstLine="0"/>
              <w:rPr>
                <w:rFonts w:cs="Times New Roman"/>
              </w:rPr>
            </w:pPr>
            <w:r w:rsidRPr="00BA4F0F">
              <w:rPr>
                <w:rFonts w:cs="Times New Roman"/>
              </w:rPr>
              <w:t>Х</w:t>
            </w:r>
          </w:p>
        </w:tc>
        <w:tc>
          <w:tcPr>
            <w:tcW w:w="1099" w:type="dxa"/>
          </w:tcPr>
          <w:p w14:paraId="5115152D" w14:textId="77777777" w:rsidR="00C1188C" w:rsidRPr="00BA4F0F" w:rsidRDefault="00C1188C" w:rsidP="004871F2">
            <w:pPr>
              <w:ind w:firstLine="0"/>
              <w:rPr>
                <w:rFonts w:cs="Times New Roman"/>
              </w:rPr>
            </w:pPr>
            <w:r w:rsidRPr="00BA4F0F">
              <w:rPr>
                <w:rFonts w:cs="Times New Roman"/>
              </w:rPr>
              <w:t>Х</w:t>
            </w:r>
          </w:p>
        </w:tc>
        <w:tc>
          <w:tcPr>
            <w:tcW w:w="1099" w:type="dxa"/>
          </w:tcPr>
          <w:p w14:paraId="30DA4B2C" w14:textId="77777777" w:rsidR="00C1188C" w:rsidRPr="00BA4F0F" w:rsidRDefault="00C1188C" w:rsidP="004871F2">
            <w:pPr>
              <w:ind w:firstLine="0"/>
              <w:rPr>
                <w:rFonts w:cs="Times New Roman"/>
              </w:rPr>
            </w:pPr>
            <w:r w:rsidRPr="00BA4F0F">
              <w:rPr>
                <w:rFonts w:cs="Times New Roman"/>
              </w:rPr>
              <w:t>Х</w:t>
            </w:r>
          </w:p>
        </w:tc>
        <w:tc>
          <w:tcPr>
            <w:tcW w:w="1099" w:type="dxa"/>
          </w:tcPr>
          <w:p w14:paraId="41829912" w14:textId="77777777" w:rsidR="00C1188C" w:rsidRPr="00BA4F0F" w:rsidRDefault="00C1188C" w:rsidP="004871F2">
            <w:pPr>
              <w:ind w:firstLine="0"/>
              <w:rPr>
                <w:rFonts w:cs="Times New Roman"/>
              </w:rPr>
            </w:pPr>
            <w:r w:rsidRPr="00BA4F0F">
              <w:rPr>
                <w:rFonts w:cs="Times New Roman"/>
              </w:rPr>
              <w:t>Х</w:t>
            </w:r>
          </w:p>
        </w:tc>
        <w:tc>
          <w:tcPr>
            <w:tcW w:w="1644" w:type="dxa"/>
          </w:tcPr>
          <w:p w14:paraId="4A372952" w14:textId="77777777" w:rsidR="00C1188C" w:rsidRPr="00BA4F0F" w:rsidRDefault="00C1188C" w:rsidP="004871F2">
            <w:pPr>
              <w:ind w:firstLine="0"/>
              <w:rPr>
                <w:rFonts w:cs="Times New Roman"/>
              </w:rPr>
            </w:pPr>
            <w:r w:rsidRPr="00BA4F0F">
              <w:rPr>
                <w:rFonts w:cs="Times New Roman"/>
              </w:rPr>
              <w:t>отмена</w:t>
            </w:r>
          </w:p>
        </w:tc>
      </w:tr>
      <w:tr w:rsidR="00C1188C" w:rsidRPr="00BA4F0F" w14:paraId="10C8E370" w14:textId="77777777" w:rsidTr="004871F2">
        <w:tc>
          <w:tcPr>
            <w:tcW w:w="2130" w:type="dxa"/>
          </w:tcPr>
          <w:p w14:paraId="44493772" w14:textId="77777777" w:rsidR="00C1188C" w:rsidRPr="00BA4F0F" w:rsidRDefault="00C1188C" w:rsidP="004871F2">
            <w:pPr>
              <w:ind w:firstLine="0"/>
              <w:rPr>
                <w:rFonts w:cs="Times New Roman"/>
              </w:rPr>
            </w:pPr>
            <w:r w:rsidRPr="00BA4F0F">
              <w:rPr>
                <w:rFonts w:cs="Times New Roman"/>
              </w:rPr>
              <w:t>Лейкаферез</w:t>
            </w:r>
          </w:p>
        </w:tc>
        <w:tc>
          <w:tcPr>
            <w:tcW w:w="1099" w:type="dxa"/>
          </w:tcPr>
          <w:p w14:paraId="47E0DFFD" w14:textId="77777777" w:rsidR="00C1188C" w:rsidRPr="00BA4F0F" w:rsidRDefault="00C1188C" w:rsidP="004871F2">
            <w:pPr>
              <w:ind w:firstLine="0"/>
              <w:rPr>
                <w:rFonts w:cs="Times New Roman"/>
              </w:rPr>
            </w:pPr>
          </w:p>
        </w:tc>
        <w:tc>
          <w:tcPr>
            <w:tcW w:w="1099" w:type="dxa"/>
          </w:tcPr>
          <w:p w14:paraId="18FDC301" w14:textId="77777777" w:rsidR="00C1188C" w:rsidRPr="00BA4F0F" w:rsidRDefault="00C1188C" w:rsidP="004871F2">
            <w:pPr>
              <w:ind w:firstLine="0"/>
              <w:rPr>
                <w:rFonts w:cs="Times New Roman"/>
              </w:rPr>
            </w:pPr>
          </w:p>
        </w:tc>
        <w:tc>
          <w:tcPr>
            <w:tcW w:w="1099" w:type="dxa"/>
          </w:tcPr>
          <w:p w14:paraId="5A2ECBE3" w14:textId="77777777" w:rsidR="00C1188C" w:rsidRPr="00BA4F0F" w:rsidRDefault="00C1188C" w:rsidP="004871F2">
            <w:pPr>
              <w:ind w:firstLine="0"/>
              <w:rPr>
                <w:rFonts w:cs="Times New Roman"/>
              </w:rPr>
            </w:pPr>
          </w:p>
        </w:tc>
        <w:tc>
          <w:tcPr>
            <w:tcW w:w="1099" w:type="dxa"/>
          </w:tcPr>
          <w:p w14:paraId="5050AB17" w14:textId="77777777" w:rsidR="00C1188C" w:rsidRPr="00BA4F0F" w:rsidRDefault="00C1188C" w:rsidP="004871F2">
            <w:pPr>
              <w:ind w:firstLine="0"/>
              <w:rPr>
                <w:rFonts w:cs="Times New Roman"/>
                <w:lang w:val="en-US"/>
              </w:rPr>
            </w:pPr>
            <w:r w:rsidRPr="00BA4F0F">
              <w:rPr>
                <w:rFonts w:cs="Times New Roman"/>
                <w:lang w:val="en-US"/>
              </w:rPr>
              <w:t>V</w:t>
            </w:r>
          </w:p>
        </w:tc>
        <w:tc>
          <w:tcPr>
            <w:tcW w:w="1099" w:type="dxa"/>
          </w:tcPr>
          <w:p w14:paraId="41C07336" w14:textId="77777777" w:rsidR="00C1188C" w:rsidRPr="00BA4F0F" w:rsidRDefault="00C1188C" w:rsidP="004871F2">
            <w:pPr>
              <w:ind w:firstLine="0"/>
              <w:rPr>
                <w:rFonts w:cs="Times New Roman"/>
                <w:lang w:val="en-US"/>
              </w:rPr>
            </w:pPr>
            <w:r w:rsidRPr="00BA4F0F">
              <w:rPr>
                <w:rFonts w:cs="Times New Roman"/>
                <w:lang w:val="en-US"/>
              </w:rPr>
              <w:t>V</w:t>
            </w:r>
          </w:p>
        </w:tc>
        <w:tc>
          <w:tcPr>
            <w:tcW w:w="1644" w:type="dxa"/>
          </w:tcPr>
          <w:p w14:paraId="0F10C100" w14:textId="77777777" w:rsidR="00C1188C" w:rsidRPr="00BA4F0F" w:rsidRDefault="00C1188C" w:rsidP="004871F2">
            <w:pPr>
              <w:ind w:firstLine="0"/>
              <w:rPr>
                <w:rFonts w:cs="Times New Roman"/>
                <w:lang w:val="en-US"/>
              </w:rPr>
            </w:pPr>
            <w:r w:rsidRPr="00BA4F0F">
              <w:rPr>
                <w:rFonts w:cs="Times New Roman"/>
                <w:lang w:val="en-US"/>
              </w:rPr>
              <w:t>V</w:t>
            </w:r>
          </w:p>
        </w:tc>
      </w:tr>
    </w:tbl>
    <w:p w14:paraId="05C9E947" w14:textId="77777777" w:rsidR="00C1188C" w:rsidRPr="00BA4F0F" w:rsidRDefault="00C1188C" w:rsidP="00C1188C">
      <w:pPr>
        <w:pStyle w:val="11"/>
        <w:spacing w:before="0"/>
      </w:pPr>
      <w:bookmarkStart w:id="108" w:name="_Toc44926606"/>
    </w:p>
    <w:p w14:paraId="2E06F501" w14:textId="77777777" w:rsidR="00C1188C" w:rsidRPr="00BA4F0F" w:rsidRDefault="00C1188C" w:rsidP="00C1188C">
      <w:pPr>
        <w:pStyle w:val="afe"/>
        <w:ind w:left="0"/>
        <w:rPr>
          <w:rFonts w:cs="Times New Roman"/>
          <w:szCs w:val="24"/>
          <w:u w:val="single"/>
        </w:rPr>
      </w:pPr>
      <w:r w:rsidRPr="00BA4F0F">
        <w:rPr>
          <w:rFonts w:cs="Times New Roman"/>
          <w:szCs w:val="24"/>
          <w:u w:val="single"/>
        </w:rPr>
        <w:t>Г-КСФ после миелосупрессивной химиотерапии</w:t>
      </w:r>
      <w:bookmarkEnd w:id="108"/>
    </w:p>
    <w:p w14:paraId="5BF1E148" w14:textId="77777777" w:rsidR="00C1188C" w:rsidRPr="00BA4F0F" w:rsidRDefault="00C1188C" w:rsidP="00C1188C">
      <w:pPr>
        <w:rPr>
          <w:rFonts w:cs="Times New Roman"/>
          <w:b/>
          <w:i/>
          <w:szCs w:val="24"/>
          <w:lang w:val="en-US"/>
        </w:rPr>
      </w:pPr>
      <w:r w:rsidRPr="00BA4F0F">
        <w:rPr>
          <w:rFonts w:cs="Times New Roman"/>
          <w:b/>
          <w:i/>
          <w:szCs w:val="24"/>
          <w:lang w:val="en-US"/>
        </w:rPr>
        <w:t xml:space="preserve">Показания </w:t>
      </w:r>
    </w:p>
    <w:p w14:paraId="695C70A7" w14:textId="77777777" w:rsidR="00C1188C" w:rsidRPr="00BA4F0F" w:rsidRDefault="00C1188C" w:rsidP="000768AC">
      <w:pPr>
        <w:numPr>
          <w:ilvl w:val="0"/>
          <w:numId w:val="203"/>
        </w:numPr>
        <w:contextualSpacing/>
        <w:rPr>
          <w:rFonts w:cs="Times New Roman"/>
          <w:b/>
          <w:szCs w:val="24"/>
        </w:rPr>
      </w:pPr>
      <w:r w:rsidRPr="00BA4F0F">
        <w:rPr>
          <w:rFonts w:cs="Times New Roman"/>
          <w:szCs w:val="24"/>
        </w:rPr>
        <w:t>Мобилизация ГСК у пациентов с онкогематологическими заболеваниями</w:t>
      </w:r>
    </w:p>
    <w:p w14:paraId="1A5AAD48" w14:textId="77777777" w:rsidR="00C1188C" w:rsidRPr="00BA4F0F" w:rsidRDefault="00C1188C" w:rsidP="00C1188C">
      <w:pPr>
        <w:rPr>
          <w:rFonts w:cs="Times New Roman"/>
          <w:b/>
          <w:i/>
          <w:szCs w:val="24"/>
        </w:rPr>
      </w:pPr>
    </w:p>
    <w:p w14:paraId="23B66B3D" w14:textId="77777777" w:rsidR="00C1188C" w:rsidRPr="00BA4F0F" w:rsidRDefault="00C1188C" w:rsidP="00C1188C">
      <w:pPr>
        <w:rPr>
          <w:rFonts w:cs="Times New Roman"/>
          <w:b/>
          <w:i/>
          <w:szCs w:val="24"/>
        </w:rPr>
      </w:pPr>
      <w:r w:rsidRPr="00BA4F0F">
        <w:rPr>
          <w:rFonts w:cs="Times New Roman"/>
          <w:b/>
          <w:i/>
          <w:szCs w:val="24"/>
        </w:rPr>
        <w:t>Схема мобилизации ГСК «ХТ + Г-КСФ»</w:t>
      </w:r>
    </w:p>
    <w:p w14:paraId="283CD2F6" w14:textId="77777777" w:rsidR="00C1188C" w:rsidRPr="00BA4F0F" w:rsidRDefault="00C1188C" w:rsidP="00C1188C">
      <w:pPr>
        <w:rPr>
          <w:rFonts w:cs="Times New Roman"/>
          <w:szCs w:val="24"/>
        </w:rPr>
      </w:pPr>
      <w:r w:rsidRPr="00BA4F0F">
        <w:rPr>
          <w:rFonts w:cs="Times New Roman"/>
          <w:szCs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лейкопоэза Г-КСФ в дозе 5 мг/кг/сут.</w:t>
      </w:r>
    </w:p>
    <w:p w14:paraId="4075EC00" w14:textId="77777777" w:rsidR="00C1188C" w:rsidRPr="00BA4F0F" w:rsidRDefault="00C1188C" w:rsidP="00C1188C">
      <w:pPr>
        <w:rPr>
          <w:rFonts w:cs="Times New Roman"/>
          <w:szCs w:val="24"/>
        </w:rPr>
      </w:pPr>
      <w:r w:rsidRPr="00BA4F0F">
        <w:rPr>
          <w:rFonts w:cs="Times New Roman"/>
          <w:szCs w:val="24"/>
        </w:rPr>
        <w:t xml:space="preserve">При условии восстановления лейкоцитов периферической крови и адекватного количества среди них </w:t>
      </w:r>
      <w:r w:rsidRPr="00BA4F0F">
        <w:rPr>
          <w:rFonts w:cs="Times New Roman"/>
          <w:szCs w:val="24"/>
          <w:lang w:val="en-US"/>
        </w:rPr>
        <w:t>CD</w:t>
      </w:r>
      <w:r w:rsidRPr="00BA4F0F">
        <w:rPr>
          <w:rFonts w:cs="Times New Roman"/>
          <w:szCs w:val="24"/>
        </w:rPr>
        <w:t xml:space="preserve">34+ клеток начинаются процедуры сбора ГСК (как правило, на 6-8 день введения Г-КСФ). </w:t>
      </w:r>
    </w:p>
    <w:p w14:paraId="06EBA487" w14:textId="77777777" w:rsidR="00C1188C" w:rsidRPr="00BA4F0F" w:rsidRDefault="00C1188C" w:rsidP="00C1188C">
      <w:pPr>
        <w:rPr>
          <w:rFonts w:cs="Times New Roman"/>
          <w:szCs w:val="24"/>
        </w:rPr>
      </w:pPr>
      <w:r w:rsidRPr="00BA4F0F">
        <w:rPr>
          <w:rFonts w:cs="Times New Roman"/>
          <w:szCs w:val="24"/>
        </w:rPr>
        <w:t xml:space="preserve">На рисунке 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14:paraId="1913916F" w14:textId="77777777" w:rsidR="00C1188C" w:rsidRPr="00BA4F0F" w:rsidRDefault="00C1188C" w:rsidP="00C1188C">
      <w:pPr>
        <w:jc w:val="center"/>
        <w:rPr>
          <w:rFonts w:cs="Times New Roman"/>
          <w:szCs w:val="24"/>
        </w:rPr>
      </w:pPr>
      <w:r w:rsidRPr="00BA4F0F">
        <w:rPr>
          <w:rFonts w:cs="Times New Roman"/>
          <w:noProof/>
          <w:szCs w:val="24"/>
          <w:lang w:eastAsia="ru-RU"/>
        </w:rPr>
        <w:drawing>
          <wp:inline distT="0" distB="0" distL="0" distR="0" wp14:anchorId="7474ED56" wp14:editId="44C1E49E">
            <wp:extent cx="4177990" cy="2665737"/>
            <wp:effectExtent l="0" t="0" r="0" b="1270"/>
            <wp:docPr id="1" name="Picture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Изображение выглядит как текст&#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1EBF0041" w14:textId="77777777" w:rsidR="00C1188C" w:rsidRPr="00BA4F0F" w:rsidRDefault="00C1188C" w:rsidP="00C1188C">
      <w:pPr>
        <w:jc w:val="center"/>
        <w:rPr>
          <w:rFonts w:cs="Times New Roman"/>
          <w:i/>
          <w:szCs w:val="24"/>
        </w:rPr>
      </w:pPr>
      <w:r w:rsidRPr="00BA4F0F">
        <w:rPr>
          <w:rFonts w:cs="Times New Roman"/>
          <w:szCs w:val="24"/>
        </w:rPr>
        <w:t xml:space="preserve">Рисунок 1. Алгоритм определения показаний к проведению первого лейкафереза при мобилизации ГСК в режиме «ХТ+ Г-КСФ». </w:t>
      </w:r>
      <w:r w:rsidRPr="00BA4F0F">
        <w:rPr>
          <w:rFonts w:cs="Times New Roman"/>
          <w:i/>
          <w:szCs w:val="24"/>
        </w:rPr>
        <w:t>ХТ – химиотерапия, МТА – миелотоксический агранулоцитоз</w:t>
      </w:r>
    </w:p>
    <w:p w14:paraId="2079888B" w14:textId="77777777" w:rsidR="00C1188C" w:rsidRPr="00BA4F0F" w:rsidRDefault="00C1188C" w:rsidP="00C1188C">
      <w:pPr>
        <w:rPr>
          <w:rFonts w:cs="Times New Roman"/>
          <w:szCs w:val="24"/>
        </w:rPr>
      </w:pPr>
    </w:p>
    <w:p w14:paraId="7178088C" w14:textId="4828A36B" w:rsidR="00C1188C" w:rsidRPr="00BA4F0F" w:rsidRDefault="00C1188C" w:rsidP="00C1188C">
      <w:pPr>
        <w:rPr>
          <w:rFonts w:cs="Times New Roman"/>
          <w:szCs w:val="24"/>
        </w:rPr>
      </w:pPr>
      <w:r w:rsidRPr="00BA4F0F">
        <w:rPr>
          <w:rFonts w:cs="Times New Roman"/>
          <w:szCs w:val="24"/>
        </w:rPr>
        <w:t xml:space="preserve">Данная схема мобилизации ГСК применяется в период индукции первой или второй ремиссии при ММ, НХЛ, лимфоме Ходжкина; при острых лейкозах в период ремиссии. Выбор химиотерапевтических препаратов зависит от конкретной нозологии и протокола терапии. Так, при ММ чаще используется циклофосфан, также возможны схемы </w:t>
      </w:r>
      <w:r w:rsidRPr="00BA4F0F">
        <w:rPr>
          <w:rFonts w:cs="Times New Roman"/>
          <w:szCs w:val="24"/>
          <w:lang w:val="en-US"/>
        </w:rPr>
        <w:t>VD</w:t>
      </w:r>
      <w:r w:rsidRPr="00BA4F0F">
        <w:rPr>
          <w:rFonts w:cs="Times New Roman"/>
          <w:szCs w:val="24"/>
        </w:rPr>
        <w:t>-</w:t>
      </w:r>
      <w:r w:rsidRPr="00BA4F0F">
        <w:rPr>
          <w:rFonts w:cs="Times New Roman"/>
          <w:szCs w:val="24"/>
          <w:lang w:val="en-US"/>
        </w:rPr>
        <w:t>PACE</w:t>
      </w:r>
      <w:r w:rsidRPr="00BA4F0F">
        <w:rPr>
          <w:rFonts w:cs="Times New Roman"/>
          <w:szCs w:val="24"/>
        </w:rPr>
        <w:t xml:space="preserve">, </w:t>
      </w:r>
      <w:r w:rsidRPr="00BA4F0F">
        <w:rPr>
          <w:rFonts w:cs="Times New Roman"/>
          <w:szCs w:val="24"/>
          <w:lang w:val="en-US"/>
        </w:rPr>
        <w:t>DHAP</w:t>
      </w:r>
      <w:r w:rsidRPr="00BA4F0F">
        <w:rPr>
          <w:rFonts w:cs="Times New Roman"/>
          <w:szCs w:val="24"/>
        </w:rPr>
        <w:t>, средние дозы цитарабина (1,6 мг/м</w:t>
      </w:r>
      <w:r w:rsidRPr="00BA4F0F">
        <w:rPr>
          <w:rFonts w:cs="Times New Roman"/>
          <w:szCs w:val="24"/>
          <w:vertAlign w:val="superscript"/>
        </w:rPr>
        <w:t>2</w:t>
      </w:r>
      <w:r w:rsidRPr="00BA4F0F">
        <w:rPr>
          <w:rFonts w:cs="Times New Roman"/>
          <w:szCs w:val="24"/>
        </w:rPr>
        <w:t xml:space="preserve">) </w:t>
      </w:r>
      <w:r w:rsidRPr="00BA4F0F">
        <w:rPr>
          <w:rFonts w:cs="Times New Roman"/>
          <w:szCs w:val="24"/>
        </w:rPr>
        <w:fldChar w:fldCharType="begin" w:fldLock="1"/>
      </w:r>
      <w:r w:rsidR="00B436BD">
        <w:rPr>
          <w:rFonts w:cs="Times New Roman"/>
          <w:szCs w:val="24"/>
        </w:rPr>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ac290ab9-3704-3deb-9ee1-a77054689a23","http://www.mendeley.com/documents/?uuid=18434bdd-f835-497e-85ae-9a174b52514e"]}],"mendeley":{"formattedCitation":"[114]","plainTextFormattedCitation":"[114]","previouslyFormattedCitation":"[114]"},"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[114]</w:t>
      </w:r>
      <w:r w:rsidRPr="00BA4F0F">
        <w:rPr>
          <w:rFonts w:cs="Times New Roman"/>
          <w:szCs w:val="24"/>
        </w:rPr>
        <w:fldChar w:fldCharType="end"/>
      </w:r>
      <w:r w:rsidRPr="00BA4F0F">
        <w:rPr>
          <w:rFonts w:cs="Times New Roman"/>
          <w:szCs w:val="24"/>
        </w:rPr>
        <w:t xml:space="preserve">. При агрессивных лимфопролиферативных заболеваниях мобилизация клеток осуществляется после блоков ЛБ-М-04, </w:t>
      </w:r>
      <w:r w:rsidRPr="00BA4F0F">
        <w:rPr>
          <w:rFonts w:cs="Times New Roman"/>
          <w:szCs w:val="24"/>
          <w:lang w:val="en-US"/>
        </w:rPr>
        <w:t>DA</w:t>
      </w:r>
      <w:r w:rsidRPr="00BA4F0F">
        <w:rPr>
          <w:rFonts w:cs="Times New Roman"/>
          <w:szCs w:val="24"/>
        </w:rPr>
        <w:t>-</w:t>
      </w:r>
      <w:r w:rsidRPr="00BA4F0F">
        <w:rPr>
          <w:rFonts w:cs="Times New Roman"/>
          <w:szCs w:val="24"/>
          <w:lang w:val="en-US"/>
        </w:rPr>
        <w:t>R</w:t>
      </w:r>
      <w:r w:rsidRPr="00BA4F0F">
        <w:rPr>
          <w:rFonts w:cs="Times New Roman"/>
          <w:szCs w:val="24"/>
        </w:rPr>
        <w:t>-</w:t>
      </w:r>
      <w:r w:rsidRPr="00BA4F0F">
        <w:rPr>
          <w:rFonts w:cs="Times New Roman"/>
          <w:szCs w:val="24"/>
          <w:lang w:val="en-US"/>
        </w:rPr>
        <w:t>EPOCH</w:t>
      </w:r>
      <w:r w:rsidRPr="00BA4F0F">
        <w:rPr>
          <w:rFonts w:cs="Times New Roman"/>
          <w:szCs w:val="24"/>
        </w:rPr>
        <w:t xml:space="preserve">, </w:t>
      </w:r>
      <w:r w:rsidRPr="00BA4F0F">
        <w:rPr>
          <w:rFonts w:cs="Times New Roman"/>
          <w:szCs w:val="24"/>
          <w:lang w:val="en-US"/>
        </w:rPr>
        <w:t>ESGAP</w:t>
      </w:r>
      <w:r w:rsidRPr="00BA4F0F">
        <w:rPr>
          <w:rFonts w:cs="Times New Roman"/>
          <w:szCs w:val="24"/>
        </w:rPr>
        <w:t xml:space="preserve">, </w:t>
      </w:r>
      <w:r w:rsidRPr="00BA4F0F">
        <w:rPr>
          <w:rFonts w:cs="Times New Roman"/>
          <w:szCs w:val="24"/>
          <w:lang w:val="en-US"/>
        </w:rPr>
        <w:t>IGEV</w:t>
      </w:r>
      <w:r w:rsidRPr="00BA4F0F">
        <w:rPr>
          <w:rFonts w:cs="Times New Roman"/>
          <w:szCs w:val="24"/>
        </w:rPr>
        <w:t xml:space="preserve">, </w:t>
      </w:r>
      <w:r w:rsidRPr="00BA4F0F">
        <w:rPr>
          <w:rFonts w:cs="Times New Roman"/>
          <w:szCs w:val="24"/>
          <w:lang w:val="en-US"/>
        </w:rPr>
        <w:t>NHL</w:t>
      </w:r>
      <w:r w:rsidRPr="00BA4F0F">
        <w:rPr>
          <w:rFonts w:cs="Times New Roman"/>
          <w:szCs w:val="24"/>
        </w:rPr>
        <w:t>-</w:t>
      </w:r>
      <w:r w:rsidRPr="00BA4F0F">
        <w:rPr>
          <w:rFonts w:cs="Times New Roman"/>
          <w:szCs w:val="24"/>
          <w:lang w:val="en-US"/>
        </w:rPr>
        <w:t>BFM</w:t>
      </w:r>
      <w:r w:rsidRPr="00BA4F0F">
        <w:rPr>
          <w:rFonts w:cs="Times New Roman"/>
          <w:szCs w:val="24"/>
        </w:rPr>
        <w:t xml:space="preserve">-90, </w:t>
      </w:r>
      <w:r w:rsidRPr="00BA4F0F">
        <w:rPr>
          <w:rFonts w:cs="Times New Roman"/>
          <w:szCs w:val="24"/>
          <w:lang w:val="en-US"/>
        </w:rPr>
        <w:t>SMILE</w:t>
      </w:r>
      <w:r w:rsidRPr="00BA4F0F">
        <w:rPr>
          <w:rFonts w:cs="Times New Roman"/>
          <w:szCs w:val="24"/>
        </w:rPr>
        <w:t xml:space="preserve">, </w:t>
      </w:r>
      <w:r w:rsidRPr="00BA4F0F">
        <w:rPr>
          <w:rFonts w:cs="Times New Roman"/>
          <w:szCs w:val="24"/>
          <w:lang w:val="en-US"/>
        </w:rPr>
        <w:t>TL</w:t>
      </w:r>
      <w:r w:rsidRPr="00BA4F0F">
        <w:rPr>
          <w:rFonts w:cs="Times New Roman"/>
          <w:szCs w:val="24"/>
        </w:rPr>
        <w:t>-</w:t>
      </w:r>
      <w:r w:rsidRPr="00BA4F0F">
        <w:rPr>
          <w:rFonts w:cs="Times New Roman"/>
          <w:szCs w:val="24"/>
          <w:lang w:val="en-US"/>
        </w:rPr>
        <w:t>REZ</w:t>
      </w:r>
      <w:r w:rsidRPr="00BA4F0F">
        <w:rPr>
          <w:rFonts w:cs="Times New Roman"/>
          <w:szCs w:val="24"/>
        </w:rPr>
        <w:t xml:space="preserve">-09, R-HМA, R-BAC, </w:t>
      </w:r>
      <w:r w:rsidRPr="00BA4F0F">
        <w:rPr>
          <w:rFonts w:cs="Times New Roman"/>
          <w:szCs w:val="24"/>
          <w:lang w:val="en-US"/>
        </w:rPr>
        <w:t>DHAP</w:t>
      </w:r>
      <w:r w:rsidRPr="00BA4F0F">
        <w:rPr>
          <w:rFonts w:cs="Times New Roman"/>
          <w:szCs w:val="24"/>
        </w:rPr>
        <w:t xml:space="preserve">, </w:t>
      </w:r>
      <w:r w:rsidRPr="00BA4F0F">
        <w:rPr>
          <w:rFonts w:cs="Times New Roman"/>
          <w:szCs w:val="24"/>
          <w:lang w:val="en-US"/>
        </w:rPr>
        <w:t>R</w:t>
      </w:r>
      <w:r w:rsidRPr="00BA4F0F">
        <w:rPr>
          <w:rFonts w:cs="Times New Roman"/>
          <w:szCs w:val="24"/>
        </w:rPr>
        <w:t>-</w:t>
      </w:r>
      <w:r w:rsidRPr="00BA4F0F">
        <w:rPr>
          <w:rFonts w:cs="Times New Roman"/>
          <w:szCs w:val="24"/>
          <w:lang w:val="en-US"/>
        </w:rPr>
        <w:t>ICE</w:t>
      </w:r>
      <w:r w:rsidRPr="00BA4F0F">
        <w:rPr>
          <w:rFonts w:cs="Times New Roman"/>
          <w:szCs w:val="24"/>
        </w:rPr>
        <w:t xml:space="preserve"> (приложение 1).</w:t>
      </w:r>
    </w:p>
    <w:p w14:paraId="24ECCAB6" w14:textId="77777777" w:rsidR="00C1188C" w:rsidRPr="00BA4F0F" w:rsidRDefault="00C1188C" w:rsidP="00C1188C">
      <w:pPr>
        <w:rPr>
          <w:rFonts w:cs="Times New Roman"/>
          <w:szCs w:val="24"/>
        </w:rPr>
      </w:pPr>
      <w:r w:rsidRPr="00BA4F0F">
        <w:rPr>
          <w:rFonts w:cs="Times New Roman"/>
          <w:szCs w:val="24"/>
        </w:rPr>
        <w:t xml:space="preserve">При </w:t>
      </w:r>
      <w:r w:rsidRPr="00BA4F0F">
        <w:rPr>
          <w:rFonts w:cs="Times New Roman"/>
          <w:szCs w:val="24"/>
          <w:lang w:val="en-US"/>
        </w:rPr>
        <w:t>Ph</w:t>
      </w:r>
      <w:r w:rsidRPr="00BA4F0F">
        <w:rPr>
          <w:rFonts w:cs="Times New Roman"/>
          <w:szCs w:val="24"/>
        </w:rPr>
        <w:t>-позитивных острых лимфобластных лейкозах проведение мобилизации ГСК возможно после подтверждения полной молекулярной ремиссии, при остром промиелоцитарном лейкозе – при подтверждении второй полной молекулярной ремиссии на терапии по протоколу «Риск-адаптированная программа терапии больных ОПЛ (</w:t>
      </w:r>
      <w:r w:rsidRPr="00BA4F0F">
        <w:rPr>
          <w:rFonts w:cs="Times New Roman"/>
          <w:szCs w:val="24"/>
          <w:lang w:val="en-US"/>
        </w:rPr>
        <w:t>ATRA</w:t>
      </w:r>
      <w:r w:rsidRPr="00BA4F0F">
        <w:rPr>
          <w:rFonts w:cs="Times New Roman"/>
          <w:szCs w:val="24"/>
        </w:rPr>
        <w:t>-</w:t>
      </w:r>
      <w:r w:rsidRPr="00BA4F0F">
        <w:rPr>
          <w:rFonts w:cs="Times New Roman"/>
          <w:szCs w:val="24"/>
          <w:lang w:val="en-US"/>
        </w:rPr>
        <w:t>ATO</w:t>
      </w:r>
      <w:r w:rsidRPr="00BA4F0F">
        <w:rPr>
          <w:rFonts w:cs="Times New Roman"/>
          <w:szCs w:val="24"/>
        </w:rPr>
        <w:t>-</w:t>
      </w:r>
      <w:r w:rsidRPr="00BA4F0F">
        <w:rPr>
          <w:rFonts w:cs="Times New Roman"/>
          <w:szCs w:val="24"/>
          <w:lang w:val="en-US"/>
        </w:rPr>
        <w:t>CT</w:t>
      </w:r>
      <w:r w:rsidRPr="00BA4F0F">
        <w:rPr>
          <w:rFonts w:cs="Times New Roman"/>
          <w:szCs w:val="24"/>
        </w:rPr>
        <w:t xml:space="preserve">) с обязательным молекулярным мониторингом», при ОМЛ (благоприятный и промежуточный риск) в случае достижения МРБ негативной ремиссии в возрасте до 40 лет рассматривается вопрос о выполнении мобилизации с последующей ауто-ТГСК. </w:t>
      </w:r>
    </w:p>
    <w:p w14:paraId="2B2978AB" w14:textId="77777777" w:rsidR="00C1188C" w:rsidRPr="00BA4F0F" w:rsidRDefault="00C1188C" w:rsidP="00C1188C">
      <w:pPr>
        <w:rPr>
          <w:rFonts w:cs="Times New Roman"/>
          <w:szCs w:val="24"/>
        </w:rPr>
      </w:pPr>
      <w:r w:rsidRPr="00BA4F0F">
        <w:rPr>
          <w:rFonts w:cs="Times New Roman"/>
          <w:szCs w:val="24"/>
        </w:rPr>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7106F5B6" w14:textId="13E1B394" w:rsidR="00C1188C" w:rsidRPr="00BA4F0F" w:rsidRDefault="00C1188C" w:rsidP="00C1188C">
      <w:pPr>
        <w:rPr>
          <w:rFonts w:cs="Times New Roman"/>
          <w:szCs w:val="24"/>
        </w:rPr>
      </w:pPr>
      <w:r w:rsidRPr="00BA4F0F">
        <w:rPr>
          <w:rFonts w:cs="Times New Roman"/>
          <w:szCs w:val="24"/>
        </w:rPr>
        <w:t>При ММ циклофосфамид применяется как в качестве противоопухолевого средства, так и для усиления эффекта мобилизации ГСК. Применяются высокие дозы циклофосфана (6-7 г/м</w:t>
      </w:r>
      <w:r w:rsidRPr="00BA4F0F">
        <w:rPr>
          <w:rFonts w:cs="Times New Roman"/>
          <w:szCs w:val="24"/>
          <w:vertAlign w:val="superscript"/>
        </w:rPr>
        <w:t>2</w:t>
      </w:r>
      <w:r w:rsidRPr="00BA4F0F">
        <w:rPr>
          <w:rFonts w:cs="Times New Roman"/>
          <w:szCs w:val="24"/>
        </w:rPr>
        <w:t>), промежуточные (3-4 г/м</w:t>
      </w:r>
      <w:r w:rsidRPr="00BA4F0F">
        <w:rPr>
          <w:rFonts w:cs="Times New Roman"/>
          <w:szCs w:val="24"/>
          <w:vertAlign w:val="superscript"/>
        </w:rPr>
        <w:t>2</w:t>
      </w:r>
      <w:r w:rsidRPr="00BA4F0F">
        <w:rPr>
          <w:rFonts w:cs="Times New Roman"/>
          <w:szCs w:val="24"/>
        </w:rPr>
        <w:t>), и низкие (1,2-2 г/м</w:t>
      </w:r>
      <w:r w:rsidRPr="00BA4F0F">
        <w:rPr>
          <w:rFonts w:cs="Times New Roman"/>
          <w:szCs w:val="24"/>
          <w:vertAlign w:val="superscript"/>
        </w:rPr>
        <w:t>2</w:t>
      </w:r>
      <w:r w:rsidRPr="00BA4F0F">
        <w:rPr>
          <w:rFonts w:cs="Times New Roman"/>
          <w:szCs w:val="24"/>
        </w:rPr>
        <w:t>). По данным ретроспективного исследования, сравнивающего эффективность и переносимость высоких и промежуточных доз циклофосфана, оказалось, что доза 4 г/м</w:t>
      </w:r>
      <w:r w:rsidRPr="00BA4F0F">
        <w:rPr>
          <w:rFonts w:cs="Times New Roman"/>
          <w:szCs w:val="24"/>
          <w:vertAlign w:val="superscript"/>
        </w:rPr>
        <w:t>2</w:t>
      </w:r>
      <w:r w:rsidRPr="00BA4F0F">
        <w:rPr>
          <w:rFonts w:cs="Times New Roman"/>
          <w:szCs w:val="24"/>
        </w:rPr>
        <w:t xml:space="preserve"> является оптимальной. При использовании данной дозы удавалось собрать необходимое для двух трансплантаций количество </w:t>
      </w:r>
      <w:r w:rsidRPr="00BA4F0F">
        <w:rPr>
          <w:rFonts w:cs="Times New Roman"/>
          <w:szCs w:val="24"/>
          <w:lang w:val="en-US"/>
        </w:rPr>
        <w:t>CD</w:t>
      </w:r>
      <w:r w:rsidRPr="00BA4F0F">
        <w:rPr>
          <w:rFonts w:cs="Times New Roman"/>
          <w:szCs w:val="24"/>
        </w:rPr>
        <w:t>34+ клеток, при этом тромбоцитопения была кратковременной, что способствовало меньшей потребности в заместительно</w:t>
      </w:r>
      <w:r w:rsidRPr="00BA4F0F">
        <w:rPr>
          <w:rFonts w:cs="Times New Roman"/>
          <w:szCs w:val="24"/>
        </w:rPr>
        <w:tab/>
        <w:t xml:space="preserve">й трансфузионной терапии, по сравнению с применением высоких доз циклофосфана </w:t>
      </w:r>
      <w:r w:rsidRPr="00BA4F0F">
        <w:rPr>
          <w:rFonts w:cs="Times New Roman"/>
          <w:szCs w:val="24"/>
        </w:rPr>
        <w:fldChar w:fldCharType="begin" w:fldLock="1"/>
      </w:r>
      <w:r w:rsidR="00B436BD">
        <w:rPr>
          <w:rFonts w:cs="Times New Roman"/>
          <w:szCs w:val="24"/>
        </w:rPr>
        <w:instrText>ADDIN CSL_CITATION {"citationItems":[{"id":"ITEM-1","itemData":{"author":[{"dropping-particle":"","family":"Покровская","given":"О.С.","non-dropping-particle":"","parse-names":false,"suffix":""}],"id":"ITEM-1","issued":{"date-parts":[["2011"]]},"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31091715-13d1-4b36-acd3-bca783c58345","http://www.mendeley.com/documents/?uuid=a016ab64-5d26-4905-b085-fc6d0ca143d0","http://www.mendeley.com/documents/?uuid=6158326c-b49e-4b3d-9638-c661a40fa88b","http://www.mendeley.com/documents/?uuid=4a2a3881-134d-4851-9770-aa58ad4c9728","http://www.mendeley.com/documents/?uuid=179afc56-227d-482c-af90-308ef68f889a","http://www.mendeley.com/documents/?uuid=171c99f1-9907-4fc7-9260-90f70ac873fa","http://www.mendeley.com/documents/?uuid=df9a843f-a2d8-42ee-9e40-dfba104520d3"]}],"mendeley":{"formattedCitation":"[115]","plainTextFormattedCitation":"[115]","previouslyFormattedCitation":"[115]"},"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[115]</w:t>
      </w:r>
      <w:r w:rsidRPr="00BA4F0F">
        <w:rPr>
          <w:rFonts w:cs="Times New Roman"/>
          <w:szCs w:val="24"/>
        </w:rPr>
        <w:fldChar w:fldCharType="end"/>
      </w:r>
      <w:r w:rsidRPr="00BA4F0F">
        <w:rPr>
          <w:rFonts w:cs="Times New Roman"/>
          <w:szCs w:val="24"/>
        </w:rPr>
        <w:t xml:space="preserve">. </w:t>
      </w:r>
    </w:p>
    <w:p w14:paraId="330D2CCC" w14:textId="77777777" w:rsidR="00C1188C" w:rsidRPr="00BA4F0F" w:rsidRDefault="00C1188C" w:rsidP="00C1188C">
      <w:pPr>
        <w:rPr>
          <w:rFonts w:cs="Times New Roman"/>
          <w:szCs w:val="24"/>
        </w:rPr>
      </w:pPr>
      <w:r w:rsidRPr="00BA4F0F">
        <w:rPr>
          <w:rFonts w:cs="Times New Roman"/>
          <w:szCs w:val="24"/>
        </w:rPr>
        <w:t>Стандартная схема мобилизации ГСК при ММ, применяемая в настоящее время: циклофосфан 4 г/м</w:t>
      </w:r>
      <w:r w:rsidRPr="00BA4F0F">
        <w:rPr>
          <w:rFonts w:cs="Times New Roman"/>
          <w:szCs w:val="24"/>
          <w:vertAlign w:val="superscript"/>
        </w:rPr>
        <w:t>2</w:t>
      </w:r>
      <w:r w:rsidRPr="00BA4F0F">
        <w:rPr>
          <w:rFonts w:cs="Times New Roman"/>
          <w:szCs w:val="24"/>
        </w:rPr>
        <w:t xml:space="preserve"> + Г-КСФ в дозе 5 мкг/кг/сут (табл. 2).</w:t>
      </w:r>
    </w:p>
    <w:p w14:paraId="1B7C5452" w14:textId="77777777" w:rsidR="00C1188C" w:rsidRPr="00BA4F0F" w:rsidRDefault="00C1188C" w:rsidP="00C1188C">
      <w:pPr>
        <w:rPr>
          <w:rFonts w:cs="Times New Roman"/>
          <w:szCs w:val="24"/>
        </w:rPr>
      </w:pPr>
      <w:r w:rsidRPr="00BA4F0F">
        <w:rPr>
          <w:rFonts w:cs="Times New Roman"/>
          <w:szCs w:val="24"/>
        </w:rPr>
        <w:t>Ориентировочно через 7 дней после введения химиопрепарата отмечается развитие МТА, что является показанием для назначения Г-КСФ в дозе 5 мкг/кг/сут. В случае если МТА не развивается, доза Г-КСФ увеличивается до 10 мкг/кг/сут. На 6-8 день введения Г-КСФ начинаются процедуры лейкафереза. Медиана даты первого сбора ГСК – 15 день после введения циклофосфамида.</w:t>
      </w:r>
    </w:p>
    <w:p w14:paraId="0BBB88D6" w14:textId="77777777" w:rsidR="00C1188C" w:rsidRPr="00BA4F0F" w:rsidRDefault="00C1188C" w:rsidP="00C1188C">
      <w:pPr>
        <w:rPr>
          <w:rFonts w:cs="Times New Roman"/>
          <w:szCs w:val="24"/>
        </w:rPr>
      </w:pPr>
    </w:p>
    <w:p w14:paraId="347D3250" w14:textId="77777777" w:rsidR="00C1188C" w:rsidRPr="00BA4F0F" w:rsidRDefault="00C1188C" w:rsidP="00C1188C">
      <w:pPr>
        <w:rPr>
          <w:rFonts w:cs="Times New Roman"/>
          <w:bCs/>
          <w:szCs w:val="24"/>
        </w:rPr>
      </w:pPr>
      <w:r w:rsidRPr="00BA4F0F">
        <w:rPr>
          <w:rFonts w:cs="Times New Roman"/>
          <w:bCs/>
          <w:szCs w:val="24"/>
        </w:rPr>
        <w:t>Таблица 2. Высокодозный циклофосфамид 4 г/м</w:t>
      </w:r>
      <w:r w:rsidRPr="00BA4F0F">
        <w:rPr>
          <w:rFonts w:cs="Times New Roman"/>
          <w:bCs/>
          <w:szCs w:val="24"/>
          <w:vertAlign w:val="superscript"/>
        </w:rPr>
        <w:t xml:space="preserve">2 </w:t>
      </w:r>
      <w:r w:rsidRPr="00BA4F0F">
        <w:rPr>
          <w:rFonts w:cs="Times New Roman"/>
          <w:bCs/>
          <w:szCs w:val="24"/>
        </w:rPr>
        <w:t>+ Г-КСФ 5 мкг/кг с сопроводительной терапией.</w:t>
      </w:r>
    </w:p>
    <w:tbl>
      <w:tblPr>
        <w:tblStyle w:val="aff9"/>
        <w:tblW w:w="0" w:type="auto"/>
        <w:tblLook w:val="04A0" w:firstRow="1" w:lastRow="0" w:firstColumn="1" w:lastColumn="0" w:noHBand="0" w:noVBand="1"/>
      </w:tblPr>
      <w:tblGrid>
        <w:gridCol w:w="2831"/>
        <w:gridCol w:w="3270"/>
        <w:gridCol w:w="2678"/>
      </w:tblGrid>
      <w:tr w:rsidR="00C1188C" w:rsidRPr="00BA4F0F" w14:paraId="1D70F683" w14:textId="77777777" w:rsidTr="005A428D">
        <w:tc>
          <w:tcPr>
            <w:tcW w:w="2943" w:type="dxa"/>
          </w:tcPr>
          <w:p w14:paraId="42000639" w14:textId="77777777" w:rsidR="00C1188C" w:rsidRPr="00BA4F0F" w:rsidRDefault="00C1188C" w:rsidP="004871F2">
            <w:pPr>
              <w:spacing w:line="240" w:lineRule="auto"/>
              <w:ind w:firstLine="0"/>
              <w:rPr>
                <w:rFonts w:cs="Times New Roman"/>
                <w:b/>
                <w:szCs w:val="24"/>
              </w:rPr>
            </w:pPr>
            <w:r w:rsidRPr="00BA4F0F">
              <w:rPr>
                <w:rFonts w:cs="Times New Roman"/>
                <w:b/>
                <w:szCs w:val="24"/>
              </w:rPr>
              <w:t xml:space="preserve">Препарат </w:t>
            </w:r>
          </w:p>
        </w:tc>
        <w:tc>
          <w:tcPr>
            <w:tcW w:w="3686" w:type="dxa"/>
          </w:tcPr>
          <w:p w14:paraId="15FB8669" w14:textId="77777777" w:rsidR="00C1188C" w:rsidRPr="00BA4F0F" w:rsidRDefault="00C1188C" w:rsidP="004871F2">
            <w:pPr>
              <w:spacing w:line="240" w:lineRule="auto"/>
              <w:ind w:firstLine="0"/>
              <w:rPr>
                <w:rFonts w:cs="Times New Roman"/>
                <w:b/>
                <w:szCs w:val="24"/>
              </w:rPr>
            </w:pPr>
            <w:r w:rsidRPr="00BA4F0F">
              <w:rPr>
                <w:rFonts w:cs="Times New Roman"/>
                <w:b/>
                <w:szCs w:val="24"/>
              </w:rPr>
              <w:t>Дозировка, путь введения</w:t>
            </w:r>
          </w:p>
        </w:tc>
        <w:tc>
          <w:tcPr>
            <w:tcW w:w="2942" w:type="dxa"/>
          </w:tcPr>
          <w:p w14:paraId="6D602B7B" w14:textId="77777777" w:rsidR="00C1188C" w:rsidRPr="00BA4F0F" w:rsidRDefault="00C1188C" w:rsidP="004871F2">
            <w:pPr>
              <w:spacing w:line="240" w:lineRule="auto"/>
              <w:ind w:firstLine="0"/>
              <w:rPr>
                <w:rFonts w:cs="Times New Roman"/>
                <w:b/>
                <w:szCs w:val="24"/>
              </w:rPr>
            </w:pPr>
            <w:r w:rsidRPr="00BA4F0F">
              <w:rPr>
                <w:rFonts w:cs="Times New Roman"/>
                <w:b/>
                <w:szCs w:val="24"/>
              </w:rPr>
              <w:t>День введения</w:t>
            </w:r>
          </w:p>
        </w:tc>
      </w:tr>
      <w:tr w:rsidR="00C1188C" w:rsidRPr="00BA4F0F" w14:paraId="3B9983A9" w14:textId="77777777" w:rsidTr="005A428D">
        <w:tc>
          <w:tcPr>
            <w:tcW w:w="2943" w:type="dxa"/>
          </w:tcPr>
          <w:p w14:paraId="11ADB790" w14:textId="77777777" w:rsidR="00C1188C" w:rsidRPr="00BA4F0F" w:rsidRDefault="00C1188C" w:rsidP="004871F2">
            <w:pPr>
              <w:spacing w:line="240" w:lineRule="auto"/>
              <w:ind w:firstLine="0"/>
              <w:rPr>
                <w:rFonts w:cs="Times New Roman"/>
                <w:szCs w:val="24"/>
              </w:rPr>
            </w:pPr>
            <w:r w:rsidRPr="00BA4F0F">
              <w:rPr>
                <w:rFonts w:cs="Times New Roman"/>
                <w:szCs w:val="24"/>
              </w:rPr>
              <w:t>Внутривенные инфузии:</w:t>
            </w:r>
          </w:p>
        </w:tc>
        <w:tc>
          <w:tcPr>
            <w:tcW w:w="6628" w:type="dxa"/>
            <w:gridSpan w:val="2"/>
          </w:tcPr>
          <w:p w14:paraId="5067DD16" w14:textId="77777777" w:rsidR="00C1188C" w:rsidRPr="00BA4F0F" w:rsidRDefault="00C1188C" w:rsidP="004871F2">
            <w:pPr>
              <w:spacing w:line="240" w:lineRule="auto"/>
              <w:ind w:firstLine="0"/>
              <w:rPr>
                <w:rFonts w:cs="Times New Roman"/>
                <w:szCs w:val="24"/>
              </w:rPr>
            </w:pPr>
          </w:p>
        </w:tc>
      </w:tr>
      <w:tr w:rsidR="00C1188C" w:rsidRPr="00BA4F0F" w14:paraId="73F95E2C" w14:textId="77777777" w:rsidTr="005A428D">
        <w:tc>
          <w:tcPr>
            <w:tcW w:w="2943" w:type="dxa"/>
          </w:tcPr>
          <w:p w14:paraId="0B5CCF1A" w14:textId="77777777" w:rsidR="00C1188C" w:rsidRPr="00BA4F0F" w:rsidRDefault="00C1188C" w:rsidP="004871F2">
            <w:pPr>
              <w:spacing w:line="240" w:lineRule="auto"/>
              <w:ind w:firstLine="0"/>
              <w:rPr>
                <w:rFonts w:cs="Times New Roman"/>
                <w:szCs w:val="24"/>
              </w:rPr>
            </w:pPr>
            <w:r w:rsidRPr="00BA4F0F">
              <w:rPr>
                <w:rFonts w:cs="Times New Roman"/>
                <w:szCs w:val="24"/>
              </w:rPr>
              <w:t>Циклофосфамид</w:t>
            </w:r>
          </w:p>
        </w:tc>
        <w:tc>
          <w:tcPr>
            <w:tcW w:w="3686" w:type="dxa"/>
          </w:tcPr>
          <w:p w14:paraId="0281D0B8" w14:textId="77777777" w:rsidR="00C1188C" w:rsidRPr="00BA4F0F" w:rsidRDefault="00C1188C" w:rsidP="004871F2">
            <w:pPr>
              <w:spacing w:line="240" w:lineRule="auto"/>
              <w:ind w:firstLine="0"/>
              <w:rPr>
                <w:rFonts w:cs="Times New Roman"/>
                <w:szCs w:val="24"/>
              </w:rPr>
            </w:pPr>
            <w:r w:rsidRPr="00BA4F0F">
              <w:rPr>
                <w:rFonts w:cs="Times New Roman"/>
                <w:szCs w:val="24"/>
              </w:rPr>
              <w:t>4 г/м</w:t>
            </w:r>
            <w:r w:rsidRPr="00BA4F0F">
              <w:rPr>
                <w:rFonts w:cs="Times New Roman"/>
                <w:szCs w:val="24"/>
                <w:vertAlign w:val="superscript"/>
              </w:rPr>
              <w:t>2</w:t>
            </w:r>
            <w:r w:rsidRPr="00BA4F0F">
              <w:rPr>
                <w:rFonts w:cs="Times New Roman"/>
                <w:szCs w:val="24"/>
              </w:rPr>
              <w:t xml:space="preserve"> в/в капельно 5 раз в сутки (по 0,8 г/м</w:t>
            </w:r>
            <w:r w:rsidRPr="00BA4F0F">
              <w:rPr>
                <w:rFonts w:cs="Times New Roman"/>
                <w:szCs w:val="24"/>
                <w:vertAlign w:val="superscript"/>
              </w:rPr>
              <w:t>2</w:t>
            </w:r>
            <w:r w:rsidRPr="00BA4F0F">
              <w:rPr>
                <w:rFonts w:cs="Times New Roman"/>
                <w:szCs w:val="24"/>
              </w:rPr>
              <w:t>)</w:t>
            </w:r>
          </w:p>
        </w:tc>
        <w:tc>
          <w:tcPr>
            <w:tcW w:w="2942" w:type="dxa"/>
          </w:tcPr>
          <w:p w14:paraId="4930E621" w14:textId="77777777" w:rsidR="00C1188C" w:rsidRPr="00BA4F0F" w:rsidRDefault="00C1188C" w:rsidP="004871F2">
            <w:pPr>
              <w:spacing w:line="240" w:lineRule="auto"/>
              <w:ind w:firstLine="0"/>
              <w:rPr>
                <w:rFonts w:cs="Times New Roman"/>
                <w:szCs w:val="24"/>
              </w:rPr>
            </w:pPr>
            <w:r w:rsidRPr="00BA4F0F">
              <w:rPr>
                <w:rFonts w:cs="Times New Roman"/>
                <w:szCs w:val="24"/>
              </w:rPr>
              <w:t>+1</w:t>
            </w:r>
          </w:p>
        </w:tc>
      </w:tr>
      <w:tr w:rsidR="00C1188C" w:rsidRPr="00BA4F0F" w14:paraId="09C65452" w14:textId="77777777" w:rsidTr="005A428D">
        <w:tc>
          <w:tcPr>
            <w:tcW w:w="2943" w:type="dxa"/>
          </w:tcPr>
          <w:p w14:paraId="409EBB31" w14:textId="77777777" w:rsidR="00C1188C" w:rsidRPr="00BA4F0F" w:rsidRDefault="00C1188C" w:rsidP="004871F2">
            <w:pPr>
              <w:spacing w:line="240" w:lineRule="auto"/>
              <w:ind w:firstLine="0"/>
              <w:rPr>
                <w:rFonts w:cs="Times New Roman"/>
                <w:szCs w:val="24"/>
              </w:rPr>
            </w:pPr>
            <w:r w:rsidRPr="00BA4F0F">
              <w:rPr>
                <w:rFonts w:cs="Times New Roman"/>
                <w:szCs w:val="24"/>
              </w:rPr>
              <w:t>Уромитексан</w:t>
            </w:r>
          </w:p>
        </w:tc>
        <w:tc>
          <w:tcPr>
            <w:tcW w:w="3686" w:type="dxa"/>
          </w:tcPr>
          <w:p w14:paraId="24800E5C" w14:textId="77777777" w:rsidR="00C1188C" w:rsidRPr="00BA4F0F" w:rsidRDefault="00C1188C" w:rsidP="004871F2">
            <w:pPr>
              <w:spacing w:line="240" w:lineRule="auto"/>
              <w:ind w:firstLine="0"/>
              <w:rPr>
                <w:rFonts w:cs="Times New Roman"/>
                <w:szCs w:val="24"/>
              </w:rPr>
            </w:pPr>
            <w:r w:rsidRPr="00BA4F0F">
              <w:rPr>
                <w:rFonts w:cs="Times New Roman"/>
                <w:szCs w:val="24"/>
              </w:rPr>
              <w:t>2,4 мг/м</w:t>
            </w:r>
            <w:r w:rsidRPr="00BA4F0F">
              <w:rPr>
                <w:rFonts w:cs="Times New Roman"/>
                <w:szCs w:val="24"/>
                <w:vertAlign w:val="superscript"/>
              </w:rPr>
              <w:t>2</w:t>
            </w:r>
            <w:r w:rsidRPr="00BA4F0F">
              <w:rPr>
                <w:rFonts w:cs="Times New Roman"/>
                <w:szCs w:val="24"/>
              </w:rPr>
              <w:t xml:space="preserve"> в/в через инфузомат на 24 часа</w:t>
            </w:r>
          </w:p>
        </w:tc>
        <w:tc>
          <w:tcPr>
            <w:tcW w:w="2942" w:type="dxa"/>
          </w:tcPr>
          <w:p w14:paraId="5FB3A4CE" w14:textId="77777777" w:rsidR="00C1188C" w:rsidRPr="00BA4F0F" w:rsidRDefault="00C1188C" w:rsidP="004871F2">
            <w:pPr>
              <w:spacing w:line="240" w:lineRule="auto"/>
              <w:ind w:firstLine="0"/>
              <w:rPr>
                <w:rFonts w:cs="Times New Roman"/>
                <w:szCs w:val="24"/>
              </w:rPr>
            </w:pPr>
            <w:r w:rsidRPr="00BA4F0F">
              <w:rPr>
                <w:rFonts w:cs="Times New Roman"/>
                <w:szCs w:val="24"/>
              </w:rPr>
              <w:t>+1</w:t>
            </w:r>
          </w:p>
        </w:tc>
      </w:tr>
      <w:tr w:rsidR="00C1188C" w:rsidRPr="00BA4F0F" w14:paraId="2C4852BA" w14:textId="77777777" w:rsidTr="005A428D">
        <w:tc>
          <w:tcPr>
            <w:tcW w:w="2943" w:type="dxa"/>
          </w:tcPr>
          <w:p w14:paraId="189D8D55"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Солевые растворы </w:t>
            </w:r>
          </w:p>
        </w:tc>
        <w:tc>
          <w:tcPr>
            <w:tcW w:w="3686" w:type="dxa"/>
          </w:tcPr>
          <w:p w14:paraId="6F43AA8D" w14:textId="77777777" w:rsidR="00C1188C" w:rsidRPr="00BA4F0F" w:rsidRDefault="00C1188C" w:rsidP="004871F2">
            <w:pPr>
              <w:spacing w:line="240" w:lineRule="auto"/>
              <w:ind w:firstLine="0"/>
              <w:rPr>
                <w:rFonts w:cs="Times New Roman"/>
                <w:szCs w:val="24"/>
              </w:rPr>
            </w:pPr>
            <w:r w:rsidRPr="00BA4F0F">
              <w:rPr>
                <w:rFonts w:cs="Times New Roman"/>
                <w:szCs w:val="24"/>
              </w:rPr>
              <w:t>3л/м</w:t>
            </w:r>
            <w:r w:rsidRPr="00BA4F0F">
              <w:rPr>
                <w:rFonts w:cs="Times New Roman"/>
                <w:szCs w:val="24"/>
                <w:vertAlign w:val="superscript"/>
              </w:rPr>
              <w:t xml:space="preserve">2 </w:t>
            </w:r>
            <w:r w:rsidRPr="00BA4F0F">
              <w:rPr>
                <w:rFonts w:cs="Times New Roman"/>
                <w:szCs w:val="24"/>
              </w:rPr>
              <w:t>в/в капельно 4 раза в сутки</w:t>
            </w:r>
            <w:r w:rsidRPr="00BA4F0F">
              <w:rPr>
                <w:rFonts w:cs="Times New Roman"/>
                <w:szCs w:val="24"/>
                <w:vertAlign w:val="superscript"/>
              </w:rPr>
              <w:t>*</w:t>
            </w:r>
          </w:p>
        </w:tc>
        <w:tc>
          <w:tcPr>
            <w:tcW w:w="2942" w:type="dxa"/>
          </w:tcPr>
          <w:p w14:paraId="11F2D7AA" w14:textId="77777777" w:rsidR="00C1188C" w:rsidRPr="00BA4F0F" w:rsidRDefault="00C1188C" w:rsidP="004871F2">
            <w:pPr>
              <w:spacing w:line="240" w:lineRule="auto"/>
              <w:ind w:firstLine="0"/>
              <w:rPr>
                <w:rFonts w:cs="Times New Roman"/>
                <w:szCs w:val="24"/>
              </w:rPr>
            </w:pPr>
            <w:r w:rsidRPr="00BA4F0F">
              <w:rPr>
                <w:rFonts w:cs="Times New Roman"/>
                <w:szCs w:val="24"/>
              </w:rPr>
              <w:t>+1 - +5 (далее по показаниям)</w:t>
            </w:r>
          </w:p>
        </w:tc>
      </w:tr>
      <w:tr w:rsidR="00C1188C" w:rsidRPr="00BA4F0F" w14:paraId="4C4DE558" w14:textId="77777777" w:rsidTr="005A428D">
        <w:tc>
          <w:tcPr>
            <w:tcW w:w="2943" w:type="dxa"/>
          </w:tcPr>
          <w:p w14:paraId="6D9A655C" w14:textId="77777777" w:rsidR="00C1188C" w:rsidRPr="00BA4F0F" w:rsidRDefault="00C1188C" w:rsidP="004871F2">
            <w:pPr>
              <w:spacing w:line="240" w:lineRule="auto"/>
              <w:ind w:firstLine="0"/>
              <w:rPr>
                <w:rFonts w:cs="Times New Roman"/>
                <w:szCs w:val="24"/>
              </w:rPr>
            </w:pPr>
            <w:r w:rsidRPr="00BA4F0F">
              <w:rPr>
                <w:rFonts w:cs="Times New Roman"/>
                <w:szCs w:val="24"/>
              </w:rPr>
              <w:t>Противорвотные средства:</w:t>
            </w:r>
          </w:p>
          <w:p w14:paraId="572F78AD"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ондансетрон </w:t>
            </w:r>
          </w:p>
        </w:tc>
        <w:tc>
          <w:tcPr>
            <w:tcW w:w="3686" w:type="dxa"/>
          </w:tcPr>
          <w:p w14:paraId="5335613C"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8 мг в/в капельно 3 раза в сутки </w:t>
            </w:r>
          </w:p>
        </w:tc>
        <w:tc>
          <w:tcPr>
            <w:tcW w:w="2942" w:type="dxa"/>
          </w:tcPr>
          <w:p w14:paraId="41E01336" w14:textId="77777777" w:rsidR="00C1188C" w:rsidRPr="00BA4F0F" w:rsidRDefault="00C1188C" w:rsidP="004871F2">
            <w:pPr>
              <w:spacing w:line="240" w:lineRule="auto"/>
              <w:ind w:firstLine="0"/>
              <w:rPr>
                <w:rFonts w:cs="Times New Roman"/>
                <w:szCs w:val="24"/>
              </w:rPr>
            </w:pPr>
            <w:r w:rsidRPr="00BA4F0F">
              <w:rPr>
                <w:rFonts w:cs="Times New Roman"/>
                <w:szCs w:val="24"/>
              </w:rPr>
              <w:t>-1 - +2 (далее по показаниям)</w:t>
            </w:r>
          </w:p>
        </w:tc>
      </w:tr>
      <w:tr w:rsidR="00C1188C" w:rsidRPr="00BA4F0F" w14:paraId="7329CCAF" w14:textId="77777777" w:rsidTr="005A428D">
        <w:tc>
          <w:tcPr>
            <w:tcW w:w="2943" w:type="dxa"/>
          </w:tcPr>
          <w:p w14:paraId="63643BEE" w14:textId="77777777" w:rsidR="00C1188C" w:rsidRPr="00BA4F0F" w:rsidRDefault="00C1188C" w:rsidP="004871F2">
            <w:pPr>
              <w:spacing w:line="240" w:lineRule="auto"/>
              <w:ind w:firstLine="0"/>
              <w:rPr>
                <w:rFonts w:cs="Times New Roman"/>
                <w:szCs w:val="24"/>
              </w:rPr>
            </w:pPr>
            <w:r w:rsidRPr="00BA4F0F">
              <w:rPr>
                <w:rFonts w:cs="Times New Roman"/>
                <w:szCs w:val="24"/>
              </w:rPr>
              <w:t>Гепарин</w:t>
            </w:r>
          </w:p>
        </w:tc>
        <w:tc>
          <w:tcPr>
            <w:tcW w:w="3686" w:type="dxa"/>
          </w:tcPr>
          <w:p w14:paraId="175C06EF" w14:textId="77777777" w:rsidR="00C1188C" w:rsidRPr="00BA4F0F" w:rsidRDefault="00C1188C" w:rsidP="004871F2">
            <w:pPr>
              <w:spacing w:line="240" w:lineRule="auto"/>
              <w:ind w:firstLine="0"/>
              <w:rPr>
                <w:rFonts w:cs="Times New Roman"/>
                <w:szCs w:val="24"/>
              </w:rPr>
            </w:pPr>
            <w:r w:rsidRPr="00BA4F0F">
              <w:rPr>
                <w:rFonts w:cs="Times New Roman"/>
                <w:szCs w:val="24"/>
              </w:rPr>
              <w:t>12000 ЕД в/в через инфузомат на 24 часа</w:t>
            </w:r>
          </w:p>
        </w:tc>
        <w:tc>
          <w:tcPr>
            <w:tcW w:w="2942" w:type="dxa"/>
          </w:tcPr>
          <w:p w14:paraId="4082C0C3"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-1 - +14 </w:t>
            </w:r>
          </w:p>
        </w:tc>
      </w:tr>
      <w:tr w:rsidR="00C1188C" w:rsidRPr="00BA4F0F" w14:paraId="4046D704" w14:textId="77777777" w:rsidTr="005A428D">
        <w:tc>
          <w:tcPr>
            <w:tcW w:w="2943" w:type="dxa"/>
          </w:tcPr>
          <w:p w14:paraId="259E393B" w14:textId="77777777" w:rsidR="00C1188C" w:rsidRPr="00BA4F0F" w:rsidRDefault="00C1188C" w:rsidP="004871F2">
            <w:pPr>
              <w:spacing w:line="240" w:lineRule="auto"/>
              <w:ind w:firstLine="0"/>
              <w:rPr>
                <w:rFonts w:cs="Times New Roman"/>
                <w:szCs w:val="24"/>
              </w:rPr>
            </w:pPr>
            <w:r w:rsidRPr="00BA4F0F">
              <w:rPr>
                <w:rFonts w:cs="Times New Roman"/>
                <w:szCs w:val="24"/>
              </w:rPr>
              <w:t>Допамин 4%</w:t>
            </w:r>
          </w:p>
        </w:tc>
        <w:tc>
          <w:tcPr>
            <w:tcW w:w="3686" w:type="dxa"/>
          </w:tcPr>
          <w:p w14:paraId="42065663" w14:textId="77777777" w:rsidR="00C1188C" w:rsidRPr="00BA4F0F" w:rsidRDefault="00C1188C" w:rsidP="004871F2">
            <w:pPr>
              <w:spacing w:line="240" w:lineRule="auto"/>
              <w:ind w:firstLine="0"/>
              <w:rPr>
                <w:rFonts w:cs="Times New Roman"/>
                <w:szCs w:val="24"/>
              </w:rPr>
            </w:pPr>
            <w:r w:rsidRPr="00BA4F0F">
              <w:rPr>
                <w:rFonts w:cs="Times New Roman"/>
                <w:szCs w:val="24"/>
              </w:rPr>
              <w:t>0,5 мг в/в через инфузомат на 24 часа</w:t>
            </w:r>
          </w:p>
        </w:tc>
        <w:tc>
          <w:tcPr>
            <w:tcW w:w="2942" w:type="dxa"/>
          </w:tcPr>
          <w:p w14:paraId="082CF886" w14:textId="77777777" w:rsidR="00C1188C" w:rsidRPr="00BA4F0F" w:rsidRDefault="00C1188C" w:rsidP="004871F2">
            <w:pPr>
              <w:spacing w:line="240" w:lineRule="auto"/>
              <w:ind w:firstLine="0"/>
              <w:rPr>
                <w:rFonts w:cs="Times New Roman"/>
                <w:szCs w:val="24"/>
              </w:rPr>
            </w:pPr>
            <w:r w:rsidRPr="00BA4F0F">
              <w:rPr>
                <w:rFonts w:cs="Times New Roman"/>
                <w:szCs w:val="24"/>
              </w:rPr>
              <w:t>-1 - +1</w:t>
            </w:r>
          </w:p>
        </w:tc>
      </w:tr>
      <w:tr w:rsidR="00C1188C" w:rsidRPr="00BA4F0F" w14:paraId="4EBDA435" w14:textId="77777777" w:rsidTr="005A428D">
        <w:tc>
          <w:tcPr>
            <w:tcW w:w="2943" w:type="dxa"/>
          </w:tcPr>
          <w:p w14:paraId="78B37FFA" w14:textId="77777777" w:rsidR="00C1188C" w:rsidRPr="00BA4F0F" w:rsidRDefault="00C1188C" w:rsidP="004871F2">
            <w:pPr>
              <w:spacing w:line="240" w:lineRule="auto"/>
              <w:ind w:firstLine="0"/>
              <w:rPr>
                <w:rFonts w:cs="Times New Roman"/>
                <w:szCs w:val="24"/>
              </w:rPr>
            </w:pPr>
            <w:r w:rsidRPr="00BA4F0F">
              <w:rPr>
                <w:rFonts w:cs="Times New Roman"/>
                <w:szCs w:val="24"/>
              </w:rPr>
              <w:t>Фуросемид</w:t>
            </w:r>
          </w:p>
        </w:tc>
        <w:tc>
          <w:tcPr>
            <w:tcW w:w="3686" w:type="dxa"/>
          </w:tcPr>
          <w:p w14:paraId="19419D9F" w14:textId="77777777" w:rsidR="00C1188C" w:rsidRPr="00BA4F0F" w:rsidRDefault="00C1188C" w:rsidP="004871F2">
            <w:pPr>
              <w:spacing w:line="240" w:lineRule="auto"/>
              <w:ind w:firstLine="0"/>
              <w:rPr>
                <w:rFonts w:cs="Times New Roman"/>
                <w:szCs w:val="24"/>
              </w:rPr>
            </w:pPr>
            <w:r w:rsidRPr="00BA4F0F">
              <w:rPr>
                <w:rFonts w:cs="Times New Roman"/>
                <w:szCs w:val="24"/>
              </w:rPr>
              <w:t>20 мг в/в струйно 3 раза в сутки</w:t>
            </w:r>
          </w:p>
        </w:tc>
        <w:tc>
          <w:tcPr>
            <w:tcW w:w="2942" w:type="dxa"/>
          </w:tcPr>
          <w:p w14:paraId="0548A3B9" w14:textId="77777777" w:rsidR="00C1188C" w:rsidRPr="00BA4F0F" w:rsidRDefault="00C1188C" w:rsidP="004871F2">
            <w:pPr>
              <w:spacing w:line="240" w:lineRule="auto"/>
              <w:ind w:firstLine="0"/>
              <w:rPr>
                <w:rFonts w:cs="Times New Roman"/>
                <w:szCs w:val="24"/>
              </w:rPr>
            </w:pPr>
            <w:r w:rsidRPr="00BA4F0F">
              <w:rPr>
                <w:rFonts w:cs="Times New Roman"/>
                <w:szCs w:val="24"/>
              </w:rPr>
              <w:t>+1 - +3</w:t>
            </w:r>
          </w:p>
        </w:tc>
      </w:tr>
      <w:tr w:rsidR="00C1188C" w:rsidRPr="00BA4F0F" w14:paraId="3C155770" w14:textId="77777777" w:rsidTr="005A428D">
        <w:tc>
          <w:tcPr>
            <w:tcW w:w="2943" w:type="dxa"/>
          </w:tcPr>
          <w:p w14:paraId="5C516157" w14:textId="77777777" w:rsidR="00C1188C" w:rsidRPr="00BA4F0F" w:rsidRDefault="00C1188C" w:rsidP="004871F2">
            <w:pPr>
              <w:spacing w:line="240" w:lineRule="auto"/>
              <w:ind w:firstLine="0"/>
              <w:rPr>
                <w:rFonts w:cs="Times New Roman"/>
                <w:szCs w:val="24"/>
              </w:rPr>
            </w:pPr>
            <w:r w:rsidRPr="00BA4F0F">
              <w:rPr>
                <w:rFonts w:cs="Times New Roman"/>
                <w:szCs w:val="24"/>
              </w:rPr>
              <w:t>Таблетированные препараты:</w:t>
            </w:r>
          </w:p>
        </w:tc>
        <w:tc>
          <w:tcPr>
            <w:tcW w:w="6628" w:type="dxa"/>
            <w:gridSpan w:val="2"/>
          </w:tcPr>
          <w:p w14:paraId="39102983" w14:textId="77777777" w:rsidR="00C1188C" w:rsidRPr="00BA4F0F" w:rsidRDefault="00C1188C" w:rsidP="004871F2">
            <w:pPr>
              <w:spacing w:line="240" w:lineRule="auto"/>
              <w:ind w:firstLine="0"/>
              <w:rPr>
                <w:rFonts w:cs="Times New Roman"/>
                <w:szCs w:val="24"/>
              </w:rPr>
            </w:pPr>
          </w:p>
        </w:tc>
      </w:tr>
      <w:tr w:rsidR="00C1188C" w:rsidRPr="00BA4F0F" w14:paraId="40EF5639" w14:textId="77777777" w:rsidTr="005A428D">
        <w:tc>
          <w:tcPr>
            <w:tcW w:w="2943" w:type="dxa"/>
          </w:tcPr>
          <w:p w14:paraId="19C83D28" w14:textId="77777777" w:rsidR="00C1188C" w:rsidRPr="00BA4F0F" w:rsidRDefault="00C1188C" w:rsidP="004871F2">
            <w:pPr>
              <w:spacing w:line="240" w:lineRule="auto"/>
              <w:ind w:firstLine="0"/>
              <w:rPr>
                <w:rFonts w:cs="Times New Roman"/>
                <w:szCs w:val="24"/>
              </w:rPr>
            </w:pPr>
            <w:r w:rsidRPr="00BA4F0F">
              <w:rPr>
                <w:rFonts w:cs="Times New Roman"/>
                <w:szCs w:val="24"/>
              </w:rPr>
              <w:t>Аллопуринол</w:t>
            </w:r>
          </w:p>
        </w:tc>
        <w:tc>
          <w:tcPr>
            <w:tcW w:w="3686" w:type="dxa"/>
          </w:tcPr>
          <w:p w14:paraId="31DED65D" w14:textId="77777777" w:rsidR="00C1188C" w:rsidRPr="00BA4F0F" w:rsidRDefault="00C1188C" w:rsidP="004871F2">
            <w:pPr>
              <w:spacing w:line="240" w:lineRule="auto"/>
              <w:ind w:firstLine="0"/>
              <w:rPr>
                <w:rFonts w:cs="Times New Roman"/>
                <w:szCs w:val="24"/>
              </w:rPr>
            </w:pPr>
            <w:r w:rsidRPr="00BA4F0F">
              <w:rPr>
                <w:rFonts w:cs="Times New Roman"/>
                <w:szCs w:val="24"/>
              </w:rPr>
              <w:t>200 мг/м</w:t>
            </w:r>
            <w:r w:rsidRPr="00BA4F0F">
              <w:rPr>
                <w:rFonts w:cs="Times New Roman"/>
                <w:szCs w:val="24"/>
                <w:vertAlign w:val="superscript"/>
              </w:rPr>
              <w:t>2</w:t>
            </w:r>
            <w:r w:rsidRPr="00BA4F0F">
              <w:rPr>
                <w:rFonts w:cs="Times New Roman"/>
                <w:szCs w:val="24"/>
              </w:rPr>
              <w:t xml:space="preserve"> внутрь </w:t>
            </w:r>
          </w:p>
        </w:tc>
        <w:tc>
          <w:tcPr>
            <w:tcW w:w="2942" w:type="dxa"/>
          </w:tcPr>
          <w:p w14:paraId="4CD2756B"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+1 - +3 </w:t>
            </w:r>
          </w:p>
        </w:tc>
      </w:tr>
      <w:tr w:rsidR="00C1188C" w:rsidRPr="00BA4F0F" w14:paraId="66FC4EF8" w14:textId="77777777" w:rsidTr="005A428D">
        <w:tc>
          <w:tcPr>
            <w:tcW w:w="2943" w:type="dxa"/>
          </w:tcPr>
          <w:p w14:paraId="38CBA612" w14:textId="77777777" w:rsidR="00C1188C" w:rsidRPr="00BA4F0F" w:rsidRDefault="00C1188C" w:rsidP="004871F2">
            <w:pPr>
              <w:spacing w:line="240" w:lineRule="auto"/>
              <w:ind w:firstLine="0"/>
              <w:rPr>
                <w:rFonts w:cs="Times New Roman"/>
                <w:szCs w:val="24"/>
              </w:rPr>
            </w:pPr>
            <w:r w:rsidRPr="00BA4F0F">
              <w:rPr>
                <w:rFonts w:cs="Times New Roman"/>
                <w:szCs w:val="24"/>
              </w:rPr>
              <w:t>Противосудорожные средства:</w:t>
            </w:r>
          </w:p>
          <w:p w14:paraId="77AEC073" w14:textId="77777777" w:rsidR="00C1188C" w:rsidRPr="00BA4F0F" w:rsidRDefault="00C1188C" w:rsidP="004871F2">
            <w:pPr>
              <w:spacing w:line="240" w:lineRule="auto"/>
              <w:ind w:firstLine="0"/>
              <w:rPr>
                <w:rFonts w:cs="Times New Roman"/>
                <w:szCs w:val="24"/>
              </w:rPr>
            </w:pPr>
            <w:r w:rsidRPr="00BA4F0F">
              <w:rPr>
                <w:rFonts w:cs="Times New Roman"/>
                <w:szCs w:val="24"/>
              </w:rPr>
              <w:t>карбамазепин</w:t>
            </w:r>
          </w:p>
        </w:tc>
        <w:tc>
          <w:tcPr>
            <w:tcW w:w="3686" w:type="dxa"/>
          </w:tcPr>
          <w:p w14:paraId="0619F9A9" w14:textId="77777777" w:rsidR="00C1188C" w:rsidRPr="00BA4F0F" w:rsidRDefault="00C1188C" w:rsidP="004871F2">
            <w:pPr>
              <w:spacing w:line="240" w:lineRule="auto"/>
              <w:ind w:firstLine="0"/>
              <w:rPr>
                <w:rFonts w:cs="Times New Roman"/>
                <w:szCs w:val="24"/>
              </w:rPr>
            </w:pPr>
          </w:p>
          <w:p w14:paraId="2D8B81DE" w14:textId="77777777" w:rsidR="00C1188C" w:rsidRPr="00BA4F0F" w:rsidRDefault="00C1188C" w:rsidP="004871F2">
            <w:pPr>
              <w:spacing w:line="240" w:lineRule="auto"/>
              <w:ind w:firstLine="0"/>
              <w:rPr>
                <w:rFonts w:cs="Times New Roman"/>
                <w:szCs w:val="24"/>
              </w:rPr>
            </w:pPr>
          </w:p>
          <w:p w14:paraId="5C01E156"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200 мг внутрь на ночь </w:t>
            </w:r>
          </w:p>
        </w:tc>
        <w:tc>
          <w:tcPr>
            <w:tcW w:w="2942" w:type="dxa"/>
          </w:tcPr>
          <w:p w14:paraId="4F2E8937" w14:textId="77777777" w:rsidR="00C1188C" w:rsidRPr="00BA4F0F" w:rsidRDefault="00C1188C" w:rsidP="004871F2">
            <w:pPr>
              <w:spacing w:line="240" w:lineRule="auto"/>
              <w:ind w:firstLine="0"/>
              <w:rPr>
                <w:rFonts w:cs="Times New Roman"/>
                <w:szCs w:val="24"/>
              </w:rPr>
            </w:pPr>
          </w:p>
          <w:p w14:paraId="4752EF2D" w14:textId="77777777" w:rsidR="00C1188C" w:rsidRPr="00BA4F0F" w:rsidRDefault="00C1188C" w:rsidP="004871F2">
            <w:pPr>
              <w:spacing w:line="240" w:lineRule="auto"/>
              <w:ind w:firstLine="0"/>
              <w:rPr>
                <w:rFonts w:cs="Times New Roman"/>
                <w:szCs w:val="24"/>
              </w:rPr>
            </w:pPr>
          </w:p>
          <w:p w14:paraId="53AE7646" w14:textId="77777777" w:rsidR="00C1188C" w:rsidRPr="00BA4F0F" w:rsidRDefault="00C1188C" w:rsidP="004871F2">
            <w:pPr>
              <w:spacing w:line="240" w:lineRule="auto"/>
              <w:ind w:firstLine="0"/>
              <w:rPr>
                <w:rFonts w:cs="Times New Roman"/>
                <w:szCs w:val="24"/>
              </w:rPr>
            </w:pPr>
            <w:r w:rsidRPr="00BA4F0F">
              <w:rPr>
                <w:rFonts w:cs="Times New Roman"/>
                <w:szCs w:val="24"/>
              </w:rPr>
              <w:t>-1 - +1</w:t>
            </w:r>
          </w:p>
        </w:tc>
      </w:tr>
      <w:tr w:rsidR="00C1188C" w:rsidRPr="00BA4F0F" w14:paraId="524B1E98" w14:textId="77777777" w:rsidTr="005A428D">
        <w:tc>
          <w:tcPr>
            <w:tcW w:w="2943" w:type="dxa"/>
          </w:tcPr>
          <w:p w14:paraId="786E5D60" w14:textId="77777777" w:rsidR="00C1188C" w:rsidRPr="00BA4F0F" w:rsidRDefault="00C1188C" w:rsidP="004871F2">
            <w:pPr>
              <w:spacing w:line="240" w:lineRule="auto"/>
              <w:ind w:firstLine="0"/>
              <w:rPr>
                <w:rFonts w:cs="Times New Roman"/>
                <w:szCs w:val="24"/>
              </w:rPr>
            </w:pPr>
            <w:r w:rsidRPr="00BA4F0F">
              <w:rPr>
                <w:rFonts w:cs="Times New Roman"/>
                <w:szCs w:val="24"/>
              </w:rPr>
              <w:t xml:space="preserve">Обработка полости рта растворами антисептиков </w:t>
            </w:r>
          </w:p>
        </w:tc>
        <w:tc>
          <w:tcPr>
            <w:tcW w:w="3686" w:type="dxa"/>
          </w:tcPr>
          <w:p w14:paraId="3D01318C" w14:textId="77777777" w:rsidR="00C1188C" w:rsidRPr="00BA4F0F" w:rsidRDefault="00C1188C" w:rsidP="004871F2">
            <w:pPr>
              <w:spacing w:line="240" w:lineRule="auto"/>
              <w:ind w:firstLine="0"/>
              <w:rPr>
                <w:rFonts w:cs="Times New Roman"/>
                <w:szCs w:val="24"/>
              </w:rPr>
            </w:pPr>
            <w:r w:rsidRPr="00BA4F0F">
              <w:rPr>
                <w:rFonts w:cs="Times New Roman"/>
                <w:szCs w:val="24"/>
              </w:rPr>
              <w:t>многократно</w:t>
            </w:r>
          </w:p>
        </w:tc>
        <w:tc>
          <w:tcPr>
            <w:tcW w:w="2942" w:type="dxa"/>
          </w:tcPr>
          <w:p w14:paraId="71D6A37E" w14:textId="77777777" w:rsidR="00C1188C" w:rsidRPr="00BA4F0F" w:rsidRDefault="00C1188C" w:rsidP="004871F2">
            <w:pPr>
              <w:spacing w:line="240" w:lineRule="auto"/>
              <w:ind w:firstLine="0"/>
              <w:rPr>
                <w:rFonts w:cs="Times New Roman"/>
                <w:szCs w:val="24"/>
              </w:rPr>
            </w:pPr>
            <w:r w:rsidRPr="00BA4F0F">
              <w:rPr>
                <w:rFonts w:cs="Times New Roman"/>
                <w:szCs w:val="24"/>
              </w:rPr>
              <w:t>весь период мобилизации</w:t>
            </w:r>
          </w:p>
        </w:tc>
      </w:tr>
      <w:tr w:rsidR="00C1188C" w:rsidRPr="00BA4F0F" w14:paraId="3F1E5B79" w14:textId="77777777" w:rsidTr="005A428D">
        <w:tc>
          <w:tcPr>
            <w:tcW w:w="2943" w:type="dxa"/>
          </w:tcPr>
          <w:p w14:paraId="26E196F2" w14:textId="77777777" w:rsidR="00C1188C" w:rsidRPr="00BA4F0F" w:rsidRDefault="00C1188C" w:rsidP="004871F2">
            <w:pPr>
              <w:spacing w:line="240" w:lineRule="auto"/>
              <w:ind w:firstLine="0"/>
              <w:rPr>
                <w:rFonts w:cs="Times New Roman"/>
                <w:szCs w:val="24"/>
              </w:rPr>
            </w:pPr>
            <w:r w:rsidRPr="00BA4F0F">
              <w:rPr>
                <w:rFonts w:cs="Times New Roman"/>
                <w:szCs w:val="24"/>
              </w:rPr>
              <w:t>Стимуляция:</w:t>
            </w:r>
          </w:p>
        </w:tc>
        <w:tc>
          <w:tcPr>
            <w:tcW w:w="6628" w:type="dxa"/>
            <w:gridSpan w:val="2"/>
          </w:tcPr>
          <w:p w14:paraId="376880B4" w14:textId="77777777" w:rsidR="00C1188C" w:rsidRPr="00BA4F0F" w:rsidRDefault="00C1188C" w:rsidP="004871F2">
            <w:pPr>
              <w:spacing w:line="240" w:lineRule="auto"/>
              <w:ind w:firstLine="0"/>
              <w:rPr>
                <w:rFonts w:cs="Times New Roman"/>
                <w:szCs w:val="24"/>
              </w:rPr>
            </w:pPr>
          </w:p>
        </w:tc>
      </w:tr>
      <w:tr w:rsidR="00C1188C" w:rsidRPr="00BA4F0F" w14:paraId="418F8975" w14:textId="77777777" w:rsidTr="005A428D">
        <w:tc>
          <w:tcPr>
            <w:tcW w:w="2943" w:type="dxa"/>
          </w:tcPr>
          <w:p w14:paraId="0AA801E2" w14:textId="77777777" w:rsidR="00C1188C" w:rsidRPr="00BA4F0F" w:rsidRDefault="00C1188C" w:rsidP="004871F2">
            <w:pPr>
              <w:spacing w:line="240" w:lineRule="auto"/>
              <w:ind w:firstLine="0"/>
              <w:rPr>
                <w:rFonts w:cs="Times New Roman"/>
                <w:szCs w:val="24"/>
              </w:rPr>
            </w:pPr>
            <w:r w:rsidRPr="00BA4F0F">
              <w:rPr>
                <w:rFonts w:cs="Times New Roman"/>
                <w:szCs w:val="24"/>
              </w:rPr>
              <w:t>Г-КСФ</w:t>
            </w:r>
          </w:p>
        </w:tc>
        <w:tc>
          <w:tcPr>
            <w:tcW w:w="3686" w:type="dxa"/>
          </w:tcPr>
          <w:p w14:paraId="6A5CF52B" w14:textId="77777777" w:rsidR="00C1188C" w:rsidRPr="00BA4F0F" w:rsidRDefault="00C1188C" w:rsidP="004871F2">
            <w:pPr>
              <w:spacing w:line="240" w:lineRule="auto"/>
              <w:ind w:firstLine="0"/>
              <w:rPr>
                <w:rFonts w:cs="Times New Roman"/>
                <w:szCs w:val="24"/>
              </w:rPr>
            </w:pPr>
            <w:r w:rsidRPr="00BA4F0F">
              <w:rPr>
                <w:rFonts w:cs="Times New Roman"/>
                <w:szCs w:val="24"/>
              </w:rPr>
              <w:t>5 мкг/кг в сутки подкожно</w:t>
            </w:r>
            <w:r w:rsidRPr="00BA4F0F">
              <w:rPr>
                <w:rFonts w:cs="Times New Roman"/>
                <w:szCs w:val="24"/>
                <w:vertAlign w:val="superscript"/>
              </w:rPr>
              <w:t>**</w:t>
            </w:r>
          </w:p>
        </w:tc>
        <w:tc>
          <w:tcPr>
            <w:tcW w:w="2942" w:type="dxa"/>
          </w:tcPr>
          <w:p w14:paraId="0B366A0F" w14:textId="77777777" w:rsidR="00C1188C" w:rsidRPr="00BA4F0F" w:rsidRDefault="00C1188C" w:rsidP="004871F2">
            <w:pPr>
              <w:spacing w:line="240" w:lineRule="auto"/>
              <w:ind w:firstLine="0"/>
              <w:rPr>
                <w:rFonts w:cs="Times New Roman"/>
                <w:szCs w:val="24"/>
              </w:rPr>
            </w:pPr>
            <w:r w:rsidRPr="00BA4F0F">
              <w:rPr>
                <w:rFonts w:cs="Times New Roman"/>
                <w:szCs w:val="24"/>
              </w:rPr>
              <w:t>с момента снижения числа лейкоцитов менее 1х10</w:t>
            </w:r>
            <w:r w:rsidRPr="00BA4F0F">
              <w:rPr>
                <w:rFonts w:cs="Times New Roman"/>
                <w:szCs w:val="24"/>
                <w:vertAlign w:val="superscript"/>
              </w:rPr>
              <w:t>9</w:t>
            </w:r>
            <w:r w:rsidRPr="00BA4F0F">
              <w:rPr>
                <w:rFonts w:cs="Times New Roman"/>
                <w:szCs w:val="24"/>
              </w:rPr>
              <w:t>/л.</w:t>
            </w:r>
          </w:p>
        </w:tc>
      </w:tr>
    </w:tbl>
    <w:p w14:paraId="3A991656" w14:textId="77777777" w:rsidR="00C1188C" w:rsidRPr="00BA4F0F" w:rsidRDefault="00C1188C" w:rsidP="00C1188C">
      <w:pPr>
        <w:rPr>
          <w:rFonts w:cs="Times New Roman"/>
          <w:szCs w:val="24"/>
        </w:rPr>
      </w:pPr>
      <w:r w:rsidRPr="00BA4F0F">
        <w:rPr>
          <w:rFonts w:cs="Times New Roman"/>
          <w:i/>
          <w:szCs w:val="24"/>
        </w:rPr>
        <w:t xml:space="preserve">Примечание: </w:t>
      </w:r>
      <w:r w:rsidRPr="00BA4F0F">
        <w:rPr>
          <w:rFonts w:cs="Times New Roman"/>
          <w:i/>
          <w:szCs w:val="24"/>
          <w:vertAlign w:val="superscript"/>
        </w:rPr>
        <w:t>*</w:t>
      </w:r>
      <w:r w:rsidRPr="00BA4F0F">
        <w:rPr>
          <w:rFonts w:cs="Times New Roman"/>
          <w:i/>
          <w:szCs w:val="24"/>
        </w:rPr>
        <w:t xml:space="preserve"> </w:t>
      </w:r>
      <w:r w:rsidRPr="00BA4F0F">
        <w:rPr>
          <w:rFonts w:cs="Times New Roman"/>
          <w:szCs w:val="24"/>
        </w:rPr>
        <w:t xml:space="preserve">с +3 дня терапии объем вводимых растворов уменьшается в 2 раза. </w:t>
      </w:r>
    </w:p>
    <w:p w14:paraId="1DFAAA00" w14:textId="77777777" w:rsidR="00C1188C" w:rsidRPr="00BA4F0F" w:rsidRDefault="00C1188C" w:rsidP="00C1188C">
      <w:pPr>
        <w:rPr>
          <w:rFonts w:cs="Times New Roman"/>
          <w:szCs w:val="24"/>
        </w:rPr>
      </w:pPr>
      <w:r w:rsidRPr="00BA4F0F">
        <w:rPr>
          <w:rFonts w:cs="Times New Roman"/>
          <w:szCs w:val="24"/>
        </w:rPr>
        <w:t xml:space="preserve">                       </w:t>
      </w:r>
      <w:r w:rsidRPr="00BA4F0F">
        <w:rPr>
          <w:rFonts w:cs="Times New Roman"/>
          <w:szCs w:val="24"/>
          <w:vertAlign w:val="superscript"/>
        </w:rPr>
        <w:t>**</w:t>
      </w:r>
      <w:r w:rsidRPr="00BA4F0F">
        <w:rPr>
          <w:rFonts w:cs="Times New Roman"/>
          <w:szCs w:val="24"/>
        </w:rPr>
        <w:t xml:space="preserve"> при отсутствии снижения числа лейкоцитов возможно увеличение дозы </w:t>
      </w:r>
    </w:p>
    <w:p w14:paraId="345883CA" w14:textId="77777777" w:rsidR="00C1188C" w:rsidRPr="00BA4F0F" w:rsidRDefault="00C1188C" w:rsidP="00C1188C">
      <w:pPr>
        <w:rPr>
          <w:rFonts w:cs="Times New Roman"/>
          <w:szCs w:val="24"/>
        </w:rPr>
      </w:pPr>
      <w:r w:rsidRPr="00BA4F0F">
        <w:rPr>
          <w:rFonts w:cs="Times New Roman"/>
          <w:szCs w:val="24"/>
        </w:rPr>
        <w:t>Г-КСФ до 10 мкг/кг/сут.</w:t>
      </w:r>
    </w:p>
    <w:p w14:paraId="42C4A24B" w14:textId="77777777" w:rsidR="00C1188C" w:rsidRPr="00BA4F0F" w:rsidRDefault="00C1188C" w:rsidP="00C1188C">
      <w:pPr>
        <w:rPr>
          <w:rFonts w:cs="Times New Roman"/>
          <w:b/>
          <w:szCs w:val="24"/>
        </w:rPr>
      </w:pPr>
    </w:p>
    <w:p w14:paraId="0C92DCC8" w14:textId="77777777" w:rsidR="00C1188C" w:rsidRPr="00BA4F0F" w:rsidRDefault="00C1188C" w:rsidP="00C1188C">
      <w:pPr>
        <w:pStyle w:val="afe"/>
        <w:ind w:left="0"/>
        <w:rPr>
          <w:rFonts w:cs="Times New Roman"/>
          <w:szCs w:val="24"/>
          <w:u w:val="single"/>
        </w:rPr>
      </w:pPr>
      <w:bookmarkStart w:id="109" w:name="_Toc44926607"/>
      <w:r w:rsidRPr="00BA4F0F">
        <w:rPr>
          <w:rFonts w:cs="Times New Roman"/>
          <w:szCs w:val="24"/>
          <w:u w:val="single"/>
        </w:rPr>
        <w:t>Г-КСФ в сочетании с плериксафором</w:t>
      </w:r>
      <w:bookmarkEnd w:id="109"/>
    </w:p>
    <w:p w14:paraId="792CADB5" w14:textId="77777777" w:rsidR="00C1188C" w:rsidRPr="00BA4F0F" w:rsidRDefault="00C1188C" w:rsidP="00C1188C">
      <w:pPr>
        <w:rPr>
          <w:rFonts w:cs="Times New Roman"/>
          <w:b/>
          <w:i/>
          <w:szCs w:val="24"/>
          <w:lang w:val="en-US"/>
        </w:rPr>
      </w:pPr>
      <w:r w:rsidRPr="00BA4F0F">
        <w:rPr>
          <w:rFonts w:cs="Times New Roman"/>
          <w:b/>
          <w:i/>
          <w:szCs w:val="24"/>
          <w:lang w:val="en-US"/>
        </w:rPr>
        <w:t>Показания</w:t>
      </w:r>
    </w:p>
    <w:p w14:paraId="4210FCC7" w14:textId="77777777" w:rsidR="00C1188C" w:rsidRPr="00BA4F0F" w:rsidRDefault="00C1188C" w:rsidP="000768AC">
      <w:pPr>
        <w:numPr>
          <w:ilvl w:val="0"/>
          <w:numId w:val="203"/>
        </w:numPr>
        <w:ind w:left="0" w:firstLine="0"/>
        <w:contextualSpacing/>
        <w:rPr>
          <w:rFonts w:cs="Times New Roman"/>
          <w:szCs w:val="24"/>
        </w:rPr>
      </w:pPr>
      <w:r w:rsidRPr="00BA4F0F">
        <w:rPr>
          <w:rFonts w:cs="Times New Roman"/>
          <w:szCs w:val="24"/>
        </w:rPr>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 и ММ;</w:t>
      </w:r>
    </w:p>
    <w:p w14:paraId="20BE3A3B" w14:textId="77777777" w:rsidR="00C1188C" w:rsidRPr="00BA4F0F" w:rsidRDefault="00C1188C" w:rsidP="000768AC">
      <w:pPr>
        <w:numPr>
          <w:ilvl w:val="0"/>
          <w:numId w:val="203"/>
        </w:numPr>
        <w:ind w:left="0" w:firstLine="0"/>
        <w:contextualSpacing/>
        <w:rPr>
          <w:rFonts w:cs="Times New Roman"/>
          <w:szCs w:val="24"/>
        </w:rPr>
      </w:pPr>
      <w:r w:rsidRPr="00BA4F0F">
        <w:rPr>
          <w:rFonts w:cs="Times New Roman"/>
          <w:szCs w:val="24"/>
        </w:rPr>
        <w:t>Неудовлетворительные результаты текущей мобилизации у пациентов с лимфомами и ММ.</w:t>
      </w:r>
    </w:p>
    <w:p w14:paraId="3CCCBE67" w14:textId="77777777" w:rsidR="00C1188C" w:rsidRPr="00BA4F0F" w:rsidRDefault="00C1188C" w:rsidP="00C1188C">
      <w:pPr>
        <w:rPr>
          <w:rFonts w:cs="Times New Roman"/>
          <w:szCs w:val="24"/>
        </w:rPr>
      </w:pPr>
      <w:r w:rsidRPr="00BA4F0F">
        <w:rPr>
          <w:rFonts w:cs="Times New Roman"/>
          <w:szCs w:val="24"/>
        </w:rPr>
        <w:t>Неудовлетворительные результаты текущей мобилизации:</w:t>
      </w:r>
    </w:p>
    <w:p w14:paraId="15B14E83" w14:textId="77777777" w:rsidR="00C1188C" w:rsidRPr="00BA4F0F" w:rsidRDefault="00C1188C" w:rsidP="00C1188C">
      <w:pPr>
        <w:rPr>
          <w:rFonts w:cs="Times New Roman"/>
          <w:szCs w:val="24"/>
        </w:rPr>
      </w:pPr>
      <w:r w:rsidRPr="00BA4F0F">
        <w:rPr>
          <w:rFonts w:cs="Times New Roman"/>
          <w:szCs w:val="24"/>
        </w:rPr>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4E1DA9F1" w14:textId="77777777" w:rsidR="00C1188C" w:rsidRPr="00BA4F0F" w:rsidRDefault="00C1188C" w:rsidP="00C1188C">
      <w:pPr>
        <w:rPr>
          <w:rFonts w:cs="Times New Roman"/>
          <w:szCs w:val="24"/>
        </w:rPr>
      </w:pPr>
      <w:r w:rsidRPr="00BA4F0F">
        <w:rPr>
          <w:rFonts w:cs="Times New Roman"/>
          <w:szCs w:val="24"/>
        </w:rPr>
        <w:t>б) за первый лейкаферез заготовлено менее 30-50% от необходимого количества CD34+ клеток.</w:t>
      </w:r>
    </w:p>
    <w:p w14:paraId="630D5EC9" w14:textId="77777777" w:rsidR="00C1188C" w:rsidRPr="00BA4F0F" w:rsidRDefault="00C1188C" w:rsidP="00C1188C">
      <w:pPr>
        <w:contextualSpacing/>
        <w:rPr>
          <w:rFonts w:cs="Times New Roman"/>
          <w:b/>
          <w:szCs w:val="24"/>
        </w:rPr>
      </w:pPr>
    </w:p>
    <w:p w14:paraId="12FA35DD" w14:textId="77777777" w:rsidR="00C1188C" w:rsidRPr="00BA4F0F" w:rsidRDefault="00C1188C" w:rsidP="00C1188C">
      <w:pPr>
        <w:rPr>
          <w:rFonts w:cs="Times New Roman"/>
          <w:b/>
          <w:i/>
          <w:szCs w:val="24"/>
        </w:rPr>
      </w:pPr>
      <w:r w:rsidRPr="00BA4F0F">
        <w:rPr>
          <w:rFonts w:cs="Times New Roman"/>
          <w:b/>
          <w:i/>
          <w:szCs w:val="24"/>
        </w:rPr>
        <w:t>Схема мобилизации ГСК</w:t>
      </w:r>
    </w:p>
    <w:p w14:paraId="23F127E5" w14:textId="77777777" w:rsidR="00C1188C" w:rsidRPr="00BA4F0F" w:rsidRDefault="00C1188C" w:rsidP="00C1188C">
      <w:pPr>
        <w:rPr>
          <w:rFonts w:cs="Times New Roman"/>
          <w:szCs w:val="24"/>
        </w:rPr>
      </w:pPr>
      <w:r w:rsidRPr="00BA4F0F">
        <w:rPr>
          <w:rFonts w:cs="Times New Roman"/>
          <w:szCs w:val="24"/>
        </w:rPr>
        <w:t>Г-КСФ назначают в дозе 10 мкг/кг/сутки, вводят подкожно утром. На четвертый день введения Г-КСФ плериксафор назначается за 12 часов до лейкафереза в дозе 240 мкг/кг подкожно. По результатам лейкафереза решается вопрос о необходимости повторного введения плериксафора (таблица 3). Возможно применение нескольких введений плериксафора.</w:t>
      </w:r>
    </w:p>
    <w:p w14:paraId="7594300A" w14:textId="77777777" w:rsidR="00C1188C" w:rsidRPr="00BA4F0F" w:rsidRDefault="00C1188C" w:rsidP="00C1188C">
      <w:pPr>
        <w:rPr>
          <w:rFonts w:cs="Times New Roman"/>
          <w:szCs w:val="24"/>
        </w:rPr>
      </w:pPr>
    </w:p>
    <w:p w14:paraId="5103E425" w14:textId="77777777" w:rsidR="00C1188C" w:rsidRPr="00BA4F0F" w:rsidRDefault="00C1188C" w:rsidP="00C1188C">
      <w:pPr>
        <w:rPr>
          <w:rFonts w:cs="Times New Roman"/>
          <w:szCs w:val="24"/>
        </w:rPr>
      </w:pPr>
      <w:r w:rsidRPr="00BA4F0F">
        <w:rPr>
          <w:rFonts w:cs="Times New Roman"/>
          <w:szCs w:val="24"/>
        </w:rPr>
        <w:t xml:space="preserve">Таблица 3. Схема мобилизации ГСК «Г-КСФ + плериксафор» </w:t>
      </w:r>
    </w:p>
    <w:tbl>
      <w:tblPr>
        <w:tblStyle w:val="1f3"/>
        <w:tblW w:w="0" w:type="auto"/>
        <w:jc w:val="center"/>
        <w:tblLook w:val="04A0" w:firstRow="1" w:lastRow="0" w:firstColumn="1" w:lastColumn="0" w:noHBand="0" w:noVBand="1"/>
      </w:tblPr>
      <w:tblGrid>
        <w:gridCol w:w="1651"/>
        <w:gridCol w:w="1133"/>
        <w:gridCol w:w="1129"/>
        <w:gridCol w:w="1129"/>
        <w:gridCol w:w="1132"/>
        <w:gridCol w:w="1133"/>
        <w:gridCol w:w="1133"/>
      </w:tblGrid>
      <w:tr w:rsidR="00C1188C" w:rsidRPr="00BA4F0F" w14:paraId="71BACE78" w14:textId="77777777" w:rsidTr="005A428D">
        <w:trPr>
          <w:jc w:val="center"/>
        </w:trPr>
        <w:tc>
          <w:tcPr>
            <w:tcW w:w="1651" w:type="dxa"/>
          </w:tcPr>
          <w:p w14:paraId="1D544AAB" w14:textId="77777777" w:rsidR="00C1188C" w:rsidRPr="00BA4F0F" w:rsidRDefault="00C1188C" w:rsidP="004871F2">
            <w:pPr>
              <w:ind w:firstLine="0"/>
              <w:rPr>
                <w:rFonts w:cs="Times New Roman"/>
              </w:rPr>
            </w:pPr>
            <w:r w:rsidRPr="00BA4F0F">
              <w:rPr>
                <w:rFonts w:cs="Times New Roman"/>
              </w:rPr>
              <w:t>Дни</w:t>
            </w:r>
          </w:p>
        </w:tc>
        <w:tc>
          <w:tcPr>
            <w:tcW w:w="1133" w:type="dxa"/>
          </w:tcPr>
          <w:p w14:paraId="45C132D3" w14:textId="77777777" w:rsidR="00C1188C" w:rsidRPr="00BA4F0F" w:rsidRDefault="00C1188C" w:rsidP="004871F2">
            <w:pPr>
              <w:ind w:firstLine="0"/>
              <w:rPr>
                <w:rFonts w:cs="Times New Roman"/>
              </w:rPr>
            </w:pPr>
            <w:r w:rsidRPr="00BA4F0F">
              <w:rPr>
                <w:rFonts w:cs="Times New Roman"/>
              </w:rPr>
              <w:t>1</w:t>
            </w:r>
          </w:p>
        </w:tc>
        <w:tc>
          <w:tcPr>
            <w:tcW w:w="1129" w:type="dxa"/>
          </w:tcPr>
          <w:p w14:paraId="1FC7A50B" w14:textId="77777777" w:rsidR="00C1188C" w:rsidRPr="00BA4F0F" w:rsidRDefault="00C1188C" w:rsidP="004871F2">
            <w:pPr>
              <w:ind w:firstLine="0"/>
              <w:rPr>
                <w:rFonts w:cs="Times New Roman"/>
              </w:rPr>
            </w:pPr>
            <w:r w:rsidRPr="00BA4F0F">
              <w:rPr>
                <w:rFonts w:cs="Times New Roman"/>
              </w:rPr>
              <w:t>2</w:t>
            </w:r>
          </w:p>
        </w:tc>
        <w:tc>
          <w:tcPr>
            <w:tcW w:w="1129" w:type="dxa"/>
          </w:tcPr>
          <w:p w14:paraId="4913490C" w14:textId="77777777" w:rsidR="00C1188C" w:rsidRPr="00BA4F0F" w:rsidRDefault="00C1188C" w:rsidP="004871F2">
            <w:pPr>
              <w:ind w:firstLine="0"/>
              <w:rPr>
                <w:rFonts w:cs="Times New Roman"/>
              </w:rPr>
            </w:pPr>
            <w:r w:rsidRPr="00BA4F0F">
              <w:rPr>
                <w:rFonts w:cs="Times New Roman"/>
              </w:rPr>
              <w:t>3</w:t>
            </w:r>
          </w:p>
        </w:tc>
        <w:tc>
          <w:tcPr>
            <w:tcW w:w="1132" w:type="dxa"/>
          </w:tcPr>
          <w:p w14:paraId="03E63817" w14:textId="77777777" w:rsidR="00C1188C" w:rsidRPr="00BA4F0F" w:rsidRDefault="00C1188C" w:rsidP="004871F2">
            <w:pPr>
              <w:ind w:firstLine="0"/>
              <w:rPr>
                <w:rFonts w:cs="Times New Roman"/>
              </w:rPr>
            </w:pPr>
            <w:r w:rsidRPr="00BA4F0F">
              <w:rPr>
                <w:rFonts w:cs="Times New Roman"/>
              </w:rPr>
              <w:t>4</w:t>
            </w:r>
          </w:p>
        </w:tc>
        <w:tc>
          <w:tcPr>
            <w:tcW w:w="1133" w:type="dxa"/>
          </w:tcPr>
          <w:p w14:paraId="32027EF5" w14:textId="77777777" w:rsidR="00C1188C" w:rsidRPr="00BA4F0F" w:rsidRDefault="00C1188C" w:rsidP="004871F2">
            <w:pPr>
              <w:ind w:firstLine="0"/>
              <w:rPr>
                <w:rFonts w:cs="Times New Roman"/>
              </w:rPr>
            </w:pPr>
            <w:r w:rsidRPr="00BA4F0F">
              <w:rPr>
                <w:rFonts w:cs="Times New Roman"/>
              </w:rPr>
              <w:t>5</w:t>
            </w:r>
          </w:p>
        </w:tc>
        <w:tc>
          <w:tcPr>
            <w:tcW w:w="1133" w:type="dxa"/>
          </w:tcPr>
          <w:p w14:paraId="24CD441D" w14:textId="77777777" w:rsidR="00C1188C" w:rsidRPr="00BA4F0F" w:rsidRDefault="00C1188C" w:rsidP="004871F2">
            <w:pPr>
              <w:ind w:firstLine="0"/>
              <w:rPr>
                <w:rFonts w:cs="Times New Roman"/>
              </w:rPr>
            </w:pPr>
            <w:r w:rsidRPr="00BA4F0F">
              <w:rPr>
                <w:rFonts w:cs="Times New Roman"/>
              </w:rPr>
              <w:t>6</w:t>
            </w:r>
          </w:p>
        </w:tc>
      </w:tr>
      <w:tr w:rsidR="00C1188C" w:rsidRPr="00BA4F0F" w14:paraId="6A4238A1" w14:textId="77777777" w:rsidTr="005A428D">
        <w:trPr>
          <w:jc w:val="center"/>
        </w:trPr>
        <w:tc>
          <w:tcPr>
            <w:tcW w:w="1651" w:type="dxa"/>
          </w:tcPr>
          <w:p w14:paraId="268FCBCE" w14:textId="77777777" w:rsidR="00C1188C" w:rsidRPr="00BA4F0F" w:rsidRDefault="00C1188C" w:rsidP="004871F2">
            <w:pPr>
              <w:ind w:firstLine="0"/>
              <w:rPr>
                <w:rFonts w:cs="Times New Roman"/>
              </w:rPr>
            </w:pPr>
            <w:r w:rsidRPr="00BA4F0F">
              <w:rPr>
                <w:rFonts w:cs="Times New Roman"/>
              </w:rPr>
              <w:t xml:space="preserve">Г-КСФ, </w:t>
            </w:r>
          </w:p>
          <w:p w14:paraId="758A5B33" w14:textId="77777777" w:rsidR="00C1188C" w:rsidRPr="00BA4F0F" w:rsidRDefault="00C1188C" w:rsidP="004871F2">
            <w:pPr>
              <w:ind w:firstLine="0"/>
              <w:rPr>
                <w:rFonts w:cs="Times New Roman"/>
              </w:rPr>
            </w:pPr>
            <w:r w:rsidRPr="00BA4F0F">
              <w:rPr>
                <w:rFonts w:cs="Times New Roman"/>
              </w:rPr>
              <w:t>10 мкг/кг</w:t>
            </w:r>
          </w:p>
        </w:tc>
        <w:tc>
          <w:tcPr>
            <w:tcW w:w="1133" w:type="dxa"/>
          </w:tcPr>
          <w:p w14:paraId="57D9AAAA" w14:textId="77777777" w:rsidR="00C1188C" w:rsidRPr="00BA4F0F" w:rsidRDefault="00C1188C" w:rsidP="004871F2">
            <w:pPr>
              <w:ind w:firstLine="0"/>
              <w:rPr>
                <w:rFonts w:cs="Times New Roman"/>
              </w:rPr>
            </w:pPr>
            <w:r w:rsidRPr="00BA4F0F">
              <w:rPr>
                <w:rFonts w:cs="Times New Roman"/>
              </w:rPr>
              <w:t>Х</w:t>
            </w:r>
          </w:p>
        </w:tc>
        <w:tc>
          <w:tcPr>
            <w:tcW w:w="1129" w:type="dxa"/>
          </w:tcPr>
          <w:p w14:paraId="54750E67" w14:textId="77777777" w:rsidR="00C1188C" w:rsidRPr="00BA4F0F" w:rsidRDefault="00C1188C" w:rsidP="004871F2">
            <w:pPr>
              <w:ind w:firstLine="0"/>
              <w:rPr>
                <w:rFonts w:cs="Times New Roman"/>
              </w:rPr>
            </w:pPr>
            <w:r w:rsidRPr="00BA4F0F">
              <w:rPr>
                <w:rFonts w:cs="Times New Roman"/>
              </w:rPr>
              <w:t>Х</w:t>
            </w:r>
          </w:p>
        </w:tc>
        <w:tc>
          <w:tcPr>
            <w:tcW w:w="1129" w:type="dxa"/>
          </w:tcPr>
          <w:p w14:paraId="29B66CAC" w14:textId="77777777" w:rsidR="00C1188C" w:rsidRPr="00BA4F0F" w:rsidRDefault="00C1188C" w:rsidP="004871F2">
            <w:pPr>
              <w:ind w:firstLine="0"/>
              <w:rPr>
                <w:rFonts w:cs="Times New Roman"/>
              </w:rPr>
            </w:pPr>
            <w:r w:rsidRPr="00BA4F0F">
              <w:rPr>
                <w:rFonts w:cs="Times New Roman"/>
              </w:rPr>
              <w:t>Х</w:t>
            </w:r>
          </w:p>
        </w:tc>
        <w:tc>
          <w:tcPr>
            <w:tcW w:w="1132" w:type="dxa"/>
          </w:tcPr>
          <w:p w14:paraId="5673C17F" w14:textId="77777777" w:rsidR="00C1188C" w:rsidRPr="00BA4F0F" w:rsidRDefault="00C1188C" w:rsidP="004871F2">
            <w:pPr>
              <w:ind w:firstLine="0"/>
              <w:rPr>
                <w:rFonts w:cs="Times New Roman"/>
              </w:rPr>
            </w:pPr>
            <w:r w:rsidRPr="00BA4F0F">
              <w:rPr>
                <w:rFonts w:cs="Times New Roman"/>
              </w:rPr>
              <w:t>Х</w:t>
            </w:r>
          </w:p>
        </w:tc>
        <w:tc>
          <w:tcPr>
            <w:tcW w:w="1133" w:type="dxa"/>
          </w:tcPr>
          <w:p w14:paraId="31D31C20" w14:textId="77777777" w:rsidR="00C1188C" w:rsidRPr="00BA4F0F" w:rsidRDefault="00C1188C" w:rsidP="004871F2">
            <w:pPr>
              <w:ind w:firstLine="0"/>
              <w:rPr>
                <w:rFonts w:cs="Times New Roman"/>
              </w:rPr>
            </w:pPr>
            <w:r w:rsidRPr="00BA4F0F">
              <w:rPr>
                <w:rFonts w:cs="Times New Roman"/>
              </w:rPr>
              <w:t>Х</w:t>
            </w:r>
          </w:p>
        </w:tc>
        <w:tc>
          <w:tcPr>
            <w:tcW w:w="1133" w:type="dxa"/>
          </w:tcPr>
          <w:p w14:paraId="0AEABC30" w14:textId="77777777" w:rsidR="00C1188C" w:rsidRPr="00BA4F0F" w:rsidRDefault="00C1188C" w:rsidP="004871F2">
            <w:pPr>
              <w:ind w:firstLine="0"/>
              <w:rPr>
                <w:rFonts w:cs="Times New Roman"/>
              </w:rPr>
            </w:pPr>
          </w:p>
        </w:tc>
      </w:tr>
      <w:tr w:rsidR="00C1188C" w:rsidRPr="00BA4F0F" w14:paraId="3FAB6CC4" w14:textId="77777777" w:rsidTr="005A428D">
        <w:trPr>
          <w:jc w:val="center"/>
        </w:trPr>
        <w:tc>
          <w:tcPr>
            <w:tcW w:w="1651" w:type="dxa"/>
          </w:tcPr>
          <w:p w14:paraId="0983655D" w14:textId="77777777" w:rsidR="00C1188C" w:rsidRPr="00BA4F0F" w:rsidRDefault="00C1188C" w:rsidP="004871F2">
            <w:pPr>
              <w:ind w:firstLine="0"/>
              <w:rPr>
                <w:rFonts w:cs="Times New Roman"/>
              </w:rPr>
            </w:pPr>
            <w:r w:rsidRPr="00BA4F0F">
              <w:rPr>
                <w:rFonts w:cs="Times New Roman"/>
              </w:rPr>
              <w:t>Плериксафор, 240 мкг/кг</w:t>
            </w:r>
          </w:p>
        </w:tc>
        <w:tc>
          <w:tcPr>
            <w:tcW w:w="1133" w:type="dxa"/>
          </w:tcPr>
          <w:p w14:paraId="10D45158" w14:textId="77777777" w:rsidR="00C1188C" w:rsidRPr="00BA4F0F" w:rsidRDefault="00C1188C" w:rsidP="004871F2">
            <w:pPr>
              <w:ind w:firstLine="0"/>
              <w:rPr>
                <w:rFonts w:cs="Times New Roman"/>
              </w:rPr>
            </w:pPr>
          </w:p>
        </w:tc>
        <w:tc>
          <w:tcPr>
            <w:tcW w:w="1129" w:type="dxa"/>
          </w:tcPr>
          <w:p w14:paraId="3C41450E" w14:textId="77777777" w:rsidR="00C1188C" w:rsidRPr="00BA4F0F" w:rsidRDefault="00C1188C" w:rsidP="004871F2">
            <w:pPr>
              <w:ind w:firstLine="0"/>
              <w:rPr>
                <w:rFonts w:cs="Times New Roman"/>
              </w:rPr>
            </w:pPr>
          </w:p>
        </w:tc>
        <w:tc>
          <w:tcPr>
            <w:tcW w:w="1129" w:type="dxa"/>
          </w:tcPr>
          <w:p w14:paraId="2F030ABF" w14:textId="77777777" w:rsidR="00C1188C" w:rsidRPr="00BA4F0F" w:rsidRDefault="00C1188C" w:rsidP="004871F2">
            <w:pPr>
              <w:ind w:firstLine="0"/>
              <w:rPr>
                <w:rFonts w:cs="Times New Roman"/>
              </w:rPr>
            </w:pPr>
          </w:p>
        </w:tc>
        <w:tc>
          <w:tcPr>
            <w:tcW w:w="1132" w:type="dxa"/>
          </w:tcPr>
          <w:p w14:paraId="22C00101" w14:textId="77777777" w:rsidR="00C1188C" w:rsidRPr="00BA4F0F" w:rsidRDefault="00C1188C" w:rsidP="004871F2">
            <w:pPr>
              <w:ind w:firstLine="0"/>
              <w:rPr>
                <w:rFonts w:cs="Times New Roman"/>
              </w:rPr>
            </w:pPr>
            <w:r w:rsidRPr="00BA4F0F">
              <w:rPr>
                <w:rFonts w:cs="Times New Roman"/>
              </w:rPr>
              <w:t>Х</w:t>
            </w:r>
          </w:p>
        </w:tc>
        <w:tc>
          <w:tcPr>
            <w:tcW w:w="1133" w:type="dxa"/>
          </w:tcPr>
          <w:p w14:paraId="3AF33F02" w14:textId="77777777" w:rsidR="00C1188C" w:rsidRPr="00BA4F0F" w:rsidRDefault="00C1188C" w:rsidP="004871F2">
            <w:pPr>
              <w:ind w:firstLine="0"/>
              <w:rPr>
                <w:rFonts w:cs="Times New Roman"/>
              </w:rPr>
            </w:pPr>
            <w:r w:rsidRPr="00BA4F0F">
              <w:rPr>
                <w:rFonts w:cs="Times New Roman"/>
              </w:rPr>
              <w:t>(Х)</w:t>
            </w:r>
          </w:p>
        </w:tc>
        <w:tc>
          <w:tcPr>
            <w:tcW w:w="1133" w:type="dxa"/>
          </w:tcPr>
          <w:p w14:paraId="20C4F9AF" w14:textId="77777777" w:rsidR="00C1188C" w:rsidRPr="00BA4F0F" w:rsidRDefault="00C1188C" w:rsidP="004871F2">
            <w:pPr>
              <w:ind w:firstLine="0"/>
              <w:rPr>
                <w:rFonts w:cs="Times New Roman"/>
              </w:rPr>
            </w:pPr>
          </w:p>
        </w:tc>
      </w:tr>
      <w:tr w:rsidR="00C1188C" w:rsidRPr="00BA4F0F" w14:paraId="58F7C3B0" w14:textId="77777777" w:rsidTr="005A428D">
        <w:trPr>
          <w:jc w:val="center"/>
        </w:trPr>
        <w:tc>
          <w:tcPr>
            <w:tcW w:w="1651" w:type="dxa"/>
          </w:tcPr>
          <w:p w14:paraId="2E786BE7" w14:textId="77777777" w:rsidR="00C1188C" w:rsidRPr="00BA4F0F" w:rsidRDefault="00C1188C" w:rsidP="004871F2">
            <w:pPr>
              <w:ind w:firstLine="0"/>
              <w:rPr>
                <w:rFonts w:cs="Times New Roman"/>
              </w:rPr>
            </w:pPr>
            <w:r w:rsidRPr="00BA4F0F">
              <w:rPr>
                <w:rFonts w:cs="Times New Roman"/>
              </w:rPr>
              <w:t>Лейкаферез</w:t>
            </w:r>
          </w:p>
        </w:tc>
        <w:tc>
          <w:tcPr>
            <w:tcW w:w="1133" w:type="dxa"/>
          </w:tcPr>
          <w:p w14:paraId="5CD04872" w14:textId="77777777" w:rsidR="00C1188C" w:rsidRPr="00BA4F0F" w:rsidRDefault="00C1188C" w:rsidP="004871F2">
            <w:pPr>
              <w:ind w:firstLine="0"/>
              <w:rPr>
                <w:rFonts w:cs="Times New Roman"/>
              </w:rPr>
            </w:pPr>
          </w:p>
        </w:tc>
        <w:tc>
          <w:tcPr>
            <w:tcW w:w="1129" w:type="dxa"/>
          </w:tcPr>
          <w:p w14:paraId="3D781ADA" w14:textId="77777777" w:rsidR="00C1188C" w:rsidRPr="00BA4F0F" w:rsidRDefault="00C1188C" w:rsidP="004871F2">
            <w:pPr>
              <w:ind w:firstLine="0"/>
              <w:rPr>
                <w:rFonts w:cs="Times New Roman"/>
              </w:rPr>
            </w:pPr>
          </w:p>
        </w:tc>
        <w:tc>
          <w:tcPr>
            <w:tcW w:w="1129" w:type="dxa"/>
          </w:tcPr>
          <w:p w14:paraId="43AAE414" w14:textId="77777777" w:rsidR="00C1188C" w:rsidRPr="00BA4F0F" w:rsidRDefault="00C1188C" w:rsidP="004871F2">
            <w:pPr>
              <w:ind w:firstLine="0"/>
              <w:rPr>
                <w:rFonts w:cs="Times New Roman"/>
              </w:rPr>
            </w:pPr>
          </w:p>
        </w:tc>
        <w:tc>
          <w:tcPr>
            <w:tcW w:w="1132" w:type="dxa"/>
          </w:tcPr>
          <w:p w14:paraId="0DFCA6AA" w14:textId="77777777" w:rsidR="00C1188C" w:rsidRPr="00BA4F0F" w:rsidRDefault="00C1188C" w:rsidP="004871F2">
            <w:pPr>
              <w:ind w:firstLine="0"/>
              <w:rPr>
                <w:rFonts w:cs="Times New Roman"/>
              </w:rPr>
            </w:pPr>
          </w:p>
        </w:tc>
        <w:tc>
          <w:tcPr>
            <w:tcW w:w="1133" w:type="dxa"/>
          </w:tcPr>
          <w:p w14:paraId="3092819B" w14:textId="77777777" w:rsidR="00C1188C" w:rsidRPr="00BA4F0F" w:rsidRDefault="00C1188C" w:rsidP="004871F2">
            <w:pPr>
              <w:ind w:firstLine="0"/>
              <w:rPr>
                <w:rFonts w:cs="Times New Roman"/>
                <w:lang w:val="en-US"/>
              </w:rPr>
            </w:pPr>
            <w:r w:rsidRPr="00BA4F0F">
              <w:rPr>
                <w:rFonts w:cs="Times New Roman"/>
                <w:lang w:val="en-US"/>
              </w:rPr>
              <w:t>V</w:t>
            </w:r>
          </w:p>
        </w:tc>
        <w:tc>
          <w:tcPr>
            <w:tcW w:w="1133" w:type="dxa"/>
          </w:tcPr>
          <w:p w14:paraId="7F82D379" w14:textId="77777777" w:rsidR="00C1188C" w:rsidRPr="00BA4F0F" w:rsidRDefault="00C1188C" w:rsidP="004871F2">
            <w:pPr>
              <w:ind w:firstLine="0"/>
              <w:rPr>
                <w:rFonts w:cs="Times New Roman"/>
                <w:lang w:val="en-US"/>
              </w:rPr>
            </w:pPr>
            <w:r w:rsidRPr="00BA4F0F">
              <w:rPr>
                <w:rFonts w:cs="Times New Roman"/>
                <w:lang w:val="en-US"/>
              </w:rPr>
              <w:t>V</w:t>
            </w:r>
          </w:p>
        </w:tc>
      </w:tr>
    </w:tbl>
    <w:p w14:paraId="341B2528" w14:textId="77777777" w:rsidR="00C1188C" w:rsidRPr="00BA4F0F" w:rsidRDefault="00C1188C" w:rsidP="00C1188C">
      <w:pPr>
        <w:pStyle w:val="11"/>
        <w:spacing w:before="0"/>
        <w:ind w:left="840"/>
      </w:pPr>
    </w:p>
    <w:p w14:paraId="106D50CB" w14:textId="77777777" w:rsidR="00C1188C" w:rsidRPr="00BA4F0F" w:rsidRDefault="00C1188C" w:rsidP="00C1188C">
      <w:pPr>
        <w:pStyle w:val="afe"/>
        <w:ind w:left="0"/>
        <w:rPr>
          <w:rFonts w:cs="Times New Roman"/>
          <w:szCs w:val="24"/>
          <w:u w:val="single"/>
        </w:rPr>
      </w:pPr>
      <w:bookmarkStart w:id="110" w:name="_Toc44926608"/>
      <w:r w:rsidRPr="00BA4F0F">
        <w:rPr>
          <w:rFonts w:cs="Times New Roman"/>
          <w:szCs w:val="24"/>
          <w:u w:val="single"/>
        </w:rPr>
        <w:t>Сравнительная характеристика режимов мобилизации ГСК</w:t>
      </w:r>
      <w:bookmarkEnd w:id="110"/>
    </w:p>
    <w:p w14:paraId="4CC12661" w14:textId="77777777" w:rsidR="00C1188C" w:rsidRPr="00BA4F0F" w:rsidRDefault="00C1188C" w:rsidP="00C1188C">
      <w:pPr>
        <w:rPr>
          <w:rFonts w:cs="Times New Roman"/>
          <w:szCs w:val="24"/>
        </w:rPr>
      </w:pPr>
      <w:r w:rsidRPr="00BA4F0F">
        <w:rPr>
          <w:rFonts w:cs="Times New Roman"/>
          <w:szCs w:val="24"/>
        </w:rPr>
        <w:t xml:space="preserve">Проспективных рандомизированных исследований, сравнивающих методы мобилизации (только ростовой фактор или сочетание Г-КСФ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28EA3EA4" w14:textId="77777777" w:rsidR="00C1188C" w:rsidRPr="00BA4F0F" w:rsidRDefault="00C1188C" w:rsidP="00C1188C">
      <w:pPr>
        <w:rPr>
          <w:rFonts w:cs="Times New Roman"/>
          <w:szCs w:val="24"/>
        </w:rPr>
      </w:pPr>
      <w:r w:rsidRPr="00BA4F0F">
        <w:rPr>
          <w:rFonts w:cs="Times New Roman"/>
          <w:szCs w:val="24"/>
        </w:rPr>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4). Так, при использовании Г-КСФ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с кардиальной патологией. </w:t>
      </w:r>
    </w:p>
    <w:p w14:paraId="3D71E688" w14:textId="77777777" w:rsidR="00C1188C" w:rsidRPr="00BA4F0F" w:rsidRDefault="00C1188C" w:rsidP="00C1188C">
      <w:pPr>
        <w:rPr>
          <w:rFonts w:cs="Times New Roman"/>
          <w:szCs w:val="24"/>
        </w:rPr>
      </w:pPr>
      <w:r w:rsidRPr="00BA4F0F">
        <w:rPr>
          <w:rFonts w:cs="Times New Roman"/>
          <w:szCs w:val="24"/>
        </w:rPr>
        <w:t xml:space="preserve">Но у больных с длительным анамнезом лечения велика вероятность неудовлетворительного результата сбора ГСК. Использование режима «ХТ+ Г-КСФ»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55A5B7C9" w14:textId="77777777" w:rsidR="00C1188C" w:rsidRPr="00BA4F0F" w:rsidRDefault="00C1188C" w:rsidP="00C1188C">
      <w:pPr>
        <w:rPr>
          <w:rFonts w:cs="Times New Roman"/>
          <w:szCs w:val="24"/>
        </w:rPr>
      </w:pPr>
    </w:p>
    <w:p w14:paraId="518885B1" w14:textId="77777777" w:rsidR="00C1188C" w:rsidRPr="00BA4F0F" w:rsidRDefault="00C1188C" w:rsidP="00C1188C">
      <w:pPr>
        <w:rPr>
          <w:rFonts w:cs="Times New Roman"/>
          <w:szCs w:val="24"/>
        </w:rPr>
      </w:pPr>
      <w:r w:rsidRPr="00BA4F0F">
        <w:rPr>
          <w:rFonts w:cs="Times New Roman"/>
          <w:szCs w:val="24"/>
        </w:rPr>
        <w:t>Таблица 4. Сравнительная характеристика режимов мобилизации ГСК</w:t>
      </w:r>
    </w:p>
    <w:tbl>
      <w:tblPr>
        <w:tblStyle w:val="1f3"/>
        <w:tblW w:w="0" w:type="auto"/>
        <w:tblInd w:w="108" w:type="dxa"/>
        <w:tblLook w:val="04A0" w:firstRow="1" w:lastRow="0" w:firstColumn="1" w:lastColumn="0" w:noHBand="0" w:noVBand="1"/>
      </w:tblPr>
      <w:tblGrid>
        <w:gridCol w:w="1800"/>
        <w:gridCol w:w="3640"/>
        <w:gridCol w:w="3231"/>
      </w:tblGrid>
      <w:tr w:rsidR="00C1188C" w:rsidRPr="00BA4F0F" w14:paraId="4A638300" w14:textId="77777777" w:rsidTr="005A428D">
        <w:trPr>
          <w:trHeight w:val="896"/>
        </w:trPr>
        <w:tc>
          <w:tcPr>
            <w:tcW w:w="1843" w:type="dxa"/>
          </w:tcPr>
          <w:p w14:paraId="7D7DB1D0" w14:textId="77777777" w:rsidR="00C1188C" w:rsidRPr="00BA4F0F" w:rsidRDefault="00C1188C" w:rsidP="004871F2">
            <w:pPr>
              <w:ind w:firstLine="0"/>
              <w:rPr>
                <w:rFonts w:cs="Times New Roman"/>
              </w:rPr>
            </w:pPr>
            <w:r w:rsidRPr="00BA4F0F">
              <w:rPr>
                <w:rFonts w:cs="Times New Roman"/>
                <w:b/>
                <w:bCs/>
              </w:rPr>
              <w:t>Режим мобилизации</w:t>
            </w:r>
          </w:p>
        </w:tc>
        <w:tc>
          <w:tcPr>
            <w:tcW w:w="3969" w:type="dxa"/>
          </w:tcPr>
          <w:p w14:paraId="5A1B6296" w14:textId="77777777" w:rsidR="00C1188C" w:rsidRPr="00BA4F0F" w:rsidRDefault="00C1188C" w:rsidP="004871F2">
            <w:pPr>
              <w:ind w:left="720" w:firstLine="0"/>
              <w:contextualSpacing/>
              <w:rPr>
                <w:rFonts w:cs="Times New Roman"/>
              </w:rPr>
            </w:pPr>
            <w:r w:rsidRPr="00BA4F0F">
              <w:rPr>
                <w:rFonts w:cs="Times New Roman"/>
                <w:b/>
                <w:bCs/>
              </w:rPr>
              <w:t>Преимущества</w:t>
            </w:r>
          </w:p>
        </w:tc>
        <w:tc>
          <w:tcPr>
            <w:tcW w:w="3544" w:type="dxa"/>
          </w:tcPr>
          <w:p w14:paraId="67A1EF3A" w14:textId="77777777" w:rsidR="00C1188C" w:rsidRPr="00BA4F0F" w:rsidRDefault="00C1188C" w:rsidP="004871F2">
            <w:pPr>
              <w:ind w:left="720" w:firstLine="0"/>
              <w:contextualSpacing/>
              <w:rPr>
                <w:rFonts w:cs="Times New Roman"/>
              </w:rPr>
            </w:pPr>
            <w:r w:rsidRPr="00BA4F0F">
              <w:rPr>
                <w:rFonts w:cs="Times New Roman"/>
                <w:b/>
                <w:bCs/>
              </w:rPr>
              <w:t>Недостатки</w:t>
            </w:r>
          </w:p>
        </w:tc>
      </w:tr>
      <w:tr w:rsidR="00C1188C" w:rsidRPr="00BA4F0F" w14:paraId="2F6D4046" w14:textId="77777777" w:rsidTr="005A428D">
        <w:tc>
          <w:tcPr>
            <w:tcW w:w="1843" w:type="dxa"/>
          </w:tcPr>
          <w:p w14:paraId="66A5654C" w14:textId="77777777" w:rsidR="00C1188C" w:rsidRPr="00BA4F0F" w:rsidRDefault="00C1188C" w:rsidP="004871F2">
            <w:pPr>
              <w:ind w:firstLine="0"/>
              <w:rPr>
                <w:rFonts w:cs="Times New Roman"/>
                <w:b/>
              </w:rPr>
            </w:pPr>
            <w:r w:rsidRPr="00BA4F0F">
              <w:rPr>
                <w:rFonts w:cs="Times New Roman"/>
                <w:b/>
              </w:rPr>
              <w:t>Г-КСФ в монорежиме</w:t>
            </w:r>
          </w:p>
        </w:tc>
        <w:tc>
          <w:tcPr>
            <w:tcW w:w="3969" w:type="dxa"/>
          </w:tcPr>
          <w:p w14:paraId="722C0DB1" w14:textId="77777777" w:rsidR="00C1188C" w:rsidRPr="00BA4F0F" w:rsidRDefault="00C1188C" w:rsidP="004871F2">
            <w:pPr>
              <w:ind w:firstLine="0"/>
              <w:rPr>
                <w:rFonts w:cs="Times New Roman"/>
              </w:rPr>
            </w:pPr>
            <w:r w:rsidRPr="00BA4F0F">
              <w:rPr>
                <w:rFonts w:cs="Times New Roman"/>
              </w:rPr>
              <w:t>Уменьшение сроков госпитализации, четко планируемые сроки лейкаферезов, отсутствие антибиотикотерапии, заместительной трансфузионной терапии</w:t>
            </w:r>
          </w:p>
          <w:p w14:paraId="1F162D86" w14:textId="77777777" w:rsidR="00C1188C" w:rsidRPr="00BA4F0F" w:rsidRDefault="00C1188C" w:rsidP="004871F2">
            <w:pPr>
              <w:ind w:firstLine="0"/>
              <w:rPr>
                <w:rFonts w:cs="Times New Roman"/>
              </w:rPr>
            </w:pPr>
          </w:p>
        </w:tc>
        <w:tc>
          <w:tcPr>
            <w:tcW w:w="3544" w:type="dxa"/>
          </w:tcPr>
          <w:p w14:paraId="30DD28A6" w14:textId="77777777" w:rsidR="00C1188C" w:rsidRPr="00BA4F0F" w:rsidRDefault="00C1188C" w:rsidP="004871F2">
            <w:pPr>
              <w:ind w:firstLine="0"/>
              <w:rPr>
                <w:rFonts w:cs="Times New Roman"/>
              </w:rPr>
            </w:pPr>
            <w:r w:rsidRPr="00BA4F0F">
              <w:rPr>
                <w:rFonts w:cs="Times New Roman"/>
              </w:rPr>
              <w:t>Неэффективна у предлеченных больных</w:t>
            </w:r>
          </w:p>
        </w:tc>
      </w:tr>
      <w:tr w:rsidR="00C1188C" w:rsidRPr="00BA4F0F" w14:paraId="78A18EA3" w14:textId="77777777" w:rsidTr="005A428D">
        <w:tc>
          <w:tcPr>
            <w:tcW w:w="1843" w:type="dxa"/>
          </w:tcPr>
          <w:p w14:paraId="0D477A5A" w14:textId="77777777" w:rsidR="00C1188C" w:rsidRPr="00BA4F0F" w:rsidRDefault="00C1188C" w:rsidP="004871F2">
            <w:pPr>
              <w:ind w:firstLine="0"/>
              <w:rPr>
                <w:rFonts w:cs="Times New Roman"/>
                <w:b/>
              </w:rPr>
            </w:pPr>
            <w:r w:rsidRPr="00BA4F0F">
              <w:rPr>
                <w:rFonts w:cs="Times New Roman"/>
                <w:b/>
              </w:rPr>
              <w:t>ХТ+ Г-КСФ</w:t>
            </w:r>
          </w:p>
        </w:tc>
        <w:tc>
          <w:tcPr>
            <w:tcW w:w="3969" w:type="dxa"/>
          </w:tcPr>
          <w:p w14:paraId="0A2D75A9" w14:textId="77777777" w:rsidR="00C1188C" w:rsidRPr="00BA4F0F" w:rsidRDefault="00C1188C" w:rsidP="004871F2">
            <w:pPr>
              <w:ind w:firstLine="0"/>
              <w:rPr>
                <w:rFonts w:cs="Times New Roman"/>
              </w:rPr>
            </w:pPr>
            <w:r w:rsidRPr="00BA4F0F">
              <w:rPr>
                <w:rFonts w:cs="Times New Roman"/>
              </w:rPr>
              <w:t>Высокая эффективность  мобилизации</w:t>
            </w:r>
          </w:p>
        </w:tc>
        <w:tc>
          <w:tcPr>
            <w:tcW w:w="3544" w:type="dxa"/>
          </w:tcPr>
          <w:p w14:paraId="0D079942" w14:textId="77777777" w:rsidR="00C1188C" w:rsidRPr="00BA4F0F" w:rsidRDefault="00C1188C" w:rsidP="004871F2">
            <w:pPr>
              <w:ind w:firstLine="0"/>
              <w:rPr>
                <w:rFonts w:cs="Times New Roman"/>
              </w:rPr>
            </w:pPr>
            <w:r w:rsidRPr="00BA4F0F">
              <w:rPr>
                <w:rFonts w:cs="Times New Roman"/>
              </w:rPr>
              <w:t>Цитопения</w:t>
            </w:r>
          </w:p>
          <w:p w14:paraId="778F29AD" w14:textId="77777777" w:rsidR="00C1188C" w:rsidRPr="00BA4F0F" w:rsidRDefault="00C1188C" w:rsidP="004871F2">
            <w:pPr>
              <w:ind w:firstLine="0"/>
              <w:rPr>
                <w:rFonts w:cs="Times New Roman"/>
              </w:rPr>
            </w:pPr>
            <w:r w:rsidRPr="00BA4F0F">
              <w:rPr>
                <w:rFonts w:cs="Times New Roman"/>
              </w:rPr>
              <w:t xml:space="preserve">Инфекционные осложнения </w:t>
            </w:r>
          </w:p>
          <w:p w14:paraId="4A3ED499" w14:textId="77777777" w:rsidR="00C1188C" w:rsidRPr="00BA4F0F" w:rsidRDefault="00C1188C" w:rsidP="004871F2">
            <w:pPr>
              <w:ind w:firstLine="0"/>
              <w:rPr>
                <w:rFonts w:cs="Times New Roman"/>
              </w:rPr>
            </w:pPr>
            <w:r w:rsidRPr="00BA4F0F">
              <w:rPr>
                <w:rFonts w:cs="Times New Roman"/>
              </w:rPr>
              <w:t>Трансфузии компонентов крови</w:t>
            </w:r>
          </w:p>
          <w:p w14:paraId="676ECA12" w14:textId="77777777" w:rsidR="00C1188C" w:rsidRPr="00BA4F0F" w:rsidRDefault="00C1188C" w:rsidP="004871F2">
            <w:pPr>
              <w:ind w:firstLine="0"/>
              <w:rPr>
                <w:rFonts w:cs="Times New Roman"/>
              </w:rPr>
            </w:pPr>
            <w:r w:rsidRPr="00BA4F0F">
              <w:rPr>
                <w:rFonts w:cs="Times New Roman"/>
              </w:rPr>
              <w:t>Нет четкого планирования сроков лейкаферезов</w:t>
            </w:r>
          </w:p>
          <w:p w14:paraId="204B023D" w14:textId="77777777" w:rsidR="00C1188C" w:rsidRPr="00BA4F0F" w:rsidRDefault="00C1188C" w:rsidP="004871F2">
            <w:pPr>
              <w:ind w:firstLine="0"/>
              <w:rPr>
                <w:rFonts w:cs="Times New Roman"/>
              </w:rPr>
            </w:pPr>
            <w:r w:rsidRPr="00BA4F0F">
              <w:rPr>
                <w:rFonts w:cs="Times New Roman"/>
              </w:rPr>
              <w:t>Небезопасна при коморбидности</w:t>
            </w:r>
          </w:p>
        </w:tc>
      </w:tr>
    </w:tbl>
    <w:p w14:paraId="68E9F10F" w14:textId="77777777" w:rsidR="00C1188C" w:rsidRPr="00BA4F0F" w:rsidRDefault="00C1188C" w:rsidP="00C1188C">
      <w:pPr>
        <w:rPr>
          <w:rFonts w:cs="Times New Roman"/>
          <w:i/>
          <w:szCs w:val="24"/>
        </w:rPr>
      </w:pPr>
      <w:r w:rsidRPr="00BA4F0F">
        <w:rPr>
          <w:rFonts w:cs="Times New Roman"/>
          <w:i/>
          <w:szCs w:val="24"/>
        </w:rPr>
        <w:t>ХТ – химиотерапия, ЛЛТ – локальная лучевая терапия</w:t>
      </w:r>
    </w:p>
    <w:p w14:paraId="71D1B160" w14:textId="77777777" w:rsidR="00C1188C" w:rsidRPr="00BA4F0F" w:rsidRDefault="00C1188C" w:rsidP="00C1188C">
      <w:pPr>
        <w:rPr>
          <w:rFonts w:cs="Times New Roman"/>
          <w:szCs w:val="24"/>
        </w:rPr>
      </w:pPr>
      <w:r w:rsidRPr="00BA4F0F">
        <w:rPr>
          <w:rFonts w:cs="Times New Roman"/>
          <w:szCs w:val="24"/>
        </w:rPr>
        <w:t xml:space="preserve">Продолжаются многочисленные исследования, направленные на оптимизацию режимов мобилизации стволовых клеток, обсуждаются возможности применения новых ростовых факторов, апробируются различные дозы цитостатических препаратов. </w:t>
      </w:r>
    </w:p>
    <w:p w14:paraId="148EA36B" w14:textId="77777777" w:rsidR="00C1188C" w:rsidRPr="00BA4F0F" w:rsidRDefault="00C1188C" w:rsidP="00C1188C">
      <w:pPr>
        <w:rPr>
          <w:rFonts w:cs="Times New Roman"/>
          <w:szCs w:val="24"/>
        </w:rPr>
      </w:pPr>
      <w:bookmarkStart w:id="111" w:name="_Toc44926609"/>
    </w:p>
    <w:p w14:paraId="3F1FF6F2" w14:textId="77777777" w:rsidR="00C1188C" w:rsidRPr="00BA4F0F" w:rsidRDefault="00C1188C" w:rsidP="00C1188C">
      <w:pPr>
        <w:rPr>
          <w:rFonts w:cs="Times New Roman"/>
          <w:b/>
          <w:szCs w:val="24"/>
        </w:rPr>
      </w:pPr>
      <w:r w:rsidRPr="00BA4F0F">
        <w:rPr>
          <w:rFonts w:cs="Times New Roman"/>
          <w:b/>
          <w:szCs w:val="24"/>
        </w:rPr>
        <w:t>Особенности сопроводительной терапии при мобилизации ГСК</w:t>
      </w:r>
      <w:bookmarkEnd w:id="111"/>
    </w:p>
    <w:p w14:paraId="485168CC" w14:textId="77777777" w:rsidR="00C1188C" w:rsidRPr="00BA4F0F" w:rsidRDefault="00C1188C" w:rsidP="00C1188C">
      <w:pPr>
        <w:pStyle w:val="afe"/>
        <w:ind w:left="0"/>
        <w:rPr>
          <w:rFonts w:cs="Times New Roman"/>
          <w:szCs w:val="24"/>
          <w:u w:val="single"/>
        </w:rPr>
      </w:pPr>
      <w:r w:rsidRPr="00BA4F0F">
        <w:rPr>
          <w:rFonts w:cs="Times New Roman"/>
          <w:szCs w:val="24"/>
          <w:u w:val="single"/>
        </w:rPr>
        <w:t>Г-КСФ в монорежиме и Г-КСФ в сочетании с плериксафором</w:t>
      </w:r>
    </w:p>
    <w:p w14:paraId="762E2D80"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Если есть сложности с доступом к периферическим венам, перед началом сбора ГСК устанавливается перфузионный катетер в центральную вену;</w:t>
      </w:r>
    </w:p>
    <w:p w14:paraId="64948E12"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С целью профилактики тромботических осложнений проводится введение низкомолекулярных гепаринов (эноксапарин 40 мг или эквивалент) в профилактической дозе подкожно один раз в сутки на фоне введения Г-КСФ и в течение 2-3 суток после его отмены;</w:t>
      </w:r>
    </w:p>
    <w:p w14:paraId="321B2B12"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 xml:space="preserve">Адекватное обезболивание при болевом синдроме в костях, вызванном введением Г-КСФ. Предпочтение отдается наркотическим аналгетикам (промедол 10 мг в/в, трамадол 100 мг в/в, фентанил 25 мкг/час трансдермально), при отсутствии миелотксического агранулоцитоза возможно использование нестероидных противовоспалительных препаратов. </w:t>
      </w:r>
    </w:p>
    <w:p w14:paraId="575025E8" w14:textId="77777777" w:rsidR="00C1188C" w:rsidRPr="00BA4F0F" w:rsidRDefault="00C1188C" w:rsidP="00C1188C">
      <w:pPr>
        <w:rPr>
          <w:rFonts w:cs="Times New Roman"/>
          <w:b/>
          <w:i/>
          <w:szCs w:val="24"/>
        </w:rPr>
      </w:pPr>
    </w:p>
    <w:p w14:paraId="38CB235A" w14:textId="77777777" w:rsidR="00C1188C" w:rsidRPr="00BA4F0F" w:rsidRDefault="00C1188C" w:rsidP="00C1188C">
      <w:pPr>
        <w:pStyle w:val="afe"/>
        <w:ind w:left="0"/>
        <w:rPr>
          <w:rFonts w:cs="Times New Roman"/>
          <w:szCs w:val="24"/>
          <w:u w:val="single"/>
        </w:rPr>
      </w:pPr>
      <w:r w:rsidRPr="00BA4F0F">
        <w:rPr>
          <w:rFonts w:cs="Times New Roman"/>
          <w:szCs w:val="24"/>
          <w:u w:val="single"/>
        </w:rPr>
        <w:t>Режим «ХТ + Г-КСФ»</w:t>
      </w:r>
    </w:p>
    <w:p w14:paraId="64180704"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08D1FDB2"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Круглосуточное введение гепарина с целью профилактики тромботических осложнений. Начальная доза гепарина 12 000 ЕД/сут., далее - под контролем АЧТВ (АЧТВ 1,5-2 нормы);</w:t>
      </w:r>
    </w:p>
    <w:p w14:paraId="7AFE55F3"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Введение химиопрепаратов сопровождается массивной гидратацией из расчета 1,5-3 л/м</w:t>
      </w:r>
      <w:r w:rsidRPr="00BA4F0F">
        <w:rPr>
          <w:rFonts w:cs="Times New Roman"/>
          <w:szCs w:val="24"/>
          <w:vertAlign w:val="superscript"/>
        </w:rPr>
        <w:t>2</w:t>
      </w:r>
      <w:r w:rsidRPr="00BA4F0F">
        <w:rPr>
          <w:rFonts w:cs="Times New Roman"/>
          <w:szCs w:val="24"/>
        </w:rPr>
        <w:t>, гипоурикемической терапией аллопуринолом 400 - 600 мг/сут. (за исключением схем, содержащих метотрексат), диуретической терапией (фуросемид 20 мг болюсно 3 р/сут)</w:t>
      </w:r>
    </w:p>
    <w:p w14:paraId="0A3445A4"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При наличии в схеме ХТ ифосфамида, циклофосфамида для защиты слизистой мочевого пузыря и мочевыводящих путей назначается уромитексан в дозе 2,4 г/м</w:t>
      </w:r>
      <w:r w:rsidRPr="00BA4F0F">
        <w:rPr>
          <w:rFonts w:cs="Times New Roman"/>
          <w:szCs w:val="24"/>
          <w:vertAlign w:val="superscript"/>
        </w:rPr>
        <w:t>2</w:t>
      </w:r>
      <w:r w:rsidRPr="00BA4F0F">
        <w:rPr>
          <w:rFonts w:cs="Times New Roman"/>
          <w:szCs w:val="24"/>
        </w:rPr>
        <w:t xml:space="preserve"> круглосуточно в день введения цитостатика;</w:t>
      </w:r>
    </w:p>
    <w:p w14:paraId="12604985"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При наличии в схеме ХТ метотрексата через 12 ч. после окончания его введения назначается лейковорин в дозе 25 мг внутрь и внутривенно 6 раз в сутки 4 дня или до достижения концентрации метотрексата в крови менее 0,1 мкмоль/л.</w:t>
      </w:r>
    </w:p>
    <w:p w14:paraId="12F13BDA"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Противосудорожная профилактика, если применяется бусульфан, циклофосфан (карбамазепин 200 мг+ диазепам 10 мг);</w:t>
      </w:r>
    </w:p>
    <w:p w14:paraId="4B91C714"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Противорвотная терапия по стандартным схемам (ондансетрон 8 мг, метоклопрамид 10 мг и тд.);</w:t>
      </w:r>
    </w:p>
    <w:p w14:paraId="328F1C8A"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 xml:space="preserve">Противоязвенная терапия по стандартным схемам (омепразол 20 мг или ранитидин 150 мг) </w:t>
      </w:r>
    </w:p>
    <w:p w14:paraId="37469E8B" w14:textId="77777777" w:rsidR="00C1188C" w:rsidRPr="00BA4F0F" w:rsidRDefault="00C1188C" w:rsidP="000768AC">
      <w:pPr>
        <w:numPr>
          <w:ilvl w:val="0"/>
          <w:numId w:val="201"/>
        </w:numPr>
        <w:ind w:left="0" w:firstLine="0"/>
        <w:rPr>
          <w:rFonts w:cs="Times New Roman"/>
          <w:szCs w:val="24"/>
        </w:rPr>
      </w:pPr>
      <w:r w:rsidRPr="00BA4F0F">
        <w:rPr>
          <w:rFonts w:cs="Times New Roman"/>
          <w:szCs w:val="24"/>
        </w:rPr>
        <w:t>Овариопротекция проводится женщинам фертильного возраста по показаниям</w:t>
      </w:r>
    </w:p>
    <w:p w14:paraId="2B3D0E1E" w14:textId="77777777" w:rsidR="00C1188C" w:rsidRPr="00BA4F0F" w:rsidRDefault="00C1188C" w:rsidP="00C1188C">
      <w:pPr>
        <w:rPr>
          <w:rFonts w:cs="Times New Roman"/>
          <w:b/>
          <w:szCs w:val="24"/>
        </w:rPr>
      </w:pPr>
      <w:bookmarkStart w:id="112" w:name="_Toc44926610"/>
    </w:p>
    <w:p w14:paraId="605363A5" w14:textId="77777777" w:rsidR="00C1188C" w:rsidRPr="00BA4F0F" w:rsidRDefault="00C1188C" w:rsidP="00C1188C">
      <w:pPr>
        <w:rPr>
          <w:rFonts w:cs="Times New Roman"/>
          <w:b/>
          <w:szCs w:val="24"/>
        </w:rPr>
      </w:pPr>
      <w:r w:rsidRPr="00BA4F0F">
        <w:rPr>
          <w:rFonts w:cs="Times New Roman"/>
          <w:b/>
          <w:szCs w:val="24"/>
        </w:rPr>
        <w:t>Лейкаферез и криоконсервирование</w:t>
      </w:r>
      <w:bookmarkEnd w:id="112"/>
    </w:p>
    <w:p w14:paraId="7A22AD78" w14:textId="77777777" w:rsidR="00C1188C" w:rsidRPr="00BA4F0F" w:rsidRDefault="00C1188C" w:rsidP="00C1188C">
      <w:pPr>
        <w:pStyle w:val="afe"/>
        <w:ind w:left="0"/>
        <w:rPr>
          <w:rFonts w:cs="Times New Roman"/>
          <w:szCs w:val="24"/>
          <w:u w:val="single"/>
        </w:rPr>
      </w:pPr>
      <w:bookmarkStart w:id="113" w:name="_Toc44926611"/>
      <w:r w:rsidRPr="00BA4F0F">
        <w:rPr>
          <w:rFonts w:cs="Times New Roman"/>
          <w:szCs w:val="24"/>
          <w:u w:val="single"/>
        </w:rPr>
        <w:t>Лейкоцитаферез</w:t>
      </w:r>
      <w:bookmarkEnd w:id="113"/>
    </w:p>
    <w:p w14:paraId="1F65D074" w14:textId="39320C87" w:rsidR="00C1188C" w:rsidRPr="00BA4F0F" w:rsidRDefault="00C1188C" w:rsidP="00C1188C">
      <w:pPr>
        <w:rPr>
          <w:rFonts w:cs="Times New Roman"/>
          <w:szCs w:val="24"/>
        </w:rPr>
      </w:pPr>
      <w:r w:rsidRPr="00BA4F0F">
        <w:rPr>
          <w:rFonts w:cs="Times New Roman"/>
          <w:szCs w:val="24"/>
        </w:rPr>
        <w:t xml:space="preserve">Лейкаферез –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BA4F0F">
        <w:rPr>
          <w:rFonts w:cs="Times New Roman"/>
          <w:szCs w:val="24"/>
        </w:rPr>
        <w:fldChar w:fldCharType="begin" w:fldLock="1"/>
      </w:r>
      <w:r w:rsidR="00B436BD">
        <w:rPr>
          <w:rFonts w:cs="Times New Roman"/>
          <w:szCs w:val="24"/>
        </w:rPr>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dd794081-f883-4721-812b-15ca1118ea10","http://www.mendeley.com/documents/?uuid=e6fbe91e-84b6-4e21-8e03-046ee3f21147","http://www.mendeley.com/documents/?uuid=97018312-9d9b-48d4-8675-1e409d0ed713","http://www.mendeley.com/documents/?uuid=282ee115-b097-474e-a9bb-520be3f26e12","http://www.mendeley.com/documents/?uuid=27217d21-2275-40b2-ad81-407c9211ec51","http://www.mendeley.com/documents/?uuid=caa1a6ba-88e1-4c61-a222-974128ef3624","http://www.mendeley.com/documents/?uuid=3b79c5e9-e873-4ee1-a644-2cc9d177aaa6"]}],"mendeley":{"formattedCitation":"[116]","plainTextFormattedCitation":"[116]","previouslyFormattedCitation":"[116]"},"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[116]</w:t>
      </w:r>
      <w:r w:rsidRPr="00BA4F0F">
        <w:rPr>
          <w:rFonts w:cs="Times New Roman"/>
          <w:szCs w:val="24"/>
        </w:rPr>
        <w:fldChar w:fldCharType="end"/>
      </w:r>
      <w:r w:rsidRPr="00BA4F0F">
        <w:rPr>
          <w:rFonts w:cs="Times New Roman"/>
          <w:szCs w:val="24"/>
        </w:rPr>
        <w:t xml:space="preserve">. </w:t>
      </w:r>
    </w:p>
    <w:p w14:paraId="1FFAAF5C" w14:textId="50DC2B33" w:rsidR="00C1188C" w:rsidRPr="00BA4F0F" w:rsidRDefault="00C1188C" w:rsidP="00C1188C">
      <w:pPr>
        <w:rPr>
          <w:rFonts w:cs="Times New Roman"/>
          <w:szCs w:val="24"/>
        </w:rPr>
      </w:pPr>
      <w:r w:rsidRPr="00BA4F0F">
        <w:rPr>
          <w:rFonts w:cs="Times New Roman"/>
          <w:szCs w:val="24"/>
        </w:rPr>
        <w:t xml:space="preserve">Как уже упоминалось выше, основным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ауто-ТГСК может вызывать побочные явления </w:t>
      </w:r>
      <w:r w:rsidRPr="00BA4F0F">
        <w:rPr>
          <w:rFonts w:cs="Times New Roman"/>
          <w:szCs w:val="24"/>
        </w:rPr>
        <w:fldChar w:fldCharType="begin" w:fldLock="1"/>
      </w:r>
      <w:r w:rsidR="00B436BD">
        <w:rPr>
          <w:rFonts w:cs="Times New Roman"/>
          <w:szCs w:val="24"/>
        </w:rPr>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2e13cd0a-f7bd-3f0b-9f56-84feb90b58e3","http://www.mendeley.com/documents/?uuid=a903b5b4-4cb1-456e-bc41-559a068a0277","http://www.mendeley.com/documents/?uuid=201cecad-134f-4334-bb07-0660edb2e18c","http://www.mendeley.com/documents/?uuid=cc644c52-3cf9-41a4-b48f-f140f5d4382f","http://www.mendeley.com/documents/?uuid=f5fc6f3f-947c-4a93-beef-6bc30e68b9fb","http://www.mendeley.com/documents/?uuid=6bcbd89e-0776-47b7-ab98-6c90c4abb14e","http://www.mendeley.com/documents/?uuid=bfeee95e-b93a-4f49-832f-3b7dd952e5b5"]}],"mendeley":{"formattedCitation":"[117]","plainTextFormattedCitation":"[117]","previouslyFormattedCitation":"[117]"},"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[117]</w:t>
      </w:r>
      <w:r w:rsidRPr="00BA4F0F">
        <w:rPr>
          <w:rFonts w:cs="Times New Roman"/>
          <w:szCs w:val="24"/>
        </w:rPr>
        <w:fldChar w:fldCharType="end"/>
      </w:r>
      <w:r w:rsidRPr="00BA4F0F">
        <w:rPr>
          <w:rFonts w:cs="Times New Roman"/>
          <w:szCs w:val="24"/>
        </w:rPr>
        <w:t>.</w:t>
      </w:r>
    </w:p>
    <w:p w14:paraId="6F261F41" w14:textId="77777777" w:rsidR="00C1188C" w:rsidRPr="00BA4F0F" w:rsidRDefault="00C1188C" w:rsidP="00C1188C">
      <w:pPr>
        <w:rPr>
          <w:rFonts w:cs="Times New Roman"/>
          <w:szCs w:val="24"/>
        </w:rPr>
      </w:pPr>
      <w:r w:rsidRPr="00BA4F0F">
        <w:rPr>
          <w:rFonts w:cs="Times New Roman"/>
          <w:szCs w:val="24"/>
        </w:rPr>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248A01B7" w14:textId="77777777" w:rsidR="00C1188C" w:rsidRPr="00BA4F0F" w:rsidRDefault="00C1188C" w:rsidP="00C1188C">
      <w:pPr>
        <w:rPr>
          <w:rFonts w:cs="Times New Roman"/>
          <w:szCs w:val="24"/>
        </w:rPr>
      </w:pPr>
      <w:r w:rsidRPr="00BA4F0F">
        <w:rPr>
          <w:rFonts w:cs="Times New Roman"/>
          <w:szCs w:val="24"/>
        </w:rPr>
        <w:t xml:space="preserve">В день первого предполагаемого сбора выполняется общий анализ крови и подсчет </w:t>
      </w:r>
      <w:r w:rsidRPr="00BA4F0F">
        <w:rPr>
          <w:rFonts w:cs="Times New Roman"/>
          <w:szCs w:val="24"/>
          <w:lang w:val="en-US"/>
        </w:rPr>
        <w:t>CD</w:t>
      </w:r>
      <w:r w:rsidRPr="00BA4F0F">
        <w:rPr>
          <w:rFonts w:cs="Times New Roman"/>
          <w:szCs w:val="24"/>
        </w:rPr>
        <w:t xml:space="preserve">34+ в крови методом проточной цитометрии. </w:t>
      </w:r>
    </w:p>
    <w:p w14:paraId="5D70A21F" w14:textId="77777777" w:rsidR="00C1188C" w:rsidRPr="00BA4F0F" w:rsidRDefault="00C1188C" w:rsidP="00C1188C">
      <w:pPr>
        <w:rPr>
          <w:rFonts w:cs="Times New Roman"/>
          <w:szCs w:val="24"/>
        </w:rPr>
      </w:pPr>
      <w:r w:rsidRPr="00BA4F0F">
        <w:rPr>
          <w:rFonts w:cs="Times New Roman"/>
          <w:szCs w:val="24"/>
        </w:rPr>
        <w:t xml:space="preserve">Подсчет абсолютного количества </w:t>
      </w:r>
      <w:r w:rsidRPr="00BA4F0F">
        <w:rPr>
          <w:rFonts w:cs="Times New Roman"/>
          <w:szCs w:val="24"/>
          <w:lang w:val="en-US"/>
        </w:rPr>
        <w:t>CD</w:t>
      </w:r>
      <w:r w:rsidRPr="00BA4F0F">
        <w:rPr>
          <w:rFonts w:cs="Times New Roman"/>
          <w:szCs w:val="24"/>
        </w:rPr>
        <w:t xml:space="preserve">34+ ГСК в крови проводится по формуле: </w:t>
      </w:r>
    </w:p>
    <w:p w14:paraId="45085488" w14:textId="77777777" w:rsidR="00C1188C" w:rsidRPr="00BA4F0F" w:rsidRDefault="00C1188C" w:rsidP="00C1188C">
      <w:pPr>
        <w:jc w:val="center"/>
        <w:rPr>
          <w:rFonts w:cs="Times New Roman"/>
          <w:i/>
          <w:szCs w:val="24"/>
        </w:rPr>
      </w:pPr>
      <w:r w:rsidRPr="00BA4F0F">
        <w:rPr>
          <w:rFonts w:cs="Times New Roman"/>
          <w:i/>
          <w:szCs w:val="24"/>
        </w:rPr>
        <w:t xml:space="preserve">Абсолютное содержание </w:t>
      </w:r>
      <w:r w:rsidRPr="00BA4F0F">
        <w:rPr>
          <w:rFonts w:cs="Times New Roman"/>
          <w:i/>
          <w:szCs w:val="24"/>
          <w:lang w:val="en-US"/>
        </w:rPr>
        <w:t>CD</w:t>
      </w:r>
      <w:r w:rsidRPr="00BA4F0F">
        <w:rPr>
          <w:rFonts w:cs="Times New Roman"/>
          <w:i/>
          <w:szCs w:val="24"/>
        </w:rPr>
        <w:t>34+ клеток в крови (клеток/мкл) =</w:t>
      </w:r>
    </w:p>
    <w:p w14:paraId="6B9FB401" w14:textId="77777777" w:rsidR="00C1188C" w:rsidRPr="00BA4F0F" w:rsidRDefault="00C1188C" w:rsidP="00C1188C">
      <w:pPr>
        <w:jc w:val="center"/>
        <w:rPr>
          <w:rFonts w:cs="Times New Roman"/>
          <w:i/>
          <w:szCs w:val="24"/>
        </w:rPr>
      </w:pPr>
      <w:r w:rsidRPr="00BA4F0F">
        <w:rPr>
          <w:rFonts w:cs="Times New Roman"/>
          <w:i/>
          <w:szCs w:val="24"/>
        </w:rPr>
        <w:t xml:space="preserve">доля </w:t>
      </w:r>
      <w:r w:rsidRPr="00BA4F0F">
        <w:rPr>
          <w:rFonts w:cs="Times New Roman"/>
          <w:i/>
          <w:szCs w:val="24"/>
          <w:lang w:val="en-US"/>
        </w:rPr>
        <w:t>CD</w:t>
      </w:r>
      <w:r w:rsidRPr="00BA4F0F">
        <w:rPr>
          <w:rFonts w:cs="Times New Roman"/>
          <w:i/>
          <w:szCs w:val="24"/>
        </w:rPr>
        <w:t>34+ клеток (%) × количество лейкоцитов (10</w:t>
      </w:r>
      <w:r w:rsidRPr="00BA4F0F">
        <w:rPr>
          <w:rFonts w:cs="Times New Roman"/>
          <w:i/>
          <w:szCs w:val="24"/>
          <w:vertAlign w:val="superscript"/>
        </w:rPr>
        <w:t>9</w:t>
      </w:r>
      <w:r w:rsidRPr="00BA4F0F">
        <w:rPr>
          <w:rFonts w:cs="Times New Roman"/>
          <w:i/>
          <w:szCs w:val="24"/>
        </w:rPr>
        <w:t>/л) × 10</w:t>
      </w:r>
    </w:p>
    <w:p w14:paraId="68C978F5" w14:textId="77777777" w:rsidR="00C1188C" w:rsidRPr="00BA4F0F" w:rsidRDefault="00C1188C" w:rsidP="00C1188C">
      <w:pPr>
        <w:rPr>
          <w:rFonts w:cs="Times New Roman"/>
          <w:szCs w:val="24"/>
        </w:rPr>
      </w:pPr>
      <w:r w:rsidRPr="00BA4F0F">
        <w:rPr>
          <w:rFonts w:cs="Times New Roman"/>
          <w:szCs w:val="24"/>
        </w:rPr>
        <w:t xml:space="preserve">При содержании </w:t>
      </w:r>
      <w:r w:rsidRPr="00BA4F0F">
        <w:rPr>
          <w:rFonts w:cs="Times New Roman"/>
          <w:szCs w:val="24"/>
          <w:lang w:val="en-US"/>
        </w:rPr>
        <w:t>CD</w:t>
      </w:r>
      <w:r w:rsidRPr="00BA4F0F">
        <w:rPr>
          <w:rFonts w:cs="Times New Roman"/>
          <w:szCs w:val="24"/>
        </w:rPr>
        <w:t>34+ клеток в периферической крови более 10-20 в 1 мкл. можно начинать первый лейкаферез.</w:t>
      </w:r>
    </w:p>
    <w:p w14:paraId="14322CBE" w14:textId="77777777" w:rsidR="00C1188C" w:rsidRPr="00BA4F0F" w:rsidRDefault="00C1188C" w:rsidP="00C1188C">
      <w:pPr>
        <w:rPr>
          <w:rFonts w:cs="Times New Roman"/>
          <w:szCs w:val="24"/>
        </w:rPr>
      </w:pPr>
      <w:r w:rsidRPr="00BA4F0F">
        <w:rPr>
          <w:rFonts w:cs="Times New Roman"/>
          <w:szCs w:val="24"/>
        </w:rPr>
        <w:t xml:space="preserve">Если абсолютное количество </w:t>
      </w:r>
      <w:r w:rsidRPr="00BA4F0F">
        <w:rPr>
          <w:rFonts w:cs="Times New Roman"/>
          <w:szCs w:val="24"/>
          <w:lang w:val="en-US"/>
        </w:rPr>
        <w:t>CD</w:t>
      </w:r>
      <w:r w:rsidRPr="00BA4F0F">
        <w:rPr>
          <w:rFonts w:cs="Times New Roman"/>
          <w:szCs w:val="24"/>
        </w:rPr>
        <w:t>34+ клеток в крови более 20 в 1 мкл., высока вероятность заготовки трансплантата за 1-2 процедуры лейкафкереза.</w:t>
      </w:r>
    </w:p>
    <w:p w14:paraId="63EB316A" w14:textId="77777777" w:rsidR="00C1188C" w:rsidRPr="00BA4F0F" w:rsidRDefault="00C1188C" w:rsidP="00C1188C">
      <w:pPr>
        <w:rPr>
          <w:rFonts w:cs="Times New Roman"/>
          <w:szCs w:val="24"/>
        </w:rPr>
      </w:pPr>
      <w:r w:rsidRPr="00BA4F0F">
        <w:rPr>
          <w:rFonts w:cs="Times New Roman"/>
          <w:szCs w:val="24"/>
        </w:rPr>
        <w:t xml:space="preserve">При обнаружении </w:t>
      </w:r>
      <w:r w:rsidRPr="00BA4F0F">
        <w:rPr>
          <w:rFonts w:cs="Times New Roman"/>
          <w:szCs w:val="24"/>
          <w:lang w:val="en-US"/>
        </w:rPr>
        <w:t>CD</w:t>
      </w:r>
      <w:r w:rsidRPr="00BA4F0F">
        <w:rPr>
          <w:rFonts w:cs="Times New Roman"/>
          <w:szCs w:val="24"/>
        </w:rPr>
        <w:t>34+ клеток в крови в количе</w:t>
      </w:r>
      <w:r w:rsidRPr="00BA4F0F">
        <w:rPr>
          <w:rFonts w:cs="Times New Roman"/>
          <w:szCs w:val="24"/>
          <w:lang w:val="en-US"/>
        </w:rPr>
        <w:t>c</w:t>
      </w:r>
      <w:r w:rsidRPr="00BA4F0F">
        <w:rPr>
          <w:rFonts w:cs="Times New Roman"/>
          <w:szCs w:val="24"/>
        </w:rPr>
        <w:t xml:space="preserve">тве 10-20 в 1 мкл. обычно необходимо 2-4 процедуры лейкафереза. </w:t>
      </w:r>
    </w:p>
    <w:p w14:paraId="50D398C8" w14:textId="77777777" w:rsidR="00C1188C" w:rsidRPr="00BA4F0F" w:rsidRDefault="00C1188C" w:rsidP="00C1188C">
      <w:pPr>
        <w:rPr>
          <w:rFonts w:cs="Times New Roman"/>
          <w:szCs w:val="24"/>
        </w:rPr>
      </w:pPr>
      <w:r w:rsidRPr="00BA4F0F">
        <w:rPr>
          <w:rFonts w:cs="Times New Roman"/>
          <w:szCs w:val="24"/>
        </w:rPr>
        <w:t xml:space="preserve">Если содержание </w:t>
      </w:r>
      <w:r w:rsidRPr="00BA4F0F">
        <w:rPr>
          <w:rFonts w:cs="Times New Roman"/>
          <w:szCs w:val="24"/>
          <w:lang w:val="en-US"/>
        </w:rPr>
        <w:t>CD</w:t>
      </w:r>
      <w:r w:rsidRPr="00BA4F0F">
        <w:rPr>
          <w:rFonts w:cs="Times New Roman"/>
          <w:szCs w:val="24"/>
        </w:rPr>
        <w:t>34+ клеток менее 10 в 1 мкл., желательно воздержаться от сбора клеток в этот день и повторить анализ на следующий день.</w:t>
      </w:r>
    </w:p>
    <w:p w14:paraId="6099125C" w14:textId="77777777" w:rsidR="00C1188C" w:rsidRPr="00BA4F0F" w:rsidRDefault="00C1188C" w:rsidP="00C1188C">
      <w:pPr>
        <w:rPr>
          <w:rFonts w:cs="Times New Roman"/>
          <w:szCs w:val="24"/>
        </w:rPr>
      </w:pPr>
      <w:r w:rsidRPr="00BA4F0F">
        <w:rPr>
          <w:rFonts w:cs="Times New Roman"/>
          <w:szCs w:val="24"/>
        </w:rPr>
        <w:t xml:space="preserve">При содержании </w:t>
      </w:r>
      <w:r w:rsidRPr="00BA4F0F">
        <w:rPr>
          <w:rFonts w:cs="Times New Roman"/>
          <w:szCs w:val="24"/>
          <w:lang w:val="en-US"/>
        </w:rPr>
        <w:t>CD</w:t>
      </w:r>
      <w:r w:rsidRPr="00BA4F0F">
        <w:rPr>
          <w:rFonts w:cs="Times New Roman"/>
          <w:szCs w:val="24"/>
        </w:rPr>
        <w:t>34+ клеток менее 5 в 1 мкл. необходимо обсудить вопрос об отказе от продолжения мобилизации или же возможности применения плериксафора.</w:t>
      </w:r>
    </w:p>
    <w:p w14:paraId="6B624E3A" w14:textId="77777777" w:rsidR="00C1188C" w:rsidRPr="00BA4F0F" w:rsidRDefault="00C1188C" w:rsidP="00C1188C">
      <w:pPr>
        <w:rPr>
          <w:rFonts w:cs="Times New Roman"/>
          <w:szCs w:val="24"/>
        </w:rPr>
      </w:pPr>
      <w:r w:rsidRPr="00BA4F0F">
        <w:rPr>
          <w:rFonts w:cs="Times New Roman"/>
          <w:szCs w:val="24"/>
        </w:rPr>
        <w:t>Процедура лейкафереза может осуществлятъся как в автоматическом, так и в полуавтоматическом режиме. При количестве лейкоцитов более 20 ×10</w:t>
      </w:r>
      <w:r w:rsidRPr="00BA4F0F">
        <w:rPr>
          <w:rFonts w:cs="Times New Roman"/>
          <w:szCs w:val="24"/>
          <w:vertAlign w:val="superscript"/>
        </w:rPr>
        <w:t>9</w:t>
      </w:r>
      <w:r w:rsidRPr="00BA4F0F">
        <w:rPr>
          <w:rFonts w:cs="Times New Roman"/>
          <w:szCs w:val="24"/>
        </w:rPr>
        <w:t xml:space="preserve">/л предпочтителен полуавтоматический режим для возможности ручной регулировки границы раздела сред. </w:t>
      </w:r>
    </w:p>
    <w:p w14:paraId="355FFC1C" w14:textId="77777777" w:rsidR="00C1188C" w:rsidRPr="00BA4F0F" w:rsidRDefault="00C1188C" w:rsidP="00C1188C">
      <w:pPr>
        <w:rPr>
          <w:rFonts w:cs="Times New Roman"/>
          <w:szCs w:val="24"/>
        </w:rPr>
      </w:pPr>
      <w:r w:rsidRPr="00BA4F0F">
        <w:rPr>
          <w:rFonts w:cs="Times New Roman"/>
          <w:szCs w:val="24"/>
        </w:rPr>
        <w:t>Абсолютными противопоказаниями для проведения процедуры лейкафереза являются тяжелые соматические заболевания в стадии декомпенсации, угрожающие жизни состояния.</w:t>
      </w:r>
    </w:p>
    <w:p w14:paraId="3E578D85" w14:textId="77777777" w:rsidR="00C1188C" w:rsidRPr="00BA4F0F" w:rsidRDefault="00C1188C" w:rsidP="00C1188C">
      <w:pPr>
        <w:rPr>
          <w:rFonts w:cs="Times New Roman"/>
          <w:szCs w:val="24"/>
        </w:rPr>
      </w:pPr>
      <w:r w:rsidRPr="00BA4F0F">
        <w:rPr>
          <w:rFonts w:cs="Times New Roman"/>
          <w:szCs w:val="24"/>
        </w:rPr>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коагулограммы.</w:t>
      </w:r>
    </w:p>
    <w:p w14:paraId="3FDD0EDE" w14:textId="77777777" w:rsidR="00C1188C" w:rsidRPr="00BA4F0F" w:rsidRDefault="00C1188C" w:rsidP="00C1188C">
      <w:pPr>
        <w:rPr>
          <w:rFonts w:cs="Times New Roman"/>
          <w:szCs w:val="24"/>
        </w:rPr>
      </w:pPr>
      <w:r w:rsidRPr="00BA4F0F">
        <w:rPr>
          <w:rFonts w:cs="Times New Roman"/>
          <w:szCs w:val="24"/>
        </w:rPr>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 60 кг или на каждые 400 мл при массе тела &gt; 70 кг.</w:t>
      </w:r>
    </w:p>
    <w:p w14:paraId="1E90358A" w14:textId="7F9A4344" w:rsidR="00C1188C" w:rsidRPr="00BA4F0F" w:rsidRDefault="00C1188C" w:rsidP="00C1188C">
      <w:pPr>
        <w:rPr>
          <w:rFonts w:cs="Times New Roman"/>
          <w:szCs w:val="24"/>
        </w:rPr>
      </w:pPr>
      <w:r w:rsidRPr="00BA4F0F">
        <w:rPr>
          <w:rFonts w:cs="Times New Roman"/>
          <w:szCs w:val="24"/>
        </w:rPr>
        <w:t>Из полученного продукта берут пробу ГСК для определения содержания С</w:t>
      </w:r>
      <w:r w:rsidRPr="00BA4F0F">
        <w:rPr>
          <w:rFonts w:cs="Times New Roman"/>
          <w:szCs w:val="24"/>
          <w:lang w:val="en-US"/>
        </w:rPr>
        <w:t>D</w:t>
      </w:r>
      <w:r w:rsidRPr="00BA4F0F">
        <w:rPr>
          <w:rFonts w:cs="Times New Roman"/>
          <w:szCs w:val="24"/>
        </w:rPr>
        <w:t xml:space="preserve">34+ клеток при помощи проточного цитофлуориметра. Существует множество рекомендуемых схем по подсчету </w:t>
      </w:r>
      <w:r w:rsidRPr="00BA4F0F">
        <w:rPr>
          <w:rFonts w:cs="Times New Roman"/>
          <w:szCs w:val="24"/>
          <w:lang w:val="en-US"/>
        </w:rPr>
        <w:t>CD</w:t>
      </w:r>
      <w:r w:rsidRPr="00BA4F0F">
        <w:rPr>
          <w:rFonts w:cs="Times New Roman"/>
          <w:szCs w:val="24"/>
        </w:rPr>
        <w:t xml:space="preserve">34+ ГСК, наиболее известен </w:t>
      </w:r>
      <w:r w:rsidRPr="00BA4F0F">
        <w:rPr>
          <w:rFonts w:cs="Times New Roman"/>
          <w:szCs w:val="24"/>
          <w:lang w:val="en-US"/>
        </w:rPr>
        <w:t>ISHAGE</w:t>
      </w:r>
      <w:r w:rsidRPr="00BA4F0F">
        <w:rPr>
          <w:rFonts w:cs="Times New Roman"/>
          <w:szCs w:val="24"/>
        </w:rPr>
        <w:t xml:space="preserve">-протокол (International Society of Hematotherapy and Graft Engineering) </w:t>
      </w:r>
      <w:r w:rsidRPr="00BA4F0F">
        <w:rPr>
          <w:rFonts w:cs="Times New Roman"/>
          <w:szCs w:val="24"/>
        </w:rPr>
        <w:fldChar w:fldCharType="begin" w:fldLock="1"/>
      </w:r>
      <w:r w:rsidR="00B436BD">
        <w:rPr>
          <w:rFonts w:cs="Times New Roman"/>
          <w:szCs w:val="24"/>
        </w:rPr>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af6aeaab-986b-3c29-a268-8b3298a087ff","http://www.mendeley.com/documents/?uuid=9e9b6059-b96a-40ee-8392-9fa21aa556d8","http://www.mendeley.com/documents/?uuid=396368c5-3715-4315-9d9f-b0f985c72f2e","http://www.mendeley.com/documents/?uuid=832a537d-2a1a-436d-b363-a2a1b60dd4aa","http://www.mendeley.com/documents/?uuid=d76426e4-3e5f-4355-ae7b-509de6e06dd4","http://www.mendeley.com/documents/?uuid=022d11d0-3e2a-46a4-9f7c-deed4443ec90","http://www.mendeley.com/documents/?uuid=3b63824f-4c14-4eba-b990-62e0bcaea90c"]}],"mendeley":{"formattedCitation":"[118]","plainTextFormattedCitation":"[118]","previouslyFormattedCitation":"[118]"},"properties":{"noteIndex":0},"schema":"https://github.com/citation-style-language/schema/raw/master/csl-citation.json"}</w:instrText>
      </w:r>
      <w:r w:rsidRPr="00BA4F0F">
        <w:rPr>
          <w:rFonts w:cs="Times New Roman"/>
          <w:szCs w:val="24"/>
        </w:rPr>
        <w:fldChar w:fldCharType="separate"/>
      </w:r>
      <w:r w:rsidRPr="00C1188C">
        <w:rPr>
          <w:rFonts w:cs="Times New Roman"/>
          <w:noProof/>
          <w:szCs w:val="24"/>
        </w:rPr>
        <w:t>[118]</w:t>
      </w:r>
      <w:r w:rsidRPr="00BA4F0F">
        <w:rPr>
          <w:rFonts w:cs="Times New Roman"/>
          <w:szCs w:val="24"/>
        </w:rPr>
        <w:fldChar w:fldCharType="end"/>
      </w:r>
      <w:r w:rsidRPr="00BA4F0F">
        <w:rPr>
          <w:rFonts w:cs="Times New Roman"/>
          <w:szCs w:val="24"/>
        </w:rPr>
        <w:t xml:space="preserve">. </w:t>
      </w:r>
    </w:p>
    <w:p w14:paraId="1D62AF46" w14:textId="77777777" w:rsidR="00C1188C" w:rsidRPr="00BA4F0F" w:rsidRDefault="00C1188C" w:rsidP="00C1188C">
      <w:pPr>
        <w:rPr>
          <w:rFonts w:cs="Times New Roman"/>
          <w:szCs w:val="24"/>
        </w:rPr>
      </w:pPr>
      <w:r w:rsidRPr="00BA4F0F">
        <w:rPr>
          <w:rFonts w:cs="Times New Roman"/>
          <w:szCs w:val="24"/>
        </w:rPr>
        <w:t xml:space="preserve">Таким образом, для успешного сбора ГСК важны своевременное начало первой процедуры лейкафереза и отлаженная лабораторная методика, включающая цитофлуориметрический анализ. </w:t>
      </w:r>
    </w:p>
    <w:p w14:paraId="6DEAD67C" w14:textId="77777777" w:rsidR="00C1188C" w:rsidRPr="00BA4F0F" w:rsidRDefault="00C1188C" w:rsidP="00C1188C">
      <w:pPr>
        <w:pStyle w:val="afe"/>
        <w:ind w:left="0"/>
        <w:rPr>
          <w:rFonts w:cs="Times New Roman"/>
          <w:szCs w:val="24"/>
          <w:u w:val="single"/>
        </w:rPr>
      </w:pPr>
      <w:bookmarkStart w:id="114" w:name="_Toc44926612"/>
    </w:p>
    <w:p w14:paraId="65334CE1" w14:textId="77777777" w:rsidR="00C1188C" w:rsidRPr="00BA4F0F" w:rsidRDefault="00C1188C" w:rsidP="00C1188C">
      <w:pPr>
        <w:pStyle w:val="afe"/>
        <w:ind w:left="0"/>
        <w:rPr>
          <w:rFonts w:cs="Times New Roman"/>
          <w:szCs w:val="24"/>
          <w:u w:val="single"/>
        </w:rPr>
      </w:pPr>
      <w:r w:rsidRPr="00BA4F0F">
        <w:rPr>
          <w:rFonts w:cs="Times New Roman"/>
          <w:szCs w:val="24"/>
          <w:u w:val="single"/>
        </w:rPr>
        <w:t>Криоконсервирование трансплантата</w:t>
      </w:r>
      <w:bookmarkEnd w:id="114"/>
    </w:p>
    <w:p w14:paraId="7C193B10" w14:textId="77777777" w:rsidR="00C1188C" w:rsidRPr="00BA4F0F" w:rsidRDefault="00C1188C" w:rsidP="00C1188C">
      <w:pPr>
        <w:rPr>
          <w:rFonts w:cs="Times New Roman"/>
          <w:szCs w:val="24"/>
        </w:rPr>
      </w:pPr>
      <w:r w:rsidRPr="00BA4F0F">
        <w:rPr>
          <w:rFonts w:cs="Times New Roman"/>
          <w:szCs w:val="24"/>
        </w:rPr>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переносят лейкоконцентрат в контейнер для ГСК в асептических условиях и проводят центрифугирование (2000 об/мин) в течение 15 мин. </w:t>
      </w:r>
    </w:p>
    <w:p w14:paraId="6EFBC128" w14:textId="77777777" w:rsidR="00C1188C" w:rsidRPr="00BA4F0F" w:rsidRDefault="00C1188C" w:rsidP="00C1188C">
      <w:pPr>
        <w:rPr>
          <w:rFonts w:cs="Times New Roman"/>
          <w:szCs w:val="24"/>
        </w:rPr>
      </w:pPr>
      <w:r w:rsidRPr="00BA4F0F">
        <w:rPr>
          <w:rFonts w:cs="Times New Roman"/>
          <w:szCs w:val="24"/>
        </w:rPr>
        <w:t xml:space="preserve">Фракционирование проводят в асептических условиях, например, в условиях ламинарного шкафа биологической безопасности </w:t>
      </w:r>
      <w:r w:rsidRPr="00BA4F0F">
        <w:rPr>
          <w:rFonts w:cs="Times New Roman"/>
          <w:szCs w:val="24"/>
          <w:lang w:val="en-US"/>
        </w:rPr>
        <w:t>II</w:t>
      </w:r>
      <w:r w:rsidRPr="00BA4F0F">
        <w:rPr>
          <w:rFonts w:cs="Times New Roman"/>
          <w:szCs w:val="24"/>
        </w:rPr>
        <w:t xml:space="preserve"> класса. Далее осуществляется подсчет </w:t>
      </w:r>
      <w:r w:rsidRPr="00BA4F0F">
        <w:rPr>
          <w:rFonts w:cs="Times New Roman"/>
          <w:szCs w:val="24"/>
          <w:lang w:val="en-US"/>
        </w:rPr>
        <w:t>CD</w:t>
      </w:r>
      <w:r w:rsidRPr="00BA4F0F">
        <w:rPr>
          <w:rFonts w:cs="Times New Roman"/>
          <w:szCs w:val="24"/>
        </w:rPr>
        <w:t>34+ клеток в полученном лейкоконцентрате. Получив долю CD34+ клеток от всех лейкоцитов в лейкоконцентрате, подсчитывают количество CD34+ клеток на 1 кг массы тела пациента.</w:t>
      </w:r>
    </w:p>
    <w:p w14:paraId="4B2E0E8C" w14:textId="77777777" w:rsidR="00C1188C" w:rsidRPr="00BA4F0F" w:rsidRDefault="00C1188C" w:rsidP="00C1188C">
      <w:pPr>
        <w:rPr>
          <w:rFonts w:cs="Times New Roman"/>
          <w:szCs w:val="24"/>
        </w:rPr>
      </w:pPr>
      <w:r w:rsidRPr="00BA4F0F">
        <w:rPr>
          <w:rFonts w:cs="Times New Roman"/>
          <w:szCs w:val="24"/>
        </w:rPr>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40F0E3CE" w14:textId="77777777" w:rsidR="00C1188C" w:rsidRPr="00BA4F0F" w:rsidRDefault="00C1188C" w:rsidP="00C1188C">
      <w:pPr>
        <w:rPr>
          <w:rFonts w:cs="Times New Roman"/>
          <w:szCs w:val="24"/>
        </w:rPr>
      </w:pPr>
      <w:r w:rsidRPr="00BA4F0F">
        <w:rPr>
          <w:rFonts w:cs="Times New Roman"/>
          <w:szCs w:val="24"/>
        </w:rPr>
        <w:t xml:space="preserve">Заморозку и хранение биоматериала производят в емкости с парами жидкого азота. </w:t>
      </w:r>
    </w:p>
    <w:p w14:paraId="74603298" w14:textId="77777777" w:rsidR="00C1188C" w:rsidRPr="00BA4F0F" w:rsidRDefault="00C1188C" w:rsidP="00C1188C">
      <w:pPr>
        <w:rPr>
          <w:rFonts w:cs="Times New Roman"/>
          <w:b/>
          <w:szCs w:val="24"/>
        </w:rPr>
      </w:pPr>
      <w:bookmarkStart w:id="115" w:name="_Toc44926613"/>
    </w:p>
    <w:p w14:paraId="2981EC7A" w14:textId="77777777" w:rsidR="00C1188C" w:rsidRPr="00BA4F0F" w:rsidRDefault="00C1188C" w:rsidP="00C1188C">
      <w:pPr>
        <w:rPr>
          <w:rFonts w:cs="Times New Roman"/>
          <w:b/>
          <w:szCs w:val="24"/>
        </w:rPr>
      </w:pPr>
      <w:r w:rsidRPr="00BA4F0F">
        <w:rPr>
          <w:rFonts w:cs="Times New Roman"/>
          <w:b/>
          <w:szCs w:val="24"/>
        </w:rPr>
        <w:t>Обследование пациентов перед мобилизацией и сбором ГСК</w:t>
      </w:r>
      <w:bookmarkEnd w:id="115"/>
    </w:p>
    <w:p w14:paraId="7859D683" w14:textId="77777777" w:rsidR="00C1188C" w:rsidRPr="00BA4F0F" w:rsidRDefault="00C1188C" w:rsidP="00C1188C">
      <w:pPr>
        <w:ind w:firstLine="284"/>
        <w:rPr>
          <w:rFonts w:cs="Times New Roman"/>
          <w:szCs w:val="24"/>
        </w:rPr>
      </w:pPr>
      <w:r w:rsidRPr="00BA4F0F">
        <w:rPr>
          <w:rFonts w:cs="Times New Roman"/>
          <w:szCs w:val="24"/>
        </w:rPr>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298769C2" w14:textId="77777777" w:rsidR="00C1188C" w:rsidRPr="00BA4F0F" w:rsidRDefault="00C1188C" w:rsidP="00C1188C">
      <w:pPr>
        <w:pStyle w:val="afe"/>
        <w:ind w:left="0"/>
        <w:rPr>
          <w:rFonts w:cs="Times New Roman"/>
          <w:szCs w:val="24"/>
          <w:u w:val="single"/>
        </w:rPr>
      </w:pPr>
      <w:bookmarkStart w:id="116" w:name="_Toc44926614"/>
    </w:p>
    <w:p w14:paraId="4AF10F38" w14:textId="77777777" w:rsidR="00C1188C" w:rsidRPr="00BA4F0F" w:rsidRDefault="00C1188C" w:rsidP="00C1188C">
      <w:pPr>
        <w:pStyle w:val="afe"/>
        <w:ind w:left="0"/>
        <w:rPr>
          <w:rFonts w:cs="Times New Roman"/>
          <w:szCs w:val="24"/>
          <w:u w:val="single"/>
        </w:rPr>
      </w:pPr>
      <w:r w:rsidRPr="00BA4F0F">
        <w:rPr>
          <w:rFonts w:cs="Times New Roman"/>
          <w:szCs w:val="24"/>
          <w:u w:val="single"/>
        </w:rPr>
        <w:t>Общие методы обследования</w:t>
      </w:r>
      <w:bookmarkEnd w:id="116"/>
    </w:p>
    <w:p w14:paraId="1CE1A5B9"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Развернутый анализ крови.</w:t>
      </w:r>
    </w:p>
    <w:p w14:paraId="179F5D89"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57D41481"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Общий анализ мочи.</w:t>
      </w:r>
    </w:p>
    <w:p w14:paraId="7E237A7E"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Глюкоза крови.</w:t>
      </w:r>
    </w:p>
    <w:p w14:paraId="321F279D"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703F84FA"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FDD6DF2"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7CCFB1F4"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состояния кроветворения.</w:t>
      </w:r>
    </w:p>
    <w:p w14:paraId="46EAE410"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3C3C0E8F"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67074822"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1D67256F"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w:t>
      </w:r>
    </w:p>
    <w:p w14:paraId="1913C814"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Электрокардиограмма.</w:t>
      </w:r>
    </w:p>
    <w:p w14:paraId="26EF55F3"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Эхокардиография.</w:t>
      </w:r>
    </w:p>
    <w:p w14:paraId="46C104F9"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75E8990C"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77446455"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15C9FE34"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0129C4F8"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МРТ головного мозга.</w:t>
      </w:r>
    </w:p>
    <w:p w14:paraId="3A761AC9"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КТ органов грудной полости.</w:t>
      </w:r>
    </w:p>
    <w:p w14:paraId="5FEE6FCE"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59440E85" w14:textId="77777777" w:rsidR="00C1188C" w:rsidRPr="00BA4F0F" w:rsidRDefault="00C1188C" w:rsidP="000768AC">
      <w:pPr>
        <w:pStyle w:val="Numlist"/>
        <w:numPr>
          <w:ilvl w:val="0"/>
          <w:numId w:val="111"/>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22EDF89B" w14:textId="77777777" w:rsidR="00C1188C" w:rsidRPr="00BA4F0F" w:rsidRDefault="00C1188C" w:rsidP="00C1188C">
      <w:pPr>
        <w:pStyle w:val="afe"/>
        <w:ind w:left="0"/>
        <w:rPr>
          <w:rFonts w:cs="Times New Roman"/>
          <w:szCs w:val="24"/>
          <w:u w:val="single"/>
        </w:rPr>
      </w:pPr>
      <w:bookmarkStart w:id="117" w:name="_Toc44926615"/>
    </w:p>
    <w:p w14:paraId="1E67288E" w14:textId="64FDBAA0" w:rsidR="00C1188C" w:rsidRPr="00BA4F0F" w:rsidRDefault="00C1188C" w:rsidP="00C1188C">
      <w:pPr>
        <w:pStyle w:val="afe"/>
        <w:ind w:left="0"/>
        <w:rPr>
          <w:rFonts w:cs="Times New Roman"/>
          <w:szCs w:val="24"/>
          <w:u w:val="single"/>
        </w:rPr>
      </w:pPr>
      <w:r w:rsidRPr="00BA4F0F">
        <w:rPr>
          <w:rFonts w:cs="Times New Roman"/>
          <w:szCs w:val="24"/>
          <w:u w:val="single"/>
        </w:rPr>
        <w:t xml:space="preserve">Специальные методы обследования при </w:t>
      </w:r>
      <w:r w:rsidR="004871F2">
        <w:rPr>
          <w:rFonts w:cs="Times New Roman"/>
          <w:szCs w:val="24"/>
          <w:u w:val="single"/>
        </w:rPr>
        <w:t xml:space="preserve">лимфомах </w:t>
      </w:r>
      <w:bookmarkEnd w:id="117"/>
    </w:p>
    <w:p w14:paraId="7F4C82C0"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3540EF3F"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17270228"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4E8A69D5"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2F0AFE26"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УЗИ периферических лимфоузлов.</w:t>
      </w:r>
    </w:p>
    <w:p w14:paraId="53C4D59D"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4143D1C2" w14:textId="77777777" w:rsidR="00C1188C" w:rsidRPr="00BA4F0F" w:rsidRDefault="00C1188C" w:rsidP="000768AC">
      <w:pPr>
        <w:pStyle w:val="Numlist"/>
        <w:numPr>
          <w:ilvl w:val="0"/>
          <w:numId w:val="112"/>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61D2E4A1" w14:textId="77777777" w:rsidR="00C1188C" w:rsidRPr="00BA4F0F" w:rsidRDefault="00C1188C" w:rsidP="00C1188C">
      <w:pPr>
        <w:ind w:firstLine="284"/>
        <w:rPr>
          <w:rFonts w:cs="Times New Roman"/>
          <w:b/>
          <w:szCs w:val="24"/>
        </w:rPr>
      </w:pPr>
    </w:p>
    <w:p w14:paraId="5FB1718F" w14:textId="77777777" w:rsidR="00C1188C" w:rsidRPr="00BA4F0F" w:rsidRDefault="00C1188C" w:rsidP="00C1188C">
      <w:pPr>
        <w:rPr>
          <w:rFonts w:cs="Times New Roman"/>
          <w:b/>
          <w:szCs w:val="24"/>
        </w:rPr>
      </w:pPr>
      <w:bookmarkStart w:id="118" w:name="_Toc44926621"/>
      <w:r w:rsidRPr="00BA4F0F">
        <w:rPr>
          <w:rFonts w:cs="Times New Roman"/>
          <w:b/>
          <w:szCs w:val="24"/>
        </w:rPr>
        <w:t>Противопоказания к выполнению ауто-ТГСК</w:t>
      </w:r>
      <w:bookmarkEnd w:id="118"/>
    </w:p>
    <w:p w14:paraId="355E632D" w14:textId="77777777" w:rsidR="00C1188C" w:rsidRPr="00BA4F0F" w:rsidRDefault="00C1188C" w:rsidP="00C1188C">
      <w:pPr>
        <w:pStyle w:val="afe"/>
        <w:ind w:left="0"/>
        <w:rPr>
          <w:rFonts w:cs="Times New Roman"/>
          <w:szCs w:val="24"/>
          <w:u w:val="single"/>
        </w:rPr>
      </w:pPr>
      <w:bookmarkStart w:id="119" w:name="_Toc44926622"/>
      <w:r w:rsidRPr="00BA4F0F">
        <w:rPr>
          <w:rFonts w:cs="Times New Roman"/>
          <w:szCs w:val="24"/>
          <w:u w:val="single"/>
        </w:rPr>
        <w:t>Абсолютные противопоказания к выполнению ауто-ТГСК</w:t>
      </w:r>
      <w:bookmarkEnd w:id="119"/>
    </w:p>
    <w:p w14:paraId="010F823A" w14:textId="77777777" w:rsidR="00C1188C" w:rsidRPr="00BA4F0F" w:rsidRDefault="00C1188C" w:rsidP="00C1188C">
      <w:pPr>
        <w:ind w:firstLine="567"/>
        <w:rPr>
          <w:rFonts w:cs="Times New Roman"/>
          <w:szCs w:val="24"/>
        </w:rPr>
      </w:pPr>
      <w:r w:rsidRPr="00BA4F0F">
        <w:rPr>
          <w:rFonts w:cs="Times New Roman"/>
          <w:szCs w:val="24"/>
        </w:rPr>
        <w:t>- прогрессия/рецидив основного заболевания;</w:t>
      </w:r>
    </w:p>
    <w:p w14:paraId="4B03AC7B" w14:textId="77777777" w:rsidR="00C1188C" w:rsidRPr="00BA4F0F" w:rsidRDefault="00C1188C" w:rsidP="00C1188C">
      <w:pPr>
        <w:ind w:firstLine="567"/>
        <w:rPr>
          <w:rFonts w:cs="Times New Roman"/>
          <w:szCs w:val="24"/>
        </w:rPr>
      </w:pPr>
      <w:r w:rsidRPr="00BA4F0F">
        <w:rPr>
          <w:rFonts w:cs="Times New Roman"/>
          <w:szCs w:val="24"/>
        </w:rPr>
        <w:t>- инфекционные заболевания в стадии обострения;</w:t>
      </w:r>
    </w:p>
    <w:p w14:paraId="66FCDA7A" w14:textId="77777777" w:rsidR="00C1188C" w:rsidRPr="00BA4F0F" w:rsidRDefault="00C1188C" w:rsidP="00C1188C">
      <w:pPr>
        <w:ind w:firstLine="567"/>
        <w:rPr>
          <w:rFonts w:cs="Times New Roman"/>
          <w:szCs w:val="24"/>
        </w:rPr>
      </w:pPr>
      <w:r w:rsidRPr="00BA4F0F">
        <w:rPr>
          <w:rFonts w:cs="Times New Roman"/>
          <w:szCs w:val="24"/>
        </w:rPr>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обострения и сопровождающиеся стойким расстройством функций;</w:t>
      </w:r>
    </w:p>
    <w:p w14:paraId="0D565FED" w14:textId="77777777" w:rsidR="00C1188C" w:rsidRPr="00BA4F0F" w:rsidRDefault="00C1188C" w:rsidP="00C1188C">
      <w:pPr>
        <w:ind w:firstLine="567"/>
        <w:rPr>
          <w:rFonts w:cs="Times New Roman"/>
          <w:szCs w:val="24"/>
        </w:rPr>
      </w:pPr>
      <w:r w:rsidRPr="00BA4F0F">
        <w:rPr>
          <w:rFonts w:cs="Times New Roman"/>
          <w:szCs w:val="24"/>
        </w:rPr>
        <w:t>- наличие «вторых» злокачественных новообразований вне ремиссии;</w:t>
      </w:r>
    </w:p>
    <w:p w14:paraId="45AAC643" w14:textId="77777777" w:rsidR="00C1188C" w:rsidRPr="00BA4F0F" w:rsidRDefault="00C1188C" w:rsidP="00C1188C">
      <w:pPr>
        <w:ind w:firstLine="567"/>
        <w:rPr>
          <w:rFonts w:cs="Times New Roman"/>
          <w:szCs w:val="24"/>
        </w:rPr>
      </w:pPr>
      <w:r w:rsidRPr="00BA4F0F">
        <w:rPr>
          <w:rFonts w:cs="Times New Roman"/>
          <w:szCs w:val="24"/>
        </w:rPr>
        <w:t>- терапия иммуносупрессивными или иными лекарственными препаратами, которые могут повлиять на способность к самоподдержанию собственной популяции и полипотентность гемопоэтических стволовых клеток;</w:t>
      </w:r>
    </w:p>
    <w:p w14:paraId="4384D6E6" w14:textId="77777777" w:rsidR="00C1188C" w:rsidRPr="00BA4F0F" w:rsidRDefault="00C1188C" w:rsidP="00C1188C">
      <w:pPr>
        <w:ind w:firstLine="567"/>
        <w:rPr>
          <w:rFonts w:cs="Times New Roman"/>
          <w:szCs w:val="24"/>
        </w:rPr>
      </w:pPr>
      <w:r w:rsidRPr="00BA4F0F">
        <w:rPr>
          <w:rFonts w:cs="Times New Roman"/>
          <w:szCs w:val="24"/>
        </w:rPr>
        <w:t>- психические расстройства и расстройства поведения в состоянии обострения и (или) представляющие опасность для больного и окружающих;</w:t>
      </w:r>
    </w:p>
    <w:p w14:paraId="5A35183C" w14:textId="77777777" w:rsidR="00C1188C" w:rsidRPr="00BA4F0F" w:rsidRDefault="00C1188C" w:rsidP="00C1188C">
      <w:pPr>
        <w:ind w:firstLine="567"/>
        <w:rPr>
          <w:rFonts w:cs="Times New Roman"/>
          <w:szCs w:val="24"/>
        </w:rPr>
      </w:pPr>
      <w:r w:rsidRPr="00BA4F0F">
        <w:rPr>
          <w:rFonts w:cs="Times New Roman"/>
          <w:szCs w:val="24"/>
        </w:rPr>
        <w:t>- психические расстройства и расстройства поведения, вызванные употреблением психоактивных веществ;</w:t>
      </w:r>
    </w:p>
    <w:p w14:paraId="41EF981A" w14:textId="77777777" w:rsidR="00C1188C" w:rsidRPr="00BA4F0F" w:rsidRDefault="00C1188C" w:rsidP="00C1188C">
      <w:pPr>
        <w:ind w:firstLine="567"/>
        <w:rPr>
          <w:rFonts w:cs="Times New Roman"/>
          <w:szCs w:val="24"/>
        </w:rPr>
      </w:pPr>
      <w:r w:rsidRPr="00BA4F0F">
        <w:rPr>
          <w:rFonts w:cs="Times New Roman"/>
          <w:szCs w:val="24"/>
        </w:rPr>
        <w:t>- кахексия;</w:t>
      </w:r>
    </w:p>
    <w:p w14:paraId="1FAB0346" w14:textId="77777777" w:rsidR="00C1188C" w:rsidRPr="00BA4F0F" w:rsidRDefault="00C1188C" w:rsidP="00C1188C">
      <w:pPr>
        <w:ind w:firstLine="567"/>
        <w:rPr>
          <w:rFonts w:cs="Times New Roman"/>
          <w:szCs w:val="24"/>
        </w:rPr>
      </w:pPr>
      <w:r w:rsidRPr="00BA4F0F">
        <w:rPr>
          <w:rFonts w:cs="Times New Roman"/>
          <w:szCs w:val="24"/>
        </w:rPr>
        <w:t>- беременность;</w:t>
      </w:r>
    </w:p>
    <w:p w14:paraId="7EA9687F" w14:textId="77777777" w:rsidR="00C1188C" w:rsidRPr="00BA4F0F" w:rsidRDefault="00C1188C" w:rsidP="00C1188C">
      <w:pPr>
        <w:ind w:firstLine="567"/>
        <w:rPr>
          <w:rFonts w:cs="Times New Roman"/>
          <w:szCs w:val="24"/>
        </w:rPr>
      </w:pPr>
      <w:r w:rsidRPr="00BA4F0F">
        <w:rPr>
          <w:rFonts w:cs="Times New Roman"/>
          <w:szCs w:val="24"/>
        </w:rPr>
        <w:t>- ранний послеоперационный период с наличием потенциальных рисков инфицирования послеоперационных ран в период миелотоксического агранулоцитоза.</w:t>
      </w:r>
    </w:p>
    <w:p w14:paraId="441AC8B2" w14:textId="77777777" w:rsidR="00C1188C" w:rsidRPr="00BA4F0F" w:rsidRDefault="00C1188C" w:rsidP="00C1188C">
      <w:pPr>
        <w:ind w:firstLine="567"/>
        <w:rPr>
          <w:rFonts w:cs="Times New Roman"/>
          <w:szCs w:val="24"/>
        </w:rPr>
      </w:pPr>
      <w:r w:rsidRPr="00BA4F0F">
        <w:rPr>
          <w:rFonts w:cs="Times New Roman"/>
          <w:szCs w:val="24"/>
        </w:rPr>
        <w:t>- отсутствие подписанного информированного согласия на выполнение трансплантации.</w:t>
      </w:r>
    </w:p>
    <w:p w14:paraId="5292388B" w14:textId="77777777" w:rsidR="00C1188C" w:rsidRPr="00BA4F0F" w:rsidRDefault="00C1188C" w:rsidP="00C1188C">
      <w:pPr>
        <w:pStyle w:val="11"/>
        <w:spacing w:before="0"/>
      </w:pPr>
      <w:bookmarkStart w:id="120" w:name="_Toc44926623"/>
    </w:p>
    <w:p w14:paraId="4E900B34" w14:textId="77777777" w:rsidR="00C1188C" w:rsidRPr="00BA4F0F" w:rsidRDefault="00C1188C" w:rsidP="00C1188C">
      <w:pPr>
        <w:pStyle w:val="afe"/>
        <w:ind w:left="0"/>
        <w:rPr>
          <w:rFonts w:cs="Times New Roman"/>
          <w:szCs w:val="24"/>
          <w:u w:val="single"/>
        </w:rPr>
      </w:pPr>
      <w:r w:rsidRPr="00BA4F0F">
        <w:rPr>
          <w:rFonts w:cs="Times New Roman"/>
          <w:szCs w:val="24"/>
          <w:u w:val="single"/>
        </w:rPr>
        <w:t>Относительные противопоказания к выполнению ауто-ТГСК</w:t>
      </w:r>
      <w:bookmarkEnd w:id="120"/>
    </w:p>
    <w:p w14:paraId="070ABA83" w14:textId="77777777" w:rsidR="00C1188C" w:rsidRPr="00BA4F0F" w:rsidRDefault="00C1188C" w:rsidP="00C1188C">
      <w:pPr>
        <w:ind w:firstLine="567"/>
        <w:rPr>
          <w:rFonts w:cs="Times New Roman"/>
          <w:szCs w:val="24"/>
        </w:rPr>
      </w:pPr>
      <w:r w:rsidRPr="00BA4F0F">
        <w:rPr>
          <w:rFonts w:cs="Times New Roman"/>
          <w:szCs w:val="24"/>
        </w:rPr>
        <w:t>- инфекционные заболевания вне обострения (очаги инфекций, требующие санации);</w:t>
      </w:r>
    </w:p>
    <w:p w14:paraId="41A1E74A" w14:textId="77777777" w:rsidR="00C1188C" w:rsidRPr="00BA4F0F" w:rsidRDefault="00C1188C" w:rsidP="00C1188C">
      <w:pPr>
        <w:ind w:firstLine="567"/>
        <w:rPr>
          <w:rFonts w:cs="Times New Roman"/>
          <w:szCs w:val="24"/>
        </w:rPr>
      </w:pPr>
      <w:r w:rsidRPr="00BA4F0F">
        <w:rPr>
          <w:rFonts w:cs="Times New Roman"/>
          <w:szCs w:val="24"/>
        </w:rPr>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компенсации;</w:t>
      </w:r>
    </w:p>
    <w:p w14:paraId="7B32E875" w14:textId="77777777" w:rsidR="00C1188C" w:rsidRPr="00BA4F0F" w:rsidRDefault="00C1188C" w:rsidP="00C1188C">
      <w:pPr>
        <w:ind w:firstLine="567"/>
        <w:rPr>
          <w:rFonts w:cs="Times New Roman"/>
          <w:szCs w:val="24"/>
        </w:rPr>
      </w:pPr>
      <w:r w:rsidRPr="00BA4F0F">
        <w:rPr>
          <w:rFonts w:cs="Times New Roman"/>
          <w:szCs w:val="24"/>
        </w:rPr>
        <w:t>- возраст старше 65 лет.</w:t>
      </w:r>
    </w:p>
    <w:p w14:paraId="6B0CC3E4" w14:textId="77777777" w:rsidR="00C1188C" w:rsidRPr="00BA4F0F" w:rsidRDefault="00C1188C" w:rsidP="00C1188C">
      <w:pPr>
        <w:ind w:firstLine="567"/>
        <w:rPr>
          <w:rFonts w:cs="Times New Roman"/>
          <w:szCs w:val="24"/>
        </w:rPr>
      </w:pPr>
      <w:r w:rsidRPr="00BA4F0F">
        <w:rPr>
          <w:rFonts w:cs="Times New Roman"/>
          <w:szCs w:val="24"/>
        </w:rPr>
        <w:t>- наличие в крови маркеров вируса иммунодефицита человека;</w:t>
      </w:r>
    </w:p>
    <w:p w14:paraId="63C3F78A" w14:textId="77777777" w:rsidR="00C1188C" w:rsidRPr="00BA4F0F" w:rsidRDefault="00C1188C" w:rsidP="00C1188C">
      <w:pPr>
        <w:rPr>
          <w:rFonts w:cs="Times New Roman"/>
          <w:b/>
          <w:szCs w:val="24"/>
        </w:rPr>
      </w:pPr>
      <w:bookmarkStart w:id="121" w:name="_Toc44926624"/>
    </w:p>
    <w:p w14:paraId="6FFC50C2" w14:textId="77777777" w:rsidR="00C1188C" w:rsidRPr="00BA4F0F" w:rsidRDefault="00C1188C" w:rsidP="00C1188C">
      <w:pPr>
        <w:rPr>
          <w:rFonts w:cs="Times New Roman"/>
          <w:b/>
          <w:szCs w:val="24"/>
        </w:rPr>
      </w:pPr>
      <w:r w:rsidRPr="00BA4F0F">
        <w:rPr>
          <w:rFonts w:cs="Times New Roman"/>
          <w:b/>
          <w:szCs w:val="24"/>
        </w:rPr>
        <w:t>Обследование пациентов перед ауто-ТГСК</w:t>
      </w:r>
      <w:bookmarkEnd w:id="121"/>
    </w:p>
    <w:p w14:paraId="3DB30455" w14:textId="77777777" w:rsidR="00C1188C" w:rsidRPr="00BA4F0F" w:rsidRDefault="00C1188C" w:rsidP="00C1188C">
      <w:pPr>
        <w:ind w:firstLine="284"/>
        <w:rPr>
          <w:rFonts w:cs="Times New Roman"/>
          <w:szCs w:val="24"/>
        </w:rPr>
      </w:pPr>
      <w:r w:rsidRPr="00BA4F0F">
        <w:rPr>
          <w:rFonts w:cs="Times New Roman"/>
          <w:szCs w:val="24"/>
        </w:rPr>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17BA136A" w14:textId="77777777" w:rsidR="00C1188C" w:rsidRPr="00BA4F0F" w:rsidRDefault="00C1188C" w:rsidP="00C1188C">
      <w:pPr>
        <w:pStyle w:val="afe"/>
        <w:ind w:left="0"/>
        <w:rPr>
          <w:rFonts w:cs="Times New Roman"/>
          <w:szCs w:val="24"/>
          <w:u w:val="single"/>
        </w:rPr>
      </w:pPr>
      <w:bookmarkStart w:id="122" w:name="_Toc44926625"/>
    </w:p>
    <w:p w14:paraId="58877783" w14:textId="77777777" w:rsidR="00C1188C" w:rsidRPr="00BA4F0F" w:rsidRDefault="00C1188C" w:rsidP="00C1188C">
      <w:pPr>
        <w:pStyle w:val="afe"/>
        <w:ind w:left="0"/>
        <w:rPr>
          <w:rFonts w:cs="Times New Roman"/>
          <w:szCs w:val="24"/>
          <w:u w:val="single"/>
        </w:rPr>
      </w:pPr>
      <w:r w:rsidRPr="00BA4F0F">
        <w:rPr>
          <w:rFonts w:cs="Times New Roman"/>
          <w:szCs w:val="24"/>
          <w:u w:val="single"/>
        </w:rPr>
        <w:t>Общие методы обследования</w:t>
      </w:r>
      <w:bookmarkEnd w:id="122"/>
    </w:p>
    <w:p w14:paraId="6000CAA8"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Развернутый анализ крови.</w:t>
      </w:r>
    </w:p>
    <w:p w14:paraId="196B88B8"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4D68ADB8"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Общий анализ мочи.</w:t>
      </w:r>
    </w:p>
    <w:p w14:paraId="43DD527F"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Глюкоза крови.</w:t>
      </w:r>
    </w:p>
    <w:p w14:paraId="1CB2A622"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0C9C3195"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5F26E2B1"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71D377AA"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кроветворения.</w:t>
      </w:r>
    </w:p>
    <w:p w14:paraId="58A2AD04"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73D460D2"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3593477C"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6E2A28CD"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 ЦМВ, ЭБВ, при возможности токсоплазмы.</w:t>
      </w:r>
    </w:p>
    <w:p w14:paraId="626C289F"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Электрокардиограмма.</w:t>
      </w:r>
    </w:p>
    <w:p w14:paraId="6A5F482E"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Эхокардиография.</w:t>
      </w:r>
    </w:p>
    <w:p w14:paraId="6461068B"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Функция внешнего дыхания.</w:t>
      </w:r>
    </w:p>
    <w:p w14:paraId="7944E9AB"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63C549E4"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22B0AAF0"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6E9A7D5F"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37C88A97"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МРТ головного мозга, придаточных пазух носа с целью выявления скрытых очагов инфекций.</w:t>
      </w:r>
    </w:p>
    <w:p w14:paraId="23799E0C"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КТ органов грудной полости.</w:t>
      </w:r>
    </w:p>
    <w:p w14:paraId="0BB0E803"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1CC170AB"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Осмотр стоматолога.</w:t>
      </w:r>
    </w:p>
    <w:p w14:paraId="440BFEBA" w14:textId="77777777" w:rsidR="00C1188C" w:rsidRPr="00BA4F0F" w:rsidRDefault="00C1188C" w:rsidP="000768AC">
      <w:pPr>
        <w:pStyle w:val="Numlist"/>
        <w:numPr>
          <w:ilvl w:val="0"/>
          <w:numId w:val="113"/>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1B37FEAA" w14:textId="77777777" w:rsidR="00C1188C" w:rsidRPr="00BA4F0F" w:rsidRDefault="00C1188C" w:rsidP="00C1188C">
      <w:pPr>
        <w:pStyle w:val="afe"/>
        <w:ind w:left="0"/>
        <w:rPr>
          <w:rFonts w:cs="Times New Roman"/>
          <w:szCs w:val="24"/>
          <w:u w:val="single"/>
        </w:rPr>
      </w:pPr>
      <w:bookmarkStart w:id="123" w:name="_Toc44926626"/>
    </w:p>
    <w:p w14:paraId="4E31721C" w14:textId="12DA9C72" w:rsidR="00C1188C" w:rsidRPr="00BA4F0F" w:rsidRDefault="00C1188C" w:rsidP="00C1188C">
      <w:pPr>
        <w:pStyle w:val="afe"/>
        <w:ind w:left="0"/>
        <w:rPr>
          <w:rFonts w:cs="Times New Roman"/>
          <w:szCs w:val="24"/>
          <w:u w:val="single"/>
        </w:rPr>
      </w:pPr>
      <w:r w:rsidRPr="00BA4F0F">
        <w:rPr>
          <w:rFonts w:cs="Times New Roman"/>
          <w:szCs w:val="24"/>
          <w:u w:val="single"/>
        </w:rPr>
        <w:t xml:space="preserve">Специальные методы обследования при </w:t>
      </w:r>
      <w:r w:rsidR="00176DDF">
        <w:rPr>
          <w:rFonts w:cs="Times New Roman"/>
          <w:szCs w:val="24"/>
          <w:u w:val="single"/>
        </w:rPr>
        <w:t xml:space="preserve">лимфомах </w:t>
      </w:r>
      <w:bookmarkEnd w:id="123"/>
    </w:p>
    <w:p w14:paraId="00980A42"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63CE2AB1"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7748A24A"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3886DBF5"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28B10F36"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УЗИ периферических лимфоузлов.</w:t>
      </w:r>
    </w:p>
    <w:p w14:paraId="2BA14FDA"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668131BD" w14:textId="77777777" w:rsidR="00C1188C" w:rsidRPr="00BA4F0F" w:rsidRDefault="00C1188C" w:rsidP="000768AC">
      <w:pPr>
        <w:pStyle w:val="Numlist"/>
        <w:numPr>
          <w:ilvl w:val="0"/>
          <w:numId w:val="114"/>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055E0DCF" w14:textId="77777777" w:rsidR="00C1188C" w:rsidRPr="00BA4F0F" w:rsidRDefault="00C1188C" w:rsidP="00C1188C">
      <w:pPr>
        <w:rPr>
          <w:rFonts w:cs="Times New Roman"/>
          <w:b/>
          <w:i/>
          <w:szCs w:val="24"/>
        </w:rPr>
      </w:pPr>
    </w:p>
    <w:p w14:paraId="650837CF" w14:textId="77777777" w:rsidR="00C1188C" w:rsidRPr="00BA4F0F" w:rsidRDefault="00C1188C" w:rsidP="00C1188C">
      <w:pPr>
        <w:rPr>
          <w:rFonts w:cs="Times New Roman"/>
          <w:b/>
          <w:szCs w:val="24"/>
        </w:rPr>
      </w:pPr>
      <w:bookmarkStart w:id="124" w:name="_Toc44926627"/>
      <w:r w:rsidRPr="00BA4F0F">
        <w:rPr>
          <w:rFonts w:cs="Times New Roman"/>
          <w:b/>
          <w:szCs w:val="24"/>
        </w:rPr>
        <w:t>Режимы предтрансплантационной подготовки при ауто-ТГСК</w:t>
      </w:r>
      <w:bookmarkEnd w:id="124"/>
      <w:r w:rsidRPr="00BA4F0F">
        <w:rPr>
          <w:rFonts w:cs="Times New Roman"/>
          <w:b/>
          <w:szCs w:val="24"/>
        </w:rPr>
        <w:t xml:space="preserve"> </w:t>
      </w:r>
    </w:p>
    <w:p w14:paraId="0751DE2A" w14:textId="77777777" w:rsidR="00C1188C" w:rsidRPr="00BA4F0F" w:rsidRDefault="00C1188C" w:rsidP="00C1188C">
      <w:pPr>
        <w:pStyle w:val="afe"/>
        <w:ind w:left="0" w:firstLine="426"/>
        <w:rPr>
          <w:rFonts w:cs="Times New Roman"/>
          <w:szCs w:val="24"/>
        </w:rPr>
      </w:pPr>
      <w:r w:rsidRPr="00BA4F0F">
        <w:rPr>
          <w:rFonts w:cs="Times New Roman"/>
          <w:szCs w:val="24"/>
        </w:rPr>
        <w:t>Трансплантация аутологичных гемопоэтических стволовых клеток крови включает в себя несколько этапов, среди которых различают мобилизацию и сбор ГСК, предтрансплантационную подготовку («кондиционирование» / введение химиопрепаратов в высоких дозах), инфузию ГСК в центральный венозный катетер, ранний посттрансплантационный период, характеризующийся высокой частотой развития инфекционных осложнений на фоне МТА.</w:t>
      </w:r>
    </w:p>
    <w:p w14:paraId="6AC49C30" w14:textId="77777777" w:rsidR="00C1188C" w:rsidRPr="00BA4F0F" w:rsidRDefault="00C1188C" w:rsidP="00C1188C">
      <w:pPr>
        <w:pStyle w:val="afe"/>
        <w:ind w:left="0" w:firstLine="426"/>
        <w:rPr>
          <w:rFonts w:cs="Times New Roman"/>
          <w:szCs w:val="24"/>
        </w:rPr>
      </w:pPr>
      <w:r w:rsidRPr="00BA4F0F">
        <w:rPr>
          <w:rFonts w:cs="Times New Roman"/>
          <w:szCs w:val="24"/>
        </w:rPr>
        <w:t>При различных вариантах гемобластозов используются различные режимы кондиционирования.</w:t>
      </w:r>
    </w:p>
    <w:p w14:paraId="13A8E0B7" w14:textId="77777777" w:rsidR="00C1188C" w:rsidRPr="00BA4F0F" w:rsidRDefault="00C1188C" w:rsidP="00C1188C">
      <w:pPr>
        <w:pStyle w:val="afe"/>
        <w:ind w:left="0"/>
        <w:rPr>
          <w:rFonts w:cs="Times New Roman"/>
          <w:szCs w:val="24"/>
          <w:u w:val="single"/>
        </w:rPr>
      </w:pPr>
      <w:bookmarkStart w:id="125" w:name="_Toc44926628"/>
    </w:p>
    <w:p w14:paraId="4E74250E" w14:textId="77777777" w:rsidR="00C1188C" w:rsidRPr="00BA4F0F" w:rsidRDefault="00C1188C" w:rsidP="00C1188C">
      <w:pPr>
        <w:pStyle w:val="afe"/>
        <w:ind w:left="0"/>
        <w:rPr>
          <w:rFonts w:cs="Times New Roman"/>
          <w:szCs w:val="24"/>
          <w:u w:val="single"/>
        </w:rPr>
      </w:pPr>
      <w:bookmarkStart w:id="126" w:name="_Toc44926629"/>
      <w:bookmarkEnd w:id="125"/>
      <w:r w:rsidRPr="00B436BD">
        <w:rPr>
          <w:rFonts w:cs="Times New Roman"/>
          <w:szCs w:val="24"/>
          <w:u w:val="single"/>
        </w:rPr>
        <w:t>Режимы кондиционирования при лимфопролиферативных заболеваниях</w:t>
      </w:r>
      <w:bookmarkEnd w:id="126"/>
    </w:p>
    <w:p w14:paraId="58BE79F4" w14:textId="77777777" w:rsidR="00C1188C" w:rsidRPr="00BA4F0F" w:rsidRDefault="00C1188C" w:rsidP="00C1188C">
      <w:pPr>
        <w:ind w:firstLine="426"/>
        <w:rPr>
          <w:rFonts w:cs="Times New Roman"/>
          <w:szCs w:val="24"/>
        </w:rPr>
      </w:pPr>
      <w:r w:rsidRPr="00BA4F0F">
        <w:rPr>
          <w:rFonts w:cs="Times New Roman"/>
          <w:szCs w:val="24"/>
        </w:rPr>
        <w:t>Цель высокодозной химиотерапии - устранение оставшихся после противоопухолевой терапии опухолевых клеток с минимальным токсическим воздействием на системы органов.</w:t>
      </w:r>
    </w:p>
    <w:p w14:paraId="1E5966C0" w14:textId="7E2D5EB1" w:rsidR="00C1188C" w:rsidRPr="00BA4F0F" w:rsidRDefault="00C1188C" w:rsidP="00C1188C">
      <w:pPr>
        <w:ind w:firstLine="426"/>
        <w:rPr>
          <w:rFonts w:cs="Times New Roman"/>
          <w:szCs w:val="24"/>
        </w:rPr>
      </w:pPr>
      <w:r w:rsidRPr="00BA4F0F">
        <w:rPr>
          <w:rFonts w:cs="Times New Roman"/>
          <w:szCs w:val="24"/>
        </w:rPr>
        <w:t>Для предтрансплантационной подготовки при НХЛ, ЛХ, плазмобластной лимфоме используют режим кондиционирования BEAM, который, состоит из BCNU (300 мг / м</w:t>
      </w:r>
      <w:r w:rsidRPr="00BA4F0F">
        <w:rPr>
          <w:rFonts w:cs="Times New Roman"/>
          <w:szCs w:val="24"/>
          <w:vertAlign w:val="superscript"/>
        </w:rPr>
        <w:t>2</w:t>
      </w:r>
      <w:r w:rsidRPr="00BA4F0F">
        <w:rPr>
          <w:rFonts w:cs="Times New Roman"/>
          <w:szCs w:val="24"/>
        </w:rPr>
        <w:t xml:space="preserve"> × 1, день-6), VP (200 мг / м</w:t>
      </w:r>
      <w:r w:rsidRPr="00BA4F0F">
        <w:rPr>
          <w:rFonts w:cs="Times New Roman"/>
          <w:szCs w:val="24"/>
          <w:vertAlign w:val="superscript"/>
        </w:rPr>
        <w:t>2</w:t>
      </w:r>
      <w:r w:rsidRPr="00BA4F0F">
        <w:rPr>
          <w:rFonts w:cs="Times New Roman"/>
          <w:szCs w:val="24"/>
        </w:rPr>
        <w:t>, дни от -5 до -2), Ara-C (200 мг/м</w:t>
      </w:r>
      <w:r w:rsidRPr="00BA4F0F">
        <w:rPr>
          <w:rFonts w:cs="Times New Roman"/>
          <w:szCs w:val="24"/>
          <w:vertAlign w:val="superscript"/>
        </w:rPr>
        <w:t xml:space="preserve">2 </w:t>
      </w:r>
      <w:r w:rsidRPr="00BA4F0F">
        <w:rPr>
          <w:rFonts w:cs="Times New Roman"/>
          <w:szCs w:val="24"/>
        </w:rPr>
        <w:t>х дважды в день, дни от -5 до - 2), и MEL (140 мг / м</w:t>
      </w:r>
      <w:r w:rsidRPr="00BA4F0F">
        <w:rPr>
          <w:rFonts w:cs="Times New Roman"/>
          <w:szCs w:val="24"/>
          <w:vertAlign w:val="superscript"/>
        </w:rPr>
        <w:t>2</w:t>
      </w:r>
      <w:r w:rsidRPr="00BA4F0F">
        <w:rPr>
          <w:rFonts w:cs="Times New Roman"/>
          <w:szCs w:val="24"/>
        </w:rPr>
        <w:t xml:space="preserve">/ день × 1, дни -1) </w:t>
      </w:r>
      <w:r w:rsidRPr="00BA4F0F">
        <w:rPr>
          <w:rFonts w:cs="Times New Roman"/>
          <w:szCs w:val="24"/>
        </w:rPr>
        <w:fldChar w:fldCharType="begin" w:fldLock="1"/>
      </w:r>
      <w:r w:rsidR="00146A73">
        <w:rPr>
          <w:rFonts w:cs="Times New Roman"/>
          <w:szCs w:val="24"/>
        </w:rPr>
        <w:instrText>ADDIN CSL_CITATION {"citationItems":[{"id":"ITEM-1","itemData":{"ISBN":"9783030022778","author":[{"dropping-particle":"","family":"Enric Carreras","given":"Dufour Carlo","non-dropping-particle":"","parse-names":false,"suffix":""},{"dropping-particle":"","family":"Mohty Mohamad","given":"Kröger Nicolaus","non-dropping-particle":"","parse-names":false,"suffix":""}],"id":"ITEM-1","issued":{"date-parts":[["2019"]]},"number-of-pages":"702","title":"Hematopoietic Stem Cell Transplantation and Cellular Therapies","type":"book"},"uris":["http://www.mendeley.com/documents/?uuid=891fa663-7797-4301-8893-3b0a5d75b173","http://www.mendeley.com/documents/?uuid=b2895edd-cfbd-4cbf-8d9b-e50422d61d71"]},{"id":"ITEM-2","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Poland)","id":"ITEM-2","issue":"2","issued":{"date-parts":[["2018"]]},"page":"113-117","publisher":"Termedia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5cbf9ec0-cb46-34bb-9da8-ba263a19a7fa","http://www.mendeley.com/documents/?uuid=fae33e18-ab1d-4ae6-86c6-c9c239bca9c9"]},{"id":"ITEM-3","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transplantation","id":"ITEM-3","issue":"6","issued":{"date-parts":[["1997","9"]]},"page":"451-8","publisher":"Bone Marrow Transplant","title":"BEAM chemotherapy followed by autologous stem cell support in lymphoma patients: analysis of efficacy, toxicity and prognostic factors.","type":"article-journal","volume":"20"},"uris":["http://www.mendeley.com/documents/?uuid=83d43668-9134-3bde-8ac7-eb055fb3d2a1","http://www.mendeley.com/documents/?uuid=2b94cb18-5ce5-4ed6-a557-5d87d182dcc3"]}],"mendeley":{"formattedCitation":"[119–121]","plainTextFormattedCitation":"[119–121]","previouslyFormattedCitation":"[119–121]"},"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[119–121]</w:t>
      </w:r>
      <w:r w:rsidRPr="00BA4F0F">
        <w:rPr>
          <w:rFonts w:cs="Times New Roman"/>
          <w:szCs w:val="24"/>
        </w:rPr>
        <w:fldChar w:fldCharType="end"/>
      </w:r>
      <w:r w:rsidRPr="00BA4F0F">
        <w:rPr>
          <w:rFonts w:cs="Times New Roman"/>
          <w:szCs w:val="24"/>
        </w:rPr>
        <w:t xml:space="preserve">. Схемы введения </w:t>
      </w:r>
      <w:r w:rsidRPr="00B436BD">
        <w:rPr>
          <w:rFonts w:cs="Times New Roman"/>
          <w:szCs w:val="24"/>
        </w:rPr>
        <w:t xml:space="preserve">препаратов и дозы представлены в таблице </w:t>
      </w:r>
      <w:r w:rsidR="00B436BD" w:rsidRPr="00B436BD">
        <w:rPr>
          <w:rFonts w:cs="Times New Roman"/>
          <w:szCs w:val="24"/>
        </w:rPr>
        <w:t>5</w:t>
      </w:r>
      <w:r w:rsidRPr="00B436BD">
        <w:rPr>
          <w:rFonts w:cs="Times New Roman"/>
          <w:szCs w:val="24"/>
        </w:rPr>
        <w:t>.</w:t>
      </w:r>
    </w:p>
    <w:p w14:paraId="66C796CF" w14:textId="77777777" w:rsidR="00C1188C" w:rsidRPr="00BA4F0F" w:rsidRDefault="00C1188C" w:rsidP="00C1188C">
      <w:pPr>
        <w:ind w:firstLine="426"/>
        <w:rPr>
          <w:rFonts w:cs="Times New Roman"/>
          <w:szCs w:val="24"/>
        </w:rPr>
      </w:pPr>
      <w:r w:rsidRPr="00BA4F0F">
        <w:rPr>
          <w:rFonts w:cs="Times New Roman"/>
          <w:szCs w:val="24"/>
        </w:rPr>
        <w:t>Ранняя токсичность режима BEAM включает тяжелый мукозит, тошноту и рвоту, диарею, гепатотоксичность, нефротоксичность и неинфекционные легочные осложнения.</w:t>
      </w:r>
    </w:p>
    <w:p w14:paraId="11F172D8" w14:textId="77777777" w:rsidR="00C1188C" w:rsidRPr="00BA4F0F" w:rsidRDefault="00C1188C" w:rsidP="00C1188C">
      <w:pPr>
        <w:ind w:firstLine="426"/>
        <w:rPr>
          <w:rFonts w:cs="Times New Roman"/>
          <w:szCs w:val="24"/>
        </w:rPr>
      </w:pPr>
      <w:r w:rsidRPr="00BA4F0F">
        <w:rPr>
          <w:rFonts w:cs="Times New Roman"/>
          <w:szCs w:val="24"/>
        </w:rPr>
        <w:t>Поздняя токсичность включает легочные осложнения, такие как хронический интерстициальный фиброз и снижение диффузионной способности легких (21%), инфекция (30%), метаболический синдром (17%), сердечно-сосудистые осложнения (12%), вторичные опухоли (20%).</w:t>
      </w:r>
    </w:p>
    <w:p w14:paraId="76CF94AB" w14:textId="77777777" w:rsidR="00C1188C" w:rsidRPr="00BA4F0F" w:rsidRDefault="00C1188C" w:rsidP="00C1188C">
      <w:pPr>
        <w:ind w:firstLine="426"/>
        <w:rPr>
          <w:rFonts w:cs="Times New Roman"/>
          <w:b/>
          <w:szCs w:val="24"/>
        </w:rPr>
      </w:pPr>
    </w:p>
    <w:p w14:paraId="148759E9" w14:textId="0E727E8A" w:rsidR="00C1188C" w:rsidRPr="00BA4F0F" w:rsidRDefault="00C1188C" w:rsidP="00C1188C">
      <w:pPr>
        <w:ind w:firstLine="426"/>
        <w:rPr>
          <w:rFonts w:cs="Times New Roman"/>
          <w:szCs w:val="24"/>
        </w:rPr>
      </w:pPr>
      <w:r w:rsidRPr="00B436BD">
        <w:rPr>
          <w:rFonts w:cs="Times New Roman"/>
          <w:szCs w:val="24"/>
        </w:rPr>
        <w:t xml:space="preserve">Таблица 7. Схема предтрансплантационного кондиционирования </w:t>
      </w:r>
      <w:r w:rsidRPr="00B436BD">
        <w:rPr>
          <w:rFonts w:cs="Times New Roman"/>
          <w:szCs w:val="24"/>
          <w:lang w:val="en-US"/>
        </w:rPr>
        <w:t>BEAM</w:t>
      </w:r>
      <w:r w:rsidRPr="00B436BD">
        <w:rPr>
          <w:rFonts w:cs="Times New Roman"/>
          <w:szCs w:val="24"/>
        </w:rPr>
        <w:t xml:space="preserve"> </w:t>
      </w:r>
      <w:r w:rsidRPr="00B436BD">
        <w:rPr>
          <w:rFonts w:cs="Times New Roman"/>
          <w:szCs w:val="24"/>
          <w:lang w:val="en-US"/>
        </w:rPr>
        <w:fldChar w:fldCharType="begin" w:fldLock="1"/>
      </w:r>
      <w:r w:rsidR="00146A73">
        <w:rPr>
          <w:rFonts w:cs="Times New Roman"/>
          <w:szCs w:val="24"/>
          <w:lang w:val="en-US"/>
        </w:rPr>
        <w:instrText>ADDIN CSL_CITATION {"citationItems":[{"id":"ITEM-1","itemData":{"DOI":"10.1200/JCO.1995.13.3.588","ISSN":"0732-183X","PMID":"7884420","abstract":"PURPOSE To evaluate the outcome of patients with relapsed or resistant non-Hodgkin's lymphoma (NHL) undergoing high-dose chemotherapy and autologous bone marrow transplantation (ABMT) and to determine the main prognostic factors. PATIENTS AND METHODS One hundred seven patients with relapsed or resistant intermediate-/high-grade NHL underwent high-dose carmustine, etoposide, cytarabine, and melphalan (BEAM) chemotherapy and ABMT at University College Hospitals between September 1981 and February 1993. The minimum follow-up duration of all patients is 6 months. RESULTS At 3 months, the overall response rate to BEAM and ABMT was 73% (41% complete response and 32% partial response). The 5-year actuarial overall survival and progression-free survival rates were 41% and 35%, respectively. The early procedure-related mortality rate was 7% (eight of 107 patients). On multivariate analysis, the main prognostic factor was disease status at the time of ABMT. Patients with chemosensitive disease had an actuarial 5-year survival rate of 49% at 5 years compared with 13% for those with chemoresistant disease (P &lt; .001). For patients considered to have chemosensitive disease at the time of transplantation, there is a significant difference in the actuarial progression-free survival rates for those who received high-dose therapy after attaining a partial response to first-line therapy (69% at 5 years) as compared with those with sensitive but relapsed disease (32% at 5 years) (P = .003). CONCLUSION Patients with chemosensitive disease benefit most from high-dose chemotherapy, and those who receive such therapy early after achieving a partial response to first-line therapy have a high rate of cure.","author":[{"dropping-particle":"","family":"Mills","given":"W","non-dropping-particle":"","parse-names":false,"suffix":""},{"dropping-particle":"","family":"Chopra","given":"R","non-dropping-particle":"","parse-names":false,"suffix":""},{"dropping-particle":"","family":"McMillan","given":"A","non-dropping-particle":"","parse-names":false,"suffix":""},{"dropping-particle":"","family":"Pearce","given":"R","non-dropping-particle":"","parse-names":false,"suffix":""},{"dropping-particle":"","family":"Linch","given":"D C","non-dropping-particle":"","parse-names":false,"suffix":""},{"dropping-particle":"","family":"Goldstone","given":"A H","non-dropping-particle":"","parse-names":false,"suffix":""}],"container-title":"Journal of clinical oncology : official journal of the American Society of Clinical Oncology","id":"ITEM-1","issue":"3","issued":{"date-parts":[["1995","3"]]},"page":"588-95","publisher":"J Clin Oncol","title":"BEAM chemotherapy and autologous bone marrow transplantation for patients with relapsed or refractory non-Hodgkin's lymphoma.","type":"article-journal","volume":"13"},"uris":["http://www.mendeley.com/documents/?uuid=31ee3b3b-7e9b-351f-9bed-caba68be2117","http://www.mendeley.com/documents/?uuid=d7dd3d81-9258-4d54-8bba-a07894a41483"]},{"id":"ITEM-2","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oncology","id":"ITEM-2","issued":{"date-parts":[["2019","9"]]},"page":"892","title":"LEAM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f0950c98-e48f-3e46-9b59-e92d523f0b5d","http://www.mendeley.com/documents/?uuid=1a8d312b-cff1-42d2-81dd-d36c0430abd5"]},{"id":"ITEM-3","itemData":{"ISBN":"9783030022778","author":[{"dropping-particle":"","family":"Enric Carreras","given":"Dufour Carlo","non-dropping-particle":"","parse-names":false,"suffix":""},{"dropping-particle":"","family":"Mohty Mohamad","given":"Kröger Nicolaus","non-dropping-particle":"","parse-names":false,"suffix":""}],"id":"ITEM-3","issued":{"date-parts":[["2019"]]},"number-of-pages":"702","title":"Hematopoietic Stem Cell Transplantation and Cellular Therapies","type":"book"},"uris":["http://www.mendeley.com/documents/?uuid=b2895edd-cfbd-4cbf-8d9b-e50422d61d71","http://www.mendeley.com/documents/?uuid=891fa663-7797-4301-8893-3b0a5d75b173"]},{"id":"ITEM-4","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Poland)","id":"ITEM-4","issue":"2","issued":{"date-parts":[["2018"]]},"page":"113-117","publisher":"Termedia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fae33e18-ab1d-4ae6-86c6-c9c239bca9c9","http://www.mendeley.com/documents/?uuid=5cbf9ec0-cb46-34bb-9da8-ba263a19a7fa","http://www.mendeley.com/documents/?uuid=16329f66-6ee6-49a6-bcf0-a4309ffb9b19"]},{"id":"ITEM-5","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transplantation","id":"ITEM-5","issue":"6","issued":{"date-parts":[["1997","9"]]},"page":"451-8","publisher":"Bone Marrow Transplant","title":"BEAM chemotherapy followed by autologous stem cell support in lymphoma patients: analysis of efficacy, toxicity and prognostic factors.","type":"article-journal","volume":"20"},"uris":["http://www.mendeley.com/documents/?uuid=2b94cb18-5ce5-4ed6-a557-5d87d182dcc3","http://www.mendeley.com/documents/?uuid=83d43668-9134-3bde-8ac7-eb055fb3d2a1","http://www.mendeley.com/documents/?uuid=45bc2ec5-b853-48e8-a5e0-d90f0a5a885e"]}],"mendeley":{"formattedCitation":"[119–123]","plainTextFormattedCitation":"[119–123]","previouslyFormattedCitation":"[119–123]"},"properties":{"noteIndex":0},"schema":"https://github.com/citation-style-language/schema/raw/master/csl-citation.json"}</w:instrText>
      </w:r>
      <w:r w:rsidRPr="00B436BD">
        <w:rPr>
          <w:rFonts w:cs="Times New Roman"/>
          <w:szCs w:val="24"/>
          <w:lang w:val="en-US"/>
        </w:rPr>
        <w:fldChar w:fldCharType="separate"/>
      </w:r>
      <w:r w:rsidR="00B436BD" w:rsidRPr="00B436BD">
        <w:rPr>
          <w:rFonts w:cs="Times New Roman"/>
          <w:noProof/>
          <w:szCs w:val="24"/>
        </w:rPr>
        <w:t>[119–123]</w:t>
      </w:r>
      <w:r w:rsidRPr="00B436BD">
        <w:rPr>
          <w:rFonts w:cs="Times New Roman"/>
          <w:szCs w:val="24"/>
          <w:lang w:val="en-US"/>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C1188C" w:rsidRPr="00BA4F0F" w14:paraId="426F1D56" w14:textId="77777777" w:rsidTr="005A428D">
        <w:tc>
          <w:tcPr>
            <w:tcW w:w="1418" w:type="dxa"/>
          </w:tcPr>
          <w:p w14:paraId="279107CD" w14:textId="77777777" w:rsidR="00C1188C" w:rsidRPr="00BA4F0F" w:rsidRDefault="00C1188C" w:rsidP="00B436BD">
            <w:pPr>
              <w:pStyle w:val="afe"/>
              <w:ind w:left="0" w:firstLine="0"/>
              <w:rPr>
                <w:rFonts w:cs="Times New Roman"/>
                <w:szCs w:val="24"/>
              </w:rPr>
            </w:pPr>
            <w:r w:rsidRPr="00BA4F0F">
              <w:rPr>
                <w:rFonts w:cs="Times New Roman"/>
                <w:szCs w:val="24"/>
              </w:rPr>
              <w:t>Препарат</w:t>
            </w:r>
          </w:p>
        </w:tc>
        <w:tc>
          <w:tcPr>
            <w:tcW w:w="1701" w:type="dxa"/>
          </w:tcPr>
          <w:p w14:paraId="01E51A3E" w14:textId="77777777" w:rsidR="00C1188C" w:rsidRPr="00BA4F0F" w:rsidRDefault="00C1188C" w:rsidP="00B436BD">
            <w:pPr>
              <w:pStyle w:val="afe"/>
              <w:ind w:left="0" w:firstLine="0"/>
              <w:rPr>
                <w:rFonts w:cs="Times New Roman"/>
                <w:szCs w:val="24"/>
              </w:rPr>
            </w:pPr>
            <w:r w:rsidRPr="00BA4F0F">
              <w:rPr>
                <w:rFonts w:cs="Times New Roman"/>
                <w:szCs w:val="24"/>
              </w:rPr>
              <w:t>Дни введения перед ауто-ТГСК</w:t>
            </w:r>
          </w:p>
        </w:tc>
        <w:tc>
          <w:tcPr>
            <w:tcW w:w="1134" w:type="dxa"/>
          </w:tcPr>
          <w:p w14:paraId="4D2C7D09" w14:textId="77777777" w:rsidR="00C1188C" w:rsidRPr="00BA4F0F" w:rsidRDefault="00C1188C" w:rsidP="00B436BD">
            <w:pPr>
              <w:pStyle w:val="afe"/>
              <w:ind w:left="0" w:firstLine="0"/>
              <w:rPr>
                <w:rFonts w:cs="Times New Roman"/>
                <w:szCs w:val="24"/>
              </w:rPr>
            </w:pPr>
            <w:r w:rsidRPr="00BA4F0F">
              <w:rPr>
                <w:rFonts w:cs="Times New Roman"/>
                <w:szCs w:val="24"/>
              </w:rPr>
              <w:t>Разовая доза</w:t>
            </w:r>
          </w:p>
        </w:tc>
        <w:tc>
          <w:tcPr>
            <w:tcW w:w="1276" w:type="dxa"/>
          </w:tcPr>
          <w:p w14:paraId="3EC5AB2C" w14:textId="77777777" w:rsidR="00C1188C" w:rsidRPr="00BA4F0F" w:rsidRDefault="00C1188C" w:rsidP="00B436BD">
            <w:pPr>
              <w:pStyle w:val="afe"/>
              <w:ind w:left="0" w:firstLine="0"/>
              <w:rPr>
                <w:rFonts w:cs="Times New Roman"/>
                <w:szCs w:val="24"/>
              </w:rPr>
            </w:pPr>
            <w:r w:rsidRPr="00BA4F0F">
              <w:rPr>
                <w:rFonts w:cs="Times New Roman"/>
                <w:szCs w:val="24"/>
              </w:rPr>
              <w:t>Суточная доза</w:t>
            </w:r>
          </w:p>
        </w:tc>
        <w:tc>
          <w:tcPr>
            <w:tcW w:w="1275" w:type="dxa"/>
          </w:tcPr>
          <w:p w14:paraId="40448CDA" w14:textId="77777777" w:rsidR="00C1188C" w:rsidRPr="00BA4F0F" w:rsidRDefault="00C1188C" w:rsidP="00B436BD">
            <w:pPr>
              <w:pStyle w:val="afe"/>
              <w:ind w:left="0" w:firstLine="0"/>
              <w:rPr>
                <w:rFonts w:cs="Times New Roman"/>
                <w:szCs w:val="24"/>
              </w:rPr>
            </w:pPr>
            <w:r w:rsidRPr="00BA4F0F">
              <w:rPr>
                <w:rFonts w:cs="Times New Roman"/>
                <w:szCs w:val="24"/>
              </w:rPr>
              <w:t>Курсовая доза</w:t>
            </w:r>
          </w:p>
        </w:tc>
        <w:tc>
          <w:tcPr>
            <w:tcW w:w="2659" w:type="dxa"/>
          </w:tcPr>
          <w:p w14:paraId="20DC672E" w14:textId="77777777" w:rsidR="00C1188C" w:rsidRPr="00BA4F0F" w:rsidRDefault="00C1188C" w:rsidP="00B436BD">
            <w:pPr>
              <w:pStyle w:val="afe"/>
              <w:ind w:left="0" w:firstLine="0"/>
              <w:rPr>
                <w:rFonts w:cs="Times New Roman"/>
                <w:szCs w:val="24"/>
              </w:rPr>
            </w:pPr>
            <w:r w:rsidRPr="00BA4F0F">
              <w:rPr>
                <w:rFonts w:cs="Times New Roman"/>
                <w:szCs w:val="24"/>
              </w:rPr>
              <w:t>Особенности введения</w:t>
            </w:r>
          </w:p>
        </w:tc>
      </w:tr>
      <w:tr w:rsidR="00C1188C" w:rsidRPr="00BA4F0F" w14:paraId="2B65FEA8" w14:textId="77777777" w:rsidTr="005A428D">
        <w:tc>
          <w:tcPr>
            <w:tcW w:w="1418" w:type="dxa"/>
          </w:tcPr>
          <w:p w14:paraId="3BC54CFA" w14:textId="77777777" w:rsidR="00C1188C" w:rsidRPr="00BA4F0F" w:rsidRDefault="00C1188C" w:rsidP="00B436BD">
            <w:pPr>
              <w:pStyle w:val="afe"/>
              <w:ind w:left="0" w:firstLine="0"/>
              <w:jc w:val="center"/>
              <w:rPr>
                <w:rFonts w:cs="Times New Roman"/>
                <w:szCs w:val="24"/>
              </w:rPr>
            </w:pPr>
            <w:r w:rsidRPr="00BA4F0F">
              <w:rPr>
                <w:rFonts w:cs="Times New Roman"/>
                <w:szCs w:val="24"/>
              </w:rPr>
              <w:t>Кармустин</w:t>
            </w:r>
          </w:p>
        </w:tc>
        <w:tc>
          <w:tcPr>
            <w:tcW w:w="1701" w:type="dxa"/>
          </w:tcPr>
          <w:p w14:paraId="1B26D968" w14:textId="77777777" w:rsidR="00C1188C" w:rsidRPr="00BA4F0F" w:rsidRDefault="00C1188C" w:rsidP="00B436BD">
            <w:pPr>
              <w:pStyle w:val="afe"/>
              <w:ind w:left="0" w:firstLine="0"/>
              <w:jc w:val="center"/>
              <w:rPr>
                <w:rFonts w:cs="Times New Roman"/>
                <w:szCs w:val="24"/>
              </w:rPr>
            </w:pPr>
            <w:r w:rsidRPr="00BA4F0F">
              <w:rPr>
                <w:rFonts w:cs="Times New Roman"/>
                <w:szCs w:val="24"/>
              </w:rPr>
              <w:t>-6 день</w:t>
            </w:r>
          </w:p>
        </w:tc>
        <w:tc>
          <w:tcPr>
            <w:tcW w:w="1134" w:type="dxa"/>
          </w:tcPr>
          <w:p w14:paraId="3C6F224E" w14:textId="77777777" w:rsidR="00C1188C" w:rsidRPr="00BA4F0F" w:rsidRDefault="00C1188C" w:rsidP="00B436BD">
            <w:pPr>
              <w:pStyle w:val="afe"/>
              <w:ind w:left="0" w:firstLine="0"/>
              <w:jc w:val="center"/>
              <w:rPr>
                <w:rFonts w:cs="Times New Roman"/>
                <w:szCs w:val="24"/>
              </w:rPr>
            </w:pPr>
            <w:r w:rsidRPr="00BA4F0F">
              <w:rPr>
                <w:rFonts w:cs="Times New Roman"/>
                <w:szCs w:val="24"/>
              </w:rPr>
              <w:t>300мг/м</w:t>
            </w:r>
            <w:r w:rsidRPr="00BA4F0F">
              <w:rPr>
                <w:rFonts w:cs="Times New Roman"/>
                <w:szCs w:val="24"/>
                <w:vertAlign w:val="superscript"/>
              </w:rPr>
              <w:t>2</w:t>
            </w:r>
          </w:p>
        </w:tc>
        <w:tc>
          <w:tcPr>
            <w:tcW w:w="1276" w:type="dxa"/>
          </w:tcPr>
          <w:p w14:paraId="0E83D4AB" w14:textId="77777777" w:rsidR="00C1188C" w:rsidRPr="00BA4F0F" w:rsidRDefault="00C1188C" w:rsidP="00B436BD">
            <w:pPr>
              <w:pStyle w:val="afe"/>
              <w:ind w:left="0" w:firstLine="0"/>
              <w:jc w:val="center"/>
              <w:rPr>
                <w:rFonts w:cs="Times New Roman"/>
                <w:szCs w:val="24"/>
              </w:rPr>
            </w:pPr>
            <w:r w:rsidRPr="00BA4F0F">
              <w:rPr>
                <w:rFonts w:cs="Times New Roman"/>
                <w:szCs w:val="24"/>
              </w:rPr>
              <w:t>300 мг/м</w:t>
            </w:r>
            <w:r w:rsidRPr="00BA4F0F">
              <w:rPr>
                <w:rFonts w:cs="Times New Roman"/>
                <w:szCs w:val="24"/>
                <w:vertAlign w:val="superscript"/>
              </w:rPr>
              <w:t>2</w:t>
            </w:r>
          </w:p>
        </w:tc>
        <w:tc>
          <w:tcPr>
            <w:tcW w:w="1275" w:type="dxa"/>
          </w:tcPr>
          <w:p w14:paraId="72825ECA" w14:textId="77777777" w:rsidR="00C1188C" w:rsidRPr="00BA4F0F" w:rsidRDefault="00C1188C" w:rsidP="00B436BD">
            <w:pPr>
              <w:pStyle w:val="afe"/>
              <w:ind w:left="0" w:firstLine="0"/>
              <w:jc w:val="center"/>
              <w:rPr>
                <w:rFonts w:cs="Times New Roman"/>
                <w:szCs w:val="24"/>
              </w:rPr>
            </w:pPr>
            <w:r w:rsidRPr="00BA4F0F">
              <w:rPr>
                <w:rFonts w:cs="Times New Roman"/>
                <w:szCs w:val="24"/>
              </w:rPr>
              <w:t>300 мг/м</w:t>
            </w:r>
            <w:r w:rsidRPr="00BA4F0F">
              <w:rPr>
                <w:rFonts w:cs="Times New Roman"/>
                <w:szCs w:val="24"/>
                <w:vertAlign w:val="superscript"/>
              </w:rPr>
              <w:t>2</w:t>
            </w:r>
          </w:p>
        </w:tc>
        <w:tc>
          <w:tcPr>
            <w:tcW w:w="2659" w:type="dxa"/>
          </w:tcPr>
          <w:p w14:paraId="0E7B4DD8"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2 ч в 500 мл 0,9% </w:t>
            </w:r>
            <w:r w:rsidRPr="00BA4F0F">
              <w:rPr>
                <w:rFonts w:cs="Times New Roman"/>
                <w:szCs w:val="24"/>
                <w:lang w:val="en-US"/>
              </w:rPr>
              <w:t>NaCl</w:t>
            </w:r>
          </w:p>
        </w:tc>
      </w:tr>
      <w:tr w:rsidR="00C1188C" w:rsidRPr="00BA4F0F" w14:paraId="03757866" w14:textId="77777777" w:rsidTr="005A428D">
        <w:tc>
          <w:tcPr>
            <w:tcW w:w="1418" w:type="dxa"/>
          </w:tcPr>
          <w:p w14:paraId="02E74CCD" w14:textId="77777777" w:rsidR="00C1188C" w:rsidRPr="00BA4F0F" w:rsidRDefault="00C1188C" w:rsidP="00B436BD">
            <w:pPr>
              <w:pStyle w:val="afe"/>
              <w:ind w:left="0" w:firstLine="0"/>
              <w:jc w:val="center"/>
              <w:rPr>
                <w:rFonts w:cs="Times New Roman"/>
                <w:szCs w:val="24"/>
              </w:rPr>
            </w:pPr>
            <w:r w:rsidRPr="00BA4F0F">
              <w:rPr>
                <w:rFonts w:cs="Times New Roman"/>
                <w:szCs w:val="24"/>
              </w:rPr>
              <w:t>Этопозид</w:t>
            </w:r>
          </w:p>
        </w:tc>
        <w:tc>
          <w:tcPr>
            <w:tcW w:w="1701" w:type="dxa"/>
          </w:tcPr>
          <w:p w14:paraId="7E79F8CF" w14:textId="77777777" w:rsidR="00C1188C" w:rsidRPr="00BA4F0F" w:rsidRDefault="00C1188C" w:rsidP="00B436BD">
            <w:pPr>
              <w:pStyle w:val="afe"/>
              <w:ind w:left="0" w:firstLine="0"/>
              <w:jc w:val="center"/>
              <w:rPr>
                <w:rFonts w:cs="Times New Roman"/>
                <w:szCs w:val="24"/>
              </w:rPr>
            </w:pPr>
            <w:r w:rsidRPr="00BA4F0F">
              <w:rPr>
                <w:rFonts w:cs="Times New Roman"/>
                <w:szCs w:val="24"/>
              </w:rPr>
              <w:t>-5, -4, -3, -2 дни</w:t>
            </w:r>
          </w:p>
        </w:tc>
        <w:tc>
          <w:tcPr>
            <w:tcW w:w="1134" w:type="dxa"/>
          </w:tcPr>
          <w:p w14:paraId="284B2114"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6540BAD4" w14:textId="77777777" w:rsidR="00C1188C" w:rsidRPr="00BA4F0F" w:rsidRDefault="00C1188C" w:rsidP="00B436BD">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7F4C4A8D" w14:textId="77777777" w:rsidR="00C1188C" w:rsidRPr="00BA4F0F" w:rsidRDefault="00C1188C" w:rsidP="00B436BD">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2CD506E0"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C1188C" w:rsidRPr="00BA4F0F" w14:paraId="58D2457D" w14:textId="77777777" w:rsidTr="005A428D">
        <w:tc>
          <w:tcPr>
            <w:tcW w:w="1418" w:type="dxa"/>
          </w:tcPr>
          <w:p w14:paraId="4C989D4C" w14:textId="77777777" w:rsidR="00C1188C" w:rsidRPr="00BA4F0F" w:rsidRDefault="00C1188C" w:rsidP="00B436BD">
            <w:pPr>
              <w:pStyle w:val="afe"/>
              <w:ind w:left="0" w:firstLine="0"/>
              <w:jc w:val="center"/>
              <w:rPr>
                <w:rFonts w:cs="Times New Roman"/>
                <w:szCs w:val="24"/>
              </w:rPr>
            </w:pPr>
            <w:r w:rsidRPr="00BA4F0F">
              <w:rPr>
                <w:rFonts w:cs="Times New Roman"/>
                <w:szCs w:val="24"/>
              </w:rPr>
              <w:t>Цитарабин</w:t>
            </w:r>
          </w:p>
        </w:tc>
        <w:tc>
          <w:tcPr>
            <w:tcW w:w="1701" w:type="dxa"/>
          </w:tcPr>
          <w:p w14:paraId="15D747F3" w14:textId="77777777" w:rsidR="00C1188C" w:rsidRPr="00BA4F0F" w:rsidRDefault="00C1188C" w:rsidP="00B436BD">
            <w:pPr>
              <w:pStyle w:val="afe"/>
              <w:ind w:left="0" w:firstLine="0"/>
              <w:jc w:val="center"/>
              <w:rPr>
                <w:rFonts w:cs="Times New Roman"/>
                <w:szCs w:val="24"/>
              </w:rPr>
            </w:pPr>
            <w:r w:rsidRPr="00BA4F0F">
              <w:rPr>
                <w:rFonts w:cs="Times New Roman"/>
                <w:szCs w:val="24"/>
              </w:rPr>
              <w:t>-5, -4, -3, -2 дни</w:t>
            </w:r>
          </w:p>
        </w:tc>
        <w:tc>
          <w:tcPr>
            <w:tcW w:w="1134" w:type="dxa"/>
          </w:tcPr>
          <w:p w14:paraId="7EEFF8DC"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572B09FB" w14:textId="77777777" w:rsidR="00C1188C" w:rsidRPr="00BA4F0F" w:rsidRDefault="00C1188C" w:rsidP="00B436BD">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292AB7FA" w14:textId="77777777" w:rsidR="00C1188C" w:rsidRPr="00BA4F0F" w:rsidRDefault="00C1188C" w:rsidP="00B436BD">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66E0CAD5"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C1188C" w:rsidRPr="00BA4F0F" w14:paraId="060491F0" w14:textId="77777777" w:rsidTr="005A428D">
        <w:tc>
          <w:tcPr>
            <w:tcW w:w="1418" w:type="dxa"/>
          </w:tcPr>
          <w:p w14:paraId="15C0ACC5" w14:textId="77777777" w:rsidR="00C1188C" w:rsidRPr="00BA4F0F" w:rsidRDefault="00C1188C" w:rsidP="00B436BD">
            <w:pPr>
              <w:pStyle w:val="afe"/>
              <w:ind w:left="0" w:firstLine="0"/>
              <w:jc w:val="center"/>
              <w:rPr>
                <w:rFonts w:cs="Times New Roman"/>
                <w:szCs w:val="24"/>
              </w:rPr>
            </w:pPr>
            <w:r w:rsidRPr="00BA4F0F">
              <w:rPr>
                <w:rFonts w:cs="Times New Roman"/>
                <w:szCs w:val="24"/>
              </w:rPr>
              <w:t>Мелфалан</w:t>
            </w:r>
          </w:p>
        </w:tc>
        <w:tc>
          <w:tcPr>
            <w:tcW w:w="1701" w:type="dxa"/>
          </w:tcPr>
          <w:p w14:paraId="1BB0CBAC" w14:textId="77777777" w:rsidR="00C1188C" w:rsidRPr="00BA4F0F" w:rsidRDefault="00C1188C" w:rsidP="00B436BD">
            <w:pPr>
              <w:pStyle w:val="afe"/>
              <w:ind w:left="0" w:firstLine="0"/>
              <w:jc w:val="center"/>
              <w:rPr>
                <w:rFonts w:cs="Times New Roman"/>
                <w:szCs w:val="24"/>
              </w:rPr>
            </w:pPr>
            <w:r w:rsidRPr="00BA4F0F">
              <w:rPr>
                <w:rFonts w:cs="Times New Roman"/>
                <w:szCs w:val="24"/>
              </w:rPr>
              <w:t>- 1 день</w:t>
            </w:r>
          </w:p>
        </w:tc>
        <w:tc>
          <w:tcPr>
            <w:tcW w:w="1134" w:type="dxa"/>
          </w:tcPr>
          <w:p w14:paraId="6882519C" w14:textId="77777777" w:rsidR="00C1188C" w:rsidRPr="00BA4F0F" w:rsidRDefault="00C1188C" w:rsidP="00B436BD">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6A81BC7D" w14:textId="77777777" w:rsidR="00C1188C" w:rsidRPr="00BA4F0F" w:rsidRDefault="00C1188C" w:rsidP="00B436BD">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0E28FA0E" w14:textId="77777777" w:rsidR="00C1188C" w:rsidRPr="00BA4F0F" w:rsidRDefault="00C1188C" w:rsidP="00B436BD">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550D9B1D"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785F54F6" w14:textId="0E49B673" w:rsidR="00C1188C" w:rsidRPr="00BA4F0F" w:rsidRDefault="00C1188C" w:rsidP="00C1188C">
      <w:pPr>
        <w:ind w:firstLine="426"/>
        <w:rPr>
          <w:rFonts w:cs="Times New Roman"/>
          <w:szCs w:val="24"/>
        </w:rPr>
      </w:pPr>
      <w:r w:rsidRPr="00BA4F0F">
        <w:rPr>
          <w:rFonts w:cs="Times New Roman"/>
          <w:szCs w:val="24"/>
        </w:rPr>
        <w:t xml:space="preserve">Для снижения токсичности режима предтрансплантационной подготовки </w:t>
      </w:r>
      <w:r w:rsidRPr="00BA4F0F">
        <w:rPr>
          <w:rFonts w:cs="Times New Roman"/>
          <w:szCs w:val="24"/>
          <w:lang w:val="en-US"/>
        </w:rPr>
        <w:t>BEAM</w:t>
      </w:r>
      <w:r w:rsidRPr="00BA4F0F">
        <w:rPr>
          <w:rFonts w:cs="Times New Roman"/>
          <w:szCs w:val="24"/>
        </w:rPr>
        <w:t xml:space="preserve"> в ряде случаев вместо кармустина используется ломустин (</w:t>
      </w:r>
      <w:r w:rsidRPr="00BA4F0F">
        <w:rPr>
          <w:rFonts w:cs="Times New Roman"/>
          <w:szCs w:val="24"/>
          <w:lang w:val="en-US"/>
        </w:rPr>
        <w:t>CEAM</w:t>
      </w:r>
      <w:r w:rsidRPr="00BA4F0F">
        <w:rPr>
          <w:rFonts w:cs="Times New Roman"/>
          <w:szCs w:val="24"/>
        </w:rPr>
        <w:t xml:space="preserve"> / </w:t>
      </w:r>
      <w:r w:rsidRPr="00BA4F0F">
        <w:rPr>
          <w:rFonts w:cs="Times New Roman"/>
          <w:szCs w:val="24"/>
          <w:lang w:val="en-US"/>
        </w:rPr>
        <w:t>LEAM</w:t>
      </w:r>
      <w:r w:rsidRPr="00BA4F0F">
        <w:rPr>
          <w:rFonts w:cs="Times New Roman"/>
          <w:szCs w:val="24"/>
        </w:rPr>
        <w:t xml:space="preserve">). Схема </w:t>
      </w:r>
      <w:r w:rsidRPr="00B436BD">
        <w:rPr>
          <w:rFonts w:cs="Times New Roman"/>
          <w:szCs w:val="24"/>
        </w:rPr>
        <w:t xml:space="preserve">введения препаратов и дозы представлены в таблице </w:t>
      </w:r>
      <w:r w:rsidR="00B436BD" w:rsidRPr="00B436BD">
        <w:rPr>
          <w:rFonts w:cs="Times New Roman"/>
          <w:szCs w:val="24"/>
        </w:rPr>
        <w:t>6</w:t>
      </w:r>
      <w:r w:rsidRPr="00B436BD">
        <w:rPr>
          <w:rFonts w:cs="Times New Roman"/>
          <w:szCs w:val="24"/>
        </w:rPr>
        <w:t>.</w:t>
      </w:r>
    </w:p>
    <w:p w14:paraId="7C4B6B15" w14:textId="77777777" w:rsidR="00C1188C" w:rsidRPr="00BA4F0F" w:rsidRDefault="00C1188C" w:rsidP="00C1188C">
      <w:pPr>
        <w:ind w:firstLine="426"/>
        <w:rPr>
          <w:rFonts w:cs="Times New Roman"/>
          <w:b/>
          <w:szCs w:val="24"/>
        </w:rPr>
      </w:pPr>
    </w:p>
    <w:p w14:paraId="7457FF6F" w14:textId="4CBCC00C" w:rsidR="00C1188C" w:rsidRPr="004871F2" w:rsidRDefault="00C1188C" w:rsidP="00C1188C">
      <w:pPr>
        <w:ind w:firstLine="426"/>
        <w:rPr>
          <w:rFonts w:cs="Times New Roman"/>
          <w:szCs w:val="24"/>
        </w:rPr>
      </w:pPr>
      <w:r w:rsidRPr="00B436BD">
        <w:rPr>
          <w:rFonts w:cs="Times New Roman"/>
          <w:szCs w:val="24"/>
        </w:rPr>
        <w:t xml:space="preserve">Таблица </w:t>
      </w:r>
      <w:r w:rsidR="00B436BD" w:rsidRPr="00B436BD">
        <w:rPr>
          <w:rFonts w:cs="Times New Roman"/>
          <w:szCs w:val="24"/>
        </w:rPr>
        <w:t>6</w:t>
      </w:r>
      <w:r w:rsidRPr="00B436BD">
        <w:rPr>
          <w:rFonts w:cs="Times New Roman"/>
          <w:szCs w:val="24"/>
        </w:rPr>
        <w:t xml:space="preserve">. Схема предтрансплантационного кондиционирования </w:t>
      </w:r>
      <w:r w:rsidRPr="00B436BD">
        <w:rPr>
          <w:rFonts w:cs="Times New Roman"/>
          <w:szCs w:val="24"/>
          <w:lang w:val="en-US"/>
        </w:rPr>
        <w:t>CEAM</w:t>
      </w:r>
      <w:r w:rsidRPr="00B436BD">
        <w:rPr>
          <w:rFonts w:cs="Times New Roman"/>
          <w:szCs w:val="24"/>
        </w:rPr>
        <w:t>/</w:t>
      </w:r>
      <w:r w:rsidRPr="00B436BD">
        <w:rPr>
          <w:rFonts w:cs="Times New Roman"/>
          <w:szCs w:val="24"/>
          <w:lang w:val="en-US"/>
        </w:rPr>
        <w:t>LEAM</w:t>
      </w:r>
      <w:r w:rsidRPr="00BA4F0F">
        <w:rPr>
          <w:rFonts w:cs="Times New Roman"/>
          <w:b/>
          <w:szCs w:val="24"/>
        </w:rPr>
        <w:t xml:space="preserve"> </w:t>
      </w:r>
      <w:r w:rsidRPr="00BA4F0F">
        <w:rPr>
          <w:rFonts w:cs="Times New Roman"/>
          <w:szCs w:val="24"/>
        </w:rPr>
        <w:fldChar w:fldCharType="begin" w:fldLock="1"/>
      </w:r>
      <w:r w:rsidR="00146A73">
        <w:rPr>
          <w:rFonts w:cs="Times New Roman"/>
          <w:szCs w:val="24"/>
          <w:lang w:val="en-US"/>
        </w:rPr>
        <w:instrText>ADDIN CSL_CITATION {"citationItems":[{"id":"ITEM-1","itemData":{"DOI":"10.1186/2193-1801-2-489","ISSN":"2193-1801","PMID":"25674395","abstract":"BEAM (BCNU, etoposide, cytrabine, melphalan) is the most widely used high dose chemotherapy regimen for autologous transplant in lymphoid malignancies. We report our early experience with an alternative regimen LEAM where BCNU was replaced with the oral analogue CCNU (lomustine) to tide over the non-availability of BCNU. Fifty one patients of relapsed or refractory lymphoma who received BEAM (n= 34) and LEAM (n= 17) from September 2001 to February 2012 were analyzed. From October 2009 onwards LEAM was used as the conditioning regimen instead of conventional BEAM. Patients in the LEAM group had more chemorefractory disease (35% vs 9%, p = 0.045) and high risk comorbidity score (24% vs 0%, p = 0.019). Grade 3 and 4 oral mucositis (67.6% vs. 64.7%, p = 0.834) and diarrhea (47% vs. 41.1%, p = 0.691) were similar. No difference was noted between the two groups in terms of engraftment, documented infections, antibiotic use, cumulative toxicity risk, length of hospital stay and 100 day transplant related mortality. The estimated 2 year overall survival (61.7% vs. 62.7%, p = 0.928) and event free survival (44.6% vs. 41.1%, p = 0.510) of the regimens BEAM and LEAM respectively were comparable. Thus LEAM appeared equivalent to BEAM in terms of toxicity and efficacy and can be used as an alternative to BEAM.","author":[{"dropping-particle":"","family":"Sharma","given":"Atul","non-dropping-particle":"","parse-names":false,"suffix":""},{"dropping-particle":"","family":"Kayal","given":"Smita","non-dropping-particle":"","parse-names":false,"suffix":""},{"dropping-particle":"","family":"Iqbal","given":"Sobuhi","non-dropping-particle":"","parse-names":false,"suffix":""},{"dropping-particle":"","family":"Malik","given":"Prabhat Singh","non-dropping-particle":"","parse-names":false,"suffix":""},{"dropping-particle":"","family":"Raina","given":"Vinod","non-dropping-particle":"","parse-names":false,"suffix":""}],"container-title":"SpringerPlus","id":"ITEM-1","issued":{"date-parts":[["2013"]]},"page":"489","publisher":"Springerplus","title":"Comparison of BEAM vs. LEAM regimen in autologous transplant for lymphoma at AIIMS.","type":"article-journal","volume":"2"},"uris":["http://www.mendeley.com/documents/?uuid=21a4d437-7f12-381a-b742-56143dfb3da9","http://www.mendeley.com/documents/?uuid=101407b9-4546-4cbb-9ac0-735f0dacc33c"]},{"id":"ITEM-2","itemData":{"DOI":"10.1038/sj.bmt.1705544","ISSN":"0268-3369","PMID":"17115062","abstract":"High-dose chemotherapy followed by autologous stem cell transplantation (ASCT) is a recognized treatment option for patients with relapsed Hodgkin's lymphoma. We have analysed 67 patients who underwent ASCT after LACE (lomustine (CCNU), cytarabine (Ara-C), cyclophosphamide, etoposide) conditioning for relapsed (n=61) or primary refractory (n=6) Hodgkin's lymphoma. The 100-day treatment-related mortality was 3%. With a median follow-up of 67 months (range 3.3-161.0) the probabilities of overall survival (OS) and progression-free survival (PFS) at 5 years were 68 and 64%, respectively. Probabilities for OS and PFS at 5 years for patients with chemosensitive relapse (n=40) were 81 and 78% versus 50 and 35%, respectively, for patients (n=27) with chemoresistant relapse (P=0.012 for OS, P=0.002 for PFS). In multivariate analysis mixed cellularity classical or lymphocyte-depleted classical histology subtype and haemoglobin level of 10 g/dl or less at the time of ASCT were identified as risk factors for worse OS, whereas stage III or IV disease at diagnosis and disease status at ASCT other than complete or partial remission predicted inferior PFS. LACE followed by ASCT is an effective treatment for the majority of patients with chemosensitive relapsed Hodgkin's lymphoma and a proportion of chemorefractory patients also benefit.","author":[{"dropping-particle":"","family":"Perz","given":"J B","non-dropping-particle":"","parse-names":false,"suffix":""},{"dropping-particle":"","family":"Giles","given":"C","non-dropping-particle":"","parse-names":false,"suffix":""},{"dropping-particle":"","family":"Szydlo","given":"R","non-dropping-particle":"","parse-names":false,"suffix":""},{"dropping-particle":"","family":"O'Shea","given":"D","non-dropping-particle":"","parse-names":false,"suffix":""},{"dropping-particle":"","family":"Sanz","given":"J","non-dropping-particle":"","parse-names":false,"suffix":""},{"dropping-particle":"","family":"Chaidos","given":"A","non-dropping-particle":"","parse-names":false,"suffix":""},{"dropping-particle":"","family":"Wagner","given":"S","non-dropping-particle":"","parse-names":false,"suffix":""},{"dropping-particle":"","family":"Davis","given":"J","non-dropping-particle":"","parse-names":false,"suffix":""},{"dropping-particle":"","family":"Loaiza","given":"S","non-dropping-particle":"","parse-names":false,"suffix":""},{"dropping-particle":"","family":"Marin","given":"D","non-dropping-particle":"","parse-names":false,"suffix":""},{"dropping-particle":"","family":"Apperley","given":"J","non-dropping-particle":"","parse-names":false,"suffix":""},{"dropping-particle":"","family":"Olavarria","given":"E","non-dropping-particle":"","parse-names":false,"suffix":""},{"dropping-particle":"","family":"Rahemtulla","given":"A","non-dropping-particle":"","parse-names":false,"suffix":""},{"dropping-particle":"","family":"Lampert","given":"I","non-dropping-particle":"","parse-names":false,"suffix":""},{"dropping-particle":"","family":"Naresh","given":"K","non-dropping-particle":"","parse-names":false,"suffix":""},{"dropping-particle":"","family":"Samson","given":"D","non-dropping-particle":"","parse-names":false,"suffix":""},{"dropping-particle":"","family":"MacDonald","given":"D","non-dropping-particle":"","parse-names":false,"suffix":""},{"dropping-particle":"","family":"Kanfer","given":"E J","non-dropping-particle":"","parse-names":false,"suffix":""}],"container-title":"Bone marrow transplantation","id":"ITEM-2","issue":"1","issued":{"date-parts":[["2007","1"]]},"page":"41-7","publisher":"Bone Marrow Transplant","title":"LACE-conditioned autologous stem cell transplantation for relapsed or refractory Hodgkin's lymphoma: treatment outcome and risk factor analysis in 67 patients from a single centre.","type":"article-journal","volume":"39"},"uris":["http://www.mendeley.com/documents/?uuid=a8c80dd3-9f3f-3bd3-8ad8-c4b068fdf579","http://www.mendeley.com/documents/?uuid=1b0196ad-e3d1-415d-9222-3686ef87b016"]},{"id":"ITEM-3","itemData":{"DOI":"10.6002/ect.2011.0092","ISSN":"2146-8427","PMID":"22432762","abstract":"OBJECTIVES A BEAM regimen including carmustine (BiCNU: bis-chloroethyl nitrosourea), etoposide, cytarabine (cytosine arabinoside), and melphalan is a widely used conditioning regimen for autologous stem cell transplant in patients with Hodgkin lymphoma. We report the results of noncryopreserved autologous stem cell transplant of 45 patients with Hodgkin lymphoma given an alternative regimen, modified BEAM-like regimen (CEAM regimen: lomustine, etoposide, cytarabine, and melphalan), in which carmustine (BiCNU IV) was substituted by oral lomustine (CCNU: 2 chloroethyl cyclohexyl nitrosourea). PATIENTS AND METHODS Forty-five eligible patients with relapsed/refractory Hodgkin lymphoma were consecutively enrolled and underwent conditioning regimen with BEAM-like regimen protocol as follows: Lomustine 200 mg/m(2) on day -3; etoposide 1000 mg/m(2) on day -3 and -2; cytarabine 1000 mg/m(2) on days -3, -2; and Melphalan 140 mg/m(2) on day -1. RESULTS All 45 patients showed engraftment of infused stem cell, and there was no graft failure in the study group. The median mononuclear cell dose was 3.4 × 10(8). The median time to absolute neutrophil count &gt; 0.5 × 10(9)/L was 11 days, and the median time to platelet count &gt; 20 × 10(9) was 14 days. Grade 2 and grade 3 mucositis was seen in 64.5% our patients. Transplant-related mortality at 100 days occurred in 1 patient (2.2%). With a median follow-up of 27 months, median disease-free survival was 20 months, mean overall survival was 27 months, and median overall survival has not yet been reached. CONCLUSIONS These data demonstrate the safety and feasibility of BEAM-like regimen as a new and modified regimen; longer follow-up is required to evaluate fully efficacy and long-term safety of our method.","author":[{"dropping-particle":"","family":"Ramzi","given":"Mani","non-dropping-particle":"","parse-names":false,"suffix":""},{"dropping-particle":"","family":"Mohamadian","given":"Mohsen","non-dropping-particle":"","parse-names":false,"suffix":""},{"dropping-particle":"","family":"Vojdani","given":"Reza","non-dropping-particle":"","parse-names":false,"suffix":""},{"dropping-particle":"","family":"Dehghani","given":"Mehdi","non-dropping-particle":"","parse-names":false,"suffix":""},{"dropping-particle":"","family":"Nourani","given":"Habib","non-dropping-particle":"","parse-names":false,"suffix":""},{"dropping-particle":"","family":"Zakerinia","given":"Maryam","non-dropping-particle":"","parse-names":false,"suffix":""},{"dropping-particle":"","family":"Haghighinejad","given":"Hoorvash","non-dropping-particle":"","parse-names":false,"suffix":""}],"container-title":"Experimental and clinical transplantation : official journal of the Middle East Society for Organ Transplantation","id":"ITEM-3","issue":"2","issued":{"date-parts":[["2012","4"]]},"page":"163-7","publisher":"Exp Clin Transplant","title":"Autologous noncryopreserved hematopoietic stem cell transplant with CEAM as a modified conditioning regimen in patients with Hodgkin lymphoma: a single-center experience with a new protocol.","type":"article-journal","volume":"10"},"uris":["http://www.mendeley.com/documents/?uuid=4fa47866-15e7-323f-bafd-68fc7216a752","http://www.mendeley.com/documents/?uuid=9ca20e06-5e69-4a38-956e-4d81d8214f0a"]},{"id":"ITEM-4","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oncology","id":"ITEM-4","issued":{"date-parts":[["2019","9"]]},"page":"892","title":"LEAM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1a8d312b-cff1-42d2-81dd-d36c0430abd5","http://www.mendeley.com/documents/?uuid=ad47bb84-1f12-3f23-9753-d1c2161ab990"]},{"id":"ITEM-5","itemData":{"ISBN":"9783030022778","author":[{"dropping-particle":"","family":"Enric Carreras","given":"Dufour Carlo","non-dropping-particle":"","parse-names":false,"suffix":""},{"dropping-particle":"","family":"Mohty Mohamad","given":"Kröger Nicolaus","non-dropping-particle":"","parse-names":false,"suffix":""}],"id":"ITEM-5","issued":{"date-parts":[["2019"]]},"number-of-pages":"702","title":"Hematopoietic Stem Cell Transplantation and Cellular Therapies","type":"book"},"uris":["http://www.mendeley.com/documents/?uuid=b2895edd-cfbd-4cbf-8d9b-e50422d61d71","http://www.mendeley.com/documents/?uuid=891fa663-7797-4301-8893-3b0a5d75b173","http://www.mendeley.com/documents/?uuid=a3640929-94cd-4fb4-896e-6145e0e14c8e"]}],"mendeley":{"formattedCitation":"[119,123–126]","plainTextFormattedCitation":"[119,123–126]","previouslyFormattedCitation":"[119,123–126]"},"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[119,123–126]</w:t>
      </w:r>
      <w:r w:rsidRPr="00BA4F0F">
        <w:rPr>
          <w:rFonts w:cs="Times New Roman"/>
          <w:szCs w:val="24"/>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C1188C" w:rsidRPr="00BA4F0F" w14:paraId="43D985D8" w14:textId="77777777" w:rsidTr="005A428D">
        <w:tc>
          <w:tcPr>
            <w:tcW w:w="1418" w:type="dxa"/>
          </w:tcPr>
          <w:p w14:paraId="6EEF3A6F" w14:textId="77777777" w:rsidR="00C1188C" w:rsidRPr="004871F2" w:rsidRDefault="00C1188C" w:rsidP="00B436BD">
            <w:pPr>
              <w:pStyle w:val="afe"/>
              <w:ind w:left="0" w:firstLine="0"/>
              <w:rPr>
                <w:rFonts w:cs="Times New Roman"/>
                <w:szCs w:val="24"/>
              </w:rPr>
            </w:pPr>
            <w:r w:rsidRPr="00BA4F0F">
              <w:rPr>
                <w:rFonts w:cs="Times New Roman"/>
                <w:szCs w:val="24"/>
              </w:rPr>
              <w:t>Препарат</w:t>
            </w:r>
          </w:p>
        </w:tc>
        <w:tc>
          <w:tcPr>
            <w:tcW w:w="1701" w:type="dxa"/>
          </w:tcPr>
          <w:p w14:paraId="6AA1B0ED" w14:textId="77777777" w:rsidR="00C1188C" w:rsidRPr="004871F2" w:rsidRDefault="00C1188C" w:rsidP="00B436BD">
            <w:pPr>
              <w:pStyle w:val="afe"/>
              <w:ind w:left="0" w:firstLine="0"/>
              <w:rPr>
                <w:rFonts w:cs="Times New Roman"/>
                <w:szCs w:val="24"/>
              </w:rPr>
            </w:pPr>
            <w:r w:rsidRPr="00BA4F0F">
              <w:rPr>
                <w:rFonts w:cs="Times New Roman"/>
                <w:szCs w:val="24"/>
              </w:rPr>
              <w:t>Дни</w:t>
            </w:r>
            <w:r w:rsidRPr="004871F2">
              <w:rPr>
                <w:rFonts w:cs="Times New Roman"/>
                <w:szCs w:val="24"/>
              </w:rPr>
              <w:t xml:space="preserve"> </w:t>
            </w:r>
            <w:r w:rsidRPr="00BA4F0F">
              <w:rPr>
                <w:rFonts w:cs="Times New Roman"/>
                <w:szCs w:val="24"/>
              </w:rPr>
              <w:t>введения</w:t>
            </w:r>
            <w:r w:rsidRPr="004871F2">
              <w:rPr>
                <w:rFonts w:cs="Times New Roman"/>
                <w:szCs w:val="24"/>
              </w:rPr>
              <w:t xml:space="preserve"> </w:t>
            </w:r>
            <w:r w:rsidRPr="00BA4F0F">
              <w:rPr>
                <w:rFonts w:cs="Times New Roman"/>
                <w:szCs w:val="24"/>
              </w:rPr>
              <w:t>перед</w:t>
            </w:r>
            <w:r w:rsidRPr="004871F2">
              <w:rPr>
                <w:rFonts w:cs="Times New Roman"/>
                <w:szCs w:val="24"/>
              </w:rPr>
              <w:t xml:space="preserve"> </w:t>
            </w:r>
            <w:r w:rsidRPr="00BA4F0F">
              <w:rPr>
                <w:rFonts w:cs="Times New Roman"/>
                <w:szCs w:val="24"/>
              </w:rPr>
              <w:t>ауто</w:t>
            </w:r>
            <w:r w:rsidRPr="004871F2">
              <w:rPr>
                <w:rFonts w:cs="Times New Roman"/>
                <w:szCs w:val="24"/>
              </w:rPr>
              <w:t>-</w:t>
            </w:r>
            <w:r w:rsidRPr="00BA4F0F">
              <w:rPr>
                <w:rFonts w:cs="Times New Roman"/>
                <w:szCs w:val="24"/>
              </w:rPr>
              <w:t>ТГСК</w:t>
            </w:r>
          </w:p>
        </w:tc>
        <w:tc>
          <w:tcPr>
            <w:tcW w:w="1134" w:type="dxa"/>
          </w:tcPr>
          <w:p w14:paraId="580D76FF" w14:textId="77777777" w:rsidR="00C1188C" w:rsidRPr="004871F2" w:rsidRDefault="00C1188C" w:rsidP="00B436BD">
            <w:pPr>
              <w:pStyle w:val="afe"/>
              <w:ind w:left="0" w:firstLine="0"/>
              <w:rPr>
                <w:rFonts w:cs="Times New Roman"/>
                <w:szCs w:val="24"/>
              </w:rPr>
            </w:pPr>
            <w:r w:rsidRPr="00BA4F0F">
              <w:rPr>
                <w:rFonts w:cs="Times New Roman"/>
                <w:szCs w:val="24"/>
              </w:rPr>
              <w:t>Разовая</w:t>
            </w:r>
            <w:r w:rsidRPr="004871F2">
              <w:rPr>
                <w:rFonts w:cs="Times New Roman"/>
                <w:szCs w:val="24"/>
              </w:rPr>
              <w:t xml:space="preserve"> </w:t>
            </w:r>
            <w:r w:rsidRPr="00BA4F0F">
              <w:rPr>
                <w:rFonts w:cs="Times New Roman"/>
                <w:szCs w:val="24"/>
              </w:rPr>
              <w:t>доза</w:t>
            </w:r>
          </w:p>
        </w:tc>
        <w:tc>
          <w:tcPr>
            <w:tcW w:w="1276" w:type="dxa"/>
          </w:tcPr>
          <w:p w14:paraId="179AFAFE" w14:textId="77777777" w:rsidR="00C1188C" w:rsidRPr="004871F2" w:rsidRDefault="00C1188C" w:rsidP="00B436BD">
            <w:pPr>
              <w:pStyle w:val="afe"/>
              <w:ind w:left="0" w:firstLine="0"/>
              <w:rPr>
                <w:rFonts w:cs="Times New Roman"/>
                <w:szCs w:val="24"/>
              </w:rPr>
            </w:pPr>
            <w:r w:rsidRPr="00BA4F0F">
              <w:rPr>
                <w:rFonts w:cs="Times New Roman"/>
                <w:szCs w:val="24"/>
              </w:rPr>
              <w:t>Суточная</w:t>
            </w:r>
            <w:r w:rsidRPr="004871F2">
              <w:rPr>
                <w:rFonts w:cs="Times New Roman"/>
                <w:szCs w:val="24"/>
              </w:rPr>
              <w:t xml:space="preserve"> </w:t>
            </w:r>
            <w:r w:rsidRPr="00BA4F0F">
              <w:rPr>
                <w:rFonts w:cs="Times New Roman"/>
                <w:szCs w:val="24"/>
              </w:rPr>
              <w:t>доза</w:t>
            </w:r>
          </w:p>
        </w:tc>
        <w:tc>
          <w:tcPr>
            <w:tcW w:w="1275" w:type="dxa"/>
          </w:tcPr>
          <w:p w14:paraId="2F9B9A65" w14:textId="77777777" w:rsidR="00C1188C" w:rsidRPr="00BA4F0F" w:rsidRDefault="00C1188C" w:rsidP="00B436BD">
            <w:pPr>
              <w:pStyle w:val="afe"/>
              <w:ind w:left="0" w:firstLine="0"/>
              <w:rPr>
                <w:rFonts w:cs="Times New Roman"/>
                <w:szCs w:val="24"/>
              </w:rPr>
            </w:pPr>
            <w:r w:rsidRPr="00BA4F0F">
              <w:rPr>
                <w:rFonts w:cs="Times New Roman"/>
                <w:szCs w:val="24"/>
              </w:rPr>
              <w:t>Курсовая доза</w:t>
            </w:r>
          </w:p>
        </w:tc>
        <w:tc>
          <w:tcPr>
            <w:tcW w:w="2659" w:type="dxa"/>
          </w:tcPr>
          <w:p w14:paraId="7F7EF066" w14:textId="77777777" w:rsidR="00C1188C" w:rsidRPr="00BA4F0F" w:rsidRDefault="00C1188C" w:rsidP="00B436BD">
            <w:pPr>
              <w:pStyle w:val="afe"/>
              <w:ind w:left="0" w:firstLine="0"/>
              <w:rPr>
                <w:rFonts w:cs="Times New Roman"/>
                <w:szCs w:val="24"/>
              </w:rPr>
            </w:pPr>
            <w:r w:rsidRPr="00BA4F0F">
              <w:rPr>
                <w:rFonts w:cs="Times New Roman"/>
                <w:szCs w:val="24"/>
              </w:rPr>
              <w:t>Особенности введения</w:t>
            </w:r>
          </w:p>
        </w:tc>
      </w:tr>
      <w:tr w:rsidR="00C1188C" w:rsidRPr="00BA4F0F" w14:paraId="7790B90D" w14:textId="77777777" w:rsidTr="005A428D">
        <w:tc>
          <w:tcPr>
            <w:tcW w:w="1418" w:type="dxa"/>
          </w:tcPr>
          <w:p w14:paraId="0AF09500" w14:textId="77777777" w:rsidR="00C1188C" w:rsidRPr="00BA4F0F" w:rsidRDefault="00C1188C" w:rsidP="00B436BD">
            <w:pPr>
              <w:pStyle w:val="afe"/>
              <w:ind w:left="0" w:firstLine="0"/>
              <w:jc w:val="center"/>
              <w:rPr>
                <w:rFonts w:cs="Times New Roman"/>
                <w:szCs w:val="24"/>
              </w:rPr>
            </w:pPr>
            <w:r w:rsidRPr="00BA4F0F">
              <w:rPr>
                <w:rFonts w:cs="Times New Roman"/>
                <w:szCs w:val="24"/>
              </w:rPr>
              <w:t>Ломустин</w:t>
            </w:r>
          </w:p>
        </w:tc>
        <w:tc>
          <w:tcPr>
            <w:tcW w:w="1701" w:type="dxa"/>
          </w:tcPr>
          <w:p w14:paraId="4A90D932" w14:textId="77777777" w:rsidR="00C1188C" w:rsidRPr="00BA4F0F" w:rsidRDefault="00C1188C" w:rsidP="00B436BD">
            <w:pPr>
              <w:pStyle w:val="afe"/>
              <w:ind w:left="0" w:firstLine="0"/>
              <w:jc w:val="center"/>
              <w:rPr>
                <w:rFonts w:cs="Times New Roman"/>
                <w:szCs w:val="24"/>
              </w:rPr>
            </w:pPr>
            <w:r w:rsidRPr="00BA4F0F">
              <w:rPr>
                <w:rFonts w:cs="Times New Roman"/>
                <w:szCs w:val="24"/>
              </w:rPr>
              <w:t>-6 день</w:t>
            </w:r>
          </w:p>
        </w:tc>
        <w:tc>
          <w:tcPr>
            <w:tcW w:w="1134" w:type="dxa"/>
          </w:tcPr>
          <w:p w14:paraId="31E935D9"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5AC381C6" w14:textId="77777777" w:rsidR="00C1188C" w:rsidRPr="00BA4F0F" w:rsidRDefault="00C1188C" w:rsidP="00B436BD">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19566EC3" w14:textId="77777777" w:rsidR="00C1188C" w:rsidRPr="00BA4F0F" w:rsidRDefault="00C1188C" w:rsidP="00B436BD">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2659" w:type="dxa"/>
          </w:tcPr>
          <w:p w14:paraId="23E3DC8C" w14:textId="77777777" w:rsidR="00C1188C" w:rsidRPr="00BA4F0F" w:rsidRDefault="00C1188C" w:rsidP="00B436BD">
            <w:pPr>
              <w:pStyle w:val="afe"/>
              <w:ind w:left="0" w:firstLine="0"/>
              <w:rPr>
                <w:rFonts w:cs="Times New Roman"/>
                <w:szCs w:val="24"/>
              </w:rPr>
            </w:pPr>
            <w:r w:rsidRPr="00BA4F0F">
              <w:rPr>
                <w:rFonts w:cs="Times New Roman"/>
                <w:szCs w:val="24"/>
              </w:rPr>
              <w:t>Внутрь</w:t>
            </w:r>
          </w:p>
        </w:tc>
      </w:tr>
      <w:tr w:rsidR="00C1188C" w:rsidRPr="00BA4F0F" w14:paraId="70885301" w14:textId="77777777" w:rsidTr="005A428D">
        <w:tc>
          <w:tcPr>
            <w:tcW w:w="1418" w:type="dxa"/>
          </w:tcPr>
          <w:p w14:paraId="061831E5" w14:textId="77777777" w:rsidR="00C1188C" w:rsidRPr="00BA4F0F" w:rsidRDefault="00C1188C" w:rsidP="00B436BD">
            <w:pPr>
              <w:pStyle w:val="afe"/>
              <w:ind w:left="0" w:firstLine="0"/>
              <w:jc w:val="center"/>
              <w:rPr>
                <w:rFonts w:cs="Times New Roman"/>
                <w:szCs w:val="24"/>
              </w:rPr>
            </w:pPr>
            <w:r w:rsidRPr="00BA4F0F">
              <w:rPr>
                <w:rFonts w:cs="Times New Roman"/>
                <w:szCs w:val="24"/>
              </w:rPr>
              <w:t>Этопозид</w:t>
            </w:r>
          </w:p>
        </w:tc>
        <w:tc>
          <w:tcPr>
            <w:tcW w:w="1701" w:type="dxa"/>
          </w:tcPr>
          <w:p w14:paraId="693ECF91" w14:textId="77777777" w:rsidR="00C1188C" w:rsidRPr="00BA4F0F" w:rsidRDefault="00C1188C" w:rsidP="00B436BD">
            <w:pPr>
              <w:pStyle w:val="afe"/>
              <w:ind w:left="0" w:firstLine="0"/>
              <w:jc w:val="center"/>
              <w:rPr>
                <w:rFonts w:cs="Times New Roman"/>
                <w:szCs w:val="24"/>
              </w:rPr>
            </w:pPr>
            <w:r w:rsidRPr="00BA4F0F">
              <w:rPr>
                <w:rFonts w:cs="Times New Roman"/>
                <w:szCs w:val="24"/>
              </w:rPr>
              <w:t>-5, -4, -3, -2 дни</w:t>
            </w:r>
          </w:p>
        </w:tc>
        <w:tc>
          <w:tcPr>
            <w:tcW w:w="1134" w:type="dxa"/>
          </w:tcPr>
          <w:p w14:paraId="29ADE26A"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0ED3D633" w14:textId="77777777" w:rsidR="00C1188C" w:rsidRPr="00BA4F0F" w:rsidRDefault="00C1188C" w:rsidP="00B436BD">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6FCD2643" w14:textId="77777777" w:rsidR="00C1188C" w:rsidRPr="00BA4F0F" w:rsidRDefault="00C1188C" w:rsidP="00B436BD">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2C41B9F9"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C1188C" w:rsidRPr="00BA4F0F" w14:paraId="774A3110" w14:textId="77777777" w:rsidTr="005A428D">
        <w:tc>
          <w:tcPr>
            <w:tcW w:w="1418" w:type="dxa"/>
          </w:tcPr>
          <w:p w14:paraId="38E54D7E" w14:textId="77777777" w:rsidR="00C1188C" w:rsidRPr="00BA4F0F" w:rsidRDefault="00C1188C" w:rsidP="00B436BD">
            <w:pPr>
              <w:pStyle w:val="afe"/>
              <w:ind w:left="0" w:firstLine="0"/>
              <w:jc w:val="center"/>
              <w:rPr>
                <w:rFonts w:cs="Times New Roman"/>
                <w:szCs w:val="24"/>
              </w:rPr>
            </w:pPr>
            <w:r w:rsidRPr="00BA4F0F">
              <w:rPr>
                <w:rFonts w:cs="Times New Roman"/>
                <w:szCs w:val="24"/>
              </w:rPr>
              <w:t>Цитарабин</w:t>
            </w:r>
          </w:p>
        </w:tc>
        <w:tc>
          <w:tcPr>
            <w:tcW w:w="1701" w:type="dxa"/>
          </w:tcPr>
          <w:p w14:paraId="4FDAA5A0" w14:textId="77777777" w:rsidR="00C1188C" w:rsidRPr="00BA4F0F" w:rsidRDefault="00C1188C" w:rsidP="00B436BD">
            <w:pPr>
              <w:pStyle w:val="afe"/>
              <w:ind w:left="0" w:firstLine="0"/>
              <w:jc w:val="center"/>
              <w:rPr>
                <w:rFonts w:cs="Times New Roman"/>
                <w:szCs w:val="24"/>
              </w:rPr>
            </w:pPr>
            <w:r w:rsidRPr="00BA4F0F">
              <w:rPr>
                <w:rFonts w:cs="Times New Roman"/>
                <w:szCs w:val="24"/>
              </w:rPr>
              <w:t>-5, -4, -3, -2 дни</w:t>
            </w:r>
          </w:p>
        </w:tc>
        <w:tc>
          <w:tcPr>
            <w:tcW w:w="1134" w:type="dxa"/>
          </w:tcPr>
          <w:p w14:paraId="1210D693"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2B048B03" w14:textId="77777777" w:rsidR="00C1188C" w:rsidRPr="00BA4F0F" w:rsidRDefault="00C1188C" w:rsidP="00B436BD">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6855C21C" w14:textId="77777777" w:rsidR="00C1188C" w:rsidRPr="00BA4F0F" w:rsidRDefault="00C1188C" w:rsidP="00B436BD">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3D04AC13"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C1188C" w:rsidRPr="00BA4F0F" w14:paraId="3A5FAFE3" w14:textId="77777777" w:rsidTr="005A428D">
        <w:tc>
          <w:tcPr>
            <w:tcW w:w="1418" w:type="dxa"/>
          </w:tcPr>
          <w:p w14:paraId="74491CAF" w14:textId="77777777" w:rsidR="00C1188C" w:rsidRPr="00BA4F0F" w:rsidRDefault="00C1188C" w:rsidP="00B436BD">
            <w:pPr>
              <w:pStyle w:val="afe"/>
              <w:ind w:left="0" w:firstLine="0"/>
              <w:jc w:val="center"/>
              <w:rPr>
                <w:rFonts w:cs="Times New Roman"/>
                <w:szCs w:val="24"/>
              </w:rPr>
            </w:pPr>
            <w:r w:rsidRPr="00BA4F0F">
              <w:rPr>
                <w:rFonts w:cs="Times New Roman"/>
                <w:szCs w:val="24"/>
              </w:rPr>
              <w:t>Мелфалан</w:t>
            </w:r>
          </w:p>
        </w:tc>
        <w:tc>
          <w:tcPr>
            <w:tcW w:w="1701" w:type="dxa"/>
          </w:tcPr>
          <w:p w14:paraId="33DE58BD" w14:textId="77777777" w:rsidR="00C1188C" w:rsidRPr="00BA4F0F" w:rsidRDefault="00C1188C" w:rsidP="00B436BD">
            <w:pPr>
              <w:pStyle w:val="afe"/>
              <w:ind w:left="0" w:firstLine="0"/>
              <w:jc w:val="center"/>
              <w:rPr>
                <w:rFonts w:cs="Times New Roman"/>
                <w:szCs w:val="24"/>
              </w:rPr>
            </w:pPr>
            <w:r w:rsidRPr="00BA4F0F">
              <w:rPr>
                <w:rFonts w:cs="Times New Roman"/>
                <w:szCs w:val="24"/>
              </w:rPr>
              <w:t>- 1 день</w:t>
            </w:r>
          </w:p>
        </w:tc>
        <w:tc>
          <w:tcPr>
            <w:tcW w:w="1134" w:type="dxa"/>
          </w:tcPr>
          <w:p w14:paraId="73FF2B8A" w14:textId="77777777" w:rsidR="00C1188C" w:rsidRPr="00BA4F0F" w:rsidRDefault="00C1188C" w:rsidP="00B436BD">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1F364804" w14:textId="77777777" w:rsidR="00C1188C" w:rsidRPr="00BA4F0F" w:rsidRDefault="00C1188C" w:rsidP="00B436BD">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0075971A" w14:textId="77777777" w:rsidR="00C1188C" w:rsidRPr="00BA4F0F" w:rsidRDefault="00C1188C" w:rsidP="00B436BD">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3A326529"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03EB5C2E" w14:textId="77777777" w:rsidR="00C1188C" w:rsidRPr="00BA4F0F" w:rsidRDefault="00C1188C" w:rsidP="00C1188C">
      <w:pPr>
        <w:ind w:firstLine="426"/>
        <w:rPr>
          <w:rFonts w:cs="Times New Roman"/>
          <w:szCs w:val="24"/>
        </w:rPr>
      </w:pPr>
    </w:p>
    <w:p w14:paraId="773BF37A" w14:textId="755665E6" w:rsidR="00C1188C" w:rsidRPr="00B436BD" w:rsidRDefault="00C1188C" w:rsidP="00C1188C">
      <w:pPr>
        <w:ind w:firstLine="426"/>
        <w:rPr>
          <w:rFonts w:cs="Times New Roman"/>
          <w:szCs w:val="24"/>
        </w:rPr>
      </w:pPr>
      <w:r w:rsidRPr="00BA4F0F">
        <w:rPr>
          <w:rFonts w:cs="Times New Roman"/>
          <w:szCs w:val="24"/>
        </w:rPr>
        <w:t xml:space="preserve">В ряде клинических исследований была подтверждена эффективность режима предтрансплантационного кондиционирования </w:t>
      </w:r>
      <w:r w:rsidRPr="00BA4F0F">
        <w:rPr>
          <w:rFonts w:cs="Times New Roman"/>
          <w:szCs w:val="24"/>
          <w:lang w:val="en-US"/>
        </w:rPr>
        <w:t>Benda</w:t>
      </w:r>
      <w:r w:rsidRPr="00BA4F0F">
        <w:rPr>
          <w:rFonts w:cs="Times New Roman"/>
          <w:szCs w:val="24"/>
        </w:rPr>
        <w:t>-</w:t>
      </w:r>
      <w:r w:rsidRPr="00BA4F0F">
        <w:rPr>
          <w:rFonts w:cs="Times New Roman"/>
          <w:szCs w:val="24"/>
          <w:lang w:val="en-US"/>
        </w:rPr>
        <w:t>EAM</w:t>
      </w:r>
      <w:r w:rsidRPr="00BA4F0F">
        <w:rPr>
          <w:rFonts w:cs="Times New Roman"/>
          <w:szCs w:val="24"/>
        </w:rPr>
        <w:t xml:space="preserve"> при лимфопролиферативных заболеваниях. Схема введения препаратов и дозы </w:t>
      </w:r>
      <w:r w:rsidRPr="00B436BD">
        <w:rPr>
          <w:rFonts w:cs="Times New Roman"/>
          <w:szCs w:val="24"/>
        </w:rPr>
        <w:t xml:space="preserve">представлены в таблице </w:t>
      </w:r>
      <w:r w:rsidR="00B436BD" w:rsidRPr="00B436BD">
        <w:rPr>
          <w:rFonts w:cs="Times New Roman"/>
          <w:szCs w:val="24"/>
        </w:rPr>
        <w:t>7</w:t>
      </w:r>
      <w:r w:rsidRPr="00B436BD">
        <w:rPr>
          <w:rFonts w:cs="Times New Roman"/>
          <w:szCs w:val="24"/>
        </w:rPr>
        <w:t>.</w:t>
      </w:r>
    </w:p>
    <w:p w14:paraId="51F873F3" w14:textId="77777777" w:rsidR="00C1188C" w:rsidRPr="00B436BD" w:rsidRDefault="00C1188C" w:rsidP="00C1188C">
      <w:pPr>
        <w:ind w:firstLine="426"/>
        <w:rPr>
          <w:rFonts w:cs="Times New Roman"/>
          <w:b/>
          <w:szCs w:val="24"/>
        </w:rPr>
      </w:pPr>
    </w:p>
    <w:p w14:paraId="43850905" w14:textId="58B3DCB9" w:rsidR="00C1188C" w:rsidRPr="00BA4F0F" w:rsidRDefault="00C1188C" w:rsidP="00C1188C">
      <w:pPr>
        <w:ind w:firstLine="426"/>
        <w:rPr>
          <w:rFonts w:cs="Times New Roman"/>
          <w:szCs w:val="24"/>
        </w:rPr>
      </w:pPr>
      <w:r w:rsidRPr="00B436BD">
        <w:rPr>
          <w:rFonts w:cs="Times New Roman"/>
          <w:szCs w:val="24"/>
        </w:rPr>
        <w:t xml:space="preserve">Таблица </w:t>
      </w:r>
      <w:r w:rsidR="00B436BD" w:rsidRPr="00B436BD">
        <w:rPr>
          <w:rFonts w:cs="Times New Roman"/>
          <w:szCs w:val="24"/>
        </w:rPr>
        <w:t>7</w:t>
      </w:r>
      <w:r w:rsidRPr="00B436BD">
        <w:rPr>
          <w:rFonts w:cs="Times New Roman"/>
          <w:szCs w:val="24"/>
        </w:rPr>
        <w:t>. Схема предтрансплантационного кондиционирования Benda-EAM</w:t>
      </w:r>
      <w:r w:rsidRPr="00BA4F0F">
        <w:rPr>
          <w:rFonts w:cs="Times New Roman"/>
          <w:szCs w:val="24"/>
        </w:rPr>
        <w:t xml:space="preserve"> </w:t>
      </w:r>
      <w:r w:rsidRPr="00BA4F0F">
        <w:rPr>
          <w:rFonts w:cs="Times New Roman"/>
          <w:szCs w:val="24"/>
        </w:rPr>
        <w:fldChar w:fldCharType="begin" w:fldLock="1"/>
      </w:r>
      <w:r w:rsidR="00146A73">
        <w:rPr>
          <w:rFonts w:cs="Times New Roman"/>
          <w:szCs w:val="24"/>
        </w:rPr>
        <w:instrText>ADDIN CSL_CITATION {"citationItems":[{"id":"ITEM-1","itemData":{"DOI":"10.1038/s41409-019-0572-7","ISSN":"0268-3369","author":[{"dropping-particle":"","family":"Visani","given":"Giuseppe","non-dropping-particle":"","parse-names":false,"suffix":""},{"dropping-particle":"","family":"Loscocco","given":"Federica","non-dropping-particle":"","parse-names":false,"suffix":""},{"dropping-particle":"","family":"Bagaloni","given":"Irene","non-dropping-particle":"","parse-names":false,"suffix":""},{"dropping-particle":"","family":"Ruzzo","given":"Annamaria","non-dropping-particle":"","parse-names":false,"suffix":""},{"dropping-particle":"","family":"Fuligni","given":"Fabio","non-dropping-particle":"","parse-names":false,"suffix":""},{"dropping-particle":"","family":"Graziano","given":"Francesco","non-dropping-particle":"","parse-names":false,"suffix":""},{"dropping-particle":"","family":"Magnani","given":"Mauro","non-dropping-particle":"","parse-names":false,"suffix":""},{"dropping-particle":"","family":"Isidori","given":"Alessandro","non-dropping-particle":"","parse-names":false,"suffix":""}],"container-title":"Bone Marrow Transplantation","id":"ITEM-1","issue":"4","issued":{"date-parts":[["2020","4"]]},"page":"818-820","publisher":"Nature Publishing Group","title":"XRCC1 399GG genotype predicts significantly longer overall survival in resistant lymphoma patients treated with Benda-EAM and ASCT","type":"article-journal","volume":"55"},"uris":["http://www.mendeley.com/documents/?uuid=91fbd7c4-108e-3fa6-a12d-7807a539235e","http://www.mendeley.com/documents/?uuid=e90b652d-5001-4921-8b90-45d74510ea4a"]},{"id":"ITEM-2","itemData":{"DOI":"10.1182/blood-2011-04-351924","ISSN":"1528-0020","PMID":"21816830","abstract":"We designed a phase 1-2 study to evaluate the safety and the efficacy of increasing doses of bendamustine (160 mg/m², 180 mg/m², and 200 mg/m² given on days -7 and -6) coupled with fixed doses of etoposide, cytarabine, and melphalan (BeEAM regimen) as the conditioning regimen to autologous stem cell transplantation for resistant/relapsed lymphoma patients. Forty-three patients (median age, 47 years) with non-Hodgkin (n = 28) or Hodgkin (n = 15) lymphoma were consecutively treated. Nine patients entered the phase 1 study; no patients experienced a dose-limiting toxicity. Thirty-four additional patients were then treated in the phase 2. A median number of 6 × 10⁶ CD34(+) cells/kg (range, 2.4-15.5) were reinfused. All patients engrafted, with a median time to absolute neutrophil count &gt; 0.5 × 10⁹/L of 10 days. The 100-day transplantation-related mortality was 0%. After a median follow-up of 18 months, 35 of 43 patients (81%) are in complete remission, whereas 6 of 43 relapsed and 2 of 43 did not respond. Disease type (non-Hodgkin lymphomas vs Hodgkin disease) and disease status at transplantation (chemosensitive vs chemoresistant) significantly influenced DFS (P = .01; P = .007). Remarkably, 4 of 43 (9%) patients achieved the first complete remission after receiving the high-dose therapy with autologous stem cell transplantation. In conclusion, the new BeEAM regimen is safe and effective for heavily pretreated lymphoma patients. The study was registered at European Medicines Agency (EudraCT number 2008-002736-15).","author":[{"dropping-particle":"","family":"Visani","given":"Giuseppe","non-dropping-particle":"","parse-names":false,"suffix":""},{"dropping-particle":"","family":"Malerba","given":"Lara","non-dropping-particle":"","parse-names":false,"suffix":""},{"dropping-particle":"","family":"Stefani","given":"Pietro Maria","non-dropping-particle":"","parse-names":false,"suffix":""},{"dropping-particle":"","family":"Capria","given":"Saveria","non-dropping-particle":"","parse-names":false,"suffix":""},{"dropping-particle":"","family":"Galieni","given":"Piero","non-dropping-particle":"","parse-names":false,"suffix":""},{"dropping-particle":"","family":"Gaudio","given":"Francesco","non-dropping-particle":"","parse-names":false,"suffix":""},{"dropping-particle":"","family":"Specchia","given":"Giorgina","non-dropping-particle":"","parse-names":false,"suffix":""},{"dropping-particle":"","family":"Meloni","given":"Giovanna","non-dropping-particle":"","parse-names":false,"suffix":""},{"dropping-particle":"","family":"Gherlinzoni","given":"Filippo","non-dropping-particle":"","parse-names":false,"suffix":""},{"dropping-particle":"","family":"Giardini","given":"Claudio","non-dropping-particle":"","parse-names":false,"suffix":""},{"dropping-particle":"","family":"Falcioni","given":"Sadia","non-dropping-particle":"","parse-names":false,"suffix":""},{"dropping-particle":"","family":"Cuberli","given":"Francesca","non-dropping-particle":"","parse-names":false,"suffix":""},{"dropping-particle":"","family":"Gobbi","given":"Marco","non-dropping-particle":"","parse-names":false,"suffix":""},{"dropping-particle":"","family":"Sarina","given":"Barbara","non-dropping-particle":"","parse-names":false,"suffix":""},{"dropping-particle":"","family":"Santoro","given":"Armando","non-dropping-particle":"","parse-names":false,"suffix":""},{"dropping-particle":"","family":"Ferrara","given":"Felicetto","non-dropping-particle":"","parse-names":false,"suffix":""},{"dropping-particle":"","family":"Rocchi","given":"Marco","non-dropping-particle":"","parse-names":false,"suffix":""},{"dropping-particle":"","family":"Ocio","given":"Enrique M","non-dropping-particle":"","parse-names":false,"suffix":""},{"dropping-particle":"","family":"Caballero","given":"Maria Dolores","non-dropping-particle":"","parse-names":false,"suffix":""},{"dropping-particle":"","family":"Isidori","given":"Alessandro","non-dropping-particle":"","parse-names":false,"suffix":""}],"container-title":"Blood","id":"ITEM-2","issue":"12","issued":{"date-parts":[["2011","9","22"]]},"page":"3419-25","title":"BeEAM (bendamustine, etoposide, cytarabine, melphalan) before autologous stem cell transplantation is safe and effective for resistant/relapsed lymphoma patients.","type":"article-journal","volume":"118"},"uris":["http://www.mendeley.com/documents/?uuid=ab79b1d2-22d1-3d69-b3cc-3774a11bbd10"]}],"mendeley":{"formattedCitation":"[127,128]","plainTextFormattedCitation":"[127,128]","previouslyFormattedCitation":"[127,128]"},"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[127,128]</w:t>
      </w:r>
      <w:r w:rsidRPr="00BA4F0F">
        <w:rPr>
          <w:rFonts w:cs="Times New Roman"/>
          <w:szCs w:val="24"/>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C1188C" w:rsidRPr="00BA4F0F" w14:paraId="19916F06" w14:textId="77777777" w:rsidTr="005A428D">
        <w:tc>
          <w:tcPr>
            <w:tcW w:w="1418" w:type="dxa"/>
          </w:tcPr>
          <w:p w14:paraId="61B7D331" w14:textId="77777777" w:rsidR="00C1188C" w:rsidRPr="00BA4F0F" w:rsidRDefault="00C1188C" w:rsidP="00B436BD">
            <w:pPr>
              <w:pStyle w:val="afe"/>
              <w:ind w:left="0" w:firstLine="0"/>
              <w:rPr>
                <w:rFonts w:cs="Times New Roman"/>
                <w:szCs w:val="24"/>
              </w:rPr>
            </w:pPr>
            <w:r w:rsidRPr="00BA4F0F">
              <w:rPr>
                <w:rFonts w:cs="Times New Roman"/>
                <w:szCs w:val="24"/>
              </w:rPr>
              <w:t>Препарат</w:t>
            </w:r>
          </w:p>
        </w:tc>
        <w:tc>
          <w:tcPr>
            <w:tcW w:w="1701" w:type="dxa"/>
          </w:tcPr>
          <w:p w14:paraId="642DD87D" w14:textId="77777777" w:rsidR="00C1188C" w:rsidRPr="00BA4F0F" w:rsidRDefault="00C1188C" w:rsidP="00B436BD">
            <w:pPr>
              <w:pStyle w:val="afe"/>
              <w:ind w:left="0" w:firstLine="0"/>
              <w:rPr>
                <w:rFonts w:cs="Times New Roman"/>
                <w:szCs w:val="24"/>
              </w:rPr>
            </w:pPr>
            <w:r w:rsidRPr="00BA4F0F">
              <w:rPr>
                <w:rFonts w:cs="Times New Roman"/>
                <w:szCs w:val="24"/>
              </w:rPr>
              <w:t>Дни введения перед ауто-ТГСК</w:t>
            </w:r>
          </w:p>
        </w:tc>
        <w:tc>
          <w:tcPr>
            <w:tcW w:w="1134" w:type="dxa"/>
          </w:tcPr>
          <w:p w14:paraId="4DD71D82" w14:textId="77777777" w:rsidR="00C1188C" w:rsidRPr="00BA4F0F" w:rsidRDefault="00C1188C" w:rsidP="00B436BD">
            <w:pPr>
              <w:pStyle w:val="afe"/>
              <w:ind w:left="0" w:firstLine="0"/>
              <w:rPr>
                <w:rFonts w:cs="Times New Roman"/>
                <w:szCs w:val="24"/>
              </w:rPr>
            </w:pPr>
            <w:r w:rsidRPr="00BA4F0F">
              <w:rPr>
                <w:rFonts w:cs="Times New Roman"/>
                <w:szCs w:val="24"/>
              </w:rPr>
              <w:t>Разовая доза</w:t>
            </w:r>
          </w:p>
        </w:tc>
        <w:tc>
          <w:tcPr>
            <w:tcW w:w="1276" w:type="dxa"/>
          </w:tcPr>
          <w:p w14:paraId="5093E5DC" w14:textId="77777777" w:rsidR="00C1188C" w:rsidRPr="00BA4F0F" w:rsidRDefault="00C1188C" w:rsidP="00B436BD">
            <w:pPr>
              <w:pStyle w:val="afe"/>
              <w:ind w:left="0" w:firstLine="0"/>
              <w:rPr>
                <w:rFonts w:cs="Times New Roman"/>
                <w:szCs w:val="24"/>
              </w:rPr>
            </w:pPr>
            <w:r w:rsidRPr="00BA4F0F">
              <w:rPr>
                <w:rFonts w:cs="Times New Roman"/>
                <w:szCs w:val="24"/>
              </w:rPr>
              <w:t>Суточная доза</w:t>
            </w:r>
          </w:p>
        </w:tc>
        <w:tc>
          <w:tcPr>
            <w:tcW w:w="1275" w:type="dxa"/>
          </w:tcPr>
          <w:p w14:paraId="54E5F666" w14:textId="77777777" w:rsidR="00C1188C" w:rsidRPr="00BA4F0F" w:rsidRDefault="00C1188C" w:rsidP="00B436BD">
            <w:pPr>
              <w:pStyle w:val="afe"/>
              <w:ind w:left="0" w:firstLine="0"/>
              <w:rPr>
                <w:rFonts w:cs="Times New Roman"/>
                <w:szCs w:val="24"/>
              </w:rPr>
            </w:pPr>
            <w:r w:rsidRPr="00BA4F0F">
              <w:rPr>
                <w:rFonts w:cs="Times New Roman"/>
                <w:szCs w:val="24"/>
              </w:rPr>
              <w:t>Курсовая доза</w:t>
            </w:r>
          </w:p>
        </w:tc>
        <w:tc>
          <w:tcPr>
            <w:tcW w:w="2659" w:type="dxa"/>
          </w:tcPr>
          <w:p w14:paraId="152A79DA" w14:textId="77777777" w:rsidR="00C1188C" w:rsidRPr="00BA4F0F" w:rsidRDefault="00C1188C" w:rsidP="00B436BD">
            <w:pPr>
              <w:pStyle w:val="afe"/>
              <w:ind w:left="0" w:firstLine="0"/>
              <w:rPr>
                <w:rFonts w:cs="Times New Roman"/>
                <w:szCs w:val="24"/>
              </w:rPr>
            </w:pPr>
            <w:r w:rsidRPr="00BA4F0F">
              <w:rPr>
                <w:rFonts w:cs="Times New Roman"/>
                <w:szCs w:val="24"/>
              </w:rPr>
              <w:t>Особенности введения</w:t>
            </w:r>
          </w:p>
        </w:tc>
      </w:tr>
      <w:tr w:rsidR="00C1188C" w:rsidRPr="00BA4F0F" w14:paraId="40495A30" w14:textId="77777777" w:rsidTr="005A428D">
        <w:tc>
          <w:tcPr>
            <w:tcW w:w="1418" w:type="dxa"/>
          </w:tcPr>
          <w:p w14:paraId="7B5CEFF3" w14:textId="77777777" w:rsidR="00C1188C" w:rsidRPr="00BA4F0F" w:rsidRDefault="00C1188C" w:rsidP="00B436BD">
            <w:pPr>
              <w:pStyle w:val="afe"/>
              <w:ind w:left="0" w:firstLine="0"/>
              <w:jc w:val="center"/>
              <w:rPr>
                <w:rFonts w:cs="Times New Roman"/>
                <w:szCs w:val="24"/>
              </w:rPr>
            </w:pPr>
            <w:r w:rsidRPr="00BA4F0F">
              <w:rPr>
                <w:rFonts w:cs="Times New Roman"/>
                <w:szCs w:val="24"/>
              </w:rPr>
              <w:t>Бендамустин</w:t>
            </w:r>
          </w:p>
        </w:tc>
        <w:tc>
          <w:tcPr>
            <w:tcW w:w="1701" w:type="dxa"/>
          </w:tcPr>
          <w:p w14:paraId="376E3503" w14:textId="77777777" w:rsidR="00C1188C" w:rsidRPr="00BA4F0F" w:rsidRDefault="00C1188C" w:rsidP="00B436BD">
            <w:pPr>
              <w:pStyle w:val="afe"/>
              <w:ind w:left="0" w:firstLine="0"/>
              <w:jc w:val="center"/>
              <w:rPr>
                <w:rFonts w:cs="Times New Roman"/>
                <w:szCs w:val="24"/>
              </w:rPr>
            </w:pPr>
            <w:r w:rsidRPr="00BA4F0F">
              <w:rPr>
                <w:rFonts w:cs="Times New Roman"/>
                <w:szCs w:val="24"/>
              </w:rPr>
              <w:t>-7, -6 день</w:t>
            </w:r>
          </w:p>
        </w:tc>
        <w:tc>
          <w:tcPr>
            <w:tcW w:w="1134" w:type="dxa"/>
          </w:tcPr>
          <w:p w14:paraId="19F4981F"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577CA38B" w14:textId="77777777" w:rsidR="00C1188C" w:rsidRPr="00BA4F0F" w:rsidRDefault="00C1188C" w:rsidP="00B436BD">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639AF3DF" w14:textId="77777777" w:rsidR="00C1188C" w:rsidRPr="00BA4F0F" w:rsidRDefault="00C1188C" w:rsidP="00B436BD">
            <w:pPr>
              <w:pStyle w:val="afe"/>
              <w:ind w:left="0" w:firstLine="0"/>
              <w:jc w:val="center"/>
              <w:rPr>
                <w:rFonts w:cs="Times New Roman"/>
                <w:szCs w:val="24"/>
              </w:rPr>
            </w:pPr>
            <w:r w:rsidRPr="00BA4F0F">
              <w:rPr>
                <w:rFonts w:cs="Times New Roman"/>
                <w:szCs w:val="24"/>
              </w:rPr>
              <w:t>400 мг/м</w:t>
            </w:r>
            <w:r w:rsidRPr="00BA4F0F">
              <w:rPr>
                <w:rFonts w:cs="Times New Roman"/>
                <w:szCs w:val="24"/>
                <w:vertAlign w:val="superscript"/>
              </w:rPr>
              <w:t>2</w:t>
            </w:r>
          </w:p>
        </w:tc>
        <w:tc>
          <w:tcPr>
            <w:tcW w:w="2659" w:type="dxa"/>
          </w:tcPr>
          <w:p w14:paraId="4A8A8CD3"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30-60 минут в 500 мл 0,9% </w:t>
            </w:r>
            <w:r w:rsidRPr="00BA4F0F">
              <w:rPr>
                <w:rFonts w:cs="Times New Roman"/>
                <w:szCs w:val="24"/>
                <w:lang w:val="en-US"/>
              </w:rPr>
              <w:t>NaCl</w:t>
            </w:r>
          </w:p>
        </w:tc>
      </w:tr>
      <w:tr w:rsidR="00C1188C" w:rsidRPr="00BA4F0F" w14:paraId="76AE53E5" w14:textId="77777777" w:rsidTr="005A428D">
        <w:tc>
          <w:tcPr>
            <w:tcW w:w="1418" w:type="dxa"/>
          </w:tcPr>
          <w:p w14:paraId="5915AD9E" w14:textId="77777777" w:rsidR="00C1188C" w:rsidRPr="00BA4F0F" w:rsidRDefault="00C1188C" w:rsidP="00B436BD">
            <w:pPr>
              <w:pStyle w:val="afe"/>
              <w:ind w:left="0" w:firstLine="0"/>
              <w:jc w:val="center"/>
              <w:rPr>
                <w:rFonts w:cs="Times New Roman"/>
                <w:szCs w:val="24"/>
              </w:rPr>
            </w:pPr>
            <w:r w:rsidRPr="00BA4F0F">
              <w:rPr>
                <w:rFonts w:cs="Times New Roman"/>
                <w:szCs w:val="24"/>
              </w:rPr>
              <w:t>Этопозид</w:t>
            </w:r>
          </w:p>
        </w:tc>
        <w:tc>
          <w:tcPr>
            <w:tcW w:w="1701" w:type="dxa"/>
          </w:tcPr>
          <w:p w14:paraId="2FB2597F" w14:textId="77777777" w:rsidR="00C1188C" w:rsidRPr="00BA4F0F" w:rsidRDefault="00C1188C" w:rsidP="00B436BD">
            <w:pPr>
              <w:pStyle w:val="afe"/>
              <w:ind w:left="0" w:firstLine="0"/>
              <w:jc w:val="center"/>
              <w:rPr>
                <w:rFonts w:cs="Times New Roman"/>
                <w:szCs w:val="24"/>
              </w:rPr>
            </w:pPr>
            <w:r w:rsidRPr="00BA4F0F">
              <w:rPr>
                <w:rFonts w:cs="Times New Roman"/>
                <w:szCs w:val="24"/>
              </w:rPr>
              <w:t>-5, -4, -3, -2 дни</w:t>
            </w:r>
          </w:p>
        </w:tc>
        <w:tc>
          <w:tcPr>
            <w:tcW w:w="1134" w:type="dxa"/>
          </w:tcPr>
          <w:p w14:paraId="68202178"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33B0EB9C" w14:textId="77777777" w:rsidR="00C1188C" w:rsidRPr="00BA4F0F" w:rsidRDefault="00C1188C" w:rsidP="00B436BD">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254B928B" w14:textId="77777777" w:rsidR="00C1188C" w:rsidRPr="00BA4F0F" w:rsidRDefault="00C1188C" w:rsidP="00B436BD">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5F41B44A"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C1188C" w:rsidRPr="00BA4F0F" w14:paraId="6E9C0C55" w14:textId="77777777" w:rsidTr="005A428D">
        <w:tc>
          <w:tcPr>
            <w:tcW w:w="1418" w:type="dxa"/>
          </w:tcPr>
          <w:p w14:paraId="18D5704E" w14:textId="77777777" w:rsidR="00C1188C" w:rsidRPr="00BA4F0F" w:rsidRDefault="00C1188C" w:rsidP="00B436BD">
            <w:pPr>
              <w:pStyle w:val="afe"/>
              <w:ind w:left="0" w:firstLine="0"/>
              <w:jc w:val="center"/>
              <w:rPr>
                <w:rFonts w:cs="Times New Roman"/>
                <w:szCs w:val="24"/>
              </w:rPr>
            </w:pPr>
            <w:r w:rsidRPr="00BA4F0F">
              <w:rPr>
                <w:rFonts w:cs="Times New Roman"/>
                <w:szCs w:val="24"/>
              </w:rPr>
              <w:t>Цитарабин</w:t>
            </w:r>
          </w:p>
        </w:tc>
        <w:tc>
          <w:tcPr>
            <w:tcW w:w="1701" w:type="dxa"/>
          </w:tcPr>
          <w:p w14:paraId="4F421A68" w14:textId="77777777" w:rsidR="00C1188C" w:rsidRPr="00BA4F0F" w:rsidRDefault="00C1188C" w:rsidP="00B436BD">
            <w:pPr>
              <w:pStyle w:val="afe"/>
              <w:ind w:left="0" w:firstLine="0"/>
              <w:jc w:val="center"/>
              <w:rPr>
                <w:rFonts w:cs="Times New Roman"/>
                <w:szCs w:val="24"/>
              </w:rPr>
            </w:pPr>
            <w:r w:rsidRPr="00BA4F0F">
              <w:rPr>
                <w:rFonts w:cs="Times New Roman"/>
                <w:szCs w:val="24"/>
              </w:rPr>
              <w:t>-5, -4, -3, -2 дни</w:t>
            </w:r>
          </w:p>
        </w:tc>
        <w:tc>
          <w:tcPr>
            <w:tcW w:w="1134" w:type="dxa"/>
          </w:tcPr>
          <w:p w14:paraId="35FBD8DB" w14:textId="77777777" w:rsidR="00C1188C" w:rsidRPr="00BA4F0F" w:rsidRDefault="00C1188C" w:rsidP="00B436BD">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19BB1191" w14:textId="77777777" w:rsidR="00C1188C" w:rsidRPr="00BA4F0F" w:rsidRDefault="00C1188C" w:rsidP="00B436BD">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389DB082" w14:textId="77777777" w:rsidR="00C1188C" w:rsidRPr="00BA4F0F" w:rsidRDefault="00C1188C" w:rsidP="00B436BD">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148933FC"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C1188C" w:rsidRPr="00BA4F0F" w14:paraId="58D8FCA3" w14:textId="77777777" w:rsidTr="005A428D">
        <w:tc>
          <w:tcPr>
            <w:tcW w:w="1418" w:type="dxa"/>
          </w:tcPr>
          <w:p w14:paraId="73920526" w14:textId="77777777" w:rsidR="00C1188C" w:rsidRPr="00BA4F0F" w:rsidRDefault="00C1188C" w:rsidP="00B436BD">
            <w:pPr>
              <w:pStyle w:val="afe"/>
              <w:ind w:left="0" w:firstLine="0"/>
              <w:jc w:val="center"/>
              <w:rPr>
                <w:rFonts w:cs="Times New Roman"/>
                <w:szCs w:val="24"/>
              </w:rPr>
            </w:pPr>
            <w:r w:rsidRPr="00BA4F0F">
              <w:rPr>
                <w:rFonts w:cs="Times New Roman"/>
                <w:szCs w:val="24"/>
              </w:rPr>
              <w:t>Мелфалан</w:t>
            </w:r>
          </w:p>
        </w:tc>
        <w:tc>
          <w:tcPr>
            <w:tcW w:w="1701" w:type="dxa"/>
          </w:tcPr>
          <w:p w14:paraId="43DC6EC7" w14:textId="77777777" w:rsidR="00C1188C" w:rsidRPr="00BA4F0F" w:rsidRDefault="00C1188C" w:rsidP="00B436BD">
            <w:pPr>
              <w:pStyle w:val="afe"/>
              <w:ind w:left="0" w:firstLine="0"/>
              <w:jc w:val="center"/>
              <w:rPr>
                <w:rFonts w:cs="Times New Roman"/>
                <w:szCs w:val="24"/>
              </w:rPr>
            </w:pPr>
            <w:r w:rsidRPr="00BA4F0F">
              <w:rPr>
                <w:rFonts w:cs="Times New Roman"/>
                <w:szCs w:val="24"/>
              </w:rPr>
              <w:t>- 1 день</w:t>
            </w:r>
          </w:p>
        </w:tc>
        <w:tc>
          <w:tcPr>
            <w:tcW w:w="1134" w:type="dxa"/>
          </w:tcPr>
          <w:p w14:paraId="7A929863" w14:textId="77777777" w:rsidR="00C1188C" w:rsidRPr="00BA4F0F" w:rsidRDefault="00C1188C" w:rsidP="00B436BD">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64ED14D5" w14:textId="77777777" w:rsidR="00C1188C" w:rsidRPr="00BA4F0F" w:rsidRDefault="00C1188C" w:rsidP="00B436BD">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76452DC8" w14:textId="77777777" w:rsidR="00C1188C" w:rsidRPr="00BA4F0F" w:rsidRDefault="00C1188C" w:rsidP="00B436BD">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56FA3BE7" w14:textId="77777777" w:rsidR="00C1188C" w:rsidRPr="00BA4F0F" w:rsidRDefault="00C1188C" w:rsidP="00B436BD">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1760CC63" w14:textId="77777777" w:rsidR="00C1188C" w:rsidRPr="00BA4F0F" w:rsidRDefault="00C1188C" w:rsidP="00C1188C">
      <w:pPr>
        <w:pStyle w:val="afe"/>
        <w:ind w:left="0"/>
        <w:rPr>
          <w:rFonts w:cs="Times New Roman"/>
          <w:szCs w:val="24"/>
          <w:u w:val="single"/>
        </w:rPr>
      </w:pPr>
      <w:bookmarkStart w:id="127" w:name="_Toc44926630"/>
    </w:p>
    <w:p w14:paraId="0EA60127" w14:textId="77777777" w:rsidR="00C1188C" w:rsidRPr="00BA4F0F" w:rsidRDefault="00C1188C" w:rsidP="00C1188C">
      <w:pPr>
        <w:rPr>
          <w:rFonts w:cs="Times New Roman"/>
          <w:b/>
          <w:szCs w:val="24"/>
        </w:rPr>
      </w:pPr>
      <w:bookmarkStart w:id="128" w:name="_Toc44926632"/>
      <w:bookmarkEnd w:id="127"/>
      <w:r w:rsidRPr="00BA4F0F">
        <w:rPr>
          <w:rFonts w:cs="Times New Roman"/>
          <w:b/>
          <w:szCs w:val="24"/>
        </w:rPr>
        <w:t>Инфузия аутологичных гемопоэтических стволовых клеток.</w:t>
      </w:r>
      <w:bookmarkEnd w:id="128"/>
    </w:p>
    <w:p w14:paraId="1186E0EE" w14:textId="77777777" w:rsidR="00C1188C" w:rsidRPr="00BA4F0F" w:rsidRDefault="00C1188C" w:rsidP="00C1188C">
      <w:pPr>
        <w:rPr>
          <w:rFonts w:cs="Times New Roman"/>
          <w:szCs w:val="24"/>
        </w:rPr>
      </w:pPr>
      <w:r w:rsidRPr="00BA4F0F">
        <w:rPr>
          <w:rFonts w:cs="Times New Roman"/>
          <w:szCs w:val="24"/>
        </w:rPr>
        <w:t>Инфузия гемопоэтических стволовых клеток осуществляется в центральный венозный катетер с соблюдением принципов асептики и антисептики.</w:t>
      </w:r>
    </w:p>
    <w:p w14:paraId="7E6FC0EE" w14:textId="77777777" w:rsidR="00C1188C" w:rsidRPr="00BA4F0F" w:rsidRDefault="00C1188C" w:rsidP="00C1188C">
      <w:pPr>
        <w:rPr>
          <w:rFonts w:cs="Times New Roman"/>
          <w:szCs w:val="24"/>
        </w:rPr>
      </w:pPr>
      <w:r w:rsidRPr="00BA4F0F">
        <w:rPr>
          <w:rFonts w:cs="Times New Roman"/>
          <w:szCs w:val="24"/>
        </w:rPr>
        <w:t>Временной интервал после оканчание химиотерапии до инфузии ГСК не менее 24ч.</w:t>
      </w:r>
    </w:p>
    <w:p w14:paraId="20496CB0" w14:textId="77777777" w:rsidR="00C1188C" w:rsidRPr="00BA4F0F" w:rsidRDefault="00C1188C" w:rsidP="00C1188C">
      <w:pPr>
        <w:rPr>
          <w:rFonts w:cs="Times New Roman"/>
          <w:szCs w:val="24"/>
        </w:rPr>
      </w:pPr>
      <w:r w:rsidRPr="00BA4F0F">
        <w:rPr>
          <w:rFonts w:cs="Times New Roman"/>
          <w:szCs w:val="24"/>
        </w:rPr>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3BDB6A17" w14:textId="77777777" w:rsidR="00C1188C" w:rsidRPr="00BA4F0F" w:rsidRDefault="00C1188C" w:rsidP="00C1188C">
      <w:pPr>
        <w:rPr>
          <w:rFonts w:cs="Times New Roman"/>
          <w:szCs w:val="24"/>
        </w:rPr>
      </w:pPr>
      <w:r w:rsidRPr="00BA4F0F">
        <w:rPr>
          <w:rFonts w:cs="Times New Roman"/>
          <w:szCs w:val="24"/>
        </w:rPr>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6B81B923" w14:textId="77777777" w:rsidR="00C1188C" w:rsidRPr="00BA4F0F" w:rsidRDefault="00C1188C" w:rsidP="00C1188C">
      <w:pPr>
        <w:rPr>
          <w:rFonts w:cs="Times New Roman"/>
          <w:szCs w:val="24"/>
        </w:rPr>
      </w:pPr>
      <w:r w:rsidRPr="00BA4F0F">
        <w:rPr>
          <w:rFonts w:cs="Times New Roman"/>
          <w:szCs w:val="24"/>
        </w:rPr>
        <w:t>Криоконсервированные ГСК размораживают на водяной бане или программном размораживателе при температуре 37</w:t>
      </w:r>
      <w:r w:rsidRPr="00BA4F0F">
        <w:rPr>
          <w:rFonts w:cs="Times New Roman"/>
          <w:szCs w:val="24"/>
          <w:vertAlign w:val="superscript"/>
        </w:rPr>
        <w:t>о</w:t>
      </w:r>
      <w:r w:rsidRPr="00BA4F0F">
        <w:rPr>
          <w:rFonts w:cs="Times New Roman"/>
          <w:szCs w:val="24"/>
        </w:rPr>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6AA86A2D" w14:textId="77777777" w:rsidR="00C1188C" w:rsidRPr="00BA4F0F" w:rsidRDefault="00C1188C" w:rsidP="00C1188C">
      <w:pPr>
        <w:rPr>
          <w:rFonts w:cs="Times New Roman"/>
          <w:szCs w:val="24"/>
        </w:rPr>
      </w:pPr>
      <w:r w:rsidRPr="00BA4F0F">
        <w:rPr>
          <w:rFonts w:cs="Times New Roman"/>
          <w:szCs w:val="24"/>
        </w:rPr>
        <w:t>В ряде случаев перед введением лейкоконцентрата в центральный венозный катетер проводится премедикация, для которой используется промедол в стандартной дозировке.</w:t>
      </w:r>
    </w:p>
    <w:p w14:paraId="59FE20EE" w14:textId="77777777" w:rsidR="00C1188C" w:rsidRPr="00BA4F0F" w:rsidRDefault="00C1188C" w:rsidP="00C1188C">
      <w:pPr>
        <w:rPr>
          <w:rFonts w:cs="Times New Roman"/>
          <w:szCs w:val="24"/>
        </w:rPr>
      </w:pPr>
      <w:r w:rsidRPr="00BA4F0F">
        <w:rPr>
          <w:rFonts w:cs="Times New Roman"/>
          <w:szCs w:val="24"/>
        </w:rPr>
        <w:t xml:space="preserve">Начальная скорость введения ГСК составляет 3-5 мл/мин (4-5 минут), после чего скорость можно увеличить до максимально возможной. Во время и после инфузий ГСК осуществляется мониторинг жизненно-важных показателей: АД, ЧСС, ЧД. </w:t>
      </w:r>
    </w:p>
    <w:p w14:paraId="05422979" w14:textId="77777777" w:rsidR="00C1188C" w:rsidRPr="00BA4F0F" w:rsidRDefault="00C1188C" w:rsidP="00C1188C">
      <w:pPr>
        <w:rPr>
          <w:rFonts w:cs="Times New Roman"/>
          <w:szCs w:val="24"/>
        </w:rPr>
      </w:pPr>
      <w:r w:rsidRPr="00BA4F0F">
        <w:rPr>
          <w:rFonts w:cs="Times New Roman"/>
          <w:szCs w:val="24"/>
        </w:rPr>
        <w:t xml:space="preserve">В случае развития гемолиза, инфузия следующего мешка приостанавливается до купирования осложнений. </w:t>
      </w:r>
    </w:p>
    <w:p w14:paraId="563DC6B8" w14:textId="77777777" w:rsidR="00C1188C" w:rsidRPr="00BA4F0F" w:rsidRDefault="00C1188C" w:rsidP="00C1188C">
      <w:pPr>
        <w:rPr>
          <w:rFonts w:cs="Times New Roman"/>
          <w:szCs w:val="24"/>
        </w:rPr>
      </w:pPr>
      <w:r w:rsidRPr="00BA4F0F">
        <w:rPr>
          <w:rFonts w:cs="Times New Roman"/>
          <w:szCs w:val="24"/>
        </w:rPr>
        <w:t xml:space="preserve">После завершения инфузии ход ЦВК промывают физиологическим раствором. </w:t>
      </w:r>
    </w:p>
    <w:p w14:paraId="1AFD70CA" w14:textId="77777777" w:rsidR="00C1188C" w:rsidRPr="00BA4F0F" w:rsidRDefault="00C1188C" w:rsidP="00C1188C">
      <w:pPr>
        <w:rPr>
          <w:rFonts w:cs="Times New Roman"/>
          <w:szCs w:val="24"/>
        </w:rPr>
      </w:pPr>
      <w:r w:rsidRPr="00BA4F0F">
        <w:rPr>
          <w:rFonts w:cs="Times New Roman"/>
          <w:szCs w:val="24"/>
        </w:rPr>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07DCB719" w14:textId="77777777" w:rsidR="00C1188C" w:rsidRPr="00BA4F0F" w:rsidRDefault="00C1188C" w:rsidP="00C1188C">
      <w:pPr>
        <w:rPr>
          <w:rFonts w:cs="Times New Roman"/>
          <w:szCs w:val="24"/>
        </w:rPr>
      </w:pPr>
      <w:r w:rsidRPr="00BA4F0F">
        <w:rPr>
          <w:rFonts w:cs="Times New Roman"/>
          <w:szCs w:val="24"/>
        </w:rPr>
        <w:t xml:space="preserve">В истории болезни оформляется протокол операции, с указанием этапов введения ГСК, временных интервалов и состояния пациента. </w:t>
      </w:r>
    </w:p>
    <w:p w14:paraId="3968F906" w14:textId="77777777" w:rsidR="00C1188C" w:rsidRPr="00BA4F0F" w:rsidRDefault="00C1188C" w:rsidP="00C1188C">
      <w:pPr>
        <w:rPr>
          <w:rFonts w:cs="Times New Roman"/>
          <w:szCs w:val="24"/>
        </w:rPr>
      </w:pPr>
      <w:r w:rsidRPr="00BA4F0F">
        <w:rPr>
          <w:rFonts w:cs="Times New Roman"/>
          <w:szCs w:val="24"/>
        </w:rPr>
        <w:t xml:space="preserve">На следующий день выполняется общий анализ мочи. </w:t>
      </w:r>
    </w:p>
    <w:p w14:paraId="0B2624D6" w14:textId="77777777" w:rsidR="00C1188C" w:rsidRPr="00BA4F0F" w:rsidRDefault="00C1188C" w:rsidP="00C1188C">
      <w:pPr>
        <w:rPr>
          <w:rFonts w:eastAsiaTheme="majorEastAsia" w:cs="Times New Roman"/>
          <w:b/>
          <w:bCs/>
          <w:szCs w:val="24"/>
        </w:rPr>
      </w:pPr>
      <w:bookmarkStart w:id="129" w:name="_Toc44926633"/>
    </w:p>
    <w:p w14:paraId="515FEE6C" w14:textId="77777777" w:rsidR="00C1188C" w:rsidRPr="00BA4F0F" w:rsidRDefault="00C1188C" w:rsidP="00C1188C">
      <w:pPr>
        <w:rPr>
          <w:rFonts w:cs="Times New Roman"/>
          <w:i/>
          <w:szCs w:val="24"/>
          <w:u w:val="single"/>
        </w:rPr>
      </w:pPr>
      <w:r w:rsidRPr="00BA4F0F">
        <w:rPr>
          <w:rFonts w:cs="Times New Roman"/>
          <w:i/>
          <w:szCs w:val="24"/>
          <w:u w:val="single"/>
        </w:rPr>
        <w:t>Сопроводительная терапия при ауто-ТГСК.</w:t>
      </w:r>
      <w:bookmarkEnd w:id="129"/>
    </w:p>
    <w:p w14:paraId="684A866A" w14:textId="77777777" w:rsidR="00C1188C" w:rsidRPr="00BA4F0F" w:rsidRDefault="00C1188C" w:rsidP="00C1188C">
      <w:pPr>
        <w:rPr>
          <w:rFonts w:cs="Times New Roman"/>
          <w:b/>
          <w:szCs w:val="24"/>
        </w:rPr>
      </w:pPr>
      <w:bookmarkStart w:id="130" w:name="_Toc44926634"/>
      <w:r w:rsidRPr="00BA4F0F">
        <w:rPr>
          <w:rFonts w:cs="Times New Roman"/>
          <w:b/>
          <w:szCs w:val="24"/>
        </w:rPr>
        <w:t>Инфузионная терапия</w:t>
      </w:r>
      <w:bookmarkEnd w:id="130"/>
    </w:p>
    <w:p w14:paraId="0E1380E7" w14:textId="77777777" w:rsidR="00C1188C" w:rsidRPr="00BA4F0F" w:rsidRDefault="00C1188C" w:rsidP="00C1188C">
      <w:pPr>
        <w:pStyle w:val="afe"/>
        <w:ind w:left="0" w:firstLine="567"/>
        <w:rPr>
          <w:rFonts w:cs="Times New Roman"/>
          <w:szCs w:val="24"/>
        </w:rPr>
      </w:pPr>
      <w:r w:rsidRPr="00BA4F0F">
        <w:rPr>
          <w:rFonts w:cs="Times New Roman"/>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14:paraId="1D44E314" w14:textId="77777777" w:rsidR="00C1188C" w:rsidRPr="00BA4F0F" w:rsidRDefault="00C1188C" w:rsidP="00C1188C">
      <w:pPr>
        <w:pStyle w:val="afe"/>
        <w:ind w:left="0" w:firstLine="567"/>
        <w:rPr>
          <w:rFonts w:cs="Times New Roman"/>
          <w:szCs w:val="24"/>
        </w:rPr>
      </w:pPr>
      <w:r w:rsidRPr="00BA4F0F">
        <w:rPr>
          <w:rFonts w:cs="Times New Roman"/>
          <w:szCs w:val="24"/>
        </w:rPr>
        <w:t>Основные принципы инфузионной терапии во время ауто-ТГСК:</w:t>
      </w:r>
    </w:p>
    <w:p w14:paraId="76C842D7"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Все инфузии проводятся в центральный венозный катетер</w:t>
      </w:r>
    </w:p>
    <w:p w14:paraId="7BB9245E"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 xml:space="preserve">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 (0,9% </w:t>
      </w:r>
      <w:r w:rsidRPr="00BA4F0F">
        <w:rPr>
          <w:rFonts w:cs="Times New Roman"/>
          <w:szCs w:val="24"/>
          <w:lang w:val="en-US"/>
        </w:rPr>
        <w:t>NaCl</w:t>
      </w:r>
      <w:r w:rsidRPr="00BA4F0F">
        <w:rPr>
          <w:rFonts w:cs="Times New Roman"/>
          <w:szCs w:val="24"/>
        </w:rPr>
        <w:t>), раствор 5% глюкозы,</w:t>
      </w:r>
      <w:r w:rsidRPr="00BA4F0F">
        <w:rPr>
          <w:szCs w:val="24"/>
        </w:rPr>
        <w:t xml:space="preserve"> </w:t>
      </w:r>
      <w:r w:rsidRPr="00BA4F0F">
        <w:rPr>
          <w:rFonts w:cs="Times New Roman"/>
          <w:szCs w:val="24"/>
        </w:rPr>
        <w:t>раствор Рингера, калия и магния аспарагинат. Для коррекции ацидоза используют 5% раствор натрия гидрокарбоната. В случае выраженной гипоальбумиемии, отечного синдрома безбелкового генеза применяются коллоидные растворы (5-20% растворы альбумина человеческого).</w:t>
      </w:r>
    </w:p>
    <w:p w14:paraId="08B52A81"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В состав солевого раствора, как правило, входят раствор 5% глюкозы и 4% хлорида калия (</w:t>
      </w:r>
      <w:r w:rsidRPr="00BA4F0F">
        <w:rPr>
          <w:rFonts w:cs="Times New Roman"/>
          <w:szCs w:val="24"/>
          <w:lang w:val="en-US"/>
        </w:rPr>
        <w:t>KCl</w:t>
      </w:r>
      <w:r w:rsidRPr="00BA4F0F">
        <w:rPr>
          <w:rFonts w:cs="Times New Roman"/>
          <w:szCs w:val="24"/>
        </w:rPr>
        <w:t xml:space="preserve">). На этапе предтрансплантационного кондиционирования суточное количество 4% </w:t>
      </w:r>
      <w:r w:rsidRPr="00BA4F0F">
        <w:rPr>
          <w:rFonts w:cs="Times New Roman"/>
          <w:szCs w:val="24"/>
          <w:lang w:val="en-US"/>
        </w:rPr>
        <w:t>KCl</w:t>
      </w:r>
      <w:r w:rsidRPr="00BA4F0F">
        <w:rPr>
          <w:rFonts w:cs="Times New Roman"/>
          <w:szCs w:val="24"/>
        </w:rP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sidRPr="00BA4F0F">
        <w:rPr>
          <w:rFonts w:cs="Times New Roman"/>
          <w:szCs w:val="24"/>
          <w:lang w:val="en-US"/>
        </w:rPr>
        <w:t>KCl</w:t>
      </w:r>
      <w:r w:rsidRPr="00BA4F0F">
        <w:rPr>
          <w:rFonts w:cs="Times New Roman"/>
          <w:szCs w:val="24"/>
        </w:rPr>
        <w:t>, скорость инфузии корректируется с учетом данных биохимического анализа крови.</w:t>
      </w:r>
    </w:p>
    <w:p w14:paraId="292C502F"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У пациентов на гемодиализе объем солевых растворов не должен превышать 1 литр в сутки, при этом хлорид калия назначается только при развитии гипокалиемии.</w:t>
      </w:r>
    </w:p>
    <w:p w14:paraId="240CF331"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1FDA69A8"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При развитии фебрильной лихорадки объем инфузионной терапии должен быть увеличен до 3-4 литров в сутки под контролем водного баланса.</w:t>
      </w:r>
    </w:p>
    <w:p w14:paraId="1914171E"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32C79F82"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Во время предтрансплантационного кондиционирования проводится гипоурикемическая терапия аллопуринолом в суточной дозе 200 мг/м</w:t>
      </w:r>
      <w:r w:rsidRPr="00BA4F0F">
        <w:rPr>
          <w:rFonts w:cs="Times New Roman"/>
          <w:szCs w:val="24"/>
          <w:vertAlign w:val="superscript"/>
        </w:rPr>
        <w:t>2</w:t>
      </w:r>
      <w:r w:rsidRPr="00BA4F0F">
        <w:rPr>
          <w:rFonts w:cs="Times New Roman"/>
          <w:szCs w:val="24"/>
        </w:rPr>
        <w:t xml:space="preserve"> .</w:t>
      </w:r>
    </w:p>
    <w:p w14:paraId="2F3F0E40" w14:textId="77777777" w:rsidR="00C1188C" w:rsidRPr="00BA4F0F" w:rsidRDefault="00C1188C" w:rsidP="000768AC">
      <w:pPr>
        <w:pStyle w:val="afe"/>
        <w:numPr>
          <w:ilvl w:val="0"/>
          <w:numId w:val="205"/>
        </w:numPr>
        <w:ind w:left="0" w:firstLine="0"/>
        <w:rPr>
          <w:rFonts w:cs="Times New Roman"/>
          <w:szCs w:val="24"/>
        </w:rPr>
      </w:pPr>
      <w:r w:rsidRPr="00BA4F0F">
        <w:rPr>
          <w:rFonts w:cs="Times New Roman"/>
          <w:szCs w:val="24"/>
        </w:rPr>
        <w:t>Во время предтрансплантационного кондиционирования рекомендуется назначение мочегонных средств для форсированного диуреза (фуросемид 20-60 мг/сут).</w:t>
      </w:r>
    </w:p>
    <w:p w14:paraId="211286CB" w14:textId="77777777" w:rsidR="00C1188C" w:rsidRPr="00BA4F0F" w:rsidRDefault="00C1188C" w:rsidP="00C1188C">
      <w:pPr>
        <w:rPr>
          <w:rFonts w:cs="Times New Roman"/>
          <w:b/>
          <w:szCs w:val="24"/>
        </w:rPr>
      </w:pPr>
      <w:bookmarkStart w:id="131" w:name="_Toc44926635"/>
    </w:p>
    <w:p w14:paraId="5EC9CF8B" w14:textId="77777777" w:rsidR="00C1188C" w:rsidRPr="00BA4F0F" w:rsidRDefault="00C1188C" w:rsidP="00C1188C">
      <w:pPr>
        <w:rPr>
          <w:rFonts w:cs="Times New Roman"/>
          <w:b/>
          <w:szCs w:val="24"/>
        </w:rPr>
      </w:pPr>
      <w:bookmarkStart w:id="132" w:name="_Toc44926637"/>
      <w:bookmarkEnd w:id="131"/>
      <w:r w:rsidRPr="00BA4F0F">
        <w:rPr>
          <w:rFonts w:cs="Times New Roman"/>
          <w:b/>
          <w:szCs w:val="24"/>
        </w:rPr>
        <w:t>Антисекреторная терапия</w:t>
      </w:r>
      <w:bookmarkEnd w:id="132"/>
    </w:p>
    <w:p w14:paraId="7F2BF15E" w14:textId="62AAF101"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shd w:val="clear" w:color="auto" w:fill="FFFFFF"/>
          <w:lang w:eastAsia="ru-RU"/>
        </w:rPr>
        <w:t>В настоящее время с антисекреторной целью применяются два класса п</w:t>
      </w:r>
      <w:r w:rsidRPr="00BA4F0F">
        <w:rPr>
          <w:rFonts w:eastAsia="Arial Unicode MS" w:cs="Times New Roman"/>
          <w:color w:val="000000"/>
          <w:spacing w:val="4"/>
          <w:szCs w:val="24"/>
          <w:u w:color="000000"/>
          <w:lang w:eastAsia="ru-RU"/>
        </w:rPr>
        <w:t xml:space="preserve">репаратов: ингибиторы протонной помпы и блокаторы Н2-гистаминовых рецепторов </w:t>
      </w:r>
      <w:r w:rsidRPr="00BA4F0F">
        <w:rPr>
          <w:rFonts w:eastAsia="Arial Unicode MS" w:cs="Times New Roman"/>
          <w:color w:val="000000"/>
          <w:spacing w:val="4"/>
          <w:szCs w:val="24"/>
          <w:u w:color="000000"/>
          <w:lang w:eastAsia="ru-RU"/>
        </w:rPr>
        <w:fldChar w:fldCharType="begin" w:fldLock="1"/>
      </w:r>
      <w:r w:rsidR="00B436BD">
        <w:rPr>
          <w:rFonts w:eastAsia="Arial Unicode MS" w:cs="Times New Roman"/>
          <w:color w:val="000000"/>
          <w:spacing w:val="4"/>
          <w:szCs w:val="24"/>
          <w:u w:color="000000"/>
          <w:lang w:eastAsia="ru-RU"/>
        </w:rPr>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[39,40]","plainTextFormattedCitation":"[39,40]","previouslyFormattedCitation":"[39,40]"},"properties":{"noteIndex":0},"schema":"https://github.com/citation-style-language/schema/raw/master/csl-citation.json"}</w:instrText>
      </w:r>
      <w:r w:rsidRPr="00BA4F0F">
        <w:rPr>
          <w:rFonts w:eastAsia="Arial Unicode MS" w:cs="Times New Roman"/>
          <w:color w:val="000000"/>
          <w:spacing w:val="4"/>
          <w:szCs w:val="24"/>
          <w:u w:color="000000"/>
          <w:lang w:eastAsia="ru-RU"/>
        </w:rPr>
        <w:fldChar w:fldCharType="separate"/>
      </w:r>
      <w:r w:rsidRPr="00C1188C">
        <w:rPr>
          <w:rFonts w:eastAsia="Arial Unicode MS" w:cs="Times New Roman"/>
          <w:noProof/>
          <w:color w:val="000000"/>
          <w:spacing w:val="4"/>
          <w:szCs w:val="24"/>
          <w:u w:color="000000"/>
          <w:lang w:eastAsia="ru-RU"/>
        </w:rPr>
        <w:t>[39,40]</w:t>
      </w:r>
      <w:r w:rsidRPr="00BA4F0F">
        <w:rPr>
          <w:rFonts w:eastAsia="Arial Unicode MS" w:cs="Times New Roman"/>
          <w:color w:val="000000"/>
          <w:spacing w:val="4"/>
          <w:szCs w:val="24"/>
          <w:u w:color="000000"/>
          <w:lang w:eastAsia="ru-RU"/>
        </w:rPr>
        <w:fldChar w:fldCharType="end"/>
      </w:r>
      <w:r w:rsidRPr="00BA4F0F">
        <w:rPr>
          <w:rFonts w:eastAsia="Arial Unicode MS" w:cs="Times New Roman"/>
          <w:color w:val="000000"/>
          <w:spacing w:val="4"/>
          <w:szCs w:val="24"/>
          <w:u w:color="000000"/>
          <w:lang w:eastAsia="ru-RU"/>
        </w:rPr>
        <w:t>.</w:t>
      </w:r>
    </w:p>
    <w:p w14:paraId="53D7963D" w14:textId="77777777" w:rsidR="00C1188C" w:rsidRPr="00BA4F0F" w:rsidRDefault="00C1188C" w:rsidP="00C1188C">
      <w:pPr>
        <w:pStyle w:val="afe"/>
        <w:ind w:left="0"/>
        <w:rPr>
          <w:rFonts w:cs="Times New Roman"/>
          <w:szCs w:val="24"/>
          <w:u w:val="single"/>
        </w:rPr>
      </w:pPr>
    </w:p>
    <w:p w14:paraId="10AB7C01" w14:textId="77777777" w:rsidR="00C1188C" w:rsidRPr="00BA4F0F" w:rsidRDefault="00C1188C" w:rsidP="00C1188C">
      <w:pPr>
        <w:pStyle w:val="afe"/>
        <w:ind w:left="0"/>
        <w:rPr>
          <w:rFonts w:cs="Times New Roman"/>
          <w:szCs w:val="24"/>
          <w:u w:val="single"/>
        </w:rPr>
      </w:pPr>
      <w:r w:rsidRPr="00BA4F0F">
        <w:rPr>
          <w:rFonts w:cs="Times New Roman"/>
          <w:szCs w:val="24"/>
          <w:u w:val="single"/>
        </w:rPr>
        <w:t>Ингибиторы протонной помпы (ИПП)</w:t>
      </w:r>
    </w:p>
    <w:p w14:paraId="1DC0DDAD" w14:textId="77777777" w:rsidR="00C1188C" w:rsidRPr="00BA4F0F" w:rsidRDefault="00C1188C" w:rsidP="00C1188C">
      <w:pPr>
        <w:shd w:val="clear" w:color="auto" w:fill="FFFFFF"/>
        <w:tabs>
          <w:tab w:val="left" w:pos="0"/>
          <w:tab w:val="left" w:pos="394"/>
        </w:tabs>
        <w:rPr>
          <w:rFonts w:eastAsia="Arial Unicode MS" w:cs="Times New Roman"/>
          <w:b/>
          <w:color w:val="000000"/>
          <w:spacing w:val="4"/>
          <w:szCs w:val="24"/>
          <w:u w:color="000000"/>
          <w:lang w:eastAsia="ru-RU"/>
        </w:rPr>
      </w:pPr>
      <w:r w:rsidRPr="00BA4F0F">
        <w:rPr>
          <w:rFonts w:eastAsia="Arial Unicode MS" w:cs="Times New Roman"/>
          <w:b/>
          <w:color w:val="000000"/>
          <w:spacing w:val="4"/>
          <w:szCs w:val="24"/>
          <w:u w:color="000000"/>
          <w:lang w:eastAsia="ru-RU"/>
        </w:rPr>
        <w:t xml:space="preserve">Фармакологическое действие </w:t>
      </w:r>
    </w:p>
    <w:p w14:paraId="0B04E8E1" w14:textId="77777777"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w:t>
      </w:r>
    </w:p>
    <w:p w14:paraId="5666A799" w14:textId="63B68AB6"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ИПП, после прохождения желудка, попадают в тонкую кишку, где растворяются, после чего по кровотоку поступают в печень, а затем проникают через мембрану в париетальные клетки слизистой оболочки желудка, где концентрируются в секреторных канальцах. Здесь, при кислом значении рН, ингибиторы протонного насоса активируются. В этой форме ИПП образуют прочные ковалентные связи с меркаптогруппами цистеиновых остатков Н+/К+-АТФазы, что блокирует действие протонной помпы, она становится необратимо исключенной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от фактора его вызывающего</w:t>
      </w:r>
      <w:r w:rsidRPr="00BA4F0F">
        <w:rPr>
          <w:rFonts w:eastAsia="Arial Unicode MS" w:cs="Times New Roman"/>
          <w:color w:val="000000"/>
          <w:spacing w:val="4"/>
          <w:szCs w:val="24"/>
          <w:u w:color="000000"/>
          <w:lang w:eastAsia="ru-RU"/>
        </w:rPr>
        <w:fldChar w:fldCharType="begin" w:fldLock="1"/>
      </w:r>
      <w:r w:rsidR="00B436BD">
        <w:rPr>
          <w:rFonts w:eastAsia="Arial Unicode MS" w:cs="Times New Roman"/>
          <w:color w:val="000000"/>
          <w:spacing w:val="4"/>
          <w:szCs w:val="24"/>
          <w:u w:color="000000"/>
          <w:lang w:eastAsia="ru-RU"/>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[42]","plainTextFormattedCitation":"[42]","previouslyFormattedCitation":"[42]"},"properties":{"noteIndex":0},"schema":"https://github.com/citation-style-language/schema/raw/master/csl-citation.json"}</w:instrText>
      </w:r>
      <w:r w:rsidRPr="00BA4F0F">
        <w:rPr>
          <w:rFonts w:eastAsia="Arial Unicode MS" w:cs="Times New Roman"/>
          <w:color w:val="000000"/>
          <w:spacing w:val="4"/>
          <w:szCs w:val="24"/>
          <w:u w:color="000000"/>
          <w:lang w:eastAsia="ru-RU"/>
        </w:rPr>
        <w:fldChar w:fldCharType="separate"/>
      </w:r>
      <w:r w:rsidRPr="00C1188C">
        <w:rPr>
          <w:rFonts w:eastAsia="Arial Unicode MS" w:cs="Times New Roman"/>
          <w:noProof/>
          <w:color w:val="000000"/>
          <w:spacing w:val="4"/>
          <w:szCs w:val="24"/>
          <w:u w:color="000000"/>
          <w:lang w:eastAsia="ru-RU"/>
        </w:rPr>
        <w:t>[42]</w:t>
      </w:r>
      <w:r w:rsidRPr="00BA4F0F">
        <w:rPr>
          <w:rFonts w:eastAsia="Arial Unicode MS" w:cs="Times New Roman"/>
          <w:color w:val="000000"/>
          <w:spacing w:val="4"/>
          <w:szCs w:val="24"/>
          <w:u w:color="000000"/>
          <w:lang w:eastAsia="ru-RU"/>
        </w:rPr>
        <w:fldChar w:fldCharType="end"/>
      </w:r>
      <w:r w:rsidRPr="00BA4F0F">
        <w:rPr>
          <w:rFonts w:eastAsia="Arial Unicode MS" w:cs="Times New Roman"/>
          <w:color w:val="000000"/>
          <w:spacing w:val="4"/>
          <w:szCs w:val="24"/>
          <w:u w:color="000000"/>
          <w:lang w:eastAsia="ru-RU"/>
        </w:rPr>
        <w:t>.</w:t>
      </w:r>
    </w:p>
    <w:p w14:paraId="3B388AB3" w14:textId="77777777" w:rsidR="00C1188C" w:rsidRPr="00BA4F0F" w:rsidRDefault="00C1188C" w:rsidP="00C1188C">
      <w:pPr>
        <w:shd w:val="clear" w:color="auto" w:fill="FFFFFF"/>
        <w:tabs>
          <w:tab w:val="left" w:pos="0"/>
          <w:tab w:val="left" w:pos="394"/>
        </w:tabs>
        <w:ind w:left="709"/>
        <w:rPr>
          <w:rFonts w:eastAsia="Arial Unicode MS" w:cs="Times New Roman"/>
          <w:b/>
          <w:color w:val="000000"/>
          <w:spacing w:val="4"/>
          <w:szCs w:val="24"/>
          <w:u w:color="000000"/>
          <w:lang w:eastAsia="ru-RU"/>
        </w:rPr>
      </w:pPr>
      <w:r w:rsidRPr="00BA4F0F">
        <w:rPr>
          <w:rFonts w:eastAsia="Arial Unicode MS" w:cs="Times New Roman"/>
          <w:color w:val="000000"/>
          <w:spacing w:val="4"/>
          <w:szCs w:val="24"/>
          <w:u w:color="000000"/>
          <w:lang w:eastAsia="ru-RU"/>
        </w:rPr>
        <w:t>Показания</w:t>
      </w:r>
    </w:p>
    <w:p w14:paraId="032DC102" w14:textId="77777777" w:rsidR="00C1188C" w:rsidRPr="00BA4F0F" w:rsidRDefault="00C1188C" w:rsidP="000768AC">
      <w:pPr>
        <w:numPr>
          <w:ilvl w:val="0"/>
          <w:numId w:val="204"/>
        </w:numPr>
        <w:tabs>
          <w:tab w:val="left" w:pos="0"/>
        </w:tabs>
        <w:ind w:left="0" w:firstLine="709"/>
        <w:contextualSpacing/>
        <w:rPr>
          <w:rFonts w:cs="Times New Roman"/>
          <w:szCs w:val="24"/>
        </w:rPr>
      </w:pPr>
      <w:r w:rsidRPr="00BA4F0F">
        <w:rPr>
          <w:rFonts w:cs="Times New Roman"/>
          <w:szCs w:val="24"/>
        </w:rPr>
        <w:t>Профилактика/лечение язвенной болезни желудка и двенадцатиперстной кишки, в том числе на фоне терапии глюкокортикостероидами</w:t>
      </w:r>
    </w:p>
    <w:p w14:paraId="0D522440" w14:textId="77777777" w:rsidR="00C1188C" w:rsidRPr="00BA4F0F" w:rsidRDefault="00C1188C" w:rsidP="00C1188C">
      <w:pPr>
        <w:shd w:val="clear" w:color="auto" w:fill="FFFFFF"/>
        <w:tabs>
          <w:tab w:val="left" w:pos="0"/>
          <w:tab w:val="left" w:pos="394"/>
        </w:tabs>
        <w:ind w:left="709"/>
        <w:rPr>
          <w:rFonts w:eastAsia="Arial Unicode MS" w:cs="Times New Roman"/>
          <w:b/>
          <w:color w:val="000000"/>
          <w:spacing w:val="4"/>
          <w:szCs w:val="24"/>
          <w:u w:color="000000"/>
          <w:lang w:eastAsia="ru-RU"/>
        </w:rPr>
      </w:pPr>
      <w:r w:rsidRPr="00BA4F0F">
        <w:rPr>
          <w:rFonts w:eastAsia="Arial Unicode MS" w:cs="Times New Roman"/>
          <w:b/>
          <w:color w:val="000000"/>
          <w:spacing w:val="4"/>
          <w:szCs w:val="24"/>
          <w:u w:color="000000"/>
          <w:shd w:val="clear" w:color="auto" w:fill="FFFFFF"/>
          <w:lang w:eastAsia="ru-RU"/>
        </w:rPr>
        <w:t>Режим дозирования</w:t>
      </w:r>
    </w:p>
    <w:p w14:paraId="23455969" w14:textId="77777777"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 xml:space="preserve">Пациентам во время проведения курсов специфической противоопухолевой терапии, рекомендован прием ИПП в указанных в таблице 12 дозах. </w:t>
      </w:r>
    </w:p>
    <w:p w14:paraId="3683D76B" w14:textId="77777777"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p>
    <w:p w14:paraId="7AEBFCFF" w14:textId="4A02D081"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highlight w:val="yellow"/>
          <w:u w:color="000000"/>
          <w:lang w:eastAsia="ru-RU"/>
        </w:rPr>
        <w:t xml:space="preserve">Таблица </w:t>
      </w:r>
      <w:r w:rsidR="00B436BD">
        <w:rPr>
          <w:rFonts w:eastAsia="Arial Unicode MS" w:cs="Times New Roman"/>
          <w:color w:val="000000"/>
          <w:spacing w:val="4"/>
          <w:szCs w:val="24"/>
          <w:u w:color="000000"/>
          <w:lang w:eastAsia="ru-RU"/>
        </w:rPr>
        <w:t>8</w:t>
      </w:r>
      <w:r w:rsidRPr="00BA4F0F">
        <w:rPr>
          <w:rFonts w:eastAsia="Arial Unicode MS" w:cs="Times New Roman"/>
          <w:color w:val="000000"/>
          <w:spacing w:val="4"/>
          <w:szCs w:val="24"/>
          <w:u w:color="000000"/>
          <w:lang w:eastAsia="ru-RU"/>
        </w:rPr>
        <w:t>. Режим дозирования ИПП с профилактической целью</w:t>
      </w:r>
    </w:p>
    <w:tbl>
      <w:tblPr>
        <w:tblStyle w:val="31"/>
        <w:tblW w:w="0" w:type="auto"/>
        <w:jc w:val="center"/>
        <w:tblLook w:val="04A0" w:firstRow="1" w:lastRow="0" w:firstColumn="1" w:lastColumn="0" w:noHBand="0" w:noVBand="1"/>
      </w:tblPr>
      <w:tblGrid>
        <w:gridCol w:w="2220"/>
        <w:gridCol w:w="1857"/>
        <w:gridCol w:w="4200"/>
      </w:tblGrid>
      <w:tr w:rsidR="00C1188C" w:rsidRPr="00BA4F0F" w14:paraId="6BC157F5" w14:textId="77777777" w:rsidTr="005A428D">
        <w:trPr>
          <w:jc w:val="center"/>
        </w:trPr>
        <w:tc>
          <w:tcPr>
            <w:tcW w:w="2220" w:type="dxa"/>
          </w:tcPr>
          <w:p w14:paraId="4A55B1FB" w14:textId="77777777" w:rsidR="00C1188C" w:rsidRPr="00BA4F0F" w:rsidRDefault="00C1188C" w:rsidP="00B436BD">
            <w:pPr>
              <w:tabs>
                <w:tab w:val="left" w:pos="0"/>
              </w:tabs>
              <w:ind w:firstLine="0"/>
              <w:jc w:val="center"/>
              <w:rPr>
                <w:rFonts w:cs="Times New Roman"/>
                <w:b/>
                <w:lang w:eastAsia="ru-RU"/>
              </w:rPr>
            </w:pPr>
            <w:r w:rsidRPr="00BA4F0F">
              <w:rPr>
                <w:rFonts w:cs="Times New Roman"/>
                <w:b/>
                <w:lang w:eastAsia="ru-RU"/>
              </w:rPr>
              <w:t>Препарат</w:t>
            </w:r>
          </w:p>
        </w:tc>
        <w:tc>
          <w:tcPr>
            <w:tcW w:w="1857" w:type="dxa"/>
          </w:tcPr>
          <w:p w14:paraId="5499C106" w14:textId="77777777" w:rsidR="00C1188C" w:rsidRPr="00BA4F0F" w:rsidRDefault="00C1188C" w:rsidP="00B436BD">
            <w:pPr>
              <w:tabs>
                <w:tab w:val="left" w:pos="0"/>
              </w:tabs>
              <w:ind w:firstLine="0"/>
              <w:jc w:val="center"/>
              <w:rPr>
                <w:rFonts w:cs="Times New Roman"/>
                <w:b/>
                <w:lang w:eastAsia="ru-RU"/>
              </w:rPr>
            </w:pPr>
            <w:r w:rsidRPr="00BA4F0F">
              <w:rPr>
                <w:rFonts w:cs="Times New Roman"/>
                <w:b/>
                <w:lang w:eastAsia="ru-RU"/>
              </w:rPr>
              <w:t>Суточная доза, мг</w:t>
            </w:r>
          </w:p>
        </w:tc>
        <w:tc>
          <w:tcPr>
            <w:tcW w:w="4200" w:type="dxa"/>
          </w:tcPr>
          <w:p w14:paraId="298EF107" w14:textId="77777777" w:rsidR="00C1188C" w:rsidRPr="00BA4F0F" w:rsidRDefault="00C1188C" w:rsidP="00B436BD">
            <w:pPr>
              <w:tabs>
                <w:tab w:val="left" w:pos="0"/>
              </w:tabs>
              <w:ind w:firstLine="0"/>
              <w:jc w:val="center"/>
              <w:rPr>
                <w:rFonts w:cs="Times New Roman"/>
                <w:b/>
                <w:lang w:eastAsia="ru-RU"/>
              </w:rPr>
            </w:pPr>
            <w:r w:rsidRPr="00BA4F0F">
              <w:rPr>
                <w:rFonts w:cs="Times New Roman"/>
                <w:b/>
                <w:lang w:eastAsia="ru-RU"/>
              </w:rPr>
              <w:t>Режим дозирования</w:t>
            </w:r>
          </w:p>
        </w:tc>
      </w:tr>
      <w:tr w:rsidR="00C1188C" w:rsidRPr="00BA4F0F" w14:paraId="7502847C" w14:textId="77777777" w:rsidTr="005A428D">
        <w:trPr>
          <w:jc w:val="center"/>
        </w:trPr>
        <w:tc>
          <w:tcPr>
            <w:tcW w:w="2220" w:type="dxa"/>
          </w:tcPr>
          <w:p w14:paraId="7358379B"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Омепразол</w:t>
            </w:r>
          </w:p>
        </w:tc>
        <w:tc>
          <w:tcPr>
            <w:tcW w:w="1857" w:type="dxa"/>
          </w:tcPr>
          <w:p w14:paraId="1A5A1AD7"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 xml:space="preserve">20 </w:t>
            </w:r>
          </w:p>
          <w:p w14:paraId="0DC46261"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40</w:t>
            </w:r>
          </w:p>
        </w:tc>
        <w:tc>
          <w:tcPr>
            <w:tcW w:w="4200" w:type="dxa"/>
          </w:tcPr>
          <w:p w14:paraId="41FEE686"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Внутрь, 1 раз в сутки;</w:t>
            </w:r>
          </w:p>
          <w:p w14:paraId="6ADE80DD"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 xml:space="preserve"> в/в, 1 раз в сутки</w:t>
            </w:r>
          </w:p>
        </w:tc>
      </w:tr>
      <w:tr w:rsidR="00C1188C" w:rsidRPr="00BA4F0F" w14:paraId="6DA15A77" w14:textId="77777777" w:rsidTr="005A428D">
        <w:trPr>
          <w:jc w:val="center"/>
        </w:trPr>
        <w:tc>
          <w:tcPr>
            <w:tcW w:w="2220" w:type="dxa"/>
          </w:tcPr>
          <w:p w14:paraId="7CA17FF4"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Лансопразол</w:t>
            </w:r>
          </w:p>
        </w:tc>
        <w:tc>
          <w:tcPr>
            <w:tcW w:w="1857" w:type="dxa"/>
          </w:tcPr>
          <w:p w14:paraId="5AB6BE08"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 xml:space="preserve">30 </w:t>
            </w:r>
          </w:p>
        </w:tc>
        <w:tc>
          <w:tcPr>
            <w:tcW w:w="4200" w:type="dxa"/>
          </w:tcPr>
          <w:p w14:paraId="2FA525A1" w14:textId="77777777" w:rsidR="00C1188C" w:rsidRPr="00BA4F0F" w:rsidRDefault="00C1188C" w:rsidP="00B436BD">
            <w:pPr>
              <w:ind w:firstLine="0"/>
            </w:pPr>
            <w:r w:rsidRPr="00BA4F0F">
              <w:rPr>
                <w:rFonts w:cs="Times New Roman"/>
                <w:lang w:eastAsia="ru-RU"/>
              </w:rPr>
              <w:t>Внутрь, 1 раз в сутки</w:t>
            </w:r>
          </w:p>
        </w:tc>
      </w:tr>
      <w:tr w:rsidR="00C1188C" w:rsidRPr="00BA4F0F" w14:paraId="22B4DA25" w14:textId="77777777" w:rsidTr="005A428D">
        <w:trPr>
          <w:jc w:val="center"/>
        </w:trPr>
        <w:tc>
          <w:tcPr>
            <w:tcW w:w="2220" w:type="dxa"/>
          </w:tcPr>
          <w:p w14:paraId="62188449"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Пантопразол</w:t>
            </w:r>
          </w:p>
        </w:tc>
        <w:tc>
          <w:tcPr>
            <w:tcW w:w="1857" w:type="dxa"/>
          </w:tcPr>
          <w:p w14:paraId="6197C480"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 xml:space="preserve">40 </w:t>
            </w:r>
          </w:p>
        </w:tc>
        <w:tc>
          <w:tcPr>
            <w:tcW w:w="4200" w:type="dxa"/>
          </w:tcPr>
          <w:p w14:paraId="165A567E" w14:textId="77777777" w:rsidR="00C1188C" w:rsidRPr="00BA4F0F" w:rsidRDefault="00C1188C" w:rsidP="00B436BD">
            <w:pPr>
              <w:ind w:firstLine="0"/>
            </w:pPr>
            <w:r w:rsidRPr="00BA4F0F">
              <w:rPr>
                <w:rFonts w:cs="Times New Roman"/>
                <w:lang w:eastAsia="ru-RU"/>
              </w:rPr>
              <w:t>Внутрь, 1 раз в сутки</w:t>
            </w:r>
          </w:p>
        </w:tc>
      </w:tr>
      <w:tr w:rsidR="00C1188C" w:rsidRPr="00BA4F0F" w14:paraId="20C0EBE6" w14:textId="77777777" w:rsidTr="005A428D">
        <w:trPr>
          <w:jc w:val="center"/>
        </w:trPr>
        <w:tc>
          <w:tcPr>
            <w:tcW w:w="2220" w:type="dxa"/>
          </w:tcPr>
          <w:p w14:paraId="0F218407" w14:textId="77777777" w:rsidR="00C1188C" w:rsidRPr="00BA4F0F" w:rsidRDefault="00C1188C" w:rsidP="00B436BD">
            <w:pPr>
              <w:tabs>
                <w:tab w:val="left" w:pos="0"/>
              </w:tabs>
              <w:ind w:firstLine="0"/>
              <w:rPr>
                <w:rFonts w:cs="Times New Roman"/>
                <w:lang w:eastAsia="ru-RU"/>
              </w:rPr>
            </w:pPr>
            <w:r w:rsidRPr="00BA4F0F">
              <w:rPr>
                <w:rFonts w:cs="Times New Roman"/>
              </w:rPr>
              <w:t>Рабепразол</w:t>
            </w:r>
          </w:p>
        </w:tc>
        <w:tc>
          <w:tcPr>
            <w:tcW w:w="1857" w:type="dxa"/>
          </w:tcPr>
          <w:p w14:paraId="13D2B811"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20</w:t>
            </w:r>
          </w:p>
        </w:tc>
        <w:tc>
          <w:tcPr>
            <w:tcW w:w="4200" w:type="dxa"/>
          </w:tcPr>
          <w:p w14:paraId="15EC2E82" w14:textId="77777777" w:rsidR="00C1188C" w:rsidRPr="00BA4F0F" w:rsidRDefault="00C1188C" w:rsidP="00B436BD">
            <w:pPr>
              <w:ind w:firstLine="0"/>
            </w:pPr>
            <w:r w:rsidRPr="00BA4F0F">
              <w:rPr>
                <w:rFonts w:cs="Times New Roman"/>
                <w:lang w:eastAsia="ru-RU"/>
              </w:rPr>
              <w:t>Внутрь, 1 раз в сутки</w:t>
            </w:r>
          </w:p>
        </w:tc>
      </w:tr>
      <w:tr w:rsidR="00C1188C" w:rsidRPr="00BA4F0F" w14:paraId="46A43513" w14:textId="77777777" w:rsidTr="005A428D">
        <w:trPr>
          <w:jc w:val="center"/>
        </w:trPr>
        <w:tc>
          <w:tcPr>
            <w:tcW w:w="2220" w:type="dxa"/>
          </w:tcPr>
          <w:p w14:paraId="242692A6" w14:textId="77777777" w:rsidR="00C1188C" w:rsidRPr="00BA4F0F" w:rsidRDefault="00C1188C" w:rsidP="00B436BD">
            <w:pPr>
              <w:tabs>
                <w:tab w:val="left" w:pos="0"/>
              </w:tabs>
              <w:ind w:firstLine="0"/>
              <w:rPr>
                <w:rFonts w:cs="Times New Roman"/>
              </w:rPr>
            </w:pPr>
            <w:r w:rsidRPr="00BA4F0F">
              <w:rPr>
                <w:rFonts w:cs="Times New Roman"/>
              </w:rPr>
              <w:t>Эзомепразол</w:t>
            </w:r>
          </w:p>
        </w:tc>
        <w:tc>
          <w:tcPr>
            <w:tcW w:w="1857" w:type="dxa"/>
          </w:tcPr>
          <w:p w14:paraId="76D4B7B4"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20</w:t>
            </w:r>
          </w:p>
        </w:tc>
        <w:tc>
          <w:tcPr>
            <w:tcW w:w="4200" w:type="dxa"/>
          </w:tcPr>
          <w:p w14:paraId="59986695" w14:textId="77777777" w:rsidR="00C1188C" w:rsidRPr="00BA4F0F" w:rsidRDefault="00C1188C" w:rsidP="00B436BD">
            <w:pPr>
              <w:ind w:firstLine="0"/>
            </w:pPr>
            <w:r w:rsidRPr="00BA4F0F">
              <w:rPr>
                <w:rFonts w:cs="Times New Roman"/>
                <w:lang w:eastAsia="ru-RU"/>
              </w:rPr>
              <w:t>Внутрь или в/в, 1 раз в сутки</w:t>
            </w:r>
          </w:p>
        </w:tc>
      </w:tr>
    </w:tbl>
    <w:p w14:paraId="2494F6AA" w14:textId="77777777"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p>
    <w:p w14:paraId="01C7ACA8" w14:textId="77777777" w:rsidR="00C1188C" w:rsidRPr="00BA4F0F" w:rsidRDefault="00C1188C" w:rsidP="00C1188C">
      <w:pPr>
        <w:shd w:val="clear" w:color="auto" w:fill="FFFFFF"/>
        <w:tabs>
          <w:tab w:val="left" w:pos="0"/>
          <w:tab w:val="left" w:pos="394"/>
        </w:tabs>
        <w:rPr>
          <w:rFonts w:eastAsia="Arial Unicode MS" w:cs="Times New Roman"/>
          <w:color w:val="000000"/>
          <w:spacing w:val="4"/>
          <w:szCs w:val="24"/>
          <w:u w:color="000000"/>
          <w:lang w:eastAsia="ru-RU"/>
        </w:rPr>
      </w:pPr>
      <w:r w:rsidRPr="00BA4F0F">
        <w:rPr>
          <w:rFonts w:eastAsia="Arial Unicode MS" w:cs="Times New Roman"/>
          <w:color w:val="000000"/>
          <w:spacing w:val="4"/>
          <w:szCs w:val="24"/>
          <w:u w:color="000000"/>
          <w:lang w:eastAsia="ru-RU"/>
        </w:rP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643754CA" w14:textId="129D6D33" w:rsidR="00C1188C" w:rsidRPr="00BA4F0F" w:rsidRDefault="00C1188C" w:rsidP="00C1188C">
      <w:pPr>
        <w:rPr>
          <w:rFonts w:cs="Times New Roman"/>
          <w:szCs w:val="24"/>
          <w:lang w:eastAsia="ru-RU"/>
        </w:rPr>
      </w:pPr>
      <w:r w:rsidRPr="00BA4F0F">
        <w:rPr>
          <w:rFonts w:cs="Times New Roman"/>
          <w:szCs w:val="24"/>
          <w:lang w:eastAsia="ru-RU"/>
        </w:rPr>
        <w:t xml:space="preserve">В 1990 г. Burget и соавторы опубликовали результаты мета-анализа 300 работ, установившего, что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w:t>
      </w:r>
      <w:r w:rsidRPr="00BA4F0F">
        <w:rPr>
          <w:rFonts w:cs="Times New Roman"/>
          <w:szCs w:val="24"/>
          <w:lang w:eastAsia="ru-RU"/>
        </w:rPr>
        <w:fldChar w:fldCharType="begin" w:fldLock="1"/>
      </w:r>
      <w:r w:rsidR="00B436BD">
        <w:rPr>
          <w:rFonts w:cs="Times New Roman"/>
          <w:szCs w:val="24"/>
          <w:lang w:eastAsia="ru-RU"/>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[41]","plainTextFormattedCitation":"[41]","previouslyFormattedCitation":"[41]"},"properties":{"noteIndex":0},"schema":"https://github.com/citation-style-language/schema/raw/master/csl-citation.json"}</w:instrText>
      </w:r>
      <w:r w:rsidRPr="00BA4F0F">
        <w:rPr>
          <w:rFonts w:cs="Times New Roman"/>
          <w:szCs w:val="24"/>
          <w:lang w:eastAsia="ru-RU"/>
        </w:rPr>
        <w:fldChar w:fldCharType="separate"/>
      </w:r>
      <w:r w:rsidRPr="00C1188C">
        <w:rPr>
          <w:rFonts w:cs="Times New Roman"/>
          <w:noProof/>
          <w:szCs w:val="24"/>
          <w:lang w:eastAsia="ru-RU"/>
        </w:rPr>
        <w:t>[41]</w:t>
      </w:r>
      <w:r w:rsidRPr="00BA4F0F">
        <w:rPr>
          <w:rFonts w:cs="Times New Roman"/>
          <w:szCs w:val="24"/>
          <w:lang w:eastAsia="ru-RU"/>
        </w:rPr>
        <w:fldChar w:fldCharType="end"/>
      </w:r>
      <w:r w:rsidRPr="00BA4F0F">
        <w:rPr>
          <w:rFonts w:cs="Times New Roman"/>
          <w:szCs w:val="24"/>
          <w:lang w:eastAsia="ru-RU"/>
        </w:rPr>
        <w:t>. С учетом указанного правила в качестве противоязвенной терапии в настоящее время могут рассматриваться антациды, Н2-блокаторы и ИПП. Согласно одному из последних мета-анализов, при использовании ИПП или Н2-блокаторов достоверно эффективнее достигается рубцевание язвенного дефекта</w:t>
      </w:r>
      <w:r w:rsidRPr="00BA4F0F">
        <w:rPr>
          <w:rFonts w:cs="Times New Roman"/>
          <w:szCs w:val="24"/>
        </w:rPr>
        <w:t>, а также с</w:t>
      </w:r>
      <w:r w:rsidRPr="00BA4F0F">
        <w:rPr>
          <w:rFonts w:cs="Times New Roman"/>
          <w:szCs w:val="24"/>
          <w:lang w:eastAsia="ru-RU"/>
        </w:rPr>
        <w:t xml:space="preserve">нижается риск повторного кровотечения, по сравнению с плацебо </w:t>
      </w:r>
      <w:r w:rsidRPr="00BA4F0F">
        <w:rPr>
          <w:rFonts w:cs="Times New Roman"/>
          <w:szCs w:val="24"/>
          <w:lang w:eastAsia="ru-RU"/>
        </w:rPr>
        <w:fldChar w:fldCharType="begin" w:fldLock="1"/>
      </w:r>
      <w:r w:rsidR="00B436BD">
        <w:rPr>
          <w:rFonts w:cs="Times New Roman"/>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[43]","plainTextFormattedCitation":"[43]","previouslyFormattedCitation":"[43]"},"properties":{"noteIndex":0},"schema":"https://github.com/citation-style-language/schema/raw/master/csl-citation.json"}</w:instrText>
      </w:r>
      <w:r w:rsidRPr="00BA4F0F">
        <w:rPr>
          <w:rFonts w:cs="Times New Roman"/>
          <w:szCs w:val="24"/>
          <w:lang w:eastAsia="ru-RU"/>
        </w:rPr>
        <w:fldChar w:fldCharType="separate"/>
      </w:r>
      <w:r w:rsidRPr="00C1188C">
        <w:rPr>
          <w:rFonts w:cs="Times New Roman"/>
          <w:noProof/>
          <w:szCs w:val="24"/>
          <w:lang w:eastAsia="ru-RU"/>
        </w:rPr>
        <w:t>[43]</w:t>
      </w:r>
      <w:r w:rsidRPr="00BA4F0F">
        <w:rPr>
          <w:rFonts w:cs="Times New Roman"/>
          <w:szCs w:val="24"/>
          <w:lang w:eastAsia="ru-RU"/>
        </w:rPr>
        <w:fldChar w:fldCharType="end"/>
      </w:r>
      <w:r w:rsidRPr="00BA4F0F">
        <w:rPr>
          <w:rFonts w:cs="Times New Roman"/>
          <w:szCs w:val="24"/>
          <w:lang w:eastAsia="ru-RU"/>
        </w:rPr>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39BCA639" w14:textId="006D2809" w:rsidR="00C1188C" w:rsidRPr="00BA4F0F" w:rsidRDefault="00C1188C" w:rsidP="00C1188C">
      <w:pPr>
        <w:rPr>
          <w:rFonts w:cs="Times New Roman"/>
          <w:szCs w:val="24"/>
          <w:lang w:eastAsia="ru-RU"/>
        </w:rPr>
      </w:pPr>
      <w:r w:rsidRPr="00BA4F0F">
        <w:rPr>
          <w:rFonts w:cs="Times New Roman"/>
          <w:szCs w:val="24"/>
          <w:lang w:eastAsia="ru-RU"/>
        </w:rPr>
        <w:t xml:space="preserve">В настоящее время ИПП являются средством базисной терапии. Результаты рандомизированных сравнительных исследований свидетельствуют о высокой эффективности ИПП по сравнению с Н2-блокаторами </w:t>
      </w:r>
      <w:r w:rsidRPr="00BA4F0F">
        <w:rPr>
          <w:rFonts w:cs="Times New Roman"/>
          <w:szCs w:val="24"/>
          <w:lang w:eastAsia="ru-RU"/>
        </w:rPr>
        <w:fldChar w:fldCharType="begin" w:fldLock="1"/>
      </w:r>
      <w:r w:rsidR="00B436BD">
        <w:rPr>
          <w:rFonts w:cs="Times New Roman"/>
          <w:szCs w:val="24"/>
          <w:lang w:eastAsia="ru-RU"/>
        </w:rPr>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[44]","plainTextFormattedCitation":"[44]","previouslyFormattedCitation":"[44]"},"properties":{"noteIndex":0},"schema":"https://github.com/citation-style-language/schema/raw/master/csl-citation.json"}</w:instrText>
      </w:r>
      <w:r w:rsidRPr="00BA4F0F">
        <w:rPr>
          <w:rFonts w:cs="Times New Roman"/>
          <w:szCs w:val="24"/>
          <w:lang w:eastAsia="ru-RU"/>
        </w:rPr>
        <w:fldChar w:fldCharType="separate"/>
      </w:r>
      <w:r w:rsidRPr="00C1188C">
        <w:rPr>
          <w:rFonts w:cs="Times New Roman"/>
          <w:noProof/>
          <w:szCs w:val="24"/>
          <w:lang w:eastAsia="ru-RU"/>
        </w:rPr>
        <w:t>[44]</w:t>
      </w:r>
      <w:r w:rsidRPr="00BA4F0F">
        <w:rPr>
          <w:rFonts w:cs="Times New Roman"/>
          <w:szCs w:val="24"/>
          <w:lang w:eastAsia="ru-RU"/>
        </w:rPr>
        <w:fldChar w:fldCharType="end"/>
      </w:r>
      <w:r w:rsidRPr="00BA4F0F">
        <w:rPr>
          <w:rFonts w:cs="Times New Roman"/>
          <w:szCs w:val="24"/>
          <w:lang w:eastAsia="ru-RU"/>
        </w:rPr>
        <w:t>. ИПП практически в 1,5 раза эффективнее Н2-блокаторов в отношении эпителизации язвенного дефекта</w:t>
      </w:r>
      <w:r w:rsidRPr="00BA4F0F">
        <w:rPr>
          <w:rFonts w:cs="Times New Roman"/>
          <w:szCs w:val="24"/>
          <w:lang w:eastAsia="ru-RU"/>
        </w:rPr>
        <w:fldChar w:fldCharType="begin" w:fldLock="1"/>
      </w:r>
      <w:r w:rsidR="00B436BD">
        <w:rPr>
          <w:rFonts w:cs="Times New Roman"/>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[43]","plainTextFormattedCitation":"[43]","previouslyFormattedCitation":"[43]"},"properties":{"noteIndex":0},"schema":"https://github.com/citation-style-language/schema/raw/master/csl-citation.json"}</w:instrText>
      </w:r>
      <w:r w:rsidRPr="00BA4F0F">
        <w:rPr>
          <w:rFonts w:cs="Times New Roman"/>
          <w:szCs w:val="24"/>
          <w:lang w:eastAsia="ru-RU"/>
        </w:rPr>
        <w:fldChar w:fldCharType="separate"/>
      </w:r>
      <w:r w:rsidRPr="00C1188C">
        <w:rPr>
          <w:rFonts w:cs="Times New Roman"/>
          <w:noProof/>
          <w:szCs w:val="24"/>
          <w:lang w:eastAsia="ru-RU"/>
        </w:rPr>
        <w:t>[43]</w:t>
      </w:r>
      <w:r w:rsidRPr="00BA4F0F">
        <w:rPr>
          <w:rFonts w:cs="Times New Roman"/>
          <w:szCs w:val="24"/>
          <w:lang w:eastAsia="ru-RU"/>
        </w:rPr>
        <w:fldChar w:fldCharType="end"/>
      </w:r>
      <w:r w:rsidRPr="00BA4F0F">
        <w:rPr>
          <w:rFonts w:cs="Times New Roman"/>
          <w:szCs w:val="24"/>
          <w:lang w:eastAsia="ru-RU"/>
        </w:rPr>
        <w:t>.</w:t>
      </w:r>
    </w:p>
    <w:p w14:paraId="1541A536" w14:textId="77777777" w:rsidR="00C1188C" w:rsidRPr="00BA4F0F" w:rsidRDefault="00C1188C" w:rsidP="00C1188C">
      <w:pPr>
        <w:tabs>
          <w:tab w:val="left" w:pos="0"/>
        </w:tabs>
        <w:rPr>
          <w:rFonts w:cs="Times New Roman"/>
          <w:b/>
          <w:szCs w:val="24"/>
        </w:rPr>
      </w:pPr>
    </w:p>
    <w:p w14:paraId="126BCD8E" w14:textId="77777777" w:rsidR="00C1188C" w:rsidRPr="00BA4F0F" w:rsidRDefault="00C1188C" w:rsidP="00C1188C">
      <w:pPr>
        <w:pStyle w:val="afe"/>
        <w:ind w:left="0"/>
        <w:rPr>
          <w:rFonts w:cs="Times New Roman"/>
          <w:szCs w:val="24"/>
          <w:u w:val="single"/>
        </w:rPr>
      </w:pPr>
      <w:r w:rsidRPr="00BA4F0F">
        <w:rPr>
          <w:rFonts w:cs="Times New Roman"/>
          <w:szCs w:val="24"/>
          <w:u w:val="single"/>
        </w:rPr>
        <w:t xml:space="preserve">Блокаторы Н2-гистаминовых рецепторов </w:t>
      </w:r>
    </w:p>
    <w:p w14:paraId="4CB97842" w14:textId="77777777" w:rsidR="00C1188C" w:rsidRPr="00BA4F0F" w:rsidRDefault="00C1188C" w:rsidP="00C1188C">
      <w:pPr>
        <w:tabs>
          <w:tab w:val="left" w:pos="0"/>
        </w:tabs>
        <w:rPr>
          <w:rFonts w:cs="Times New Roman"/>
          <w:b/>
          <w:szCs w:val="24"/>
        </w:rPr>
      </w:pPr>
      <w:r w:rsidRPr="00BA4F0F">
        <w:rPr>
          <w:rFonts w:cs="Times New Roman"/>
          <w:b/>
          <w:szCs w:val="24"/>
        </w:rPr>
        <w:t>Фармакологическое действие</w:t>
      </w:r>
    </w:p>
    <w:p w14:paraId="0247543F" w14:textId="77777777" w:rsidR="00C1188C" w:rsidRPr="00BA4F0F" w:rsidRDefault="00C1188C" w:rsidP="00C1188C">
      <w:pPr>
        <w:tabs>
          <w:tab w:val="left" w:pos="0"/>
        </w:tabs>
        <w:rPr>
          <w:rFonts w:cs="Times New Roman"/>
          <w:szCs w:val="24"/>
        </w:rPr>
      </w:pPr>
      <w:r w:rsidRPr="00BA4F0F">
        <w:rPr>
          <w:rFonts w:cs="Times New Roman"/>
          <w:szCs w:val="24"/>
        </w:rPr>
        <w:t xml:space="preserve">Препараты, блокирующие гистаминовые Н2-рецепторы – лекарственные средства, устраняющие физиологические эффекты гистамина, блокируя рецепторы чувствительных к нему клеток. </w:t>
      </w:r>
    </w:p>
    <w:p w14:paraId="0577A751" w14:textId="77777777" w:rsidR="00C1188C" w:rsidRPr="00BA4F0F" w:rsidRDefault="00C1188C" w:rsidP="00C1188C">
      <w:pPr>
        <w:tabs>
          <w:tab w:val="left" w:pos="0"/>
        </w:tabs>
        <w:rPr>
          <w:rFonts w:cs="Times New Roman"/>
          <w:szCs w:val="24"/>
        </w:rPr>
      </w:pPr>
      <w:r w:rsidRPr="00BA4F0F">
        <w:rPr>
          <w:rFonts w:cs="Times New Roman"/>
          <w:szCs w:val="24"/>
        </w:rPr>
        <w:t xml:space="preserve">Популяция гистаминорецепторов состоит из 2-х подтипов, названных Н (Н1- и Н2-гистаминорецепторы). 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Наиболее выраженный эффект ассоциирован с влиянием на секрецию желез слизистой оболочки желудка. Препараты воздействуют на гистаминовые Н2-рецепторы париетальных клеток и значительно уменьшают вызванную различными раздражителями секрецию соляной кислоты. </w:t>
      </w:r>
    </w:p>
    <w:p w14:paraId="5A5A8B45" w14:textId="77777777" w:rsidR="00C1188C" w:rsidRPr="00BA4F0F" w:rsidRDefault="00C1188C" w:rsidP="00C1188C">
      <w:pPr>
        <w:tabs>
          <w:tab w:val="left" w:pos="0"/>
        </w:tabs>
        <w:rPr>
          <w:rFonts w:cs="Times New Roman"/>
          <w:b/>
          <w:szCs w:val="24"/>
        </w:rPr>
      </w:pPr>
      <w:r w:rsidRPr="00BA4F0F">
        <w:rPr>
          <w:rFonts w:cs="Times New Roman"/>
          <w:b/>
          <w:szCs w:val="24"/>
        </w:rPr>
        <w:t>Показания</w:t>
      </w:r>
    </w:p>
    <w:p w14:paraId="5E9DB36B" w14:textId="77777777" w:rsidR="00C1188C" w:rsidRPr="00BA4F0F" w:rsidRDefault="00C1188C" w:rsidP="000768AC">
      <w:pPr>
        <w:numPr>
          <w:ilvl w:val="0"/>
          <w:numId w:val="204"/>
        </w:numPr>
        <w:tabs>
          <w:tab w:val="left" w:pos="0"/>
        </w:tabs>
        <w:ind w:left="0" w:firstLine="709"/>
        <w:contextualSpacing/>
        <w:rPr>
          <w:rFonts w:cs="Times New Roman"/>
          <w:szCs w:val="24"/>
        </w:rPr>
      </w:pPr>
      <w:r w:rsidRPr="00BA4F0F">
        <w:rPr>
          <w:rFonts w:cs="Times New Roman"/>
          <w:szCs w:val="24"/>
        </w:rPr>
        <w:t>Профилактика/лечение язвенной болезни желудка и двенадцатиперстной кишки, в том числе на фоне высокодозной химиотерапии</w:t>
      </w:r>
    </w:p>
    <w:p w14:paraId="62F8E6DC" w14:textId="77777777" w:rsidR="00C1188C" w:rsidRPr="00BA4F0F" w:rsidRDefault="00C1188C" w:rsidP="00C1188C">
      <w:pPr>
        <w:tabs>
          <w:tab w:val="left" w:pos="0"/>
        </w:tabs>
        <w:rPr>
          <w:rFonts w:cs="Times New Roman"/>
          <w:b/>
          <w:szCs w:val="24"/>
        </w:rPr>
      </w:pPr>
      <w:r w:rsidRPr="00BA4F0F">
        <w:rPr>
          <w:rFonts w:cs="Times New Roman"/>
          <w:b/>
          <w:szCs w:val="24"/>
        </w:rPr>
        <w:t>5.3. Режим дозирования</w:t>
      </w:r>
    </w:p>
    <w:p w14:paraId="01BD81B5" w14:textId="77777777" w:rsidR="00C1188C" w:rsidRPr="00BA4F0F" w:rsidRDefault="00C1188C" w:rsidP="00C1188C">
      <w:pPr>
        <w:tabs>
          <w:tab w:val="left" w:pos="0"/>
        </w:tabs>
        <w:rPr>
          <w:rFonts w:cs="Times New Roman"/>
          <w:szCs w:val="24"/>
        </w:rPr>
      </w:pPr>
      <w:r w:rsidRPr="00BA4F0F">
        <w:rPr>
          <w:rFonts w:cs="Times New Roman"/>
          <w:szCs w:val="24"/>
        </w:rPr>
        <w:t>Пациентам во время проведения курсов специфической противоопухолевой терапии, с профилактической целью рекомендован прием блокаторов Н2-гистаминовых рецепторов в указанных в таблице 13 дозах.</w:t>
      </w:r>
    </w:p>
    <w:p w14:paraId="5E25B2ED" w14:textId="77777777" w:rsidR="00C1188C" w:rsidRPr="00BA4F0F" w:rsidRDefault="00C1188C" w:rsidP="00C1188C">
      <w:pPr>
        <w:tabs>
          <w:tab w:val="left" w:pos="0"/>
        </w:tabs>
        <w:rPr>
          <w:rFonts w:cs="Times New Roman"/>
          <w:szCs w:val="24"/>
        </w:rPr>
      </w:pPr>
    </w:p>
    <w:p w14:paraId="674E1473" w14:textId="4369EE9F" w:rsidR="00C1188C" w:rsidRPr="00BA4F0F" w:rsidRDefault="00C1188C" w:rsidP="00C1188C">
      <w:pPr>
        <w:tabs>
          <w:tab w:val="left" w:pos="0"/>
        </w:tabs>
        <w:rPr>
          <w:rFonts w:cs="Times New Roman"/>
          <w:szCs w:val="24"/>
        </w:rPr>
      </w:pPr>
      <w:r w:rsidRPr="00BA4F0F">
        <w:rPr>
          <w:rFonts w:cs="Times New Roman"/>
          <w:szCs w:val="24"/>
          <w:highlight w:val="yellow"/>
        </w:rPr>
        <w:t xml:space="preserve">Таблица </w:t>
      </w:r>
      <w:r w:rsidR="00B436BD">
        <w:rPr>
          <w:rFonts w:cs="Times New Roman"/>
          <w:szCs w:val="24"/>
        </w:rPr>
        <w:t>9</w:t>
      </w:r>
      <w:r w:rsidRPr="00BA4F0F">
        <w:rPr>
          <w:rFonts w:cs="Times New Roman"/>
          <w:szCs w:val="24"/>
        </w:rPr>
        <w:t xml:space="preserve">. Режим дозирования блокаторов Н2-гистаминовых рецепторов </w:t>
      </w:r>
    </w:p>
    <w:tbl>
      <w:tblPr>
        <w:tblStyle w:val="31"/>
        <w:tblW w:w="0" w:type="auto"/>
        <w:jc w:val="center"/>
        <w:tblLook w:val="04A0" w:firstRow="1" w:lastRow="0" w:firstColumn="1" w:lastColumn="0" w:noHBand="0" w:noVBand="1"/>
      </w:tblPr>
      <w:tblGrid>
        <w:gridCol w:w="2220"/>
        <w:gridCol w:w="1857"/>
        <w:gridCol w:w="3491"/>
      </w:tblGrid>
      <w:tr w:rsidR="00C1188C" w:rsidRPr="00BA4F0F" w14:paraId="19AB0682" w14:textId="77777777" w:rsidTr="005A428D">
        <w:trPr>
          <w:jc w:val="center"/>
        </w:trPr>
        <w:tc>
          <w:tcPr>
            <w:tcW w:w="2220" w:type="dxa"/>
          </w:tcPr>
          <w:p w14:paraId="39737544" w14:textId="77777777" w:rsidR="00C1188C" w:rsidRPr="00BA4F0F" w:rsidRDefault="00C1188C" w:rsidP="00B436BD">
            <w:pPr>
              <w:tabs>
                <w:tab w:val="left" w:pos="0"/>
              </w:tabs>
              <w:ind w:firstLine="0"/>
              <w:jc w:val="center"/>
              <w:rPr>
                <w:rFonts w:cs="Times New Roman"/>
                <w:b/>
                <w:lang w:eastAsia="ru-RU"/>
              </w:rPr>
            </w:pPr>
            <w:r w:rsidRPr="00BA4F0F">
              <w:rPr>
                <w:rFonts w:cs="Times New Roman"/>
                <w:b/>
                <w:lang w:eastAsia="ru-RU"/>
              </w:rPr>
              <w:t>Препараты</w:t>
            </w:r>
          </w:p>
        </w:tc>
        <w:tc>
          <w:tcPr>
            <w:tcW w:w="1857" w:type="dxa"/>
          </w:tcPr>
          <w:p w14:paraId="1D66845A" w14:textId="77777777" w:rsidR="00C1188C" w:rsidRPr="00BA4F0F" w:rsidRDefault="00C1188C" w:rsidP="00B436BD">
            <w:pPr>
              <w:tabs>
                <w:tab w:val="left" w:pos="0"/>
              </w:tabs>
              <w:ind w:firstLine="0"/>
              <w:jc w:val="center"/>
              <w:rPr>
                <w:rFonts w:cs="Times New Roman"/>
                <w:b/>
                <w:lang w:eastAsia="ru-RU"/>
              </w:rPr>
            </w:pPr>
            <w:r w:rsidRPr="00BA4F0F">
              <w:rPr>
                <w:rFonts w:cs="Times New Roman"/>
                <w:b/>
                <w:lang w:eastAsia="ru-RU"/>
              </w:rPr>
              <w:t>Суточная доза, мг</w:t>
            </w:r>
          </w:p>
        </w:tc>
        <w:tc>
          <w:tcPr>
            <w:tcW w:w="3491" w:type="dxa"/>
          </w:tcPr>
          <w:p w14:paraId="00F03196" w14:textId="77777777" w:rsidR="00C1188C" w:rsidRPr="00BA4F0F" w:rsidRDefault="00C1188C" w:rsidP="00B436BD">
            <w:pPr>
              <w:tabs>
                <w:tab w:val="left" w:pos="0"/>
              </w:tabs>
              <w:ind w:firstLine="0"/>
              <w:jc w:val="center"/>
              <w:rPr>
                <w:rFonts w:cs="Times New Roman"/>
                <w:b/>
                <w:lang w:eastAsia="ru-RU"/>
              </w:rPr>
            </w:pPr>
            <w:r w:rsidRPr="00BA4F0F">
              <w:rPr>
                <w:rFonts w:cs="Times New Roman"/>
                <w:b/>
                <w:lang w:eastAsia="ru-RU"/>
              </w:rPr>
              <w:t>Режим дозирования</w:t>
            </w:r>
          </w:p>
        </w:tc>
      </w:tr>
      <w:tr w:rsidR="00C1188C" w:rsidRPr="00BA4F0F" w14:paraId="16E07826" w14:textId="77777777" w:rsidTr="005A428D">
        <w:trPr>
          <w:jc w:val="center"/>
        </w:trPr>
        <w:tc>
          <w:tcPr>
            <w:tcW w:w="2220" w:type="dxa"/>
          </w:tcPr>
          <w:p w14:paraId="512579DA"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Ранитидин</w:t>
            </w:r>
          </w:p>
        </w:tc>
        <w:tc>
          <w:tcPr>
            <w:tcW w:w="1857" w:type="dxa"/>
          </w:tcPr>
          <w:p w14:paraId="25C07042"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150</w:t>
            </w:r>
          </w:p>
        </w:tc>
        <w:tc>
          <w:tcPr>
            <w:tcW w:w="3491" w:type="dxa"/>
          </w:tcPr>
          <w:p w14:paraId="629F5DDB"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Внутрь, 1 раз в сутки, на ночь</w:t>
            </w:r>
          </w:p>
        </w:tc>
      </w:tr>
      <w:tr w:rsidR="00C1188C" w:rsidRPr="00BA4F0F" w14:paraId="3792706C" w14:textId="77777777" w:rsidTr="005A428D">
        <w:trPr>
          <w:jc w:val="center"/>
        </w:trPr>
        <w:tc>
          <w:tcPr>
            <w:tcW w:w="2220" w:type="dxa"/>
          </w:tcPr>
          <w:p w14:paraId="3C6DF843"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Фамотидин</w:t>
            </w:r>
          </w:p>
        </w:tc>
        <w:tc>
          <w:tcPr>
            <w:tcW w:w="1857" w:type="dxa"/>
          </w:tcPr>
          <w:p w14:paraId="61D9ED7E" w14:textId="77777777" w:rsidR="00C1188C" w:rsidRPr="00BA4F0F" w:rsidRDefault="00C1188C" w:rsidP="00B436BD">
            <w:pPr>
              <w:tabs>
                <w:tab w:val="left" w:pos="0"/>
              </w:tabs>
              <w:ind w:firstLine="0"/>
              <w:rPr>
                <w:rFonts w:cs="Times New Roman"/>
                <w:lang w:eastAsia="ru-RU"/>
              </w:rPr>
            </w:pPr>
            <w:r w:rsidRPr="00BA4F0F">
              <w:rPr>
                <w:rFonts w:cs="Times New Roman"/>
                <w:lang w:eastAsia="ru-RU"/>
              </w:rPr>
              <w:t xml:space="preserve">20 </w:t>
            </w:r>
          </w:p>
        </w:tc>
        <w:tc>
          <w:tcPr>
            <w:tcW w:w="3491" w:type="dxa"/>
          </w:tcPr>
          <w:p w14:paraId="0078DBBC" w14:textId="77777777" w:rsidR="00C1188C" w:rsidRPr="00BA4F0F" w:rsidRDefault="00C1188C" w:rsidP="00B436BD">
            <w:pPr>
              <w:ind w:firstLine="0"/>
            </w:pPr>
            <w:r w:rsidRPr="00BA4F0F">
              <w:rPr>
                <w:rFonts w:cs="Times New Roman"/>
                <w:lang w:eastAsia="ru-RU"/>
              </w:rPr>
              <w:t>Внутрь, 1 раз в сутки, на ночь</w:t>
            </w:r>
          </w:p>
        </w:tc>
      </w:tr>
    </w:tbl>
    <w:p w14:paraId="07EFB0C3" w14:textId="77777777" w:rsidR="00C1188C" w:rsidRPr="00BA4F0F" w:rsidRDefault="00C1188C" w:rsidP="00C1188C">
      <w:pPr>
        <w:autoSpaceDE w:val="0"/>
        <w:autoSpaceDN w:val="0"/>
        <w:adjustRightInd w:val="0"/>
        <w:rPr>
          <w:rFonts w:cs="Times New Roman"/>
          <w:iCs/>
          <w:szCs w:val="24"/>
        </w:rPr>
      </w:pPr>
    </w:p>
    <w:p w14:paraId="115CD966" w14:textId="1E7C0F54" w:rsidR="00C1188C" w:rsidRPr="00BA4F0F" w:rsidRDefault="00C1188C" w:rsidP="00C1188C">
      <w:pPr>
        <w:autoSpaceDE w:val="0"/>
        <w:autoSpaceDN w:val="0"/>
        <w:adjustRightInd w:val="0"/>
        <w:rPr>
          <w:rFonts w:cs="Times New Roman"/>
          <w:iCs/>
          <w:szCs w:val="24"/>
        </w:rPr>
      </w:pPr>
      <w:r w:rsidRPr="00BA4F0F">
        <w:rPr>
          <w:rFonts w:cs="Times New Roman"/>
          <w:iCs/>
          <w:szCs w:val="24"/>
        </w:rPr>
        <w:t xml:space="preserve">Н2-блокаторы гистамина подавляют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Проведенные исследования показали, что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w:t>
      </w:r>
      <w:r w:rsidRPr="00BA4F0F">
        <w:rPr>
          <w:rFonts w:cs="Times New Roman"/>
          <w:iCs/>
          <w:szCs w:val="24"/>
        </w:rPr>
        <w:fldChar w:fldCharType="begin" w:fldLock="1"/>
      </w:r>
      <w:r w:rsidR="00146A73">
        <w:rPr>
          <w:rFonts w:cs="Times New Roman"/>
          <w:iCs/>
          <w:szCs w:val="24"/>
        </w:rPr>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dcbc625a-2314-3bed-910d-92b1cdf9da49","http://www.mendeley.com/documents/?uuid=624fee9b-1b8b-4f2d-a0e5-4146c75dcad9"]}],"mendeley":{"formattedCitation":"[129]","plainTextFormattedCitation":"[129]","previouslyFormattedCitation":"[129]"},"properties":{"noteIndex":0},"schema":"https://github.com/citation-style-language/schema/raw/master/csl-citation.json"}</w:instrText>
      </w:r>
      <w:r w:rsidRPr="00BA4F0F">
        <w:rPr>
          <w:rFonts w:cs="Times New Roman"/>
          <w:iCs/>
          <w:szCs w:val="24"/>
        </w:rPr>
        <w:fldChar w:fldCharType="separate"/>
      </w:r>
      <w:r w:rsidR="00B436BD" w:rsidRPr="00B436BD">
        <w:rPr>
          <w:rFonts w:cs="Times New Roman"/>
          <w:iCs/>
          <w:noProof/>
          <w:szCs w:val="24"/>
        </w:rPr>
        <w:t>[129]</w:t>
      </w:r>
      <w:r w:rsidRPr="00BA4F0F">
        <w:rPr>
          <w:rFonts w:cs="Times New Roman"/>
          <w:iCs/>
          <w:szCs w:val="24"/>
        </w:rPr>
        <w:fldChar w:fldCharType="end"/>
      </w:r>
      <w:r w:rsidRPr="00BA4F0F">
        <w:rPr>
          <w:rFonts w:cs="Times New Roman"/>
          <w:iCs/>
          <w:szCs w:val="24"/>
        </w:rPr>
        <w:t xml:space="preserve">. Н2-блокаторы значительно эффективнее плацебо в достижении рубцевания язвенного дефекта </w:t>
      </w:r>
      <w:r w:rsidRPr="00BA4F0F">
        <w:rPr>
          <w:rFonts w:cs="Times New Roman"/>
          <w:iCs/>
          <w:szCs w:val="24"/>
        </w:rPr>
        <w:fldChar w:fldCharType="begin" w:fldLock="1"/>
      </w:r>
      <w:r w:rsidR="00B436BD">
        <w:rPr>
          <w:rFonts w:cs="Times New Roman"/>
          <w:iCs/>
          <w:szCs w:val="24"/>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[43]","plainTextFormattedCitation":"[43]","previouslyFormattedCitation":"[43]"},"properties":{"noteIndex":0},"schema":"https://github.com/citation-style-language/schema/raw/master/csl-citation.json"}</w:instrText>
      </w:r>
      <w:r w:rsidRPr="00BA4F0F">
        <w:rPr>
          <w:rFonts w:cs="Times New Roman"/>
          <w:iCs/>
          <w:szCs w:val="24"/>
        </w:rPr>
        <w:fldChar w:fldCharType="separate"/>
      </w:r>
      <w:r w:rsidRPr="00C1188C">
        <w:rPr>
          <w:rFonts w:cs="Times New Roman"/>
          <w:iCs/>
          <w:noProof/>
          <w:szCs w:val="24"/>
        </w:rPr>
        <w:t>[43]</w:t>
      </w:r>
      <w:r w:rsidRPr="00BA4F0F">
        <w:rPr>
          <w:rFonts w:cs="Times New Roman"/>
          <w:iCs/>
          <w:szCs w:val="24"/>
        </w:rPr>
        <w:fldChar w:fldCharType="end"/>
      </w:r>
      <w:r w:rsidRPr="00BA4F0F">
        <w:rPr>
          <w:rFonts w:cs="Times New Roman"/>
          <w:iCs/>
          <w:szCs w:val="24"/>
        </w:rPr>
        <w:t>.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p>
    <w:p w14:paraId="320CC624" w14:textId="77777777" w:rsidR="00C1188C" w:rsidRPr="00BA4F0F" w:rsidRDefault="00C1188C" w:rsidP="00C1188C">
      <w:pPr>
        <w:rPr>
          <w:rFonts w:cs="Times New Roman"/>
          <w:b/>
          <w:szCs w:val="24"/>
          <w:highlight w:val="green"/>
        </w:rPr>
      </w:pPr>
      <w:bookmarkStart w:id="133" w:name="_Toc44926638"/>
    </w:p>
    <w:p w14:paraId="2F1A33BD" w14:textId="77777777" w:rsidR="00C1188C" w:rsidRPr="00BA4F0F" w:rsidRDefault="00C1188C" w:rsidP="00C1188C">
      <w:pPr>
        <w:rPr>
          <w:rFonts w:cs="Times New Roman"/>
          <w:b/>
          <w:szCs w:val="24"/>
        </w:rPr>
      </w:pPr>
      <w:r w:rsidRPr="00BA4F0F">
        <w:rPr>
          <w:rFonts w:cs="Times New Roman"/>
          <w:b/>
          <w:szCs w:val="24"/>
        </w:rPr>
        <w:t>Антимикробная терапия</w:t>
      </w:r>
      <w:bookmarkEnd w:id="133"/>
    </w:p>
    <w:p w14:paraId="1B3F9947" w14:textId="2EBA7D18" w:rsidR="00C1188C" w:rsidRPr="00BA4F0F" w:rsidRDefault="00C1188C" w:rsidP="00C1188C">
      <w:pPr>
        <w:tabs>
          <w:tab w:val="left" w:pos="0"/>
          <w:tab w:val="left" w:pos="567"/>
        </w:tabs>
        <w:rPr>
          <w:rFonts w:cs="Times New Roman"/>
          <w:szCs w:val="24"/>
        </w:rPr>
      </w:pPr>
      <w:r w:rsidRPr="00BA4F0F">
        <w:rPr>
          <w:rFonts w:cs="Times New Roman"/>
          <w:szCs w:val="24"/>
        </w:rPr>
        <w:t xml:space="preserve">Применение высокодозной химиотерапии с последующей трансплантацией аутологичных стволовых клеток крови по данным различных авторов приводит к развитию инфекционных осложнений более чем у 90 % больных </w:t>
      </w:r>
      <w:r w:rsidRPr="00BA4F0F">
        <w:rPr>
          <w:rFonts w:cs="Times New Roman"/>
          <w:szCs w:val="24"/>
        </w:rPr>
        <w:fldChar w:fldCharType="begin" w:fldLock="1"/>
      </w:r>
      <w:r w:rsidR="00146A73">
        <w:rPr>
          <w:rFonts w:cs="Times New Roman"/>
          <w:szCs w:val="24"/>
        </w:rPr>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f1a86368-84b1-3c12-a8de-28ac6a6f005c","http://www.mendeley.com/documents/?uuid=4fdc9fd0-5eb8-4b96-b6b8-9b8085bef2b6","http://www.mendeley.com/documents/?uuid=81487a63-368f-45a3-96bd-a065db655523","http://www.mendeley.com/documents/?uuid=3f2b3f0f-80f0-426a-b243-a2231ace928a","http://www.mendeley.com/documents/?uuid=9ea48387-c84f-41f8-868e-392b32d4973d","http://www.mendeley.com/documents/?uuid=214eabb8-c545-489f-ad37-bd70dd8865a6","http://www.mendeley.com/documents/?uuid=f9b66049-e8d5-49d2-9034-b13f690ee446","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2484101e-8b0b-3a5f-a697-4baf2d1f00ec","http://www.mendeley.com/documents/?uuid=4b9974a2-0e3e-44ce-ac02-f3dad90354f7","http://www.mendeley.com/documents/?uuid=621597e4-9f72-47a3-98b8-f1cb6c6ec284","http://www.mendeley.com/documents/?uuid=2a53cc22-2809-49ef-869c-a3d053a9fe19","http://www.mendeley.com/documents/?uuid=9f0564c3-3b67-41ba-875e-02194c8b103f","http://www.mendeley.com/documents/?uuid=02c86a55-b501-43b0-aca1-e8355618aa56","http://www.mendeley.com/documents/?uuid=aa713873-711b-4840-84ae-7ab465fc9da8","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e9c8d6a3-bf24-3a10-be69-dbf56d33e220","http://www.mendeley.com/documents/?uuid=53d1d1c5-dcbb-4103-80be-837e10537355","http://www.mendeley.com/documents/?uuid=6e7642af-251b-4056-bc76-4c25fd6ab0e5","http://www.mendeley.com/documents/?uuid=16f62455-5dc2-4a1d-b988-18db9ac13408","http://www.mendeley.com/documents/?uuid=4c4353f2-c724-4054-bfb5-29023200ae81","http://www.mendeley.com/documents/?uuid=9a4fea57-5691-4c44-8c79-67124536a57e","http://www.mendeley.com/documents/?uuid=dc975761-e88a-4365-8582-efe82fb0848d","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5d017807-56d5-3c29-9e5b-06adbcf241d7","http://www.mendeley.com/documents/?uuid=0c431f2d-f131-4475-bc03-927c20fc8427","http://www.mendeley.com/documents/?uuid=cb8a28f6-34d3-47b6-aac5-75eae4c6597a","http://www.mendeley.com/documents/?uuid=1da004eb-c4a8-438d-8229-3b75c2c05578","http://www.mendeley.com/documents/?uuid=447ce80b-5ffd-4f72-a842-6d050b4c0058","http://www.mendeley.com/documents/?uuid=75718eaf-f3e7-47ed-a437-a0877b2432c4","http://www.mendeley.com/documents/?uuid=92ffaa87-61f2-4a29-ab3b-0229b7e2d3b0","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ae672191-2fc7-35b4-bb6f-de9083ec561f","http://www.mendeley.com/documents/?uuid=3eb7eca1-f810-48f1-8c56-0b2d965d8011","http://www.mendeley.com/documents/?uuid=5ebcf890-5e16-4450-9634-3c05a12d76c0","http://www.mendeley.com/documents/?uuid=853c0c3e-4b77-4603-bf23-18587d4490b6","http://www.mendeley.com/documents/?uuid=26920eda-53a6-4a84-9487-903994067277","http://www.mendeley.com/documents/?uuid=dd8b341d-4c23-4bd9-9d5d-3dceeb3afe7c","http://www.mendeley.com/documents/?uuid=994064a7-7ad5-46d6-af07-2b010e03da9d","http://www.mendeley.com/documents/?uuid=fcf50596-2552-44da-a965-28f05137efeb"]}],"mendeley":{"formattedCitation":"[130–134]","plainTextFormattedCitation":"[130–134]","previouslyFormattedCitation":"[130–134]"},"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[130–134]</w:t>
      </w:r>
      <w:r w:rsidRPr="00BA4F0F">
        <w:rPr>
          <w:rFonts w:cs="Times New Roman"/>
          <w:szCs w:val="24"/>
        </w:rPr>
        <w:fldChar w:fldCharType="end"/>
      </w:r>
      <w:r w:rsidRPr="00BA4F0F">
        <w:rPr>
          <w:rFonts w:cs="Times New Roman"/>
          <w:szCs w:val="24"/>
        </w:rPr>
        <w:t>.</w:t>
      </w:r>
    </w:p>
    <w:p w14:paraId="71E7F46F" w14:textId="77777777" w:rsidR="00C1188C" w:rsidRPr="00BA4F0F" w:rsidRDefault="00C1188C" w:rsidP="00C1188C">
      <w:pPr>
        <w:tabs>
          <w:tab w:val="left" w:pos="0"/>
          <w:tab w:val="left" w:pos="567"/>
        </w:tabs>
        <w:rPr>
          <w:rFonts w:cs="Times New Roman"/>
          <w:szCs w:val="24"/>
        </w:rPr>
      </w:pPr>
      <w:r w:rsidRPr="00BA4F0F">
        <w:rPr>
          <w:rFonts w:cs="Times New Roman"/>
          <w:szCs w:val="24"/>
        </w:rPr>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центрального венозного катетера (ЦВК).</w:t>
      </w:r>
    </w:p>
    <w:p w14:paraId="6A9936A4" w14:textId="48C71B64" w:rsidR="00C1188C" w:rsidRPr="00BA4F0F" w:rsidRDefault="00C1188C" w:rsidP="00C1188C">
      <w:pPr>
        <w:tabs>
          <w:tab w:val="left" w:pos="0"/>
          <w:tab w:val="left" w:pos="567"/>
        </w:tabs>
        <w:rPr>
          <w:rFonts w:cs="Times New Roman"/>
          <w:szCs w:val="24"/>
        </w:rPr>
      </w:pPr>
      <w:r w:rsidRPr="00BA4F0F">
        <w:rPr>
          <w:rFonts w:cs="Times New Roman"/>
          <w:szCs w:val="24"/>
        </w:rPr>
        <w:t xml:space="preserve">Наиболее высокая частота инфекционных осложнений наблюдается у больных с длительностью нейтропении от 10 дней и более </w:t>
      </w:r>
      <w:r w:rsidRPr="00BA4F0F">
        <w:rPr>
          <w:rFonts w:cs="Times New Roman"/>
          <w:szCs w:val="24"/>
        </w:rPr>
        <w:fldChar w:fldCharType="begin" w:fldLock="1"/>
      </w:r>
      <w:r w:rsidR="00146A73">
        <w:rPr>
          <w:rFonts w:cs="Times New Roman"/>
          <w:szCs w:val="24"/>
        </w:rPr>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http://www.mendeley.com/documents/?uuid=994064a7-7ad5-46d6-af07-2b010e03da9d","http://www.mendeley.com/documents/?uuid=dd8b341d-4c23-4bd9-9d5d-3dceeb3afe7c","http://www.mendeley.com/documents/?uuid=26920eda-53a6-4a84-9487-903994067277","http://www.mendeley.com/documents/?uuid=853c0c3e-4b77-4603-bf23-18587d4490b6","http://www.mendeley.com/documents/?uuid=5ebcf890-5e16-4450-9634-3c05a12d76c0","http://www.mendeley.com/documents/?uuid=3eb7eca1-f810-48f1-8c56-0b2d965d8011","http://www.mendeley.com/documents/?uuid=ae672191-2fc7-35b4-bb6f-de9083ec561f"]}],"mendeley":{"formattedCitation":"[134]","plainTextFormattedCitation":"[134]","previouslyFormattedCitation":"[134]"},"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[134]</w:t>
      </w:r>
      <w:r w:rsidRPr="00BA4F0F">
        <w:rPr>
          <w:rFonts w:cs="Times New Roman"/>
          <w:szCs w:val="24"/>
        </w:rPr>
        <w:fldChar w:fldCharType="end"/>
      </w:r>
      <w:r w:rsidRPr="00BA4F0F">
        <w:rPr>
          <w:rFonts w:cs="Times New Roman"/>
          <w:szCs w:val="24"/>
        </w:rPr>
        <w:t>.</w:t>
      </w:r>
    </w:p>
    <w:p w14:paraId="12D21636" w14:textId="304316FA" w:rsidR="00C1188C" w:rsidRPr="00BA4F0F" w:rsidRDefault="00C1188C" w:rsidP="00C1188C">
      <w:pPr>
        <w:tabs>
          <w:tab w:val="left" w:pos="0"/>
          <w:tab w:val="left" w:pos="567"/>
        </w:tabs>
        <w:rPr>
          <w:rFonts w:cs="Times New Roman"/>
          <w:szCs w:val="24"/>
        </w:rPr>
      </w:pPr>
      <w:r w:rsidRPr="00BA4F0F">
        <w:rPr>
          <w:rFonts w:cs="Times New Roman"/>
          <w:szCs w:val="24"/>
        </w:rPr>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BA4F0F">
        <w:rPr>
          <w:rFonts w:cs="Times New Roman"/>
          <w:szCs w:val="24"/>
        </w:rPr>
        <w:fldChar w:fldCharType="begin" w:fldLock="1"/>
      </w:r>
      <w:r w:rsidR="00146A73">
        <w:rPr>
          <w:rFonts w:cs="Times New Roman"/>
          <w:szCs w:val="24"/>
        </w:rPr>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[135]","plainTextFormattedCitation":"[135]","previouslyFormattedCitation":"[135]"},"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[135]</w:t>
      </w:r>
      <w:r w:rsidRPr="00BA4F0F">
        <w:rPr>
          <w:rFonts w:cs="Times New Roman"/>
          <w:szCs w:val="24"/>
        </w:rPr>
        <w:fldChar w:fldCharType="end"/>
      </w:r>
      <w:r w:rsidRPr="00BA4F0F">
        <w:rPr>
          <w:rFonts w:cs="Times New Roman"/>
          <w:szCs w:val="24"/>
        </w:rPr>
        <w:t>.</w:t>
      </w:r>
    </w:p>
    <w:p w14:paraId="20AAC6EC"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529E1324"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155129E4"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65C0D330" w14:textId="77777777" w:rsidR="00C1188C" w:rsidRPr="00BA4F0F" w:rsidRDefault="00C1188C" w:rsidP="00C1188C">
      <w:pPr>
        <w:pStyle w:val="afe"/>
        <w:ind w:left="0"/>
        <w:rPr>
          <w:rFonts w:cs="Times New Roman"/>
          <w:szCs w:val="24"/>
          <w:u w:val="single"/>
        </w:rPr>
      </w:pPr>
    </w:p>
    <w:p w14:paraId="3172BD98" w14:textId="32A9D1A6" w:rsidR="00C1188C" w:rsidRPr="00BA4F0F" w:rsidRDefault="00C1188C" w:rsidP="00C1188C">
      <w:pPr>
        <w:pStyle w:val="afe"/>
        <w:ind w:left="0"/>
        <w:rPr>
          <w:rFonts w:cs="Times New Roman"/>
          <w:szCs w:val="24"/>
          <w:u w:val="single"/>
        </w:rPr>
      </w:pPr>
      <w:r w:rsidRPr="00BA4F0F">
        <w:rPr>
          <w:rFonts w:cs="Times New Roman"/>
          <w:szCs w:val="24"/>
          <w:u w:val="single"/>
        </w:rPr>
        <w:t xml:space="preserve">Диагностические исследования, проводимые при лихорадке у больных гемобластозами </w:t>
      </w:r>
      <w:r w:rsidRPr="00BA4F0F">
        <w:rPr>
          <w:rFonts w:cs="Times New Roman"/>
          <w:szCs w:val="24"/>
          <w:u w:val="single"/>
        </w:rPr>
        <w:fldChar w:fldCharType="begin" w:fldLock="1"/>
      </w:r>
      <w:r w:rsidR="00146A73">
        <w:rPr>
          <w:rFonts w:cs="Times New Roman"/>
          <w:szCs w:val="24"/>
          <w:u w:val="single"/>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c0eae3a3-34ee-40e1-8813-566cb7fa2b4a","http://www.mendeley.com/documents/?uuid=9cac36ab-7685-4894-b1cb-f141a1797526","http://www.mendeley.com/documents/?uuid=478d6ce1-e425-4912-87db-adfee39f1ce9","http://www.mendeley.com/documents/?uuid=a1e2f5d6-ef05-4351-9481-13fad4fd103b","http://www.mendeley.com/documents/?uuid=26da25a5-bd21-4509-8e88-e4e6744fab98","http://www.mendeley.com/documents/?uuid=fe583573-532c-46dc-b4f4-f9d01345e27c","http://www.mendeley.com/documents/?uuid=2cd270b2-efaf-4da9-a95d-66324661ea35"]}],"mendeley":{"formattedCitation":"[136]","plainTextFormattedCitation":"[136]","previouslyFormattedCitation":"[136]"},"properties":{"noteIndex":0},"schema":"https://github.com/citation-style-language/schema/raw/master/csl-citation.json"}</w:instrText>
      </w:r>
      <w:r w:rsidRPr="00BA4F0F">
        <w:rPr>
          <w:rFonts w:cs="Times New Roman"/>
          <w:szCs w:val="24"/>
          <w:u w:val="single"/>
        </w:rPr>
        <w:fldChar w:fldCharType="separate"/>
      </w:r>
      <w:r w:rsidR="00B436BD" w:rsidRPr="00B436BD">
        <w:rPr>
          <w:rFonts w:cs="Times New Roman"/>
          <w:noProof/>
          <w:szCs w:val="24"/>
        </w:rPr>
        <w:t>[136]</w:t>
      </w:r>
      <w:r w:rsidRPr="00BA4F0F">
        <w:rPr>
          <w:rFonts w:cs="Times New Roman"/>
          <w:szCs w:val="24"/>
          <w:u w:val="single"/>
        </w:rPr>
        <w:fldChar w:fldCharType="end"/>
      </w:r>
    </w:p>
    <w:p w14:paraId="19E02BF0" w14:textId="77777777" w:rsidR="00C1188C" w:rsidRPr="00BA4F0F" w:rsidRDefault="00C1188C" w:rsidP="00C1188C">
      <w:pPr>
        <w:tabs>
          <w:tab w:val="left" w:pos="0"/>
          <w:tab w:val="left" w:pos="567"/>
        </w:tabs>
        <w:rPr>
          <w:rFonts w:cs="Times New Roman"/>
          <w:szCs w:val="24"/>
        </w:rPr>
      </w:pPr>
      <w:r w:rsidRPr="00BA4F0F">
        <w:rPr>
          <w:rFonts w:cs="Times New Roman"/>
          <w:szCs w:val="24"/>
        </w:rPr>
        <w:t>Во всех случаях инфекционного процесса следует активно проводить диагностику, направленную на выявление, как очагов инфекции, так и этиологических агентов.</w:t>
      </w:r>
    </w:p>
    <w:p w14:paraId="4802671C" w14:textId="77777777" w:rsidR="00C1188C" w:rsidRPr="00BA4F0F" w:rsidRDefault="00C1188C" w:rsidP="00C1188C">
      <w:pPr>
        <w:tabs>
          <w:tab w:val="left" w:pos="0"/>
          <w:tab w:val="left" w:pos="567"/>
        </w:tabs>
        <w:rPr>
          <w:rFonts w:cs="Times New Roman"/>
          <w:szCs w:val="24"/>
        </w:rPr>
      </w:pPr>
      <w:r w:rsidRPr="00BA4F0F">
        <w:rPr>
          <w:rFonts w:cs="Times New Roman"/>
          <w:szCs w:val="24"/>
        </w:rPr>
        <w:t>При подозрении на инфекцию образцы клинического материала от больных должны быть взяты незамедлительно. Особо следует подчеркнуть необходимость пристального внимания и проведения тщательных микробиологических исследований у больных, принимающих глюкокортикоиды, и у лиц пожилого возраста.</w:t>
      </w:r>
    </w:p>
    <w:p w14:paraId="1F3A7D9B"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У этой группы пациентов септицемия может протекать без температуры, что бывает у 70% тяжелобольных в возрасте от 66 лет и старше, или лихорадка может быть лишь субфебрильной. </w:t>
      </w:r>
    </w:p>
    <w:p w14:paraId="21F17462" w14:textId="77777777" w:rsidR="00C1188C" w:rsidRPr="00BA4F0F" w:rsidRDefault="00C1188C" w:rsidP="00C1188C">
      <w:pPr>
        <w:tabs>
          <w:tab w:val="left" w:pos="0"/>
          <w:tab w:val="left" w:pos="567"/>
        </w:tabs>
        <w:rPr>
          <w:rFonts w:cs="Times New Roman"/>
          <w:szCs w:val="24"/>
        </w:rPr>
      </w:pPr>
    </w:p>
    <w:p w14:paraId="470A9B9C" w14:textId="3D7B1D57" w:rsidR="00C1188C" w:rsidRPr="00BA4F0F" w:rsidRDefault="00C1188C" w:rsidP="00C1188C">
      <w:pPr>
        <w:tabs>
          <w:tab w:val="left" w:pos="284"/>
        </w:tabs>
        <w:rPr>
          <w:rFonts w:cs="Times New Roman"/>
          <w:szCs w:val="24"/>
        </w:rPr>
      </w:pPr>
      <w:r w:rsidRPr="00BA4F0F">
        <w:rPr>
          <w:rFonts w:cs="Times New Roman"/>
          <w:szCs w:val="24"/>
          <w:highlight w:val="yellow"/>
        </w:rPr>
        <w:t xml:space="preserve">Таблица </w:t>
      </w:r>
      <w:r w:rsidR="00B436BD">
        <w:rPr>
          <w:rFonts w:cs="Times New Roman"/>
          <w:szCs w:val="24"/>
          <w:highlight w:val="yellow"/>
        </w:rPr>
        <w:t>10</w:t>
      </w:r>
      <w:r w:rsidRPr="00BA4F0F">
        <w:rPr>
          <w:rFonts w:cs="Times New Roman"/>
          <w:szCs w:val="24"/>
          <w:highlight w:val="yellow"/>
        </w:rPr>
        <w:t>.</w:t>
      </w:r>
      <w:r w:rsidRPr="00BA4F0F">
        <w:rPr>
          <w:rFonts w:cs="Times New Roman"/>
          <w:szCs w:val="24"/>
        </w:rPr>
        <w:t xml:space="preserve"> Алгоритм диагностики инфекционных осложнений у больных гемобластозами в период ауто-ТГСК.</w:t>
      </w:r>
    </w:p>
    <w:tbl>
      <w:tblPr>
        <w:tblStyle w:val="aff9"/>
        <w:tblW w:w="0" w:type="auto"/>
        <w:tblInd w:w="108" w:type="dxa"/>
        <w:tblLook w:val="04A0" w:firstRow="1" w:lastRow="0" w:firstColumn="1" w:lastColumn="0" w:noHBand="0" w:noVBand="1"/>
      </w:tblPr>
      <w:tblGrid>
        <w:gridCol w:w="4254"/>
        <w:gridCol w:w="4417"/>
      </w:tblGrid>
      <w:tr w:rsidR="00C1188C" w:rsidRPr="00BA4F0F" w14:paraId="401356A0" w14:textId="77777777" w:rsidTr="005A428D">
        <w:tc>
          <w:tcPr>
            <w:tcW w:w="4677" w:type="dxa"/>
          </w:tcPr>
          <w:p w14:paraId="7D007880" w14:textId="77777777" w:rsidR="00C1188C" w:rsidRPr="00BA4F0F" w:rsidRDefault="00C1188C" w:rsidP="00B436BD">
            <w:pPr>
              <w:tabs>
                <w:tab w:val="left" w:pos="176"/>
              </w:tabs>
              <w:ind w:left="34" w:firstLine="0"/>
              <w:rPr>
                <w:rFonts w:cs="Times New Roman"/>
                <w:szCs w:val="24"/>
              </w:rPr>
            </w:pPr>
            <w:r w:rsidRPr="00BA4F0F">
              <w:rPr>
                <w:rFonts w:cs="Times New Roman"/>
                <w:szCs w:val="24"/>
              </w:rPr>
              <w:t>Показания</w:t>
            </w:r>
          </w:p>
        </w:tc>
        <w:tc>
          <w:tcPr>
            <w:tcW w:w="4786" w:type="dxa"/>
          </w:tcPr>
          <w:p w14:paraId="161BB59F" w14:textId="77777777" w:rsidR="00C1188C" w:rsidRPr="00BA4F0F" w:rsidRDefault="00C1188C" w:rsidP="00B436BD">
            <w:pPr>
              <w:tabs>
                <w:tab w:val="left" w:pos="34"/>
              </w:tabs>
              <w:ind w:left="35" w:firstLine="0"/>
              <w:rPr>
                <w:rFonts w:cs="Times New Roman"/>
                <w:szCs w:val="24"/>
              </w:rPr>
            </w:pPr>
            <w:r w:rsidRPr="00BA4F0F">
              <w:rPr>
                <w:rFonts w:cs="Times New Roman"/>
                <w:szCs w:val="24"/>
              </w:rPr>
              <w:t>Исследование</w:t>
            </w:r>
          </w:p>
        </w:tc>
      </w:tr>
      <w:tr w:rsidR="00C1188C" w:rsidRPr="00BA4F0F" w14:paraId="068073BA" w14:textId="77777777" w:rsidTr="005A428D">
        <w:tc>
          <w:tcPr>
            <w:tcW w:w="4677" w:type="dxa"/>
          </w:tcPr>
          <w:p w14:paraId="40EF0500"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Температура ≥38</w:t>
            </w:r>
            <w:r w:rsidRPr="00BA4F0F">
              <w:rPr>
                <w:rFonts w:cs="Times New Roman"/>
                <w:szCs w:val="24"/>
                <w:vertAlign w:val="superscript"/>
              </w:rPr>
              <w:t>о</w:t>
            </w:r>
            <w:r w:rsidRPr="00BA4F0F">
              <w:rPr>
                <w:rFonts w:cs="Times New Roman"/>
                <w:szCs w:val="24"/>
              </w:rPr>
              <w:t>С, впервые возникшая</w:t>
            </w:r>
          </w:p>
        </w:tc>
        <w:tc>
          <w:tcPr>
            <w:tcW w:w="4786" w:type="dxa"/>
          </w:tcPr>
          <w:p w14:paraId="2C9FB8C7" w14:textId="77777777" w:rsidR="00C1188C" w:rsidRPr="00BA4F0F" w:rsidRDefault="00C1188C" w:rsidP="00B436BD">
            <w:pPr>
              <w:tabs>
                <w:tab w:val="left" w:pos="34"/>
              </w:tabs>
              <w:ind w:left="35" w:firstLine="0"/>
              <w:rPr>
                <w:rFonts w:cs="Times New Roman"/>
                <w:szCs w:val="24"/>
              </w:rPr>
            </w:pPr>
            <w:r w:rsidRPr="00BA4F0F">
              <w:rPr>
                <w:rFonts w:cs="Times New Roman"/>
                <w:szCs w:val="24"/>
              </w:rPr>
              <w:t>Взятие крови в 2 флакона для гемокультуры (вена-катетер или вена-вена).</w:t>
            </w:r>
          </w:p>
        </w:tc>
      </w:tr>
      <w:tr w:rsidR="00C1188C" w:rsidRPr="00BA4F0F" w14:paraId="2CA52DBE" w14:textId="77777777" w:rsidTr="005A428D">
        <w:tc>
          <w:tcPr>
            <w:tcW w:w="4677" w:type="dxa"/>
          </w:tcPr>
          <w:p w14:paraId="08E45A59"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Температура ≥38</w:t>
            </w:r>
            <w:r w:rsidRPr="00BA4F0F">
              <w:rPr>
                <w:rFonts w:cs="Times New Roman"/>
                <w:szCs w:val="24"/>
                <w:vertAlign w:val="superscript"/>
              </w:rPr>
              <w:t>о</w:t>
            </w:r>
            <w:r w:rsidRPr="00BA4F0F">
              <w:rPr>
                <w:rFonts w:cs="Times New Roman"/>
                <w:szCs w:val="24"/>
              </w:rPr>
              <w:t>С в течение ≥5 дней и нейтропения</w:t>
            </w:r>
          </w:p>
        </w:tc>
        <w:tc>
          <w:tcPr>
            <w:tcW w:w="4786" w:type="dxa"/>
          </w:tcPr>
          <w:p w14:paraId="3B6ACF84"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Повторное взятие крови для гемокультуры 1 раз в неделю. </w:t>
            </w:r>
          </w:p>
          <w:p w14:paraId="0BA7C3DD"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Микробиологическое исследование мочи. </w:t>
            </w:r>
          </w:p>
          <w:p w14:paraId="3E119EA5"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КТ легких. </w:t>
            </w:r>
          </w:p>
          <w:p w14:paraId="450003F8" w14:textId="77777777" w:rsidR="00C1188C" w:rsidRPr="00BA4F0F" w:rsidRDefault="00C1188C" w:rsidP="00B436BD">
            <w:pPr>
              <w:tabs>
                <w:tab w:val="left" w:pos="34"/>
              </w:tabs>
              <w:ind w:left="35" w:firstLine="0"/>
              <w:rPr>
                <w:rFonts w:cs="Times New Roman"/>
                <w:szCs w:val="24"/>
              </w:rPr>
            </w:pPr>
            <w:r w:rsidRPr="00BA4F0F">
              <w:rPr>
                <w:rFonts w:cs="Times New Roman"/>
                <w:szCs w:val="24"/>
              </w:rPr>
              <w:t>Мазок со слизистой оболочки кишечника.</w:t>
            </w:r>
          </w:p>
        </w:tc>
      </w:tr>
      <w:tr w:rsidR="00C1188C" w:rsidRPr="00BA4F0F" w14:paraId="3E089E70" w14:textId="77777777" w:rsidTr="005A428D">
        <w:tc>
          <w:tcPr>
            <w:tcW w:w="4677" w:type="dxa"/>
          </w:tcPr>
          <w:p w14:paraId="57D89409"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Температура ≥38</w:t>
            </w:r>
            <w:r w:rsidRPr="00BA4F0F">
              <w:rPr>
                <w:rFonts w:cs="Times New Roman"/>
                <w:szCs w:val="24"/>
                <w:vertAlign w:val="superscript"/>
              </w:rPr>
              <w:t>о</w:t>
            </w:r>
            <w:r w:rsidRPr="00BA4F0F">
              <w:rPr>
                <w:rFonts w:cs="Times New Roman"/>
                <w:szCs w:val="24"/>
              </w:rPr>
              <w:t>С, длительная, сохраняется после выхода из нейтропении</w:t>
            </w:r>
          </w:p>
        </w:tc>
        <w:tc>
          <w:tcPr>
            <w:tcW w:w="4786" w:type="dxa"/>
          </w:tcPr>
          <w:p w14:paraId="2AB3F816"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УЗИ брюшной полости. </w:t>
            </w:r>
          </w:p>
          <w:p w14:paraId="55411D29"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Определение антигена </w:t>
            </w:r>
            <w:r w:rsidRPr="00BA4F0F">
              <w:rPr>
                <w:rFonts w:cs="Times New Roman"/>
                <w:i/>
                <w:szCs w:val="24"/>
                <w:lang w:val="en-US"/>
              </w:rPr>
              <w:t>Candida</w:t>
            </w:r>
            <w:r w:rsidRPr="00BA4F0F">
              <w:rPr>
                <w:rFonts w:cs="Times New Roman"/>
                <w:szCs w:val="24"/>
              </w:rPr>
              <w:t xml:space="preserve"> (маннан) и антител </w:t>
            </w:r>
            <w:r w:rsidRPr="00BA4F0F">
              <w:rPr>
                <w:rFonts w:cs="Times New Roman"/>
                <w:i/>
                <w:szCs w:val="24"/>
                <w:lang w:val="en-US"/>
              </w:rPr>
              <w:t>Candida</w:t>
            </w:r>
            <w:r w:rsidRPr="00BA4F0F">
              <w:rPr>
                <w:rFonts w:cs="Times New Roman"/>
                <w:szCs w:val="24"/>
              </w:rPr>
              <w:t xml:space="preserve"> (антиманнан) в крови.</w:t>
            </w:r>
          </w:p>
        </w:tc>
      </w:tr>
      <w:tr w:rsidR="00C1188C" w:rsidRPr="00BA4F0F" w14:paraId="01C6ABFE" w14:textId="77777777" w:rsidTr="005A428D">
        <w:tc>
          <w:tcPr>
            <w:tcW w:w="4677" w:type="dxa"/>
          </w:tcPr>
          <w:p w14:paraId="6BB301C8"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Катетер-ассоциированная инфекция</w:t>
            </w:r>
          </w:p>
        </w:tc>
        <w:tc>
          <w:tcPr>
            <w:tcW w:w="4786" w:type="dxa"/>
          </w:tcPr>
          <w:p w14:paraId="4D58405B"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Взятие одновременно гемокультуры из вены и ЦВК. </w:t>
            </w:r>
          </w:p>
          <w:p w14:paraId="4DA9AFB6" w14:textId="77777777" w:rsidR="00C1188C" w:rsidRPr="00BA4F0F" w:rsidRDefault="00C1188C" w:rsidP="00B436BD">
            <w:pPr>
              <w:tabs>
                <w:tab w:val="left" w:pos="34"/>
              </w:tabs>
              <w:ind w:left="35" w:firstLine="0"/>
              <w:rPr>
                <w:rFonts w:cs="Times New Roman"/>
                <w:szCs w:val="24"/>
              </w:rPr>
            </w:pPr>
            <w:r w:rsidRPr="00BA4F0F">
              <w:rPr>
                <w:rFonts w:cs="Times New Roman"/>
                <w:szCs w:val="24"/>
              </w:rPr>
              <w:t>При подтверждении необходимо удалить ЦВК .</w:t>
            </w:r>
          </w:p>
        </w:tc>
      </w:tr>
      <w:tr w:rsidR="00C1188C" w:rsidRPr="00BA4F0F" w14:paraId="64141687" w14:textId="77777777" w:rsidTr="005A428D">
        <w:tc>
          <w:tcPr>
            <w:tcW w:w="4677" w:type="dxa"/>
          </w:tcPr>
          <w:p w14:paraId="3DC0DEB4"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Нейтропения более 10 дней</w:t>
            </w:r>
          </w:p>
        </w:tc>
        <w:tc>
          <w:tcPr>
            <w:tcW w:w="4786" w:type="dxa"/>
          </w:tcPr>
          <w:p w14:paraId="2B2C7869"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Исследование крови на антиген </w:t>
            </w:r>
            <w:r w:rsidRPr="00BA4F0F">
              <w:rPr>
                <w:rFonts w:cs="Times New Roman"/>
                <w:szCs w:val="24"/>
                <w:lang w:val="en-US"/>
              </w:rPr>
              <w:t>Aspergillus</w:t>
            </w:r>
            <w:r w:rsidRPr="00BA4F0F">
              <w:rPr>
                <w:rFonts w:cs="Times New Roman"/>
                <w:szCs w:val="24"/>
              </w:rPr>
              <w:t xml:space="preserve"> 2 раза в неделю.</w:t>
            </w:r>
          </w:p>
        </w:tc>
      </w:tr>
      <w:tr w:rsidR="00C1188C" w:rsidRPr="00BA4F0F" w14:paraId="3CE4F20E" w14:textId="77777777" w:rsidTr="005A428D">
        <w:tc>
          <w:tcPr>
            <w:tcW w:w="4677" w:type="dxa"/>
          </w:tcPr>
          <w:p w14:paraId="71B136B2"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Стоматит</w:t>
            </w:r>
          </w:p>
        </w:tc>
        <w:tc>
          <w:tcPr>
            <w:tcW w:w="4786" w:type="dxa"/>
          </w:tcPr>
          <w:p w14:paraId="368C3BF5" w14:textId="77777777" w:rsidR="00C1188C" w:rsidRPr="00BA4F0F" w:rsidRDefault="00C1188C" w:rsidP="00B436BD">
            <w:pPr>
              <w:tabs>
                <w:tab w:val="left" w:pos="34"/>
              </w:tabs>
              <w:ind w:left="35" w:firstLine="0"/>
              <w:rPr>
                <w:rFonts w:cs="Times New Roman"/>
                <w:szCs w:val="24"/>
              </w:rPr>
            </w:pPr>
            <w:r w:rsidRPr="00BA4F0F">
              <w:rPr>
                <w:rFonts w:cs="Times New Roman"/>
                <w:szCs w:val="24"/>
              </w:rPr>
              <w:t>Мазок со слизистой ротоглотки.</w:t>
            </w:r>
          </w:p>
        </w:tc>
      </w:tr>
      <w:tr w:rsidR="00C1188C" w:rsidRPr="00BA4F0F" w14:paraId="5D9E4A25" w14:textId="77777777" w:rsidTr="005A428D">
        <w:tc>
          <w:tcPr>
            <w:tcW w:w="4677" w:type="dxa"/>
          </w:tcPr>
          <w:p w14:paraId="3626EAF0"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Эзофагит</w:t>
            </w:r>
          </w:p>
        </w:tc>
        <w:tc>
          <w:tcPr>
            <w:tcW w:w="4786" w:type="dxa"/>
          </w:tcPr>
          <w:p w14:paraId="0E0FC997"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Эзофагоскопия (тромбоцитов не менее 50 х 109/л). </w:t>
            </w:r>
          </w:p>
          <w:p w14:paraId="0EB55583" w14:textId="77777777" w:rsidR="00C1188C" w:rsidRPr="00BA4F0F" w:rsidRDefault="00C1188C" w:rsidP="00B436BD">
            <w:pPr>
              <w:tabs>
                <w:tab w:val="left" w:pos="34"/>
              </w:tabs>
              <w:ind w:left="35" w:firstLine="0"/>
              <w:rPr>
                <w:rFonts w:cs="Times New Roman"/>
                <w:szCs w:val="24"/>
              </w:rPr>
            </w:pPr>
            <w:r w:rsidRPr="00BA4F0F">
              <w:rPr>
                <w:rFonts w:cs="Times New Roman"/>
                <w:szCs w:val="24"/>
              </w:rPr>
              <w:t>Исследование – соскоб (браш-метод) со слизистой оболочки или биопсия.</w:t>
            </w:r>
          </w:p>
        </w:tc>
      </w:tr>
      <w:tr w:rsidR="00C1188C" w:rsidRPr="00BA4F0F" w14:paraId="14688847" w14:textId="77777777" w:rsidTr="005A428D">
        <w:tc>
          <w:tcPr>
            <w:tcW w:w="4677" w:type="dxa"/>
          </w:tcPr>
          <w:p w14:paraId="1C8F5931"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Некроз слизистой оболочки носового хода</w:t>
            </w:r>
          </w:p>
        </w:tc>
        <w:tc>
          <w:tcPr>
            <w:tcW w:w="4786" w:type="dxa"/>
          </w:tcPr>
          <w:p w14:paraId="425D67EB" w14:textId="77777777" w:rsidR="00C1188C" w:rsidRPr="00BA4F0F" w:rsidRDefault="00C1188C" w:rsidP="00B436BD">
            <w:pPr>
              <w:tabs>
                <w:tab w:val="left" w:pos="34"/>
              </w:tabs>
              <w:ind w:left="35" w:firstLine="0"/>
              <w:rPr>
                <w:rFonts w:cs="Times New Roman"/>
                <w:szCs w:val="24"/>
              </w:rPr>
            </w:pPr>
            <w:r w:rsidRPr="00BA4F0F">
              <w:rPr>
                <w:rFonts w:cs="Times New Roman"/>
                <w:szCs w:val="24"/>
              </w:rPr>
              <w:t>Мазок со слизистой оболочки носа</w:t>
            </w:r>
          </w:p>
        </w:tc>
      </w:tr>
      <w:tr w:rsidR="00C1188C" w:rsidRPr="00BA4F0F" w14:paraId="58C2494D" w14:textId="77777777" w:rsidTr="005A428D">
        <w:tc>
          <w:tcPr>
            <w:tcW w:w="4677" w:type="dxa"/>
          </w:tcPr>
          <w:p w14:paraId="0940C079"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Гайморит</w:t>
            </w:r>
          </w:p>
        </w:tc>
        <w:tc>
          <w:tcPr>
            <w:tcW w:w="4786" w:type="dxa"/>
          </w:tcPr>
          <w:p w14:paraId="142489AC" w14:textId="77777777" w:rsidR="00C1188C" w:rsidRPr="00BA4F0F" w:rsidRDefault="00C1188C" w:rsidP="00B436BD">
            <w:pPr>
              <w:tabs>
                <w:tab w:val="left" w:pos="34"/>
              </w:tabs>
              <w:ind w:left="35" w:firstLine="0"/>
              <w:rPr>
                <w:rFonts w:cs="Times New Roman"/>
                <w:szCs w:val="24"/>
              </w:rPr>
            </w:pPr>
            <w:r w:rsidRPr="00BA4F0F">
              <w:rPr>
                <w:rFonts w:cs="Times New Roman"/>
                <w:szCs w:val="24"/>
              </w:rPr>
              <w:t>Исследование содержимого околоносовой пазухи, полученной при пункции.</w:t>
            </w:r>
          </w:p>
        </w:tc>
      </w:tr>
      <w:tr w:rsidR="00C1188C" w:rsidRPr="00BA4F0F" w14:paraId="3AB2C875" w14:textId="77777777" w:rsidTr="005A428D">
        <w:tc>
          <w:tcPr>
            <w:tcW w:w="4677" w:type="dxa"/>
          </w:tcPr>
          <w:p w14:paraId="3082E331"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Симптомы инфекции мочевыводящих путей</w:t>
            </w:r>
          </w:p>
          <w:p w14:paraId="2852AEF0"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Лейкоцитурия</w:t>
            </w:r>
          </w:p>
        </w:tc>
        <w:tc>
          <w:tcPr>
            <w:tcW w:w="4786" w:type="dxa"/>
          </w:tcPr>
          <w:p w14:paraId="070DE264" w14:textId="77777777" w:rsidR="00C1188C" w:rsidRPr="00BA4F0F" w:rsidRDefault="00C1188C" w:rsidP="00B436BD">
            <w:pPr>
              <w:tabs>
                <w:tab w:val="left" w:pos="34"/>
              </w:tabs>
              <w:ind w:left="35" w:firstLine="0"/>
              <w:rPr>
                <w:rFonts w:cs="Times New Roman"/>
                <w:szCs w:val="24"/>
              </w:rPr>
            </w:pPr>
            <w:r w:rsidRPr="00BA4F0F">
              <w:rPr>
                <w:rFonts w:cs="Times New Roman"/>
                <w:szCs w:val="24"/>
              </w:rPr>
              <w:t>Микробиологическое исследование мочи.</w:t>
            </w:r>
          </w:p>
        </w:tc>
      </w:tr>
      <w:tr w:rsidR="00C1188C" w:rsidRPr="00BA4F0F" w14:paraId="4D84036A" w14:textId="77777777" w:rsidTr="005A428D">
        <w:tc>
          <w:tcPr>
            <w:tcW w:w="4677" w:type="dxa"/>
          </w:tcPr>
          <w:p w14:paraId="77C0F7D5"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Пневмония</w:t>
            </w:r>
          </w:p>
        </w:tc>
        <w:tc>
          <w:tcPr>
            <w:tcW w:w="4786" w:type="dxa"/>
          </w:tcPr>
          <w:p w14:paraId="40F0A396" w14:textId="77777777" w:rsidR="00C1188C" w:rsidRPr="00BA4F0F" w:rsidRDefault="00C1188C" w:rsidP="00B436BD">
            <w:pPr>
              <w:tabs>
                <w:tab w:val="left" w:pos="34"/>
              </w:tabs>
              <w:ind w:left="35" w:firstLine="0"/>
              <w:rPr>
                <w:rFonts w:cs="Times New Roman"/>
                <w:szCs w:val="24"/>
              </w:rPr>
            </w:pPr>
            <w:r w:rsidRPr="00BA4F0F">
              <w:rPr>
                <w:rFonts w:cs="Times New Roman"/>
                <w:szCs w:val="24"/>
              </w:rPr>
              <w:t>КТ легких.</w:t>
            </w:r>
          </w:p>
          <w:p w14:paraId="6AC0790C" w14:textId="77777777" w:rsidR="00C1188C" w:rsidRPr="00BA4F0F" w:rsidRDefault="00C1188C" w:rsidP="00B436BD">
            <w:pPr>
              <w:tabs>
                <w:tab w:val="left" w:pos="34"/>
              </w:tabs>
              <w:ind w:left="35" w:firstLine="0"/>
              <w:rPr>
                <w:rFonts w:cs="Times New Roman"/>
                <w:szCs w:val="24"/>
              </w:rPr>
            </w:pPr>
            <w:r w:rsidRPr="00BA4F0F">
              <w:rPr>
                <w:rFonts w:cs="Times New Roman"/>
                <w:szCs w:val="24"/>
              </w:rPr>
              <w:t>БАЛ после КТ легких.</w:t>
            </w:r>
          </w:p>
          <w:p w14:paraId="74F0AD1A" w14:textId="77777777" w:rsidR="00C1188C" w:rsidRPr="00BA4F0F" w:rsidRDefault="00C1188C" w:rsidP="00B436BD">
            <w:pPr>
              <w:tabs>
                <w:tab w:val="left" w:pos="34"/>
              </w:tabs>
              <w:ind w:left="35" w:firstLine="0"/>
              <w:rPr>
                <w:rFonts w:cs="Times New Roman"/>
                <w:szCs w:val="24"/>
              </w:rPr>
            </w:pPr>
            <w:r w:rsidRPr="00BA4F0F">
              <w:rPr>
                <w:rFonts w:cs="Times New Roman"/>
                <w:szCs w:val="24"/>
              </w:rPr>
              <w:t>Полное исследование жидкости БАЛ.</w:t>
            </w:r>
          </w:p>
          <w:p w14:paraId="502DC64A"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Исследование крови на антиген </w:t>
            </w:r>
            <w:r w:rsidRPr="00BA4F0F">
              <w:rPr>
                <w:rFonts w:cs="Times New Roman"/>
                <w:szCs w:val="24"/>
                <w:lang w:val="en-US"/>
              </w:rPr>
              <w:t>Aspergillus</w:t>
            </w:r>
            <w:r w:rsidRPr="00BA4F0F">
              <w:rPr>
                <w:rFonts w:cs="Times New Roman"/>
                <w:szCs w:val="24"/>
              </w:rPr>
              <w:t>.</w:t>
            </w:r>
          </w:p>
          <w:p w14:paraId="071CEADD"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Исследование крови на антитела к </w:t>
            </w:r>
            <w:r w:rsidRPr="00BA4F0F">
              <w:rPr>
                <w:rFonts w:cs="Times New Roman"/>
                <w:szCs w:val="24"/>
                <w:lang w:val="en-US"/>
              </w:rPr>
              <w:t>Mycoplasma</w:t>
            </w:r>
            <w:r w:rsidRPr="00BA4F0F">
              <w:rPr>
                <w:rFonts w:cs="Times New Roman"/>
                <w:szCs w:val="24"/>
              </w:rPr>
              <w:t xml:space="preserve"> </w:t>
            </w:r>
            <w:r w:rsidRPr="00BA4F0F">
              <w:rPr>
                <w:rFonts w:cs="Times New Roman"/>
                <w:szCs w:val="24"/>
                <w:lang w:val="en-US"/>
              </w:rPr>
              <w:t>pneumoniae</w:t>
            </w:r>
            <w:r w:rsidRPr="00BA4F0F">
              <w:rPr>
                <w:rFonts w:cs="Times New Roman"/>
                <w:szCs w:val="24"/>
              </w:rPr>
              <w:t xml:space="preserve"> (</w:t>
            </w:r>
            <w:r w:rsidRPr="00BA4F0F">
              <w:rPr>
                <w:rFonts w:cs="Times New Roman"/>
                <w:szCs w:val="24"/>
                <w:lang w:val="en-US"/>
              </w:rPr>
              <w:t>IgM</w:t>
            </w:r>
            <w:r w:rsidRPr="00BA4F0F">
              <w:rPr>
                <w:rFonts w:cs="Times New Roman"/>
                <w:szCs w:val="24"/>
              </w:rPr>
              <w:t xml:space="preserve">, </w:t>
            </w:r>
            <w:r w:rsidRPr="00BA4F0F">
              <w:rPr>
                <w:rFonts w:cs="Times New Roman"/>
                <w:szCs w:val="24"/>
                <w:lang w:val="en-US"/>
              </w:rPr>
              <w:t>IgG</w:t>
            </w:r>
            <w:r w:rsidRPr="00BA4F0F">
              <w:rPr>
                <w:rFonts w:cs="Times New Roman"/>
                <w:szCs w:val="24"/>
              </w:rPr>
              <w:t xml:space="preserve">). </w:t>
            </w:r>
          </w:p>
          <w:p w14:paraId="7B6ADBED"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Исследование крови на антитела к </w:t>
            </w:r>
            <w:r w:rsidRPr="00BA4F0F">
              <w:rPr>
                <w:rFonts w:cs="Times New Roman"/>
                <w:szCs w:val="24"/>
                <w:lang w:val="en-US"/>
              </w:rPr>
              <w:t>Chlamydia</w:t>
            </w:r>
            <w:r w:rsidRPr="00BA4F0F">
              <w:rPr>
                <w:rFonts w:cs="Times New Roman"/>
                <w:szCs w:val="24"/>
              </w:rPr>
              <w:t xml:space="preserve"> </w:t>
            </w:r>
            <w:r w:rsidRPr="00BA4F0F">
              <w:rPr>
                <w:rFonts w:cs="Times New Roman"/>
                <w:szCs w:val="24"/>
                <w:lang w:val="en-US"/>
              </w:rPr>
              <w:t>pneumoniae</w:t>
            </w:r>
            <w:r w:rsidRPr="00BA4F0F">
              <w:rPr>
                <w:rFonts w:cs="Times New Roman"/>
                <w:szCs w:val="24"/>
              </w:rPr>
              <w:t xml:space="preserve"> (</w:t>
            </w:r>
            <w:r w:rsidRPr="00BA4F0F">
              <w:rPr>
                <w:rFonts w:cs="Times New Roman"/>
                <w:szCs w:val="24"/>
                <w:lang w:val="en-US"/>
              </w:rPr>
              <w:t>IgM</w:t>
            </w:r>
            <w:r w:rsidRPr="00BA4F0F">
              <w:rPr>
                <w:rFonts w:cs="Times New Roman"/>
                <w:szCs w:val="24"/>
              </w:rPr>
              <w:t xml:space="preserve">, </w:t>
            </w:r>
            <w:r w:rsidRPr="00BA4F0F">
              <w:rPr>
                <w:rFonts w:cs="Times New Roman"/>
                <w:szCs w:val="24"/>
                <w:lang w:val="en-US"/>
              </w:rPr>
              <w:t>IgG</w:t>
            </w:r>
            <w:r w:rsidRPr="00BA4F0F">
              <w:rPr>
                <w:rFonts w:cs="Times New Roman"/>
                <w:szCs w:val="24"/>
              </w:rPr>
              <w:t xml:space="preserve">). </w:t>
            </w:r>
          </w:p>
        </w:tc>
      </w:tr>
      <w:tr w:rsidR="00C1188C" w:rsidRPr="00BA4F0F" w14:paraId="5B260189" w14:textId="77777777" w:rsidTr="005A428D">
        <w:tc>
          <w:tcPr>
            <w:tcW w:w="4677" w:type="dxa"/>
          </w:tcPr>
          <w:p w14:paraId="5C83DE23"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Симптомы менингита. Мозговая симптоматика на фоне фебрильной нейтропении. Обнаружение очага (очагов) в головном мозге</w:t>
            </w:r>
          </w:p>
        </w:tc>
        <w:tc>
          <w:tcPr>
            <w:tcW w:w="4786" w:type="dxa"/>
          </w:tcPr>
          <w:p w14:paraId="49EDBC61"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Люмбальная пункция. </w:t>
            </w:r>
          </w:p>
          <w:p w14:paraId="4060C302"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Полное исследование СМЖ. </w:t>
            </w:r>
          </w:p>
        </w:tc>
      </w:tr>
      <w:tr w:rsidR="00C1188C" w:rsidRPr="00BA4F0F" w14:paraId="4554122E" w14:textId="77777777" w:rsidTr="005A428D">
        <w:tc>
          <w:tcPr>
            <w:tcW w:w="4677" w:type="dxa"/>
          </w:tcPr>
          <w:p w14:paraId="5C15CE7E"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Диарея</w:t>
            </w:r>
          </w:p>
        </w:tc>
        <w:tc>
          <w:tcPr>
            <w:tcW w:w="4786" w:type="dxa"/>
          </w:tcPr>
          <w:p w14:paraId="4B9F9CED"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Исследование кала на токсин </w:t>
            </w:r>
            <w:r w:rsidRPr="00BA4F0F">
              <w:rPr>
                <w:rFonts w:cs="Times New Roman"/>
                <w:i/>
                <w:szCs w:val="24"/>
                <w:lang w:val="en-US"/>
              </w:rPr>
              <w:t>Clostridium</w:t>
            </w:r>
            <w:r w:rsidRPr="00BA4F0F">
              <w:rPr>
                <w:rFonts w:cs="Times New Roman"/>
                <w:i/>
                <w:szCs w:val="24"/>
              </w:rPr>
              <w:t xml:space="preserve"> </w:t>
            </w:r>
            <w:r w:rsidRPr="00BA4F0F">
              <w:rPr>
                <w:rFonts w:cs="Times New Roman"/>
                <w:i/>
                <w:szCs w:val="24"/>
                <w:lang w:val="en-US"/>
              </w:rPr>
              <w:t>difficil</w:t>
            </w:r>
            <w:r w:rsidRPr="00BA4F0F">
              <w:rPr>
                <w:rFonts w:cs="Times New Roman"/>
                <w:i/>
                <w:szCs w:val="24"/>
              </w:rPr>
              <w:t xml:space="preserve">е. </w:t>
            </w:r>
          </w:p>
        </w:tc>
      </w:tr>
      <w:tr w:rsidR="00C1188C" w:rsidRPr="00BA4F0F" w14:paraId="190C863A" w14:textId="77777777" w:rsidTr="005A428D">
        <w:tc>
          <w:tcPr>
            <w:tcW w:w="4677" w:type="dxa"/>
          </w:tcPr>
          <w:p w14:paraId="454A3FA2"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Парапроктит</w:t>
            </w:r>
          </w:p>
          <w:p w14:paraId="4C780A49"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Трещина в области прямой кишки</w:t>
            </w:r>
          </w:p>
        </w:tc>
        <w:tc>
          <w:tcPr>
            <w:tcW w:w="4786" w:type="dxa"/>
          </w:tcPr>
          <w:p w14:paraId="342F6398" w14:textId="77777777" w:rsidR="00C1188C" w:rsidRPr="00BA4F0F" w:rsidRDefault="00C1188C" w:rsidP="00B436BD">
            <w:pPr>
              <w:tabs>
                <w:tab w:val="left" w:pos="34"/>
              </w:tabs>
              <w:ind w:left="35" w:firstLine="0"/>
              <w:rPr>
                <w:rFonts w:cs="Times New Roman"/>
                <w:szCs w:val="24"/>
              </w:rPr>
            </w:pPr>
            <w:r w:rsidRPr="00BA4F0F">
              <w:rPr>
                <w:rFonts w:cs="Times New Roman"/>
                <w:szCs w:val="24"/>
              </w:rPr>
              <w:t>Мазок со слизистой оболочки прямой кишки.</w:t>
            </w:r>
          </w:p>
        </w:tc>
      </w:tr>
      <w:tr w:rsidR="00C1188C" w:rsidRPr="00BA4F0F" w14:paraId="6CA2421F" w14:textId="77777777" w:rsidTr="005A428D">
        <w:tc>
          <w:tcPr>
            <w:tcW w:w="4677" w:type="dxa"/>
          </w:tcPr>
          <w:p w14:paraId="108627E7" w14:textId="77777777" w:rsidR="00C1188C" w:rsidRPr="00BA4F0F" w:rsidRDefault="00C1188C" w:rsidP="00B436BD">
            <w:pPr>
              <w:tabs>
                <w:tab w:val="left" w:pos="176"/>
                <w:tab w:val="left" w:pos="284"/>
              </w:tabs>
              <w:ind w:left="34" w:firstLine="0"/>
              <w:rPr>
                <w:rFonts w:cs="Times New Roman"/>
                <w:szCs w:val="24"/>
              </w:rPr>
            </w:pPr>
            <w:r w:rsidRPr="00BA4F0F">
              <w:rPr>
                <w:rFonts w:cs="Times New Roman"/>
                <w:szCs w:val="24"/>
              </w:rPr>
              <w:t>Инфильтраты на коже</w:t>
            </w:r>
          </w:p>
        </w:tc>
        <w:tc>
          <w:tcPr>
            <w:tcW w:w="4786" w:type="dxa"/>
          </w:tcPr>
          <w:p w14:paraId="05B591AD"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Биопсия. </w:t>
            </w:r>
          </w:p>
          <w:p w14:paraId="21A25BA3" w14:textId="77777777" w:rsidR="00C1188C" w:rsidRPr="00BA4F0F" w:rsidRDefault="00C1188C" w:rsidP="00B436BD">
            <w:pPr>
              <w:tabs>
                <w:tab w:val="left" w:pos="34"/>
              </w:tabs>
              <w:ind w:left="35" w:firstLine="0"/>
              <w:rPr>
                <w:rFonts w:cs="Times New Roman"/>
                <w:szCs w:val="24"/>
              </w:rPr>
            </w:pPr>
            <w:r w:rsidRPr="00BA4F0F">
              <w:rPr>
                <w:rFonts w:cs="Times New Roman"/>
                <w:szCs w:val="24"/>
              </w:rPr>
              <w:t xml:space="preserve">Микробиологическое и гистологическое исследование биоптата. </w:t>
            </w:r>
          </w:p>
        </w:tc>
      </w:tr>
    </w:tbl>
    <w:p w14:paraId="27CF8B29" w14:textId="77777777" w:rsidR="00C1188C" w:rsidRPr="00BA4F0F" w:rsidRDefault="00C1188C" w:rsidP="00C1188C">
      <w:pPr>
        <w:tabs>
          <w:tab w:val="left" w:pos="0"/>
          <w:tab w:val="left" w:pos="567"/>
        </w:tabs>
        <w:rPr>
          <w:rFonts w:cs="Times New Roman"/>
          <w:b/>
          <w:szCs w:val="24"/>
        </w:rPr>
      </w:pPr>
    </w:p>
    <w:p w14:paraId="601A6CF3" w14:textId="77777777" w:rsidR="00C1188C" w:rsidRPr="00BA4F0F" w:rsidRDefault="00C1188C" w:rsidP="00C1188C">
      <w:pPr>
        <w:pStyle w:val="afe"/>
        <w:ind w:left="0"/>
        <w:rPr>
          <w:rFonts w:cs="Times New Roman"/>
          <w:b/>
          <w:i/>
          <w:szCs w:val="24"/>
        </w:rPr>
      </w:pPr>
      <w:r w:rsidRPr="00BA4F0F">
        <w:rPr>
          <w:rFonts w:cs="Times New Roman"/>
          <w:b/>
          <w:i/>
          <w:szCs w:val="24"/>
        </w:rPr>
        <w:t>Ежедневный осмотр пациента</w:t>
      </w:r>
    </w:p>
    <w:p w14:paraId="70D283EF"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При нейтропении ежедневно проводят тщательный осмотр пациента, который наряду с обычными терапевтическими стандартами обследования больных включает следующие подходы. </w:t>
      </w:r>
    </w:p>
    <w:p w14:paraId="571C69F9" w14:textId="77777777" w:rsidR="00C1188C" w:rsidRPr="00BA4F0F" w:rsidRDefault="00C1188C" w:rsidP="000768AC">
      <w:pPr>
        <w:numPr>
          <w:ilvl w:val="0"/>
          <w:numId w:val="116"/>
        </w:numPr>
        <w:tabs>
          <w:tab w:val="left" w:pos="0"/>
          <w:tab w:val="left" w:pos="567"/>
        </w:tabs>
        <w:ind w:left="0" w:firstLine="0"/>
        <w:rPr>
          <w:rFonts w:cs="Times New Roman"/>
          <w:szCs w:val="24"/>
        </w:rPr>
      </w:pPr>
      <w:r w:rsidRPr="00BA4F0F">
        <w:rPr>
          <w:rFonts w:cs="Times New Roman"/>
          <w:szCs w:val="24"/>
        </w:rPr>
        <w:t>Активный опрос больного относительно возможных симптомов инфекции, включая наличие болей по ходу пищевода, в промежности.</w:t>
      </w:r>
    </w:p>
    <w:p w14:paraId="781A62ED" w14:textId="77777777" w:rsidR="00C1188C" w:rsidRPr="00BA4F0F" w:rsidRDefault="00C1188C" w:rsidP="000768AC">
      <w:pPr>
        <w:numPr>
          <w:ilvl w:val="0"/>
          <w:numId w:val="116"/>
        </w:numPr>
        <w:tabs>
          <w:tab w:val="left" w:pos="0"/>
          <w:tab w:val="left" w:pos="567"/>
        </w:tabs>
        <w:ind w:left="0" w:firstLine="0"/>
        <w:rPr>
          <w:rFonts w:cs="Times New Roman"/>
          <w:szCs w:val="24"/>
        </w:rPr>
      </w:pPr>
      <w:r w:rsidRPr="00BA4F0F">
        <w:rPr>
          <w:rFonts w:cs="Times New Roman"/>
          <w:szCs w:val="24"/>
        </w:rPr>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27520666" w14:textId="77777777" w:rsidR="00C1188C" w:rsidRPr="00BA4F0F" w:rsidRDefault="00C1188C" w:rsidP="000768AC">
      <w:pPr>
        <w:numPr>
          <w:ilvl w:val="0"/>
          <w:numId w:val="116"/>
        </w:numPr>
        <w:tabs>
          <w:tab w:val="left" w:pos="0"/>
          <w:tab w:val="left" w:pos="567"/>
        </w:tabs>
        <w:ind w:left="0" w:firstLine="0"/>
        <w:rPr>
          <w:rFonts w:cs="Times New Roman"/>
          <w:szCs w:val="24"/>
        </w:rPr>
      </w:pPr>
      <w:r w:rsidRPr="00BA4F0F">
        <w:rPr>
          <w:rFonts w:cs="Times New Roman"/>
          <w:szCs w:val="24"/>
        </w:rPr>
        <w:t>Осмотр кожи в отношении возможного появления септикопиемических очагов при лихорадке, даже в отсутствие жалоб больного. При лечении глюкокортикоидами септикопиемические очаги могут быть и при нормальной температуре.</w:t>
      </w:r>
    </w:p>
    <w:p w14:paraId="10CC4AE7" w14:textId="77777777" w:rsidR="00C1188C" w:rsidRPr="00BA4F0F" w:rsidRDefault="00C1188C" w:rsidP="000768AC">
      <w:pPr>
        <w:numPr>
          <w:ilvl w:val="0"/>
          <w:numId w:val="116"/>
        </w:numPr>
        <w:tabs>
          <w:tab w:val="left" w:pos="0"/>
          <w:tab w:val="left" w:pos="567"/>
        </w:tabs>
        <w:ind w:left="0" w:firstLine="0"/>
        <w:rPr>
          <w:rFonts w:cs="Times New Roman"/>
          <w:szCs w:val="24"/>
        </w:rPr>
      </w:pPr>
      <w:r w:rsidRPr="00BA4F0F">
        <w:rPr>
          <w:rFonts w:cs="Times New Roman"/>
          <w:szCs w:val="24"/>
        </w:rPr>
        <w:t xml:space="preserve">Осмотр места установки венозного катетера. </w:t>
      </w:r>
    </w:p>
    <w:p w14:paraId="08623D37" w14:textId="77777777" w:rsidR="00C1188C" w:rsidRPr="00BA4F0F" w:rsidRDefault="00C1188C" w:rsidP="000768AC">
      <w:pPr>
        <w:numPr>
          <w:ilvl w:val="0"/>
          <w:numId w:val="116"/>
        </w:numPr>
        <w:tabs>
          <w:tab w:val="left" w:pos="0"/>
          <w:tab w:val="left" w:pos="567"/>
        </w:tabs>
        <w:ind w:left="0" w:firstLine="0"/>
        <w:rPr>
          <w:rFonts w:cs="Times New Roman"/>
          <w:szCs w:val="24"/>
        </w:rPr>
      </w:pPr>
      <w:r w:rsidRPr="00BA4F0F">
        <w:rPr>
          <w:rFonts w:cs="Times New Roman"/>
          <w:szCs w:val="24"/>
        </w:rPr>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3BD30A6C" w14:textId="77777777" w:rsidR="00C1188C" w:rsidRPr="00BA4F0F" w:rsidRDefault="00C1188C" w:rsidP="000768AC">
      <w:pPr>
        <w:numPr>
          <w:ilvl w:val="0"/>
          <w:numId w:val="116"/>
        </w:numPr>
        <w:tabs>
          <w:tab w:val="left" w:pos="0"/>
          <w:tab w:val="left" w:pos="567"/>
        </w:tabs>
        <w:ind w:left="0" w:firstLine="0"/>
        <w:rPr>
          <w:rFonts w:cs="Times New Roman"/>
          <w:szCs w:val="24"/>
        </w:rPr>
      </w:pPr>
      <w:r w:rsidRPr="00BA4F0F">
        <w:rPr>
          <w:rFonts w:cs="Times New Roman"/>
          <w:szCs w:val="24"/>
        </w:rPr>
        <w:t>Тщательная пальпация живота. Первые симптомы псевдомембранозного колита — это появление боли или «урчание» при пальпации в правой подвздошной области (область слепой кишки).</w:t>
      </w:r>
    </w:p>
    <w:p w14:paraId="2A43A7DA" w14:textId="77777777" w:rsidR="00C1188C" w:rsidRPr="00BA4F0F" w:rsidRDefault="00C1188C" w:rsidP="00C1188C">
      <w:pPr>
        <w:tabs>
          <w:tab w:val="left" w:pos="0"/>
          <w:tab w:val="left" w:pos="567"/>
        </w:tabs>
        <w:rPr>
          <w:rFonts w:cs="Times New Roman"/>
          <w:szCs w:val="24"/>
        </w:rPr>
      </w:pPr>
    </w:p>
    <w:p w14:paraId="008B2F24" w14:textId="77777777" w:rsidR="00C1188C" w:rsidRPr="00BA4F0F" w:rsidRDefault="00C1188C" w:rsidP="00C1188C">
      <w:pPr>
        <w:pStyle w:val="afe"/>
        <w:ind w:left="0"/>
        <w:rPr>
          <w:rFonts w:cs="Times New Roman"/>
          <w:b/>
          <w:i/>
          <w:szCs w:val="24"/>
        </w:rPr>
      </w:pPr>
      <w:r w:rsidRPr="00BA4F0F">
        <w:rPr>
          <w:rFonts w:cs="Times New Roman"/>
          <w:b/>
          <w:i/>
          <w:szCs w:val="24"/>
        </w:rPr>
        <w:t>Микробиологические исследования</w:t>
      </w:r>
    </w:p>
    <w:p w14:paraId="769C1C7E"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крови</w:t>
      </w:r>
    </w:p>
    <w:p w14:paraId="5DFDF241" w14:textId="77777777" w:rsidR="00C1188C" w:rsidRPr="00BA4F0F" w:rsidRDefault="00C1188C" w:rsidP="000768AC">
      <w:pPr>
        <w:numPr>
          <w:ilvl w:val="0"/>
          <w:numId w:val="121"/>
        </w:numPr>
        <w:tabs>
          <w:tab w:val="left" w:pos="0"/>
          <w:tab w:val="left" w:pos="567"/>
        </w:tabs>
        <w:ind w:left="0" w:firstLine="0"/>
        <w:rPr>
          <w:rFonts w:cs="Times New Roman"/>
          <w:szCs w:val="24"/>
        </w:rPr>
      </w:pPr>
      <w:r w:rsidRPr="00BA4F0F">
        <w:rPr>
          <w:rFonts w:cs="Times New Roman"/>
          <w:szCs w:val="24"/>
        </w:rPr>
        <w:t xml:space="preserve">Показания — температура ≥ 38°С или наличие септикопиемических очагов на коже. </w:t>
      </w:r>
    </w:p>
    <w:p w14:paraId="72437CF4" w14:textId="77777777" w:rsidR="00C1188C" w:rsidRPr="00BA4F0F" w:rsidRDefault="00C1188C" w:rsidP="000768AC">
      <w:pPr>
        <w:numPr>
          <w:ilvl w:val="0"/>
          <w:numId w:val="117"/>
        </w:numPr>
        <w:tabs>
          <w:tab w:val="left" w:pos="0"/>
          <w:tab w:val="left" w:pos="567"/>
        </w:tabs>
        <w:ind w:left="0" w:firstLine="0"/>
        <w:rPr>
          <w:rFonts w:cs="Times New Roman"/>
          <w:szCs w:val="24"/>
        </w:rPr>
      </w:pPr>
      <w:r w:rsidRPr="00BA4F0F">
        <w:rPr>
          <w:rFonts w:cs="Times New Roman"/>
          <w:szCs w:val="24"/>
        </w:rPr>
        <w:t xml:space="preserve">Кровь из вены берут до введения антибиотиков в два флакона (аэробы/анаэробы или аэробы/аэробы) одновременно из вены и из ЦВК или из разных вен; при перитоните или абдоминальной операции в два разных флакона (для аэробов и для анаэробов); при бактериальном эндокардите — 3 раза с интервалом 1—2 часа; при подозрении на катетер-ассоциированную инфекцию — одновременно из вены и из ЦВК во флаконы для автоматического бактериологического анализатора гемокультур (Bactek или другие автоматические анализаторы). На основании разницы во времени (2 часа и более) появления роста микроорганизмов можно предположить инфицирование венозного катетера. При катетер-ассоциированной инфекции положительная гемокультура из ЦВК опережает на 2 часа и более положительную гемокультуру из вены. </w:t>
      </w:r>
    </w:p>
    <w:p w14:paraId="221D9893" w14:textId="77777777" w:rsidR="00C1188C" w:rsidRPr="00BA4F0F" w:rsidRDefault="00C1188C" w:rsidP="000768AC">
      <w:pPr>
        <w:numPr>
          <w:ilvl w:val="0"/>
          <w:numId w:val="117"/>
        </w:numPr>
        <w:tabs>
          <w:tab w:val="left" w:pos="0"/>
          <w:tab w:val="left" w:pos="567"/>
        </w:tabs>
        <w:ind w:left="0" w:firstLine="0"/>
        <w:rPr>
          <w:rFonts w:cs="Times New Roman"/>
          <w:szCs w:val="24"/>
        </w:rPr>
      </w:pPr>
      <w:r w:rsidRPr="00BA4F0F">
        <w:rPr>
          <w:rFonts w:cs="Times New Roman"/>
          <w:szCs w:val="24"/>
        </w:rPr>
        <w:t xml:space="preserve">Взятие крови для микробиологического исследования следует проводить в период повышения температуры (≥ 38°С) с максимальным соблюдением правил асептики, чтобы исключить вероятность контаминации культуральной среды микробами с кожи. Медсестра должна проводить взятие крови в перчатках и в маске; кожа больного в месте венепункции тщательно обрабатывается дезинфицирующим раствором (дезинфицирующий раствор должен высохнуть); после обработки кожи дезинфицирующим раствором не проводят повторную пальпацию вены для определения места венепункции. </w:t>
      </w:r>
    </w:p>
    <w:p w14:paraId="647303A9" w14:textId="77777777" w:rsidR="00C1188C" w:rsidRPr="00BA4F0F" w:rsidRDefault="00C1188C" w:rsidP="000768AC">
      <w:pPr>
        <w:numPr>
          <w:ilvl w:val="0"/>
          <w:numId w:val="117"/>
        </w:numPr>
        <w:tabs>
          <w:tab w:val="left" w:pos="0"/>
          <w:tab w:val="left" w:pos="567"/>
        </w:tabs>
        <w:ind w:left="0" w:firstLine="0"/>
        <w:rPr>
          <w:rFonts w:cs="Times New Roman"/>
          <w:szCs w:val="24"/>
        </w:rPr>
      </w:pPr>
      <w:r w:rsidRPr="00BA4F0F">
        <w:rPr>
          <w:rFonts w:cs="Times New Roman"/>
          <w:szCs w:val="24"/>
        </w:rPr>
        <w:t xml:space="preserve">Крайне важным является взятие достаточного количества крови для гемокультуры – за одно исследование у взрослых суммарно берут 20-30 мл крови в 2-3 флакона (по 10 мл каждый флакон). </w:t>
      </w:r>
    </w:p>
    <w:p w14:paraId="2B605671" w14:textId="77777777" w:rsidR="00C1188C" w:rsidRPr="00BA4F0F" w:rsidRDefault="00C1188C" w:rsidP="000768AC">
      <w:pPr>
        <w:numPr>
          <w:ilvl w:val="0"/>
          <w:numId w:val="117"/>
        </w:numPr>
        <w:tabs>
          <w:tab w:val="left" w:pos="0"/>
          <w:tab w:val="left" w:pos="567"/>
        </w:tabs>
        <w:ind w:left="0" w:firstLine="0"/>
        <w:rPr>
          <w:rFonts w:cs="Times New Roman"/>
          <w:szCs w:val="24"/>
        </w:rPr>
      </w:pPr>
      <w:r w:rsidRPr="00BA4F0F">
        <w:rPr>
          <w:rFonts w:cs="Times New Roman"/>
          <w:szCs w:val="24"/>
        </w:rPr>
        <w:t>Не направляют в лабораторию на исследование гемокультуру из ЦВК без гемокультуры из вены.</w:t>
      </w:r>
    </w:p>
    <w:p w14:paraId="29E1040B" w14:textId="77777777" w:rsidR="00C1188C" w:rsidRPr="00BA4F0F" w:rsidRDefault="00C1188C" w:rsidP="000768AC">
      <w:pPr>
        <w:numPr>
          <w:ilvl w:val="0"/>
          <w:numId w:val="117"/>
        </w:numPr>
        <w:tabs>
          <w:tab w:val="left" w:pos="0"/>
          <w:tab w:val="left" w:pos="567"/>
        </w:tabs>
        <w:ind w:left="0" w:firstLine="0"/>
        <w:rPr>
          <w:rFonts w:cs="Times New Roman"/>
          <w:szCs w:val="24"/>
        </w:rPr>
      </w:pPr>
      <w:r w:rsidRPr="00BA4F0F">
        <w:rPr>
          <w:rFonts w:cs="Times New Roman"/>
          <w:szCs w:val="24"/>
        </w:rPr>
        <w:t>Нельзя флаконы с гемокультурой ставить в холодильник.</w:t>
      </w:r>
    </w:p>
    <w:p w14:paraId="3864EF6A" w14:textId="77777777" w:rsidR="00C1188C" w:rsidRPr="00BA4F0F" w:rsidRDefault="00C1188C" w:rsidP="00C1188C">
      <w:pPr>
        <w:tabs>
          <w:tab w:val="left" w:pos="0"/>
          <w:tab w:val="left" w:pos="567"/>
        </w:tabs>
        <w:ind w:firstLine="567"/>
        <w:rPr>
          <w:rFonts w:cs="Times New Roman"/>
          <w:szCs w:val="24"/>
        </w:rPr>
      </w:pPr>
      <w:r w:rsidRPr="00BA4F0F">
        <w:rPr>
          <w:rFonts w:cs="Times New Roman"/>
          <w:i/>
          <w:szCs w:val="24"/>
        </w:rPr>
        <w:t>Примечание.</w:t>
      </w:r>
      <w:r w:rsidRPr="00BA4F0F">
        <w:rPr>
          <w:rFonts w:cs="Times New Roman"/>
          <w:szCs w:val="24"/>
        </w:rPr>
        <w:t xml:space="preserve"> Выделение коагулазанегативных стафилококков (основную долю которых составляет </w:t>
      </w:r>
      <w:r w:rsidRPr="00BA4F0F">
        <w:rPr>
          <w:rFonts w:cs="Times New Roman"/>
          <w:i/>
          <w:szCs w:val="24"/>
        </w:rPr>
        <w:t>Staphylococcus epidermidis</w:t>
      </w:r>
      <w:r w:rsidRPr="00BA4F0F">
        <w:rPr>
          <w:rFonts w:cs="Times New Roman"/>
          <w:szCs w:val="24"/>
        </w:rPr>
        <w:t xml:space="preserve">) должно быть подтверждено двумя гемокультурами, поскольку высока вероятность контаминации этими микроорганизмами исследуемых образцов крови (облигатная микрофлора). Это относится и к </w:t>
      </w:r>
      <w:r w:rsidRPr="00BA4F0F">
        <w:rPr>
          <w:rFonts w:cs="Times New Roman"/>
          <w:i/>
          <w:szCs w:val="24"/>
        </w:rPr>
        <w:t>Corynebacterium spp</w:t>
      </w:r>
      <w:r w:rsidRPr="00BA4F0F">
        <w:rPr>
          <w:rFonts w:cs="Times New Roman"/>
          <w:szCs w:val="24"/>
        </w:rPr>
        <w:t xml:space="preserve">. Повторное исследование проводится максимально близко по времени к первому исследованию. </w:t>
      </w:r>
    </w:p>
    <w:p w14:paraId="1341920C" w14:textId="77777777" w:rsidR="00C1188C" w:rsidRPr="00BA4F0F" w:rsidRDefault="00C1188C" w:rsidP="00C1188C">
      <w:pPr>
        <w:pStyle w:val="afe"/>
        <w:ind w:left="0"/>
        <w:rPr>
          <w:rFonts w:cs="Times New Roman"/>
          <w:i/>
          <w:szCs w:val="24"/>
        </w:rPr>
      </w:pPr>
    </w:p>
    <w:p w14:paraId="558C9659"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крови, взятой одновременно из вены и из центрального венозного катетера, при подозрении на катетер-ассоциированную инфекцию</w:t>
      </w:r>
    </w:p>
    <w:p w14:paraId="0D70B2D2" w14:textId="77777777" w:rsidR="00C1188C" w:rsidRPr="00BA4F0F" w:rsidRDefault="00C1188C" w:rsidP="000768AC">
      <w:pPr>
        <w:numPr>
          <w:ilvl w:val="0"/>
          <w:numId w:val="118"/>
        </w:numPr>
        <w:tabs>
          <w:tab w:val="left" w:pos="0"/>
          <w:tab w:val="left" w:pos="567"/>
        </w:tabs>
        <w:ind w:left="0" w:firstLine="0"/>
        <w:rPr>
          <w:rFonts w:cs="Times New Roman"/>
          <w:szCs w:val="24"/>
        </w:rPr>
      </w:pPr>
      <w:r w:rsidRPr="00BA4F0F">
        <w:rPr>
          <w:rFonts w:cs="Times New Roman"/>
          <w:szCs w:val="24"/>
        </w:rPr>
        <w:t>Показания:</w:t>
      </w:r>
    </w:p>
    <w:p w14:paraId="3788D7A4" w14:textId="77777777" w:rsidR="00C1188C" w:rsidRPr="00BA4F0F" w:rsidRDefault="00C1188C" w:rsidP="000768AC">
      <w:pPr>
        <w:numPr>
          <w:ilvl w:val="0"/>
          <w:numId w:val="119"/>
        </w:numPr>
        <w:tabs>
          <w:tab w:val="left" w:pos="0"/>
          <w:tab w:val="left" w:pos="567"/>
        </w:tabs>
        <w:ind w:left="0" w:firstLine="0"/>
        <w:rPr>
          <w:rFonts w:cs="Times New Roman"/>
          <w:szCs w:val="24"/>
        </w:rPr>
      </w:pPr>
      <w:r w:rsidRPr="00BA4F0F">
        <w:rPr>
          <w:rFonts w:cs="Times New Roman"/>
          <w:szCs w:val="24"/>
        </w:rPr>
        <w:t xml:space="preserve">Гиперемия (инфильтрат) в месте установки катетера. </w:t>
      </w:r>
    </w:p>
    <w:p w14:paraId="17C56EA5" w14:textId="77777777" w:rsidR="00C1188C" w:rsidRPr="00BA4F0F" w:rsidRDefault="00C1188C" w:rsidP="000768AC">
      <w:pPr>
        <w:numPr>
          <w:ilvl w:val="0"/>
          <w:numId w:val="119"/>
        </w:numPr>
        <w:tabs>
          <w:tab w:val="left" w:pos="0"/>
          <w:tab w:val="left" w:pos="567"/>
        </w:tabs>
        <w:ind w:left="0" w:firstLine="0"/>
        <w:rPr>
          <w:rFonts w:cs="Times New Roman"/>
          <w:szCs w:val="24"/>
        </w:rPr>
      </w:pPr>
      <w:r w:rsidRPr="00BA4F0F">
        <w:rPr>
          <w:rFonts w:cs="Times New Roman"/>
          <w:szCs w:val="24"/>
        </w:rPr>
        <w:t xml:space="preserve">Повышение температуры сопряжено с инфузиями в катетер. </w:t>
      </w:r>
    </w:p>
    <w:p w14:paraId="0C326F09" w14:textId="77777777" w:rsidR="00C1188C" w:rsidRPr="00BA4F0F" w:rsidRDefault="00C1188C" w:rsidP="000768AC">
      <w:pPr>
        <w:numPr>
          <w:ilvl w:val="0"/>
          <w:numId w:val="119"/>
        </w:numPr>
        <w:tabs>
          <w:tab w:val="left" w:pos="0"/>
          <w:tab w:val="left" w:pos="567"/>
        </w:tabs>
        <w:ind w:left="0" w:firstLine="0"/>
        <w:rPr>
          <w:rFonts w:cs="Times New Roman"/>
          <w:szCs w:val="24"/>
        </w:rPr>
      </w:pPr>
      <w:r w:rsidRPr="00BA4F0F">
        <w:rPr>
          <w:rFonts w:cs="Times New Roman"/>
          <w:szCs w:val="24"/>
        </w:rPr>
        <w:t xml:space="preserve">Плохая проходимость катетера (проблемы при промывании или заборе крови из катетера). </w:t>
      </w:r>
    </w:p>
    <w:p w14:paraId="05DA5D80" w14:textId="77777777" w:rsidR="00C1188C" w:rsidRPr="00BA4F0F" w:rsidRDefault="00C1188C" w:rsidP="000768AC">
      <w:pPr>
        <w:numPr>
          <w:ilvl w:val="0"/>
          <w:numId w:val="119"/>
        </w:numPr>
        <w:tabs>
          <w:tab w:val="left" w:pos="0"/>
          <w:tab w:val="left" w:pos="567"/>
        </w:tabs>
        <w:ind w:left="0" w:firstLine="0"/>
        <w:rPr>
          <w:rFonts w:cs="Times New Roman"/>
          <w:szCs w:val="24"/>
        </w:rPr>
      </w:pPr>
      <w:r w:rsidRPr="00BA4F0F">
        <w:rPr>
          <w:rFonts w:cs="Times New Roman"/>
          <w:szCs w:val="24"/>
        </w:rPr>
        <w:t>Возникновение температуры &gt; 38°С при восстановлении числа нейтрофилов (число гранулоцитов &gt; 0,5 × 10</w:t>
      </w:r>
      <w:r w:rsidRPr="00BA4F0F">
        <w:rPr>
          <w:rFonts w:cs="Times New Roman"/>
          <w:szCs w:val="24"/>
          <w:vertAlign w:val="superscript"/>
        </w:rPr>
        <w:t>9</w:t>
      </w:r>
      <w:r w:rsidRPr="00BA4F0F">
        <w:rPr>
          <w:rFonts w:cs="Times New Roman"/>
          <w:szCs w:val="24"/>
        </w:rPr>
        <w:t xml:space="preserve"> /л). </w:t>
      </w:r>
    </w:p>
    <w:p w14:paraId="2541B7F1" w14:textId="77777777" w:rsidR="00C1188C" w:rsidRPr="00BA4F0F" w:rsidRDefault="00C1188C" w:rsidP="000768AC">
      <w:pPr>
        <w:numPr>
          <w:ilvl w:val="0"/>
          <w:numId w:val="119"/>
        </w:numPr>
        <w:tabs>
          <w:tab w:val="left" w:pos="0"/>
          <w:tab w:val="left" w:pos="567"/>
        </w:tabs>
        <w:ind w:left="0" w:firstLine="0"/>
        <w:rPr>
          <w:rFonts w:cs="Times New Roman"/>
          <w:szCs w:val="24"/>
        </w:rPr>
      </w:pPr>
      <w:r w:rsidRPr="00BA4F0F">
        <w:rPr>
          <w:rFonts w:cs="Times New Roman"/>
          <w:szCs w:val="24"/>
        </w:rPr>
        <w:t>Возникновение температуры &gt; 38°С вне нейтропении (число гранулоцитов &gt; 0,5 × 10</w:t>
      </w:r>
      <w:r w:rsidRPr="00BA4F0F">
        <w:rPr>
          <w:rFonts w:cs="Times New Roman"/>
          <w:szCs w:val="24"/>
          <w:vertAlign w:val="superscript"/>
        </w:rPr>
        <w:t>9</w:t>
      </w:r>
      <w:r w:rsidRPr="00BA4F0F">
        <w:rPr>
          <w:rFonts w:cs="Times New Roman"/>
          <w:szCs w:val="24"/>
        </w:rPr>
        <w:t xml:space="preserve"> /л) и наличие центрального венозного катетера, давность установки которого ≥ 7 дней. </w:t>
      </w:r>
    </w:p>
    <w:p w14:paraId="653A541E"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Чаще всего катетер-ассоциированная инфекция развивается вне периода нейтропении или в период восстановления числа нейтрофилов. </w:t>
      </w:r>
    </w:p>
    <w:p w14:paraId="09B9EC40" w14:textId="77777777" w:rsidR="00C1188C" w:rsidRPr="00BA4F0F" w:rsidRDefault="00C1188C" w:rsidP="000768AC">
      <w:pPr>
        <w:numPr>
          <w:ilvl w:val="0"/>
          <w:numId w:val="120"/>
        </w:numPr>
        <w:tabs>
          <w:tab w:val="left" w:pos="0"/>
          <w:tab w:val="left" w:pos="567"/>
        </w:tabs>
        <w:ind w:left="0" w:firstLine="0"/>
        <w:rPr>
          <w:rFonts w:cs="Times New Roman"/>
          <w:szCs w:val="24"/>
        </w:rPr>
      </w:pPr>
      <w:r w:rsidRPr="00BA4F0F">
        <w:rPr>
          <w:rFonts w:cs="Times New Roman"/>
          <w:szCs w:val="24"/>
        </w:rPr>
        <w:t xml:space="preserve">При сохраняющейся температуре (≥ 38°С) посевы крови проводят каждые 4—5 дней. </w:t>
      </w:r>
    </w:p>
    <w:p w14:paraId="3CA91590" w14:textId="77777777" w:rsidR="00C1188C" w:rsidRPr="00BA4F0F" w:rsidRDefault="00C1188C" w:rsidP="00C1188C">
      <w:pPr>
        <w:tabs>
          <w:tab w:val="left" w:pos="0"/>
          <w:tab w:val="left" w:pos="567"/>
        </w:tabs>
        <w:jc w:val="center"/>
        <w:rPr>
          <w:rFonts w:cs="Times New Roman"/>
          <w:b/>
          <w:szCs w:val="24"/>
        </w:rPr>
      </w:pPr>
    </w:p>
    <w:p w14:paraId="3DAD05A3"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центрального внутривенного катетера</w:t>
      </w:r>
    </w:p>
    <w:p w14:paraId="31BE0D44" w14:textId="77777777" w:rsidR="00C1188C" w:rsidRPr="00BA4F0F" w:rsidRDefault="00C1188C" w:rsidP="00C1188C">
      <w:pPr>
        <w:tabs>
          <w:tab w:val="left" w:pos="0"/>
          <w:tab w:val="left" w:pos="567"/>
        </w:tabs>
        <w:rPr>
          <w:rFonts w:cs="Times New Roman"/>
          <w:szCs w:val="24"/>
        </w:rPr>
      </w:pPr>
      <w:r w:rsidRPr="00BA4F0F">
        <w:rPr>
          <w:rFonts w:cs="Times New Roman"/>
          <w:szCs w:val="24"/>
        </w:rPr>
        <w:t>Катетер удаляют и направляют на исследование в бактериологическую лабораторию.</w:t>
      </w:r>
    </w:p>
    <w:p w14:paraId="630FB561" w14:textId="77777777" w:rsidR="00C1188C" w:rsidRPr="00BA4F0F" w:rsidRDefault="00C1188C" w:rsidP="000768AC">
      <w:pPr>
        <w:numPr>
          <w:ilvl w:val="0"/>
          <w:numId w:val="120"/>
        </w:numPr>
        <w:tabs>
          <w:tab w:val="left" w:pos="0"/>
          <w:tab w:val="left" w:pos="567"/>
        </w:tabs>
        <w:ind w:left="0" w:firstLine="0"/>
        <w:rPr>
          <w:rFonts w:cs="Times New Roman"/>
          <w:szCs w:val="24"/>
        </w:rPr>
      </w:pPr>
      <w:r w:rsidRPr="00BA4F0F">
        <w:rPr>
          <w:rFonts w:cs="Times New Roman"/>
          <w:szCs w:val="24"/>
        </w:rPr>
        <w:t>Показания:</w:t>
      </w:r>
    </w:p>
    <w:p w14:paraId="6CAE359C" w14:textId="77777777" w:rsidR="00C1188C" w:rsidRPr="00BA4F0F" w:rsidRDefault="00C1188C" w:rsidP="000768AC">
      <w:pPr>
        <w:numPr>
          <w:ilvl w:val="0"/>
          <w:numId w:val="122"/>
        </w:numPr>
        <w:tabs>
          <w:tab w:val="left" w:pos="0"/>
          <w:tab w:val="left" w:pos="567"/>
        </w:tabs>
        <w:ind w:left="0" w:firstLine="0"/>
        <w:rPr>
          <w:rFonts w:cs="Times New Roman"/>
          <w:szCs w:val="24"/>
        </w:rPr>
      </w:pPr>
      <w:r w:rsidRPr="00BA4F0F">
        <w:rPr>
          <w:rFonts w:cs="Times New Roman"/>
          <w:szCs w:val="24"/>
        </w:rPr>
        <w:t xml:space="preserve">Подозрение на катетер-ассоциированную инфекцию. </w:t>
      </w:r>
    </w:p>
    <w:p w14:paraId="724B86AC" w14:textId="77777777" w:rsidR="00C1188C" w:rsidRPr="00BA4F0F" w:rsidRDefault="00C1188C" w:rsidP="000768AC">
      <w:pPr>
        <w:numPr>
          <w:ilvl w:val="0"/>
          <w:numId w:val="122"/>
        </w:numPr>
        <w:tabs>
          <w:tab w:val="left" w:pos="0"/>
          <w:tab w:val="left" w:pos="567"/>
        </w:tabs>
        <w:ind w:left="0" w:firstLine="0"/>
        <w:rPr>
          <w:rFonts w:cs="Times New Roman"/>
          <w:szCs w:val="24"/>
        </w:rPr>
      </w:pPr>
      <w:r w:rsidRPr="00BA4F0F">
        <w:rPr>
          <w:rFonts w:cs="Times New Roman"/>
          <w:szCs w:val="24"/>
        </w:rPr>
        <w:t xml:space="preserve">Выделение дрожжевых или мицелиальных грибов из крови. </w:t>
      </w:r>
    </w:p>
    <w:p w14:paraId="567A6EFE" w14:textId="77777777" w:rsidR="00C1188C" w:rsidRPr="00BA4F0F" w:rsidRDefault="00C1188C" w:rsidP="000768AC">
      <w:pPr>
        <w:numPr>
          <w:ilvl w:val="0"/>
          <w:numId w:val="122"/>
        </w:numPr>
        <w:tabs>
          <w:tab w:val="left" w:pos="0"/>
          <w:tab w:val="left" w:pos="567"/>
        </w:tabs>
        <w:ind w:left="0" w:firstLine="0"/>
        <w:rPr>
          <w:rFonts w:cs="Times New Roman"/>
          <w:szCs w:val="24"/>
        </w:rPr>
      </w:pPr>
      <w:r w:rsidRPr="00BA4F0F">
        <w:rPr>
          <w:rFonts w:cs="Times New Roman"/>
          <w:szCs w:val="24"/>
        </w:rPr>
        <w:t xml:space="preserve">Перевод больного из другого стационара с ЦВК. </w:t>
      </w:r>
    </w:p>
    <w:p w14:paraId="3200DF84" w14:textId="77777777" w:rsidR="00C1188C" w:rsidRPr="00BA4F0F" w:rsidRDefault="00C1188C" w:rsidP="000768AC">
      <w:pPr>
        <w:numPr>
          <w:ilvl w:val="0"/>
          <w:numId w:val="122"/>
        </w:numPr>
        <w:tabs>
          <w:tab w:val="left" w:pos="0"/>
          <w:tab w:val="left" w:pos="567"/>
        </w:tabs>
        <w:ind w:left="0" w:firstLine="0"/>
        <w:rPr>
          <w:rFonts w:cs="Times New Roman"/>
          <w:szCs w:val="24"/>
        </w:rPr>
      </w:pPr>
      <w:r w:rsidRPr="00BA4F0F">
        <w:rPr>
          <w:rFonts w:cs="Times New Roman"/>
          <w:szCs w:val="24"/>
        </w:rPr>
        <w:t xml:space="preserve">Восстановление числа гранулоцитов у больных сепсисом, обусловленным грамотрицательными бактериями. </w:t>
      </w:r>
    </w:p>
    <w:p w14:paraId="668B8B3D"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Если больной переведен из другого стационара с ЦВК, то катетер удаляют в день поступления в другую клинику.</w:t>
      </w:r>
    </w:p>
    <w:p w14:paraId="12699D85" w14:textId="77777777" w:rsidR="00C1188C" w:rsidRPr="00BA4F0F" w:rsidRDefault="00C1188C" w:rsidP="000768AC">
      <w:pPr>
        <w:numPr>
          <w:ilvl w:val="0"/>
          <w:numId w:val="123"/>
        </w:numPr>
        <w:tabs>
          <w:tab w:val="left" w:pos="0"/>
          <w:tab w:val="left" w:pos="567"/>
        </w:tabs>
        <w:ind w:left="0" w:firstLine="0"/>
        <w:rPr>
          <w:rFonts w:cs="Times New Roman"/>
          <w:szCs w:val="24"/>
        </w:rPr>
      </w:pPr>
      <w:r w:rsidRPr="00BA4F0F">
        <w:rPr>
          <w:rFonts w:cs="Times New Roman"/>
          <w:szCs w:val="24"/>
        </w:rPr>
        <w:t xml:space="preserve">Для бактериологического исследования используется асептически удаленный дистальный отрезок катетера длиной 5—6 см. Удаленный отрезок катетера кладут в чашку Петри или другую стерильную емкость и сразу же доставляют в лабораторию для исследования. Хранение и последующее исследование удаленного катетера недопустимо. </w:t>
      </w:r>
    </w:p>
    <w:p w14:paraId="78CCC28B" w14:textId="77777777" w:rsidR="00C1188C" w:rsidRPr="00BA4F0F" w:rsidRDefault="00C1188C" w:rsidP="000768AC">
      <w:pPr>
        <w:numPr>
          <w:ilvl w:val="0"/>
          <w:numId w:val="123"/>
        </w:numPr>
        <w:tabs>
          <w:tab w:val="left" w:pos="0"/>
          <w:tab w:val="left" w:pos="567"/>
        </w:tabs>
        <w:ind w:left="0" w:firstLine="0"/>
        <w:rPr>
          <w:rFonts w:cs="Times New Roman"/>
          <w:szCs w:val="24"/>
        </w:rPr>
      </w:pPr>
      <w:r w:rsidRPr="00BA4F0F">
        <w:rPr>
          <w:rFonts w:cs="Times New Roman"/>
          <w:szCs w:val="24"/>
        </w:rPr>
        <w:t>Исследование проводят полуколичественным (метод Маки) или количественным методом. Диагностически значимым (подтверждает инфицирование катетера) при полуколичественном исследовании является выделение микроорганизмов в количестве ≥ 15 КОЕ, при количественном — ≥ 10</w:t>
      </w:r>
      <w:r w:rsidRPr="00BA4F0F">
        <w:rPr>
          <w:rFonts w:cs="Times New Roman"/>
          <w:szCs w:val="24"/>
          <w:vertAlign w:val="superscript"/>
        </w:rPr>
        <w:t>3</w:t>
      </w:r>
      <w:r w:rsidRPr="00BA4F0F">
        <w:rPr>
          <w:rFonts w:cs="Times New Roman"/>
          <w:szCs w:val="24"/>
        </w:rPr>
        <w:t xml:space="preserve"> КОЕ/мл. Для постановки диагноза катетер-ассоциированной инфекции, кроме выделения микроорганизмов в диагностически значимых количествах при исследовании удаленного катетера, необходимо выделение того же микроорганизма из крови. </w:t>
      </w:r>
    </w:p>
    <w:p w14:paraId="6250366B" w14:textId="77777777" w:rsidR="00C1188C" w:rsidRPr="00BA4F0F" w:rsidRDefault="00C1188C" w:rsidP="000768AC">
      <w:pPr>
        <w:numPr>
          <w:ilvl w:val="0"/>
          <w:numId w:val="123"/>
        </w:numPr>
        <w:tabs>
          <w:tab w:val="left" w:pos="0"/>
          <w:tab w:val="left" w:pos="567"/>
        </w:tabs>
        <w:ind w:left="0" w:firstLine="0"/>
        <w:rPr>
          <w:rFonts w:cs="Times New Roman"/>
          <w:szCs w:val="24"/>
        </w:rPr>
      </w:pPr>
      <w:r w:rsidRPr="00BA4F0F">
        <w:rPr>
          <w:rFonts w:cs="Times New Roman"/>
          <w:szCs w:val="24"/>
        </w:rPr>
        <w:t xml:space="preserve">При появлении признаков воспаления и отделяемого в месте установки венозного катетера необходимо провести микробиологическое исследование отделяемого, а если эти изменения сохраняются или приобретают хронический характер, выполнить исследование на наличие нетуберкулезных микобактерий. </w:t>
      </w:r>
    </w:p>
    <w:p w14:paraId="3A44A4AD" w14:textId="77777777" w:rsidR="00C1188C" w:rsidRPr="00BA4F0F" w:rsidRDefault="00C1188C" w:rsidP="000768AC">
      <w:pPr>
        <w:numPr>
          <w:ilvl w:val="0"/>
          <w:numId w:val="123"/>
        </w:numPr>
        <w:tabs>
          <w:tab w:val="left" w:pos="0"/>
          <w:tab w:val="left" w:pos="567"/>
        </w:tabs>
        <w:ind w:left="0" w:firstLine="0"/>
        <w:rPr>
          <w:rFonts w:cs="Times New Roman"/>
          <w:szCs w:val="24"/>
        </w:rPr>
      </w:pPr>
      <w:r w:rsidRPr="00BA4F0F">
        <w:rPr>
          <w:rFonts w:cs="Times New Roman"/>
          <w:szCs w:val="24"/>
        </w:rPr>
        <w:t xml:space="preserve">Не проводят рутинное исследование всех удаленных катетеров. </w:t>
      </w:r>
    </w:p>
    <w:p w14:paraId="766E59B6" w14:textId="77777777" w:rsidR="00C1188C" w:rsidRPr="00BA4F0F" w:rsidRDefault="00C1188C" w:rsidP="00C1188C">
      <w:pPr>
        <w:pStyle w:val="afe"/>
        <w:ind w:left="0"/>
        <w:rPr>
          <w:rFonts w:cs="Times New Roman"/>
          <w:i/>
          <w:szCs w:val="24"/>
        </w:rPr>
      </w:pPr>
    </w:p>
    <w:p w14:paraId="0274854B"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мочи</w:t>
      </w:r>
    </w:p>
    <w:p w14:paraId="4B2A508F" w14:textId="77777777" w:rsidR="00C1188C" w:rsidRPr="00BA4F0F" w:rsidRDefault="00C1188C" w:rsidP="000768AC">
      <w:pPr>
        <w:numPr>
          <w:ilvl w:val="0"/>
          <w:numId w:val="124"/>
        </w:numPr>
        <w:tabs>
          <w:tab w:val="left" w:pos="0"/>
          <w:tab w:val="left" w:pos="567"/>
        </w:tabs>
        <w:ind w:left="0" w:firstLine="0"/>
        <w:rPr>
          <w:rFonts w:cs="Times New Roman"/>
          <w:szCs w:val="24"/>
        </w:rPr>
      </w:pPr>
      <w:r w:rsidRPr="00BA4F0F">
        <w:rPr>
          <w:rFonts w:cs="Times New Roman"/>
          <w:szCs w:val="24"/>
        </w:rPr>
        <w:t>Показания:</w:t>
      </w:r>
    </w:p>
    <w:p w14:paraId="31614E47" w14:textId="77777777" w:rsidR="00C1188C" w:rsidRPr="00BA4F0F" w:rsidRDefault="00C1188C" w:rsidP="000768AC">
      <w:pPr>
        <w:numPr>
          <w:ilvl w:val="0"/>
          <w:numId w:val="125"/>
        </w:numPr>
        <w:tabs>
          <w:tab w:val="left" w:pos="0"/>
          <w:tab w:val="left" w:pos="567"/>
        </w:tabs>
        <w:ind w:left="0" w:firstLine="0"/>
        <w:rPr>
          <w:rFonts w:cs="Times New Roman"/>
          <w:szCs w:val="24"/>
        </w:rPr>
      </w:pPr>
      <w:r w:rsidRPr="00BA4F0F">
        <w:rPr>
          <w:rFonts w:cs="Times New Roman"/>
          <w:szCs w:val="24"/>
        </w:rPr>
        <w:t xml:space="preserve">Симптомы инфекции мочевыводящих путей. </w:t>
      </w:r>
    </w:p>
    <w:p w14:paraId="7D04B97B" w14:textId="77777777" w:rsidR="00C1188C" w:rsidRPr="00BA4F0F" w:rsidRDefault="00C1188C" w:rsidP="000768AC">
      <w:pPr>
        <w:numPr>
          <w:ilvl w:val="0"/>
          <w:numId w:val="125"/>
        </w:numPr>
        <w:tabs>
          <w:tab w:val="left" w:pos="0"/>
          <w:tab w:val="left" w:pos="567"/>
        </w:tabs>
        <w:ind w:left="0" w:firstLine="0"/>
        <w:rPr>
          <w:rFonts w:cs="Times New Roman"/>
          <w:szCs w:val="24"/>
        </w:rPr>
      </w:pPr>
      <w:r w:rsidRPr="00BA4F0F">
        <w:rPr>
          <w:rFonts w:cs="Times New Roman"/>
          <w:szCs w:val="24"/>
        </w:rPr>
        <w:t xml:space="preserve">Лейкоцитурия. </w:t>
      </w:r>
    </w:p>
    <w:p w14:paraId="394C8CA9" w14:textId="77777777" w:rsidR="00C1188C" w:rsidRPr="00BA4F0F" w:rsidRDefault="00C1188C" w:rsidP="000768AC">
      <w:pPr>
        <w:numPr>
          <w:ilvl w:val="0"/>
          <w:numId w:val="125"/>
        </w:numPr>
        <w:tabs>
          <w:tab w:val="left" w:pos="0"/>
          <w:tab w:val="left" w:pos="567"/>
        </w:tabs>
        <w:ind w:left="0" w:firstLine="0"/>
        <w:rPr>
          <w:rFonts w:cs="Times New Roman"/>
          <w:szCs w:val="24"/>
        </w:rPr>
      </w:pPr>
      <w:r w:rsidRPr="00BA4F0F">
        <w:rPr>
          <w:rFonts w:cs="Times New Roman"/>
          <w:szCs w:val="24"/>
        </w:rPr>
        <w:t xml:space="preserve">Длительная лихорадка неясной этиологии. </w:t>
      </w:r>
    </w:p>
    <w:p w14:paraId="48BCF54D"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 xml:space="preserve">Для исследования направляют утреннюю среднюю порцию мочи; доставку мочи в лабораторию проводят немедленно, максимально допустимое время с момента забора до доставки в лабораторию — 2 часа. </w:t>
      </w:r>
    </w:p>
    <w:p w14:paraId="141B76DF"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Микробиологическое исследование мочи, взятой из катетера Фоли, мочесборных мешков, не проводят из-за контаминации пластика. Исследование мочи в этих случаях проводят в день постановки мочевого катетера. Микробиологическое исследование удаленного катетера Фоли также не проводят. </w:t>
      </w:r>
    </w:p>
    <w:p w14:paraId="7CAC1210"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Бактериурия является диагностически значимой, если выделен один микроорганизм в количестве ≥ 10</w:t>
      </w:r>
      <w:r w:rsidRPr="00BA4F0F">
        <w:rPr>
          <w:rFonts w:cs="Times New Roman"/>
          <w:szCs w:val="24"/>
          <w:vertAlign w:val="superscript"/>
        </w:rPr>
        <w:t>3</w:t>
      </w:r>
      <w:r w:rsidRPr="00BA4F0F">
        <w:rPr>
          <w:rFonts w:cs="Times New Roman"/>
          <w:szCs w:val="24"/>
        </w:rPr>
        <w:t xml:space="preserve"> КОЕ/мл. </w:t>
      </w:r>
    </w:p>
    <w:p w14:paraId="703DF3D5"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Если выделены два микроорганизма в количестве ≥ 10</w:t>
      </w:r>
      <w:r w:rsidRPr="00BA4F0F">
        <w:rPr>
          <w:rFonts w:cs="Times New Roman"/>
          <w:szCs w:val="24"/>
          <w:vertAlign w:val="superscript"/>
        </w:rPr>
        <w:t>3</w:t>
      </w:r>
      <w:r w:rsidRPr="00BA4F0F">
        <w:rPr>
          <w:rFonts w:cs="Times New Roman"/>
          <w:szCs w:val="24"/>
        </w:rPr>
        <w:t xml:space="preserve"> КОЕ/мл, то микробиологическое исследование мочи повторяют на следующий день. Повторное выделение тех же микроорганизмов (за исключением бактерий, указанных в примечании) подтверждает инфекцию мочевыводящих путей. </w:t>
      </w:r>
    </w:p>
    <w:p w14:paraId="13C034AF"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 xml:space="preserve">Любое количество бактерий в моче, полученной путем надлобковой пункции мочевого пузыря, является значимой бактериурией. </w:t>
      </w:r>
    </w:p>
    <w:p w14:paraId="4FB1CC41"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Бактериурию считают бессимптомной, если в двух последовательных образцах, взятых с интервалом более 24 часов, обнаруживается один и тот же патогенный микроорганизм в количестве ≥ 10</w:t>
      </w:r>
      <w:r w:rsidRPr="00BA4F0F">
        <w:rPr>
          <w:rFonts w:cs="Times New Roman"/>
          <w:szCs w:val="24"/>
          <w:vertAlign w:val="superscript"/>
        </w:rPr>
        <w:t>5</w:t>
      </w:r>
      <w:r w:rsidRPr="00BA4F0F">
        <w:rPr>
          <w:rFonts w:cs="Times New Roman"/>
          <w:szCs w:val="24"/>
        </w:rPr>
        <w:t xml:space="preserve"> КОЕ/мл. </w:t>
      </w:r>
    </w:p>
    <w:p w14:paraId="72F5B9AB" w14:textId="77777777" w:rsidR="00C1188C" w:rsidRPr="00BA4F0F" w:rsidRDefault="00C1188C" w:rsidP="000768AC">
      <w:pPr>
        <w:numPr>
          <w:ilvl w:val="0"/>
          <w:numId w:val="126"/>
        </w:numPr>
        <w:tabs>
          <w:tab w:val="left" w:pos="0"/>
          <w:tab w:val="left" w:pos="567"/>
        </w:tabs>
        <w:ind w:left="0" w:firstLine="0"/>
        <w:rPr>
          <w:rFonts w:cs="Times New Roman"/>
          <w:i/>
          <w:szCs w:val="24"/>
        </w:rPr>
      </w:pPr>
      <w:r w:rsidRPr="00BA4F0F">
        <w:rPr>
          <w:rFonts w:cs="Times New Roman"/>
          <w:szCs w:val="24"/>
        </w:rPr>
        <w:t xml:space="preserve">Наиболее частые возбудители инфекции мочевыводящих путей — это энтеробактерии, в составе которых преобладают </w:t>
      </w:r>
      <w:r w:rsidRPr="00BA4F0F">
        <w:rPr>
          <w:rFonts w:cs="Times New Roman"/>
          <w:i/>
          <w:szCs w:val="24"/>
        </w:rPr>
        <w:t>Escherichia coli</w:t>
      </w:r>
      <w:r w:rsidRPr="00BA4F0F">
        <w:rPr>
          <w:rFonts w:cs="Times New Roman"/>
          <w:szCs w:val="24"/>
        </w:rPr>
        <w:t xml:space="preserve">, далее </w:t>
      </w:r>
      <w:r w:rsidRPr="00BA4F0F">
        <w:rPr>
          <w:rFonts w:cs="Times New Roman"/>
          <w:i/>
          <w:szCs w:val="24"/>
        </w:rPr>
        <w:t>Staphylococcus saprophyticus</w:t>
      </w:r>
      <w:r w:rsidRPr="00BA4F0F">
        <w:rPr>
          <w:rFonts w:cs="Times New Roman"/>
          <w:szCs w:val="24"/>
        </w:rPr>
        <w:t xml:space="preserve"> (чаще у молодых женщин), </w:t>
      </w:r>
      <w:r w:rsidRPr="00BA4F0F">
        <w:rPr>
          <w:rFonts w:cs="Times New Roman"/>
          <w:i/>
          <w:szCs w:val="24"/>
        </w:rPr>
        <w:t xml:space="preserve">Enterococcus spp., Pseudomonas aeruginosa. </w:t>
      </w:r>
    </w:p>
    <w:p w14:paraId="57E0D014" w14:textId="77777777" w:rsidR="00C1188C" w:rsidRPr="00BA4F0F" w:rsidRDefault="00C1188C" w:rsidP="000768AC">
      <w:pPr>
        <w:numPr>
          <w:ilvl w:val="0"/>
          <w:numId w:val="126"/>
        </w:numPr>
        <w:tabs>
          <w:tab w:val="left" w:pos="0"/>
          <w:tab w:val="left" w:pos="567"/>
        </w:tabs>
        <w:ind w:left="0" w:firstLine="0"/>
        <w:rPr>
          <w:rFonts w:cs="Times New Roman"/>
          <w:i/>
          <w:szCs w:val="24"/>
        </w:rPr>
      </w:pPr>
      <w:r w:rsidRPr="00BA4F0F">
        <w:rPr>
          <w:rFonts w:cs="Times New Roman"/>
          <w:szCs w:val="24"/>
        </w:rPr>
        <w:t>При выделении из мочи коагулазанегативных стафилококков в монокультуре (≥ 10</w:t>
      </w:r>
      <w:r w:rsidRPr="00BA4F0F">
        <w:rPr>
          <w:rFonts w:cs="Times New Roman"/>
          <w:szCs w:val="24"/>
          <w:vertAlign w:val="superscript"/>
        </w:rPr>
        <w:t>4</w:t>
      </w:r>
      <w:r w:rsidRPr="00BA4F0F">
        <w:rPr>
          <w:rFonts w:cs="Times New Roman"/>
          <w:szCs w:val="24"/>
        </w:rPr>
        <w:t xml:space="preserve"> КОЕ/мл) проводят дополнительное исследование для идентификации </w:t>
      </w:r>
      <w:r w:rsidRPr="00BA4F0F">
        <w:rPr>
          <w:rFonts w:cs="Times New Roman"/>
          <w:i/>
          <w:szCs w:val="24"/>
        </w:rPr>
        <w:t xml:space="preserve">Staphylococcus saprophyticus. </w:t>
      </w:r>
    </w:p>
    <w:p w14:paraId="669B6BF3"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 xml:space="preserve">Высокое содержание </w:t>
      </w:r>
      <w:r w:rsidRPr="00BA4F0F">
        <w:rPr>
          <w:rFonts w:cs="Times New Roman"/>
          <w:i/>
          <w:szCs w:val="24"/>
        </w:rPr>
        <w:t>Staphylococcus epidermidis</w:t>
      </w:r>
      <w:r w:rsidRPr="00BA4F0F">
        <w:rPr>
          <w:rFonts w:cs="Times New Roman"/>
          <w:szCs w:val="24"/>
        </w:rPr>
        <w:t xml:space="preserve"> (≥ 10</w:t>
      </w:r>
      <w:r w:rsidRPr="00BA4F0F">
        <w:rPr>
          <w:rFonts w:cs="Times New Roman"/>
          <w:szCs w:val="24"/>
          <w:vertAlign w:val="superscript"/>
        </w:rPr>
        <w:t>5</w:t>
      </w:r>
      <w:r w:rsidRPr="00BA4F0F">
        <w:rPr>
          <w:rFonts w:cs="Times New Roman"/>
          <w:szCs w:val="24"/>
        </w:rPr>
        <w:t xml:space="preserve"> КОЕ/мл) является диагностически значимым. </w:t>
      </w:r>
    </w:p>
    <w:p w14:paraId="73893D90" w14:textId="77777777" w:rsidR="00C1188C" w:rsidRPr="00BA4F0F" w:rsidRDefault="00C1188C" w:rsidP="000768AC">
      <w:pPr>
        <w:numPr>
          <w:ilvl w:val="0"/>
          <w:numId w:val="126"/>
        </w:numPr>
        <w:tabs>
          <w:tab w:val="left" w:pos="0"/>
          <w:tab w:val="left" w:pos="567"/>
        </w:tabs>
        <w:ind w:left="0" w:firstLine="0"/>
        <w:rPr>
          <w:rFonts w:cs="Times New Roman"/>
          <w:szCs w:val="24"/>
        </w:rPr>
      </w:pPr>
      <w:r w:rsidRPr="00BA4F0F">
        <w:rPr>
          <w:rFonts w:cs="Times New Roman"/>
          <w:szCs w:val="24"/>
        </w:rPr>
        <w:t xml:space="preserve">Неоднократное выделение из мочи </w:t>
      </w:r>
      <w:r w:rsidRPr="00BA4F0F">
        <w:rPr>
          <w:rFonts w:cs="Times New Roman"/>
          <w:i/>
          <w:szCs w:val="24"/>
        </w:rPr>
        <w:t>Сandida spp</w:t>
      </w:r>
      <w:r w:rsidRPr="00BA4F0F">
        <w:rPr>
          <w:rFonts w:cs="Times New Roman"/>
          <w:szCs w:val="24"/>
        </w:rPr>
        <w:t xml:space="preserve">. у больных с фебрильной нейтропенией, не имеющих мочевого катетера, свидетельствует о высокой вероятности наличия диссеминированного инвазивного кандидоза. </w:t>
      </w:r>
    </w:p>
    <w:p w14:paraId="730BB9EA"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Выделение из мочи таких микроорганизмов, как дифтероиды, стрептококки группы </w:t>
      </w:r>
      <w:r w:rsidRPr="00BA4F0F">
        <w:rPr>
          <w:rFonts w:cs="Times New Roman"/>
          <w:i/>
          <w:szCs w:val="24"/>
        </w:rPr>
        <w:t>viridans</w:t>
      </w:r>
      <w:r w:rsidRPr="00BA4F0F">
        <w:rPr>
          <w:rFonts w:cs="Times New Roman"/>
          <w:szCs w:val="24"/>
        </w:rPr>
        <w:t xml:space="preserve">, лактобактерии, коагулазанегативные стафилококки (исключение составляет </w:t>
      </w:r>
      <w:r w:rsidRPr="00BA4F0F">
        <w:rPr>
          <w:rFonts w:cs="Times New Roman"/>
          <w:i/>
          <w:szCs w:val="24"/>
        </w:rPr>
        <w:t>Staphylococcus saprophyticus</w:t>
      </w:r>
      <w:r w:rsidRPr="00BA4F0F">
        <w:rPr>
          <w:rFonts w:cs="Times New Roman"/>
          <w:szCs w:val="24"/>
        </w:rPr>
        <w:t>), свидетельствует о контаминации образцов мочи (кожа, влагалище).</w:t>
      </w:r>
    </w:p>
    <w:p w14:paraId="23E848E9" w14:textId="77777777" w:rsidR="00C1188C" w:rsidRPr="00BA4F0F" w:rsidRDefault="00C1188C" w:rsidP="00C1188C">
      <w:pPr>
        <w:pStyle w:val="afe"/>
        <w:ind w:left="0"/>
        <w:rPr>
          <w:rFonts w:cs="Times New Roman"/>
          <w:i/>
          <w:szCs w:val="24"/>
        </w:rPr>
      </w:pPr>
    </w:p>
    <w:p w14:paraId="2141D2B6"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спинномозговой жидкости</w:t>
      </w:r>
    </w:p>
    <w:p w14:paraId="753D4F34" w14:textId="77777777" w:rsidR="00C1188C" w:rsidRPr="00BA4F0F" w:rsidRDefault="00C1188C" w:rsidP="000768AC">
      <w:pPr>
        <w:numPr>
          <w:ilvl w:val="0"/>
          <w:numId w:val="127"/>
        </w:numPr>
        <w:tabs>
          <w:tab w:val="left" w:pos="0"/>
          <w:tab w:val="left" w:pos="567"/>
        </w:tabs>
        <w:ind w:left="0" w:firstLine="0"/>
        <w:rPr>
          <w:rFonts w:cs="Times New Roman"/>
          <w:szCs w:val="24"/>
        </w:rPr>
      </w:pPr>
      <w:r w:rsidRPr="00BA4F0F">
        <w:rPr>
          <w:rFonts w:cs="Times New Roman"/>
          <w:szCs w:val="24"/>
        </w:rPr>
        <w:t xml:space="preserve">Показания: </w:t>
      </w:r>
    </w:p>
    <w:p w14:paraId="4C147BD8" w14:textId="77777777" w:rsidR="00C1188C" w:rsidRPr="00BA4F0F" w:rsidRDefault="00C1188C" w:rsidP="000768AC">
      <w:pPr>
        <w:numPr>
          <w:ilvl w:val="0"/>
          <w:numId w:val="129"/>
        </w:numPr>
        <w:tabs>
          <w:tab w:val="left" w:pos="0"/>
          <w:tab w:val="left" w:pos="567"/>
        </w:tabs>
        <w:ind w:left="0" w:firstLine="0"/>
        <w:rPr>
          <w:rFonts w:cs="Times New Roman"/>
          <w:szCs w:val="24"/>
        </w:rPr>
      </w:pPr>
      <w:r w:rsidRPr="00BA4F0F">
        <w:rPr>
          <w:rFonts w:cs="Times New Roman"/>
          <w:szCs w:val="24"/>
        </w:rPr>
        <w:t xml:space="preserve">Симптомы менингита. </w:t>
      </w:r>
    </w:p>
    <w:p w14:paraId="48DFF458" w14:textId="77777777" w:rsidR="00C1188C" w:rsidRPr="00BA4F0F" w:rsidRDefault="00C1188C" w:rsidP="000768AC">
      <w:pPr>
        <w:numPr>
          <w:ilvl w:val="0"/>
          <w:numId w:val="129"/>
        </w:numPr>
        <w:tabs>
          <w:tab w:val="left" w:pos="0"/>
          <w:tab w:val="left" w:pos="567"/>
        </w:tabs>
        <w:ind w:left="0" w:firstLine="0"/>
        <w:rPr>
          <w:rFonts w:cs="Times New Roman"/>
          <w:szCs w:val="24"/>
        </w:rPr>
      </w:pPr>
      <w:r w:rsidRPr="00BA4F0F">
        <w:rPr>
          <w:rFonts w:cs="Times New Roman"/>
          <w:szCs w:val="24"/>
        </w:rPr>
        <w:t xml:space="preserve">«Мозговая» симптоматика на фоне лихорадки и нейтропении. </w:t>
      </w:r>
    </w:p>
    <w:p w14:paraId="52ADBCDE" w14:textId="77777777" w:rsidR="00C1188C" w:rsidRPr="00BA4F0F" w:rsidRDefault="00C1188C" w:rsidP="000768AC">
      <w:pPr>
        <w:numPr>
          <w:ilvl w:val="0"/>
          <w:numId w:val="129"/>
        </w:numPr>
        <w:tabs>
          <w:tab w:val="left" w:pos="0"/>
          <w:tab w:val="left" w:pos="567"/>
        </w:tabs>
        <w:ind w:left="0" w:firstLine="0"/>
        <w:rPr>
          <w:rFonts w:cs="Times New Roman"/>
          <w:szCs w:val="24"/>
        </w:rPr>
      </w:pPr>
      <w:r w:rsidRPr="00BA4F0F">
        <w:rPr>
          <w:rFonts w:cs="Times New Roman"/>
          <w:szCs w:val="24"/>
        </w:rPr>
        <w:t xml:space="preserve">Обнаружение очага (очагов) в головном мозге при КТ или МРТ. </w:t>
      </w:r>
    </w:p>
    <w:p w14:paraId="6E3375E0" w14:textId="77777777" w:rsidR="00C1188C" w:rsidRPr="00BA4F0F" w:rsidRDefault="00C1188C" w:rsidP="000768AC">
      <w:pPr>
        <w:numPr>
          <w:ilvl w:val="0"/>
          <w:numId w:val="128"/>
        </w:numPr>
        <w:tabs>
          <w:tab w:val="left" w:pos="0"/>
          <w:tab w:val="left" w:pos="567"/>
        </w:tabs>
        <w:ind w:left="0" w:firstLine="0"/>
        <w:rPr>
          <w:rFonts w:cs="Times New Roman"/>
          <w:szCs w:val="24"/>
        </w:rPr>
      </w:pPr>
      <w:r w:rsidRPr="00BA4F0F">
        <w:rPr>
          <w:rFonts w:cs="Times New Roman"/>
          <w:szCs w:val="24"/>
        </w:rPr>
        <w:t>Доставка материала в лабораторию должна быть немедленной</w:t>
      </w:r>
      <w:r w:rsidRPr="00BA4F0F">
        <w:rPr>
          <w:rFonts w:cs="Times New Roman"/>
          <w:b/>
          <w:szCs w:val="24"/>
        </w:rPr>
        <w:t xml:space="preserve"> </w:t>
      </w:r>
      <w:r w:rsidRPr="00BA4F0F">
        <w:rPr>
          <w:rFonts w:cs="Times New Roman"/>
          <w:szCs w:val="24"/>
        </w:rPr>
        <w:t xml:space="preserve">в стерильной пробирке или в шприце с закрытым наконечником. </w:t>
      </w:r>
    </w:p>
    <w:p w14:paraId="473DFB6D" w14:textId="77777777" w:rsidR="00C1188C" w:rsidRPr="00BA4F0F" w:rsidRDefault="00C1188C" w:rsidP="000768AC">
      <w:pPr>
        <w:numPr>
          <w:ilvl w:val="0"/>
          <w:numId w:val="128"/>
        </w:numPr>
        <w:tabs>
          <w:tab w:val="left" w:pos="0"/>
          <w:tab w:val="left" w:pos="567"/>
        </w:tabs>
        <w:ind w:left="0" w:firstLine="0"/>
        <w:rPr>
          <w:rFonts w:cs="Times New Roman"/>
          <w:szCs w:val="24"/>
        </w:rPr>
      </w:pPr>
      <w:r w:rsidRPr="00BA4F0F">
        <w:rPr>
          <w:rFonts w:cs="Times New Roman"/>
          <w:szCs w:val="24"/>
        </w:rPr>
        <w:t xml:space="preserve">Не помещают образцы СМЖ в холодильник. </w:t>
      </w:r>
    </w:p>
    <w:p w14:paraId="2FE3518D" w14:textId="77777777" w:rsidR="00C1188C" w:rsidRPr="00BA4F0F" w:rsidRDefault="00C1188C" w:rsidP="000768AC">
      <w:pPr>
        <w:numPr>
          <w:ilvl w:val="0"/>
          <w:numId w:val="128"/>
        </w:numPr>
        <w:tabs>
          <w:tab w:val="left" w:pos="0"/>
          <w:tab w:val="left" w:pos="567"/>
        </w:tabs>
        <w:ind w:left="0" w:firstLine="0"/>
        <w:rPr>
          <w:rFonts w:cs="Times New Roman"/>
          <w:szCs w:val="24"/>
        </w:rPr>
      </w:pPr>
      <w:r w:rsidRPr="00BA4F0F">
        <w:rPr>
          <w:rFonts w:cs="Times New Roman"/>
          <w:szCs w:val="24"/>
        </w:rPr>
        <w:t>Для полного исследования (бактерии, грибы, антигены) необходимо 2 мл СМЖ. Минимальное количество жидкости, необходимое для микробиологического исследования, составляет 0,5-1 мл.</w:t>
      </w:r>
    </w:p>
    <w:p w14:paraId="3EBC569B" w14:textId="77777777" w:rsidR="00C1188C" w:rsidRPr="00BA4F0F" w:rsidRDefault="00C1188C" w:rsidP="000768AC">
      <w:pPr>
        <w:numPr>
          <w:ilvl w:val="0"/>
          <w:numId w:val="128"/>
        </w:numPr>
        <w:tabs>
          <w:tab w:val="left" w:pos="0"/>
          <w:tab w:val="left" w:pos="567"/>
        </w:tabs>
        <w:ind w:left="0" w:firstLine="0"/>
        <w:rPr>
          <w:rFonts w:cs="Times New Roman"/>
          <w:szCs w:val="24"/>
        </w:rPr>
      </w:pPr>
      <w:r w:rsidRPr="00BA4F0F">
        <w:rPr>
          <w:rFonts w:cs="Times New Roman"/>
          <w:szCs w:val="24"/>
        </w:rPr>
        <w:t xml:space="preserve">Не направляют в лабораторию образец СМЖ, полученный в первой пробирке пункции, поскольку имеется высокая вероятность контаминации образца микроорганизмами с кожи и, вполне определенно, будут возникать проблемы в интерпретации результатов исследования в случае выделения коагулозанегативных стафилококков. Первый образец СМЖ может быть использован для цитологического исследования.  </w:t>
      </w:r>
    </w:p>
    <w:p w14:paraId="5A533D9E" w14:textId="77777777" w:rsidR="00C1188C" w:rsidRPr="00BA4F0F" w:rsidRDefault="00C1188C" w:rsidP="000768AC">
      <w:pPr>
        <w:numPr>
          <w:ilvl w:val="0"/>
          <w:numId w:val="128"/>
        </w:numPr>
        <w:tabs>
          <w:tab w:val="left" w:pos="0"/>
          <w:tab w:val="left" w:pos="567"/>
        </w:tabs>
        <w:ind w:left="0" w:firstLine="0"/>
        <w:rPr>
          <w:rFonts w:cs="Times New Roman"/>
          <w:szCs w:val="24"/>
        </w:rPr>
      </w:pPr>
      <w:r w:rsidRPr="00BA4F0F">
        <w:rPr>
          <w:rFonts w:cs="Times New Roman"/>
          <w:szCs w:val="24"/>
        </w:rPr>
        <w:t xml:space="preserve">СМЖ исследуют на бактерии (микроскопия, посев, определение антигенов), микобактерии (микроскопия, определение ДНК микобактерий), вирусы (определение ДНК вирусов герпетической группы, ЦМВ), грибы (микроскопия, посев, антигены), определяют антигены </w:t>
      </w:r>
      <w:r w:rsidRPr="00BA4F0F">
        <w:rPr>
          <w:rFonts w:cs="Times New Roman"/>
          <w:i/>
          <w:szCs w:val="24"/>
        </w:rPr>
        <w:t>Cryptococcus spp., Aspergillus spp.</w:t>
      </w:r>
      <w:r w:rsidRPr="00BA4F0F">
        <w:rPr>
          <w:rFonts w:cs="Times New Roman"/>
          <w:szCs w:val="24"/>
        </w:rPr>
        <w:t xml:space="preserve"> – при наличии инвазиного аспергиллеза легких или придаточных пазух носа, при необходимости — антигены бактерий (</w:t>
      </w:r>
      <w:r w:rsidRPr="00BA4F0F">
        <w:rPr>
          <w:rFonts w:cs="Times New Roman"/>
          <w:i/>
          <w:szCs w:val="24"/>
        </w:rPr>
        <w:t>Streptococcus pneumoniae, Haemophilus influenzae, Neisseria meningitides</w:t>
      </w:r>
      <w:r w:rsidRPr="00BA4F0F">
        <w:rPr>
          <w:rFonts w:cs="Times New Roman"/>
          <w:szCs w:val="24"/>
        </w:rPr>
        <w:t xml:space="preserve">, стрептококки группы В - </w:t>
      </w:r>
      <w:r w:rsidRPr="00BA4F0F">
        <w:rPr>
          <w:rFonts w:cs="Times New Roman"/>
          <w:i/>
          <w:szCs w:val="24"/>
        </w:rPr>
        <w:t>Streptococcus agalactiae</w:t>
      </w:r>
      <w:r w:rsidRPr="00BA4F0F">
        <w:rPr>
          <w:rFonts w:cs="Times New Roman"/>
          <w:szCs w:val="24"/>
        </w:rPr>
        <w:t xml:space="preserve">). У больных, имеющих очаги в головном мозге и выраженный иммунодефицит (при длительной нейтропении), следует в определять СМЖ ДНК </w:t>
      </w:r>
      <w:r w:rsidRPr="00BA4F0F">
        <w:rPr>
          <w:rFonts w:cs="Times New Roman"/>
          <w:i/>
          <w:szCs w:val="24"/>
        </w:rPr>
        <w:t>Toxoplasma gondii</w:t>
      </w:r>
      <w:r w:rsidRPr="00BA4F0F">
        <w:rPr>
          <w:rFonts w:cs="Times New Roman"/>
          <w:szCs w:val="24"/>
        </w:rPr>
        <w:t xml:space="preserve"> (ПЦР). </w:t>
      </w:r>
    </w:p>
    <w:p w14:paraId="466FB0E9" w14:textId="77777777" w:rsidR="00C1188C" w:rsidRPr="00BA4F0F" w:rsidRDefault="00C1188C" w:rsidP="00C1188C">
      <w:pPr>
        <w:pStyle w:val="afe"/>
        <w:ind w:left="0"/>
        <w:rPr>
          <w:rFonts w:cs="Times New Roman"/>
          <w:i/>
          <w:szCs w:val="24"/>
        </w:rPr>
      </w:pPr>
    </w:p>
    <w:p w14:paraId="45E2C4AB"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кала</w:t>
      </w:r>
    </w:p>
    <w:p w14:paraId="279FAEC9" w14:textId="77777777" w:rsidR="00C1188C" w:rsidRPr="00BA4F0F" w:rsidRDefault="00C1188C" w:rsidP="000768AC">
      <w:pPr>
        <w:numPr>
          <w:ilvl w:val="0"/>
          <w:numId w:val="130"/>
        </w:numPr>
        <w:tabs>
          <w:tab w:val="left" w:pos="0"/>
          <w:tab w:val="left" w:pos="567"/>
        </w:tabs>
        <w:ind w:left="0" w:firstLine="0"/>
        <w:rPr>
          <w:rFonts w:cs="Times New Roman"/>
          <w:szCs w:val="24"/>
        </w:rPr>
      </w:pPr>
      <w:r w:rsidRPr="00BA4F0F">
        <w:rPr>
          <w:rFonts w:cs="Times New Roman"/>
          <w:szCs w:val="24"/>
        </w:rPr>
        <w:t xml:space="preserve">Показания — диарея. </w:t>
      </w:r>
    </w:p>
    <w:p w14:paraId="3401269E" w14:textId="77777777" w:rsidR="00C1188C" w:rsidRPr="00BA4F0F" w:rsidRDefault="00C1188C" w:rsidP="000768AC">
      <w:pPr>
        <w:numPr>
          <w:ilvl w:val="0"/>
          <w:numId w:val="130"/>
        </w:numPr>
        <w:tabs>
          <w:tab w:val="left" w:pos="0"/>
          <w:tab w:val="left" w:pos="567"/>
        </w:tabs>
        <w:ind w:left="0" w:firstLine="0"/>
        <w:rPr>
          <w:rFonts w:cs="Times New Roman"/>
          <w:i/>
          <w:szCs w:val="24"/>
        </w:rPr>
      </w:pPr>
      <w:r w:rsidRPr="00BA4F0F">
        <w:rPr>
          <w:rFonts w:cs="Times New Roman"/>
          <w:szCs w:val="24"/>
        </w:rPr>
        <w:t xml:space="preserve">Во всех случаях следует провести тест на токсин </w:t>
      </w:r>
      <w:r w:rsidRPr="00BA4F0F">
        <w:rPr>
          <w:rFonts w:cs="Times New Roman"/>
          <w:i/>
          <w:szCs w:val="24"/>
        </w:rPr>
        <w:t xml:space="preserve">Clostridium difficile. </w:t>
      </w:r>
    </w:p>
    <w:p w14:paraId="2B334DD2" w14:textId="77777777" w:rsidR="00C1188C" w:rsidRPr="00BA4F0F" w:rsidRDefault="00C1188C" w:rsidP="000768AC">
      <w:pPr>
        <w:numPr>
          <w:ilvl w:val="0"/>
          <w:numId w:val="130"/>
        </w:numPr>
        <w:tabs>
          <w:tab w:val="left" w:pos="0"/>
          <w:tab w:val="left" w:pos="567"/>
        </w:tabs>
        <w:ind w:left="0" w:firstLine="0"/>
        <w:rPr>
          <w:rFonts w:cs="Times New Roman"/>
          <w:szCs w:val="24"/>
        </w:rPr>
      </w:pPr>
      <w:r w:rsidRPr="00BA4F0F">
        <w:rPr>
          <w:rFonts w:cs="Times New Roman"/>
          <w:szCs w:val="24"/>
        </w:rPr>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BA4F0F">
        <w:rPr>
          <w:rFonts w:cs="Times New Roman"/>
          <w:i/>
          <w:szCs w:val="24"/>
        </w:rPr>
        <w:t>Сryptosporidium parvum, Salmonella spp., Shigella spp., Listeria spp., Yersenia spp.</w:t>
      </w:r>
      <w:r w:rsidRPr="00BA4F0F">
        <w:rPr>
          <w:rFonts w:cs="Times New Roman"/>
          <w:szCs w:val="24"/>
        </w:rPr>
        <w:t xml:space="preserve">, вирусы (ротавирусы, аденовирусы). Энтероколиты могут быть обусловлены </w:t>
      </w:r>
      <w:r w:rsidRPr="00BA4F0F">
        <w:rPr>
          <w:rFonts w:cs="Times New Roman"/>
          <w:i/>
          <w:szCs w:val="24"/>
        </w:rPr>
        <w:t>Candida spp</w:t>
      </w:r>
      <w:r w:rsidRPr="00BA4F0F">
        <w:rPr>
          <w:rFonts w:cs="Times New Roman"/>
          <w:szCs w:val="24"/>
        </w:rPr>
        <w:t xml:space="preserve">. При количественном исследовании кала следует обращать внимание на выделение штаммов </w:t>
      </w:r>
      <w:r w:rsidRPr="00BA4F0F">
        <w:rPr>
          <w:rFonts w:cs="Times New Roman"/>
          <w:i/>
          <w:szCs w:val="24"/>
        </w:rPr>
        <w:t>Pseudomonas aeruginosa</w:t>
      </w:r>
      <w:r w:rsidRPr="00BA4F0F">
        <w:rPr>
          <w:rFonts w:cs="Times New Roman"/>
          <w:szCs w:val="24"/>
        </w:rPr>
        <w:t>, энтеробактерий (</w:t>
      </w:r>
      <w:r w:rsidRPr="00BA4F0F">
        <w:rPr>
          <w:rFonts w:cs="Times New Roman"/>
          <w:i/>
          <w:szCs w:val="24"/>
        </w:rPr>
        <w:t>Escherichia coli, Klebsiella spp.),</w:t>
      </w:r>
      <w:r w:rsidRPr="00BA4F0F">
        <w:rPr>
          <w:rFonts w:cs="Times New Roman"/>
          <w:szCs w:val="24"/>
        </w:rPr>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6A3D43A2"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Исследование на дисбактериоз кишечника у больных без диареи относится к исследованиям, которые приняты лишь в России, оно трудоемко и малоинформативно, особенно у больных вне нейтропении. </w:t>
      </w:r>
    </w:p>
    <w:p w14:paraId="4B588F98" w14:textId="77777777" w:rsidR="00C1188C" w:rsidRPr="00BA4F0F" w:rsidRDefault="00C1188C" w:rsidP="00C1188C">
      <w:pPr>
        <w:pStyle w:val="afe"/>
        <w:ind w:left="0"/>
        <w:rPr>
          <w:rFonts w:cs="Times New Roman"/>
          <w:i/>
          <w:szCs w:val="24"/>
        </w:rPr>
      </w:pPr>
    </w:p>
    <w:p w14:paraId="1F8989B8"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мазка со слизистой оболочки ротоглотки</w:t>
      </w:r>
    </w:p>
    <w:p w14:paraId="7A7526F7" w14:textId="77777777" w:rsidR="00C1188C" w:rsidRPr="00BA4F0F" w:rsidRDefault="00C1188C" w:rsidP="000768AC">
      <w:pPr>
        <w:numPr>
          <w:ilvl w:val="0"/>
          <w:numId w:val="131"/>
        </w:numPr>
        <w:tabs>
          <w:tab w:val="left" w:pos="0"/>
          <w:tab w:val="left" w:pos="567"/>
        </w:tabs>
        <w:ind w:left="0" w:firstLine="0"/>
        <w:rPr>
          <w:rFonts w:cs="Times New Roman"/>
          <w:szCs w:val="24"/>
        </w:rPr>
      </w:pPr>
      <w:r w:rsidRPr="00BA4F0F">
        <w:rPr>
          <w:rFonts w:cs="Times New Roman"/>
          <w:szCs w:val="24"/>
        </w:rPr>
        <w:t xml:space="preserve">Показания — наличие признаков стоматита. </w:t>
      </w:r>
    </w:p>
    <w:p w14:paraId="7B64CABD" w14:textId="77777777" w:rsidR="00C1188C" w:rsidRPr="00BA4F0F" w:rsidRDefault="00C1188C" w:rsidP="000768AC">
      <w:pPr>
        <w:numPr>
          <w:ilvl w:val="0"/>
          <w:numId w:val="131"/>
        </w:numPr>
        <w:tabs>
          <w:tab w:val="left" w:pos="0"/>
          <w:tab w:val="left" w:pos="567"/>
        </w:tabs>
        <w:ind w:left="0" w:firstLine="0"/>
        <w:rPr>
          <w:rFonts w:cs="Times New Roman"/>
          <w:szCs w:val="24"/>
        </w:rPr>
      </w:pPr>
      <w:r w:rsidRPr="00BA4F0F">
        <w:rPr>
          <w:rFonts w:cs="Times New Roman"/>
          <w:szCs w:val="24"/>
        </w:rPr>
        <w:t xml:space="preserve">При нейтропении обращают внимание на выделение </w:t>
      </w:r>
      <w:r w:rsidRPr="00BA4F0F">
        <w:rPr>
          <w:rFonts w:cs="Times New Roman"/>
          <w:i/>
          <w:szCs w:val="24"/>
        </w:rPr>
        <w:t>Candida spp</w:t>
      </w:r>
      <w:r w:rsidRPr="00BA4F0F">
        <w:rPr>
          <w:rFonts w:cs="Times New Roman"/>
          <w:szCs w:val="24"/>
        </w:rPr>
        <w:t xml:space="preserve">., грамотрицательных бактерий, особенно </w:t>
      </w:r>
      <w:r w:rsidRPr="00BA4F0F">
        <w:rPr>
          <w:rFonts w:cs="Times New Roman"/>
          <w:i/>
          <w:szCs w:val="24"/>
        </w:rPr>
        <w:t>Pseudomonas aeruginosa</w:t>
      </w:r>
      <w:r w:rsidRPr="00BA4F0F">
        <w:rPr>
          <w:rFonts w:cs="Times New Roman"/>
          <w:szCs w:val="24"/>
        </w:rPr>
        <w:t xml:space="preserve"> или </w:t>
      </w:r>
      <w:r w:rsidRPr="00BA4F0F">
        <w:rPr>
          <w:rFonts w:cs="Times New Roman"/>
          <w:i/>
          <w:szCs w:val="24"/>
          <w:lang w:val="en-US"/>
        </w:rPr>
        <w:t>Stenotrophomonas</w:t>
      </w:r>
      <w:r w:rsidRPr="00BA4F0F">
        <w:rPr>
          <w:rFonts w:cs="Times New Roman"/>
          <w:i/>
          <w:szCs w:val="24"/>
        </w:rPr>
        <w:t xml:space="preserve"> </w:t>
      </w:r>
      <w:r w:rsidRPr="00BA4F0F">
        <w:rPr>
          <w:rFonts w:cs="Times New Roman"/>
          <w:i/>
          <w:szCs w:val="24"/>
          <w:lang w:val="en-US"/>
        </w:rPr>
        <w:t>maltophilia</w:t>
      </w:r>
      <w:r w:rsidRPr="00BA4F0F">
        <w:rPr>
          <w:rFonts w:cs="Times New Roman"/>
          <w:szCs w:val="24"/>
        </w:rPr>
        <w:t>, энтеробактерий (</w:t>
      </w:r>
      <w:r w:rsidRPr="00BA4F0F">
        <w:rPr>
          <w:rFonts w:cs="Times New Roman"/>
          <w:i/>
          <w:szCs w:val="24"/>
        </w:rPr>
        <w:t>Escherichia coli, Klebsiella spp</w:t>
      </w:r>
      <w:r w:rsidRPr="00BA4F0F">
        <w:rPr>
          <w:rFonts w:cs="Times New Roman"/>
          <w:szCs w:val="24"/>
        </w:rPr>
        <w:t xml:space="preserve">.), продуцирующих БЛРС или карбапенемазы. </w:t>
      </w:r>
    </w:p>
    <w:p w14:paraId="64C29BFC" w14:textId="77777777" w:rsidR="00C1188C" w:rsidRPr="00BA4F0F" w:rsidRDefault="00C1188C" w:rsidP="000768AC">
      <w:pPr>
        <w:numPr>
          <w:ilvl w:val="0"/>
          <w:numId w:val="131"/>
        </w:numPr>
        <w:tabs>
          <w:tab w:val="left" w:pos="0"/>
          <w:tab w:val="left" w:pos="567"/>
        </w:tabs>
        <w:ind w:left="0" w:firstLine="0"/>
        <w:rPr>
          <w:rFonts w:cs="Times New Roman"/>
          <w:szCs w:val="24"/>
        </w:rPr>
      </w:pPr>
      <w:r w:rsidRPr="00BA4F0F">
        <w:rPr>
          <w:rFonts w:cs="Times New Roman"/>
          <w:szCs w:val="24"/>
        </w:rPr>
        <w:t xml:space="preserve">Следует помнить, что такие бактерии, как </w:t>
      </w:r>
      <w:r w:rsidRPr="00BA4F0F">
        <w:rPr>
          <w:rFonts w:cs="Times New Roman"/>
          <w:i/>
          <w:szCs w:val="24"/>
        </w:rPr>
        <w:t>Enterococcus spp.</w:t>
      </w:r>
      <w:r w:rsidRPr="00BA4F0F">
        <w:rPr>
          <w:rFonts w:cs="Times New Roman"/>
          <w:szCs w:val="24"/>
        </w:rPr>
        <w:t xml:space="preserve"> и стрептококки группы </w:t>
      </w:r>
      <w:r w:rsidRPr="00BA4F0F">
        <w:rPr>
          <w:rFonts w:cs="Times New Roman"/>
          <w:i/>
          <w:szCs w:val="24"/>
        </w:rPr>
        <w:t>viridans</w:t>
      </w:r>
      <w:r w:rsidRPr="00BA4F0F">
        <w:rPr>
          <w:rFonts w:cs="Times New Roman"/>
          <w:szCs w:val="24"/>
        </w:rPr>
        <w:t xml:space="preserve">, являются нормальными представителями микрофлоры ротоглотки. На основании выделения этих бактерий не следует добавлять ванкомицин при фебрильной нейтропении в отсутствие признаков мукозита. </w:t>
      </w:r>
    </w:p>
    <w:p w14:paraId="18E6FEF9"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Дрожжевые грибы рода </w:t>
      </w:r>
      <w:r w:rsidRPr="00BA4F0F">
        <w:rPr>
          <w:rFonts w:cs="Times New Roman"/>
          <w:i/>
          <w:szCs w:val="24"/>
        </w:rPr>
        <w:t>Candida</w:t>
      </w:r>
      <w:r w:rsidRPr="00BA4F0F">
        <w:rPr>
          <w:rFonts w:cs="Times New Roman"/>
          <w:szCs w:val="24"/>
        </w:rPr>
        <w:t xml:space="preserve"> обнаруживают у 30% здоровых людей. </w:t>
      </w:r>
    </w:p>
    <w:p w14:paraId="70D04390" w14:textId="77777777" w:rsidR="00C1188C" w:rsidRPr="00BA4F0F" w:rsidRDefault="00C1188C" w:rsidP="00C1188C">
      <w:pPr>
        <w:pStyle w:val="afe"/>
        <w:ind w:left="0"/>
        <w:rPr>
          <w:rFonts w:cs="Times New Roman"/>
          <w:i/>
          <w:szCs w:val="24"/>
        </w:rPr>
      </w:pPr>
    </w:p>
    <w:p w14:paraId="00BCD27E"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материала со слизистой оболочки пищевода</w:t>
      </w:r>
    </w:p>
    <w:p w14:paraId="66E3E3E5" w14:textId="77777777" w:rsidR="00C1188C" w:rsidRPr="00BA4F0F" w:rsidRDefault="00C1188C" w:rsidP="000768AC">
      <w:pPr>
        <w:numPr>
          <w:ilvl w:val="0"/>
          <w:numId w:val="155"/>
        </w:numPr>
        <w:tabs>
          <w:tab w:val="left" w:pos="0"/>
          <w:tab w:val="left" w:pos="567"/>
        </w:tabs>
        <w:ind w:left="0" w:firstLine="0"/>
        <w:rPr>
          <w:rFonts w:cs="Times New Roman"/>
          <w:szCs w:val="24"/>
        </w:rPr>
      </w:pPr>
      <w:r w:rsidRPr="00BA4F0F">
        <w:rPr>
          <w:rFonts w:cs="Times New Roman"/>
          <w:szCs w:val="24"/>
        </w:rPr>
        <w:t xml:space="preserve">Показания — боль по ходу пищевода. </w:t>
      </w:r>
    </w:p>
    <w:p w14:paraId="4FAAA3E7" w14:textId="77777777" w:rsidR="00C1188C" w:rsidRPr="00BA4F0F" w:rsidRDefault="00C1188C" w:rsidP="000768AC">
      <w:pPr>
        <w:numPr>
          <w:ilvl w:val="0"/>
          <w:numId w:val="155"/>
        </w:numPr>
        <w:tabs>
          <w:tab w:val="left" w:pos="0"/>
          <w:tab w:val="left" w:pos="567"/>
        </w:tabs>
        <w:ind w:left="0" w:firstLine="0"/>
        <w:rPr>
          <w:rFonts w:cs="Times New Roman"/>
          <w:szCs w:val="24"/>
        </w:rPr>
      </w:pPr>
      <w:r w:rsidRPr="00BA4F0F">
        <w:rPr>
          <w:rFonts w:cs="Times New Roman"/>
          <w:szCs w:val="24"/>
        </w:rPr>
        <w:t>Выполняется эзофагоскопия (число тромбоцитов должно быть не менее 50 × 10</w:t>
      </w:r>
      <w:r w:rsidRPr="00BA4F0F">
        <w:rPr>
          <w:rFonts w:cs="Times New Roman"/>
          <w:szCs w:val="24"/>
          <w:vertAlign w:val="superscript"/>
        </w:rPr>
        <w:t>9</w:t>
      </w:r>
      <w:r w:rsidRPr="00BA4F0F">
        <w:rPr>
          <w:rFonts w:cs="Times New Roman"/>
          <w:szCs w:val="24"/>
        </w:rPr>
        <w:t xml:space="preserve"> /л). </w:t>
      </w:r>
    </w:p>
    <w:p w14:paraId="605EC6CF" w14:textId="77777777" w:rsidR="00C1188C" w:rsidRPr="00BA4F0F" w:rsidRDefault="00C1188C" w:rsidP="000768AC">
      <w:pPr>
        <w:numPr>
          <w:ilvl w:val="0"/>
          <w:numId w:val="155"/>
        </w:numPr>
        <w:tabs>
          <w:tab w:val="left" w:pos="0"/>
          <w:tab w:val="left" w:pos="567"/>
        </w:tabs>
        <w:ind w:left="0" w:firstLine="0"/>
        <w:rPr>
          <w:rFonts w:cs="Times New Roman"/>
          <w:szCs w:val="24"/>
        </w:rPr>
      </w:pPr>
      <w:r w:rsidRPr="00BA4F0F">
        <w:rPr>
          <w:rFonts w:cs="Times New Roman"/>
          <w:szCs w:val="24"/>
        </w:rPr>
        <w:t xml:space="preserve">Проводится соскоб со слизистой пищевода (браш-методом при нейтропении) или биопсия (вне нейтропении). </w:t>
      </w:r>
    </w:p>
    <w:p w14:paraId="2EFDD0A3" w14:textId="77777777" w:rsidR="00C1188C" w:rsidRPr="00BA4F0F" w:rsidRDefault="00C1188C" w:rsidP="000768AC">
      <w:pPr>
        <w:numPr>
          <w:ilvl w:val="0"/>
          <w:numId w:val="155"/>
        </w:numPr>
        <w:tabs>
          <w:tab w:val="left" w:pos="0"/>
          <w:tab w:val="left" w:pos="567"/>
        </w:tabs>
        <w:ind w:left="0" w:firstLine="0"/>
        <w:rPr>
          <w:rFonts w:cs="Times New Roman"/>
          <w:szCs w:val="24"/>
        </w:rPr>
      </w:pPr>
      <w:r w:rsidRPr="00BA4F0F">
        <w:rPr>
          <w:rFonts w:cs="Times New Roman"/>
          <w:szCs w:val="24"/>
        </w:rPr>
        <w:t xml:space="preserve">Исследуют образцы в микробиологической (бактерии, грибы), вирусологической (ДНК вируса простого герпеса, ЦМВ) и гистологической лаборатории. </w:t>
      </w:r>
    </w:p>
    <w:p w14:paraId="5A39C419" w14:textId="77777777" w:rsidR="00C1188C" w:rsidRPr="00BA4F0F" w:rsidRDefault="00C1188C" w:rsidP="00C1188C">
      <w:pPr>
        <w:pStyle w:val="afe"/>
        <w:ind w:left="0"/>
        <w:rPr>
          <w:rFonts w:cs="Times New Roman"/>
          <w:i/>
          <w:szCs w:val="24"/>
        </w:rPr>
      </w:pPr>
    </w:p>
    <w:p w14:paraId="7524C679"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мазка со слизистой оболочки прямой кишки</w:t>
      </w:r>
    </w:p>
    <w:p w14:paraId="1EDF1688" w14:textId="77777777" w:rsidR="00C1188C" w:rsidRPr="00BA4F0F" w:rsidRDefault="00C1188C" w:rsidP="000768AC">
      <w:pPr>
        <w:numPr>
          <w:ilvl w:val="0"/>
          <w:numId w:val="132"/>
        </w:numPr>
        <w:tabs>
          <w:tab w:val="left" w:pos="0"/>
          <w:tab w:val="left" w:pos="567"/>
        </w:tabs>
        <w:ind w:left="0" w:firstLine="0"/>
        <w:rPr>
          <w:rFonts w:cs="Times New Roman"/>
          <w:szCs w:val="24"/>
        </w:rPr>
      </w:pPr>
      <w:r w:rsidRPr="00BA4F0F">
        <w:rPr>
          <w:rFonts w:cs="Times New Roman"/>
          <w:szCs w:val="24"/>
        </w:rPr>
        <w:t>Показания:</w:t>
      </w:r>
    </w:p>
    <w:p w14:paraId="6F701B92" w14:textId="77777777" w:rsidR="00C1188C" w:rsidRPr="00BA4F0F" w:rsidRDefault="00C1188C" w:rsidP="000768AC">
      <w:pPr>
        <w:numPr>
          <w:ilvl w:val="0"/>
          <w:numId w:val="156"/>
        </w:numPr>
        <w:tabs>
          <w:tab w:val="left" w:pos="0"/>
          <w:tab w:val="left" w:pos="567"/>
        </w:tabs>
        <w:ind w:left="0" w:firstLine="0"/>
        <w:rPr>
          <w:rFonts w:cs="Times New Roman"/>
          <w:szCs w:val="24"/>
        </w:rPr>
      </w:pPr>
      <w:r w:rsidRPr="00BA4F0F">
        <w:rPr>
          <w:rFonts w:cs="Times New Roman"/>
          <w:szCs w:val="24"/>
        </w:rPr>
        <w:t xml:space="preserve">Воспаление или повреждение слизистой (трещина, парапроктит и др.) прямой кишки. </w:t>
      </w:r>
    </w:p>
    <w:p w14:paraId="3ADEAAC6" w14:textId="77777777" w:rsidR="00C1188C" w:rsidRPr="00BA4F0F" w:rsidRDefault="00C1188C" w:rsidP="000768AC">
      <w:pPr>
        <w:numPr>
          <w:ilvl w:val="0"/>
          <w:numId w:val="156"/>
        </w:numPr>
        <w:tabs>
          <w:tab w:val="left" w:pos="0"/>
          <w:tab w:val="left" w:pos="567"/>
        </w:tabs>
        <w:ind w:left="0" w:firstLine="0"/>
        <w:rPr>
          <w:rFonts w:cs="Times New Roman"/>
          <w:szCs w:val="24"/>
        </w:rPr>
      </w:pPr>
      <w:r w:rsidRPr="00BA4F0F">
        <w:rPr>
          <w:rFonts w:cs="Times New Roman"/>
          <w:szCs w:val="24"/>
        </w:rPr>
        <w:t xml:space="preserve">У больных с фебрильной нейтропенией более 3-4 дней. </w:t>
      </w:r>
    </w:p>
    <w:p w14:paraId="0B4A35CA" w14:textId="77777777" w:rsidR="00C1188C" w:rsidRPr="00BA4F0F" w:rsidRDefault="00C1188C" w:rsidP="000768AC">
      <w:pPr>
        <w:numPr>
          <w:ilvl w:val="0"/>
          <w:numId w:val="133"/>
        </w:numPr>
        <w:tabs>
          <w:tab w:val="left" w:pos="0"/>
          <w:tab w:val="left" w:pos="567"/>
        </w:tabs>
        <w:ind w:left="0" w:firstLine="0"/>
        <w:rPr>
          <w:rFonts w:cs="Times New Roman"/>
          <w:szCs w:val="24"/>
        </w:rPr>
      </w:pPr>
      <w:r w:rsidRPr="00BA4F0F">
        <w:rPr>
          <w:rFonts w:cs="Times New Roman"/>
          <w:szCs w:val="24"/>
        </w:rPr>
        <w:t xml:space="preserve">На основании выделенных микроорганизмов может быть проведена коррекция антимикробной терапии при сохраняющейся фебрильной нейтропении в случаях отсутствия диагностически значимых результатов исследований из клинически значимых образцов. </w:t>
      </w:r>
    </w:p>
    <w:p w14:paraId="38FE4147" w14:textId="77777777" w:rsidR="00C1188C" w:rsidRPr="00BA4F0F" w:rsidRDefault="00C1188C" w:rsidP="000768AC">
      <w:pPr>
        <w:numPr>
          <w:ilvl w:val="0"/>
          <w:numId w:val="133"/>
        </w:numPr>
        <w:tabs>
          <w:tab w:val="left" w:pos="0"/>
          <w:tab w:val="left" w:pos="567"/>
        </w:tabs>
        <w:ind w:left="0" w:firstLine="0"/>
        <w:rPr>
          <w:rFonts w:cs="Times New Roman"/>
          <w:szCs w:val="24"/>
        </w:rPr>
      </w:pPr>
      <w:r w:rsidRPr="00BA4F0F">
        <w:rPr>
          <w:rFonts w:cs="Times New Roman"/>
          <w:szCs w:val="24"/>
        </w:rPr>
        <w:t xml:space="preserve">Обращают внимание, прежде всего на выделение полирезистентных грамотрицаетельных бактерий - </w:t>
      </w:r>
      <w:r w:rsidRPr="00BA4F0F">
        <w:rPr>
          <w:rFonts w:cs="Times New Roman"/>
          <w:i/>
          <w:szCs w:val="24"/>
        </w:rPr>
        <w:t>Pseudomonas aeruginosa</w:t>
      </w:r>
      <w:r w:rsidRPr="00BA4F0F">
        <w:rPr>
          <w:rFonts w:cs="Times New Roman"/>
          <w:szCs w:val="24"/>
        </w:rPr>
        <w:t>, энтеробактерий (</w:t>
      </w:r>
      <w:r w:rsidRPr="00BA4F0F">
        <w:rPr>
          <w:rFonts w:cs="Times New Roman"/>
          <w:i/>
          <w:szCs w:val="24"/>
        </w:rPr>
        <w:t>Escherichia coli, Klebsiella spp.</w:t>
      </w:r>
      <w:r w:rsidRPr="00BA4F0F">
        <w:rPr>
          <w:rFonts w:cs="Times New Roman"/>
          <w:szCs w:val="24"/>
        </w:rPr>
        <w:t xml:space="preserve">), продуцирующих БЛРС или карбапенемаз. </w:t>
      </w:r>
    </w:p>
    <w:p w14:paraId="0D1B11CB" w14:textId="77777777" w:rsidR="00C1188C" w:rsidRPr="00BA4F0F" w:rsidRDefault="00C1188C" w:rsidP="00C1188C">
      <w:pPr>
        <w:pStyle w:val="afe"/>
        <w:ind w:left="0"/>
        <w:rPr>
          <w:rFonts w:cs="Times New Roman"/>
          <w:i/>
          <w:szCs w:val="24"/>
        </w:rPr>
      </w:pPr>
    </w:p>
    <w:p w14:paraId="628659C8"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со слизистой оболочки носовых ходов</w:t>
      </w:r>
    </w:p>
    <w:p w14:paraId="572F40F8" w14:textId="77777777" w:rsidR="00C1188C" w:rsidRPr="00BA4F0F" w:rsidRDefault="00C1188C" w:rsidP="000768AC">
      <w:pPr>
        <w:numPr>
          <w:ilvl w:val="0"/>
          <w:numId w:val="157"/>
        </w:numPr>
        <w:tabs>
          <w:tab w:val="left" w:pos="0"/>
          <w:tab w:val="left" w:pos="567"/>
        </w:tabs>
        <w:ind w:left="0" w:firstLine="0"/>
        <w:rPr>
          <w:rFonts w:cs="Times New Roman"/>
          <w:szCs w:val="24"/>
        </w:rPr>
      </w:pPr>
      <w:r w:rsidRPr="00BA4F0F">
        <w:rPr>
          <w:rFonts w:cs="Times New Roman"/>
          <w:szCs w:val="24"/>
        </w:rPr>
        <w:t xml:space="preserve">Показания — наличие некроза слизистой оболочки носового хода. </w:t>
      </w:r>
    </w:p>
    <w:p w14:paraId="4ADC58D6" w14:textId="77777777" w:rsidR="00C1188C" w:rsidRPr="00BA4F0F" w:rsidRDefault="00C1188C" w:rsidP="000768AC">
      <w:pPr>
        <w:numPr>
          <w:ilvl w:val="0"/>
          <w:numId w:val="157"/>
        </w:numPr>
        <w:tabs>
          <w:tab w:val="left" w:pos="0"/>
          <w:tab w:val="left" w:pos="567"/>
        </w:tabs>
        <w:ind w:left="0" w:firstLine="0"/>
        <w:rPr>
          <w:rFonts w:cs="Times New Roman"/>
          <w:szCs w:val="24"/>
        </w:rPr>
      </w:pPr>
      <w:r w:rsidRPr="00BA4F0F">
        <w:rPr>
          <w:rFonts w:cs="Times New Roman"/>
          <w:szCs w:val="24"/>
        </w:rPr>
        <w:t xml:space="preserve">Исследование проводят только на плесневые (мицелиальные) грибы. </w:t>
      </w:r>
    </w:p>
    <w:p w14:paraId="0248F56B"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Рутинное исследование материала, взятого из носоглотки, ротоглотки, прямой кишки, а также посев мочи в отсутствие признаков поражения не представляет большой клинической ценности. </w:t>
      </w:r>
    </w:p>
    <w:p w14:paraId="43FBBE05" w14:textId="77777777" w:rsidR="00C1188C" w:rsidRPr="00BA4F0F" w:rsidRDefault="00C1188C" w:rsidP="00C1188C">
      <w:pPr>
        <w:pStyle w:val="afe"/>
        <w:ind w:left="0"/>
        <w:rPr>
          <w:rFonts w:cs="Times New Roman"/>
          <w:i/>
          <w:szCs w:val="24"/>
        </w:rPr>
      </w:pPr>
    </w:p>
    <w:p w14:paraId="2BB5AFD8" w14:textId="77777777" w:rsidR="00C1188C" w:rsidRPr="00BA4F0F" w:rsidRDefault="00C1188C" w:rsidP="00C1188C">
      <w:pPr>
        <w:pStyle w:val="afe"/>
        <w:ind w:left="0"/>
        <w:rPr>
          <w:rFonts w:cs="Times New Roman"/>
          <w:i/>
          <w:szCs w:val="24"/>
        </w:rPr>
      </w:pPr>
      <w:r w:rsidRPr="00BA4F0F">
        <w:rPr>
          <w:rFonts w:cs="Times New Roman"/>
          <w:i/>
          <w:szCs w:val="24"/>
        </w:rPr>
        <w:t>Микробиологическое исследование биоптатов кожи</w:t>
      </w:r>
    </w:p>
    <w:p w14:paraId="7427BCC5" w14:textId="77777777" w:rsidR="00C1188C" w:rsidRPr="00BA4F0F" w:rsidRDefault="00C1188C" w:rsidP="000768AC">
      <w:pPr>
        <w:numPr>
          <w:ilvl w:val="0"/>
          <w:numId w:val="134"/>
        </w:numPr>
        <w:tabs>
          <w:tab w:val="left" w:pos="0"/>
          <w:tab w:val="left" w:pos="567"/>
        </w:tabs>
        <w:ind w:left="0" w:firstLine="0"/>
        <w:rPr>
          <w:rFonts w:cs="Times New Roman"/>
          <w:szCs w:val="24"/>
        </w:rPr>
      </w:pPr>
      <w:r w:rsidRPr="00BA4F0F">
        <w:rPr>
          <w:rFonts w:cs="Times New Roman"/>
          <w:szCs w:val="24"/>
        </w:rPr>
        <w:t xml:space="preserve">Показания — наличие септикопиемических очагов (инфильтраты в толще кожи — в дерме — любых размеров, болезненные при пальпации, возникшие при лихорадке) или других образований на коже. </w:t>
      </w:r>
    </w:p>
    <w:p w14:paraId="3381C076" w14:textId="77777777" w:rsidR="00C1188C" w:rsidRPr="00BA4F0F" w:rsidRDefault="00C1188C" w:rsidP="000768AC">
      <w:pPr>
        <w:numPr>
          <w:ilvl w:val="0"/>
          <w:numId w:val="134"/>
        </w:numPr>
        <w:tabs>
          <w:tab w:val="left" w:pos="0"/>
          <w:tab w:val="left" w:pos="567"/>
        </w:tabs>
        <w:ind w:left="0" w:firstLine="0"/>
        <w:rPr>
          <w:rFonts w:cs="Times New Roman"/>
          <w:szCs w:val="24"/>
        </w:rPr>
      </w:pPr>
      <w:r w:rsidRPr="00BA4F0F">
        <w:rPr>
          <w:rFonts w:cs="Times New Roman"/>
          <w:szCs w:val="24"/>
        </w:rPr>
        <w:t xml:space="preserve">Проводят биопсию тех образований, давность которых составляет 1—2 суток. Биопсию проводят с захватом дермы. </w:t>
      </w:r>
    </w:p>
    <w:p w14:paraId="13C1421E" w14:textId="77777777" w:rsidR="00C1188C" w:rsidRPr="00BA4F0F" w:rsidRDefault="00C1188C" w:rsidP="000768AC">
      <w:pPr>
        <w:numPr>
          <w:ilvl w:val="0"/>
          <w:numId w:val="134"/>
        </w:numPr>
        <w:tabs>
          <w:tab w:val="left" w:pos="0"/>
          <w:tab w:val="left" w:pos="567"/>
        </w:tabs>
        <w:ind w:left="0" w:firstLine="0"/>
        <w:rPr>
          <w:rFonts w:cs="Times New Roman"/>
          <w:szCs w:val="24"/>
        </w:rPr>
      </w:pPr>
      <w:r w:rsidRPr="00BA4F0F">
        <w:rPr>
          <w:rFonts w:cs="Times New Roman"/>
          <w:szCs w:val="24"/>
        </w:rPr>
        <w:t xml:space="preserve">Проводят гистологическое и микробиологическое исследование на наличие бактерий, включая микобактерии, и грибов. Кроме культурального исследования проводят микроскопию всех образцов (окраска по Граму, Цилю— Нильсену, калькофлюором белым). </w:t>
      </w:r>
    </w:p>
    <w:p w14:paraId="781224CE" w14:textId="77777777" w:rsidR="00C1188C" w:rsidRPr="00BA4F0F" w:rsidRDefault="00C1188C" w:rsidP="00C1188C">
      <w:pPr>
        <w:pStyle w:val="afe"/>
        <w:ind w:left="0"/>
        <w:rPr>
          <w:rFonts w:cs="Times New Roman"/>
          <w:szCs w:val="24"/>
          <w:u w:val="single"/>
        </w:rPr>
      </w:pPr>
    </w:p>
    <w:p w14:paraId="6B1ADD9B" w14:textId="77777777" w:rsidR="00C1188C" w:rsidRPr="00BA4F0F" w:rsidRDefault="00C1188C" w:rsidP="00C1188C">
      <w:pPr>
        <w:pStyle w:val="afe"/>
        <w:ind w:left="0"/>
        <w:rPr>
          <w:rFonts w:cs="Times New Roman"/>
          <w:b/>
          <w:i/>
          <w:szCs w:val="24"/>
        </w:rPr>
      </w:pPr>
      <w:r w:rsidRPr="00BA4F0F">
        <w:rPr>
          <w:rFonts w:cs="Times New Roman"/>
          <w:b/>
          <w:i/>
          <w:szCs w:val="24"/>
        </w:rPr>
        <w:t>Компьютерная томография легких</w:t>
      </w:r>
    </w:p>
    <w:p w14:paraId="00B47D5F" w14:textId="77777777" w:rsidR="00C1188C" w:rsidRPr="00BA4F0F" w:rsidRDefault="00C1188C" w:rsidP="000768AC">
      <w:pPr>
        <w:numPr>
          <w:ilvl w:val="0"/>
          <w:numId w:val="135"/>
        </w:numPr>
        <w:tabs>
          <w:tab w:val="left" w:pos="0"/>
          <w:tab w:val="left" w:pos="567"/>
        </w:tabs>
        <w:ind w:left="0" w:firstLine="0"/>
        <w:rPr>
          <w:rFonts w:cs="Times New Roman"/>
          <w:szCs w:val="24"/>
        </w:rPr>
      </w:pPr>
      <w:r w:rsidRPr="00BA4F0F">
        <w:rPr>
          <w:rFonts w:cs="Times New Roman"/>
          <w:szCs w:val="24"/>
        </w:rPr>
        <w:t>Показания:</w:t>
      </w:r>
    </w:p>
    <w:p w14:paraId="273A54F1" w14:textId="77777777" w:rsidR="00C1188C" w:rsidRPr="00BA4F0F" w:rsidRDefault="00C1188C" w:rsidP="000768AC">
      <w:pPr>
        <w:numPr>
          <w:ilvl w:val="0"/>
          <w:numId w:val="136"/>
        </w:numPr>
        <w:tabs>
          <w:tab w:val="left" w:pos="0"/>
          <w:tab w:val="left" w:pos="567"/>
        </w:tabs>
        <w:ind w:left="0" w:firstLine="0"/>
        <w:rPr>
          <w:rFonts w:cs="Times New Roman"/>
          <w:szCs w:val="24"/>
        </w:rPr>
      </w:pPr>
      <w:r w:rsidRPr="00BA4F0F">
        <w:rPr>
          <w:rFonts w:cs="Times New Roman"/>
          <w:szCs w:val="24"/>
        </w:rPr>
        <w:t xml:space="preserve">Лихорадка неясной этиологии ≥ 5 дней в период нейтропении при нормальной физикальной картине в легких. </w:t>
      </w:r>
    </w:p>
    <w:p w14:paraId="03D97A92" w14:textId="77777777" w:rsidR="00C1188C" w:rsidRPr="00BA4F0F" w:rsidRDefault="00C1188C" w:rsidP="000768AC">
      <w:pPr>
        <w:numPr>
          <w:ilvl w:val="0"/>
          <w:numId w:val="136"/>
        </w:numPr>
        <w:tabs>
          <w:tab w:val="left" w:pos="0"/>
          <w:tab w:val="left" w:pos="567"/>
        </w:tabs>
        <w:ind w:left="0" w:firstLine="0"/>
        <w:rPr>
          <w:rFonts w:cs="Times New Roman"/>
          <w:szCs w:val="24"/>
        </w:rPr>
      </w:pPr>
      <w:r w:rsidRPr="00BA4F0F">
        <w:rPr>
          <w:rFonts w:cs="Times New Roman"/>
          <w:szCs w:val="24"/>
        </w:rPr>
        <w:t xml:space="preserve">Контроль выявленных изменений в легких (первое контрольное исследование проводят через 7 дней от момента диагностики пневмонии и начала антибактериальной или противогрибковой терапии, далее — по мере необходимости). </w:t>
      </w:r>
    </w:p>
    <w:p w14:paraId="493FE9EC" w14:textId="77777777" w:rsidR="00C1188C" w:rsidRPr="00BA4F0F" w:rsidRDefault="00C1188C" w:rsidP="000768AC">
      <w:pPr>
        <w:numPr>
          <w:ilvl w:val="0"/>
          <w:numId w:val="137"/>
        </w:numPr>
        <w:tabs>
          <w:tab w:val="left" w:pos="0"/>
          <w:tab w:val="left" w:pos="567"/>
        </w:tabs>
        <w:ind w:left="0" w:firstLine="0"/>
        <w:rPr>
          <w:rFonts w:cs="Times New Roman"/>
          <w:szCs w:val="24"/>
        </w:rPr>
      </w:pPr>
      <w:r w:rsidRPr="00BA4F0F">
        <w:rPr>
          <w:rFonts w:cs="Times New Roman"/>
          <w:szCs w:val="24"/>
        </w:rPr>
        <w:t xml:space="preserve">КТ легких следует проводить без предварительной рентгенографии грудной клетки. </w:t>
      </w:r>
    </w:p>
    <w:p w14:paraId="33FDF1BE" w14:textId="77777777" w:rsidR="00C1188C" w:rsidRPr="00BA4F0F" w:rsidRDefault="00C1188C" w:rsidP="000768AC">
      <w:pPr>
        <w:numPr>
          <w:ilvl w:val="0"/>
          <w:numId w:val="137"/>
        </w:numPr>
        <w:tabs>
          <w:tab w:val="left" w:pos="0"/>
          <w:tab w:val="left" w:pos="567"/>
        </w:tabs>
        <w:ind w:left="0" w:firstLine="0"/>
        <w:rPr>
          <w:rFonts w:cs="Times New Roman"/>
          <w:szCs w:val="24"/>
        </w:rPr>
      </w:pPr>
      <w:r w:rsidRPr="00BA4F0F">
        <w:rPr>
          <w:rFonts w:cs="Times New Roman"/>
          <w:szCs w:val="24"/>
        </w:rPr>
        <w:t xml:space="preserve">КТ легких при лихорадке в период нейтропении проводят независимо от аускультативной картины легких. </w:t>
      </w:r>
    </w:p>
    <w:p w14:paraId="302FD081"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Рентгенография органов грудной клетки при нейтропении малоинформативна. С ее помощью нельзя своевременно диагностировать инвазивный аспергиллез, интерстициальные поражения легких (вирусные, грибковые). У больных с нейтропенией этот вид исследования, направленный на поиск инфекционного процесса в легких, необходимо исключить. </w:t>
      </w:r>
    </w:p>
    <w:p w14:paraId="355EAD78" w14:textId="77777777" w:rsidR="00C1188C" w:rsidRPr="00BA4F0F" w:rsidRDefault="00C1188C" w:rsidP="00C1188C">
      <w:pPr>
        <w:pStyle w:val="afe"/>
        <w:ind w:left="0"/>
        <w:rPr>
          <w:rFonts w:cs="Times New Roman"/>
          <w:szCs w:val="24"/>
          <w:u w:val="single"/>
        </w:rPr>
      </w:pPr>
    </w:p>
    <w:p w14:paraId="0C31AED0" w14:textId="77777777" w:rsidR="00C1188C" w:rsidRPr="00BA4F0F" w:rsidRDefault="00C1188C" w:rsidP="00C1188C">
      <w:pPr>
        <w:pStyle w:val="afe"/>
        <w:ind w:left="0"/>
        <w:rPr>
          <w:rFonts w:cs="Times New Roman"/>
          <w:b/>
          <w:i/>
          <w:szCs w:val="24"/>
        </w:rPr>
      </w:pPr>
      <w:r w:rsidRPr="00BA4F0F">
        <w:rPr>
          <w:rFonts w:cs="Times New Roman"/>
          <w:b/>
          <w:i/>
          <w:szCs w:val="24"/>
        </w:rPr>
        <w:t>Бронхоальвеолярный лаваж</w:t>
      </w:r>
    </w:p>
    <w:p w14:paraId="690C0959" w14:textId="77777777" w:rsidR="00C1188C" w:rsidRPr="00BA4F0F" w:rsidRDefault="00C1188C" w:rsidP="000768AC">
      <w:pPr>
        <w:numPr>
          <w:ilvl w:val="0"/>
          <w:numId w:val="138"/>
        </w:numPr>
        <w:tabs>
          <w:tab w:val="left" w:pos="0"/>
          <w:tab w:val="left" w:pos="567"/>
        </w:tabs>
        <w:ind w:left="0" w:firstLine="0"/>
        <w:rPr>
          <w:rFonts w:cs="Times New Roman"/>
          <w:szCs w:val="24"/>
        </w:rPr>
      </w:pPr>
      <w:r w:rsidRPr="00BA4F0F">
        <w:rPr>
          <w:rFonts w:cs="Times New Roman"/>
          <w:szCs w:val="24"/>
        </w:rPr>
        <w:t>Показания: изменения в легких по данным КТ.</w:t>
      </w:r>
    </w:p>
    <w:p w14:paraId="0DCF867C" w14:textId="77777777" w:rsidR="00C1188C" w:rsidRPr="00BA4F0F" w:rsidRDefault="00C1188C" w:rsidP="00C1188C">
      <w:pPr>
        <w:tabs>
          <w:tab w:val="left" w:pos="0"/>
          <w:tab w:val="left" w:pos="567"/>
        </w:tabs>
        <w:rPr>
          <w:rFonts w:cs="Times New Roman"/>
          <w:szCs w:val="24"/>
        </w:rPr>
      </w:pPr>
      <w:r w:rsidRPr="00BA4F0F">
        <w:rPr>
          <w:rFonts w:cs="Times New Roman"/>
          <w:szCs w:val="24"/>
        </w:rPr>
        <w:t>Перечень диагностических тестов:</w:t>
      </w:r>
    </w:p>
    <w:p w14:paraId="6D66ECC8" w14:textId="77777777" w:rsidR="00C1188C" w:rsidRPr="00BA4F0F" w:rsidRDefault="00C1188C" w:rsidP="000768AC">
      <w:pPr>
        <w:numPr>
          <w:ilvl w:val="0"/>
          <w:numId w:val="139"/>
        </w:numPr>
        <w:tabs>
          <w:tab w:val="left" w:pos="0"/>
          <w:tab w:val="left" w:pos="567"/>
        </w:tabs>
        <w:ind w:left="0" w:firstLine="0"/>
        <w:rPr>
          <w:rFonts w:cs="Times New Roman"/>
          <w:szCs w:val="24"/>
        </w:rPr>
      </w:pPr>
      <w:r w:rsidRPr="00BA4F0F">
        <w:rPr>
          <w:rFonts w:cs="Times New Roman"/>
          <w:szCs w:val="24"/>
        </w:rPr>
        <w:t>Исследование жидкости бронхоальвеолярного лаважа (БАЛ):</w:t>
      </w:r>
    </w:p>
    <w:p w14:paraId="2096952B"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Цитология мазков. </w:t>
      </w:r>
    </w:p>
    <w:p w14:paraId="4BE5444C"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Микроскопия мазков (окраска по Граму, Цилю—Нильсену). </w:t>
      </w:r>
    </w:p>
    <w:p w14:paraId="357A01DC"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Флюоресцентная микроскопия на грибы с калькофлуором белым.</w:t>
      </w:r>
    </w:p>
    <w:p w14:paraId="24A61E21"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Микробиологическое исследование (посев) на бактерии, включая нокардии, и грибы (обязательно на мицелиальные — посев на среду Чапека). </w:t>
      </w:r>
    </w:p>
    <w:p w14:paraId="13DE9D3A"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Микробиологическое исследование (посев) на </w:t>
      </w:r>
      <w:r w:rsidRPr="00BA4F0F">
        <w:rPr>
          <w:rFonts w:cs="Times New Roman"/>
          <w:i/>
          <w:szCs w:val="24"/>
          <w:lang w:val="en-US"/>
        </w:rPr>
        <w:t>Legionella</w:t>
      </w:r>
      <w:r w:rsidRPr="00BA4F0F">
        <w:rPr>
          <w:rFonts w:cs="Times New Roman"/>
          <w:i/>
          <w:szCs w:val="24"/>
        </w:rPr>
        <w:t xml:space="preserve"> </w:t>
      </w:r>
      <w:r w:rsidRPr="00BA4F0F">
        <w:rPr>
          <w:rFonts w:cs="Times New Roman"/>
          <w:i/>
          <w:szCs w:val="24"/>
          <w:lang w:val="en-US"/>
        </w:rPr>
        <w:t>spp</w:t>
      </w:r>
      <w:r w:rsidRPr="00BA4F0F">
        <w:rPr>
          <w:rFonts w:cs="Times New Roman"/>
          <w:i/>
          <w:szCs w:val="24"/>
        </w:rPr>
        <w:t>.</w:t>
      </w:r>
      <w:r w:rsidRPr="00BA4F0F">
        <w:rPr>
          <w:rFonts w:cs="Times New Roman"/>
          <w:szCs w:val="24"/>
        </w:rPr>
        <w:t xml:space="preserve"> </w:t>
      </w:r>
    </w:p>
    <w:p w14:paraId="5E426740"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Исследование на микобактерии (ПЦР). </w:t>
      </w:r>
    </w:p>
    <w:p w14:paraId="347FF065" w14:textId="77777777" w:rsidR="00C1188C" w:rsidRPr="00BA4F0F" w:rsidRDefault="00C1188C" w:rsidP="000768AC">
      <w:pPr>
        <w:numPr>
          <w:ilvl w:val="0"/>
          <w:numId w:val="140"/>
        </w:numPr>
        <w:tabs>
          <w:tab w:val="left" w:pos="0"/>
          <w:tab w:val="left" w:pos="567"/>
        </w:tabs>
        <w:ind w:left="0" w:firstLine="0"/>
        <w:rPr>
          <w:rFonts w:cs="Times New Roman"/>
          <w:i/>
          <w:szCs w:val="24"/>
        </w:rPr>
      </w:pPr>
      <w:r w:rsidRPr="00BA4F0F">
        <w:rPr>
          <w:rFonts w:cs="Times New Roman"/>
          <w:szCs w:val="24"/>
        </w:rPr>
        <w:t xml:space="preserve">Флюоресцентная микроскопия на </w:t>
      </w:r>
      <w:r w:rsidRPr="00BA4F0F">
        <w:rPr>
          <w:rFonts w:cs="Times New Roman"/>
          <w:i/>
          <w:szCs w:val="24"/>
        </w:rPr>
        <w:t xml:space="preserve">Pneumocystis jiroveci. </w:t>
      </w:r>
    </w:p>
    <w:p w14:paraId="2B362CFB"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Определение ДНК </w:t>
      </w:r>
      <w:r w:rsidRPr="00BA4F0F">
        <w:rPr>
          <w:rFonts w:cs="Times New Roman"/>
          <w:i/>
          <w:szCs w:val="24"/>
          <w:lang w:val="en-US"/>
        </w:rPr>
        <w:t>Pneumocystis</w:t>
      </w:r>
      <w:r w:rsidRPr="00BA4F0F">
        <w:rPr>
          <w:rFonts w:cs="Times New Roman"/>
          <w:i/>
          <w:szCs w:val="24"/>
        </w:rPr>
        <w:t xml:space="preserve"> </w:t>
      </w:r>
      <w:r w:rsidRPr="00BA4F0F">
        <w:rPr>
          <w:rFonts w:cs="Times New Roman"/>
          <w:i/>
          <w:szCs w:val="24"/>
          <w:lang w:val="en-US"/>
        </w:rPr>
        <w:t>jirovecii</w:t>
      </w:r>
      <w:r w:rsidRPr="00BA4F0F">
        <w:rPr>
          <w:rFonts w:cs="Times New Roman"/>
          <w:szCs w:val="24"/>
        </w:rPr>
        <w:t xml:space="preserve"> (ПЦР).</w:t>
      </w:r>
    </w:p>
    <w:p w14:paraId="58686E4D"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Определение антигена </w:t>
      </w:r>
      <w:r w:rsidRPr="00BA4F0F">
        <w:rPr>
          <w:rFonts w:cs="Times New Roman"/>
          <w:i/>
          <w:szCs w:val="24"/>
        </w:rPr>
        <w:t>Aspergillus</w:t>
      </w:r>
      <w:r w:rsidRPr="00BA4F0F">
        <w:rPr>
          <w:rFonts w:cs="Times New Roman"/>
          <w:szCs w:val="24"/>
        </w:rPr>
        <w:t xml:space="preserve"> (галактоманнан) в жидкости БАЛ.</w:t>
      </w:r>
    </w:p>
    <w:p w14:paraId="395C6700"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Определение антигена </w:t>
      </w:r>
      <w:r w:rsidRPr="00BA4F0F">
        <w:rPr>
          <w:rFonts w:cs="Times New Roman"/>
          <w:i/>
          <w:szCs w:val="24"/>
          <w:lang w:val="en-US"/>
        </w:rPr>
        <w:t>Legionella</w:t>
      </w:r>
      <w:r w:rsidRPr="00BA4F0F">
        <w:rPr>
          <w:rFonts w:cs="Times New Roman"/>
          <w:i/>
          <w:szCs w:val="24"/>
        </w:rPr>
        <w:t xml:space="preserve"> </w:t>
      </w:r>
      <w:r w:rsidRPr="00BA4F0F">
        <w:rPr>
          <w:rFonts w:cs="Times New Roman"/>
          <w:i/>
          <w:szCs w:val="24"/>
          <w:lang w:val="en-US"/>
        </w:rPr>
        <w:t>pneumophilia</w:t>
      </w:r>
      <w:r w:rsidRPr="00BA4F0F">
        <w:rPr>
          <w:rFonts w:cs="Times New Roman"/>
          <w:szCs w:val="24"/>
        </w:rPr>
        <w:t xml:space="preserve"> в моче. </w:t>
      </w:r>
    </w:p>
    <w:p w14:paraId="28E83B7A"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Определение ДНК </w:t>
      </w:r>
      <w:r w:rsidRPr="00BA4F0F">
        <w:rPr>
          <w:rFonts w:cs="Times New Roman"/>
          <w:i/>
          <w:szCs w:val="24"/>
          <w:lang w:val="en-US"/>
        </w:rPr>
        <w:t>Mycoplasma</w:t>
      </w:r>
      <w:r w:rsidRPr="00BA4F0F">
        <w:rPr>
          <w:rFonts w:cs="Times New Roman"/>
          <w:i/>
          <w:szCs w:val="24"/>
        </w:rPr>
        <w:t xml:space="preserve"> </w:t>
      </w:r>
      <w:r w:rsidRPr="00BA4F0F">
        <w:rPr>
          <w:rFonts w:cs="Times New Roman"/>
          <w:i/>
          <w:szCs w:val="24"/>
          <w:lang w:val="en-US"/>
        </w:rPr>
        <w:t>pneumonia</w:t>
      </w:r>
      <w:r w:rsidRPr="00BA4F0F">
        <w:rPr>
          <w:rFonts w:cs="Times New Roman"/>
          <w:i/>
          <w:szCs w:val="24"/>
        </w:rPr>
        <w:t xml:space="preserve">, </w:t>
      </w:r>
      <w:r w:rsidRPr="00BA4F0F">
        <w:rPr>
          <w:rFonts w:cs="Times New Roman"/>
          <w:i/>
          <w:szCs w:val="24"/>
          <w:lang w:val="en-US"/>
        </w:rPr>
        <w:t>Chlamydophila</w:t>
      </w:r>
      <w:r w:rsidRPr="00BA4F0F">
        <w:rPr>
          <w:rFonts w:cs="Times New Roman"/>
          <w:i/>
          <w:szCs w:val="24"/>
        </w:rPr>
        <w:t xml:space="preserve"> </w:t>
      </w:r>
      <w:r w:rsidRPr="00BA4F0F">
        <w:rPr>
          <w:rFonts w:cs="Times New Roman"/>
          <w:i/>
          <w:szCs w:val="24"/>
          <w:lang w:val="en-US"/>
        </w:rPr>
        <w:t>pneumoniae</w:t>
      </w:r>
      <w:r w:rsidRPr="00BA4F0F">
        <w:rPr>
          <w:rFonts w:cs="Times New Roman"/>
          <w:szCs w:val="24"/>
        </w:rPr>
        <w:t xml:space="preserve"> в жидкости БАЛ. </w:t>
      </w:r>
    </w:p>
    <w:p w14:paraId="703E6DF1" w14:textId="77777777" w:rsidR="00C1188C" w:rsidRPr="00BA4F0F" w:rsidRDefault="00C1188C" w:rsidP="000768AC">
      <w:pPr>
        <w:numPr>
          <w:ilvl w:val="0"/>
          <w:numId w:val="140"/>
        </w:numPr>
        <w:tabs>
          <w:tab w:val="left" w:pos="0"/>
          <w:tab w:val="left" w:pos="567"/>
        </w:tabs>
        <w:ind w:left="0" w:firstLine="0"/>
        <w:rPr>
          <w:rFonts w:cs="Times New Roman"/>
          <w:szCs w:val="24"/>
        </w:rPr>
      </w:pPr>
      <w:r w:rsidRPr="00BA4F0F">
        <w:rPr>
          <w:rFonts w:cs="Times New Roman"/>
          <w:szCs w:val="24"/>
        </w:rPr>
        <w:t xml:space="preserve">Определение ДНК вирусов (ЦМВ, вирусов гриппа, парагриппа, респираторного синтициального вируса, короновирусов, метапнемовируса человека, герпесвируса человека 6 типа) в жидкости БАЛ (ПЦР). </w:t>
      </w:r>
    </w:p>
    <w:p w14:paraId="260CA05A" w14:textId="77777777" w:rsidR="00C1188C" w:rsidRPr="00BA4F0F" w:rsidRDefault="00C1188C" w:rsidP="00C1188C">
      <w:pPr>
        <w:pStyle w:val="afe"/>
        <w:ind w:left="0"/>
        <w:rPr>
          <w:rFonts w:cs="Times New Roman"/>
          <w:szCs w:val="24"/>
          <w:u w:val="single"/>
        </w:rPr>
      </w:pPr>
    </w:p>
    <w:p w14:paraId="4D706274" w14:textId="77777777" w:rsidR="00C1188C" w:rsidRPr="00BA4F0F" w:rsidRDefault="00C1188C" w:rsidP="00C1188C">
      <w:pPr>
        <w:pStyle w:val="afe"/>
        <w:ind w:left="0"/>
        <w:rPr>
          <w:rFonts w:cs="Times New Roman"/>
          <w:b/>
          <w:i/>
          <w:szCs w:val="24"/>
        </w:rPr>
      </w:pPr>
      <w:r w:rsidRPr="00BA4F0F">
        <w:rPr>
          <w:rFonts w:cs="Times New Roman"/>
          <w:b/>
          <w:i/>
          <w:szCs w:val="24"/>
        </w:rPr>
        <w:t>Определение антигенов грибов</w:t>
      </w:r>
    </w:p>
    <w:p w14:paraId="6B7DDA19" w14:textId="77777777" w:rsidR="00C1188C" w:rsidRPr="00BA4F0F" w:rsidRDefault="00C1188C" w:rsidP="00C1188C">
      <w:pPr>
        <w:pStyle w:val="afe"/>
        <w:ind w:left="0"/>
        <w:rPr>
          <w:rFonts w:cs="Times New Roman"/>
          <w:i/>
          <w:szCs w:val="24"/>
        </w:rPr>
      </w:pPr>
      <w:r w:rsidRPr="00BA4F0F">
        <w:rPr>
          <w:rFonts w:cs="Times New Roman"/>
          <w:i/>
          <w:szCs w:val="24"/>
        </w:rPr>
        <w:t xml:space="preserve">Антиген Aspergillus (галактоманнан) </w:t>
      </w:r>
    </w:p>
    <w:p w14:paraId="5624E8BE" w14:textId="77777777" w:rsidR="00C1188C" w:rsidRPr="00BA4F0F" w:rsidRDefault="00C1188C" w:rsidP="000768AC">
      <w:pPr>
        <w:numPr>
          <w:ilvl w:val="0"/>
          <w:numId w:val="141"/>
        </w:numPr>
        <w:tabs>
          <w:tab w:val="left" w:pos="0"/>
          <w:tab w:val="left" w:pos="567"/>
        </w:tabs>
        <w:ind w:left="0" w:firstLine="0"/>
        <w:rPr>
          <w:rFonts w:cs="Times New Roman"/>
          <w:szCs w:val="24"/>
        </w:rPr>
      </w:pPr>
      <w:r w:rsidRPr="00BA4F0F">
        <w:rPr>
          <w:rFonts w:cs="Times New Roman"/>
          <w:szCs w:val="24"/>
        </w:rPr>
        <w:t xml:space="preserve">Обнаружение антигена </w:t>
      </w:r>
      <w:r w:rsidRPr="00BA4F0F">
        <w:rPr>
          <w:rFonts w:cs="Times New Roman"/>
          <w:i/>
          <w:szCs w:val="24"/>
        </w:rPr>
        <w:t>Aspergillus</w:t>
      </w:r>
      <w:r w:rsidRPr="00BA4F0F">
        <w:rPr>
          <w:rFonts w:cs="Times New Roman"/>
          <w:szCs w:val="24"/>
        </w:rPr>
        <w:t xml:space="preserve"> включено в критерии диагностики инвазивного аспергиллеза.</w:t>
      </w:r>
    </w:p>
    <w:p w14:paraId="61019E02" w14:textId="77777777" w:rsidR="00C1188C" w:rsidRPr="00BA4F0F" w:rsidRDefault="00C1188C" w:rsidP="000768AC">
      <w:pPr>
        <w:numPr>
          <w:ilvl w:val="0"/>
          <w:numId w:val="141"/>
        </w:numPr>
        <w:tabs>
          <w:tab w:val="left" w:pos="0"/>
          <w:tab w:val="left" w:pos="567"/>
        </w:tabs>
        <w:ind w:left="0" w:firstLine="0"/>
        <w:rPr>
          <w:rFonts w:cs="Times New Roman"/>
          <w:szCs w:val="24"/>
        </w:rPr>
      </w:pPr>
      <w:r w:rsidRPr="00BA4F0F">
        <w:rPr>
          <w:rFonts w:cs="Times New Roman"/>
          <w:szCs w:val="24"/>
        </w:rPr>
        <w:t xml:space="preserve">Образцы для исследования: </w:t>
      </w:r>
    </w:p>
    <w:p w14:paraId="16179C87" w14:textId="77777777" w:rsidR="00C1188C" w:rsidRPr="00BA4F0F" w:rsidRDefault="00C1188C" w:rsidP="000768AC">
      <w:pPr>
        <w:numPr>
          <w:ilvl w:val="0"/>
          <w:numId w:val="142"/>
        </w:numPr>
        <w:tabs>
          <w:tab w:val="left" w:pos="0"/>
          <w:tab w:val="left" w:pos="567"/>
        </w:tabs>
        <w:ind w:left="0" w:firstLine="0"/>
        <w:rPr>
          <w:rFonts w:cs="Times New Roman"/>
          <w:szCs w:val="24"/>
        </w:rPr>
      </w:pPr>
      <w:r w:rsidRPr="00BA4F0F">
        <w:rPr>
          <w:rFonts w:cs="Times New Roman"/>
          <w:szCs w:val="24"/>
        </w:rPr>
        <w:t xml:space="preserve">кровь; </w:t>
      </w:r>
    </w:p>
    <w:p w14:paraId="22DCACCE" w14:textId="77777777" w:rsidR="00C1188C" w:rsidRPr="00BA4F0F" w:rsidRDefault="00C1188C" w:rsidP="000768AC">
      <w:pPr>
        <w:numPr>
          <w:ilvl w:val="0"/>
          <w:numId w:val="142"/>
        </w:numPr>
        <w:tabs>
          <w:tab w:val="left" w:pos="0"/>
          <w:tab w:val="left" w:pos="567"/>
        </w:tabs>
        <w:ind w:left="0" w:firstLine="0"/>
        <w:rPr>
          <w:rFonts w:cs="Times New Roman"/>
          <w:szCs w:val="24"/>
        </w:rPr>
      </w:pPr>
      <w:r w:rsidRPr="00BA4F0F">
        <w:rPr>
          <w:rFonts w:cs="Times New Roman"/>
          <w:szCs w:val="24"/>
        </w:rPr>
        <w:t xml:space="preserve">жидкость БАЛ; </w:t>
      </w:r>
    </w:p>
    <w:p w14:paraId="06DE1270" w14:textId="77777777" w:rsidR="00C1188C" w:rsidRPr="00BA4F0F" w:rsidRDefault="00C1188C" w:rsidP="000768AC">
      <w:pPr>
        <w:numPr>
          <w:ilvl w:val="0"/>
          <w:numId w:val="142"/>
        </w:numPr>
        <w:tabs>
          <w:tab w:val="left" w:pos="0"/>
          <w:tab w:val="left" w:pos="567"/>
        </w:tabs>
        <w:ind w:left="0" w:firstLine="0"/>
        <w:rPr>
          <w:rFonts w:cs="Times New Roman"/>
          <w:szCs w:val="24"/>
        </w:rPr>
      </w:pPr>
      <w:r w:rsidRPr="00BA4F0F">
        <w:rPr>
          <w:rFonts w:cs="Times New Roman"/>
          <w:szCs w:val="24"/>
        </w:rPr>
        <w:t xml:space="preserve">СМЖ. </w:t>
      </w:r>
    </w:p>
    <w:p w14:paraId="1075FDA0" w14:textId="77777777" w:rsidR="00C1188C" w:rsidRPr="00BA4F0F" w:rsidRDefault="00C1188C" w:rsidP="000768AC">
      <w:pPr>
        <w:numPr>
          <w:ilvl w:val="0"/>
          <w:numId w:val="143"/>
        </w:numPr>
        <w:tabs>
          <w:tab w:val="left" w:pos="0"/>
          <w:tab w:val="left" w:pos="567"/>
        </w:tabs>
        <w:ind w:left="0" w:firstLine="0"/>
        <w:rPr>
          <w:rFonts w:cs="Times New Roman"/>
          <w:szCs w:val="24"/>
        </w:rPr>
      </w:pPr>
      <w:r w:rsidRPr="00BA4F0F">
        <w:rPr>
          <w:rFonts w:cs="Times New Roman"/>
          <w:szCs w:val="24"/>
        </w:rPr>
        <w:t xml:space="preserve">Результат определения антигена </w:t>
      </w:r>
      <w:r w:rsidRPr="00BA4F0F">
        <w:rPr>
          <w:rFonts w:cs="Times New Roman"/>
          <w:i/>
          <w:szCs w:val="24"/>
        </w:rPr>
        <w:t xml:space="preserve">Aspergillus </w:t>
      </w:r>
      <w:r w:rsidRPr="00BA4F0F">
        <w:rPr>
          <w:rFonts w:cs="Times New Roman"/>
          <w:szCs w:val="24"/>
        </w:rPr>
        <w:t>считают положительным в крови при индексе оптической плотности ≥ 0,5, в жидкости БАЛ ≥ 1,0, в СМЖ ≥ 0,5.</w:t>
      </w:r>
    </w:p>
    <w:p w14:paraId="198F99AD" w14:textId="77777777" w:rsidR="00C1188C" w:rsidRPr="00BA4F0F" w:rsidRDefault="00C1188C" w:rsidP="000768AC">
      <w:pPr>
        <w:numPr>
          <w:ilvl w:val="0"/>
          <w:numId w:val="143"/>
        </w:numPr>
        <w:tabs>
          <w:tab w:val="left" w:pos="0"/>
          <w:tab w:val="left" w:pos="567"/>
        </w:tabs>
        <w:ind w:left="0" w:firstLine="0"/>
        <w:rPr>
          <w:rFonts w:cs="Times New Roman"/>
          <w:szCs w:val="24"/>
        </w:rPr>
      </w:pPr>
      <w:r w:rsidRPr="00BA4F0F">
        <w:rPr>
          <w:rFonts w:cs="Times New Roman"/>
          <w:szCs w:val="24"/>
        </w:rPr>
        <w:t xml:space="preserve">Проводят определение антигена </w:t>
      </w:r>
      <w:r w:rsidRPr="00BA4F0F">
        <w:rPr>
          <w:rFonts w:cs="Times New Roman"/>
          <w:i/>
          <w:szCs w:val="24"/>
        </w:rPr>
        <w:t>Aspergillus</w:t>
      </w:r>
      <w:r w:rsidRPr="00BA4F0F">
        <w:rPr>
          <w:rFonts w:cs="Times New Roman"/>
          <w:szCs w:val="24"/>
        </w:rPr>
        <w:t xml:space="preserve"> у больных с клиническими признаками (или факторами риска) возможного инвазивного микоза.</w:t>
      </w:r>
    </w:p>
    <w:p w14:paraId="35073E51" w14:textId="77777777" w:rsidR="00C1188C" w:rsidRPr="00BA4F0F" w:rsidRDefault="00C1188C" w:rsidP="00C1188C">
      <w:pPr>
        <w:tabs>
          <w:tab w:val="left" w:pos="0"/>
          <w:tab w:val="left" w:pos="567"/>
        </w:tabs>
        <w:jc w:val="center"/>
        <w:rPr>
          <w:rFonts w:cs="Times New Roman"/>
          <w:b/>
          <w:szCs w:val="24"/>
        </w:rPr>
      </w:pPr>
    </w:p>
    <w:p w14:paraId="71EE734D" w14:textId="77777777" w:rsidR="00C1188C" w:rsidRPr="00BA4F0F" w:rsidRDefault="00C1188C" w:rsidP="00C1188C">
      <w:pPr>
        <w:pStyle w:val="afe"/>
        <w:ind w:left="0"/>
        <w:rPr>
          <w:rFonts w:cs="Times New Roman"/>
          <w:i/>
          <w:szCs w:val="24"/>
        </w:rPr>
      </w:pPr>
      <w:r w:rsidRPr="00BA4F0F">
        <w:rPr>
          <w:rFonts w:cs="Times New Roman"/>
          <w:i/>
          <w:szCs w:val="24"/>
        </w:rPr>
        <w:t>Определение антигена Aspergillus</w:t>
      </w:r>
    </w:p>
    <w:p w14:paraId="63CA54EB" w14:textId="77777777" w:rsidR="00C1188C" w:rsidRPr="00BA4F0F" w:rsidRDefault="00C1188C" w:rsidP="000768AC">
      <w:pPr>
        <w:numPr>
          <w:ilvl w:val="0"/>
          <w:numId w:val="144"/>
        </w:numPr>
        <w:tabs>
          <w:tab w:val="left" w:pos="0"/>
          <w:tab w:val="left" w:pos="567"/>
        </w:tabs>
        <w:ind w:left="0" w:firstLine="0"/>
        <w:rPr>
          <w:rFonts w:cs="Times New Roman"/>
          <w:szCs w:val="24"/>
        </w:rPr>
      </w:pPr>
      <w:r w:rsidRPr="00BA4F0F">
        <w:rPr>
          <w:rFonts w:cs="Times New Roman"/>
          <w:szCs w:val="24"/>
        </w:rPr>
        <w:t xml:space="preserve">Определение антигена Aspergillus (галактоманнана) показано больным лимфомой, множественной миеломой, реципиентам аутологичных стволовых клеток крови при подозрении у них инвазивного аспергиллеза на основании изменений в легких на КТ и наличия факторов риска, индуцирующих развитие инвазивного аспергиллеза (нейтропения от 10 дней и более, прием глюкокортикоидов, терапия флударабином или алемтузумабом). </w:t>
      </w:r>
    </w:p>
    <w:p w14:paraId="6428B6A0" w14:textId="77777777" w:rsidR="00C1188C" w:rsidRPr="00BA4F0F" w:rsidRDefault="00C1188C" w:rsidP="000768AC">
      <w:pPr>
        <w:numPr>
          <w:ilvl w:val="0"/>
          <w:numId w:val="144"/>
        </w:numPr>
        <w:tabs>
          <w:tab w:val="left" w:pos="0"/>
          <w:tab w:val="left" w:pos="567"/>
        </w:tabs>
        <w:ind w:left="0" w:firstLine="0"/>
        <w:rPr>
          <w:rFonts w:cs="Times New Roman"/>
          <w:szCs w:val="24"/>
        </w:rPr>
      </w:pPr>
      <w:r w:rsidRPr="00BA4F0F">
        <w:rPr>
          <w:rFonts w:cs="Times New Roman"/>
          <w:szCs w:val="24"/>
        </w:rPr>
        <w:t xml:space="preserve">В этих случаях проводят однократное определение антигена </w:t>
      </w:r>
      <w:r w:rsidRPr="00BA4F0F">
        <w:rPr>
          <w:rFonts w:cs="Times New Roman"/>
          <w:i/>
          <w:szCs w:val="24"/>
        </w:rPr>
        <w:t>Aspergillus</w:t>
      </w:r>
      <w:r w:rsidRPr="00BA4F0F">
        <w:rPr>
          <w:rFonts w:cs="Times New Roman"/>
          <w:szCs w:val="24"/>
        </w:rPr>
        <w:t xml:space="preserve"> в жидкости БАЛ или, если у больного нейтропения (гранулоцитов &lt; 0,5 × 10</w:t>
      </w:r>
      <w:r w:rsidRPr="00BA4F0F">
        <w:rPr>
          <w:rFonts w:cs="Times New Roman"/>
          <w:szCs w:val="24"/>
          <w:vertAlign w:val="superscript"/>
        </w:rPr>
        <w:t>9</w:t>
      </w:r>
      <w:r w:rsidRPr="00BA4F0F">
        <w:rPr>
          <w:rFonts w:cs="Times New Roman"/>
          <w:szCs w:val="24"/>
        </w:rPr>
        <w:t xml:space="preserve"> /л), определяют антиген </w:t>
      </w:r>
      <w:r w:rsidRPr="00BA4F0F">
        <w:rPr>
          <w:rFonts w:cs="Times New Roman"/>
          <w:i/>
          <w:szCs w:val="24"/>
        </w:rPr>
        <w:t>Aspergillus</w:t>
      </w:r>
      <w:r w:rsidRPr="00BA4F0F">
        <w:rPr>
          <w:rFonts w:cs="Times New Roman"/>
          <w:szCs w:val="24"/>
        </w:rPr>
        <w:t xml:space="preserve"> в 2-3 образцах крови (не в одном!), взятых в течение суток или течение 2 дней.</w:t>
      </w:r>
    </w:p>
    <w:p w14:paraId="08F3109D" w14:textId="77777777" w:rsidR="00C1188C" w:rsidRPr="00BA4F0F" w:rsidRDefault="00C1188C" w:rsidP="000768AC">
      <w:pPr>
        <w:numPr>
          <w:ilvl w:val="0"/>
          <w:numId w:val="144"/>
        </w:numPr>
        <w:tabs>
          <w:tab w:val="left" w:pos="0"/>
          <w:tab w:val="left" w:pos="567"/>
        </w:tabs>
        <w:ind w:left="0" w:firstLine="0"/>
        <w:rPr>
          <w:rFonts w:cs="Times New Roman"/>
          <w:b/>
          <w:szCs w:val="24"/>
        </w:rPr>
      </w:pPr>
      <w:r w:rsidRPr="00BA4F0F">
        <w:rPr>
          <w:rFonts w:cs="Times New Roman"/>
          <w:szCs w:val="24"/>
        </w:rPr>
        <w:t xml:space="preserve">Исследование антигена </w:t>
      </w:r>
      <w:r w:rsidRPr="00BA4F0F">
        <w:rPr>
          <w:rFonts w:cs="Times New Roman"/>
          <w:i/>
          <w:szCs w:val="24"/>
        </w:rPr>
        <w:t>Aspergillus</w:t>
      </w:r>
      <w:r w:rsidRPr="00BA4F0F">
        <w:rPr>
          <w:rFonts w:cs="Times New Roman"/>
          <w:szCs w:val="24"/>
        </w:rPr>
        <w:t xml:space="preserve"> проводят до назначения противогрибковых препаратов, активных в отношении мицелиальных грибов. </w:t>
      </w:r>
    </w:p>
    <w:p w14:paraId="6FD10D81"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У категории больных (при лимфомах, множественной миеломе, у реципиентов аутологичных стволовых клеток крови) вероятность развития инвазивного аспергиллеза составляет 1—5%. </w:t>
      </w:r>
    </w:p>
    <w:p w14:paraId="42001017" w14:textId="77777777" w:rsidR="00C1188C" w:rsidRPr="00BA4F0F" w:rsidRDefault="00C1188C" w:rsidP="00C1188C">
      <w:pPr>
        <w:tabs>
          <w:tab w:val="left" w:pos="0"/>
          <w:tab w:val="left" w:pos="567"/>
        </w:tabs>
        <w:jc w:val="center"/>
        <w:rPr>
          <w:rFonts w:cs="Times New Roman"/>
          <w:b/>
          <w:szCs w:val="24"/>
        </w:rPr>
      </w:pPr>
    </w:p>
    <w:p w14:paraId="17761082" w14:textId="77777777" w:rsidR="00C1188C" w:rsidRPr="00BA4F0F" w:rsidRDefault="00C1188C" w:rsidP="00C1188C">
      <w:pPr>
        <w:pStyle w:val="afe"/>
        <w:ind w:left="0"/>
        <w:rPr>
          <w:rFonts w:cs="Times New Roman"/>
          <w:i/>
          <w:szCs w:val="24"/>
        </w:rPr>
      </w:pPr>
      <w:r w:rsidRPr="00BA4F0F">
        <w:rPr>
          <w:rFonts w:cs="Times New Roman"/>
          <w:i/>
          <w:szCs w:val="24"/>
        </w:rPr>
        <w:t>Антиген Candida (маннан) и антитела к Candida (антиманнан)</w:t>
      </w:r>
    </w:p>
    <w:p w14:paraId="27641003" w14:textId="77777777" w:rsidR="00C1188C" w:rsidRPr="00BA4F0F" w:rsidRDefault="00C1188C" w:rsidP="000768AC">
      <w:pPr>
        <w:numPr>
          <w:ilvl w:val="0"/>
          <w:numId w:val="145"/>
        </w:numPr>
        <w:tabs>
          <w:tab w:val="left" w:pos="0"/>
          <w:tab w:val="left" w:pos="567"/>
        </w:tabs>
        <w:ind w:left="0" w:firstLine="0"/>
        <w:rPr>
          <w:rFonts w:cs="Times New Roman"/>
          <w:szCs w:val="24"/>
        </w:rPr>
      </w:pPr>
      <w:r w:rsidRPr="00BA4F0F">
        <w:rPr>
          <w:rFonts w:cs="Times New Roman"/>
          <w:szCs w:val="24"/>
        </w:rPr>
        <w:t xml:space="preserve">Обнаружение антигена </w:t>
      </w:r>
      <w:r w:rsidRPr="00BA4F0F">
        <w:rPr>
          <w:rFonts w:cs="Times New Roman"/>
          <w:i/>
          <w:szCs w:val="24"/>
        </w:rPr>
        <w:t>Candida</w:t>
      </w:r>
      <w:r w:rsidRPr="00BA4F0F">
        <w:rPr>
          <w:rFonts w:cs="Times New Roman"/>
          <w:szCs w:val="24"/>
        </w:rPr>
        <w:t xml:space="preserve"> и антител к </w:t>
      </w:r>
      <w:r w:rsidRPr="00BA4F0F">
        <w:rPr>
          <w:rFonts w:cs="Times New Roman"/>
          <w:i/>
          <w:szCs w:val="24"/>
        </w:rPr>
        <w:t>Candida</w:t>
      </w:r>
      <w:r w:rsidRPr="00BA4F0F">
        <w:rPr>
          <w:rFonts w:cs="Times New Roman"/>
          <w:szCs w:val="24"/>
        </w:rPr>
        <w:t xml:space="preserve"> не включено в критерии диагностики инвазивного кандидоза. </w:t>
      </w:r>
    </w:p>
    <w:p w14:paraId="44C71330" w14:textId="77777777" w:rsidR="00C1188C" w:rsidRPr="00BA4F0F" w:rsidRDefault="00C1188C" w:rsidP="000768AC">
      <w:pPr>
        <w:numPr>
          <w:ilvl w:val="0"/>
          <w:numId w:val="145"/>
        </w:numPr>
        <w:tabs>
          <w:tab w:val="left" w:pos="0"/>
          <w:tab w:val="left" w:pos="567"/>
        </w:tabs>
        <w:ind w:left="0" w:firstLine="0"/>
        <w:rPr>
          <w:rFonts w:cs="Times New Roman"/>
          <w:szCs w:val="24"/>
        </w:rPr>
      </w:pPr>
      <w:r w:rsidRPr="00BA4F0F">
        <w:rPr>
          <w:rFonts w:cs="Times New Roman"/>
          <w:szCs w:val="24"/>
        </w:rPr>
        <w:t xml:space="preserve">Образец для исследования — кровь. </w:t>
      </w:r>
    </w:p>
    <w:p w14:paraId="2437F8F2" w14:textId="77777777" w:rsidR="00C1188C" w:rsidRPr="00BA4F0F" w:rsidRDefault="00C1188C" w:rsidP="000768AC">
      <w:pPr>
        <w:numPr>
          <w:ilvl w:val="0"/>
          <w:numId w:val="145"/>
        </w:numPr>
        <w:tabs>
          <w:tab w:val="left" w:pos="0"/>
          <w:tab w:val="left" w:pos="567"/>
        </w:tabs>
        <w:ind w:left="0" w:firstLine="0"/>
        <w:rPr>
          <w:rFonts w:cs="Times New Roman"/>
          <w:szCs w:val="24"/>
        </w:rPr>
      </w:pPr>
      <w:r w:rsidRPr="00BA4F0F">
        <w:rPr>
          <w:rFonts w:cs="Times New Roman"/>
          <w:szCs w:val="24"/>
        </w:rPr>
        <w:t xml:space="preserve">Результат определения считается положительным при следующих значениях: </w:t>
      </w:r>
    </w:p>
    <w:p w14:paraId="125633F5" w14:textId="77777777" w:rsidR="00C1188C" w:rsidRPr="00BA4F0F" w:rsidRDefault="00C1188C" w:rsidP="000768AC">
      <w:pPr>
        <w:numPr>
          <w:ilvl w:val="0"/>
          <w:numId w:val="146"/>
        </w:numPr>
        <w:tabs>
          <w:tab w:val="left" w:pos="0"/>
          <w:tab w:val="left" w:pos="567"/>
        </w:tabs>
        <w:ind w:left="0" w:firstLine="0"/>
        <w:rPr>
          <w:rFonts w:cs="Times New Roman"/>
          <w:szCs w:val="24"/>
        </w:rPr>
      </w:pPr>
      <w:r w:rsidRPr="00BA4F0F">
        <w:rPr>
          <w:rFonts w:cs="Times New Roman"/>
          <w:szCs w:val="24"/>
        </w:rPr>
        <w:t xml:space="preserve">антиген </w:t>
      </w:r>
      <w:r w:rsidRPr="00BA4F0F">
        <w:rPr>
          <w:rFonts w:cs="Times New Roman"/>
          <w:i/>
          <w:szCs w:val="24"/>
        </w:rPr>
        <w:t>Candida</w:t>
      </w:r>
      <w:r w:rsidRPr="00BA4F0F">
        <w:rPr>
          <w:rFonts w:cs="Times New Roman"/>
          <w:szCs w:val="24"/>
        </w:rPr>
        <w:t xml:space="preserve"> (маннан): ≥ 125 пг/мл; </w:t>
      </w:r>
    </w:p>
    <w:p w14:paraId="101401E4" w14:textId="77777777" w:rsidR="00C1188C" w:rsidRPr="00BA4F0F" w:rsidRDefault="00C1188C" w:rsidP="000768AC">
      <w:pPr>
        <w:numPr>
          <w:ilvl w:val="0"/>
          <w:numId w:val="146"/>
        </w:numPr>
        <w:tabs>
          <w:tab w:val="left" w:pos="0"/>
          <w:tab w:val="left" w:pos="567"/>
        </w:tabs>
        <w:ind w:left="0" w:firstLine="0"/>
        <w:rPr>
          <w:rFonts w:cs="Times New Roman"/>
          <w:szCs w:val="24"/>
        </w:rPr>
      </w:pPr>
      <w:r w:rsidRPr="00BA4F0F">
        <w:rPr>
          <w:rFonts w:cs="Times New Roman"/>
          <w:szCs w:val="24"/>
        </w:rPr>
        <w:t xml:space="preserve">антитела к </w:t>
      </w:r>
      <w:r w:rsidRPr="00BA4F0F">
        <w:rPr>
          <w:rFonts w:cs="Times New Roman"/>
          <w:i/>
          <w:szCs w:val="24"/>
        </w:rPr>
        <w:t>Candida</w:t>
      </w:r>
      <w:r w:rsidRPr="00BA4F0F">
        <w:rPr>
          <w:rFonts w:cs="Times New Roman"/>
          <w:szCs w:val="24"/>
        </w:rPr>
        <w:t xml:space="preserve"> (антиманнан): ≥ 10 ME. </w:t>
      </w:r>
    </w:p>
    <w:p w14:paraId="6A995108" w14:textId="77777777" w:rsidR="00C1188C" w:rsidRPr="00BA4F0F" w:rsidRDefault="00C1188C" w:rsidP="000768AC">
      <w:pPr>
        <w:numPr>
          <w:ilvl w:val="0"/>
          <w:numId w:val="145"/>
        </w:numPr>
        <w:tabs>
          <w:tab w:val="left" w:pos="0"/>
          <w:tab w:val="left" w:pos="567"/>
        </w:tabs>
        <w:ind w:left="0" w:firstLine="0"/>
        <w:rPr>
          <w:rFonts w:cs="Times New Roman"/>
          <w:szCs w:val="24"/>
        </w:rPr>
      </w:pPr>
      <w:r w:rsidRPr="00BA4F0F">
        <w:rPr>
          <w:rFonts w:cs="Times New Roman"/>
          <w:szCs w:val="24"/>
        </w:rPr>
        <w:t xml:space="preserve">Показания к проведению исследования: </w:t>
      </w:r>
    </w:p>
    <w:p w14:paraId="16C68B82" w14:textId="77777777" w:rsidR="00C1188C" w:rsidRPr="00BA4F0F" w:rsidRDefault="00C1188C" w:rsidP="000768AC">
      <w:pPr>
        <w:numPr>
          <w:ilvl w:val="0"/>
          <w:numId w:val="147"/>
        </w:numPr>
        <w:tabs>
          <w:tab w:val="left" w:pos="0"/>
          <w:tab w:val="left" w:pos="567"/>
        </w:tabs>
        <w:ind w:left="0" w:firstLine="0"/>
        <w:rPr>
          <w:rFonts w:cs="Times New Roman"/>
          <w:szCs w:val="24"/>
        </w:rPr>
      </w:pPr>
      <w:r w:rsidRPr="00BA4F0F">
        <w:rPr>
          <w:rFonts w:cs="Times New Roman"/>
          <w:szCs w:val="24"/>
        </w:rPr>
        <w:t xml:space="preserve">множественные очаги в печени и/или селезенке (подозрение на гепатолиенальный кандидоз); </w:t>
      </w:r>
    </w:p>
    <w:p w14:paraId="59E2A768" w14:textId="77777777" w:rsidR="00C1188C" w:rsidRPr="00BA4F0F" w:rsidRDefault="00C1188C" w:rsidP="000768AC">
      <w:pPr>
        <w:numPr>
          <w:ilvl w:val="0"/>
          <w:numId w:val="147"/>
        </w:numPr>
        <w:tabs>
          <w:tab w:val="left" w:pos="0"/>
          <w:tab w:val="left" w:pos="567"/>
        </w:tabs>
        <w:ind w:left="0" w:firstLine="0"/>
        <w:rPr>
          <w:rFonts w:cs="Times New Roman"/>
          <w:szCs w:val="24"/>
        </w:rPr>
      </w:pPr>
      <w:r w:rsidRPr="00BA4F0F">
        <w:rPr>
          <w:rFonts w:cs="Times New Roman"/>
          <w:szCs w:val="24"/>
        </w:rPr>
        <w:t xml:space="preserve">предполагаемый инвазивный кандидоз. </w:t>
      </w:r>
    </w:p>
    <w:p w14:paraId="673D2EEC"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Чувствительность и специфичность исследования составляют около 50—60%. Интерпретация результатов должна быть осторожной, поскольку высока частота ложноположительных результатов. У больных с колонизацией слизистых оболочек кандидами выявляются положительные результаты определения антиманнана. </w:t>
      </w:r>
    </w:p>
    <w:p w14:paraId="313E1463" w14:textId="77777777" w:rsidR="00C1188C" w:rsidRPr="00BA4F0F" w:rsidRDefault="00C1188C" w:rsidP="00C1188C">
      <w:pPr>
        <w:tabs>
          <w:tab w:val="left" w:pos="0"/>
          <w:tab w:val="left" w:pos="567"/>
        </w:tabs>
        <w:jc w:val="center"/>
        <w:rPr>
          <w:rFonts w:cs="Times New Roman"/>
          <w:b/>
          <w:szCs w:val="24"/>
        </w:rPr>
      </w:pPr>
    </w:p>
    <w:p w14:paraId="35A0EF16" w14:textId="77777777" w:rsidR="00C1188C" w:rsidRPr="00BA4F0F" w:rsidRDefault="00C1188C" w:rsidP="00C1188C">
      <w:pPr>
        <w:pStyle w:val="afe"/>
        <w:ind w:left="0"/>
        <w:rPr>
          <w:rFonts w:cs="Times New Roman"/>
          <w:i/>
          <w:szCs w:val="24"/>
        </w:rPr>
      </w:pPr>
      <w:r w:rsidRPr="00BA4F0F">
        <w:rPr>
          <w:rFonts w:cs="Times New Roman"/>
          <w:i/>
          <w:szCs w:val="24"/>
        </w:rPr>
        <w:t>Антиген Cryptococcus (глюкуроноксиломаннан)</w:t>
      </w:r>
    </w:p>
    <w:p w14:paraId="7A00DFA7" w14:textId="77777777" w:rsidR="00C1188C" w:rsidRPr="00BA4F0F" w:rsidRDefault="00C1188C" w:rsidP="000768AC">
      <w:pPr>
        <w:numPr>
          <w:ilvl w:val="0"/>
          <w:numId w:val="148"/>
        </w:numPr>
        <w:tabs>
          <w:tab w:val="left" w:pos="0"/>
          <w:tab w:val="left" w:pos="567"/>
        </w:tabs>
        <w:ind w:left="0" w:firstLine="0"/>
        <w:rPr>
          <w:rFonts w:cs="Times New Roman"/>
          <w:szCs w:val="24"/>
        </w:rPr>
      </w:pPr>
      <w:r w:rsidRPr="00BA4F0F">
        <w:rPr>
          <w:rFonts w:cs="Times New Roman"/>
          <w:szCs w:val="24"/>
        </w:rPr>
        <w:t xml:space="preserve">Обнаружение антигена </w:t>
      </w:r>
      <w:r w:rsidRPr="00BA4F0F">
        <w:rPr>
          <w:rFonts w:cs="Times New Roman"/>
          <w:i/>
          <w:szCs w:val="24"/>
        </w:rPr>
        <w:t>Cryptococcus</w:t>
      </w:r>
      <w:r w:rsidRPr="00BA4F0F">
        <w:rPr>
          <w:rFonts w:cs="Times New Roman"/>
          <w:szCs w:val="24"/>
        </w:rPr>
        <w:t xml:space="preserve"> (глюкуроноксиломаннана) включено в критерии диагностики инвазивного криптоккоза. </w:t>
      </w:r>
    </w:p>
    <w:p w14:paraId="0E910082" w14:textId="77777777" w:rsidR="00C1188C" w:rsidRPr="00BA4F0F" w:rsidRDefault="00C1188C" w:rsidP="000768AC">
      <w:pPr>
        <w:numPr>
          <w:ilvl w:val="0"/>
          <w:numId w:val="148"/>
        </w:numPr>
        <w:tabs>
          <w:tab w:val="left" w:pos="0"/>
          <w:tab w:val="left" w:pos="567"/>
        </w:tabs>
        <w:ind w:left="0" w:firstLine="0"/>
        <w:rPr>
          <w:rFonts w:cs="Times New Roman"/>
          <w:szCs w:val="24"/>
        </w:rPr>
      </w:pPr>
      <w:r w:rsidRPr="00BA4F0F">
        <w:rPr>
          <w:rFonts w:cs="Times New Roman"/>
          <w:szCs w:val="24"/>
        </w:rPr>
        <w:t xml:space="preserve">Образцы для исследования: </w:t>
      </w:r>
    </w:p>
    <w:p w14:paraId="6BCD31FF" w14:textId="77777777" w:rsidR="00C1188C" w:rsidRPr="00BA4F0F" w:rsidRDefault="00C1188C" w:rsidP="000768AC">
      <w:pPr>
        <w:numPr>
          <w:ilvl w:val="0"/>
          <w:numId w:val="149"/>
        </w:numPr>
        <w:tabs>
          <w:tab w:val="left" w:pos="0"/>
          <w:tab w:val="left" w:pos="567"/>
        </w:tabs>
        <w:ind w:left="0" w:firstLine="0"/>
        <w:rPr>
          <w:rFonts w:cs="Times New Roman"/>
          <w:szCs w:val="24"/>
        </w:rPr>
      </w:pPr>
      <w:r w:rsidRPr="00BA4F0F">
        <w:rPr>
          <w:rFonts w:cs="Times New Roman"/>
          <w:szCs w:val="24"/>
        </w:rPr>
        <w:t xml:space="preserve">кровь; </w:t>
      </w:r>
    </w:p>
    <w:p w14:paraId="3A03FB5F" w14:textId="77777777" w:rsidR="00C1188C" w:rsidRPr="00BA4F0F" w:rsidRDefault="00C1188C" w:rsidP="000768AC">
      <w:pPr>
        <w:numPr>
          <w:ilvl w:val="0"/>
          <w:numId w:val="149"/>
        </w:numPr>
        <w:tabs>
          <w:tab w:val="left" w:pos="0"/>
          <w:tab w:val="left" w:pos="567"/>
        </w:tabs>
        <w:ind w:left="0" w:firstLine="0"/>
        <w:rPr>
          <w:rFonts w:cs="Times New Roman"/>
          <w:szCs w:val="24"/>
        </w:rPr>
      </w:pPr>
      <w:r w:rsidRPr="00BA4F0F">
        <w:rPr>
          <w:rFonts w:cs="Times New Roman"/>
          <w:szCs w:val="24"/>
        </w:rPr>
        <w:t xml:space="preserve">жидкость БАЛ; </w:t>
      </w:r>
    </w:p>
    <w:p w14:paraId="45CF4F8A" w14:textId="77777777" w:rsidR="00C1188C" w:rsidRPr="00BA4F0F" w:rsidRDefault="00C1188C" w:rsidP="000768AC">
      <w:pPr>
        <w:numPr>
          <w:ilvl w:val="0"/>
          <w:numId w:val="149"/>
        </w:numPr>
        <w:tabs>
          <w:tab w:val="left" w:pos="0"/>
          <w:tab w:val="left" w:pos="567"/>
        </w:tabs>
        <w:ind w:left="0" w:firstLine="0"/>
        <w:rPr>
          <w:rFonts w:cs="Times New Roman"/>
          <w:szCs w:val="24"/>
        </w:rPr>
      </w:pPr>
      <w:r w:rsidRPr="00BA4F0F">
        <w:rPr>
          <w:rFonts w:cs="Times New Roman"/>
          <w:szCs w:val="24"/>
        </w:rPr>
        <w:t xml:space="preserve">СМЖ; </w:t>
      </w:r>
    </w:p>
    <w:p w14:paraId="3D2B4DC8" w14:textId="77777777" w:rsidR="00C1188C" w:rsidRPr="00BA4F0F" w:rsidRDefault="00C1188C" w:rsidP="000768AC">
      <w:pPr>
        <w:numPr>
          <w:ilvl w:val="0"/>
          <w:numId w:val="149"/>
        </w:numPr>
        <w:tabs>
          <w:tab w:val="left" w:pos="0"/>
          <w:tab w:val="left" w:pos="567"/>
        </w:tabs>
        <w:ind w:left="0" w:firstLine="0"/>
        <w:rPr>
          <w:rFonts w:cs="Times New Roman"/>
          <w:szCs w:val="24"/>
        </w:rPr>
      </w:pPr>
      <w:r w:rsidRPr="00BA4F0F">
        <w:rPr>
          <w:rFonts w:cs="Times New Roman"/>
          <w:szCs w:val="24"/>
        </w:rPr>
        <w:t xml:space="preserve">моча. </w:t>
      </w:r>
    </w:p>
    <w:p w14:paraId="4153B3AB" w14:textId="77777777" w:rsidR="00C1188C" w:rsidRPr="00BA4F0F" w:rsidRDefault="00C1188C" w:rsidP="000768AC">
      <w:pPr>
        <w:numPr>
          <w:ilvl w:val="0"/>
          <w:numId w:val="150"/>
        </w:numPr>
        <w:tabs>
          <w:tab w:val="left" w:pos="0"/>
          <w:tab w:val="left" w:pos="567"/>
        </w:tabs>
        <w:ind w:left="0" w:firstLine="0"/>
        <w:rPr>
          <w:rFonts w:cs="Times New Roman"/>
          <w:szCs w:val="24"/>
        </w:rPr>
      </w:pPr>
      <w:r w:rsidRPr="00BA4F0F">
        <w:rPr>
          <w:rFonts w:cs="Times New Roman"/>
          <w:szCs w:val="24"/>
        </w:rPr>
        <w:t xml:space="preserve">Высокой чувствительностью и специфичностью обладает латекс-тест (анализ качественный - положительный или отрицательный). </w:t>
      </w:r>
    </w:p>
    <w:p w14:paraId="432081EF" w14:textId="77777777" w:rsidR="00C1188C" w:rsidRPr="00BA4F0F" w:rsidRDefault="00C1188C" w:rsidP="000768AC">
      <w:pPr>
        <w:numPr>
          <w:ilvl w:val="0"/>
          <w:numId w:val="150"/>
        </w:numPr>
        <w:tabs>
          <w:tab w:val="left" w:pos="0"/>
          <w:tab w:val="left" w:pos="567"/>
        </w:tabs>
        <w:ind w:left="0" w:firstLine="0"/>
        <w:rPr>
          <w:rFonts w:cs="Times New Roman"/>
          <w:szCs w:val="24"/>
        </w:rPr>
      </w:pPr>
      <w:r w:rsidRPr="00BA4F0F">
        <w:rPr>
          <w:rFonts w:cs="Times New Roman"/>
          <w:szCs w:val="24"/>
        </w:rPr>
        <w:t xml:space="preserve">Показания к определению антигена </w:t>
      </w:r>
      <w:r w:rsidRPr="00BA4F0F">
        <w:rPr>
          <w:rFonts w:cs="Times New Roman"/>
          <w:i/>
          <w:szCs w:val="24"/>
        </w:rPr>
        <w:t>Cryptococcus</w:t>
      </w:r>
      <w:r w:rsidRPr="00BA4F0F">
        <w:rPr>
          <w:rFonts w:cs="Times New Roman"/>
          <w:szCs w:val="24"/>
        </w:rPr>
        <w:t xml:space="preserve"> (глюкуроноксиломаннан): </w:t>
      </w:r>
    </w:p>
    <w:p w14:paraId="51258D5B" w14:textId="77777777" w:rsidR="00C1188C" w:rsidRPr="00BA4F0F" w:rsidRDefault="00C1188C" w:rsidP="000768AC">
      <w:pPr>
        <w:numPr>
          <w:ilvl w:val="0"/>
          <w:numId w:val="151"/>
        </w:numPr>
        <w:tabs>
          <w:tab w:val="left" w:pos="0"/>
          <w:tab w:val="left" w:pos="567"/>
        </w:tabs>
        <w:ind w:left="0" w:firstLine="0"/>
        <w:rPr>
          <w:rFonts w:cs="Times New Roman"/>
          <w:szCs w:val="24"/>
        </w:rPr>
      </w:pPr>
      <w:r w:rsidRPr="00BA4F0F">
        <w:rPr>
          <w:rFonts w:cs="Times New Roman"/>
          <w:szCs w:val="24"/>
        </w:rPr>
        <w:t xml:space="preserve">исследование всех первых образцов СМЖ при симптомах инфекции ЦНС у больных опухолями системы крови; </w:t>
      </w:r>
    </w:p>
    <w:p w14:paraId="28ACCC9A" w14:textId="77777777" w:rsidR="00C1188C" w:rsidRPr="00BA4F0F" w:rsidRDefault="00C1188C" w:rsidP="000768AC">
      <w:pPr>
        <w:numPr>
          <w:ilvl w:val="0"/>
          <w:numId w:val="151"/>
        </w:numPr>
        <w:tabs>
          <w:tab w:val="left" w:pos="0"/>
          <w:tab w:val="left" w:pos="567"/>
        </w:tabs>
        <w:ind w:left="0" w:firstLine="0"/>
        <w:rPr>
          <w:rFonts w:cs="Times New Roman"/>
          <w:szCs w:val="24"/>
        </w:rPr>
      </w:pPr>
      <w:r w:rsidRPr="00BA4F0F">
        <w:rPr>
          <w:rFonts w:cs="Times New Roman"/>
          <w:szCs w:val="24"/>
        </w:rPr>
        <w:t xml:space="preserve">исследование второго образца спинномозговой жидкости при некупируемой инфекции ЦНС; </w:t>
      </w:r>
    </w:p>
    <w:p w14:paraId="0832030B" w14:textId="77777777" w:rsidR="00C1188C" w:rsidRPr="00BA4F0F" w:rsidRDefault="00C1188C" w:rsidP="000768AC">
      <w:pPr>
        <w:numPr>
          <w:ilvl w:val="0"/>
          <w:numId w:val="151"/>
        </w:numPr>
        <w:tabs>
          <w:tab w:val="left" w:pos="0"/>
          <w:tab w:val="left" w:pos="567"/>
        </w:tabs>
        <w:ind w:left="0" w:firstLine="0"/>
        <w:rPr>
          <w:rFonts w:cs="Times New Roman"/>
          <w:szCs w:val="24"/>
        </w:rPr>
      </w:pPr>
      <w:r w:rsidRPr="00BA4F0F">
        <w:rPr>
          <w:rFonts w:cs="Times New Roman"/>
          <w:szCs w:val="24"/>
        </w:rPr>
        <w:t xml:space="preserve">исследование антигена </w:t>
      </w:r>
      <w:r w:rsidRPr="00BA4F0F">
        <w:rPr>
          <w:rFonts w:cs="Times New Roman"/>
          <w:i/>
          <w:szCs w:val="24"/>
        </w:rPr>
        <w:t>Cryptococcus</w:t>
      </w:r>
      <w:r w:rsidRPr="00BA4F0F">
        <w:rPr>
          <w:rFonts w:cs="Times New Roman"/>
          <w:szCs w:val="24"/>
        </w:rPr>
        <w:t xml:space="preserve"> (глюкуроноксиломаннан) в крови в случае предполагаемой криптококковой инфекции. </w:t>
      </w:r>
    </w:p>
    <w:p w14:paraId="01AB8156"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Криптококкоз развивается, прежде всего, у больных с Т-клеточным иммунодефицитом (лимфома, хронический лимфолейкоз). Группу риска составляют больные, которые получают лечение глюкокортикоидами, флударабином, алемтузумабом, циклоспорином. </w:t>
      </w:r>
    </w:p>
    <w:p w14:paraId="2B8D6688" w14:textId="77777777" w:rsidR="00C1188C" w:rsidRPr="00BA4F0F" w:rsidRDefault="00C1188C" w:rsidP="00C1188C">
      <w:pPr>
        <w:pStyle w:val="afe"/>
        <w:ind w:left="0"/>
        <w:rPr>
          <w:rFonts w:cs="Times New Roman"/>
          <w:szCs w:val="24"/>
          <w:u w:val="single"/>
        </w:rPr>
      </w:pPr>
    </w:p>
    <w:p w14:paraId="6AA34247" w14:textId="77777777" w:rsidR="00C1188C" w:rsidRPr="00BA4F0F" w:rsidRDefault="00C1188C" w:rsidP="00C1188C">
      <w:pPr>
        <w:pStyle w:val="afe"/>
        <w:ind w:left="0"/>
        <w:rPr>
          <w:rFonts w:cs="Times New Roman"/>
          <w:b/>
          <w:i/>
          <w:szCs w:val="24"/>
        </w:rPr>
      </w:pPr>
      <w:r w:rsidRPr="00BA4F0F">
        <w:rPr>
          <w:rFonts w:cs="Times New Roman"/>
          <w:b/>
          <w:i/>
          <w:szCs w:val="24"/>
        </w:rPr>
        <w:t>Исследование крови на антитела к Мycoplasma pneumoniae (IgM, IgG), Chlamydia pneumoniae (IgM, IgG) в крови</w:t>
      </w:r>
    </w:p>
    <w:p w14:paraId="14328A98" w14:textId="77777777" w:rsidR="00C1188C" w:rsidRPr="00BA4F0F" w:rsidRDefault="00C1188C" w:rsidP="000768AC">
      <w:pPr>
        <w:numPr>
          <w:ilvl w:val="0"/>
          <w:numId w:val="152"/>
        </w:numPr>
        <w:tabs>
          <w:tab w:val="left" w:pos="0"/>
          <w:tab w:val="left" w:pos="567"/>
        </w:tabs>
        <w:ind w:left="0" w:firstLine="0"/>
        <w:rPr>
          <w:rFonts w:cs="Times New Roman"/>
          <w:szCs w:val="24"/>
        </w:rPr>
      </w:pPr>
      <w:r w:rsidRPr="00BA4F0F">
        <w:rPr>
          <w:rFonts w:cs="Times New Roman"/>
          <w:szCs w:val="24"/>
        </w:rPr>
        <w:t xml:space="preserve">Показания — пневмония. </w:t>
      </w:r>
    </w:p>
    <w:p w14:paraId="71FB92CD"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При положительных результатах определения IgG и наличии лихорадки исследование повторяют через 10—14 дней. </w:t>
      </w:r>
    </w:p>
    <w:p w14:paraId="5B3BBB68" w14:textId="77777777" w:rsidR="00C1188C" w:rsidRPr="00BA4F0F" w:rsidRDefault="00C1188C" w:rsidP="00C1188C">
      <w:pPr>
        <w:tabs>
          <w:tab w:val="left" w:pos="0"/>
          <w:tab w:val="left" w:pos="567"/>
        </w:tabs>
        <w:rPr>
          <w:rFonts w:cs="Times New Roman"/>
          <w:szCs w:val="24"/>
        </w:rPr>
      </w:pPr>
    </w:p>
    <w:p w14:paraId="1D916537" w14:textId="77777777" w:rsidR="00C1188C" w:rsidRPr="00BA4F0F" w:rsidRDefault="00C1188C" w:rsidP="00C1188C">
      <w:pPr>
        <w:pStyle w:val="afe"/>
        <w:ind w:left="0"/>
        <w:rPr>
          <w:rFonts w:cs="Times New Roman"/>
          <w:b/>
          <w:i/>
          <w:szCs w:val="24"/>
        </w:rPr>
      </w:pPr>
      <w:r w:rsidRPr="00BA4F0F">
        <w:rPr>
          <w:rFonts w:cs="Times New Roman"/>
          <w:b/>
          <w:i/>
          <w:szCs w:val="24"/>
        </w:rPr>
        <w:t>МРТ головного мозга</w:t>
      </w:r>
    </w:p>
    <w:p w14:paraId="6DE4C00D" w14:textId="77777777" w:rsidR="00C1188C" w:rsidRPr="00BA4F0F" w:rsidRDefault="00C1188C" w:rsidP="000768AC">
      <w:pPr>
        <w:numPr>
          <w:ilvl w:val="0"/>
          <w:numId w:val="200"/>
        </w:numPr>
        <w:tabs>
          <w:tab w:val="left" w:pos="0"/>
          <w:tab w:val="left" w:pos="567"/>
        </w:tabs>
        <w:ind w:left="0" w:firstLine="0"/>
        <w:rPr>
          <w:rFonts w:cs="Times New Roman"/>
          <w:b/>
          <w:szCs w:val="24"/>
        </w:rPr>
      </w:pPr>
      <w:r w:rsidRPr="00BA4F0F">
        <w:rPr>
          <w:rFonts w:cs="Times New Roman"/>
          <w:szCs w:val="24"/>
        </w:rPr>
        <w:t xml:space="preserve">Показания – появление неврологической симптоматики, симптомов менингита. Развитие на фоне фебрильной нейтропении мозговой симптоматики. </w:t>
      </w:r>
    </w:p>
    <w:p w14:paraId="7BA8A117" w14:textId="77777777" w:rsidR="00C1188C" w:rsidRPr="00BA4F0F" w:rsidRDefault="00C1188C" w:rsidP="000768AC">
      <w:pPr>
        <w:numPr>
          <w:ilvl w:val="0"/>
          <w:numId w:val="200"/>
        </w:numPr>
        <w:tabs>
          <w:tab w:val="left" w:pos="0"/>
          <w:tab w:val="left" w:pos="567"/>
        </w:tabs>
        <w:ind w:left="0" w:firstLine="0"/>
        <w:rPr>
          <w:rFonts w:cs="Times New Roman"/>
          <w:b/>
          <w:szCs w:val="24"/>
        </w:rPr>
      </w:pPr>
      <w:r w:rsidRPr="00BA4F0F">
        <w:rPr>
          <w:rFonts w:cs="Times New Roman"/>
          <w:szCs w:val="24"/>
        </w:rPr>
        <w:t xml:space="preserve">При выявлении очага (очагов) в веществе головного мозга необходимо выполнение люмбальной пункции с последующими цитологическим и микробиологическими исследованиями. </w:t>
      </w:r>
    </w:p>
    <w:p w14:paraId="0F38DEA1" w14:textId="77777777" w:rsidR="00C1188C" w:rsidRPr="00BA4F0F" w:rsidRDefault="00C1188C" w:rsidP="00C1188C">
      <w:pPr>
        <w:pStyle w:val="afe"/>
        <w:ind w:left="0"/>
        <w:rPr>
          <w:rFonts w:cs="Times New Roman"/>
          <w:szCs w:val="24"/>
          <w:u w:val="single"/>
        </w:rPr>
      </w:pPr>
    </w:p>
    <w:p w14:paraId="13C16FED" w14:textId="77777777" w:rsidR="00C1188C" w:rsidRPr="00BA4F0F" w:rsidRDefault="00C1188C" w:rsidP="00C1188C">
      <w:pPr>
        <w:pStyle w:val="afe"/>
        <w:ind w:left="0"/>
        <w:rPr>
          <w:rFonts w:cs="Times New Roman"/>
          <w:b/>
          <w:i/>
          <w:szCs w:val="24"/>
        </w:rPr>
      </w:pPr>
      <w:r w:rsidRPr="00BA4F0F">
        <w:rPr>
          <w:rFonts w:cs="Times New Roman"/>
          <w:b/>
          <w:i/>
          <w:szCs w:val="24"/>
        </w:rPr>
        <w:t>Ультразвуковое исследование или компьютерная томография органов брюшной полости</w:t>
      </w:r>
    </w:p>
    <w:p w14:paraId="7EEF9BBA" w14:textId="77777777" w:rsidR="00C1188C" w:rsidRPr="00BA4F0F" w:rsidRDefault="00C1188C" w:rsidP="000768AC">
      <w:pPr>
        <w:numPr>
          <w:ilvl w:val="0"/>
          <w:numId w:val="152"/>
        </w:numPr>
        <w:tabs>
          <w:tab w:val="left" w:pos="0"/>
          <w:tab w:val="left" w:pos="567"/>
        </w:tabs>
        <w:ind w:left="0" w:firstLine="0"/>
        <w:rPr>
          <w:rFonts w:cs="Times New Roman"/>
          <w:szCs w:val="24"/>
        </w:rPr>
      </w:pPr>
      <w:r w:rsidRPr="00BA4F0F">
        <w:rPr>
          <w:rFonts w:cs="Times New Roman"/>
          <w:szCs w:val="24"/>
        </w:rPr>
        <w:t>Показания — сохраняющаяся лихорадка (колебания температуры в течение суток от 37 до 39°С) при восстановлении числа нейтрофилов (число гранулоцитов &gt; 0,5 × 10</w:t>
      </w:r>
      <w:r w:rsidRPr="00BA4F0F">
        <w:rPr>
          <w:rFonts w:cs="Times New Roman"/>
          <w:szCs w:val="24"/>
          <w:vertAlign w:val="superscript"/>
        </w:rPr>
        <w:t>9</w:t>
      </w:r>
      <w:r w:rsidRPr="00BA4F0F">
        <w:rPr>
          <w:rFonts w:cs="Times New Roman"/>
          <w:szCs w:val="24"/>
        </w:rPr>
        <w:t xml:space="preserve"> /л). </w:t>
      </w:r>
    </w:p>
    <w:p w14:paraId="49363D75"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УЗИ и КТ при гепатолиенальном кандидозе не являются взаимоисключающими диагностическими процедурами. У части больных очаги в печени и/или селезенке могут быть обнаружены только при УЗИ, у других — только при КТ. Наибольшее диагностическое значение имеет МРТ печени и селезенки. </w:t>
      </w:r>
    </w:p>
    <w:p w14:paraId="40E09A54" w14:textId="77777777" w:rsidR="00C1188C" w:rsidRPr="00BA4F0F" w:rsidRDefault="00C1188C" w:rsidP="000768AC">
      <w:pPr>
        <w:numPr>
          <w:ilvl w:val="0"/>
          <w:numId w:val="152"/>
        </w:numPr>
        <w:tabs>
          <w:tab w:val="left" w:pos="0"/>
          <w:tab w:val="left" w:pos="567"/>
        </w:tabs>
        <w:ind w:left="0" w:firstLine="0"/>
        <w:rPr>
          <w:rFonts w:cs="Times New Roman"/>
          <w:szCs w:val="24"/>
        </w:rPr>
      </w:pPr>
      <w:r w:rsidRPr="00BA4F0F">
        <w:rPr>
          <w:rFonts w:cs="Times New Roman"/>
          <w:szCs w:val="24"/>
        </w:rPr>
        <w:t>При диагностике гепатолиенального кандидоза контрольное исследование проводят не ранее чем через 3—4 недели терапии системными противогрибковыми препаратами ввиду крайне медленной регрессии очагов.</w:t>
      </w:r>
    </w:p>
    <w:p w14:paraId="038D66C8" w14:textId="77777777" w:rsidR="00C1188C" w:rsidRPr="00BA4F0F" w:rsidRDefault="00C1188C" w:rsidP="000768AC">
      <w:pPr>
        <w:numPr>
          <w:ilvl w:val="0"/>
          <w:numId w:val="152"/>
        </w:numPr>
        <w:tabs>
          <w:tab w:val="left" w:pos="0"/>
          <w:tab w:val="left" w:pos="567"/>
        </w:tabs>
        <w:ind w:left="0" w:firstLine="0"/>
        <w:rPr>
          <w:rFonts w:cs="Times New Roman"/>
          <w:szCs w:val="24"/>
        </w:rPr>
      </w:pPr>
      <w:r w:rsidRPr="00BA4F0F">
        <w:rPr>
          <w:rFonts w:cs="Times New Roman"/>
          <w:szCs w:val="24"/>
        </w:rPr>
        <w:t>Оценивать состояние очагов (размеры, плотность) в печени и селезенке необходимо всегда при числе гранулоцитов &gt; 0,5 × 10</w:t>
      </w:r>
      <w:r w:rsidRPr="00BA4F0F">
        <w:rPr>
          <w:rFonts w:cs="Times New Roman"/>
          <w:i/>
          <w:szCs w:val="24"/>
          <w:vertAlign w:val="superscript"/>
        </w:rPr>
        <w:t>9</w:t>
      </w:r>
      <w:r w:rsidRPr="00BA4F0F">
        <w:rPr>
          <w:rFonts w:cs="Times New Roman"/>
          <w:szCs w:val="24"/>
        </w:rPr>
        <w:t xml:space="preserve"> /л. Проведение исследования в период нейтропении дает ложную информацию о меньшем размере очагов. </w:t>
      </w:r>
    </w:p>
    <w:p w14:paraId="62ACA719" w14:textId="77777777" w:rsidR="00C1188C" w:rsidRPr="00BA4F0F" w:rsidRDefault="00C1188C" w:rsidP="00C1188C">
      <w:pPr>
        <w:pStyle w:val="afe"/>
        <w:ind w:left="0"/>
        <w:rPr>
          <w:rFonts w:cs="Times New Roman"/>
          <w:szCs w:val="24"/>
          <w:u w:val="single"/>
        </w:rPr>
      </w:pPr>
    </w:p>
    <w:p w14:paraId="14935CE0" w14:textId="77777777" w:rsidR="00C1188C" w:rsidRPr="00BA4F0F" w:rsidRDefault="00C1188C" w:rsidP="00C1188C">
      <w:pPr>
        <w:pStyle w:val="afe"/>
        <w:ind w:left="0"/>
        <w:rPr>
          <w:rFonts w:cs="Times New Roman"/>
          <w:b/>
          <w:i/>
          <w:szCs w:val="24"/>
        </w:rPr>
      </w:pPr>
      <w:r w:rsidRPr="00BA4F0F">
        <w:rPr>
          <w:rFonts w:cs="Times New Roman"/>
          <w:b/>
          <w:i/>
          <w:szCs w:val="24"/>
        </w:rPr>
        <w:t>Дополнительные исследования</w:t>
      </w:r>
    </w:p>
    <w:p w14:paraId="745EBB56" w14:textId="77777777" w:rsidR="00C1188C" w:rsidRPr="00BA4F0F" w:rsidRDefault="00C1188C" w:rsidP="00C1188C">
      <w:pPr>
        <w:tabs>
          <w:tab w:val="left" w:pos="0"/>
          <w:tab w:val="left" w:pos="567"/>
        </w:tabs>
        <w:ind w:firstLine="567"/>
        <w:rPr>
          <w:rFonts w:cs="Times New Roman"/>
          <w:szCs w:val="24"/>
        </w:rPr>
      </w:pPr>
      <w:r w:rsidRPr="00BA4F0F">
        <w:rPr>
          <w:rFonts w:cs="Times New Roman"/>
          <w:szCs w:val="24"/>
        </w:rPr>
        <w:t>В случае внезапно развившейся нейтропении или тромбоцитопении либо длительно существующей необъяснимой нейтропении или тромбоцитопении необходимо провести исследования на ЦМВ (определение ДНК ЦМВ в крови), особенно у больных лифопролиферативными заболеваниями, а также у пациентов, длительно принимавших глюкокортикоиды.</w:t>
      </w:r>
    </w:p>
    <w:p w14:paraId="7145DAC2" w14:textId="77777777" w:rsidR="00C1188C" w:rsidRPr="00BA4F0F" w:rsidRDefault="00C1188C" w:rsidP="00C1188C">
      <w:pPr>
        <w:tabs>
          <w:tab w:val="left" w:pos="0"/>
          <w:tab w:val="left" w:pos="567"/>
        </w:tabs>
        <w:ind w:firstLine="567"/>
        <w:rPr>
          <w:rFonts w:cs="Times New Roman"/>
          <w:szCs w:val="24"/>
        </w:rPr>
      </w:pPr>
      <w:r w:rsidRPr="00BA4F0F">
        <w:rPr>
          <w:rFonts w:cs="Times New Roman"/>
          <w:szCs w:val="24"/>
        </w:rPr>
        <w:t xml:space="preserve">При тяжелой инфекции, особенно при бактериемии, может изменяться содержание С-реактивного белка, интерлейкинов (ИЛ-6, ИЛ-8) и прокальцитонина. Однако повышение этих маркеров происходит не всегда, особенно при вирусной или грибковой инфекции. Обнаружение биологически активных соединений в крови или повышение их уровня не является основанием для назначения антимикробных препаратов или изменения терапии инфекционных осложнений при стабильной клинической ситуации в период нейтропении. Не следует определять прокальцитонин и другие маркеры в первые часы повышения температуры, так как в любом случае при фебрильной нейтропении будет назначен антибиотик, и значения прокальцитонина не влияют на выбор антимикробного препарата. </w:t>
      </w:r>
    </w:p>
    <w:p w14:paraId="1FE642E2" w14:textId="77777777" w:rsidR="00C1188C" w:rsidRPr="00BA4F0F" w:rsidRDefault="00C1188C" w:rsidP="00C1188C">
      <w:pPr>
        <w:pStyle w:val="afe"/>
        <w:tabs>
          <w:tab w:val="left" w:pos="0"/>
          <w:tab w:val="left" w:pos="567"/>
        </w:tabs>
        <w:rPr>
          <w:rFonts w:cs="Times New Roman"/>
          <w:szCs w:val="24"/>
          <w:u w:val="single"/>
        </w:rPr>
      </w:pPr>
    </w:p>
    <w:p w14:paraId="5FA09C0F" w14:textId="77777777" w:rsidR="00C1188C" w:rsidRPr="00BA4F0F" w:rsidRDefault="00C1188C" w:rsidP="00C1188C">
      <w:pPr>
        <w:tabs>
          <w:tab w:val="left" w:pos="0"/>
          <w:tab w:val="left" w:pos="567"/>
        </w:tabs>
        <w:rPr>
          <w:rFonts w:cs="Times New Roman"/>
          <w:szCs w:val="24"/>
          <w:u w:val="single"/>
        </w:rPr>
      </w:pPr>
      <w:r w:rsidRPr="00BA4F0F">
        <w:rPr>
          <w:rFonts w:cs="Times New Roman"/>
          <w:szCs w:val="24"/>
          <w:u w:val="single"/>
        </w:rPr>
        <w:t>Порядок назначения антимикробной терапии</w:t>
      </w:r>
    </w:p>
    <w:p w14:paraId="2F8FE1FD" w14:textId="77777777" w:rsidR="00C1188C" w:rsidRPr="00BA4F0F" w:rsidRDefault="00C1188C" w:rsidP="00C1188C">
      <w:pPr>
        <w:pStyle w:val="afe"/>
        <w:ind w:left="0"/>
        <w:rPr>
          <w:rFonts w:cs="Times New Roman"/>
          <w:b/>
          <w:i/>
          <w:szCs w:val="24"/>
        </w:rPr>
      </w:pPr>
      <w:r w:rsidRPr="00BA4F0F">
        <w:rPr>
          <w:rFonts w:cs="Times New Roman"/>
          <w:b/>
          <w:i/>
          <w:szCs w:val="24"/>
        </w:rPr>
        <w:t>Показания к назначению антибиотиков первого этапа</w:t>
      </w:r>
    </w:p>
    <w:p w14:paraId="3DDD6806" w14:textId="77777777" w:rsidR="00C1188C" w:rsidRPr="00BA4F0F" w:rsidRDefault="00C1188C" w:rsidP="000768AC">
      <w:pPr>
        <w:numPr>
          <w:ilvl w:val="0"/>
          <w:numId w:val="158"/>
        </w:numPr>
        <w:tabs>
          <w:tab w:val="left" w:pos="0"/>
          <w:tab w:val="left" w:pos="567"/>
        </w:tabs>
        <w:ind w:left="0" w:firstLine="0"/>
        <w:rPr>
          <w:rFonts w:cs="Times New Roman"/>
          <w:szCs w:val="24"/>
        </w:rPr>
      </w:pPr>
      <w:r w:rsidRPr="00BA4F0F">
        <w:rPr>
          <w:rFonts w:cs="Times New Roman"/>
          <w:szCs w:val="24"/>
        </w:rPr>
        <w:t xml:space="preserve">Повышение температуры ≥ 38,0°С (измерение в подмышечных впадинах), сохраняющееся в течение 2 часов и не связанное с введением пирогенных препаратов (например, компонентов крови, факторов роста и др.) </w:t>
      </w:r>
      <w:r w:rsidRPr="00BA4F0F">
        <w:rPr>
          <w:rFonts w:cs="Times New Roman"/>
          <w:i/>
          <w:szCs w:val="24"/>
        </w:rPr>
        <w:t>и/или</w:t>
      </w:r>
    </w:p>
    <w:p w14:paraId="71EC8219" w14:textId="77777777" w:rsidR="00C1188C" w:rsidRPr="00BA4F0F" w:rsidRDefault="00C1188C" w:rsidP="000768AC">
      <w:pPr>
        <w:numPr>
          <w:ilvl w:val="0"/>
          <w:numId w:val="158"/>
        </w:numPr>
        <w:tabs>
          <w:tab w:val="left" w:pos="0"/>
          <w:tab w:val="left" w:pos="567"/>
        </w:tabs>
        <w:ind w:left="0" w:firstLine="0"/>
        <w:rPr>
          <w:rFonts w:cs="Times New Roman"/>
          <w:szCs w:val="24"/>
        </w:rPr>
      </w:pPr>
      <w:r w:rsidRPr="00BA4F0F">
        <w:rPr>
          <w:rFonts w:cs="Times New Roman"/>
          <w:szCs w:val="24"/>
        </w:rPr>
        <w:t>Наличие очага инфекции (например, пневмония, парапроктит и др.). При наличии очага инфекции уровень лихорадки не является определяющим для назначения антибиотиков.</w:t>
      </w:r>
    </w:p>
    <w:p w14:paraId="1947E3B5" w14:textId="77777777" w:rsidR="00C1188C" w:rsidRPr="00BA4F0F" w:rsidRDefault="00C1188C" w:rsidP="00C1188C">
      <w:pPr>
        <w:tabs>
          <w:tab w:val="left" w:pos="0"/>
          <w:tab w:val="left" w:pos="567"/>
        </w:tabs>
        <w:rPr>
          <w:rFonts w:cs="Times New Roman"/>
          <w:szCs w:val="24"/>
        </w:rPr>
      </w:pPr>
      <w:r w:rsidRPr="00BA4F0F">
        <w:rPr>
          <w:rFonts w:cs="Times New Roman"/>
          <w:i/>
          <w:szCs w:val="24"/>
        </w:rPr>
        <w:t>Примечание.</w:t>
      </w:r>
      <w:r w:rsidRPr="00BA4F0F">
        <w:rPr>
          <w:rFonts w:cs="Times New Roman"/>
          <w:szCs w:val="24"/>
        </w:rPr>
        <w:t xml:space="preserve"> Сама по себе нейтропения (даже при числе нейтрофилов ≤ 0,1 × 10</w:t>
      </w:r>
      <w:r w:rsidRPr="00BA4F0F">
        <w:rPr>
          <w:rFonts w:cs="Times New Roman"/>
          <w:szCs w:val="24"/>
          <w:vertAlign w:val="superscript"/>
        </w:rPr>
        <w:t>9</w:t>
      </w:r>
      <w:r w:rsidRPr="00BA4F0F">
        <w:rPr>
          <w:rFonts w:cs="Times New Roman"/>
          <w:szCs w:val="24"/>
        </w:rPr>
        <w:t>/л) без лихорадки и очага инфекции не является показанием к назначению антибактериальных препаратов.</w:t>
      </w:r>
    </w:p>
    <w:p w14:paraId="75F75C82" w14:textId="77777777" w:rsidR="00C1188C" w:rsidRPr="00BA4F0F" w:rsidRDefault="00C1188C" w:rsidP="00C1188C">
      <w:pPr>
        <w:tabs>
          <w:tab w:val="left" w:pos="0"/>
          <w:tab w:val="left" w:pos="567"/>
        </w:tabs>
        <w:rPr>
          <w:rFonts w:cs="Times New Roman"/>
          <w:b/>
          <w:szCs w:val="24"/>
        </w:rPr>
      </w:pPr>
    </w:p>
    <w:p w14:paraId="2DA4EB8D" w14:textId="77777777" w:rsidR="00C1188C" w:rsidRPr="00BA4F0F" w:rsidRDefault="00C1188C" w:rsidP="00C1188C">
      <w:pPr>
        <w:pStyle w:val="afe"/>
        <w:ind w:left="0"/>
        <w:rPr>
          <w:rFonts w:cs="Times New Roman"/>
          <w:b/>
          <w:i/>
          <w:szCs w:val="24"/>
        </w:rPr>
      </w:pPr>
      <w:r w:rsidRPr="00BA4F0F">
        <w:rPr>
          <w:rFonts w:cs="Times New Roman"/>
          <w:b/>
          <w:i/>
          <w:szCs w:val="24"/>
        </w:rPr>
        <w:t>Основные принципы эмпирической терапии при лихорадке периода нейтропении</w:t>
      </w:r>
    </w:p>
    <w:p w14:paraId="2AED51AC" w14:textId="77777777" w:rsidR="00C1188C" w:rsidRPr="00BA4F0F" w:rsidRDefault="00C1188C" w:rsidP="000768AC">
      <w:pPr>
        <w:numPr>
          <w:ilvl w:val="0"/>
          <w:numId w:val="159"/>
        </w:numPr>
        <w:tabs>
          <w:tab w:val="left" w:pos="0"/>
          <w:tab w:val="left" w:pos="567"/>
        </w:tabs>
        <w:ind w:left="0" w:firstLine="0"/>
        <w:rPr>
          <w:rFonts w:cs="Times New Roman"/>
          <w:szCs w:val="24"/>
        </w:rPr>
      </w:pPr>
      <w:r w:rsidRPr="00BA4F0F">
        <w:rPr>
          <w:rFonts w:cs="Times New Roman"/>
          <w:szCs w:val="24"/>
        </w:rPr>
        <w:t>Немедленное назначение антибиотиков при лихорадке или очагах инфекции, не дожидаясь результатов бактериологического исследования.</w:t>
      </w:r>
    </w:p>
    <w:p w14:paraId="6D62F7F7" w14:textId="77777777" w:rsidR="00C1188C" w:rsidRPr="00BA4F0F" w:rsidRDefault="00C1188C" w:rsidP="000768AC">
      <w:pPr>
        <w:numPr>
          <w:ilvl w:val="0"/>
          <w:numId w:val="159"/>
        </w:numPr>
        <w:tabs>
          <w:tab w:val="left" w:pos="0"/>
          <w:tab w:val="left" w:pos="567"/>
        </w:tabs>
        <w:ind w:left="0" w:firstLine="0"/>
        <w:rPr>
          <w:rFonts w:cs="Times New Roman"/>
          <w:szCs w:val="24"/>
        </w:rPr>
      </w:pPr>
      <w:r w:rsidRPr="00BA4F0F">
        <w:rPr>
          <w:rFonts w:cs="Times New Roman"/>
          <w:szCs w:val="24"/>
        </w:rPr>
        <w:t>Применение на первом этапе антимикробных препаратов, проявляющих активность в отношении грамотрицательных бактерий, включая синегнойную палочку.</w:t>
      </w:r>
    </w:p>
    <w:p w14:paraId="08CFBFB0" w14:textId="77777777" w:rsidR="00C1188C" w:rsidRPr="00BA4F0F" w:rsidRDefault="00C1188C" w:rsidP="000768AC">
      <w:pPr>
        <w:numPr>
          <w:ilvl w:val="0"/>
          <w:numId w:val="159"/>
        </w:numPr>
        <w:tabs>
          <w:tab w:val="left" w:pos="0"/>
          <w:tab w:val="left" w:pos="567"/>
        </w:tabs>
        <w:ind w:left="0" w:firstLine="0"/>
        <w:rPr>
          <w:rFonts w:cs="Times New Roman"/>
          <w:szCs w:val="24"/>
        </w:rPr>
      </w:pPr>
      <w:r w:rsidRPr="00BA4F0F">
        <w:rPr>
          <w:rFonts w:cs="Times New Roman"/>
          <w:szCs w:val="24"/>
        </w:rPr>
        <w:t>Назначение на первом этапе наиболее активных антибиотиков (при выборе антибиотиков опираются на результаты последнего ретроспективного анализа).</w:t>
      </w:r>
    </w:p>
    <w:p w14:paraId="24F96748" w14:textId="77777777" w:rsidR="00C1188C" w:rsidRPr="00BA4F0F" w:rsidRDefault="00C1188C" w:rsidP="000768AC">
      <w:pPr>
        <w:numPr>
          <w:ilvl w:val="0"/>
          <w:numId w:val="159"/>
        </w:numPr>
        <w:tabs>
          <w:tab w:val="left" w:pos="0"/>
          <w:tab w:val="left" w:pos="567"/>
        </w:tabs>
        <w:ind w:left="0" w:firstLine="0"/>
        <w:rPr>
          <w:rFonts w:cs="Times New Roman"/>
          <w:szCs w:val="24"/>
        </w:rPr>
      </w:pPr>
      <w:r w:rsidRPr="00BA4F0F">
        <w:rPr>
          <w:rFonts w:cs="Times New Roman"/>
          <w:szCs w:val="24"/>
        </w:rPr>
        <w:t>Введение антимикробных препаратов только внутривенно.</w:t>
      </w:r>
    </w:p>
    <w:p w14:paraId="0EFBEC4F" w14:textId="77777777" w:rsidR="00C1188C" w:rsidRPr="00BA4F0F" w:rsidRDefault="00C1188C" w:rsidP="000768AC">
      <w:pPr>
        <w:numPr>
          <w:ilvl w:val="0"/>
          <w:numId w:val="159"/>
        </w:numPr>
        <w:tabs>
          <w:tab w:val="left" w:pos="0"/>
          <w:tab w:val="left" w:pos="567"/>
        </w:tabs>
        <w:ind w:left="0" w:firstLine="0"/>
        <w:rPr>
          <w:rFonts w:cs="Times New Roman"/>
          <w:szCs w:val="24"/>
        </w:rPr>
      </w:pPr>
      <w:r w:rsidRPr="00BA4F0F">
        <w:rPr>
          <w:rFonts w:cs="Times New Roman"/>
          <w:szCs w:val="24"/>
        </w:rPr>
        <w:t>Модификация, при необходимости, антимикробной терапии согласно результатам микробиологического исследования.</w:t>
      </w:r>
    </w:p>
    <w:p w14:paraId="71A53A2F"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Для стартовой терапии фебрильной нейтропении назначают один антибиотик (монотерапия): </w:t>
      </w:r>
    </w:p>
    <w:p w14:paraId="6AB612B6" w14:textId="77777777" w:rsidR="00C1188C" w:rsidRPr="00BA4F0F" w:rsidRDefault="00C1188C" w:rsidP="000768AC">
      <w:pPr>
        <w:numPr>
          <w:ilvl w:val="0"/>
          <w:numId w:val="160"/>
        </w:numPr>
        <w:tabs>
          <w:tab w:val="left" w:pos="0"/>
          <w:tab w:val="left" w:pos="567"/>
        </w:tabs>
        <w:ind w:left="0" w:firstLine="0"/>
        <w:rPr>
          <w:rFonts w:cs="Times New Roman"/>
          <w:szCs w:val="24"/>
        </w:rPr>
      </w:pPr>
      <w:r w:rsidRPr="00BA4F0F">
        <w:rPr>
          <w:rFonts w:cs="Times New Roman"/>
          <w:szCs w:val="24"/>
        </w:rPr>
        <w:t xml:space="preserve">Цефоперазон/сульбактам </w:t>
      </w:r>
    </w:p>
    <w:p w14:paraId="65F8B0D9" w14:textId="77777777" w:rsidR="00C1188C" w:rsidRPr="00BA4F0F" w:rsidRDefault="00C1188C" w:rsidP="000768AC">
      <w:pPr>
        <w:numPr>
          <w:ilvl w:val="0"/>
          <w:numId w:val="161"/>
        </w:numPr>
        <w:tabs>
          <w:tab w:val="left" w:pos="0"/>
          <w:tab w:val="left" w:pos="567"/>
        </w:tabs>
        <w:ind w:left="0" w:firstLine="0"/>
        <w:rPr>
          <w:rFonts w:cs="Times New Roman"/>
          <w:szCs w:val="24"/>
        </w:rPr>
      </w:pPr>
      <w:r w:rsidRPr="00BA4F0F">
        <w:rPr>
          <w:rFonts w:cs="Times New Roman"/>
          <w:szCs w:val="24"/>
        </w:rPr>
        <w:t xml:space="preserve">Дозирование: по 4 г 2 раза в сутки. </w:t>
      </w:r>
    </w:p>
    <w:p w14:paraId="10A561C8" w14:textId="77777777" w:rsidR="00C1188C" w:rsidRPr="00BA4F0F" w:rsidRDefault="00C1188C" w:rsidP="000768AC">
      <w:pPr>
        <w:numPr>
          <w:ilvl w:val="0"/>
          <w:numId w:val="160"/>
        </w:numPr>
        <w:tabs>
          <w:tab w:val="left" w:pos="0"/>
          <w:tab w:val="left" w:pos="567"/>
        </w:tabs>
        <w:ind w:left="0" w:firstLine="0"/>
        <w:rPr>
          <w:rFonts w:cs="Times New Roman"/>
          <w:szCs w:val="24"/>
        </w:rPr>
      </w:pPr>
      <w:r w:rsidRPr="00BA4F0F">
        <w:rPr>
          <w:rFonts w:cs="Times New Roman"/>
          <w:szCs w:val="24"/>
        </w:rPr>
        <w:t xml:space="preserve">Пиперациллин/тазобактам </w:t>
      </w:r>
    </w:p>
    <w:p w14:paraId="33A4ED2E" w14:textId="77777777" w:rsidR="00C1188C" w:rsidRPr="00BA4F0F" w:rsidRDefault="00C1188C" w:rsidP="000768AC">
      <w:pPr>
        <w:numPr>
          <w:ilvl w:val="0"/>
          <w:numId w:val="162"/>
        </w:numPr>
        <w:tabs>
          <w:tab w:val="left" w:pos="0"/>
          <w:tab w:val="left" w:pos="567"/>
        </w:tabs>
        <w:ind w:left="0" w:firstLine="0"/>
        <w:rPr>
          <w:rFonts w:cs="Times New Roman"/>
          <w:szCs w:val="24"/>
        </w:rPr>
      </w:pPr>
      <w:r w:rsidRPr="00BA4F0F">
        <w:rPr>
          <w:rFonts w:cs="Times New Roman"/>
          <w:szCs w:val="24"/>
        </w:rPr>
        <w:t xml:space="preserve">Дозирование: по 4,5 г 3 раза в сутки. </w:t>
      </w:r>
    </w:p>
    <w:p w14:paraId="592BC80A" w14:textId="77777777" w:rsidR="00C1188C" w:rsidRPr="00BA4F0F" w:rsidRDefault="00C1188C" w:rsidP="000768AC">
      <w:pPr>
        <w:numPr>
          <w:ilvl w:val="0"/>
          <w:numId w:val="160"/>
        </w:numPr>
        <w:tabs>
          <w:tab w:val="left" w:pos="0"/>
          <w:tab w:val="left" w:pos="567"/>
        </w:tabs>
        <w:ind w:left="0" w:firstLine="0"/>
        <w:rPr>
          <w:rFonts w:cs="Times New Roman"/>
          <w:szCs w:val="24"/>
        </w:rPr>
      </w:pPr>
      <w:r w:rsidRPr="00BA4F0F">
        <w:rPr>
          <w:rFonts w:cs="Times New Roman"/>
          <w:szCs w:val="24"/>
        </w:rPr>
        <w:t xml:space="preserve">Цефепим </w:t>
      </w:r>
    </w:p>
    <w:p w14:paraId="7FA608A9" w14:textId="77777777" w:rsidR="00C1188C" w:rsidRPr="00BA4F0F" w:rsidRDefault="00C1188C" w:rsidP="000768AC">
      <w:pPr>
        <w:numPr>
          <w:ilvl w:val="0"/>
          <w:numId w:val="163"/>
        </w:numPr>
        <w:tabs>
          <w:tab w:val="left" w:pos="0"/>
          <w:tab w:val="left" w:pos="567"/>
        </w:tabs>
        <w:ind w:left="0" w:firstLine="0"/>
        <w:rPr>
          <w:rFonts w:cs="Times New Roman"/>
          <w:szCs w:val="24"/>
        </w:rPr>
      </w:pPr>
      <w:r w:rsidRPr="00BA4F0F">
        <w:rPr>
          <w:rFonts w:cs="Times New Roman"/>
          <w:szCs w:val="24"/>
        </w:rPr>
        <w:t xml:space="preserve">Дозирование: по 2 г 2 раза в сутки. </w:t>
      </w:r>
    </w:p>
    <w:p w14:paraId="1FA74437" w14:textId="77777777" w:rsidR="00C1188C" w:rsidRPr="00BA4F0F" w:rsidRDefault="00C1188C" w:rsidP="000768AC">
      <w:pPr>
        <w:numPr>
          <w:ilvl w:val="0"/>
          <w:numId w:val="160"/>
        </w:numPr>
        <w:tabs>
          <w:tab w:val="left" w:pos="0"/>
          <w:tab w:val="left" w:pos="567"/>
        </w:tabs>
        <w:ind w:left="0" w:firstLine="0"/>
        <w:rPr>
          <w:rFonts w:cs="Times New Roman"/>
          <w:szCs w:val="24"/>
        </w:rPr>
      </w:pPr>
      <w:r w:rsidRPr="00BA4F0F">
        <w:rPr>
          <w:rFonts w:cs="Times New Roman"/>
          <w:szCs w:val="24"/>
        </w:rPr>
        <w:t xml:space="preserve">Цефтазидим </w:t>
      </w:r>
    </w:p>
    <w:p w14:paraId="6EF0BF87" w14:textId="77777777" w:rsidR="00C1188C" w:rsidRPr="00BA4F0F" w:rsidRDefault="00C1188C" w:rsidP="000768AC">
      <w:pPr>
        <w:numPr>
          <w:ilvl w:val="0"/>
          <w:numId w:val="164"/>
        </w:numPr>
        <w:tabs>
          <w:tab w:val="left" w:pos="0"/>
          <w:tab w:val="left" w:pos="567"/>
        </w:tabs>
        <w:ind w:left="0" w:firstLine="0"/>
        <w:rPr>
          <w:rFonts w:cs="Times New Roman"/>
          <w:szCs w:val="24"/>
        </w:rPr>
      </w:pPr>
      <w:r w:rsidRPr="00BA4F0F">
        <w:rPr>
          <w:rFonts w:cs="Times New Roman"/>
          <w:szCs w:val="24"/>
        </w:rPr>
        <w:t xml:space="preserve">Дозирование: по 2 г 3 раза в сутки </w:t>
      </w:r>
    </w:p>
    <w:p w14:paraId="24F09E2C" w14:textId="77777777" w:rsidR="00C1188C" w:rsidRPr="00BA4F0F" w:rsidRDefault="00C1188C" w:rsidP="00C1188C">
      <w:pPr>
        <w:tabs>
          <w:tab w:val="left" w:pos="0"/>
          <w:tab w:val="left" w:pos="567"/>
        </w:tabs>
        <w:rPr>
          <w:rFonts w:cs="Times New Roman"/>
          <w:szCs w:val="24"/>
        </w:rPr>
      </w:pPr>
      <w:r w:rsidRPr="00BA4F0F">
        <w:rPr>
          <w:rFonts w:cs="Times New Roman"/>
          <w:szCs w:val="24"/>
        </w:rPr>
        <w:t>При развитии септического шока на первом этапе эмпирической терапии рекомендовано карбапенемов:</w:t>
      </w:r>
    </w:p>
    <w:p w14:paraId="3DF0C8D7" w14:textId="77777777" w:rsidR="00C1188C" w:rsidRPr="00BA4F0F" w:rsidRDefault="00C1188C" w:rsidP="000768AC">
      <w:pPr>
        <w:numPr>
          <w:ilvl w:val="0"/>
          <w:numId w:val="165"/>
        </w:numPr>
        <w:tabs>
          <w:tab w:val="left" w:pos="0"/>
          <w:tab w:val="left" w:pos="567"/>
        </w:tabs>
        <w:ind w:left="0" w:firstLine="0"/>
        <w:rPr>
          <w:rFonts w:cs="Times New Roman"/>
          <w:szCs w:val="24"/>
        </w:rPr>
      </w:pPr>
      <w:r w:rsidRPr="00BA4F0F">
        <w:rPr>
          <w:rFonts w:cs="Times New Roman"/>
          <w:szCs w:val="24"/>
        </w:rPr>
        <w:t>Имипенем/циластатин</w:t>
      </w:r>
    </w:p>
    <w:p w14:paraId="5955A530" w14:textId="77777777" w:rsidR="00C1188C" w:rsidRPr="00BA4F0F" w:rsidRDefault="00C1188C" w:rsidP="000768AC">
      <w:pPr>
        <w:numPr>
          <w:ilvl w:val="0"/>
          <w:numId w:val="164"/>
        </w:numPr>
        <w:tabs>
          <w:tab w:val="left" w:pos="0"/>
          <w:tab w:val="left" w:pos="567"/>
        </w:tabs>
        <w:ind w:left="0" w:firstLine="0"/>
        <w:rPr>
          <w:rFonts w:cs="Times New Roman"/>
          <w:szCs w:val="24"/>
        </w:rPr>
      </w:pPr>
      <w:r w:rsidRPr="00BA4F0F">
        <w:rPr>
          <w:rFonts w:cs="Times New Roman"/>
          <w:szCs w:val="24"/>
        </w:rPr>
        <w:t>Дозировка: по 0,5 г 4 раза в сутки.</w:t>
      </w:r>
    </w:p>
    <w:p w14:paraId="45AF0E69" w14:textId="77777777" w:rsidR="00C1188C" w:rsidRPr="00BA4F0F" w:rsidRDefault="00C1188C" w:rsidP="000768AC">
      <w:pPr>
        <w:numPr>
          <w:ilvl w:val="0"/>
          <w:numId w:val="166"/>
        </w:numPr>
        <w:tabs>
          <w:tab w:val="left" w:pos="0"/>
          <w:tab w:val="left" w:pos="567"/>
        </w:tabs>
        <w:ind w:left="0" w:firstLine="0"/>
        <w:rPr>
          <w:rFonts w:cs="Times New Roman"/>
          <w:szCs w:val="24"/>
        </w:rPr>
      </w:pPr>
      <w:r w:rsidRPr="00BA4F0F">
        <w:rPr>
          <w:rFonts w:cs="Times New Roman"/>
          <w:szCs w:val="24"/>
        </w:rPr>
        <w:t>Меропенем</w:t>
      </w:r>
    </w:p>
    <w:p w14:paraId="67C8A22A" w14:textId="77777777" w:rsidR="00C1188C" w:rsidRPr="00BA4F0F" w:rsidRDefault="00C1188C" w:rsidP="000768AC">
      <w:pPr>
        <w:numPr>
          <w:ilvl w:val="0"/>
          <w:numId w:val="164"/>
        </w:numPr>
        <w:tabs>
          <w:tab w:val="left" w:pos="0"/>
          <w:tab w:val="left" w:pos="567"/>
        </w:tabs>
        <w:ind w:left="0" w:firstLine="0"/>
        <w:rPr>
          <w:rFonts w:cs="Times New Roman"/>
          <w:szCs w:val="24"/>
        </w:rPr>
      </w:pPr>
      <w:r w:rsidRPr="00BA4F0F">
        <w:rPr>
          <w:rFonts w:cs="Times New Roman"/>
          <w:szCs w:val="24"/>
        </w:rPr>
        <w:t>Дозировка: по 1 г 3 раза в сутки.</w:t>
      </w:r>
    </w:p>
    <w:p w14:paraId="1702252A" w14:textId="77777777" w:rsidR="00C1188C" w:rsidRPr="00BA4F0F" w:rsidRDefault="00C1188C" w:rsidP="000768AC">
      <w:pPr>
        <w:numPr>
          <w:ilvl w:val="0"/>
          <w:numId w:val="167"/>
        </w:numPr>
        <w:tabs>
          <w:tab w:val="left" w:pos="0"/>
          <w:tab w:val="left" w:pos="567"/>
        </w:tabs>
        <w:ind w:left="0" w:firstLine="0"/>
        <w:rPr>
          <w:rFonts w:cs="Times New Roman"/>
          <w:szCs w:val="24"/>
        </w:rPr>
      </w:pPr>
      <w:r w:rsidRPr="00BA4F0F">
        <w:rPr>
          <w:rFonts w:cs="Times New Roman"/>
          <w:szCs w:val="24"/>
        </w:rPr>
        <w:t>Дорипенем</w:t>
      </w:r>
    </w:p>
    <w:p w14:paraId="4858720E" w14:textId="77777777" w:rsidR="00C1188C" w:rsidRPr="00BA4F0F" w:rsidRDefault="00C1188C" w:rsidP="000768AC">
      <w:pPr>
        <w:numPr>
          <w:ilvl w:val="0"/>
          <w:numId w:val="164"/>
        </w:numPr>
        <w:tabs>
          <w:tab w:val="left" w:pos="0"/>
          <w:tab w:val="left" w:pos="567"/>
        </w:tabs>
        <w:ind w:left="0" w:firstLine="0"/>
        <w:rPr>
          <w:rFonts w:cs="Times New Roman"/>
          <w:szCs w:val="24"/>
        </w:rPr>
      </w:pPr>
      <w:r w:rsidRPr="00BA4F0F">
        <w:rPr>
          <w:rFonts w:cs="Times New Roman"/>
          <w:szCs w:val="24"/>
        </w:rPr>
        <w:t>Дозировка: по 0,5 г 3 раза в сутки.</w:t>
      </w:r>
    </w:p>
    <w:p w14:paraId="041C6CF7" w14:textId="77777777" w:rsidR="00C1188C" w:rsidRPr="00BA4F0F" w:rsidRDefault="00C1188C" w:rsidP="00C1188C">
      <w:pPr>
        <w:tabs>
          <w:tab w:val="left" w:pos="0"/>
          <w:tab w:val="left" w:pos="567"/>
        </w:tabs>
        <w:jc w:val="center"/>
        <w:rPr>
          <w:rFonts w:cs="Times New Roman"/>
          <w:b/>
          <w:szCs w:val="24"/>
        </w:rPr>
      </w:pPr>
    </w:p>
    <w:p w14:paraId="518CE618" w14:textId="77777777" w:rsidR="00C1188C" w:rsidRPr="00BA4F0F" w:rsidRDefault="00C1188C" w:rsidP="00C1188C">
      <w:pPr>
        <w:pStyle w:val="afe"/>
        <w:ind w:left="0"/>
        <w:rPr>
          <w:rFonts w:cs="Times New Roman"/>
          <w:b/>
          <w:i/>
          <w:szCs w:val="24"/>
        </w:rPr>
      </w:pPr>
      <w:r w:rsidRPr="00BA4F0F">
        <w:rPr>
          <w:rFonts w:cs="Times New Roman"/>
          <w:b/>
          <w:i/>
          <w:szCs w:val="24"/>
        </w:rPr>
        <w:t>Оценка эффективности и модификация антимикробной терапии</w:t>
      </w:r>
    </w:p>
    <w:p w14:paraId="2564008F" w14:textId="77777777" w:rsidR="00C1188C" w:rsidRPr="00BA4F0F" w:rsidRDefault="00C1188C" w:rsidP="00C1188C">
      <w:pPr>
        <w:tabs>
          <w:tab w:val="left" w:pos="0"/>
          <w:tab w:val="left" w:pos="567"/>
        </w:tabs>
        <w:ind w:firstLine="567"/>
        <w:rPr>
          <w:rFonts w:cs="Times New Roman"/>
          <w:szCs w:val="24"/>
        </w:rPr>
      </w:pPr>
      <w:r w:rsidRPr="00BA4F0F">
        <w:rPr>
          <w:rFonts w:cs="Times New Roman"/>
          <w:szCs w:val="24"/>
        </w:rPr>
        <w:t xml:space="preserve">Следует помнить, что антибиотики не являются антипиретиками, и нормализация температуры на другой день после их назначения происходит крайне редко. Более того, при тяжелой инфекции температура становится нормальной лишь на 4—5-й день антибактериальной терапии. В то же время ожидание нормализации температуры в течение первых 4—5 дней антимикробной терапии не должно быть пассивным. У всех больных с лихорадкой во время нейтропении необходимо провести диагностические исследования в соответствии с алгоритмом обследования представленным ранее. </w:t>
      </w:r>
    </w:p>
    <w:p w14:paraId="08763FA0" w14:textId="77777777" w:rsidR="00C1188C" w:rsidRPr="00BA4F0F" w:rsidRDefault="00C1188C" w:rsidP="00C1188C">
      <w:pPr>
        <w:tabs>
          <w:tab w:val="left" w:pos="0"/>
          <w:tab w:val="left" w:pos="567"/>
        </w:tabs>
        <w:jc w:val="center"/>
        <w:rPr>
          <w:rFonts w:cs="Times New Roman"/>
          <w:b/>
          <w:szCs w:val="24"/>
        </w:rPr>
      </w:pPr>
    </w:p>
    <w:p w14:paraId="3B739027" w14:textId="77777777" w:rsidR="00C1188C" w:rsidRPr="00BA4F0F" w:rsidRDefault="00C1188C" w:rsidP="00C1188C">
      <w:pPr>
        <w:pStyle w:val="afe"/>
        <w:ind w:left="0"/>
        <w:rPr>
          <w:rFonts w:cs="Times New Roman"/>
          <w:b/>
          <w:i/>
          <w:szCs w:val="24"/>
        </w:rPr>
      </w:pPr>
      <w:r w:rsidRPr="00BA4F0F">
        <w:rPr>
          <w:rFonts w:cs="Times New Roman"/>
          <w:b/>
          <w:i/>
          <w:szCs w:val="24"/>
        </w:rPr>
        <w:t>Модификация антимикробной терапии на 4-5-й день</w:t>
      </w:r>
    </w:p>
    <w:p w14:paraId="5B6DF664" w14:textId="77777777" w:rsidR="00C1188C" w:rsidRPr="00BA4F0F" w:rsidRDefault="00C1188C" w:rsidP="000768AC">
      <w:pPr>
        <w:numPr>
          <w:ilvl w:val="0"/>
          <w:numId w:val="167"/>
        </w:numPr>
        <w:tabs>
          <w:tab w:val="left" w:pos="0"/>
          <w:tab w:val="left" w:pos="567"/>
        </w:tabs>
        <w:ind w:left="0" w:firstLine="0"/>
        <w:rPr>
          <w:rFonts w:cs="Times New Roman"/>
          <w:szCs w:val="24"/>
        </w:rPr>
      </w:pPr>
      <w:r w:rsidRPr="00BA4F0F">
        <w:rPr>
          <w:rFonts w:cs="Times New Roman"/>
          <w:szCs w:val="24"/>
        </w:rPr>
        <w:t>Показания:</w:t>
      </w:r>
    </w:p>
    <w:p w14:paraId="24924C72" w14:textId="77777777" w:rsidR="00C1188C" w:rsidRPr="00BA4F0F" w:rsidRDefault="00C1188C" w:rsidP="000768AC">
      <w:pPr>
        <w:numPr>
          <w:ilvl w:val="0"/>
          <w:numId w:val="168"/>
        </w:numPr>
        <w:tabs>
          <w:tab w:val="left" w:pos="0"/>
          <w:tab w:val="left" w:pos="567"/>
        </w:tabs>
        <w:ind w:left="0" w:firstLine="0"/>
        <w:rPr>
          <w:rFonts w:cs="Times New Roman"/>
          <w:szCs w:val="24"/>
        </w:rPr>
      </w:pPr>
      <w:r w:rsidRPr="00BA4F0F">
        <w:rPr>
          <w:rFonts w:cs="Times New Roman"/>
          <w:szCs w:val="24"/>
        </w:rPr>
        <w:t>Стабильное соматическое состояние больного.</w:t>
      </w:r>
    </w:p>
    <w:p w14:paraId="1B8B7D65" w14:textId="77777777" w:rsidR="00C1188C" w:rsidRPr="00BA4F0F" w:rsidRDefault="00C1188C" w:rsidP="000768AC">
      <w:pPr>
        <w:numPr>
          <w:ilvl w:val="0"/>
          <w:numId w:val="168"/>
        </w:numPr>
        <w:tabs>
          <w:tab w:val="left" w:pos="0"/>
          <w:tab w:val="left" w:pos="567"/>
        </w:tabs>
        <w:ind w:left="0" w:firstLine="0"/>
        <w:rPr>
          <w:rFonts w:cs="Times New Roman"/>
          <w:szCs w:val="24"/>
        </w:rPr>
      </w:pPr>
      <w:r w:rsidRPr="00BA4F0F">
        <w:rPr>
          <w:rFonts w:cs="Times New Roman"/>
          <w:szCs w:val="24"/>
        </w:rPr>
        <w:t>Отрицательные результаты диагностических исследований.</w:t>
      </w:r>
    </w:p>
    <w:p w14:paraId="51564636" w14:textId="77777777" w:rsidR="00C1188C" w:rsidRPr="00BA4F0F" w:rsidRDefault="00C1188C" w:rsidP="000768AC">
      <w:pPr>
        <w:numPr>
          <w:ilvl w:val="0"/>
          <w:numId w:val="168"/>
        </w:numPr>
        <w:tabs>
          <w:tab w:val="left" w:pos="0"/>
          <w:tab w:val="left" w:pos="567"/>
        </w:tabs>
        <w:ind w:left="0" w:firstLine="0"/>
        <w:rPr>
          <w:rFonts w:cs="Times New Roman"/>
          <w:szCs w:val="24"/>
        </w:rPr>
      </w:pPr>
      <w:r w:rsidRPr="00BA4F0F">
        <w:rPr>
          <w:rFonts w:cs="Times New Roman"/>
          <w:szCs w:val="24"/>
        </w:rPr>
        <w:t>Отсутствие новых симптомов инфекции после назначения антибиотиков.</w:t>
      </w:r>
    </w:p>
    <w:p w14:paraId="75D05A22" w14:textId="77777777" w:rsidR="00C1188C" w:rsidRPr="00BA4F0F" w:rsidRDefault="00C1188C" w:rsidP="000768AC">
      <w:pPr>
        <w:numPr>
          <w:ilvl w:val="0"/>
          <w:numId w:val="169"/>
        </w:numPr>
        <w:tabs>
          <w:tab w:val="left" w:pos="0"/>
          <w:tab w:val="left" w:pos="567"/>
        </w:tabs>
        <w:ind w:left="0" w:firstLine="0"/>
        <w:rPr>
          <w:rFonts w:cs="Times New Roman"/>
          <w:szCs w:val="24"/>
        </w:rPr>
      </w:pPr>
      <w:r w:rsidRPr="00BA4F0F">
        <w:rPr>
          <w:rFonts w:cs="Times New Roman"/>
          <w:szCs w:val="24"/>
        </w:rPr>
        <w:t>Возможные причины длительной лихорадки (более 4 суток):</w:t>
      </w:r>
    </w:p>
    <w:p w14:paraId="551EC65B" w14:textId="77777777" w:rsidR="00C1188C" w:rsidRPr="00BA4F0F" w:rsidRDefault="00C1188C" w:rsidP="000768AC">
      <w:pPr>
        <w:numPr>
          <w:ilvl w:val="0"/>
          <w:numId w:val="170"/>
        </w:numPr>
        <w:tabs>
          <w:tab w:val="left" w:pos="0"/>
          <w:tab w:val="left" w:pos="567"/>
        </w:tabs>
        <w:ind w:left="0" w:firstLine="0"/>
        <w:rPr>
          <w:rFonts w:cs="Times New Roman"/>
          <w:szCs w:val="24"/>
        </w:rPr>
      </w:pPr>
      <w:r w:rsidRPr="00BA4F0F">
        <w:rPr>
          <w:rFonts w:cs="Times New Roman"/>
          <w:szCs w:val="24"/>
        </w:rPr>
        <w:t>Не обнаружен очаг инфекции.</w:t>
      </w:r>
    </w:p>
    <w:p w14:paraId="18AC8294" w14:textId="77777777" w:rsidR="00C1188C" w:rsidRPr="00BA4F0F" w:rsidRDefault="00C1188C" w:rsidP="000768AC">
      <w:pPr>
        <w:numPr>
          <w:ilvl w:val="0"/>
          <w:numId w:val="170"/>
        </w:numPr>
        <w:tabs>
          <w:tab w:val="left" w:pos="0"/>
          <w:tab w:val="left" w:pos="567"/>
        </w:tabs>
        <w:ind w:left="0" w:firstLine="0"/>
        <w:rPr>
          <w:rFonts w:cs="Times New Roman"/>
          <w:szCs w:val="24"/>
        </w:rPr>
      </w:pPr>
      <w:r w:rsidRPr="00BA4F0F">
        <w:rPr>
          <w:rFonts w:cs="Times New Roman"/>
          <w:szCs w:val="24"/>
        </w:rPr>
        <w:t>Наличие инфекции, вызванной другими возбудителями (не бактериями).</w:t>
      </w:r>
    </w:p>
    <w:p w14:paraId="2D1A225C" w14:textId="77777777" w:rsidR="00C1188C" w:rsidRPr="00BA4F0F" w:rsidRDefault="00C1188C" w:rsidP="000768AC">
      <w:pPr>
        <w:numPr>
          <w:ilvl w:val="0"/>
          <w:numId w:val="170"/>
        </w:numPr>
        <w:tabs>
          <w:tab w:val="left" w:pos="0"/>
          <w:tab w:val="left" w:pos="567"/>
        </w:tabs>
        <w:ind w:left="0" w:firstLine="0"/>
        <w:rPr>
          <w:rFonts w:cs="Times New Roman"/>
          <w:szCs w:val="24"/>
        </w:rPr>
      </w:pPr>
      <w:r w:rsidRPr="00BA4F0F">
        <w:rPr>
          <w:rFonts w:cs="Times New Roman"/>
          <w:szCs w:val="24"/>
        </w:rPr>
        <w:t>Бактериальная инфекция, вызванная резистентными микроорганизмами.</w:t>
      </w:r>
    </w:p>
    <w:p w14:paraId="5EA4FEE8" w14:textId="77777777" w:rsidR="00C1188C" w:rsidRPr="00BA4F0F" w:rsidRDefault="00C1188C" w:rsidP="000768AC">
      <w:pPr>
        <w:numPr>
          <w:ilvl w:val="0"/>
          <w:numId w:val="170"/>
        </w:numPr>
        <w:tabs>
          <w:tab w:val="left" w:pos="0"/>
          <w:tab w:val="left" w:pos="567"/>
        </w:tabs>
        <w:ind w:left="0" w:firstLine="0"/>
        <w:rPr>
          <w:rFonts w:cs="Times New Roman"/>
          <w:szCs w:val="24"/>
        </w:rPr>
      </w:pPr>
      <w:r w:rsidRPr="00BA4F0F">
        <w:rPr>
          <w:rFonts w:cs="Times New Roman"/>
          <w:szCs w:val="24"/>
        </w:rPr>
        <w:t>Присоединение вторичной инфекции.</w:t>
      </w:r>
    </w:p>
    <w:p w14:paraId="7AD4022A" w14:textId="77777777" w:rsidR="00C1188C" w:rsidRPr="00BA4F0F" w:rsidRDefault="00C1188C" w:rsidP="000768AC">
      <w:pPr>
        <w:numPr>
          <w:ilvl w:val="0"/>
          <w:numId w:val="170"/>
        </w:numPr>
        <w:tabs>
          <w:tab w:val="left" w:pos="0"/>
          <w:tab w:val="left" w:pos="567"/>
        </w:tabs>
        <w:ind w:left="0" w:firstLine="0"/>
        <w:rPr>
          <w:rFonts w:cs="Times New Roman"/>
          <w:szCs w:val="24"/>
        </w:rPr>
      </w:pPr>
      <w:r w:rsidRPr="00BA4F0F">
        <w:rPr>
          <w:rFonts w:cs="Times New Roman"/>
          <w:szCs w:val="24"/>
        </w:rPr>
        <w:t>Лекарственная лихорадка.</w:t>
      </w:r>
    </w:p>
    <w:p w14:paraId="3263F713" w14:textId="77777777" w:rsidR="00C1188C" w:rsidRPr="00BA4F0F" w:rsidRDefault="00C1188C" w:rsidP="000768AC">
      <w:pPr>
        <w:numPr>
          <w:ilvl w:val="0"/>
          <w:numId w:val="170"/>
        </w:numPr>
        <w:tabs>
          <w:tab w:val="left" w:pos="0"/>
          <w:tab w:val="left" w:pos="567"/>
        </w:tabs>
        <w:ind w:left="0" w:firstLine="0"/>
        <w:rPr>
          <w:rFonts w:cs="Times New Roman"/>
          <w:szCs w:val="24"/>
        </w:rPr>
      </w:pPr>
      <w:r w:rsidRPr="00BA4F0F">
        <w:rPr>
          <w:rFonts w:cs="Times New Roman"/>
          <w:szCs w:val="24"/>
        </w:rPr>
        <w:t>Недостаточная пенетрация антибиотиков в очаг поражения (например, при абсцессе).</w:t>
      </w:r>
    </w:p>
    <w:p w14:paraId="400A6A72" w14:textId="77777777" w:rsidR="00C1188C" w:rsidRPr="00BA4F0F" w:rsidRDefault="00C1188C" w:rsidP="000768AC">
      <w:pPr>
        <w:numPr>
          <w:ilvl w:val="0"/>
          <w:numId w:val="171"/>
        </w:numPr>
        <w:tabs>
          <w:tab w:val="left" w:pos="0"/>
          <w:tab w:val="left" w:pos="567"/>
        </w:tabs>
        <w:ind w:left="0" w:firstLine="0"/>
        <w:rPr>
          <w:rFonts w:cs="Times New Roman"/>
          <w:szCs w:val="24"/>
        </w:rPr>
      </w:pPr>
      <w:r w:rsidRPr="00BA4F0F">
        <w:rPr>
          <w:rFonts w:cs="Times New Roman"/>
          <w:szCs w:val="24"/>
        </w:rPr>
        <w:t>При лихорадке неясного генеза длительностью более 4 суток повторяют диагностические исследования. Обязательным в этот период является проведение КТ легких.</w:t>
      </w:r>
    </w:p>
    <w:p w14:paraId="6AA26962" w14:textId="77777777" w:rsidR="00C1188C" w:rsidRPr="00BA4F0F" w:rsidRDefault="00C1188C" w:rsidP="000768AC">
      <w:pPr>
        <w:numPr>
          <w:ilvl w:val="0"/>
          <w:numId w:val="171"/>
        </w:numPr>
        <w:tabs>
          <w:tab w:val="left" w:pos="0"/>
          <w:tab w:val="left" w:pos="567"/>
        </w:tabs>
        <w:ind w:left="0" w:firstLine="0"/>
        <w:rPr>
          <w:rFonts w:cs="Times New Roman"/>
          <w:szCs w:val="24"/>
        </w:rPr>
      </w:pPr>
      <w:r w:rsidRPr="00BA4F0F">
        <w:rPr>
          <w:rFonts w:cs="Times New Roman"/>
          <w:szCs w:val="24"/>
        </w:rPr>
        <w:t>Варианты модификации антимикробной терапии на 4-5 день фебрильной нейтропении (микробиологические исследование отрицательные, пневмонии по данным КТ нет, состояние стабильное):</w:t>
      </w:r>
    </w:p>
    <w:p w14:paraId="73B1C9DD" w14:textId="77777777" w:rsidR="00C1188C" w:rsidRPr="00BA4F0F" w:rsidRDefault="00C1188C" w:rsidP="000768AC">
      <w:pPr>
        <w:numPr>
          <w:ilvl w:val="0"/>
          <w:numId w:val="172"/>
        </w:numPr>
        <w:tabs>
          <w:tab w:val="left" w:pos="0"/>
          <w:tab w:val="left" w:pos="567"/>
        </w:tabs>
        <w:ind w:left="0" w:firstLine="0"/>
        <w:rPr>
          <w:rFonts w:cs="Times New Roman"/>
          <w:szCs w:val="24"/>
        </w:rPr>
      </w:pPr>
      <w:r w:rsidRPr="00BA4F0F">
        <w:rPr>
          <w:rFonts w:cs="Times New Roman"/>
          <w:szCs w:val="24"/>
        </w:rPr>
        <w:t xml:space="preserve">Отменяют антибиотики первого этапа и назначают карбапенем (меропенем или имипенем/циластатин), если в течение всех 4—5 дней не было снижения температуры и имеется колонизация слизистой оболочки кишечника энтеробактериями с продукцией БЛРС. </w:t>
      </w:r>
    </w:p>
    <w:p w14:paraId="069A0765" w14:textId="77777777" w:rsidR="00C1188C" w:rsidRPr="00BA4F0F" w:rsidRDefault="00C1188C" w:rsidP="000768AC">
      <w:pPr>
        <w:numPr>
          <w:ilvl w:val="0"/>
          <w:numId w:val="172"/>
        </w:numPr>
        <w:tabs>
          <w:tab w:val="left" w:pos="0"/>
          <w:tab w:val="left" w:pos="567"/>
        </w:tabs>
        <w:ind w:left="0" w:firstLine="0"/>
        <w:rPr>
          <w:rFonts w:cs="Times New Roman"/>
          <w:szCs w:val="24"/>
        </w:rPr>
      </w:pPr>
      <w:r w:rsidRPr="00BA4F0F">
        <w:rPr>
          <w:rFonts w:cs="Times New Roman"/>
          <w:szCs w:val="24"/>
        </w:rPr>
        <w:t xml:space="preserve">Добавляют ванкомицин, линезолид, тедизолид или даптомицин к антибиотикам первого этапа при симптомах мукозита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w:t>
      </w:r>
    </w:p>
    <w:p w14:paraId="5E1A5494" w14:textId="77777777" w:rsidR="00C1188C" w:rsidRPr="00BA4F0F" w:rsidRDefault="00C1188C" w:rsidP="000768AC">
      <w:pPr>
        <w:numPr>
          <w:ilvl w:val="0"/>
          <w:numId w:val="173"/>
        </w:numPr>
        <w:tabs>
          <w:tab w:val="left" w:pos="0"/>
          <w:tab w:val="left" w:pos="567"/>
        </w:tabs>
        <w:ind w:left="0" w:firstLine="0"/>
        <w:rPr>
          <w:rFonts w:cs="Times New Roman"/>
          <w:szCs w:val="24"/>
        </w:rPr>
      </w:pPr>
      <w:r w:rsidRPr="00BA4F0F">
        <w:rPr>
          <w:rFonts w:cs="Times New Roman"/>
          <w:szCs w:val="24"/>
        </w:rPr>
        <w:t>Ванкомицин: по 1 г 2 раза в сутки.</w:t>
      </w:r>
    </w:p>
    <w:p w14:paraId="332B9605" w14:textId="77777777" w:rsidR="00C1188C" w:rsidRPr="00BA4F0F" w:rsidRDefault="00C1188C" w:rsidP="000768AC">
      <w:pPr>
        <w:numPr>
          <w:ilvl w:val="0"/>
          <w:numId w:val="173"/>
        </w:numPr>
        <w:tabs>
          <w:tab w:val="left" w:pos="0"/>
          <w:tab w:val="left" w:pos="567"/>
        </w:tabs>
        <w:ind w:left="0" w:firstLine="0"/>
        <w:rPr>
          <w:rFonts w:cs="Times New Roman"/>
          <w:szCs w:val="24"/>
        </w:rPr>
      </w:pPr>
      <w:r w:rsidRPr="00BA4F0F">
        <w:rPr>
          <w:rFonts w:cs="Times New Roman"/>
          <w:szCs w:val="24"/>
        </w:rPr>
        <w:t>Тедизолид: по 0,2 г 1 раз в сутки.</w:t>
      </w:r>
    </w:p>
    <w:p w14:paraId="2A271901" w14:textId="77777777" w:rsidR="00C1188C" w:rsidRPr="00BA4F0F" w:rsidRDefault="00C1188C" w:rsidP="000768AC">
      <w:pPr>
        <w:numPr>
          <w:ilvl w:val="0"/>
          <w:numId w:val="173"/>
        </w:numPr>
        <w:tabs>
          <w:tab w:val="left" w:pos="0"/>
          <w:tab w:val="left" w:pos="567"/>
        </w:tabs>
        <w:ind w:left="0" w:firstLine="0"/>
        <w:rPr>
          <w:rFonts w:cs="Times New Roman"/>
          <w:szCs w:val="24"/>
        </w:rPr>
      </w:pPr>
      <w:r w:rsidRPr="00BA4F0F">
        <w:rPr>
          <w:rFonts w:cs="Times New Roman"/>
          <w:szCs w:val="24"/>
        </w:rPr>
        <w:t>Даптомицин: по 8-10 мг/кг 1 раз в сутки.</w:t>
      </w:r>
    </w:p>
    <w:p w14:paraId="38F71760" w14:textId="77777777" w:rsidR="00C1188C" w:rsidRPr="00BA4F0F" w:rsidRDefault="00C1188C" w:rsidP="000768AC">
      <w:pPr>
        <w:numPr>
          <w:ilvl w:val="0"/>
          <w:numId w:val="172"/>
        </w:numPr>
        <w:tabs>
          <w:tab w:val="left" w:pos="0"/>
          <w:tab w:val="left" w:pos="567"/>
        </w:tabs>
        <w:ind w:left="0" w:firstLine="0"/>
        <w:rPr>
          <w:rFonts w:cs="Times New Roman"/>
          <w:szCs w:val="24"/>
        </w:rPr>
      </w:pPr>
      <w:r w:rsidRPr="00BA4F0F">
        <w:rPr>
          <w:rFonts w:cs="Times New Roman"/>
          <w:szCs w:val="24"/>
        </w:rPr>
        <w:t>Добавляют каспофунгин (или микафунгин) к антибиотикам первого этапа, если наблюдалось снижение температуры до нормальных значений (исключить назначение анальгина и других жаропонижающих средств), а затем (на следующий день или через день) — вновь повышение до прежних высоких значений.</w:t>
      </w:r>
    </w:p>
    <w:p w14:paraId="7A4899CF" w14:textId="77777777" w:rsidR="00C1188C" w:rsidRPr="00BA4F0F" w:rsidRDefault="00C1188C" w:rsidP="000768AC">
      <w:pPr>
        <w:numPr>
          <w:ilvl w:val="0"/>
          <w:numId w:val="174"/>
        </w:numPr>
        <w:tabs>
          <w:tab w:val="left" w:pos="0"/>
          <w:tab w:val="left" w:pos="567"/>
        </w:tabs>
        <w:ind w:left="0" w:firstLine="0"/>
        <w:rPr>
          <w:rFonts w:cs="Times New Roman"/>
          <w:szCs w:val="24"/>
        </w:rPr>
      </w:pPr>
      <w:r w:rsidRPr="00BA4F0F">
        <w:rPr>
          <w:rFonts w:cs="Times New Roman"/>
          <w:szCs w:val="24"/>
        </w:rPr>
        <w:t>Каспофунгин: в первый день 70 мг, далее по 50 мг 1 раз в сутки.</w:t>
      </w:r>
    </w:p>
    <w:p w14:paraId="4E419588" w14:textId="77777777" w:rsidR="00C1188C" w:rsidRPr="00BA4F0F" w:rsidRDefault="00C1188C" w:rsidP="000768AC">
      <w:pPr>
        <w:numPr>
          <w:ilvl w:val="0"/>
          <w:numId w:val="172"/>
        </w:numPr>
        <w:tabs>
          <w:tab w:val="left" w:pos="0"/>
          <w:tab w:val="left" w:pos="567"/>
        </w:tabs>
        <w:ind w:left="0" w:firstLine="0"/>
        <w:rPr>
          <w:rFonts w:cs="Times New Roman"/>
          <w:szCs w:val="24"/>
        </w:rPr>
      </w:pPr>
      <w:r w:rsidRPr="00BA4F0F">
        <w:rPr>
          <w:rFonts w:cs="Times New Roman"/>
          <w:szCs w:val="24"/>
        </w:rPr>
        <w:t>Добавляют флуконазол при наличии орофарингиального кандидоза.</w:t>
      </w:r>
    </w:p>
    <w:p w14:paraId="45125BA5" w14:textId="77777777" w:rsidR="00C1188C" w:rsidRPr="00BA4F0F" w:rsidRDefault="00C1188C" w:rsidP="000768AC">
      <w:pPr>
        <w:numPr>
          <w:ilvl w:val="0"/>
          <w:numId w:val="175"/>
        </w:numPr>
        <w:tabs>
          <w:tab w:val="left" w:pos="0"/>
          <w:tab w:val="left" w:pos="567"/>
        </w:tabs>
        <w:ind w:left="0" w:firstLine="0"/>
        <w:rPr>
          <w:rFonts w:cs="Times New Roman"/>
          <w:szCs w:val="24"/>
        </w:rPr>
      </w:pPr>
      <w:r w:rsidRPr="00BA4F0F">
        <w:rPr>
          <w:rFonts w:cs="Times New Roman"/>
          <w:szCs w:val="24"/>
        </w:rPr>
        <w:t>Флуконазол: по 400 мг 1 раз в сутки.</w:t>
      </w:r>
    </w:p>
    <w:p w14:paraId="6C52AF97" w14:textId="77777777" w:rsidR="00C1188C" w:rsidRPr="00BA4F0F" w:rsidRDefault="00C1188C" w:rsidP="000768AC">
      <w:pPr>
        <w:numPr>
          <w:ilvl w:val="0"/>
          <w:numId w:val="172"/>
        </w:numPr>
        <w:tabs>
          <w:tab w:val="left" w:pos="0"/>
          <w:tab w:val="left" w:pos="567"/>
        </w:tabs>
        <w:ind w:left="0" w:firstLine="0"/>
        <w:rPr>
          <w:rFonts w:cs="Times New Roman"/>
          <w:szCs w:val="24"/>
        </w:rPr>
      </w:pPr>
      <w:r w:rsidRPr="00BA4F0F">
        <w:rPr>
          <w:rFonts w:cs="Times New Roman"/>
          <w:szCs w:val="24"/>
        </w:rPr>
        <w:t xml:space="preserve">Добавляют каспофунгин (или микафунгин) больным с персистирующей фебрильной нейтропенией и выделением </w:t>
      </w:r>
      <w:r w:rsidRPr="00BA4F0F">
        <w:rPr>
          <w:rFonts w:cs="Times New Roman"/>
          <w:i/>
          <w:szCs w:val="24"/>
        </w:rPr>
        <w:t>Candida spp.</w:t>
      </w:r>
      <w:r w:rsidRPr="00BA4F0F">
        <w:rPr>
          <w:rFonts w:cs="Times New Roman"/>
          <w:szCs w:val="24"/>
        </w:rPr>
        <w:t xml:space="preserve"> со слизистой оболочки ротоглотки и кишечника или из мочи. </w:t>
      </w:r>
    </w:p>
    <w:p w14:paraId="3B272E37" w14:textId="77777777" w:rsidR="00C1188C" w:rsidRPr="00BA4F0F" w:rsidRDefault="00C1188C" w:rsidP="000768AC">
      <w:pPr>
        <w:numPr>
          <w:ilvl w:val="0"/>
          <w:numId w:val="172"/>
        </w:numPr>
        <w:tabs>
          <w:tab w:val="left" w:pos="0"/>
          <w:tab w:val="left" w:pos="567"/>
        </w:tabs>
        <w:ind w:left="0" w:firstLine="0"/>
        <w:rPr>
          <w:rFonts w:cs="Times New Roman"/>
          <w:szCs w:val="24"/>
        </w:rPr>
      </w:pPr>
      <w:r w:rsidRPr="00BA4F0F">
        <w:rPr>
          <w:rFonts w:cs="Times New Roman"/>
          <w:szCs w:val="24"/>
        </w:rPr>
        <w:t>Добавляют вориконазол при пневмонии, резистентной к лечению антибиотиками, больным с гранулоцитопенией длительностью более 10 дней или получающим глюкокортикоиды, если не выявлены другие потенциальные возбудители пневмонии.</w:t>
      </w:r>
    </w:p>
    <w:p w14:paraId="6924BF48" w14:textId="77777777" w:rsidR="00C1188C" w:rsidRPr="00BA4F0F" w:rsidRDefault="00C1188C" w:rsidP="000768AC">
      <w:pPr>
        <w:numPr>
          <w:ilvl w:val="0"/>
          <w:numId w:val="176"/>
        </w:numPr>
        <w:tabs>
          <w:tab w:val="left" w:pos="0"/>
          <w:tab w:val="left" w:pos="567"/>
        </w:tabs>
        <w:ind w:left="0" w:firstLine="0"/>
        <w:rPr>
          <w:rFonts w:cs="Times New Roman"/>
          <w:szCs w:val="24"/>
        </w:rPr>
      </w:pPr>
      <w:r w:rsidRPr="00BA4F0F">
        <w:rPr>
          <w:rFonts w:cs="Times New Roman"/>
          <w:szCs w:val="24"/>
        </w:rPr>
        <w:t>Вориконазол: в первый день 6 мг/кг 2 раза в сутки, далее по 3 мг/кг 2 раза в сутки</w:t>
      </w:r>
    </w:p>
    <w:p w14:paraId="41CB1C0D" w14:textId="77777777" w:rsidR="00C1188C" w:rsidRPr="00BA4F0F" w:rsidRDefault="00C1188C" w:rsidP="00C1188C">
      <w:pPr>
        <w:pStyle w:val="afe"/>
        <w:ind w:left="0"/>
        <w:rPr>
          <w:rFonts w:cs="Times New Roman"/>
          <w:b/>
          <w:i/>
          <w:szCs w:val="24"/>
        </w:rPr>
      </w:pPr>
    </w:p>
    <w:p w14:paraId="27FFF1F8" w14:textId="77777777" w:rsidR="00C1188C" w:rsidRPr="00BA4F0F" w:rsidRDefault="00C1188C" w:rsidP="00C1188C">
      <w:pPr>
        <w:pStyle w:val="afe"/>
        <w:ind w:left="0"/>
        <w:rPr>
          <w:rFonts w:cs="Times New Roman"/>
          <w:b/>
          <w:i/>
          <w:szCs w:val="24"/>
        </w:rPr>
      </w:pPr>
      <w:r w:rsidRPr="00BA4F0F">
        <w:rPr>
          <w:rFonts w:cs="Times New Roman"/>
          <w:b/>
          <w:i/>
          <w:szCs w:val="24"/>
        </w:rPr>
        <w:t>Модификация антимикробной терапии в более ранние сроки</w:t>
      </w:r>
    </w:p>
    <w:p w14:paraId="20F2895E" w14:textId="77777777" w:rsidR="00C1188C" w:rsidRPr="00BA4F0F" w:rsidRDefault="00C1188C" w:rsidP="00C1188C">
      <w:pPr>
        <w:tabs>
          <w:tab w:val="left" w:pos="0"/>
          <w:tab w:val="left" w:pos="567"/>
        </w:tabs>
        <w:rPr>
          <w:rFonts w:cs="Times New Roman"/>
          <w:szCs w:val="24"/>
        </w:rPr>
      </w:pPr>
      <w:r w:rsidRPr="00BA4F0F">
        <w:rPr>
          <w:rFonts w:cs="Times New Roman"/>
          <w:szCs w:val="24"/>
        </w:rPr>
        <w:t>Модификацию антимикробной терапии в более ранние сроки (2—3-й день эмпирической антимикробной терапии) проводят на основании клинических и/или микробиологических данных.</w:t>
      </w:r>
    </w:p>
    <w:p w14:paraId="138C9F90" w14:textId="77777777" w:rsidR="00C1188C" w:rsidRPr="00BA4F0F" w:rsidRDefault="00C1188C" w:rsidP="00C1188C">
      <w:pPr>
        <w:pStyle w:val="afe"/>
        <w:ind w:left="0"/>
        <w:rPr>
          <w:rFonts w:cs="Times New Roman"/>
          <w:b/>
          <w:i/>
          <w:szCs w:val="24"/>
        </w:rPr>
      </w:pPr>
    </w:p>
    <w:p w14:paraId="14D20492" w14:textId="77777777" w:rsidR="00C1188C" w:rsidRPr="00BA4F0F" w:rsidRDefault="00C1188C" w:rsidP="00C1188C">
      <w:pPr>
        <w:pStyle w:val="afe"/>
        <w:ind w:left="0"/>
        <w:rPr>
          <w:rFonts w:cs="Times New Roman"/>
          <w:b/>
          <w:i/>
          <w:szCs w:val="24"/>
        </w:rPr>
      </w:pPr>
      <w:r w:rsidRPr="00BA4F0F">
        <w:rPr>
          <w:rFonts w:cs="Times New Roman"/>
          <w:b/>
          <w:i/>
          <w:szCs w:val="24"/>
        </w:rPr>
        <w:t>Артериальная гипотония, клиника септического шока</w:t>
      </w:r>
    </w:p>
    <w:p w14:paraId="580623CA" w14:textId="77777777" w:rsidR="00C1188C" w:rsidRPr="00BA4F0F" w:rsidRDefault="00C1188C" w:rsidP="000768AC">
      <w:pPr>
        <w:numPr>
          <w:ilvl w:val="0"/>
          <w:numId w:val="177"/>
        </w:numPr>
        <w:tabs>
          <w:tab w:val="left" w:pos="0"/>
          <w:tab w:val="left" w:pos="567"/>
        </w:tabs>
        <w:ind w:left="0" w:firstLine="0"/>
        <w:rPr>
          <w:rFonts w:cs="Times New Roman"/>
          <w:szCs w:val="24"/>
        </w:rPr>
      </w:pPr>
      <w:r w:rsidRPr="00BA4F0F">
        <w:rPr>
          <w:rFonts w:cs="Times New Roman"/>
          <w:szCs w:val="24"/>
        </w:rPr>
        <w:t>Вместо цефалоспорина назначают карбапенем — меропенем, имипенем/циластатин или дорипенем.</w:t>
      </w:r>
    </w:p>
    <w:p w14:paraId="7E97D28C" w14:textId="77777777" w:rsidR="00C1188C" w:rsidRPr="00BA4F0F" w:rsidRDefault="00C1188C" w:rsidP="00C1188C">
      <w:pPr>
        <w:tabs>
          <w:tab w:val="left" w:pos="0"/>
          <w:tab w:val="left" w:pos="567"/>
        </w:tabs>
        <w:rPr>
          <w:rFonts w:cs="Times New Roman"/>
          <w:szCs w:val="24"/>
        </w:rPr>
      </w:pPr>
    </w:p>
    <w:p w14:paraId="217540B8" w14:textId="77777777" w:rsidR="00C1188C" w:rsidRPr="00BA4F0F" w:rsidRDefault="00C1188C" w:rsidP="00C1188C">
      <w:pPr>
        <w:pStyle w:val="afe"/>
        <w:ind w:left="0"/>
        <w:rPr>
          <w:rFonts w:cs="Times New Roman"/>
          <w:b/>
          <w:i/>
          <w:szCs w:val="24"/>
        </w:rPr>
      </w:pPr>
      <w:r w:rsidRPr="00BA4F0F">
        <w:rPr>
          <w:rFonts w:cs="Times New Roman"/>
          <w:b/>
          <w:i/>
          <w:szCs w:val="24"/>
        </w:rPr>
        <w:t>Развитие пневмонии в течение первых 2—3 дней фебрильной нейтропении</w:t>
      </w:r>
    </w:p>
    <w:p w14:paraId="2A409010" w14:textId="77777777" w:rsidR="00C1188C" w:rsidRPr="00BA4F0F" w:rsidRDefault="00C1188C" w:rsidP="000768AC">
      <w:pPr>
        <w:numPr>
          <w:ilvl w:val="0"/>
          <w:numId w:val="177"/>
        </w:numPr>
        <w:tabs>
          <w:tab w:val="left" w:pos="0"/>
          <w:tab w:val="left" w:pos="567"/>
        </w:tabs>
        <w:ind w:left="0" w:firstLine="0"/>
        <w:rPr>
          <w:rFonts w:cs="Times New Roman"/>
          <w:szCs w:val="24"/>
        </w:rPr>
      </w:pPr>
      <w:r w:rsidRPr="00BA4F0F">
        <w:rPr>
          <w:rFonts w:cs="Times New Roman"/>
          <w:szCs w:val="24"/>
        </w:rPr>
        <w:t>При стабильной ситуации проводят БАЛ и дальнейшую модификацию антимикробной терапии осуществляют в соответствии с результатами микробиологического исследования.</w:t>
      </w:r>
    </w:p>
    <w:p w14:paraId="09E378A7" w14:textId="77777777" w:rsidR="00C1188C" w:rsidRPr="00BA4F0F" w:rsidRDefault="00C1188C" w:rsidP="000768AC">
      <w:pPr>
        <w:numPr>
          <w:ilvl w:val="0"/>
          <w:numId w:val="177"/>
        </w:numPr>
        <w:tabs>
          <w:tab w:val="left" w:pos="0"/>
          <w:tab w:val="left" w:pos="567"/>
        </w:tabs>
        <w:ind w:left="0" w:firstLine="0"/>
        <w:rPr>
          <w:rFonts w:cs="Times New Roman"/>
          <w:szCs w:val="24"/>
        </w:rPr>
      </w:pPr>
      <w:r w:rsidRPr="00BA4F0F">
        <w:rPr>
          <w:rFonts w:cs="Times New Roman"/>
          <w:szCs w:val="24"/>
        </w:rPr>
        <w:t>При нестабильном соматическом состоянии или невозможности выполнения БАЛ назначают карбапенем (меропенем, имипенем/циластатин илиьдорипенем) и отменяют антибиотики первого этапа.</w:t>
      </w:r>
    </w:p>
    <w:p w14:paraId="7698530A" w14:textId="77777777" w:rsidR="00C1188C" w:rsidRPr="00BA4F0F" w:rsidRDefault="00C1188C" w:rsidP="00C1188C">
      <w:pPr>
        <w:tabs>
          <w:tab w:val="left" w:pos="0"/>
          <w:tab w:val="left" w:pos="567"/>
        </w:tabs>
        <w:rPr>
          <w:rFonts w:cs="Times New Roman"/>
          <w:b/>
          <w:szCs w:val="24"/>
        </w:rPr>
      </w:pPr>
    </w:p>
    <w:p w14:paraId="4CB6A590" w14:textId="77777777" w:rsidR="00C1188C" w:rsidRPr="00BA4F0F" w:rsidRDefault="00C1188C" w:rsidP="00C1188C">
      <w:pPr>
        <w:pStyle w:val="afe"/>
        <w:ind w:left="0"/>
        <w:rPr>
          <w:rFonts w:cs="Times New Roman"/>
          <w:b/>
          <w:i/>
          <w:szCs w:val="24"/>
        </w:rPr>
      </w:pPr>
      <w:r w:rsidRPr="00BA4F0F">
        <w:rPr>
          <w:rFonts w:cs="Times New Roman"/>
          <w:b/>
          <w:i/>
          <w:szCs w:val="24"/>
        </w:rPr>
        <w:t>Появление септикопиемических очагов на коже</w:t>
      </w:r>
    </w:p>
    <w:p w14:paraId="15FA53C4" w14:textId="77777777" w:rsidR="00C1188C" w:rsidRPr="00BA4F0F" w:rsidRDefault="00C1188C" w:rsidP="00C1188C">
      <w:pPr>
        <w:tabs>
          <w:tab w:val="left" w:pos="0"/>
          <w:tab w:val="left" w:pos="567"/>
        </w:tabs>
        <w:rPr>
          <w:rFonts w:cs="Times New Roman"/>
          <w:szCs w:val="24"/>
        </w:rPr>
      </w:pPr>
      <w:r w:rsidRPr="00BA4F0F">
        <w:rPr>
          <w:rFonts w:cs="Times New Roman"/>
          <w:szCs w:val="24"/>
        </w:rPr>
        <w:t>Вместо цефалоспорина назначают карбапенем — меропенем, имипенем/циластатин или дорипенем.</w:t>
      </w:r>
    </w:p>
    <w:p w14:paraId="3F6C407F" w14:textId="77777777" w:rsidR="00C1188C" w:rsidRPr="00BA4F0F" w:rsidRDefault="00C1188C" w:rsidP="00C1188C">
      <w:pPr>
        <w:tabs>
          <w:tab w:val="left" w:pos="0"/>
          <w:tab w:val="left" w:pos="567"/>
        </w:tabs>
        <w:rPr>
          <w:rFonts w:cs="Times New Roman"/>
          <w:b/>
          <w:szCs w:val="24"/>
        </w:rPr>
      </w:pPr>
    </w:p>
    <w:p w14:paraId="36F32E1D" w14:textId="77777777" w:rsidR="00C1188C" w:rsidRPr="00BA4F0F" w:rsidRDefault="00C1188C" w:rsidP="00C1188C">
      <w:pPr>
        <w:pStyle w:val="afe"/>
        <w:ind w:left="0"/>
        <w:rPr>
          <w:rFonts w:cs="Times New Roman"/>
          <w:b/>
          <w:i/>
          <w:szCs w:val="24"/>
        </w:rPr>
      </w:pPr>
      <w:r w:rsidRPr="00BA4F0F">
        <w:rPr>
          <w:rFonts w:cs="Times New Roman"/>
          <w:b/>
          <w:i/>
          <w:szCs w:val="24"/>
        </w:rPr>
        <w:t>При выделении из крови грамотрицательных микробов (микроскопия)</w:t>
      </w:r>
    </w:p>
    <w:p w14:paraId="2A3CF08B" w14:textId="77777777" w:rsidR="00C1188C" w:rsidRPr="00BA4F0F" w:rsidRDefault="00C1188C" w:rsidP="000768AC">
      <w:pPr>
        <w:numPr>
          <w:ilvl w:val="0"/>
          <w:numId w:val="178"/>
        </w:numPr>
        <w:tabs>
          <w:tab w:val="left" w:pos="0"/>
          <w:tab w:val="left" w:pos="567"/>
        </w:tabs>
        <w:ind w:left="0" w:firstLine="0"/>
        <w:rPr>
          <w:rFonts w:cs="Times New Roman"/>
          <w:szCs w:val="24"/>
        </w:rPr>
      </w:pPr>
      <w:r w:rsidRPr="00BA4F0F">
        <w:rPr>
          <w:rFonts w:cs="Times New Roman"/>
          <w:szCs w:val="24"/>
        </w:rPr>
        <w:t>Оставляют прежние антибиотики при стабильном соматическом состоянии (нет ухудшения) до идентификации бактерий и определения их антибиотикочувствительности.</w:t>
      </w:r>
    </w:p>
    <w:p w14:paraId="7EE4CE72" w14:textId="77777777" w:rsidR="00C1188C" w:rsidRPr="00BA4F0F" w:rsidRDefault="00C1188C" w:rsidP="000768AC">
      <w:pPr>
        <w:numPr>
          <w:ilvl w:val="0"/>
          <w:numId w:val="178"/>
        </w:numPr>
        <w:tabs>
          <w:tab w:val="left" w:pos="0"/>
          <w:tab w:val="left" w:pos="567"/>
        </w:tabs>
        <w:ind w:left="0" w:firstLine="0"/>
        <w:rPr>
          <w:rFonts w:cs="Times New Roman"/>
          <w:szCs w:val="24"/>
        </w:rPr>
      </w:pPr>
      <w:r w:rsidRPr="00BA4F0F">
        <w:rPr>
          <w:rFonts w:cs="Times New Roman"/>
          <w:szCs w:val="24"/>
        </w:rPr>
        <w:t>Проводят замену на карбапенем (меропенем или имипенем/циластатин) при ухудшении клинического состояния (например, повышение температуры, появление ознобов, развитие пневмонии и др.).</w:t>
      </w:r>
    </w:p>
    <w:p w14:paraId="2AD0F655" w14:textId="77777777" w:rsidR="00C1188C" w:rsidRPr="00BA4F0F" w:rsidRDefault="00C1188C" w:rsidP="00C1188C">
      <w:pPr>
        <w:tabs>
          <w:tab w:val="left" w:pos="0"/>
          <w:tab w:val="left" w:pos="567"/>
        </w:tabs>
        <w:rPr>
          <w:rFonts w:cs="Times New Roman"/>
          <w:b/>
          <w:szCs w:val="24"/>
        </w:rPr>
      </w:pPr>
    </w:p>
    <w:p w14:paraId="2D86EBBA" w14:textId="77777777" w:rsidR="00C1188C" w:rsidRPr="00BA4F0F" w:rsidRDefault="00C1188C" w:rsidP="00C1188C">
      <w:pPr>
        <w:pStyle w:val="afe"/>
        <w:ind w:left="0"/>
        <w:rPr>
          <w:rFonts w:cs="Times New Roman"/>
          <w:b/>
          <w:i/>
          <w:szCs w:val="24"/>
        </w:rPr>
      </w:pPr>
      <w:r w:rsidRPr="00BA4F0F">
        <w:rPr>
          <w:rFonts w:cs="Times New Roman"/>
          <w:b/>
          <w:i/>
          <w:szCs w:val="24"/>
        </w:rPr>
        <w:t>При выделении из крови грамположительных бактерий (микроскопия)</w:t>
      </w:r>
    </w:p>
    <w:p w14:paraId="2C0E1809" w14:textId="77777777" w:rsidR="00C1188C" w:rsidRPr="00BA4F0F" w:rsidRDefault="00C1188C" w:rsidP="000768AC">
      <w:pPr>
        <w:numPr>
          <w:ilvl w:val="0"/>
          <w:numId w:val="179"/>
        </w:numPr>
        <w:tabs>
          <w:tab w:val="left" w:pos="0"/>
          <w:tab w:val="left" w:pos="567"/>
        </w:tabs>
        <w:ind w:left="0" w:firstLine="0"/>
        <w:rPr>
          <w:rFonts w:cs="Times New Roman"/>
          <w:szCs w:val="24"/>
        </w:rPr>
      </w:pPr>
      <w:r w:rsidRPr="00BA4F0F">
        <w:rPr>
          <w:rFonts w:cs="Times New Roman"/>
          <w:szCs w:val="24"/>
        </w:rPr>
        <w:t>Добавляют даптомицин (в дозе 10 мг/кг 1 раз в сутки) или ванкомицин при сепсисе, появлении септикопиемических отсевов на коже, ухудшении соматического состояния пациента, повторном выделении грамположительных бактерий из крови. Препаратом выбора в лечении инфекций кровотока, вызванных грамположительными бактериями, является даптомицин.</w:t>
      </w:r>
    </w:p>
    <w:p w14:paraId="33BCE677" w14:textId="77777777" w:rsidR="00C1188C" w:rsidRPr="00BA4F0F" w:rsidRDefault="00C1188C" w:rsidP="000768AC">
      <w:pPr>
        <w:numPr>
          <w:ilvl w:val="0"/>
          <w:numId w:val="179"/>
        </w:numPr>
        <w:tabs>
          <w:tab w:val="left" w:pos="0"/>
          <w:tab w:val="left" w:pos="567"/>
        </w:tabs>
        <w:ind w:left="0" w:firstLine="0"/>
        <w:rPr>
          <w:rFonts w:cs="Times New Roman"/>
          <w:szCs w:val="24"/>
        </w:rPr>
      </w:pPr>
      <w:r w:rsidRPr="00BA4F0F">
        <w:rPr>
          <w:rFonts w:cs="Times New Roman"/>
          <w:szCs w:val="24"/>
        </w:rPr>
        <w:t xml:space="preserve">Добавляют линезолид (по 600 мг 2 раза в сутки), если у больного выделены из гемокультуры стрептококки группы </w:t>
      </w:r>
      <w:r w:rsidRPr="00BA4F0F">
        <w:rPr>
          <w:rFonts w:cs="Times New Roman"/>
          <w:i/>
          <w:szCs w:val="24"/>
        </w:rPr>
        <w:t xml:space="preserve">viridans </w:t>
      </w:r>
      <w:r w:rsidRPr="00BA4F0F">
        <w:rPr>
          <w:rFonts w:cs="Times New Roman"/>
          <w:szCs w:val="24"/>
        </w:rPr>
        <w:t xml:space="preserve">и присоединилась пневмония. </w:t>
      </w:r>
    </w:p>
    <w:p w14:paraId="70E22ADC" w14:textId="77777777" w:rsidR="00C1188C" w:rsidRPr="00BA4F0F" w:rsidRDefault="00C1188C" w:rsidP="000768AC">
      <w:pPr>
        <w:numPr>
          <w:ilvl w:val="0"/>
          <w:numId w:val="179"/>
        </w:numPr>
        <w:tabs>
          <w:tab w:val="left" w:pos="0"/>
          <w:tab w:val="left" w:pos="567"/>
        </w:tabs>
        <w:ind w:left="0" w:firstLine="0"/>
        <w:rPr>
          <w:rFonts w:cs="Times New Roman"/>
          <w:szCs w:val="24"/>
        </w:rPr>
      </w:pPr>
      <w:r w:rsidRPr="00BA4F0F">
        <w:rPr>
          <w:rFonts w:cs="Times New Roman"/>
          <w:szCs w:val="24"/>
        </w:rPr>
        <w:t>Оставляют антимикробную терапию прежней до получения результатов микробиологического исследования (идентификация вида возбудителя, определение его чувствительности к антибиотикам) при стабильном соматическом состоянии больного (температура прежняя).</w:t>
      </w:r>
    </w:p>
    <w:p w14:paraId="2F932CA3" w14:textId="77777777" w:rsidR="00C1188C" w:rsidRPr="00BA4F0F" w:rsidRDefault="00C1188C" w:rsidP="00C1188C">
      <w:pPr>
        <w:tabs>
          <w:tab w:val="left" w:pos="0"/>
          <w:tab w:val="left" w:pos="567"/>
        </w:tabs>
        <w:rPr>
          <w:rFonts w:cs="Times New Roman"/>
          <w:b/>
          <w:szCs w:val="24"/>
        </w:rPr>
      </w:pPr>
    </w:p>
    <w:p w14:paraId="3C2446A7" w14:textId="77777777" w:rsidR="00C1188C" w:rsidRPr="00BA4F0F" w:rsidRDefault="00C1188C" w:rsidP="00C1188C">
      <w:pPr>
        <w:pStyle w:val="afe"/>
        <w:ind w:left="0"/>
        <w:rPr>
          <w:rFonts w:cs="Times New Roman"/>
          <w:b/>
          <w:i/>
          <w:szCs w:val="24"/>
        </w:rPr>
      </w:pPr>
      <w:r w:rsidRPr="00BA4F0F">
        <w:rPr>
          <w:rFonts w:cs="Times New Roman"/>
          <w:b/>
          <w:i/>
          <w:szCs w:val="24"/>
        </w:rPr>
        <w:t xml:space="preserve">Инфекция, вызванная энтеробактериями с продукцией БЛРС </w:t>
      </w:r>
    </w:p>
    <w:p w14:paraId="56B73B8D" w14:textId="77777777" w:rsidR="00C1188C" w:rsidRPr="00BA4F0F" w:rsidRDefault="00C1188C" w:rsidP="000768AC">
      <w:pPr>
        <w:numPr>
          <w:ilvl w:val="0"/>
          <w:numId w:val="180"/>
        </w:numPr>
        <w:tabs>
          <w:tab w:val="left" w:pos="0"/>
          <w:tab w:val="left" w:pos="567"/>
        </w:tabs>
        <w:ind w:left="0" w:firstLine="0"/>
        <w:rPr>
          <w:rFonts w:cs="Times New Roman"/>
          <w:szCs w:val="24"/>
        </w:rPr>
      </w:pPr>
      <w:r w:rsidRPr="00BA4F0F">
        <w:rPr>
          <w:rFonts w:cs="Times New Roman"/>
          <w:szCs w:val="24"/>
        </w:rPr>
        <w:t>Препарата выбора – карбапенем (меропенем, имипенем/циластатин или дорипенем).</w:t>
      </w:r>
    </w:p>
    <w:p w14:paraId="4E74639E" w14:textId="77777777" w:rsidR="00C1188C" w:rsidRPr="00BA4F0F" w:rsidRDefault="00C1188C" w:rsidP="000768AC">
      <w:pPr>
        <w:numPr>
          <w:ilvl w:val="0"/>
          <w:numId w:val="180"/>
        </w:numPr>
        <w:tabs>
          <w:tab w:val="left" w:pos="0"/>
          <w:tab w:val="left" w:pos="567"/>
        </w:tabs>
        <w:ind w:left="0" w:firstLine="0"/>
        <w:rPr>
          <w:rFonts w:cs="Times New Roman"/>
          <w:szCs w:val="24"/>
        </w:rPr>
      </w:pPr>
      <w:r w:rsidRPr="00BA4F0F">
        <w:rPr>
          <w:rFonts w:cs="Times New Roman"/>
          <w:szCs w:val="24"/>
        </w:rPr>
        <w:t>При неэффективности (появление септикопиемических очагов на коже или пневмонии или повышение температуры с ознобом) используют продленную инфузию или добавляют амикацин.</w:t>
      </w:r>
    </w:p>
    <w:p w14:paraId="621E849B" w14:textId="77777777" w:rsidR="00C1188C" w:rsidRPr="00BA4F0F" w:rsidRDefault="00C1188C" w:rsidP="000768AC">
      <w:pPr>
        <w:numPr>
          <w:ilvl w:val="0"/>
          <w:numId w:val="182"/>
        </w:numPr>
        <w:tabs>
          <w:tab w:val="left" w:pos="0"/>
          <w:tab w:val="left" w:pos="567"/>
        </w:tabs>
        <w:ind w:left="0" w:firstLine="0"/>
        <w:rPr>
          <w:rFonts w:cs="Times New Roman"/>
          <w:szCs w:val="24"/>
        </w:rPr>
      </w:pPr>
      <w:r w:rsidRPr="00BA4F0F">
        <w:rPr>
          <w:rFonts w:cs="Times New Roman"/>
          <w:szCs w:val="24"/>
        </w:rPr>
        <w:t xml:space="preserve">Меропенем по 2 г 3 раза в сутки, введение каждой дозы в течение 3 часов. </w:t>
      </w:r>
    </w:p>
    <w:p w14:paraId="47D210D7" w14:textId="77777777" w:rsidR="00C1188C" w:rsidRPr="00BA4F0F" w:rsidRDefault="00C1188C" w:rsidP="000768AC">
      <w:pPr>
        <w:numPr>
          <w:ilvl w:val="0"/>
          <w:numId w:val="182"/>
        </w:numPr>
        <w:tabs>
          <w:tab w:val="left" w:pos="0"/>
          <w:tab w:val="left" w:pos="567"/>
        </w:tabs>
        <w:ind w:left="0" w:firstLine="0"/>
        <w:rPr>
          <w:rFonts w:cs="Times New Roman"/>
          <w:szCs w:val="24"/>
        </w:rPr>
      </w:pPr>
      <w:r w:rsidRPr="00BA4F0F">
        <w:rPr>
          <w:rFonts w:cs="Times New Roman"/>
          <w:szCs w:val="24"/>
        </w:rPr>
        <w:t>Амикацин: по 15 мг/кг 1 раз в сутки.</w:t>
      </w:r>
    </w:p>
    <w:p w14:paraId="60DCDC79" w14:textId="77777777" w:rsidR="00C1188C" w:rsidRPr="00BA4F0F" w:rsidRDefault="00C1188C" w:rsidP="000768AC">
      <w:pPr>
        <w:numPr>
          <w:ilvl w:val="0"/>
          <w:numId w:val="181"/>
        </w:numPr>
        <w:tabs>
          <w:tab w:val="left" w:pos="0"/>
          <w:tab w:val="left" w:pos="567"/>
        </w:tabs>
        <w:ind w:left="0" w:firstLine="0"/>
        <w:rPr>
          <w:rFonts w:cs="Times New Roman"/>
          <w:szCs w:val="24"/>
        </w:rPr>
      </w:pPr>
      <w:r w:rsidRPr="00BA4F0F">
        <w:rPr>
          <w:rFonts w:cs="Times New Roman"/>
          <w:szCs w:val="24"/>
        </w:rPr>
        <w:t xml:space="preserve">Больным вне нейтропении, особенно при инфекции мочевыводящих путей, допустимо назначить эртапенем (в дозе 1 г 1 раз в сутки). </w:t>
      </w:r>
    </w:p>
    <w:p w14:paraId="1402FC08" w14:textId="77777777" w:rsidR="00C1188C" w:rsidRPr="00BA4F0F" w:rsidRDefault="00C1188C" w:rsidP="00C1188C">
      <w:pPr>
        <w:tabs>
          <w:tab w:val="left" w:pos="0"/>
          <w:tab w:val="left" w:pos="567"/>
        </w:tabs>
        <w:rPr>
          <w:rFonts w:cs="Times New Roman"/>
          <w:b/>
          <w:szCs w:val="24"/>
        </w:rPr>
      </w:pPr>
    </w:p>
    <w:p w14:paraId="518B6BDD" w14:textId="77777777" w:rsidR="00C1188C" w:rsidRPr="00BA4F0F" w:rsidRDefault="00C1188C" w:rsidP="00C1188C">
      <w:pPr>
        <w:pStyle w:val="afe"/>
        <w:ind w:left="0"/>
        <w:rPr>
          <w:rFonts w:cs="Times New Roman"/>
          <w:b/>
          <w:i/>
          <w:szCs w:val="24"/>
        </w:rPr>
      </w:pPr>
      <w:r w:rsidRPr="00BA4F0F">
        <w:rPr>
          <w:rFonts w:cs="Times New Roman"/>
          <w:b/>
          <w:i/>
          <w:szCs w:val="24"/>
        </w:rPr>
        <w:t>Инфекция, вызванная энтеробактериями с продукцией карбапенемаз</w:t>
      </w:r>
    </w:p>
    <w:p w14:paraId="6CB5D686" w14:textId="77777777" w:rsidR="00C1188C" w:rsidRPr="00BA4F0F" w:rsidRDefault="00C1188C" w:rsidP="000768AC">
      <w:pPr>
        <w:numPr>
          <w:ilvl w:val="0"/>
          <w:numId w:val="183"/>
        </w:numPr>
        <w:tabs>
          <w:tab w:val="left" w:pos="0"/>
          <w:tab w:val="left" w:pos="567"/>
        </w:tabs>
        <w:ind w:left="0" w:firstLine="0"/>
        <w:rPr>
          <w:rFonts w:cs="Times New Roman"/>
          <w:szCs w:val="24"/>
        </w:rPr>
      </w:pPr>
      <w:r w:rsidRPr="00BA4F0F">
        <w:rPr>
          <w:rFonts w:cs="Times New Roman"/>
          <w:szCs w:val="24"/>
        </w:rPr>
        <w:t xml:space="preserve">Характеризируются тяжелым течением, отсутствием эффективных препаратов, использованием комбинаций антибактериальных препаратов, высокой летальностью. </w:t>
      </w:r>
    </w:p>
    <w:p w14:paraId="16F3B956" w14:textId="77777777" w:rsidR="00C1188C" w:rsidRPr="00BA4F0F" w:rsidRDefault="00C1188C" w:rsidP="000768AC">
      <w:pPr>
        <w:numPr>
          <w:ilvl w:val="0"/>
          <w:numId w:val="183"/>
        </w:numPr>
        <w:tabs>
          <w:tab w:val="left" w:pos="0"/>
          <w:tab w:val="left" w:pos="567"/>
        </w:tabs>
        <w:ind w:left="0" w:firstLine="0"/>
        <w:rPr>
          <w:rFonts w:cs="Times New Roman"/>
          <w:szCs w:val="24"/>
        </w:rPr>
      </w:pPr>
      <w:r w:rsidRPr="00BA4F0F">
        <w:rPr>
          <w:rFonts w:cs="Times New Roman"/>
          <w:szCs w:val="24"/>
        </w:rPr>
        <w:t>Используемые антимикробные препараты:</w:t>
      </w:r>
    </w:p>
    <w:p w14:paraId="1F19C607" w14:textId="77777777" w:rsidR="00C1188C" w:rsidRPr="00BA4F0F" w:rsidRDefault="00C1188C" w:rsidP="000768AC">
      <w:pPr>
        <w:numPr>
          <w:ilvl w:val="0"/>
          <w:numId w:val="184"/>
        </w:numPr>
        <w:tabs>
          <w:tab w:val="left" w:pos="0"/>
          <w:tab w:val="left" w:pos="567"/>
        </w:tabs>
        <w:ind w:left="0" w:firstLine="0"/>
        <w:rPr>
          <w:rFonts w:cs="Times New Roman"/>
          <w:szCs w:val="24"/>
        </w:rPr>
      </w:pPr>
      <w:r w:rsidRPr="00BA4F0F">
        <w:rPr>
          <w:rFonts w:cs="Times New Roman"/>
          <w:szCs w:val="24"/>
        </w:rPr>
        <w:t xml:space="preserve">Меропенем (продленная инфузия). </w:t>
      </w:r>
    </w:p>
    <w:p w14:paraId="3ACEAD58" w14:textId="77777777" w:rsidR="00C1188C" w:rsidRPr="00BA4F0F" w:rsidRDefault="00C1188C" w:rsidP="000768AC">
      <w:pPr>
        <w:numPr>
          <w:ilvl w:val="0"/>
          <w:numId w:val="184"/>
        </w:numPr>
        <w:tabs>
          <w:tab w:val="left" w:pos="0"/>
          <w:tab w:val="left" w:pos="567"/>
        </w:tabs>
        <w:ind w:left="0" w:firstLine="0"/>
        <w:rPr>
          <w:rFonts w:cs="Times New Roman"/>
          <w:szCs w:val="24"/>
        </w:rPr>
      </w:pPr>
      <w:r w:rsidRPr="00BA4F0F">
        <w:rPr>
          <w:rFonts w:cs="Times New Roman"/>
          <w:szCs w:val="24"/>
        </w:rPr>
        <w:t>Гентамицин по 5-7 мг/кг 1 раз в сутки или 1,5-2 мг/кг каждые 8 часов, при этом 1-ая доза составляет 2-3 мг/кг. Не применяют в монотерапии.</w:t>
      </w:r>
    </w:p>
    <w:p w14:paraId="25DCE8A7" w14:textId="77777777" w:rsidR="00C1188C" w:rsidRPr="00BA4F0F" w:rsidRDefault="00C1188C" w:rsidP="000768AC">
      <w:pPr>
        <w:numPr>
          <w:ilvl w:val="0"/>
          <w:numId w:val="184"/>
        </w:numPr>
        <w:tabs>
          <w:tab w:val="left" w:pos="0"/>
          <w:tab w:val="left" w:pos="567"/>
        </w:tabs>
        <w:ind w:left="0" w:firstLine="0"/>
        <w:rPr>
          <w:rFonts w:cs="Times New Roman"/>
          <w:szCs w:val="24"/>
        </w:rPr>
      </w:pPr>
      <w:r w:rsidRPr="00BA4F0F">
        <w:rPr>
          <w:rFonts w:cs="Times New Roman"/>
          <w:szCs w:val="24"/>
        </w:rPr>
        <w:t xml:space="preserve">Амикацин. Не применяют в монотерапии. </w:t>
      </w:r>
    </w:p>
    <w:p w14:paraId="26D626C9" w14:textId="77777777" w:rsidR="00C1188C" w:rsidRPr="00BA4F0F" w:rsidRDefault="00C1188C" w:rsidP="000768AC">
      <w:pPr>
        <w:numPr>
          <w:ilvl w:val="0"/>
          <w:numId w:val="184"/>
        </w:numPr>
        <w:tabs>
          <w:tab w:val="left" w:pos="0"/>
          <w:tab w:val="left" w:pos="567"/>
        </w:tabs>
        <w:ind w:left="0" w:firstLine="0"/>
        <w:rPr>
          <w:rFonts w:cs="Times New Roman"/>
          <w:szCs w:val="24"/>
        </w:rPr>
      </w:pPr>
      <w:r w:rsidRPr="00BA4F0F">
        <w:rPr>
          <w:rFonts w:cs="Times New Roman"/>
          <w:szCs w:val="24"/>
        </w:rPr>
        <w:t xml:space="preserve">Колистин  1-ый день 9 млн ЕД 1 раз в сутки, далее по 4,5 млн ЕД каждые 12 часов. </w:t>
      </w:r>
    </w:p>
    <w:p w14:paraId="009AB7E1" w14:textId="77777777" w:rsidR="00C1188C" w:rsidRPr="00BA4F0F" w:rsidRDefault="00C1188C" w:rsidP="000768AC">
      <w:pPr>
        <w:numPr>
          <w:ilvl w:val="0"/>
          <w:numId w:val="184"/>
        </w:numPr>
        <w:tabs>
          <w:tab w:val="left" w:pos="0"/>
          <w:tab w:val="left" w:pos="567"/>
        </w:tabs>
        <w:ind w:left="0" w:firstLine="0"/>
        <w:rPr>
          <w:rFonts w:cs="Times New Roman"/>
          <w:szCs w:val="24"/>
        </w:rPr>
      </w:pPr>
      <w:r w:rsidRPr="00BA4F0F">
        <w:rPr>
          <w:rFonts w:cs="Times New Roman"/>
          <w:szCs w:val="24"/>
        </w:rPr>
        <w:t xml:space="preserve">Фосфомицин по 3 г 3 раза в сутки. </w:t>
      </w:r>
    </w:p>
    <w:p w14:paraId="4A8CD175" w14:textId="77777777" w:rsidR="00C1188C" w:rsidRPr="00BA4F0F" w:rsidRDefault="00C1188C" w:rsidP="000768AC">
      <w:pPr>
        <w:numPr>
          <w:ilvl w:val="0"/>
          <w:numId w:val="184"/>
        </w:numPr>
        <w:tabs>
          <w:tab w:val="left" w:pos="0"/>
          <w:tab w:val="left" w:pos="567"/>
        </w:tabs>
        <w:ind w:left="0" w:firstLine="0"/>
        <w:rPr>
          <w:rFonts w:cs="Times New Roman"/>
          <w:szCs w:val="24"/>
        </w:rPr>
      </w:pPr>
      <w:r w:rsidRPr="00BA4F0F">
        <w:rPr>
          <w:rFonts w:cs="Times New Roman"/>
          <w:szCs w:val="24"/>
        </w:rPr>
        <w:t xml:space="preserve">Тигециклин: 1-ая доза 200 мг, далее по 100 мг, каждые 12 часов. </w:t>
      </w:r>
    </w:p>
    <w:p w14:paraId="174C617B" w14:textId="77777777" w:rsidR="00C1188C" w:rsidRPr="00BA4F0F" w:rsidRDefault="00C1188C" w:rsidP="00C1188C">
      <w:pPr>
        <w:tabs>
          <w:tab w:val="left" w:pos="0"/>
          <w:tab w:val="left" w:pos="567"/>
        </w:tabs>
        <w:rPr>
          <w:rFonts w:cs="Times New Roman"/>
          <w:b/>
          <w:szCs w:val="24"/>
        </w:rPr>
      </w:pPr>
    </w:p>
    <w:p w14:paraId="684460CE" w14:textId="77777777" w:rsidR="00C1188C" w:rsidRPr="00BA4F0F" w:rsidRDefault="00C1188C" w:rsidP="00C1188C">
      <w:pPr>
        <w:tabs>
          <w:tab w:val="left" w:pos="0"/>
          <w:tab w:val="left" w:pos="567"/>
        </w:tabs>
        <w:rPr>
          <w:rFonts w:cs="Times New Roman"/>
          <w:b/>
          <w:szCs w:val="24"/>
        </w:rPr>
      </w:pPr>
    </w:p>
    <w:p w14:paraId="2242B6B9" w14:textId="77777777" w:rsidR="00C1188C" w:rsidRPr="00BA4F0F" w:rsidRDefault="00C1188C" w:rsidP="00C1188C">
      <w:pPr>
        <w:pStyle w:val="afe"/>
        <w:ind w:left="0"/>
        <w:rPr>
          <w:rFonts w:cs="Times New Roman"/>
          <w:b/>
          <w:i/>
          <w:szCs w:val="24"/>
        </w:rPr>
      </w:pPr>
      <w:r w:rsidRPr="00BA4F0F">
        <w:rPr>
          <w:rFonts w:cs="Times New Roman"/>
          <w:b/>
          <w:i/>
          <w:szCs w:val="24"/>
        </w:rPr>
        <w:t>Мукозит (слизистая оболочка рта отечная, рыхлая)</w:t>
      </w:r>
    </w:p>
    <w:p w14:paraId="7468A2A8" w14:textId="77777777" w:rsidR="00C1188C" w:rsidRPr="00BA4F0F" w:rsidRDefault="00C1188C" w:rsidP="000768AC">
      <w:pPr>
        <w:numPr>
          <w:ilvl w:val="0"/>
          <w:numId w:val="185"/>
        </w:numPr>
        <w:tabs>
          <w:tab w:val="left" w:pos="0"/>
          <w:tab w:val="left" w:pos="567"/>
        </w:tabs>
        <w:ind w:left="0" w:firstLine="0"/>
        <w:rPr>
          <w:rFonts w:cs="Times New Roman"/>
          <w:szCs w:val="24"/>
        </w:rPr>
      </w:pPr>
      <w:r w:rsidRPr="00BA4F0F">
        <w:rPr>
          <w:rFonts w:cs="Times New Roman"/>
          <w:szCs w:val="24"/>
        </w:rPr>
        <w:t xml:space="preserve">Добавляют ванкомицин, даптомицин, линезолид или тедизолид при мукозите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если выделены только грамположительные бактерии (высокая вероятность развития сепсиса, обусловленного стрептококками группы </w:t>
      </w:r>
      <w:r w:rsidRPr="00BA4F0F">
        <w:rPr>
          <w:rFonts w:cs="Times New Roman"/>
          <w:i/>
          <w:szCs w:val="24"/>
        </w:rPr>
        <w:t>viridans</w:t>
      </w:r>
      <w:r w:rsidRPr="00BA4F0F">
        <w:rPr>
          <w:rFonts w:cs="Times New Roman"/>
          <w:szCs w:val="24"/>
        </w:rPr>
        <w:t>). Проводят исследования на вирусы (определение ДНК герпесвирусов).</w:t>
      </w:r>
    </w:p>
    <w:p w14:paraId="6D3503DC" w14:textId="77777777" w:rsidR="00C1188C" w:rsidRPr="00BA4F0F" w:rsidRDefault="00C1188C" w:rsidP="000768AC">
      <w:pPr>
        <w:numPr>
          <w:ilvl w:val="0"/>
          <w:numId w:val="185"/>
        </w:numPr>
        <w:tabs>
          <w:tab w:val="left" w:pos="0"/>
          <w:tab w:val="left" w:pos="567"/>
        </w:tabs>
        <w:ind w:left="0" w:firstLine="0"/>
        <w:rPr>
          <w:rFonts w:cs="Times New Roman"/>
          <w:szCs w:val="24"/>
        </w:rPr>
      </w:pPr>
      <w:r w:rsidRPr="00BA4F0F">
        <w:rPr>
          <w:rFonts w:cs="Times New Roman"/>
          <w:szCs w:val="24"/>
        </w:rPr>
        <w:t xml:space="preserve">Добавляют флуконазол, если со слизистой оболочки выделены </w:t>
      </w:r>
      <w:r w:rsidRPr="00BA4F0F">
        <w:rPr>
          <w:rFonts w:cs="Times New Roman"/>
          <w:i/>
          <w:szCs w:val="24"/>
        </w:rPr>
        <w:t>Candida spp</w:t>
      </w:r>
      <w:r w:rsidRPr="00BA4F0F">
        <w:rPr>
          <w:rFonts w:cs="Times New Roman"/>
          <w:szCs w:val="24"/>
        </w:rPr>
        <w:t xml:space="preserve">.; в отсутствие эффекта дополнительно назначают в/в ванкомицин, или даптомицин, или линезолид, или тедизолид при мукозите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и проводят вирусологическое исследование (определение ДНК герпесвирусов). </w:t>
      </w:r>
    </w:p>
    <w:p w14:paraId="25E20071" w14:textId="77777777" w:rsidR="00C1188C" w:rsidRPr="00BA4F0F" w:rsidRDefault="00C1188C" w:rsidP="000768AC">
      <w:pPr>
        <w:numPr>
          <w:ilvl w:val="0"/>
          <w:numId w:val="185"/>
        </w:numPr>
        <w:tabs>
          <w:tab w:val="left" w:pos="0"/>
          <w:tab w:val="left" w:pos="567"/>
        </w:tabs>
        <w:ind w:left="0" w:firstLine="0"/>
        <w:rPr>
          <w:rFonts w:cs="Times New Roman"/>
          <w:szCs w:val="24"/>
        </w:rPr>
      </w:pPr>
      <w:r w:rsidRPr="00BA4F0F">
        <w:rPr>
          <w:rFonts w:cs="Times New Roman"/>
          <w:szCs w:val="24"/>
        </w:rPr>
        <w:t xml:space="preserve">Добавляют ципрофлоксацин (по 0,5 г 2 раза в сутки) при выделении со слизистой оболочки рта </w:t>
      </w:r>
      <w:r w:rsidRPr="00BA4F0F">
        <w:rPr>
          <w:rFonts w:cs="Times New Roman"/>
          <w:i/>
          <w:szCs w:val="24"/>
        </w:rPr>
        <w:t>Pseudomonas aeruginosa</w:t>
      </w:r>
      <w:r w:rsidRPr="00BA4F0F">
        <w:rPr>
          <w:rFonts w:cs="Times New Roman"/>
          <w:szCs w:val="24"/>
        </w:rPr>
        <w:t>, если состояние пациента стабильное. При тяжелом состоянии проводят замену антибиотиков согласно результатам определения чувствительности возбудителя (препараты вводят внутривенно).</w:t>
      </w:r>
    </w:p>
    <w:p w14:paraId="6A37A9B8" w14:textId="77777777" w:rsidR="00C1188C" w:rsidRPr="00BA4F0F" w:rsidRDefault="00C1188C" w:rsidP="000768AC">
      <w:pPr>
        <w:numPr>
          <w:ilvl w:val="0"/>
          <w:numId w:val="185"/>
        </w:numPr>
        <w:tabs>
          <w:tab w:val="left" w:pos="0"/>
          <w:tab w:val="left" w:pos="567"/>
        </w:tabs>
        <w:ind w:left="0" w:firstLine="0"/>
        <w:rPr>
          <w:rFonts w:cs="Times New Roman"/>
          <w:szCs w:val="24"/>
        </w:rPr>
      </w:pPr>
      <w:r w:rsidRPr="00BA4F0F">
        <w:rPr>
          <w:rFonts w:cs="Times New Roman"/>
          <w:szCs w:val="24"/>
        </w:rPr>
        <w:t xml:space="preserve">Модификация антимикробной терапии при выделении других грамотрицательных бактерий (энтеробактерий, продуцирующих БЛРС, </w:t>
      </w:r>
      <w:r w:rsidRPr="00BA4F0F">
        <w:rPr>
          <w:rFonts w:cs="Times New Roman"/>
          <w:i/>
          <w:szCs w:val="24"/>
          <w:lang w:val="en-US"/>
        </w:rPr>
        <w:t>Acinetobacter</w:t>
      </w:r>
      <w:r w:rsidRPr="00BA4F0F">
        <w:rPr>
          <w:rFonts w:cs="Times New Roman"/>
          <w:i/>
          <w:szCs w:val="24"/>
        </w:rPr>
        <w:t xml:space="preserve"> </w:t>
      </w:r>
      <w:r w:rsidRPr="00BA4F0F">
        <w:rPr>
          <w:rFonts w:cs="Times New Roman"/>
          <w:i/>
          <w:szCs w:val="24"/>
          <w:lang w:val="en-US"/>
        </w:rPr>
        <w:t>baumannii</w:t>
      </w:r>
      <w:r w:rsidRPr="00BA4F0F">
        <w:rPr>
          <w:rFonts w:cs="Times New Roman"/>
          <w:szCs w:val="24"/>
        </w:rPr>
        <w:t xml:space="preserve">, </w:t>
      </w:r>
      <w:r w:rsidRPr="00BA4F0F">
        <w:rPr>
          <w:rFonts w:cs="Times New Roman"/>
          <w:i/>
          <w:szCs w:val="24"/>
          <w:lang w:val="en-US"/>
        </w:rPr>
        <w:t>Stenotrophomonas</w:t>
      </w:r>
      <w:r w:rsidRPr="00BA4F0F">
        <w:rPr>
          <w:rFonts w:cs="Times New Roman"/>
          <w:i/>
          <w:szCs w:val="24"/>
        </w:rPr>
        <w:t xml:space="preserve"> </w:t>
      </w:r>
      <w:r w:rsidRPr="00BA4F0F">
        <w:rPr>
          <w:rFonts w:cs="Times New Roman"/>
          <w:i/>
          <w:szCs w:val="24"/>
          <w:lang w:val="en-US"/>
        </w:rPr>
        <w:t>maltophilia</w:t>
      </w:r>
      <w:r w:rsidRPr="00BA4F0F">
        <w:rPr>
          <w:rFonts w:cs="Times New Roman"/>
          <w:szCs w:val="24"/>
        </w:rPr>
        <w:t>) в соответствии с результатами определения чувствительности к антибиотикам.</w:t>
      </w:r>
    </w:p>
    <w:p w14:paraId="7476DA4C" w14:textId="77777777" w:rsidR="00C1188C" w:rsidRPr="00BA4F0F" w:rsidRDefault="00C1188C" w:rsidP="00C1188C">
      <w:pPr>
        <w:tabs>
          <w:tab w:val="left" w:pos="0"/>
          <w:tab w:val="left" w:pos="567"/>
        </w:tabs>
        <w:rPr>
          <w:rFonts w:cs="Times New Roman"/>
          <w:b/>
          <w:szCs w:val="24"/>
        </w:rPr>
      </w:pPr>
      <w:r w:rsidRPr="00BA4F0F">
        <w:rPr>
          <w:rFonts w:cs="Times New Roman"/>
          <w:b/>
          <w:szCs w:val="24"/>
        </w:rPr>
        <w:t>Парапроктит</w:t>
      </w:r>
    </w:p>
    <w:p w14:paraId="0EA18960" w14:textId="77777777" w:rsidR="00C1188C" w:rsidRPr="00BA4F0F" w:rsidRDefault="00C1188C" w:rsidP="00C1188C">
      <w:pPr>
        <w:tabs>
          <w:tab w:val="left" w:pos="0"/>
          <w:tab w:val="left" w:pos="567"/>
        </w:tabs>
        <w:rPr>
          <w:rFonts w:cs="Times New Roman"/>
          <w:szCs w:val="24"/>
        </w:rPr>
      </w:pPr>
      <w:r w:rsidRPr="00BA4F0F">
        <w:rPr>
          <w:rFonts w:cs="Times New Roman"/>
          <w:szCs w:val="24"/>
        </w:rPr>
        <w:t>Схемы антимикробной терапии должны включать препараты с активностью против грамотрицательных и анаэробных бактерий.</w:t>
      </w:r>
    </w:p>
    <w:p w14:paraId="661FF3C6" w14:textId="77777777" w:rsidR="00C1188C" w:rsidRPr="00BA4F0F" w:rsidRDefault="00C1188C" w:rsidP="000768AC">
      <w:pPr>
        <w:numPr>
          <w:ilvl w:val="0"/>
          <w:numId w:val="186"/>
        </w:numPr>
        <w:tabs>
          <w:tab w:val="left" w:pos="0"/>
          <w:tab w:val="left" w:pos="567"/>
        </w:tabs>
        <w:ind w:left="0" w:firstLine="0"/>
        <w:rPr>
          <w:rFonts w:cs="Times New Roman"/>
          <w:szCs w:val="24"/>
        </w:rPr>
      </w:pPr>
      <w:r w:rsidRPr="00BA4F0F">
        <w:rPr>
          <w:rFonts w:cs="Times New Roman"/>
          <w:szCs w:val="24"/>
        </w:rPr>
        <w:t>Если назначен цефоперазон/сульбактам, то к нему добавляют амикацин.</w:t>
      </w:r>
    </w:p>
    <w:p w14:paraId="72D7F334" w14:textId="77777777" w:rsidR="00C1188C" w:rsidRPr="00BA4F0F" w:rsidRDefault="00C1188C" w:rsidP="000768AC">
      <w:pPr>
        <w:numPr>
          <w:ilvl w:val="0"/>
          <w:numId w:val="186"/>
        </w:numPr>
        <w:tabs>
          <w:tab w:val="left" w:pos="0"/>
          <w:tab w:val="left" w:pos="567"/>
        </w:tabs>
        <w:ind w:left="0" w:firstLine="0"/>
        <w:rPr>
          <w:rFonts w:cs="Times New Roman"/>
          <w:szCs w:val="24"/>
        </w:rPr>
      </w:pPr>
      <w:r w:rsidRPr="00BA4F0F">
        <w:rPr>
          <w:rFonts w:cs="Times New Roman"/>
          <w:szCs w:val="24"/>
        </w:rPr>
        <w:t>Если назначен цефепим, то к нему добавляют амикацин и метронидазол.</w:t>
      </w:r>
    </w:p>
    <w:p w14:paraId="619A10E4" w14:textId="77777777" w:rsidR="00C1188C" w:rsidRPr="00BA4F0F" w:rsidRDefault="00C1188C" w:rsidP="000768AC">
      <w:pPr>
        <w:numPr>
          <w:ilvl w:val="0"/>
          <w:numId w:val="187"/>
        </w:numPr>
        <w:tabs>
          <w:tab w:val="left" w:pos="0"/>
          <w:tab w:val="left" w:pos="567"/>
        </w:tabs>
        <w:ind w:left="0" w:firstLine="0"/>
        <w:rPr>
          <w:rFonts w:cs="Times New Roman"/>
          <w:szCs w:val="24"/>
        </w:rPr>
      </w:pPr>
      <w:r w:rsidRPr="00BA4F0F">
        <w:rPr>
          <w:rFonts w:cs="Times New Roman"/>
          <w:szCs w:val="24"/>
        </w:rPr>
        <w:t>Метронидазол: по 500 мг 3 раза в сутки.</w:t>
      </w:r>
    </w:p>
    <w:p w14:paraId="6E86F688" w14:textId="77777777" w:rsidR="00C1188C" w:rsidRPr="00BA4F0F" w:rsidRDefault="00C1188C" w:rsidP="000768AC">
      <w:pPr>
        <w:numPr>
          <w:ilvl w:val="0"/>
          <w:numId w:val="186"/>
        </w:numPr>
        <w:tabs>
          <w:tab w:val="left" w:pos="0"/>
          <w:tab w:val="left" w:pos="567"/>
        </w:tabs>
        <w:ind w:left="0" w:firstLine="0"/>
        <w:rPr>
          <w:rFonts w:cs="Times New Roman"/>
          <w:szCs w:val="24"/>
        </w:rPr>
      </w:pPr>
      <w:r w:rsidRPr="00BA4F0F">
        <w:rPr>
          <w:rFonts w:cs="Times New Roman"/>
          <w:szCs w:val="24"/>
        </w:rPr>
        <w:t xml:space="preserve">В отсутствие эффекта проводят коррекцию терапии согласно результатам микробиологического исследования (посев мазка со слизистой прямой кишки). Если это невозможно сделать, то добавляют ванкомицин или телаванцин (по 10 мг/кг 1 раз в сутки), затем флуконазол. Если инфекционный процесс усугубляется, то проводят замену ванкомицина на линезолид или тедизолид. </w:t>
      </w:r>
    </w:p>
    <w:p w14:paraId="4AACBB56" w14:textId="77777777" w:rsidR="00C1188C" w:rsidRPr="00BA4F0F" w:rsidRDefault="00C1188C" w:rsidP="00C1188C">
      <w:pPr>
        <w:tabs>
          <w:tab w:val="left" w:pos="0"/>
          <w:tab w:val="left" w:pos="567"/>
        </w:tabs>
        <w:rPr>
          <w:rFonts w:cs="Times New Roman"/>
          <w:b/>
          <w:szCs w:val="24"/>
        </w:rPr>
      </w:pPr>
    </w:p>
    <w:p w14:paraId="5F9BBCDD" w14:textId="77777777" w:rsidR="00C1188C" w:rsidRPr="00BA4F0F" w:rsidRDefault="00C1188C" w:rsidP="00C1188C">
      <w:pPr>
        <w:pStyle w:val="afe"/>
        <w:ind w:left="0"/>
        <w:rPr>
          <w:rFonts w:cs="Times New Roman"/>
          <w:b/>
          <w:i/>
          <w:szCs w:val="24"/>
        </w:rPr>
      </w:pPr>
      <w:r w:rsidRPr="00BA4F0F">
        <w:rPr>
          <w:rFonts w:cs="Times New Roman"/>
          <w:b/>
          <w:i/>
          <w:szCs w:val="24"/>
        </w:rPr>
        <w:t>Пневмония, которая появилась или прогрессирует (новые очаги) на фоне лечения антибиотиками широкого спектра при нейтропении длительностью более 10 дней или приема глюкокортикоидов</w:t>
      </w:r>
    </w:p>
    <w:p w14:paraId="74A95654" w14:textId="77777777" w:rsidR="00C1188C" w:rsidRPr="00BA4F0F" w:rsidRDefault="00C1188C" w:rsidP="000768AC">
      <w:pPr>
        <w:numPr>
          <w:ilvl w:val="0"/>
          <w:numId w:val="188"/>
        </w:numPr>
        <w:tabs>
          <w:tab w:val="left" w:pos="0"/>
          <w:tab w:val="left" w:pos="567"/>
        </w:tabs>
        <w:ind w:left="0" w:firstLine="0"/>
        <w:rPr>
          <w:rFonts w:cs="Times New Roman"/>
          <w:szCs w:val="24"/>
        </w:rPr>
      </w:pPr>
      <w:r w:rsidRPr="00BA4F0F">
        <w:rPr>
          <w:rFonts w:cs="Times New Roman"/>
          <w:szCs w:val="24"/>
        </w:rPr>
        <w:t>Вориконазол (высокая вероятность инвазивного аспергиллеза) внутривенно, в первый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w:t>
      </w:r>
    </w:p>
    <w:p w14:paraId="1F61D1DF" w14:textId="77777777" w:rsidR="00C1188C" w:rsidRPr="00BA4F0F" w:rsidRDefault="00C1188C" w:rsidP="000768AC">
      <w:pPr>
        <w:numPr>
          <w:ilvl w:val="0"/>
          <w:numId w:val="188"/>
        </w:numPr>
        <w:tabs>
          <w:tab w:val="left" w:pos="0"/>
          <w:tab w:val="left" w:pos="567"/>
        </w:tabs>
        <w:ind w:left="0" w:firstLine="0"/>
        <w:rPr>
          <w:rFonts w:cs="Times New Roman"/>
          <w:szCs w:val="24"/>
        </w:rPr>
      </w:pPr>
      <w:r w:rsidRPr="00BA4F0F">
        <w:rPr>
          <w:rFonts w:cs="Times New Roman"/>
          <w:szCs w:val="24"/>
        </w:rPr>
        <w:t xml:space="preserve">Не следует назначать флуконазол пациентам с клиническими симптомами синусита или инфекцией нижних дыхательных путей. </w:t>
      </w:r>
    </w:p>
    <w:p w14:paraId="06BD2D82" w14:textId="77777777" w:rsidR="00C1188C" w:rsidRPr="00BA4F0F" w:rsidRDefault="00C1188C" w:rsidP="00C1188C">
      <w:pPr>
        <w:tabs>
          <w:tab w:val="left" w:pos="0"/>
          <w:tab w:val="left" w:pos="567"/>
        </w:tabs>
        <w:rPr>
          <w:rFonts w:cs="Times New Roman"/>
          <w:b/>
          <w:szCs w:val="24"/>
        </w:rPr>
      </w:pPr>
    </w:p>
    <w:p w14:paraId="2287915F" w14:textId="77777777" w:rsidR="00C1188C" w:rsidRPr="00BA4F0F" w:rsidRDefault="00C1188C" w:rsidP="00C1188C">
      <w:pPr>
        <w:pStyle w:val="afe"/>
        <w:ind w:left="0"/>
        <w:rPr>
          <w:rFonts w:cs="Times New Roman"/>
          <w:b/>
          <w:i/>
          <w:szCs w:val="24"/>
        </w:rPr>
      </w:pPr>
      <w:r w:rsidRPr="00BA4F0F">
        <w:rPr>
          <w:rFonts w:cs="Times New Roman"/>
          <w:b/>
          <w:i/>
          <w:szCs w:val="24"/>
        </w:rPr>
        <w:t>Инфекция, вызванная Clostridium difficile</w:t>
      </w:r>
    </w:p>
    <w:p w14:paraId="45E0A561" w14:textId="77777777" w:rsidR="00C1188C" w:rsidRPr="00BA4F0F" w:rsidRDefault="00C1188C" w:rsidP="000768AC">
      <w:pPr>
        <w:numPr>
          <w:ilvl w:val="0"/>
          <w:numId w:val="191"/>
        </w:numPr>
        <w:tabs>
          <w:tab w:val="left" w:pos="0"/>
          <w:tab w:val="left" w:pos="567"/>
        </w:tabs>
        <w:ind w:left="0" w:firstLine="0"/>
        <w:rPr>
          <w:rFonts w:cs="Times New Roman"/>
          <w:szCs w:val="24"/>
        </w:rPr>
      </w:pPr>
      <w:r w:rsidRPr="00BA4F0F">
        <w:rPr>
          <w:rFonts w:cs="Times New Roman"/>
          <w:szCs w:val="24"/>
        </w:rPr>
        <w:t xml:space="preserve">Вначале инфекционный процесс, вызванный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szCs w:val="24"/>
        </w:rPr>
        <w:t>, ограничен толстой кишкой. Клинические проявления:</w:t>
      </w:r>
    </w:p>
    <w:p w14:paraId="56355919" w14:textId="77777777" w:rsidR="00C1188C" w:rsidRPr="00BA4F0F" w:rsidRDefault="00C1188C" w:rsidP="000768AC">
      <w:pPr>
        <w:numPr>
          <w:ilvl w:val="0"/>
          <w:numId w:val="193"/>
        </w:numPr>
        <w:tabs>
          <w:tab w:val="left" w:pos="0"/>
          <w:tab w:val="left" w:pos="567"/>
        </w:tabs>
        <w:ind w:left="0" w:firstLine="0"/>
        <w:rPr>
          <w:rFonts w:cs="Times New Roman"/>
          <w:szCs w:val="24"/>
        </w:rPr>
      </w:pPr>
      <w:r w:rsidRPr="00BA4F0F">
        <w:rPr>
          <w:rFonts w:cs="Times New Roman"/>
          <w:szCs w:val="24"/>
        </w:rPr>
        <w:t xml:space="preserve">Диарея, ассоциированная с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i/>
          <w:szCs w:val="24"/>
        </w:rPr>
        <w:t xml:space="preserve"> </w:t>
      </w:r>
      <w:r w:rsidRPr="00BA4F0F">
        <w:rPr>
          <w:rFonts w:cs="Times New Roman"/>
          <w:szCs w:val="24"/>
        </w:rPr>
        <w:t xml:space="preserve">(наличие диареи+ положительный токсин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szCs w:val="24"/>
        </w:rPr>
        <w:t xml:space="preserve"> в кале).</w:t>
      </w:r>
    </w:p>
    <w:p w14:paraId="57A7EC46" w14:textId="77777777" w:rsidR="00C1188C" w:rsidRPr="00BA4F0F" w:rsidRDefault="00C1188C" w:rsidP="000768AC">
      <w:pPr>
        <w:numPr>
          <w:ilvl w:val="0"/>
          <w:numId w:val="193"/>
        </w:numPr>
        <w:tabs>
          <w:tab w:val="left" w:pos="0"/>
          <w:tab w:val="left" w:pos="567"/>
        </w:tabs>
        <w:ind w:left="0" w:firstLine="0"/>
        <w:rPr>
          <w:rFonts w:cs="Times New Roman"/>
          <w:szCs w:val="24"/>
        </w:rPr>
      </w:pPr>
      <w:r w:rsidRPr="00BA4F0F">
        <w:rPr>
          <w:rFonts w:cs="Times New Roman"/>
          <w:szCs w:val="24"/>
        </w:rPr>
        <w:t xml:space="preserve">Псевдомембранозный колит (диагностика во время эндоскопии). </w:t>
      </w:r>
    </w:p>
    <w:p w14:paraId="60200B40"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Исследуют только жидкий кал на наличие А и В токсинов </w:t>
      </w:r>
      <w:r w:rsidRPr="00BA4F0F">
        <w:rPr>
          <w:rFonts w:cs="Times New Roman"/>
          <w:i/>
          <w:szCs w:val="24"/>
          <w:lang w:val="en-US"/>
        </w:rPr>
        <w:t>C</w:t>
      </w:r>
      <w:r w:rsidRPr="00BA4F0F">
        <w:rPr>
          <w:rFonts w:cs="Times New Roman"/>
          <w:i/>
          <w:szCs w:val="24"/>
        </w:rPr>
        <w:t xml:space="preserve">. </w:t>
      </w:r>
      <w:r w:rsidRPr="00BA4F0F">
        <w:rPr>
          <w:rFonts w:cs="Times New Roman"/>
          <w:i/>
          <w:szCs w:val="24"/>
          <w:lang w:val="en-US"/>
        </w:rPr>
        <w:t>difficile</w:t>
      </w:r>
      <w:r w:rsidRPr="00BA4F0F">
        <w:rPr>
          <w:rFonts w:cs="Times New Roman"/>
          <w:szCs w:val="24"/>
        </w:rPr>
        <w:t xml:space="preserve"> и, желательно, бинарного токсина. Образцы кала для исследования на токсин направляют в течение 18 часов от появления диареи. </w:t>
      </w:r>
    </w:p>
    <w:p w14:paraId="485C7D93"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Не проводят повторное определение А и В токсинов с целью контроля над лечением. Критерий излечения – ликвидация симптомов. Допустимо только в случаях персистенции инфекции после 7 дней лечения.  </w:t>
      </w:r>
    </w:p>
    <w:p w14:paraId="1F4A5CC0"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Препарат выбора при нетяжелом течении инфекции (диарея, температура, боли в животе) – метронидазол. </w:t>
      </w:r>
    </w:p>
    <w:p w14:paraId="02D4FE41"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Препарат выбора при тяжелом течении инфекции (повышение уровня креатинина на 50% и более от исходного значения, снижение уровня альбумина) – ванкомицин по 125 мг 4 раза в сутки перорально. </w:t>
      </w:r>
    </w:p>
    <w:p w14:paraId="402AC88C"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При рефрактерном течении инфекции используют комбинацию метронидазола с ванкомицином. </w:t>
      </w:r>
    </w:p>
    <w:p w14:paraId="445C80E6"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Метронидазол по 500 мг 3 раза в сутки + ванкомицин по 500 мг 4 раза в сутки через оро- или назогастральный зонд. </w:t>
      </w:r>
    </w:p>
    <w:p w14:paraId="2BC9C076" w14:textId="77777777" w:rsidR="00C1188C" w:rsidRPr="00BA4F0F" w:rsidRDefault="00C1188C" w:rsidP="000768AC">
      <w:pPr>
        <w:numPr>
          <w:ilvl w:val="0"/>
          <w:numId w:val="192"/>
        </w:numPr>
        <w:tabs>
          <w:tab w:val="left" w:pos="0"/>
          <w:tab w:val="left" w:pos="567"/>
        </w:tabs>
        <w:ind w:left="0" w:firstLine="0"/>
        <w:rPr>
          <w:rFonts w:cs="Times New Roman"/>
          <w:szCs w:val="24"/>
        </w:rPr>
      </w:pPr>
      <w:r w:rsidRPr="00BA4F0F">
        <w:rPr>
          <w:rFonts w:cs="Times New Roman"/>
          <w:szCs w:val="24"/>
        </w:rPr>
        <w:t xml:space="preserve">Длительность лечения составляет 10-14 дней и, помимо назначения антибиотиков, включает отмену или сокращение числа используемых антибиотиков широкого спектра действия, ингибиторов протонной помпы.  </w:t>
      </w:r>
    </w:p>
    <w:p w14:paraId="75E93E97" w14:textId="77777777" w:rsidR="00C1188C" w:rsidRPr="00BA4F0F" w:rsidRDefault="00C1188C" w:rsidP="00C1188C">
      <w:pPr>
        <w:tabs>
          <w:tab w:val="left" w:pos="0"/>
          <w:tab w:val="left" w:pos="567"/>
        </w:tabs>
        <w:rPr>
          <w:rFonts w:cs="Times New Roman"/>
          <w:szCs w:val="24"/>
          <w:u w:val="single"/>
        </w:rPr>
      </w:pPr>
    </w:p>
    <w:p w14:paraId="10130AE3" w14:textId="77777777" w:rsidR="00C1188C" w:rsidRPr="00BA4F0F" w:rsidRDefault="00C1188C" w:rsidP="00C1188C">
      <w:pPr>
        <w:tabs>
          <w:tab w:val="left" w:pos="0"/>
          <w:tab w:val="left" w:pos="567"/>
        </w:tabs>
        <w:rPr>
          <w:rFonts w:cs="Times New Roman"/>
          <w:szCs w:val="24"/>
          <w:u w:val="single"/>
        </w:rPr>
      </w:pPr>
      <w:r w:rsidRPr="00BA4F0F">
        <w:rPr>
          <w:rFonts w:cs="Times New Roman"/>
          <w:szCs w:val="24"/>
          <w:u w:val="single"/>
        </w:rPr>
        <w:t>Критерии прекращения антимикробной терапии</w:t>
      </w:r>
    </w:p>
    <w:p w14:paraId="45956CD3" w14:textId="77777777" w:rsidR="00C1188C" w:rsidRPr="00BA4F0F" w:rsidRDefault="00C1188C" w:rsidP="00C1188C">
      <w:pPr>
        <w:tabs>
          <w:tab w:val="left" w:pos="0"/>
          <w:tab w:val="left" w:pos="567"/>
        </w:tabs>
        <w:ind w:firstLine="567"/>
        <w:rPr>
          <w:rFonts w:cs="Times New Roman"/>
          <w:szCs w:val="24"/>
        </w:rPr>
      </w:pPr>
      <w:r w:rsidRPr="00BA4F0F">
        <w:rPr>
          <w:rFonts w:cs="Times New Roman"/>
          <w:szCs w:val="24"/>
        </w:rPr>
        <w:t xml:space="preserve">Длительность применения антимикробных препаратов зависит от характера инфекционного процесса. Факт наличия гранулоцитопении, независимо от степени ее проявления, не влияет на период применения антибиотиков. </w:t>
      </w:r>
    </w:p>
    <w:p w14:paraId="107CA3A3" w14:textId="77777777" w:rsidR="00C1188C" w:rsidRPr="00BA4F0F" w:rsidRDefault="00C1188C" w:rsidP="00C1188C">
      <w:pPr>
        <w:tabs>
          <w:tab w:val="left" w:pos="0"/>
          <w:tab w:val="left" w:pos="567"/>
        </w:tabs>
        <w:ind w:firstLine="567"/>
        <w:rPr>
          <w:rFonts w:cs="Times New Roman"/>
          <w:szCs w:val="24"/>
        </w:rPr>
      </w:pPr>
      <w:r w:rsidRPr="00BA4F0F">
        <w:rPr>
          <w:rFonts w:cs="Times New Roman"/>
          <w:szCs w:val="24"/>
        </w:rPr>
        <w:t xml:space="preserve">При лихорадке неясной этиологии в период гранулоцитопении антибиотики можно отменить через 72 часа, если у больного </w:t>
      </w:r>
    </w:p>
    <w:p w14:paraId="189E548C" w14:textId="77777777" w:rsidR="00C1188C" w:rsidRPr="00BA4F0F" w:rsidRDefault="00C1188C" w:rsidP="000768AC">
      <w:pPr>
        <w:numPr>
          <w:ilvl w:val="0"/>
          <w:numId w:val="189"/>
        </w:numPr>
        <w:tabs>
          <w:tab w:val="left" w:pos="0"/>
          <w:tab w:val="left" w:pos="567"/>
        </w:tabs>
        <w:ind w:left="0" w:firstLine="0"/>
        <w:rPr>
          <w:rFonts w:cs="Times New Roman"/>
          <w:szCs w:val="24"/>
        </w:rPr>
      </w:pPr>
      <w:r w:rsidRPr="00BA4F0F">
        <w:rPr>
          <w:rFonts w:cs="Times New Roman"/>
          <w:szCs w:val="24"/>
        </w:rPr>
        <w:t>не было эпизода нестабильной гемодинамики в данный эпизод инфекции и</w:t>
      </w:r>
    </w:p>
    <w:p w14:paraId="0D1E3868" w14:textId="77777777" w:rsidR="00C1188C" w:rsidRPr="00BA4F0F" w:rsidRDefault="00C1188C" w:rsidP="000768AC">
      <w:pPr>
        <w:numPr>
          <w:ilvl w:val="0"/>
          <w:numId w:val="189"/>
        </w:numPr>
        <w:tabs>
          <w:tab w:val="left" w:pos="0"/>
          <w:tab w:val="left" w:pos="567"/>
        </w:tabs>
        <w:ind w:left="0" w:firstLine="0"/>
        <w:rPr>
          <w:rFonts w:cs="Times New Roman"/>
          <w:szCs w:val="24"/>
        </w:rPr>
      </w:pPr>
      <w:r w:rsidRPr="00BA4F0F">
        <w:rPr>
          <w:rFonts w:cs="Times New Roman"/>
          <w:szCs w:val="24"/>
        </w:rPr>
        <w:t xml:space="preserve">нормальная температура отмечается в течение 48 ч. </w:t>
      </w:r>
    </w:p>
    <w:p w14:paraId="5B66B470" w14:textId="77777777" w:rsidR="00C1188C" w:rsidRPr="00BA4F0F" w:rsidRDefault="00C1188C" w:rsidP="00C1188C">
      <w:pPr>
        <w:tabs>
          <w:tab w:val="left" w:pos="0"/>
          <w:tab w:val="left" w:pos="567"/>
        </w:tabs>
        <w:rPr>
          <w:rFonts w:cs="Times New Roman"/>
          <w:szCs w:val="24"/>
        </w:rPr>
      </w:pPr>
      <w:r w:rsidRPr="00BA4F0F">
        <w:rPr>
          <w:rFonts w:cs="Times New Roman"/>
          <w:szCs w:val="24"/>
        </w:rPr>
        <w:t>При клинически и микробиологически доказанной инфекции длительность применения антибиотиков должна составлять не менее 7 дней при условии, что:</w:t>
      </w:r>
    </w:p>
    <w:p w14:paraId="0E25118B" w14:textId="77777777" w:rsidR="00C1188C" w:rsidRPr="00BA4F0F" w:rsidRDefault="00C1188C" w:rsidP="000768AC">
      <w:pPr>
        <w:numPr>
          <w:ilvl w:val="0"/>
          <w:numId w:val="190"/>
        </w:numPr>
        <w:tabs>
          <w:tab w:val="left" w:pos="0"/>
          <w:tab w:val="left" w:pos="567"/>
        </w:tabs>
        <w:ind w:left="0" w:firstLine="0"/>
        <w:rPr>
          <w:rFonts w:cs="Times New Roman"/>
          <w:szCs w:val="24"/>
        </w:rPr>
      </w:pPr>
      <w:r w:rsidRPr="00BA4F0F">
        <w:rPr>
          <w:rFonts w:cs="Times New Roman"/>
          <w:szCs w:val="24"/>
        </w:rPr>
        <w:t>нормальная температура наблюдается не менее 4 дней;</w:t>
      </w:r>
    </w:p>
    <w:p w14:paraId="3F1EC7B4" w14:textId="77777777" w:rsidR="00C1188C" w:rsidRPr="00BA4F0F" w:rsidRDefault="00C1188C" w:rsidP="000768AC">
      <w:pPr>
        <w:numPr>
          <w:ilvl w:val="0"/>
          <w:numId w:val="190"/>
        </w:numPr>
        <w:tabs>
          <w:tab w:val="left" w:pos="0"/>
          <w:tab w:val="left" w:pos="567"/>
        </w:tabs>
        <w:ind w:left="0" w:firstLine="0"/>
        <w:rPr>
          <w:rFonts w:cs="Times New Roman"/>
          <w:szCs w:val="24"/>
        </w:rPr>
      </w:pPr>
      <w:r w:rsidRPr="00BA4F0F">
        <w:rPr>
          <w:rFonts w:cs="Times New Roman"/>
          <w:szCs w:val="24"/>
        </w:rPr>
        <w:t>очаги инфекции полностью регрессировали;</w:t>
      </w:r>
    </w:p>
    <w:p w14:paraId="1AE025CD" w14:textId="77777777" w:rsidR="00C1188C" w:rsidRPr="00BA4F0F" w:rsidRDefault="00C1188C" w:rsidP="000768AC">
      <w:pPr>
        <w:numPr>
          <w:ilvl w:val="0"/>
          <w:numId w:val="190"/>
        </w:numPr>
        <w:tabs>
          <w:tab w:val="left" w:pos="0"/>
          <w:tab w:val="left" w:pos="567"/>
        </w:tabs>
        <w:ind w:left="0" w:firstLine="0"/>
        <w:rPr>
          <w:rFonts w:cs="Times New Roman"/>
          <w:szCs w:val="24"/>
        </w:rPr>
      </w:pPr>
      <w:r w:rsidRPr="00BA4F0F">
        <w:rPr>
          <w:rFonts w:cs="Times New Roman"/>
          <w:szCs w:val="24"/>
        </w:rPr>
        <w:t xml:space="preserve">достигнута (или предполагается) микробиологическая эрадикация возбудителя подтвержденной инфекции. </w:t>
      </w:r>
    </w:p>
    <w:p w14:paraId="2416E20C" w14:textId="77777777" w:rsidR="00C1188C" w:rsidRPr="00BA4F0F" w:rsidRDefault="00C1188C" w:rsidP="00C1188C">
      <w:pPr>
        <w:tabs>
          <w:tab w:val="left" w:pos="0"/>
          <w:tab w:val="left" w:pos="567"/>
        </w:tabs>
        <w:rPr>
          <w:rFonts w:cs="Times New Roman"/>
          <w:szCs w:val="24"/>
        </w:rPr>
      </w:pPr>
      <w:r w:rsidRPr="00BA4F0F">
        <w:rPr>
          <w:rFonts w:cs="Times New Roman"/>
          <w:szCs w:val="24"/>
        </w:rPr>
        <w:t xml:space="preserve">После отмены антибиотиков у больного с гранулоцитопенией необходимо наблюдение за ним в течение последующих 24-48 ч, и в случае появления температуры следует вновь назначить антибиотики. </w:t>
      </w:r>
    </w:p>
    <w:p w14:paraId="1CEA9F28" w14:textId="77777777" w:rsidR="00C1188C" w:rsidRPr="00BA4F0F" w:rsidRDefault="00C1188C" w:rsidP="00C1188C">
      <w:pPr>
        <w:tabs>
          <w:tab w:val="left" w:pos="0"/>
          <w:tab w:val="left" w:pos="567"/>
        </w:tabs>
        <w:rPr>
          <w:rFonts w:cs="Times New Roman"/>
          <w:szCs w:val="24"/>
          <w:u w:val="single"/>
        </w:rPr>
      </w:pPr>
    </w:p>
    <w:p w14:paraId="6FE88F3B" w14:textId="77777777" w:rsidR="00C1188C" w:rsidRPr="00BA4F0F" w:rsidRDefault="00C1188C" w:rsidP="00C1188C">
      <w:pPr>
        <w:tabs>
          <w:tab w:val="left" w:pos="0"/>
          <w:tab w:val="left" w:pos="567"/>
        </w:tabs>
        <w:rPr>
          <w:rFonts w:cs="Times New Roman"/>
          <w:szCs w:val="24"/>
          <w:u w:val="single"/>
        </w:rPr>
      </w:pPr>
      <w:r w:rsidRPr="00BA4F0F">
        <w:rPr>
          <w:rFonts w:cs="Times New Roman"/>
          <w:szCs w:val="24"/>
          <w:u w:val="single"/>
        </w:rPr>
        <w:t>Профилактика инфекционных осложнений</w:t>
      </w:r>
    </w:p>
    <w:p w14:paraId="47CBB222" w14:textId="749428BF" w:rsidR="00C1188C" w:rsidRPr="00BA4F0F" w:rsidRDefault="00C1188C" w:rsidP="00C1188C">
      <w:pPr>
        <w:pStyle w:val="afe"/>
        <w:ind w:left="0"/>
        <w:rPr>
          <w:rFonts w:cs="Times New Roman"/>
          <w:b/>
          <w:i/>
          <w:szCs w:val="24"/>
        </w:rPr>
      </w:pPr>
      <w:r w:rsidRPr="00BA4F0F">
        <w:rPr>
          <w:rFonts w:cs="Times New Roman"/>
          <w:b/>
          <w:i/>
          <w:szCs w:val="24"/>
        </w:rPr>
        <w:t xml:space="preserve">Противогрибковая профилактика </w:t>
      </w:r>
      <w:r w:rsidRPr="00BA4F0F">
        <w:rPr>
          <w:rFonts w:cs="Times New Roman"/>
          <w:b/>
          <w:i/>
          <w:szCs w:val="24"/>
        </w:rPr>
        <w:fldChar w:fldCharType="begin" w:fldLock="1"/>
      </w:r>
      <w:r w:rsidR="00146A73">
        <w:rPr>
          <w:rFonts w:cs="Times New Roman"/>
          <w:b/>
          <w:i/>
          <w:szCs w:val="24"/>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[136]","plainTextFormattedCitation":"[136]","previouslyFormattedCitation":"[136]"},"properties":{"noteIndex":0},"schema":"https://github.com/citation-style-language/schema/raw/master/csl-citation.json"}</w:instrText>
      </w:r>
      <w:r w:rsidRPr="00BA4F0F">
        <w:rPr>
          <w:rFonts w:cs="Times New Roman"/>
          <w:b/>
          <w:i/>
          <w:szCs w:val="24"/>
        </w:rPr>
        <w:fldChar w:fldCharType="separate"/>
      </w:r>
      <w:r w:rsidR="00B436BD" w:rsidRPr="00B436BD">
        <w:rPr>
          <w:rFonts w:cs="Times New Roman"/>
          <w:noProof/>
          <w:szCs w:val="24"/>
        </w:rPr>
        <w:t>[136]</w:t>
      </w:r>
      <w:r w:rsidRPr="00BA4F0F">
        <w:rPr>
          <w:rFonts w:cs="Times New Roman"/>
          <w:b/>
          <w:i/>
          <w:szCs w:val="24"/>
        </w:rPr>
        <w:fldChar w:fldCharType="end"/>
      </w:r>
    </w:p>
    <w:p w14:paraId="6C7DAB2D" w14:textId="77777777" w:rsidR="00C1188C" w:rsidRPr="00BA4F0F" w:rsidRDefault="00C1188C" w:rsidP="000768AC">
      <w:pPr>
        <w:numPr>
          <w:ilvl w:val="0"/>
          <w:numId w:val="195"/>
        </w:numPr>
        <w:tabs>
          <w:tab w:val="left" w:pos="0"/>
          <w:tab w:val="left" w:pos="567"/>
        </w:tabs>
        <w:ind w:left="0" w:firstLine="0"/>
        <w:rPr>
          <w:rFonts w:cs="Times New Roman"/>
          <w:szCs w:val="24"/>
        </w:rPr>
      </w:pPr>
      <w:r w:rsidRPr="00BA4F0F">
        <w:rPr>
          <w:rFonts w:cs="Times New Roman"/>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2C1CBB9C" w14:textId="77777777" w:rsidR="00C1188C" w:rsidRPr="00BA4F0F" w:rsidRDefault="00C1188C" w:rsidP="000768AC">
      <w:pPr>
        <w:numPr>
          <w:ilvl w:val="0"/>
          <w:numId w:val="195"/>
        </w:numPr>
        <w:tabs>
          <w:tab w:val="left" w:pos="0"/>
          <w:tab w:val="left" w:pos="567"/>
        </w:tabs>
        <w:ind w:left="0" w:firstLine="0"/>
        <w:rPr>
          <w:rFonts w:cs="Times New Roman"/>
          <w:szCs w:val="24"/>
        </w:rPr>
      </w:pPr>
      <w:r w:rsidRPr="00BA4F0F">
        <w:rPr>
          <w:rFonts w:cs="Times New Roman"/>
          <w:szCs w:val="24"/>
        </w:rPr>
        <w:t xml:space="preserve">Назначают препарат, при использовании которого было достигнуто излечение от инвазивного микоза. </w:t>
      </w:r>
    </w:p>
    <w:p w14:paraId="655616A1" w14:textId="77777777" w:rsidR="00C1188C" w:rsidRPr="00BA4F0F" w:rsidRDefault="00C1188C" w:rsidP="000768AC">
      <w:pPr>
        <w:numPr>
          <w:ilvl w:val="0"/>
          <w:numId w:val="195"/>
        </w:numPr>
        <w:tabs>
          <w:tab w:val="left" w:pos="0"/>
          <w:tab w:val="left" w:pos="567"/>
        </w:tabs>
        <w:ind w:left="0" w:firstLine="0"/>
        <w:rPr>
          <w:rFonts w:cs="Times New Roman"/>
          <w:szCs w:val="24"/>
        </w:rPr>
      </w:pPr>
      <w:r w:rsidRPr="00BA4F0F">
        <w:rPr>
          <w:rFonts w:cs="Times New Roman"/>
          <w:szCs w:val="24"/>
        </w:rPr>
        <w:t>Пациенты с наличием в анамнезе острого или хронического диссеминированного кандидоза (обычно один препарат из перечня):</w:t>
      </w:r>
    </w:p>
    <w:p w14:paraId="32AEF8DA" w14:textId="77777777" w:rsidR="00C1188C" w:rsidRPr="00BA4F0F" w:rsidRDefault="00C1188C" w:rsidP="000768AC">
      <w:pPr>
        <w:numPr>
          <w:ilvl w:val="0"/>
          <w:numId w:val="196"/>
        </w:numPr>
        <w:tabs>
          <w:tab w:val="left" w:pos="0"/>
          <w:tab w:val="left" w:pos="567"/>
        </w:tabs>
        <w:ind w:left="0" w:firstLine="0"/>
        <w:rPr>
          <w:rFonts w:cs="Times New Roman"/>
          <w:szCs w:val="24"/>
        </w:rPr>
      </w:pPr>
      <w:r w:rsidRPr="00BA4F0F">
        <w:rPr>
          <w:rFonts w:cs="Times New Roman"/>
          <w:szCs w:val="24"/>
        </w:rPr>
        <w:t>Флуконазол, по 400 мг в сутки, внутривенно или внутрь.</w:t>
      </w:r>
    </w:p>
    <w:p w14:paraId="7D8D9F47" w14:textId="77777777" w:rsidR="00C1188C" w:rsidRPr="00BA4F0F" w:rsidRDefault="00C1188C" w:rsidP="000768AC">
      <w:pPr>
        <w:numPr>
          <w:ilvl w:val="0"/>
          <w:numId w:val="196"/>
        </w:numPr>
        <w:tabs>
          <w:tab w:val="left" w:pos="0"/>
          <w:tab w:val="left" w:pos="567"/>
        </w:tabs>
        <w:ind w:left="0" w:firstLine="0"/>
        <w:rPr>
          <w:rFonts w:cs="Times New Roman"/>
          <w:szCs w:val="24"/>
        </w:rPr>
      </w:pPr>
      <w:r w:rsidRPr="00BA4F0F">
        <w:rPr>
          <w:rFonts w:cs="Times New Roman"/>
          <w:szCs w:val="24"/>
        </w:rPr>
        <w:t>Каспофунгин, по 50 мг в сутки внутривенно.</w:t>
      </w:r>
    </w:p>
    <w:p w14:paraId="3D247010" w14:textId="77777777" w:rsidR="00C1188C" w:rsidRPr="00BA4F0F" w:rsidRDefault="00C1188C" w:rsidP="000768AC">
      <w:pPr>
        <w:numPr>
          <w:ilvl w:val="0"/>
          <w:numId w:val="196"/>
        </w:numPr>
        <w:tabs>
          <w:tab w:val="left" w:pos="0"/>
          <w:tab w:val="left" w:pos="567"/>
        </w:tabs>
        <w:ind w:left="0" w:firstLine="0"/>
        <w:rPr>
          <w:rFonts w:cs="Times New Roman"/>
          <w:szCs w:val="24"/>
        </w:rPr>
      </w:pPr>
      <w:r w:rsidRPr="00BA4F0F">
        <w:rPr>
          <w:rFonts w:cs="Times New Roman"/>
          <w:szCs w:val="24"/>
        </w:rPr>
        <w:t>Микафунгин, по 100 мг в сутки внутривенно.</w:t>
      </w:r>
    </w:p>
    <w:p w14:paraId="39EBE6A9" w14:textId="77777777" w:rsidR="00C1188C" w:rsidRPr="00BA4F0F" w:rsidRDefault="00C1188C" w:rsidP="000768AC">
      <w:pPr>
        <w:numPr>
          <w:ilvl w:val="0"/>
          <w:numId w:val="196"/>
        </w:numPr>
        <w:tabs>
          <w:tab w:val="left" w:pos="0"/>
          <w:tab w:val="left" w:pos="567"/>
        </w:tabs>
        <w:ind w:left="0" w:firstLine="0"/>
        <w:rPr>
          <w:rFonts w:cs="Times New Roman"/>
          <w:szCs w:val="24"/>
        </w:rPr>
      </w:pPr>
      <w:r w:rsidRPr="00BA4F0F">
        <w:rPr>
          <w:rFonts w:cs="Times New Roman"/>
          <w:szCs w:val="24"/>
        </w:rPr>
        <w:t>Анидулафунгин, по 100 мг в сутки внутривенно.</w:t>
      </w:r>
    </w:p>
    <w:p w14:paraId="29FCBADC" w14:textId="77777777" w:rsidR="00C1188C" w:rsidRPr="00BA4F0F" w:rsidRDefault="00C1188C" w:rsidP="000768AC">
      <w:pPr>
        <w:numPr>
          <w:ilvl w:val="0"/>
          <w:numId w:val="195"/>
        </w:numPr>
        <w:tabs>
          <w:tab w:val="left" w:pos="0"/>
          <w:tab w:val="left" w:pos="567"/>
        </w:tabs>
        <w:ind w:left="0" w:firstLine="0"/>
        <w:rPr>
          <w:rFonts w:cs="Times New Roman"/>
          <w:szCs w:val="24"/>
        </w:rPr>
      </w:pPr>
      <w:r w:rsidRPr="00BA4F0F">
        <w:rPr>
          <w:rFonts w:cs="Times New Roman"/>
          <w:szCs w:val="24"/>
        </w:rPr>
        <w:t>Пациенты с наличием в анамнезе инвазивного аспергиллеза (обычно один препарат из перечня):</w:t>
      </w:r>
    </w:p>
    <w:p w14:paraId="5F995F1D" w14:textId="77777777" w:rsidR="00C1188C" w:rsidRPr="00BA4F0F" w:rsidRDefault="00C1188C" w:rsidP="000768AC">
      <w:pPr>
        <w:numPr>
          <w:ilvl w:val="0"/>
          <w:numId w:val="197"/>
        </w:numPr>
        <w:tabs>
          <w:tab w:val="left" w:pos="0"/>
          <w:tab w:val="left" w:pos="567"/>
        </w:tabs>
        <w:ind w:left="0" w:firstLine="0"/>
        <w:rPr>
          <w:rFonts w:cs="Times New Roman"/>
          <w:szCs w:val="24"/>
        </w:rPr>
      </w:pPr>
      <w:r w:rsidRPr="00BA4F0F">
        <w:rPr>
          <w:rFonts w:cs="Times New Roman"/>
          <w:szCs w:val="24"/>
        </w:rPr>
        <w:t>Вориконазол, по 200 мг 2 раза в сутки внутрь (в таблетках, натощак) или внутривенно.</w:t>
      </w:r>
    </w:p>
    <w:p w14:paraId="19E2C988" w14:textId="77777777" w:rsidR="00C1188C" w:rsidRPr="00BA4F0F" w:rsidRDefault="00C1188C" w:rsidP="000768AC">
      <w:pPr>
        <w:numPr>
          <w:ilvl w:val="0"/>
          <w:numId w:val="197"/>
        </w:numPr>
        <w:tabs>
          <w:tab w:val="left" w:pos="0"/>
          <w:tab w:val="left" w:pos="567"/>
        </w:tabs>
        <w:ind w:left="0" w:firstLine="0"/>
        <w:rPr>
          <w:rFonts w:cs="Times New Roman"/>
          <w:szCs w:val="24"/>
        </w:rPr>
      </w:pPr>
      <w:r w:rsidRPr="00BA4F0F">
        <w:rPr>
          <w:rFonts w:cs="Times New Roman"/>
          <w:szCs w:val="24"/>
        </w:rPr>
        <w:t>Позаконазол (суспензия), по 200 мг 3 раза в сутки внутрь (после еды).</w:t>
      </w:r>
    </w:p>
    <w:p w14:paraId="2C5A32C2" w14:textId="77777777" w:rsidR="00C1188C" w:rsidRPr="00BA4F0F" w:rsidRDefault="00C1188C" w:rsidP="000768AC">
      <w:pPr>
        <w:numPr>
          <w:ilvl w:val="0"/>
          <w:numId w:val="197"/>
        </w:numPr>
        <w:tabs>
          <w:tab w:val="left" w:pos="0"/>
          <w:tab w:val="left" w:pos="567"/>
        </w:tabs>
        <w:ind w:left="0" w:firstLine="0"/>
        <w:rPr>
          <w:rFonts w:cs="Times New Roman"/>
          <w:szCs w:val="24"/>
        </w:rPr>
      </w:pPr>
      <w:r w:rsidRPr="00BA4F0F">
        <w:rPr>
          <w:rFonts w:cs="Times New Roman"/>
          <w:szCs w:val="24"/>
        </w:rPr>
        <w:t>Итраконазол (суспензия), по 200 мг 2 раза в сутки внутрь (натощак).</w:t>
      </w:r>
    </w:p>
    <w:p w14:paraId="1B5A19D7" w14:textId="77777777" w:rsidR="00C1188C" w:rsidRPr="00BA4F0F" w:rsidRDefault="00C1188C" w:rsidP="000768AC">
      <w:pPr>
        <w:numPr>
          <w:ilvl w:val="0"/>
          <w:numId w:val="199"/>
        </w:numPr>
        <w:tabs>
          <w:tab w:val="left" w:pos="0"/>
          <w:tab w:val="left" w:pos="567"/>
        </w:tabs>
        <w:ind w:left="0" w:firstLine="0"/>
        <w:rPr>
          <w:rFonts w:cs="Times New Roman"/>
          <w:szCs w:val="24"/>
        </w:rPr>
      </w:pPr>
      <w:r w:rsidRPr="00BA4F0F">
        <w:rPr>
          <w:rFonts w:cs="Times New Roman"/>
          <w:szCs w:val="24"/>
        </w:rPr>
        <w:t>Пациенты с наличием в анамнезе мукормикоза:</w:t>
      </w:r>
    </w:p>
    <w:p w14:paraId="6A9E0D04" w14:textId="77777777" w:rsidR="00C1188C" w:rsidRPr="00BA4F0F" w:rsidRDefault="00C1188C" w:rsidP="00C1188C">
      <w:pPr>
        <w:tabs>
          <w:tab w:val="left" w:pos="0"/>
          <w:tab w:val="left" w:pos="567"/>
        </w:tabs>
        <w:rPr>
          <w:rFonts w:cs="Times New Roman"/>
          <w:b/>
          <w:szCs w:val="24"/>
        </w:rPr>
      </w:pPr>
      <w:r w:rsidRPr="00BA4F0F">
        <w:rPr>
          <w:rFonts w:cs="Times New Roman"/>
          <w:szCs w:val="24"/>
        </w:rPr>
        <w:t>Позаконазол (суспензия), по 200 мг 3 раза в сутки внутрь (после еды).</w:t>
      </w:r>
      <w:r w:rsidRPr="00BA4F0F">
        <w:rPr>
          <w:rFonts w:cs="Times New Roman"/>
          <w:b/>
          <w:szCs w:val="24"/>
        </w:rPr>
        <w:t xml:space="preserve"> </w:t>
      </w:r>
    </w:p>
    <w:p w14:paraId="4C665055" w14:textId="77777777" w:rsidR="00C1188C" w:rsidRPr="00BA4F0F" w:rsidRDefault="00C1188C" w:rsidP="00C1188C">
      <w:pPr>
        <w:pStyle w:val="afe"/>
        <w:ind w:left="0"/>
        <w:rPr>
          <w:rFonts w:cs="Times New Roman"/>
          <w:b/>
          <w:i/>
          <w:szCs w:val="24"/>
        </w:rPr>
      </w:pPr>
    </w:p>
    <w:p w14:paraId="0C24ACB7" w14:textId="5EAF77A0" w:rsidR="00C1188C" w:rsidRPr="00BA4F0F" w:rsidRDefault="00C1188C" w:rsidP="00C1188C">
      <w:pPr>
        <w:pStyle w:val="afe"/>
        <w:ind w:left="0"/>
        <w:rPr>
          <w:rFonts w:cs="Times New Roman"/>
          <w:b/>
          <w:i/>
          <w:szCs w:val="24"/>
        </w:rPr>
      </w:pPr>
      <w:r w:rsidRPr="00BA4F0F">
        <w:rPr>
          <w:rFonts w:cs="Times New Roman"/>
          <w:b/>
          <w:i/>
          <w:szCs w:val="24"/>
        </w:rPr>
        <w:t xml:space="preserve">Противовирусная профилактика </w:t>
      </w:r>
      <w:r w:rsidRPr="00BA4F0F">
        <w:rPr>
          <w:rFonts w:cs="Times New Roman"/>
          <w:b/>
          <w:i/>
          <w:szCs w:val="24"/>
        </w:rPr>
        <w:fldChar w:fldCharType="begin" w:fldLock="1"/>
      </w:r>
      <w:r w:rsidR="00146A73">
        <w:rPr>
          <w:rFonts w:cs="Times New Roman"/>
          <w:b/>
          <w:i/>
          <w:szCs w:val="24"/>
        </w:rPr>
        <w:instrText>ADDIN CSL_CITATION {"citationItems":[{"id":"ITEM-1","itemData":{"DOI":"10.3324/haematol.2014.117176","ISSN":"15928721","PMID":"26432383","abstract":"The European Myeloma Network provides recommendations for the management of the most common complications of multiple myeloma. Whole body low-dose computed tomography is more sensitive than conventional radiography in depicting osteolytic disease and thus we recommend it as the novel standard for the detection of lytic lesions in myeloma (grade 1A). Myeloma patients with adequate renal function and bone disease at diagnosis should be treated with zoledronic acid or pamidronate (grade 1A). Symptomatic patients without lytic lesions on conventional radiography can be treated with zoledronic acid (grade 1B), but its advantage is not clear for patients with no bone involvement on computed tomography or magnetic resonance imaging. In asymptomatic myeloma, bisphosphonates are not recommended (grade 1A). Zoledronic acid should be given continuously, but it is not clear if patients who achieve at least a very good partial response benefit from its continuous use (grade 1B). Treatment with erythropoietic-stimulating agents may be initiated in patients with persistent symptomatic anemia (hemoglobin &lt;10g/dL) in whom other causes of anemia have been excluded (grade 1B). Erythropoietic agents should be stopped after 6-8 weeks if no adequate hemoglobin response is achieved. For renal impairment, bortezomib-based regimens are the current standard of care (grade 1A). For the management of treatment-induced peripheral neuropathy, drug modification is needed (grade 1C). Vaccination against influenza is recommended; vaccination against streptococcus pneumonia and hemophilus influenza is appropriate, but efficacy is not guaranteed due to suboptimal immune response (grade 1C). Prophylactic aciclovir (or valacyclovir) is recommended for patients receiving proteasome inhibitors, autologous or allogeneic transplantation (grade 1A).","author":[{"dropping-particle":"","family":"Terpos","given":"Evangelos","non-dropping-particle":"","parse-names":false,"suffix":""},{"dropping-particle":"","family":"Kleber","given":"Martina","non-dropping-particle":"","parse-names":false,"suffix":""},{"dropping-particle":"","family":"Engelhardt","given":"Monika","non-dropping-particle":"","parse-names":false,"suffix":""},{"dropping-particle":"","family":"Zweegman","given":"Sonja","non-dropping-particle":"","parse-names":false,"suffix":""},{"dropping-particle":"","family":"Gay","given":"Francesca","non-dropping-particle":"","parse-names":false,"suffix":""},{"dropping-particle":"","family":"Kastritis","given":"Efstathios","non-dropping-particle":"","parse-names":false,"suffix":""},{"dropping-particle":"","family":"Donk","given":"Niels W.C.J.","non-dropping-particle":"van de","parse-names":false,"suffix":""},{"dropping-particle":"","family":"Bruno","given":"Benedetto","non-dropping-particle":"","parse-names":false,"suffix":""},{"dropping-particle":"","family":"Sezer","given":"Orhan","non-dropping-particle":"","parse-names":false,"suffix":""},{"dropping-particle":"","family":"Broij","given":"Annemiek","non-dropping-particle":"","parse-names":false,"suffix":""},{"dropping-particle":"","family":"Bringhen","given":"Sara","non-dropping-particle":"","parse-names":false,"suffix":""},{"dropping-particle":"","family":"Beksac","given":"Meral","non-dropping-particle":"","parse-names":false,"suffix":""},{"dropping-particle":"","family":"Larocca","given":"Alessandra","non-dropping-particle":"","parse-names":false,"suffix":""},{"dropping-particle":"","family":"Hajek","given":"Roman","non-dropping-particle":"","parse-names":false,"suffix":""},{"dropping-particle":"","family":"Musto","given":"Pellegrino","non-dropping-particle":"","parse-names":false,"suffix":""},{"dropping-particle":"","family":"Johnsen","given":"Hans Erik","non-dropping-particle":"","parse-names":false,"suffix":""},{"dropping-particle":"","family":"Morabito","given":"Fortunato","non-dropping-particle":"","parse-names":false,"suffix":""},{"dropping-particle":"","family":"Ludwig","given":"Heinz","non-dropping-particle":"","parse-names":false,"suffix":""},{"dropping-particle":"","family":"Cavo","given":"Michele","non-dropping-particle":"","parse-names":false,"suffix":""},{"dropping-particle":"","family":"Einsele","given":"Hermann","non-dropping-particle":"","parse-names":false,"suffix":""},{"dropping-particle":"","family":"Sonneveld","given":"Pieter","non-dropping-particle":"","parse-names":false,"suffix":""},{"dropping-particle":"","family":"Dimopoulos","given":"Meletios A.","non-dropping-particle":"","parse-names":false,"suffix":""},{"dropping-particle":"","family":"Palumbo","given":"Antonio","non-dropping-particle":"","parse-names":false,"suffix":""}],"container-title":"Haematologica","id":"ITEM-1","issue":"10","issued":{"date-parts":[["2015","10"]]},"page":"1254-1266","publisher":"Ferrata Storti Foundation","title":"European myeloma network guidelines for the management of multiple myeloma-related complications","type":"article-journal","volume":"100"},"uris":["http://www.mendeley.com/documents/?uuid=aac7b897-8190-3c23-bc91-e35f2f0c34c2","http://www.mendeley.com/documents/?uuid=d764576b-b83c-433d-b5a2-7dad0d44d988","http://www.mendeley.com/documents/?uuid=ee597520-c0cc-44d1-88eb-388774bd8550","http://www.mendeley.com/documents/?uuid=c0612fc3-d7f0-4ab2-9abe-e086965714f4","http://www.mendeley.com/documents/?uuid=6d6938c8-1c2d-40c8-b1d1-d79df765c05d","http://www.mendeley.com/documents/?uuid=37f5270f-10ba-4092-bf91-5d27dd1c06ee","http://www.mendeley.com/documents/?uuid=b5a58553-9f9f-4514-b08b-dacb77967682","http://www.mendeley.com/documents/?uuid=a2dc2d73-6f14-4a34-af5c-17ae34364204"]}],"mendeley":{"formattedCitation":"[137]","plainTextFormattedCitation":"[137]","previouslyFormattedCitation":"[137]"},"properties":{"noteIndex":0},"schema":"https://github.com/citation-style-language/schema/raw/master/csl-citation.json"}</w:instrText>
      </w:r>
      <w:r w:rsidRPr="00BA4F0F">
        <w:rPr>
          <w:rFonts w:cs="Times New Roman"/>
          <w:b/>
          <w:i/>
          <w:szCs w:val="24"/>
        </w:rPr>
        <w:fldChar w:fldCharType="separate"/>
      </w:r>
      <w:r w:rsidR="00B436BD" w:rsidRPr="00B436BD">
        <w:rPr>
          <w:rFonts w:cs="Times New Roman"/>
          <w:noProof/>
          <w:szCs w:val="24"/>
        </w:rPr>
        <w:t>[137]</w:t>
      </w:r>
      <w:r w:rsidRPr="00BA4F0F">
        <w:rPr>
          <w:rFonts w:cs="Times New Roman"/>
          <w:b/>
          <w:i/>
          <w:szCs w:val="24"/>
        </w:rPr>
        <w:fldChar w:fldCharType="end"/>
      </w:r>
    </w:p>
    <w:p w14:paraId="7602A82B" w14:textId="77777777" w:rsidR="00C1188C" w:rsidRPr="00BA4F0F" w:rsidRDefault="00C1188C" w:rsidP="000768AC">
      <w:pPr>
        <w:numPr>
          <w:ilvl w:val="0"/>
          <w:numId w:val="194"/>
        </w:numPr>
        <w:tabs>
          <w:tab w:val="left" w:pos="0"/>
          <w:tab w:val="left" w:pos="567"/>
        </w:tabs>
        <w:ind w:left="0" w:firstLine="0"/>
        <w:rPr>
          <w:rFonts w:cs="Times New Roman"/>
          <w:szCs w:val="24"/>
        </w:rPr>
      </w:pPr>
      <w:r w:rsidRPr="00BA4F0F">
        <w:rPr>
          <w:rFonts w:cs="Times New Roman"/>
          <w:szCs w:val="24"/>
        </w:rPr>
        <w:t xml:space="preserve">Показана пациентам, имеющим отягощенный анамнез (частые, рецидивирующие эпизоды герпетических инфекций). </w:t>
      </w:r>
    </w:p>
    <w:p w14:paraId="5EFA6298" w14:textId="77777777" w:rsidR="00C1188C" w:rsidRPr="00BA4F0F" w:rsidRDefault="00C1188C" w:rsidP="000768AC">
      <w:pPr>
        <w:numPr>
          <w:ilvl w:val="0"/>
          <w:numId w:val="194"/>
        </w:numPr>
        <w:tabs>
          <w:tab w:val="left" w:pos="0"/>
          <w:tab w:val="left" w:pos="567"/>
        </w:tabs>
        <w:ind w:left="0" w:firstLine="0"/>
        <w:rPr>
          <w:rFonts w:cs="Times New Roman"/>
          <w:szCs w:val="24"/>
        </w:rPr>
      </w:pPr>
      <w:r w:rsidRPr="00BA4F0F">
        <w:rPr>
          <w:rFonts w:cs="Times New Roman"/>
          <w:szCs w:val="24"/>
        </w:rPr>
        <w:t>Проводится пероральная профилактика валацикловиром в дозе 500 мг 2 раза в сутки или ацикловиром 250 мг/м</w:t>
      </w:r>
      <w:r w:rsidRPr="00BA4F0F">
        <w:rPr>
          <w:rFonts w:cs="Times New Roman"/>
          <w:szCs w:val="24"/>
          <w:vertAlign w:val="superscript"/>
        </w:rPr>
        <w:t>2</w:t>
      </w:r>
      <w:r w:rsidRPr="00BA4F0F">
        <w:rPr>
          <w:rFonts w:cs="Times New Roman"/>
          <w:szCs w:val="24"/>
        </w:rPr>
        <w:t xml:space="preserve"> х 2 раза в сутки с момента начала предтрансплантационного кондиционирования. </w:t>
      </w:r>
    </w:p>
    <w:p w14:paraId="46A54D7D" w14:textId="77777777" w:rsidR="00C1188C" w:rsidRPr="00BA4F0F" w:rsidRDefault="00C1188C" w:rsidP="00C1188C">
      <w:pPr>
        <w:pStyle w:val="afe"/>
        <w:ind w:left="0"/>
        <w:rPr>
          <w:rFonts w:cs="Times New Roman"/>
          <w:b/>
          <w:i/>
          <w:szCs w:val="24"/>
        </w:rPr>
      </w:pPr>
    </w:p>
    <w:p w14:paraId="4E9AA04E" w14:textId="5C1BC5F7" w:rsidR="00C1188C" w:rsidRPr="00BA4F0F" w:rsidRDefault="00C1188C" w:rsidP="00C1188C">
      <w:pPr>
        <w:pStyle w:val="afe"/>
        <w:ind w:left="0"/>
        <w:rPr>
          <w:rFonts w:cs="Times New Roman"/>
          <w:b/>
          <w:i/>
          <w:szCs w:val="24"/>
        </w:rPr>
      </w:pPr>
      <w:r w:rsidRPr="00BA4F0F">
        <w:rPr>
          <w:rFonts w:cs="Times New Roman"/>
          <w:b/>
          <w:i/>
          <w:szCs w:val="24"/>
        </w:rPr>
        <w:t xml:space="preserve">Профилактика пневмоцистной пневмонии </w:t>
      </w:r>
      <w:r w:rsidRPr="00BA4F0F">
        <w:rPr>
          <w:rFonts w:cs="Times New Roman"/>
          <w:b/>
          <w:i/>
          <w:szCs w:val="24"/>
        </w:rPr>
        <w:fldChar w:fldCharType="begin" w:fldLock="1"/>
      </w:r>
      <w:r w:rsidR="00146A73">
        <w:rPr>
          <w:rFonts w:cs="Times New Roman"/>
          <w:b/>
          <w:i/>
          <w:szCs w:val="24"/>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Chemotherapy","id":"ITEM-2","issue":"9","issued":{"date-parts":[["2016","9","1"]]},"page":"1-8","publisher":"Oxford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[136,138]","plainTextFormattedCitation":"[136,138]","previouslyFormattedCitation":"[136,138]"},"properties":{"noteIndex":0},"schema":"https://github.com/citation-style-language/schema/raw/master/csl-citation.json"}</w:instrText>
      </w:r>
      <w:r w:rsidRPr="00BA4F0F">
        <w:rPr>
          <w:rFonts w:cs="Times New Roman"/>
          <w:b/>
          <w:i/>
          <w:szCs w:val="24"/>
        </w:rPr>
        <w:fldChar w:fldCharType="separate"/>
      </w:r>
      <w:r w:rsidR="00B436BD" w:rsidRPr="00B436BD">
        <w:rPr>
          <w:rFonts w:cs="Times New Roman"/>
          <w:noProof/>
          <w:szCs w:val="24"/>
        </w:rPr>
        <w:t>[136,138]</w:t>
      </w:r>
      <w:r w:rsidRPr="00BA4F0F">
        <w:rPr>
          <w:rFonts w:cs="Times New Roman"/>
          <w:b/>
          <w:i/>
          <w:szCs w:val="24"/>
        </w:rPr>
        <w:fldChar w:fldCharType="end"/>
      </w:r>
    </w:p>
    <w:p w14:paraId="1D04BFC2" w14:textId="77777777" w:rsidR="00C1188C" w:rsidRPr="00BA4F0F" w:rsidRDefault="00C1188C" w:rsidP="000768AC">
      <w:pPr>
        <w:numPr>
          <w:ilvl w:val="0"/>
          <w:numId w:val="115"/>
        </w:numPr>
        <w:tabs>
          <w:tab w:val="left" w:pos="0"/>
          <w:tab w:val="left" w:pos="567"/>
        </w:tabs>
        <w:ind w:left="0" w:firstLine="0"/>
        <w:rPr>
          <w:rFonts w:cs="Times New Roman"/>
          <w:szCs w:val="24"/>
        </w:rPr>
      </w:pPr>
      <w:r w:rsidRPr="00BA4F0F">
        <w:rPr>
          <w:rFonts w:cs="Times New Roman"/>
          <w:szCs w:val="24"/>
        </w:rPr>
        <w:t>Показания:</w:t>
      </w:r>
    </w:p>
    <w:p w14:paraId="5A3D2CC6" w14:textId="77777777" w:rsidR="00C1188C" w:rsidRPr="00BA4F0F" w:rsidRDefault="00C1188C" w:rsidP="000768AC">
      <w:pPr>
        <w:numPr>
          <w:ilvl w:val="0"/>
          <w:numId w:val="153"/>
        </w:numPr>
        <w:tabs>
          <w:tab w:val="left" w:pos="0"/>
          <w:tab w:val="left" w:pos="567"/>
        </w:tabs>
        <w:ind w:left="0" w:firstLine="0"/>
        <w:rPr>
          <w:rFonts w:cs="Times New Roman"/>
          <w:szCs w:val="24"/>
        </w:rPr>
      </w:pPr>
      <w:r w:rsidRPr="00BA4F0F">
        <w:rPr>
          <w:rFonts w:cs="Times New Roman"/>
          <w:szCs w:val="24"/>
        </w:rPr>
        <w:t xml:space="preserve">Терапия глюкокортикоидами. </w:t>
      </w:r>
    </w:p>
    <w:p w14:paraId="77EB83B7" w14:textId="77777777" w:rsidR="00C1188C" w:rsidRPr="00BA4F0F" w:rsidRDefault="00C1188C" w:rsidP="000768AC">
      <w:pPr>
        <w:numPr>
          <w:ilvl w:val="0"/>
          <w:numId w:val="153"/>
        </w:numPr>
        <w:tabs>
          <w:tab w:val="left" w:pos="0"/>
          <w:tab w:val="left" w:pos="567"/>
        </w:tabs>
        <w:ind w:left="0" w:firstLine="0"/>
        <w:rPr>
          <w:rFonts w:cs="Times New Roman"/>
          <w:szCs w:val="24"/>
        </w:rPr>
      </w:pPr>
      <w:r w:rsidRPr="00BA4F0F">
        <w:rPr>
          <w:rFonts w:cs="Times New Roman"/>
          <w:szCs w:val="24"/>
        </w:rPr>
        <w:t>Лечение препаратами, приводящими к снижению числа лимфоцитов CD4.</w:t>
      </w:r>
    </w:p>
    <w:p w14:paraId="2128F0E1" w14:textId="77777777" w:rsidR="00C1188C" w:rsidRPr="00BA4F0F" w:rsidRDefault="00C1188C" w:rsidP="000768AC">
      <w:pPr>
        <w:numPr>
          <w:ilvl w:val="0"/>
          <w:numId w:val="153"/>
        </w:numPr>
        <w:tabs>
          <w:tab w:val="left" w:pos="0"/>
          <w:tab w:val="left" w:pos="567"/>
        </w:tabs>
        <w:ind w:left="0" w:firstLine="0"/>
        <w:rPr>
          <w:rFonts w:cs="Times New Roman"/>
          <w:szCs w:val="24"/>
        </w:rPr>
      </w:pPr>
      <w:r w:rsidRPr="00BA4F0F">
        <w:rPr>
          <w:rFonts w:cs="Times New Roman"/>
          <w:szCs w:val="24"/>
        </w:rPr>
        <w:t>Пациенты, имеющие в анамнезе пневмоцистную пневмонию.</w:t>
      </w:r>
    </w:p>
    <w:p w14:paraId="3AADA2B5" w14:textId="77777777" w:rsidR="00C1188C" w:rsidRPr="00BA4F0F" w:rsidRDefault="00C1188C" w:rsidP="000768AC">
      <w:pPr>
        <w:numPr>
          <w:ilvl w:val="0"/>
          <w:numId w:val="154"/>
        </w:numPr>
        <w:tabs>
          <w:tab w:val="left" w:pos="0"/>
          <w:tab w:val="left" w:pos="567"/>
        </w:tabs>
        <w:ind w:left="0" w:firstLine="0"/>
        <w:rPr>
          <w:rFonts w:cs="Times New Roman"/>
          <w:szCs w:val="24"/>
        </w:rPr>
      </w:pPr>
      <w:r w:rsidRPr="00BA4F0F">
        <w:rPr>
          <w:rFonts w:cs="Times New Roman"/>
          <w:szCs w:val="24"/>
        </w:rPr>
        <w:t>Назначают один из следующих препаратов:</w:t>
      </w:r>
    </w:p>
    <w:p w14:paraId="3247D1B9" w14:textId="77777777" w:rsidR="00C1188C" w:rsidRPr="00BA4F0F" w:rsidRDefault="00C1188C" w:rsidP="000768AC">
      <w:pPr>
        <w:numPr>
          <w:ilvl w:val="0"/>
          <w:numId w:val="153"/>
        </w:numPr>
        <w:tabs>
          <w:tab w:val="left" w:pos="0"/>
          <w:tab w:val="left" w:pos="567"/>
        </w:tabs>
        <w:ind w:left="0" w:firstLine="0"/>
        <w:rPr>
          <w:rFonts w:cs="Times New Roman"/>
          <w:szCs w:val="24"/>
        </w:rPr>
      </w:pPr>
      <w:r w:rsidRPr="00BA4F0F">
        <w:rPr>
          <w:rFonts w:cs="Times New Roman"/>
          <w:szCs w:val="24"/>
        </w:rPr>
        <w:t xml:space="preserve">Триметоприм/сульфаметоксазол назначают по 480 мг ежедневно. </w:t>
      </w:r>
    </w:p>
    <w:p w14:paraId="08456321" w14:textId="77777777" w:rsidR="00C1188C" w:rsidRPr="00BA4F0F" w:rsidRDefault="00C1188C" w:rsidP="000768AC">
      <w:pPr>
        <w:numPr>
          <w:ilvl w:val="0"/>
          <w:numId w:val="153"/>
        </w:numPr>
        <w:tabs>
          <w:tab w:val="left" w:pos="0"/>
          <w:tab w:val="left" w:pos="567"/>
        </w:tabs>
        <w:ind w:left="0" w:firstLine="0"/>
        <w:rPr>
          <w:rFonts w:cs="Times New Roman"/>
          <w:szCs w:val="24"/>
        </w:rPr>
      </w:pPr>
      <w:r w:rsidRPr="00BA4F0F">
        <w:rPr>
          <w:rFonts w:cs="Times New Roman"/>
          <w:szCs w:val="24"/>
        </w:rPr>
        <w:t>Дапсон, 100 мг внутрь ежедневно.</w:t>
      </w:r>
    </w:p>
    <w:p w14:paraId="68F88FF3" w14:textId="77777777" w:rsidR="00C1188C" w:rsidRPr="00BA4F0F" w:rsidRDefault="00C1188C" w:rsidP="000768AC">
      <w:pPr>
        <w:numPr>
          <w:ilvl w:val="0"/>
          <w:numId w:val="153"/>
        </w:numPr>
        <w:tabs>
          <w:tab w:val="left" w:pos="0"/>
          <w:tab w:val="left" w:pos="567"/>
        </w:tabs>
        <w:ind w:left="0" w:firstLine="0"/>
        <w:rPr>
          <w:rFonts w:cs="Times New Roman"/>
          <w:szCs w:val="24"/>
        </w:rPr>
      </w:pPr>
      <w:r w:rsidRPr="00BA4F0F">
        <w:rPr>
          <w:rFonts w:cs="Times New Roman"/>
          <w:szCs w:val="24"/>
        </w:rPr>
        <w:t>Пентамидин, 300 мг в виде аэрозоля через респираторный ингалятор или внутривенно каждые 3—4 недели.</w:t>
      </w:r>
    </w:p>
    <w:p w14:paraId="22B74880" w14:textId="77777777" w:rsidR="00C1188C" w:rsidRPr="00BA4F0F" w:rsidRDefault="00C1188C" w:rsidP="000768AC">
      <w:pPr>
        <w:numPr>
          <w:ilvl w:val="0"/>
          <w:numId w:val="198"/>
        </w:numPr>
        <w:tabs>
          <w:tab w:val="left" w:pos="0"/>
          <w:tab w:val="left" w:pos="567"/>
        </w:tabs>
        <w:ind w:left="0" w:firstLine="0"/>
        <w:rPr>
          <w:rFonts w:cs="Times New Roman"/>
          <w:szCs w:val="24"/>
        </w:rPr>
      </w:pPr>
      <w:r w:rsidRPr="00BA4F0F">
        <w:rPr>
          <w:rFonts w:cs="Times New Roman"/>
          <w:szCs w:val="24"/>
        </w:rPr>
        <w:t>Препараты применяют в период цитостатической терапии и в течение всего периода нейтропении.</w:t>
      </w:r>
    </w:p>
    <w:p w14:paraId="6C652D90" w14:textId="77777777" w:rsidR="00C1188C" w:rsidRPr="00BA4F0F" w:rsidRDefault="00C1188C" w:rsidP="000768AC">
      <w:pPr>
        <w:numPr>
          <w:ilvl w:val="0"/>
          <w:numId w:val="198"/>
        </w:numPr>
        <w:tabs>
          <w:tab w:val="left" w:pos="0"/>
          <w:tab w:val="left" w:pos="567"/>
        </w:tabs>
        <w:ind w:left="0" w:firstLine="0"/>
        <w:rPr>
          <w:rFonts w:cs="Times New Roman"/>
          <w:szCs w:val="24"/>
        </w:rPr>
      </w:pPr>
      <w:r w:rsidRPr="00BA4F0F">
        <w:rPr>
          <w:rFonts w:cs="Times New Roman"/>
          <w:szCs w:val="24"/>
        </w:rPr>
        <w:t xml:space="preserve">Использование триметоприма/сульфаметоксазола одновременно предупреждает инфекции, вызываемые </w:t>
      </w:r>
      <w:r w:rsidRPr="00BA4F0F">
        <w:rPr>
          <w:rFonts w:cs="Times New Roman"/>
          <w:i/>
          <w:szCs w:val="24"/>
        </w:rPr>
        <w:t>Toxoplasma gondii, Listeria monocytogenes, Nocardia asteroides</w:t>
      </w:r>
      <w:r w:rsidRPr="00BA4F0F">
        <w:rPr>
          <w:rFonts w:cs="Times New Roman"/>
          <w:szCs w:val="24"/>
        </w:rPr>
        <w:t xml:space="preserve">. </w:t>
      </w:r>
    </w:p>
    <w:p w14:paraId="0091F011" w14:textId="77777777" w:rsidR="00C1188C" w:rsidRPr="00BA4F0F" w:rsidRDefault="00C1188C" w:rsidP="00C1188C">
      <w:pPr>
        <w:tabs>
          <w:tab w:val="left" w:pos="0"/>
          <w:tab w:val="left" w:pos="284"/>
        </w:tabs>
        <w:rPr>
          <w:rFonts w:cs="Times New Roman"/>
          <w:b/>
          <w:szCs w:val="24"/>
        </w:rPr>
      </w:pPr>
      <w:r w:rsidRPr="00BA4F0F">
        <w:rPr>
          <w:rFonts w:cs="Times New Roman"/>
          <w:szCs w:val="24"/>
        </w:rPr>
        <w:t xml:space="preserve">Пациенты, инфицированные </w:t>
      </w:r>
      <w:r w:rsidRPr="00BA4F0F">
        <w:rPr>
          <w:rFonts w:cs="Times New Roman"/>
          <w:i/>
          <w:szCs w:val="24"/>
        </w:rPr>
        <w:t>Pneumocystis jiroveci</w:t>
      </w:r>
      <w:r w:rsidRPr="00BA4F0F">
        <w:rPr>
          <w:rFonts w:cs="Times New Roman"/>
          <w:szCs w:val="24"/>
        </w:rPr>
        <w:t>, не должны находиться в одной палате с другими иммунокомпрометированными больными.</w:t>
      </w:r>
      <w:r w:rsidRPr="00BA4F0F">
        <w:rPr>
          <w:rFonts w:cs="Times New Roman"/>
          <w:szCs w:val="24"/>
        </w:rPr>
        <w:cr/>
      </w:r>
    </w:p>
    <w:p w14:paraId="79B36E4D" w14:textId="77777777" w:rsidR="00C1188C" w:rsidRPr="00BA4F0F" w:rsidRDefault="00C1188C" w:rsidP="00C1188C">
      <w:pPr>
        <w:pStyle w:val="afe"/>
        <w:ind w:left="0"/>
        <w:rPr>
          <w:rFonts w:cs="Times New Roman"/>
          <w:b/>
          <w:i/>
          <w:szCs w:val="24"/>
        </w:rPr>
      </w:pPr>
      <w:r w:rsidRPr="00BA4F0F">
        <w:rPr>
          <w:rFonts w:cs="Times New Roman"/>
          <w:b/>
          <w:i/>
          <w:szCs w:val="24"/>
        </w:rPr>
        <w:t>Иммуноглобулин человеческий</w:t>
      </w:r>
    </w:p>
    <w:p w14:paraId="739B6DAB" w14:textId="77777777" w:rsidR="00C1188C" w:rsidRPr="00BA4F0F" w:rsidRDefault="00C1188C" w:rsidP="00C1188C">
      <w:pPr>
        <w:pStyle w:val="afe"/>
        <w:ind w:left="0"/>
        <w:rPr>
          <w:szCs w:val="24"/>
        </w:rPr>
      </w:pPr>
      <w:r w:rsidRPr="00BA4F0F">
        <w:rPr>
          <w:rFonts w:cs="Times New Roman"/>
          <w:szCs w:val="24"/>
        </w:rPr>
        <w:t xml:space="preserve">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 Человеческий иммуноглобулин, восполняя дефицит антител, снижает риск развития инфекций у больных со вторичным иммунодефицитом. </w:t>
      </w:r>
    </w:p>
    <w:p w14:paraId="2CCB1B81" w14:textId="77777777" w:rsidR="00C1188C" w:rsidRPr="00BA4F0F" w:rsidRDefault="00C1188C" w:rsidP="00C1188C">
      <w:pPr>
        <w:pStyle w:val="afe"/>
        <w:ind w:left="0"/>
        <w:rPr>
          <w:szCs w:val="24"/>
        </w:rPr>
      </w:pPr>
      <w:r w:rsidRPr="00BA4F0F">
        <w:rPr>
          <w:rFonts w:cs="Times New Roman"/>
          <w:szCs w:val="24"/>
        </w:rPr>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06EAEA60" w14:textId="77777777" w:rsidR="00C1188C" w:rsidRPr="00BA4F0F" w:rsidRDefault="00C1188C" w:rsidP="00C1188C">
      <w:pPr>
        <w:rPr>
          <w:rFonts w:cs="Times New Roman"/>
          <w:b/>
          <w:szCs w:val="24"/>
          <w:highlight w:val="green"/>
        </w:rPr>
      </w:pPr>
    </w:p>
    <w:p w14:paraId="7D2E156D" w14:textId="77777777" w:rsidR="00C1188C" w:rsidRPr="00BA4F0F" w:rsidRDefault="00C1188C" w:rsidP="00C1188C">
      <w:pPr>
        <w:rPr>
          <w:rFonts w:cs="Times New Roman"/>
          <w:b/>
          <w:szCs w:val="24"/>
        </w:rPr>
      </w:pPr>
      <w:r w:rsidRPr="00BA4F0F">
        <w:rPr>
          <w:rFonts w:cs="Times New Roman"/>
          <w:b/>
          <w:szCs w:val="24"/>
        </w:rPr>
        <w:t xml:space="preserve"> </w:t>
      </w:r>
      <w:bookmarkStart w:id="134" w:name="_Toc44926639"/>
      <w:r w:rsidRPr="00BA4F0F">
        <w:rPr>
          <w:rFonts w:cs="Times New Roman"/>
          <w:b/>
          <w:szCs w:val="24"/>
        </w:rPr>
        <w:t>Трансфузионная терапия</w:t>
      </w:r>
      <w:bookmarkEnd w:id="134"/>
    </w:p>
    <w:p w14:paraId="6BF8EB69" w14:textId="77777777" w:rsidR="00C1188C" w:rsidRPr="00BA4F0F" w:rsidRDefault="00C1188C" w:rsidP="00C1188C">
      <w:pPr>
        <w:rPr>
          <w:rFonts w:eastAsia="Calibri" w:cs="Times New Roman"/>
          <w:szCs w:val="24"/>
        </w:rPr>
      </w:pPr>
      <w:r w:rsidRPr="00BA4F0F">
        <w:rPr>
          <w:rFonts w:eastAsia="Calibri" w:cs="Times New Roman"/>
          <w:szCs w:val="24"/>
        </w:rPr>
        <w:t>В ранний пострансплантационный период в связи с развитием анемии, тромбоцитопении, геморрагического синдрома пациентам требуется заместительная терапия компонентами крови. Чаще всего используются эритроцитная масса, тромбоконцентрат, СЗП</w:t>
      </w:r>
    </w:p>
    <w:p w14:paraId="476BFBE0" w14:textId="77777777" w:rsidR="00C1188C" w:rsidRPr="00BA4F0F" w:rsidRDefault="00C1188C" w:rsidP="00C1188C">
      <w:pPr>
        <w:rPr>
          <w:rFonts w:eastAsia="Calibri" w:cs="Times New Roman"/>
          <w:szCs w:val="24"/>
        </w:rPr>
      </w:pPr>
      <w:r w:rsidRPr="00BA4F0F">
        <w:rPr>
          <w:rFonts w:eastAsia="Calibri" w:cs="Times New Roman"/>
          <w:szCs w:val="24"/>
        </w:rPr>
        <w:t>Показания к переливанию эритроцитсодержащих сред при ауто-ТГСК:</w:t>
      </w:r>
    </w:p>
    <w:p w14:paraId="14AAAD66" w14:textId="77777777" w:rsidR="00C1188C" w:rsidRPr="00BA4F0F" w:rsidRDefault="00C1188C" w:rsidP="000768AC">
      <w:pPr>
        <w:numPr>
          <w:ilvl w:val="0"/>
          <w:numId w:val="206"/>
        </w:numPr>
        <w:ind w:left="0" w:firstLine="709"/>
        <w:contextualSpacing/>
        <w:rPr>
          <w:rFonts w:eastAsia="Calibri" w:cs="Times New Roman"/>
          <w:szCs w:val="24"/>
        </w:rPr>
      </w:pPr>
      <w:r w:rsidRPr="00BA4F0F">
        <w:rPr>
          <w:rFonts w:eastAsia="Calibri" w:cs="Times New Roman"/>
          <w:szCs w:val="24"/>
        </w:rPr>
        <w:t>Пациентам при значимом снижении гемоглобина и наличии анемических жалоб рекомендованы заместительные трансфузии эритроцитов;</w:t>
      </w:r>
    </w:p>
    <w:p w14:paraId="72CAE08B" w14:textId="77777777" w:rsidR="00C1188C" w:rsidRPr="00BA4F0F" w:rsidRDefault="00C1188C" w:rsidP="000768AC">
      <w:pPr>
        <w:numPr>
          <w:ilvl w:val="0"/>
          <w:numId w:val="206"/>
        </w:numPr>
        <w:ind w:left="0" w:firstLine="709"/>
        <w:contextualSpacing/>
        <w:rPr>
          <w:rFonts w:eastAsia="Calibri" w:cs="Times New Roman"/>
          <w:szCs w:val="24"/>
        </w:rPr>
      </w:pPr>
      <w:r w:rsidRPr="00BA4F0F">
        <w:rPr>
          <w:rFonts w:eastAsia="Calibri" w:cs="Times New Roman"/>
          <w:szCs w:val="24"/>
        </w:rPr>
        <w:t>При активном кровотечении трансфузии эритроцитов показаны при уровне гемоглобина менее 70-90 г/л;</w:t>
      </w:r>
    </w:p>
    <w:p w14:paraId="6C152111" w14:textId="77777777" w:rsidR="00C1188C" w:rsidRPr="00BA4F0F" w:rsidRDefault="00C1188C" w:rsidP="000768AC">
      <w:pPr>
        <w:numPr>
          <w:ilvl w:val="0"/>
          <w:numId w:val="206"/>
        </w:numPr>
        <w:ind w:left="0" w:firstLine="709"/>
        <w:contextualSpacing/>
        <w:rPr>
          <w:rFonts w:eastAsia="Calibri" w:cs="Times New Roman"/>
          <w:szCs w:val="24"/>
        </w:rPr>
      </w:pPr>
      <w:r w:rsidRPr="00BA4F0F">
        <w:rPr>
          <w:rFonts w:eastAsia="Calibri" w:cs="Times New Roman"/>
          <w:szCs w:val="24"/>
        </w:rPr>
        <w:t>Пациентам с тяжелыми инфекционными осложнениями (сепсис, пневмония), кардиопатиями (ИБС, миокардит), субарахноидальным кровоизлиянием,  больным старше 60 лет трансфузии эритроцитов рекомендованы при уровне гемоглобина менее 100 г/л;</w:t>
      </w:r>
    </w:p>
    <w:p w14:paraId="01A26AA9" w14:textId="77777777" w:rsidR="00C1188C" w:rsidRPr="00BA4F0F" w:rsidRDefault="00C1188C" w:rsidP="000768AC">
      <w:pPr>
        <w:numPr>
          <w:ilvl w:val="0"/>
          <w:numId w:val="206"/>
        </w:numPr>
        <w:ind w:left="0" w:firstLine="709"/>
        <w:contextualSpacing/>
        <w:rPr>
          <w:rFonts w:eastAsia="Calibri" w:cs="Times New Roman"/>
          <w:szCs w:val="24"/>
        </w:rPr>
      </w:pPr>
      <w:r w:rsidRPr="00BA4F0F">
        <w:rPr>
          <w:rFonts w:eastAsia="Calibri" w:cs="Times New Roman"/>
          <w:szCs w:val="24"/>
        </w:rPr>
        <w:t>Пациентам с хронической анемией трансфузии эритроцитов рекомендованы при уровне гемоглобина менее 60 г/л</w:t>
      </w:r>
    </w:p>
    <w:p w14:paraId="4EE29502" w14:textId="77777777" w:rsidR="00C1188C" w:rsidRPr="00BA4F0F" w:rsidRDefault="00C1188C" w:rsidP="00C1188C">
      <w:pPr>
        <w:rPr>
          <w:rFonts w:eastAsia="Calibri" w:cs="Times New Roman"/>
          <w:szCs w:val="24"/>
        </w:rPr>
      </w:pPr>
      <w:r w:rsidRPr="00BA4F0F">
        <w:rPr>
          <w:rFonts w:eastAsia="Calibri" w:cs="Times New Roman"/>
          <w:szCs w:val="24"/>
        </w:rPr>
        <w:t>Показания к переливанию концентратата тромбоцитов при ауто-ТГСК:</w:t>
      </w:r>
    </w:p>
    <w:p w14:paraId="657B4FBB" w14:textId="77777777" w:rsidR="00C1188C" w:rsidRPr="00BA4F0F" w:rsidRDefault="00C1188C" w:rsidP="000768AC">
      <w:pPr>
        <w:numPr>
          <w:ilvl w:val="0"/>
          <w:numId w:val="207"/>
        </w:numPr>
        <w:ind w:left="0" w:firstLine="709"/>
        <w:contextualSpacing/>
        <w:rPr>
          <w:rFonts w:eastAsia="Calibri" w:cs="Times New Roman"/>
          <w:szCs w:val="24"/>
        </w:rPr>
      </w:pPr>
      <w:r w:rsidRPr="00BA4F0F">
        <w:rPr>
          <w:rFonts w:eastAsia="Calibri" w:cs="Times New Roman"/>
          <w:szCs w:val="24"/>
        </w:rPr>
        <w:t>Снижение тромбоцитов крови менее 20 ×10</w:t>
      </w:r>
      <w:r w:rsidRPr="00BA4F0F">
        <w:rPr>
          <w:rFonts w:eastAsia="Calibri" w:cs="Times New Roman"/>
          <w:szCs w:val="24"/>
          <w:vertAlign w:val="superscript"/>
        </w:rPr>
        <w:t>9</w:t>
      </w:r>
      <w:r w:rsidRPr="00BA4F0F">
        <w:rPr>
          <w:rFonts w:eastAsia="Calibri" w:cs="Times New Roman"/>
          <w:szCs w:val="24"/>
        </w:rPr>
        <w:t>/л</w:t>
      </w:r>
    </w:p>
    <w:p w14:paraId="46AEB4B7" w14:textId="77777777" w:rsidR="00C1188C" w:rsidRPr="00BA4F0F" w:rsidRDefault="00C1188C" w:rsidP="000768AC">
      <w:pPr>
        <w:numPr>
          <w:ilvl w:val="0"/>
          <w:numId w:val="207"/>
        </w:numPr>
        <w:ind w:left="0" w:firstLine="709"/>
        <w:contextualSpacing/>
        <w:rPr>
          <w:rFonts w:eastAsia="Calibri" w:cs="Times New Roman"/>
          <w:szCs w:val="24"/>
        </w:rPr>
      </w:pPr>
      <w:r w:rsidRPr="00BA4F0F">
        <w:rPr>
          <w:rFonts w:eastAsia="Calibri" w:cs="Times New Roman"/>
          <w:szCs w:val="24"/>
        </w:rPr>
        <w:t>При необходимости выполнения диагностической люмбальной пункции, малоинвазивного вмешательства (эзофагогастродуоденоскопия, бронхоскопия) трансфузия тромбоконцентрата показана при снижении тромбоцитов крови менее 50 ×10</w:t>
      </w:r>
      <w:r w:rsidRPr="00BA4F0F">
        <w:rPr>
          <w:rFonts w:eastAsia="Calibri" w:cs="Times New Roman"/>
          <w:szCs w:val="24"/>
          <w:vertAlign w:val="superscript"/>
        </w:rPr>
        <w:t>9</w:t>
      </w:r>
      <w:r w:rsidRPr="00BA4F0F">
        <w:rPr>
          <w:rFonts w:eastAsia="Calibri" w:cs="Times New Roman"/>
          <w:szCs w:val="24"/>
        </w:rPr>
        <w:t>/л</w:t>
      </w:r>
    </w:p>
    <w:p w14:paraId="3757AD05" w14:textId="77777777" w:rsidR="00C1188C" w:rsidRPr="00BA4F0F" w:rsidRDefault="00C1188C" w:rsidP="000768AC">
      <w:pPr>
        <w:numPr>
          <w:ilvl w:val="0"/>
          <w:numId w:val="207"/>
        </w:numPr>
        <w:ind w:left="0" w:firstLine="709"/>
        <w:contextualSpacing/>
        <w:rPr>
          <w:rFonts w:eastAsia="Calibri" w:cs="Times New Roman"/>
          <w:szCs w:val="24"/>
        </w:rPr>
      </w:pPr>
      <w:r w:rsidRPr="00BA4F0F">
        <w:rPr>
          <w:rFonts w:eastAsia="Calibri" w:cs="Times New Roman"/>
          <w:szCs w:val="24"/>
        </w:rPr>
        <w:t>Наличие геморрагического синдрома – прямое показание к переливанию тромбоконцентрата независимо от лабораторных показателей;</w:t>
      </w:r>
    </w:p>
    <w:p w14:paraId="399558CE" w14:textId="77777777" w:rsidR="00C1188C" w:rsidRPr="00BA4F0F" w:rsidRDefault="00C1188C" w:rsidP="00C1188C">
      <w:pPr>
        <w:rPr>
          <w:rFonts w:eastAsia="Calibri" w:cs="Times New Roman"/>
          <w:szCs w:val="24"/>
        </w:rPr>
      </w:pPr>
      <w:r w:rsidRPr="00BA4F0F">
        <w:rPr>
          <w:rFonts w:eastAsia="Calibri" w:cs="Times New Roman"/>
          <w:szCs w:val="24"/>
        </w:rPr>
        <w:t xml:space="preserve">СЗП является универсальным препаратом для восполнения дефицита факторов свертывания. Показания к применению СЗП при ауто-ТГСК: </w:t>
      </w:r>
    </w:p>
    <w:p w14:paraId="317CB552" w14:textId="77777777" w:rsidR="00C1188C" w:rsidRPr="00BA4F0F" w:rsidRDefault="00C1188C" w:rsidP="000768AC">
      <w:pPr>
        <w:numPr>
          <w:ilvl w:val="0"/>
          <w:numId w:val="208"/>
        </w:numPr>
        <w:ind w:left="0" w:firstLine="709"/>
        <w:contextualSpacing/>
        <w:rPr>
          <w:rFonts w:eastAsia="Calibri" w:cs="Times New Roman"/>
          <w:szCs w:val="24"/>
        </w:rPr>
      </w:pPr>
      <w:r w:rsidRPr="00BA4F0F">
        <w:rPr>
          <w:rFonts w:eastAsia="Calibri" w:cs="Times New Roman"/>
          <w:szCs w:val="24"/>
        </w:rPr>
        <w:t>Коррекция дефицита известного фактора свертывания, при отсутствии специфического концентрата фактора. Требуется переливание СЗП из расчета 10-15 мл/кг.</w:t>
      </w:r>
    </w:p>
    <w:p w14:paraId="1844E681" w14:textId="77777777" w:rsidR="00C1188C" w:rsidRPr="00BA4F0F" w:rsidRDefault="00C1188C" w:rsidP="000768AC">
      <w:pPr>
        <w:numPr>
          <w:ilvl w:val="0"/>
          <w:numId w:val="208"/>
        </w:numPr>
        <w:ind w:left="0" w:firstLine="709"/>
        <w:contextualSpacing/>
        <w:rPr>
          <w:rFonts w:eastAsia="Calibri" w:cs="Times New Roman"/>
          <w:szCs w:val="24"/>
        </w:rPr>
      </w:pPr>
      <w:r w:rsidRPr="00BA4F0F">
        <w:rPr>
          <w:rFonts w:eastAsia="Calibri" w:cs="Times New Roman"/>
          <w:szCs w:val="24"/>
        </w:rPr>
        <w:t>Коррекция геморрагического синдрома</w:t>
      </w:r>
    </w:p>
    <w:p w14:paraId="264BA2EE" w14:textId="77777777" w:rsidR="00C1188C" w:rsidRPr="00BA4F0F" w:rsidRDefault="00C1188C" w:rsidP="00C1188C">
      <w:pPr>
        <w:rPr>
          <w:rFonts w:eastAsia="Calibri" w:cs="Times New Roman"/>
          <w:szCs w:val="24"/>
        </w:rPr>
      </w:pPr>
      <w:r w:rsidRPr="00BA4F0F">
        <w:rPr>
          <w:rFonts w:eastAsia="Calibri" w:cs="Times New Roman"/>
          <w:szCs w:val="24"/>
        </w:rPr>
        <w:t xml:space="preserve">Основным показанием к применению криопреципитата при ауто-ТГСК является гипофибриногенемия (фибриноген менее 1 г/л). </w:t>
      </w:r>
    </w:p>
    <w:p w14:paraId="3EB6438D" w14:textId="77777777" w:rsidR="00C1188C" w:rsidRPr="00BA4F0F" w:rsidRDefault="00C1188C" w:rsidP="00C1188C">
      <w:pPr>
        <w:rPr>
          <w:rFonts w:eastAsia="Calibri" w:cs="Times New Roman"/>
          <w:szCs w:val="24"/>
        </w:rPr>
      </w:pPr>
      <w:r w:rsidRPr="00BA4F0F">
        <w:rPr>
          <w:rFonts w:eastAsia="Calibri" w:cs="Times New Roman"/>
          <w:szCs w:val="24"/>
        </w:rPr>
        <w:t>Принимая во внимание, что пациенты с онкогематологическими заболеваниями нуждаются в многократных трансфузиях компонентов крови, с целью профилактики нежелательных реакций и посттрансфузионных осложнений рекомендовано использование компонентов крови со следующими характеристиками:</w:t>
      </w:r>
    </w:p>
    <w:p w14:paraId="714A4FD0" w14:textId="77777777" w:rsidR="00C1188C" w:rsidRPr="00BA4F0F" w:rsidRDefault="00C1188C" w:rsidP="000768AC">
      <w:pPr>
        <w:numPr>
          <w:ilvl w:val="0"/>
          <w:numId w:val="209"/>
        </w:numPr>
        <w:ind w:left="0" w:firstLine="709"/>
        <w:contextualSpacing/>
        <w:rPr>
          <w:rFonts w:eastAsia="Calibri" w:cs="Times New Roman"/>
          <w:szCs w:val="24"/>
        </w:rPr>
      </w:pPr>
      <w:r w:rsidRPr="00BA4F0F">
        <w:rPr>
          <w:rFonts w:eastAsia="Calibri" w:cs="Times New Roman"/>
          <w:szCs w:val="24"/>
        </w:rPr>
        <w:t>Лейкоредуциорванные среды;</w:t>
      </w:r>
    </w:p>
    <w:p w14:paraId="4AE4C55D" w14:textId="77777777" w:rsidR="00C1188C" w:rsidRPr="00BA4F0F" w:rsidRDefault="00C1188C" w:rsidP="000768AC">
      <w:pPr>
        <w:numPr>
          <w:ilvl w:val="0"/>
          <w:numId w:val="209"/>
        </w:numPr>
        <w:ind w:left="0" w:firstLine="709"/>
        <w:contextualSpacing/>
        <w:rPr>
          <w:rFonts w:eastAsia="Calibri" w:cs="Times New Roman"/>
          <w:szCs w:val="24"/>
        </w:rPr>
      </w:pPr>
      <w:r w:rsidRPr="00BA4F0F">
        <w:rPr>
          <w:rFonts w:eastAsia="Calibri" w:cs="Times New Roman"/>
          <w:szCs w:val="24"/>
        </w:rPr>
        <w:t>Облученные эритроциты и тромбоциты (гамма-излучение или рентгеновское излучение в дозе 25-50 Гр)</w:t>
      </w:r>
    </w:p>
    <w:p w14:paraId="457462B7" w14:textId="77777777" w:rsidR="00C1188C" w:rsidRPr="00BA4F0F" w:rsidRDefault="00C1188C" w:rsidP="000768AC">
      <w:pPr>
        <w:numPr>
          <w:ilvl w:val="0"/>
          <w:numId w:val="209"/>
        </w:numPr>
        <w:ind w:left="0" w:firstLine="709"/>
        <w:contextualSpacing/>
        <w:rPr>
          <w:rFonts w:eastAsia="Calibri" w:cs="Times New Roman"/>
          <w:szCs w:val="24"/>
        </w:rPr>
      </w:pPr>
      <w:r w:rsidRPr="00BA4F0F">
        <w:rPr>
          <w:rFonts w:eastAsia="Calibri" w:cs="Times New Roman"/>
          <w:szCs w:val="24"/>
        </w:rPr>
        <w:t>Проведение инактивации патогенов в концентрате тромбоцитов.</w:t>
      </w:r>
    </w:p>
    <w:p w14:paraId="1CFBEFD5" w14:textId="77777777" w:rsidR="00C1188C" w:rsidRPr="00BA4F0F" w:rsidRDefault="00C1188C" w:rsidP="00C1188C">
      <w:pPr>
        <w:rPr>
          <w:rFonts w:cs="Times New Roman"/>
          <w:b/>
          <w:szCs w:val="24"/>
          <w:highlight w:val="green"/>
        </w:rPr>
      </w:pPr>
    </w:p>
    <w:p w14:paraId="082C80B2" w14:textId="77777777" w:rsidR="00C1188C" w:rsidRPr="00BA4F0F" w:rsidRDefault="00C1188C" w:rsidP="00C1188C">
      <w:pPr>
        <w:rPr>
          <w:rFonts w:cs="Times New Roman"/>
          <w:b/>
          <w:szCs w:val="24"/>
        </w:rPr>
      </w:pPr>
      <w:r w:rsidRPr="00BA4F0F">
        <w:rPr>
          <w:rFonts w:cs="Times New Roman"/>
          <w:b/>
          <w:szCs w:val="24"/>
        </w:rPr>
        <w:t xml:space="preserve"> </w:t>
      </w:r>
      <w:bookmarkStart w:id="135" w:name="_Toc44926640"/>
      <w:r w:rsidRPr="00BA4F0F">
        <w:rPr>
          <w:rFonts w:cs="Times New Roman"/>
          <w:b/>
          <w:szCs w:val="24"/>
        </w:rPr>
        <w:t>Лабораторный и инструментальный мониторинг в раннем посттрансплантационном периоде</w:t>
      </w:r>
      <w:bookmarkEnd w:id="135"/>
    </w:p>
    <w:p w14:paraId="2E51D6A0" w14:textId="77777777" w:rsidR="00C1188C" w:rsidRPr="00BA4F0F" w:rsidRDefault="00C1188C" w:rsidP="00C1188C">
      <w:pPr>
        <w:contextualSpacing/>
        <w:rPr>
          <w:rFonts w:eastAsia="Calibri" w:cs="Times New Roman"/>
          <w:szCs w:val="24"/>
        </w:rPr>
      </w:pPr>
      <w:r w:rsidRPr="00BA4F0F">
        <w:rPr>
          <w:rFonts w:eastAsia="Calibri" w:cs="Times New Roman"/>
          <w:szCs w:val="24"/>
        </w:rP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14A3872D" w14:textId="77777777" w:rsidR="00C1188C" w:rsidRPr="00BA4F0F" w:rsidRDefault="00C1188C" w:rsidP="00C1188C">
      <w:pPr>
        <w:contextualSpacing/>
        <w:rPr>
          <w:rFonts w:eastAsia="Calibri" w:cs="Times New Roman"/>
          <w:szCs w:val="24"/>
        </w:rPr>
      </w:pPr>
      <w:r w:rsidRPr="00BA4F0F">
        <w:rPr>
          <w:rFonts w:eastAsia="Calibri" w:cs="Times New Roman"/>
          <w:szCs w:val="24"/>
        </w:rPr>
        <w:t>Частота исследования данных показателей может изменяться в зависимости от конкретной клинической ситуации.</w:t>
      </w:r>
    </w:p>
    <w:p w14:paraId="60859506" w14:textId="77777777" w:rsidR="00C1188C" w:rsidRPr="00BA4F0F" w:rsidRDefault="00C1188C" w:rsidP="00C1188C">
      <w:pPr>
        <w:ind w:left="709" w:hanging="709"/>
        <w:contextualSpacing/>
        <w:rPr>
          <w:rFonts w:eastAsia="Calibri" w:cs="Times New Roman"/>
          <w:szCs w:val="24"/>
        </w:rPr>
      </w:pPr>
      <w:r w:rsidRPr="00BA4F0F">
        <w:rPr>
          <w:rFonts w:eastAsia="Calibri" w:cs="Times New Roman"/>
          <w:szCs w:val="24"/>
        </w:rPr>
        <w:t>• Общий анализ крови 1 раз в 2–3 дня.</w:t>
      </w:r>
    </w:p>
    <w:p w14:paraId="7FB2F28C" w14:textId="77777777" w:rsidR="00C1188C" w:rsidRPr="00BA4F0F" w:rsidRDefault="00C1188C" w:rsidP="00C1188C">
      <w:pPr>
        <w:ind w:left="709" w:hanging="709"/>
        <w:contextualSpacing/>
        <w:rPr>
          <w:rFonts w:eastAsia="Calibri" w:cs="Times New Roman"/>
          <w:szCs w:val="24"/>
        </w:rPr>
      </w:pPr>
      <w:r w:rsidRPr="00BA4F0F">
        <w:rPr>
          <w:rFonts w:eastAsia="Calibri" w:cs="Times New Roman"/>
          <w:szCs w:val="24"/>
        </w:rPr>
        <w:t>• Биохимический анализ крови 1 раз в 2–3 дня.</w:t>
      </w:r>
    </w:p>
    <w:p w14:paraId="0F0FF03B" w14:textId="77777777" w:rsidR="00C1188C" w:rsidRPr="00BA4F0F" w:rsidRDefault="00C1188C" w:rsidP="00C1188C">
      <w:pPr>
        <w:ind w:left="709" w:hanging="709"/>
        <w:contextualSpacing/>
        <w:rPr>
          <w:rFonts w:eastAsia="Calibri" w:cs="Times New Roman"/>
          <w:szCs w:val="24"/>
        </w:rPr>
      </w:pPr>
      <w:r w:rsidRPr="00BA4F0F">
        <w:rPr>
          <w:rFonts w:eastAsia="Calibri" w:cs="Times New Roman"/>
          <w:szCs w:val="24"/>
        </w:rPr>
        <w:t>• Коагулограмма 1 раз в 3–4 дня.</w:t>
      </w:r>
    </w:p>
    <w:p w14:paraId="717FB536" w14:textId="77777777" w:rsidR="00C1188C" w:rsidRPr="00BA4F0F" w:rsidRDefault="00C1188C" w:rsidP="00C1188C">
      <w:pPr>
        <w:ind w:left="709" w:hanging="709"/>
        <w:contextualSpacing/>
        <w:rPr>
          <w:rFonts w:eastAsia="Calibri" w:cs="Times New Roman"/>
          <w:szCs w:val="24"/>
        </w:rPr>
      </w:pPr>
      <w:r w:rsidRPr="00BA4F0F">
        <w:rPr>
          <w:rFonts w:eastAsia="Calibri" w:cs="Times New Roman"/>
          <w:szCs w:val="24"/>
        </w:rPr>
        <w:t>• Глюкоза крови 1 раз в 3–4 дня.</w:t>
      </w:r>
    </w:p>
    <w:p w14:paraId="4B57D825" w14:textId="77777777" w:rsidR="00C1188C" w:rsidRPr="00BA4F0F" w:rsidRDefault="00C1188C" w:rsidP="00C1188C">
      <w:pPr>
        <w:ind w:left="709" w:hanging="709"/>
        <w:contextualSpacing/>
        <w:rPr>
          <w:rFonts w:eastAsia="Calibri" w:cs="Times New Roman"/>
          <w:szCs w:val="24"/>
        </w:rPr>
      </w:pPr>
      <w:r w:rsidRPr="00BA4F0F">
        <w:rPr>
          <w:rFonts w:eastAsia="Calibri" w:cs="Times New Roman"/>
          <w:szCs w:val="24"/>
        </w:rPr>
        <w:t>• Общий анализ мочи - еженедельно.</w:t>
      </w:r>
    </w:p>
    <w:p w14:paraId="040BE347" w14:textId="77777777" w:rsidR="00C1188C" w:rsidRPr="00BA4F0F" w:rsidRDefault="00C1188C" w:rsidP="00C1188C">
      <w:pPr>
        <w:ind w:left="709" w:hanging="709"/>
        <w:contextualSpacing/>
        <w:rPr>
          <w:rFonts w:eastAsia="Calibri" w:cs="Times New Roman"/>
          <w:szCs w:val="24"/>
        </w:rPr>
      </w:pPr>
      <w:r w:rsidRPr="00BA4F0F">
        <w:rPr>
          <w:rFonts w:eastAsia="Calibri" w:cs="Times New Roman"/>
          <w:szCs w:val="24"/>
        </w:rPr>
        <w:t>• Электрокардиограмма - еженедельно.</w:t>
      </w:r>
    </w:p>
    <w:p w14:paraId="571ADA7B" w14:textId="77777777" w:rsidR="00C1188C" w:rsidRPr="00BA4F0F" w:rsidRDefault="00C1188C" w:rsidP="00C1188C">
      <w:pPr>
        <w:rPr>
          <w:rFonts w:cs="Times New Roman"/>
          <w:b/>
          <w:szCs w:val="24"/>
          <w:highlight w:val="green"/>
        </w:rPr>
      </w:pPr>
      <w:bookmarkStart w:id="136" w:name="_Toc44926641"/>
    </w:p>
    <w:p w14:paraId="3C3C89A9" w14:textId="77777777" w:rsidR="00C1188C" w:rsidRPr="00BA4F0F" w:rsidRDefault="00C1188C" w:rsidP="00C1188C">
      <w:pPr>
        <w:rPr>
          <w:rFonts w:cs="Times New Roman"/>
          <w:b/>
          <w:szCs w:val="24"/>
        </w:rPr>
      </w:pPr>
      <w:r w:rsidRPr="00BA4F0F">
        <w:rPr>
          <w:rFonts w:cs="Times New Roman"/>
          <w:b/>
          <w:szCs w:val="24"/>
        </w:rPr>
        <w:t>Нутритивная терапия</w:t>
      </w:r>
      <w:bookmarkEnd w:id="136"/>
    </w:p>
    <w:p w14:paraId="7979DE39" w14:textId="77777777" w:rsidR="00C1188C" w:rsidRPr="00BA4F0F" w:rsidRDefault="00C1188C" w:rsidP="00C1188C">
      <w:pPr>
        <w:ind w:firstLine="851"/>
        <w:rPr>
          <w:rFonts w:cs="Times New Roman"/>
          <w:szCs w:val="24"/>
        </w:rPr>
      </w:pPr>
      <w:r w:rsidRPr="00BA4F0F">
        <w:rPr>
          <w:rFonts w:cs="Times New Roman"/>
          <w:szCs w:val="24"/>
        </w:rPr>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534F3BFF" w14:textId="16CF009E" w:rsidR="00C1188C" w:rsidRPr="00BA4F0F" w:rsidRDefault="00C1188C" w:rsidP="00C1188C">
      <w:pPr>
        <w:ind w:firstLine="851"/>
        <w:rPr>
          <w:rFonts w:cs="Times New Roman"/>
          <w:szCs w:val="24"/>
        </w:rPr>
      </w:pPr>
      <w:r w:rsidRPr="00BA4F0F">
        <w:rPr>
          <w:rFonts w:cs="Times New Roman"/>
          <w:szCs w:val="24"/>
        </w:rPr>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BA4F0F">
        <w:rPr>
          <w:rFonts w:cs="Times New Roman"/>
          <w:szCs w:val="24"/>
        </w:rPr>
        <w:fldChar w:fldCharType="begin" w:fldLock="1"/>
      </w:r>
      <w:r w:rsidR="00146A73">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[139,140]","plainTextFormattedCitation":"[139,140]","previouslyFormattedCitation":"[139,140]"},"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[139,140]</w:t>
      </w:r>
      <w:r w:rsidRPr="00BA4F0F">
        <w:rPr>
          <w:rFonts w:cs="Times New Roman"/>
          <w:szCs w:val="24"/>
        </w:rPr>
        <w:fldChar w:fldCharType="end"/>
      </w:r>
      <w:r w:rsidRPr="00BA4F0F">
        <w:rPr>
          <w:rFonts w:cs="Times New Roman"/>
          <w:szCs w:val="24"/>
        </w:rPr>
        <w:t>.</w:t>
      </w:r>
    </w:p>
    <w:p w14:paraId="21BD9941" w14:textId="1422B0FF" w:rsidR="00C1188C" w:rsidRPr="00BA4F0F" w:rsidRDefault="00C1188C" w:rsidP="00C1188C">
      <w:pPr>
        <w:ind w:firstLine="851"/>
        <w:rPr>
          <w:rFonts w:cs="Times New Roman"/>
          <w:szCs w:val="24"/>
        </w:rPr>
      </w:pPr>
      <w:r w:rsidRPr="00BA4F0F">
        <w:rPr>
          <w:rFonts w:cs="Times New Roman"/>
          <w:szCs w:val="24"/>
        </w:rPr>
        <w:t xml:space="preserve">По данным ESPEN от 46 до 88% больных онкологического профиля в процессе противоопухолевого лечения требуют дополнительной нутритивной поддержке </w:t>
      </w:r>
      <w:r w:rsidRPr="00BA4F0F">
        <w:rPr>
          <w:rFonts w:cs="Times New Roman"/>
          <w:szCs w:val="24"/>
        </w:rPr>
        <w:fldChar w:fldCharType="begin" w:fldLock="1"/>
      </w:r>
      <w:r w:rsidR="00146A73">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http://www.mendeley.com/documents/?uuid=59e000a3-48e0-4529-8954-5598c41cc72e"]}],"mendeley":{"formattedCitation":"[140,141]","plainTextFormattedCitation":"[140,141]","previouslyFormattedCitation":"[140,141]"},"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[140,141]</w:t>
      </w:r>
      <w:r w:rsidRPr="00BA4F0F">
        <w:rPr>
          <w:rFonts w:cs="Times New Roman"/>
          <w:szCs w:val="24"/>
        </w:rPr>
        <w:fldChar w:fldCharType="end"/>
      </w:r>
      <w:r w:rsidRPr="00BA4F0F">
        <w:rPr>
          <w:rFonts w:cs="Times New Roman"/>
          <w:szCs w:val="24"/>
        </w:rPr>
        <w:t>.</w:t>
      </w:r>
    </w:p>
    <w:p w14:paraId="01AD1082" w14:textId="55719F99" w:rsidR="00C1188C" w:rsidRPr="00BA4F0F" w:rsidRDefault="00C1188C" w:rsidP="00C1188C">
      <w:pPr>
        <w:ind w:firstLine="851"/>
        <w:rPr>
          <w:rFonts w:cs="Times New Roman"/>
          <w:szCs w:val="24"/>
        </w:rPr>
      </w:pPr>
      <w:r w:rsidRPr="00BA4F0F">
        <w:rPr>
          <w:rFonts w:cs="Times New Roman"/>
          <w:szCs w:val="24"/>
        </w:rPr>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BA4F0F">
        <w:rPr>
          <w:rFonts w:cs="Times New Roman"/>
          <w:szCs w:val="24"/>
        </w:rPr>
        <w:fldChar w:fldCharType="begin" w:fldLock="1"/>
      </w:r>
      <w:r w:rsidR="00146A73">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[139,142]","plainTextFormattedCitation":"[139,142]","previouslyFormattedCitation":"[139,142]"},"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[139,142]</w:t>
      </w:r>
      <w:r w:rsidRPr="00BA4F0F">
        <w:rPr>
          <w:rFonts w:cs="Times New Roman"/>
          <w:szCs w:val="24"/>
        </w:rPr>
        <w:fldChar w:fldCharType="end"/>
      </w:r>
      <w:r w:rsidRPr="00BA4F0F">
        <w:rPr>
          <w:rFonts w:cs="Times New Roman"/>
          <w:szCs w:val="24"/>
        </w:rPr>
        <w:t>.</w:t>
      </w:r>
    </w:p>
    <w:p w14:paraId="675F000D" w14:textId="77777777" w:rsidR="00C1188C" w:rsidRPr="00BA4F0F" w:rsidRDefault="00C1188C" w:rsidP="00C1188C">
      <w:pPr>
        <w:rPr>
          <w:rFonts w:cs="Times New Roman"/>
          <w:szCs w:val="24"/>
          <w:u w:val="single"/>
        </w:rPr>
      </w:pPr>
    </w:p>
    <w:p w14:paraId="4291CEBD" w14:textId="3FEA5C85" w:rsidR="00C1188C" w:rsidRPr="00BA4F0F" w:rsidRDefault="00C1188C" w:rsidP="00C1188C">
      <w:pPr>
        <w:rPr>
          <w:rFonts w:cs="Times New Roman"/>
          <w:szCs w:val="24"/>
          <w:u w:val="single"/>
        </w:rPr>
      </w:pPr>
      <w:r w:rsidRPr="00BA4F0F">
        <w:rPr>
          <w:rFonts w:cs="Times New Roman"/>
          <w:szCs w:val="24"/>
          <w:u w:val="single"/>
        </w:rPr>
        <w:t>Цели нутритивной поддержки</w:t>
      </w:r>
      <w:r w:rsidRPr="00BA4F0F">
        <w:rPr>
          <w:rFonts w:cs="Times New Roman"/>
          <w:szCs w:val="24"/>
          <w:u w:val="single"/>
          <w:lang w:val="en-US"/>
        </w:rPr>
        <w:t xml:space="preserve"> </w:t>
      </w:r>
      <w:r w:rsidRPr="00BA4F0F">
        <w:rPr>
          <w:rFonts w:cs="Times New Roman"/>
          <w:szCs w:val="24"/>
        </w:rPr>
        <w:fldChar w:fldCharType="begin" w:fldLock="1"/>
      </w:r>
      <w:r w:rsidR="00146A73">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[139,140]","plainTextFormattedCitation":"[139,140]","previouslyFormattedCitation":"[139,140]"},"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[139,140]</w:t>
      </w:r>
      <w:r w:rsidRPr="00BA4F0F">
        <w:rPr>
          <w:rFonts w:cs="Times New Roman"/>
          <w:szCs w:val="24"/>
        </w:rPr>
        <w:fldChar w:fldCharType="end"/>
      </w:r>
      <w:r w:rsidRPr="00BA4F0F">
        <w:rPr>
          <w:rFonts w:cs="Times New Roman"/>
          <w:szCs w:val="24"/>
          <w:u w:val="single"/>
        </w:rPr>
        <w:t xml:space="preserve">. </w:t>
      </w:r>
    </w:p>
    <w:p w14:paraId="6EB4F53C" w14:textId="77777777" w:rsidR="00C1188C" w:rsidRPr="00BA4F0F" w:rsidRDefault="00C1188C" w:rsidP="00C1188C">
      <w:pPr>
        <w:ind w:firstLine="142"/>
        <w:rPr>
          <w:rFonts w:cs="Times New Roman"/>
          <w:szCs w:val="24"/>
        </w:rPr>
      </w:pPr>
      <w:r w:rsidRPr="00BA4F0F">
        <w:rPr>
          <w:rFonts w:cs="Times New Roman"/>
          <w:szCs w:val="24"/>
        </w:rPr>
        <w:t>• Поддержание оптимальной массы тела.</w:t>
      </w:r>
    </w:p>
    <w:p w14:paraId="2F30F110" w14:textId="77777777" w:rsidR="00C1188C" w:rsidRPr="00BA4F0F" w:rsidRDefault="00C1188C" w:rsidP="00C1188C">
      <w:pPr>
        <w:ind w:firstLine="142"/>
        <w:rPr>
          <w:rFonts w:cs="Times New Roman"/>
          <w:szCs w:val="24"/>
        </w:rPr>
      </w:pPr>
      <w:r w:rsidRPr="00BA4F0F">
        <w:rPr>
          <w:rFonts w:cs="Times New Roman"/>
          <w:szCs w:val="24"/>
        </w:rPr>
        <w:t>• Предотвращение или коррекция дефицита макро- и микронутриентов.</w:t>
      </w:r>
    </w:p>
    <w:p w14:paraId="039CCCCE" w14:textId="77777777" w:rsidR="00C1188C" w:rsidRPr="00BA4F0F" w:rsidRDefault="00C1188C" w:rsidP="00C1188C">
      <w:pPr>
        <w:ind w:firstLine="142"/>
        <w:rPr>
          <w:rFonts w:cs="Times New Roman"/>
          <w:szCs w:val="24"/>
        </w:rPr>
      </w:pPr>
      <w:r w:rsidRPr="00BA4F0F">
        <w:rPr>
          <w:rFonts w:cs="Times New Roman"/>
          <w:szCs w:val="24"/>
        </w:rPr>
        <w:t>• Повышение переносимости высокодозной ХТ.</w:t>
      </w:r>
    </w:p>
    <w:p w14:paraId="3169B415" w14:textId="77777777" w:rsidR="00C1188C" w:rsidRPr="00BA4F0F" w:rsidRDefault="00C1188C" w:rsidP="00C1188C">
      <w:pPr>
        <w:ind w:firstLine="142"/>
        <w:rPr>
          <w:rFonts w:cs="Times New Roman"/>
          <w:szCs w:val="24"/>
        </w:rPr>
      </w:pPr>
      <w:r w:rsidRPr="00BA4F0F">
        <w:rPr>
          <w:rFonts w:cs="Times New Roman"/>
          <w:szCs w:val="24"/>
        </w:rPr>
        <w:t>• Снижение выраженности побочных эффектов ХТ.</w:t>
      </w:r>
    </w:p>
    <w:p w14:paraId="3F2E5AC7" w14:textId="77777777" w:rsidR="00C1188C" w:rsidRPr="00BA4F0F" w:rsidRDefault="00C1188C" w:rsidP="00C1188C">
      <w:pPr>
        <w:ind w:firstLine="142"/>
        <w:rPr>
          <w:rFonts w:cs="Times New Roman"/>
          <w:szCs w:val="24"/>
        </w:rPr>
      </w:pPr>
      <w:r w:rsidRPr="00BA4F0F">
        <w:rPr>
          <w:rFonts w:cs="Times New Roman"/>
          <w:szCs w:val="24"/>
        </w:rPr>
        <w:t>• Повышение качества жизни.</w:t>
      </w:r>
    </w:p>
    <w:p w14:paraId="705D5344" w14:textId="77777777" w:rsidR="00C1188C" w:rsidRPr="00BA4F0F" w:rsidRDefault="00C1188C" w:rsidP="00C1188C">
      <w:pPr>
        <w:rPr>
          <w:rFonts w:cs="Times New Roman"/>
          <w:szCs w:val="24"/>
          <w:u w:val="single"/>
        </w:rPr>
      </w:pPr>
    </w:p>
    <w:p w14:paraId="475042C7" w14:textId="77777777" w:rsidR="00C1188C" w:rsidRPr="00BA4F0F" w:rsidRDefault="00C1188C" w:rsidP="00C1188C">
      <w:pPr>
        <w:rPr>
          <w:rFonts w:cs="Times New Roman"/>
          <w:szCs w:val="24"/>
          <w:u w:val="single"/>
        </w:rPr>
      </w:pPr>
      <w:r w:rsidRPr="00BA4F0F">
        <w:rPr>
          <w:rFonts w:cs="Times New Roman"/>
          <w:szCs w:val="24"/>
          <w:u w:val="single"/>
        </w:rPr>
        <w:t xml:space="preserve">Показания к нутритивной поддержке </w:t>
      </w:r>
    </w:p>
    <w:p w14:paraId="6D1E957F" w14:textId="77777777" w:rsidR="00C1188C" w:rsidRPr="00BA4F0F" w:rsidRDefault="00C1188C" w:rsidP="00C1188C">
      <w:pPr>
        <w:ind w:firstLine="851"/>
        <w:rPr>
          <w:rFonts w:cs="Times New Roman"/>
          <w:szCs w:val="24"/>
        </w:rPr>
      </w:pPr>
      <w:r w:rsidRPr="00BA4F0F">
        <w:rPr>
          <w:rFonts w:cs="Times New Roman"/>
          <w:szCs w:val="24"/>
        </w:rPr>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495A14BC"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индекс массы тела &lt; 20 кг/м2;</w:t>
      </w:r>
    </w:p>
    <w:p w14:paraId="1FDA43D8"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темп потери массы тела;</w:t>
      </w:r>
    </w:p>
    <w:p w14:paraId="13697D41"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гипопротеинемия &lt; 60 г/л или гипоальбуминемия &lt; 30 г/л.;</w:t>
      </w:r>
    </w:p>
    <w:p w14:paraId="50F6DA8A"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невозможность адекватного энтерального питания;</w:t>
      </w:r>
    </w:p>
    <w:p w14:paraId="292AB541"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 xml:space="preserve">побочные проявления высокодозной химиотерапии: </w:t>
      </w:r>
    </w:p>
    <w:p w14:paraId="66783F46"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тошнота,</w:t>
      </w:r>
    </w:p>
    <w:p w14:paraId="2E205744"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 xml:space="preserve">рвота, </w:t>
      </w:r>
    </w:p>
    <w:p w14:paraId="29C0A8B1"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 xml:space="preserve">потеря аппетита, </w:t>
      </w:r>
    </w:p>
    <w:p w14:paraId="5F1451BC"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 xml:space="preserve">дисфагия, </w:t>
      </w:r>
    </w:p>
    <w:p w14:paraId="2990856C"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мукозиты различной степени тяжести,</w:t>
      </w:r>
    </w:p>
    <w:p w14:paraId="285B37D5"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 xml:space="preserve">нарушения вкуса и обоняния, </w:t>
      </w:r>
    </w:p>
    <w:p w14:paraId="4E79B7AD" w14:textId="77777777" w:rsidR="00C1188C" w:rsidRPr="00BA4F0F" w:rsidRDefault="00C1188C" w:rsidP="000768AC">
      <w:pPr>
        <w:pStyle w:val="afe"/>
        <w:numPr>
          <w:ilvl w:val="0"/>
          <w:numId w:val="210"/>
        </w:numPr>
        <w:ind w:left="567" w:hanging="425"/>
        <w:rPr>
          <w:rFonts w:cs="Times New Roman"/>
          <w:szCs w:val="24"/>
        </w:rPr>
      </w:pPr>
      <w:r w:rsidRPr="00BA4F0F">
        <w:rPr>
          <w:rFonts w:cs="Times New Roman"/>
          <w:szCs w:val="24"/>
        </w:rPr>
        <w:t>некротическая энтеропатия средней и тяжелой степени.</w:t>
      </w:r>
    </w:p>
    <w:p w14:paraId="2E8844C3" w14:textId="7BFAA144" w:rsidR="00C1188C" w:rsidRPr="00BA4F0F" w:rsidRDefault="00C1188C" w:rsidP="00C1188C">
      <w:pPr>
        <w:ind w:firstLine="851"/>
        <w:rPr>
          <w:rFonts w:cs="Times New Roman"/>
          <w:szCs w:val="24"/>
        </w:rPr>
      </w:pPr>
      <w:r w:rsidRPr="00BA4F0F">
        <w:rPr>
          <w:rFonts w:cs="Times New Roman"/>
          <w:szCs w:val="24"/>
        </w:rPr>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000768AC">
        <w:rPr>
          <w:rFonts w:cs="Times New Roman"/>
          <w:szCs w:val="24"/>
        </w:rPr>
        <w:fldChar w:fldCharType="begin" w:fldLock="1"/>
      </w:r>
      <w:r w:rsidR="000768A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А.И.","non-dropping-particle":"","parse-names":false,"suffix":""}],"id":"ITEM-3","issued":{"date-parts":[["2014"]]},"title":"Клинические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[139–141]","plainTextFormattedCitation":"[139–141]"},"properties":{"noteIndex":0},"schema":"https://github.com/citation-style-language/schema/raw/master/csl-citation.json"}</w:instrText>
      </w:r>
      <w:r w:rsidR="000768AC">
        <w:rPr>
          <w:rFonts w:cs="Times New Roman"/>
          <w:szCs w:val="24"/>
        </w:rPr>
        <w:fldChar w:fldCharType="separate"/>
      </w:r>
      <w:r w:rsidR="000768AC" w:rsidRPr="000768AC">
        <w:rPr>
          <w:rFonts w:cs="Times New Roman"/>
          <w:noProof/>
          <w:szCs w:val="24"/>
        </w:rPr>
        <w:t>[139–141]</w:t>
      </w:r>
      <w:r w:rsidR="000768AC">
        <w:rPr>
          <w:rFonts w:cs="Times New Roman"/>
          <w:szCs w:val="24"/>
        </w:rPr>
        <w:fldChar w:fldCharType="end"/>
      </w:r>
      <w:r w:rsidRPr="00BA4F0F">
        <w:rPr>
          <w:rFonts w:cs="Times New Roman"/>
          <w:szCs w:val="24"/>
        </w:rPr>
        <w:t xml:space="preserve">. </w:t>
      </w:r>
    </w:p>
    <w:p w14:paraId="3CC2A94F" w14:textId="6322F310" w:rsidR="00C1188C" w:rsidRPr="00BA4F0F" w:rsidRDefault="00C1188C" w:rsidP="00C1188C">
      <w:pPr>
        <w:ind w:firstLine="851"/>
        <w:rPr>
          <w:rFonts w:cs="Times New Roman"/>
          <w:szCs w:val="24"/>
        </w:rPr>
      </w:pPr>
      <w:r w:rsidRPr="00BA4F0F">
        <w:rPr>
          <w:rFonts w:cs="Times New Roman"/>
          <w:szCs w:val="24"/>
        </w:rPr>
        <w:t xml:space="preserve">В том случае, если проведение энтерального питания невозможно или неэффективно, необходимо назначать парентеральное питание </w:t>
      </w:r>
      <w:r w:rsidRPr="00BA4F0F">
        <w:rPr>
          <w:rFonts w:cs="Times New Roman"/>
          <w:szCs w:val="24"/>
        </w:rPr>
        <w:fldChar w:fldCharType="begin" w:fldLock="1"/>
      </w:r>
      <w:r w:rsidR="00146A73">
        <w:rPr>
          <w:rFonts w:cs="Times New Roman"/>
          <w:szCs w:val="24"/>
        </w:rPr>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http://www.mendeley.com/documents/?uuid=28ec27e8-82e5-449f-987c-7f22bad4f962"]}],"mendeley":{"formattedCitation":"[143]","plainTextFormattedCitation":"[143]","previouslyFormattedCitation":"[143]"},"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[143]</w:t>
      </w:r>
      <w:r w:rsidRPr="00BA4F0F">
        <w:rPr>
          <w:rFonts w:cs="Times New Roman"/>
          <w:szCs w:val="24"/>
        </w:rPr>
        <w:fldChar w:fldCharType="end"/>
      </w:r>
      <w:r w:rsidRPr="00BA4F0F">
        <w:rPr>
          <w:rFonts w:cs="Times New Roman"/>
          <w:szCs w:val="24"/>
        </w:rPr>
        <w:t xml:space="preserve">. Доставка белка должна быть не менее 1 г/кг/сут, однако при возможности нужно стремиться к 1,5 г/кг/сут. </w:t>
      </w:r>
    </w:p>
    <w:p w14:paraId="12E60595" w14:textId="1DB4BF5A" w:rsidR="00C1188C" w:rsidRPr="00BA4F0F" w:rsidRDefault="00C1188C" w:rsidP="00C1188C">
      <w:pPr>
        <w:ind w:firstLine="851"/>
        <w:rPr>
          <w:rFonts w:cs="Times New Roman"/>
          <w:szCs w:val="24"/>
        </w:rPr>
      </w:pPr>
      <w:r w:rsidRPr="00BA4F0F">
        <w:rPr>
          <w:rFonts w:cs="Times New Roman"/>
          <w:szCs w:val="24"/>
        </w:rPr>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004C1C16">
        <w:rPr>
          <w:rFonts w:cs="Times New Roman"/>
          <w:szCs w:val="24"/>
        </w:rPr>
        <w:fldChar w:fldCharType="begin" w:fldLock="1"/>
      </w:r>
      <w:r w:rsidR="000768AC">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[139,140]","plainTextFormattedCitation":"[139,140]","previouslyFormattedCitation":"[139,140]"},"properties":{"noteIndex":0},"schema":"https://github.com/citation-style-language/schema/raw/master/csl-citation.json"}</w:instrText>
      </w:r>
      <w:r w:rsidR="004C1C16">
        <w:rPr>
          <w:rFonts w:cs="Times New Roman"/>
          <w:szCs w:val="24"/>
        </w:rPr>
        <w:fldChar w:fldCharType="separate"/>
      </w:r>
      <w:r w:rsidR="004C1C16" w:rsidRPr="004C1C16">
        <w:rPr>
          <w:rFonts w:cs="Times New Roman"/>
          <w:noProof/>
          <w:szCs w:val="24"/>
        </w:rPr>
        <w:t>[139,140]</w:t>
      </w:r>
      <w:r w:rsidR="004C1C16">
        <w:rPr>
          <w:rFonts w:cs="Times New Roman"/>
          <w:szCs w:val="24"/>
        </w:rPr>
        <w:fldChar w:fldCharType="end"/>
      </w:r>
    </w:p>
    <w:p w14:paraId="1D70DC5A" w14:textId="77777777" w:rsidR="00C1188C" w:rsidRPr="00BA4F0F" w:rsidRDefault="00C1188C" w:rsidP="00C1188C">
      <w:pPr>
        <w:rPr>
          <w:rFonts w:cs="Times New Roman"/>
          <w:szCs w:val="24"/>
          <w:u w:val="single"/>
        </w:rPr>
      </w:pPr>
    </w:p>
    <w:p w14:paraId="0DC23D84" w14:textId="4AEFA569" w:rsidR="00C1188C" w:rsidRPr="00BA4F0F" w:rsidRDefault="00C1188C" w:rsidP="00C1188C">
      <w:pPr>
        <w:rPr>
          <w:rFonts w:cs="Times New Roman"/>
          <w:szCs w:val="24"/>
          <w:u w:val="single"/>
        </w:rPr>
      </w:pPr>
      <w:r w:rsidRPr="00BA4F0F">
        <w:rPr>
          <w:rFonts w:cs="Times New Roman"/>
          <w:szCs w:val="24"/>
          <w:u w:val="single"/>
        </w:rPr>
        <w:t xml:space="preserve">Виды нутритивной поддержки </w:t>
      </w:r>
      <w:r w:rsidRPr="00BA4F0F">
        <w:rPr>
          <w:rFonts w:cs="Times New Roman"/>
          <w:szCs w:val="24"/>
          <w:u w:val="single"/>
        </w:rPr>
        <w:fldChar w:fldCharType="begin" w:fldLock="1"/>
      </w:r>
      <w:r w:rsidR="00146A73">
        <w:rPr>
          <w:rFonts w:cs="Times New Roman"/>
          <w:szCs w:val="24"/>
          <w:u w:val="single"/>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[139,140,142]","plainTextFormattedCitation":"[139,140,142]","previouslyFormattedCitation":"[139,140,142]"},"properties":{"noteIndex":0},"schema":"https://github.com/citation-style-language/schema/raw/master/csl-citation.json"}</w:instrText>
      </w:r>
      <w:r w:rsidRPr="00BA4F0F">
        <w:rPr>
          <w:rFonts w:cs="Times New Roman"/>
          <w:szCs w:val="24"/>
          <w:u w:val="single"/>
        </w:rPr>
        <w:fldChar w:fldCharType="separate"/>
      </w:r>
      <w:r w:rsidR="00B436BD" w:rsidRPr="00B436BD">
        <w:rPr>
          <w:rFonts w:cs="Times New Roman"/>
          <w:noProof/>
          <w:szCs w:val="24"/>
        </w:rPr>
        <w:t>[139,140,142]</w:t>
      </w:r>
      <w:r w:rsidRPr="00BA4F0F">
        <w:rPr>
          <w:rFonts w:cs="Times New Roman"/>
          <w:szCs w:val="24"/>
          <w:u w:val="single"/>
        </w:rPr>
        <w:fldChar w:fldCharType="end"/>
      </w:r>
    </w:p>
    <w:p w14:paraId="6FBEBC1B" w14:textId="77777777" w:rsidR="00C1188C" w:rsidRPr="00BA4F0F" w:rsidRDefault="00C1188C" w:rsidP="00C1188C">
      <w:pPr>
        <w:ind w:firstLine="851"/>
        <w:rPr>
          <w:rFonts w:cs="Times New Roman"/>
          <w:szCs w:val="24"/>
        </w:rPr>
      </w:pPr>
      <w:r w:rsidRPr="00BA4F0F">
        <w:rPr>
          <w:rFonts w:cs="Times New Roman"/>
          <w:szCs w:val="24"/>
        </w:rPr>
        <w:t xml:space="preserve">Выделяют три вида нутритивной поддержки: </w:t>
      </w:r>
    </w:p>
    <w:p w14:paraId="034338C5" w14:textId="77777777" w:rsidR="00C1188C" w:rsidRPr="00BA4F0F" w:rsidRDefault="00C1188C" w:rsidP="00C1188C">
      <w:pPr>
        <w:ind w:firstLine="567"/>
        <w:rPr>
          <w:rFonts w:cs="Times New Roman"/>
          <w:szCs w:val="24"/>
        </w:rPr>
      </w:pPr>
      <w:r w:rsidRPr="00BA4F0F">
        <w:rPr>
          <w:rFonts w:cs="Times New Roman"/>
          <w:szCs w:val="24"/>
        </w:rPr>
        <w:t xml:space="preserve">• дополнение к пероральному питанию (сипинг) – пероральный прием лечебного (специализированного) питания маленькими глотками; </w:t>
      </w:r>
    </w:p>
    <w:p w14:paraId="44E592D7" w14:textId="77777777" w:rsidR="00C1188C" w:rsidRPr="00BA4F0F" w:rsidRDefault="00C1188C" w:rsidP="00C1188C">
      <w:pPr>
        <w:ind w:firstLine="567"/>
        <w:rPr>
          <w:rFonts w:cs="Times New Roman"/>
          <w:szCs w:val="24"/>
        </w:rPr>
      </w:pPr>
      <w:r w:rsidRPr="00BA4F0F">
        <w:rPr>
          <w:rFonts w:cs="Times New Roman"/>
          <w:szCs w:val="24"/>
        </w:rPr>
        <w:t xml:space="preserve">• 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363F2191" w14:textId="77777777" w:rsidR="00C1188C" w:rsidRPr="00BA4F0F" w:rsidRDefault="00C1188C" w:rsidP="00C1188C">
      <w:pPr>
        <w:ind w:firstLine="567"/>
        <w:rPr>
          <w:rFonts w:cs="Times New Roman"/>
          <w:szCs w:val="24"/>
        </w:rPr>
      </w:pPr>
      <w:r w:rsidRPr="00BA4F0F">
        <w:rPr>
          <w:rFonts w:cs="Times New Roman"/>
          <w:szCs w:val="24"/>
        </w:rPr>
        <w:t xml:space="preserve">• парентеральное питание. </w:t>
      </w:r>
    </w:p>
    <w:p w14:paraId="2EF791E4" w14:textId="77777777" w:rsidR="00C1188C" w:rsidRPr="00BA4F0F" w:rsidRDefault="00C1188C" w:rsidP="00C1188C">
      <w:pPr>
        <w:ind w:firstLine="851"/>
        <w:rPr>
          <w:rFonts w:cs="Times New Roman"/>
          <w:szCs w:val="24"/>
        </w:rPr>
      </w:pPr>
      <w:r w:rsidRPr="00BA4F0F">
        <w:rPr>
          <w:rFonts w:cs="Times New Roman"/>
          <w:szCs w:val="24"/>
        </w:rPr>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6AA4A5FA" w14:textId="77777777" w:rsidR="00C1188C" w:rsidRPr="00BA4F0F" w:rsidRDefault="00C1188C" w:rsidP="00C1188C">
      <w:pPr>
        <w:ind w:firstLine="851"/>
        <w:rPr>
          <w:rFonts w:cs="Times New Roman"/>
          <w:szCs w:val="24"/>
        </w:rPr>
      </w:pPr>
      <w:r w:rsidRPr="00BA4F0F">
        <w:rPr>
          <w:rFonts w:cs="Times New Roman"/>
          <w:szCs w:val="24"/>
        </w:rPr>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498052F8" w14:textId="1655190C" w:rsidR="00C1188C" w:rsidRPr="00BA4F0F" w:rsidRDefault="00C1188C" w:rsidP="00C1188C">
      <w:pPr>
        <w:ind w:firstLine="851"/>
        <w:rPr>
          <w:rFonts w:cs="Times New Roman"/>
          <w:szCs w:val="24"/>
        </w:rPr>
      </w:pPr>
      <w:r w:rsidRPr="00BA4F0F">
        <w:rPr>
          <w:rFonts w:cs="Times New Roman"/>
          <w:szCs w:val="24"/>
        </w:rPr>
        <w:t xml:space="preserve">Классификация смесей для энтерального питания </w:t>
      </w:r>
      <w:r w:rsidRPr="00BA4F0F">
        <w:rPr>
          <w:rFonts w:cs="Times New Roman"/>
          <w:szCs w:val="24"/>
        </w:rPr>
        <w:fldChar w:fldCharType="begin" w:fldLock="1"/>
      </w:r>
      <w:r w:rsidR="00146A73">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[139]","plainTextFormattedCitation":"[139]","previouslyFormattedCitation":"[139]"},"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[139]</w:t>
      </w:r>
      <w:r w:rsidRPr="00BA4F0F">
        <w:rPr>
          <w:rFonts w:cs="Times New Roman"/>
          <w:szCs w:val="24"/>
        </w:rPr>
        <w:fldChar w:fldCharType="end"/>
      </w:r>
    </w:p>
    <w:p w14:paraId="5AFBC431" w14:textId="77777777" w:rsidR="00C1188C" w:rsidRPr="00BA4F0F" w:rsidRDefault="00C1188C" w:rsidP="00C1188C">
      <w:pPr>
        <w:ind w:firstLine="567"/>
        <w:rPr>
          <w:rFonts w:cs="Times New Roman"/>
          <w:szCs w:val="24"/>
        </w:rPr>
      </w:pPr>
      <w:r w:rsidRPr="00BA4F0F">
        <w:rPr>
          <w:rFonts w:cs="Times New Roman"/>
          <w:szCs w:val="24"/>
        </w:rPr>
        <w:t xml:space="preserve">• полимерные: состоят из неизмененных белков, жиров и углеводов; </w:t>
      </w:r>
    </w:p>
    <w:p w14:paraId="07A26C50" w14:textId="77777777" w:rsidR="00C1188C" w:rsidRPr="00BA4F0F" w:rsidRDefault="00C1188C" w:rsidP="00C1188C">
      <w:pPr>
        <w:ind w:firstLine="567"/>
        <w:rPr>
          <w:rFonts w:cs="Times New Roman"/>
          <w:szCs w:val="24"/>
        </w:rPr>
      </w:pPr>
      <w:r w:rsidRPr="00BA4F0F">
        <w:rPr>
          <w:rFonts w:cs="Times New Roman"/>
          <w:szCs w:val="24"/>
        </w:rPr>
        <w:t xml:space="preserve">• олигомерные (полуэлементные): состоят из расщепленных белков и простых углеводов и содержат масла среднецепочечных триглицеридов; </w:t>
      </w:r>
    </w:p>
    <w:p w14:paraId="7D21EABD" w14:textId="77777777" w:rsidR="00C1188C" w:rsidRPr="00BA4F0F" w:rsidRDefault="00C1188C" w:rsidP="00C1188C">
      <w:pPr>
        <w:ind w:firstLine="567"/>
        <w:rPr>
          <w:rFonts w:cs="Times New Roman"/>
          <w:szCs w:val="24"/>
        </w:rPr>
      </w:pPr>
      <w:r w:rsidRPr="00BA4F0F">
        <w:rPr>
          <w:rFonts w:cs="Times New Roman"/>
          <w:szCs w:val="24"/>
        </w:rPr>
        <w:t xml:space="preserve">• 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19373EE9" w14:textId="39AE8282" w:rsidR="00C1188C" w:rsidRPr="00BA4F0F" w:rsidRDefault="00C1188C" w:rsidP="00C1188C">
      <w:pPr>
        <w:ind w:firstLine="851"/>
        <w:rPr>
          <w:rFonts w:cs="Times New Roman"/>
          <w:szCs w:val="24"/>
        </w:rPr>
      </w:pPr>
      <w:r w:rsidRPr="00BA4F0F">
        <w:rPr>
          <w:rFonts w:cs="Times New Roman"/>
          <w:szCs w:val="24"/>
        </w:rPr>
        <w:t xml:space="preserve">Противопоказания к энтеральному питанию </w:t>
      </w:r>
      <w:r w:rsidR="004C1C16">
        <w:rPr>
          <w:rFonts w:cs="Times New Roman"/>
          <w:szCs w:val="24"/>
        </w:rPr>
        <w:fldChar w:fldCharType="begin" w:fldLock="1"/>
      </w:r>
      <w:r w:rsidR="004C1C16">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[139,141]","plainTextFormattedCitation":"[139,141]","previouslyFormattedCitation":"[139,141]"},"properties":{"noteIndex":0},"schema":"https://github.com/citation-style-language/schema/raw/master/csl-citation.json"}</w:instrText>
      </w:r>
      <w:r w:rsidR="004C1C16">
        <w:rPr>
          <w:rFonts w:cs="Times New Roman"/>
          <w:szCs w:val="24"/>
        </w:rPr>
        <w:fldChar w:fldCharType="separate"/>
      </w:r>
      <w:r w:rsidR="004C1C16" w:rsidRPr="004C1C16">
        <w:rPr>
          <w:rFonts w:cs="Times New Roman"/>
          <w:noProof/>
          <w:szCs w:val="24"/>
        </w:rPr>
        <w:t>[139,141]</w:t>
      </w:r>
      <w:r w:rsidR="004C1C16">
        <w:rPr>
          <w:rFonts w:cs="Times New Roman"/>
          <w:szCs w:val="24"/>
        </w:rPr>
        <w:fldChar w:fldCharType="end"/>
      </w:r>
    </w:p>
    <w:p w14:paraId="777539FF" w14:textId="77777777" w:rsidR="00C1188C" w:rsidRPr="00BA4F0F" w:rsidRDefault="00C1188C" w:rsidP="00C1188C">
      <w:pPr>
        <w:ind w:firstLine="567"/>
        <w:rPr>
          <w:rFonts w:cs="Times New Roman"/>
          <w:szCs w:val="24"/>
        </w:rPr>
      </w:pPr>
      <w:r w:rsidRPr="00BA4F0F">
        <w:rPr>
          <w:rFonts w:cs="Times New Roman"/>
          <w:szCs w:val="24"/>
        </w:rPr>
        <w:t xml:space="preserve">• механическая кишечная непроходимость; </w:t>
      </w:r>
    </w:p>
    <w:p w14:paraId="673EE52B" w14:textId="77777777" w:rsidR="00C1188C" w:rsidRPr="00BA4F0F" w:rsidRDefault="00C1188C" w:rsidP="00C1188C">
      <w:pPr>
        <w:ind w:firstLine="567"/>
        <w:rPr>
          <w:rFonts w:cs="Times New Roman"/>
          <w:szCs w:val="24"/>
        </w:rPr>
      </w:pPr>
      <w:r w:rsidRPr="00BA4F0F">
        <w:rPr>
          <w:rFonts w:cs="Times New Roman"/>
          <w:szCs w:val="24"/>
        </w:rPr>
        <w:t xml:space="preserve">• выраженная тошнота и рвота, не купирующаяся антиэметической терапией; </w:t>
      </w:r>
    </w:p>
    <w:p w14:paraId="72EA946F" w14:textId="77777777" w:rsidR="00C1188C" w:rsidRPr="00BA4F0F" w:rsidRDefault="00C1188C" w:rsidP="00C1188C">
      <w:pPr>
        <w:ind w:firstLine="567"/>
        <w:rPr>
          <w:rFonts w:cs="Times New Roman"/>
          <w:szCs w:val="24"/>
        </w:rPr>
      </w:pPr>
      <w:r w:rsidRPr="00BA4F0F">
        <w:rPr>
          <w:rFonts w:cs="Times New Roman"/>
          <w:szCs w:val="24"/>
        </w:rPr>
        <w:t xml:space="preserve">• гипоксия (раО2 70 мм рт. ст.). </w:t>
      </w:r>
    </w:p>
    <w:p w14:paraId="2C4D6328" w14:textId="77777777" w:rsidR="00C1188C" w:rsidRPr="00BA4F0F" w:rsidRDefault="00C1188C" w:rsidP="00C1188C">
      <w:pPr>
        <w:rPr>
          <w:rFonts w:cs="Times New Roman"/>
          <w:szCs w:val="24"/>
          <w:u w:val="single"/>
        </w:rPr>
      </w:pPr>
    </w:p>
    <w:p w14:paraId="2FE1C0B0" w14:textId="77777777" w:rsidR="00C1188C" w:rsidRPr="00BA4F0F" w:rsidRDefault="00C1188C" w:rsidP="00C1188C">
      <w:pPr>
        <w:rPr>
          <w:rFonts w:cs="Times New Roman"/>
          <w:szCs w:val="24"/>
          <w:u w:val="single"/>
        </w:rPr>
      </w:pPr>
      <w:r w:rsidRPr="00BA4F0F">
        <w:rPr>
          <w:rFonts w:cs="Times New Roman"/>
          <w:szCs w:val="24"/>
          <w:u w:val="single"/>
        </w:rPr>
        <w:t>Парентеральное питание</w:t>
      </w:r>
    </w:p>
    <w:p w14:paraId="02A9DA89" w14:textId="0FF441D0" w:rsidR="00C1188C" w:rsidRPr="00BA4F0F" w:rsidRDefault="00C1188C" w:rsidP="00C1188C">
      <w:pPr>
        <w:ind w:firstLine="851"/>
        <w:rPr>
          <w:rFonts w:cs="Times New Roman"/>
          <w:szCs w:val="24"/>
        </w:rPr>
      </w:pPr>
      <w:r w:rsidRPr="00BA4F0F">
        <w:rPr>
          <w:rFonts w:cs="Times New Roman"/>
          <w:szCs w:val="24"/>
        </w:rPr>
        <w:t xml:space="preserve">Показанием к парентеральному питанию является невозможность адекватного энтерального питания более 3 суток </w:t>
      </w:r>
      <w:r w:rsidRPr="00BA4F0F">
        <w:rPr>
          <w:rFonts w:cs="Times New Roman"/>
          <w:szCs w:val="24"/>
        </w:rPr>
        <w:fldChar w:fldCharType="begin" w:fldLock="1"/>
      </w:r>
      <w:r w:rsidR="00146A73">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[140]","plainTextFormattedCitation":"[140]","previouslyFormattedCitation":"[140]"},"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[140]</w:t>
      </w:r>
      <w:r w:rsidRPr="00BA4F0F">
        <w:rPr>
          <w:rFonts w:cs="Times New Roman"/>
          <w:szCs w:val="24"/>
        </w:rPr>
        <w:fldChar w:fldCharType="end"/>
      </w:r>
      <w:r w:rsidRPr="00BA4F0F">
        <w:rPr>
          <w:rFonts w:cs="Times New Roman"/>
          <w:szCs w:val="24"/>
        </w:rPr>
        <w:t>. В зависимости от продолжительности парентеральное питание подразделяется на:</w:t>
      </w:r>
    </w:p>
    <w:p w14:paraId="49316EE5" w14:textId="77777777" w:rsidR="00C1188C" w:rsidRPr="00BA4F0F" w:rsidRDefault="00C1188C" w:rsidP="00C1188C">
      <w:pPr>
        <w:ind w:firstLine="567"/>
        <w:rPr>
          <w:rFonts w:cs="Times New Roman"/>
          <w:szCs w:val="24"/>
        </w:rPr>
      </w:pPr>
      <w:r w:rsidRPr="00BA4F0F">
        <w:rPr>
          <w:rFonts w:cs="Times New Roman"/>
          <w:szCs w:val="24"/>
        </w:rPr>
        <w:t>• краткосрочное ПП (10–15 суток):</w:t>
      </w:r>
    </w:p>
    <w:p w14:paraId="087818B8" w14:textId="77777777" w:rsidR="00C1188C" w:rsidRPr="00BA4F0F" w:rsidRDefault="00C1188C" w:rsidP="00C1188C">
      <w:pPr>
        <w:ind w:firstLine="567"/>
        <w:rPr>
          <w:rFonts w:cs="Times New Roman"/>
          <w:szCs w:val="24"/>
        </w:rPr>
      </w:pPr>
      <w:r w:rsidRPr="00BA4F0F">
        <w:rPr>
          <w:rFonts w:cs="Times New Roman"/>
          <w:szCs w:val="24"/>
        </w:rPr>
        <w:t>– острый и тяжелый мукозит, илеус, некупируемая рвота;</w:t>
      </w:r>
    </w:p>
    <w:p w14:paraId="025906F1" w14:textId="77777777" w:rsidR="00C1188C" w:rsidRPr="00BA4F0F" w:rsidRDefault="00C1188C" w:rsidP="00C1188C">
      <w:pPr>
        <w:ind w:firstLine="567"/>
        <w:rPr>
          <w:rFonts w:cs="Times New Roman"/>
          <w:szCs w:val="24"/>
        </w:rPr>
      </w:pPr>
      <w:r w:rsidRPr="00BA4F0F">
        <w:rPr>
          <w:rFonts w:cs="Times New Roman"/>
          <w:szCs w:val="24"/>
        </w:rPr>
        <w:t>• длительное (более 30 суток):</w:t>
      </w:r>
    </w:p>
    <w:p w14:paraId="2C6BF297" w14:textId="77777777" w:rsidR="00C1188C" w:rsidRPr="00BA4F0F" w:rsidRDefault="00C1188C" w:rsidP="00C1188C">
      <w:pPr>
        <w:ind w:firstLine="567"/>
        <w:rPr>
          <w:rFonts w:cs="Times New Roman"/>
          <w:szCs w:val="24"/>
        </w:rPr>
      </w:pPr>
      <w:r w:rsidRPr="00BA4F0F">
        <w:rPr>
          <w:rFonts w:cs="Times New Roman"/>
          <w:szCs w:val="24"/>
        </w:rPr>
        <w:t>– тяжелая мальабсорбция;</w:t>
      </w:r>
    </w:p>
    <w:p w14:paraId="444656AF" w14:textId="77777777" w:rsidR="00C1188C" w:rsidRPr="00BA4F0F" w:rsidRDefault="00C1188C" w:rsidP="00C1188C">
      <w:pPr>
        <w:ind w:firstLine="567"/>
        <w:rPr>
          <w:rFonts w:cs="Times New Roman"/>
          <w:szCs w:val="24"/>
        </w:rPr>
      </w:pPr>
      <w:r w:rsidRPr="00BA4F0F">
        <w:rPr>
          <w:rFonts w:cs="Times New Roman"/>
          <w:szCs w:val="24"/>
        </w:rPr>
        <w:t>– подострый или хронический энтерит;</w:t>
      </w:r>
    </w:p>
    <w:p w14:paraId="59786186" w14:textId="40721729" w:rsidR="00C1188C" w:rsidRPr="00BA4F0F" w:rsidRDefault="00C1188C" w:rsidP="00C1188C">
      <w:pPr>
        <w:ind w:firstLine="567"/>
        <w:rPr>
          <w:rFonts w:cs="Times New Roman"/>
          <w:szCs w:val="24"/>
        </w:rPr>
      </w:pPr>
      <w:r w:rsidRPr="00BA4F0F">
        <w:rPr>
          <w:rFonts w:cs="Times New Roman"/>
          <w:szCs w:val="24"/>
        </w:rPr>
        <w:t xml:space="preserve">– тяжелая энтеропатия </w:t>
      </w:r>
      <w:r w:rsidR="004C1C16">
        <w:rPr>
          <w:rFonts w:cs="Times New Roman"/>
          <w:szCs w:val="24"/>
        </w:rPr>
        <w:fldChar w:fldCharType="begin" w:fldLock="1"/>
      </w:r>
      <w:r w:rsidR="004C1C16">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Association","id":"ITEM-2","issue":"21","issued":{"date-parts":[["2019","6"]]},"page":"2142","publisher":"American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http://www.mendeley.com/documents/?uuid=1967195b-eca8-4ade-9d2d-ff8332f19f7b"]}],"mendeley":{"formattedCitation":"[139,144]","plainTextFormattedCitation":"[139,144]","previouslyFormattedCitation":"[139,144]"},"properties":{"noteIndex":0},"schema":"https://github.com/citation-style-language/schema/raw/master/csl-citation.json"}</w:instrText>
      </w:r>
      <w:r w:rsidR="004C1C16">
        <w:rPr>
          <w:rFonts w:cs="Times New Roman"/>
          <w:szCs w:val="24"/>
        </w:rPr>
        <w:fldChar w:fldCharType="separate"/>
      </w:r>
      <w:r w:rsidR="004C1C16" w:rsidRPr="004C1C16">
        <w:rPr>
          <w:rFonts w:cs="Times New Roman"/>
          <w:noProof/>
          <w:szCs w:val="24"/>
        </w:rPr>
        <w:t>[139,144]</w:t>
      </w:r>
      <w:r w:rsidR="004C1C16">
        <w:rPr>
          <w:rFonts w:cs="Times New Roman"/>
          <w:szCs w:val="24"/>
        </w:rPr>
        <w:fldChar w:fldCharType="end"/>
      </w:r>
      <w:r w:rsidRPr="00BA4F0F">
        <w:rPr>
          <w:rFonts w:cs="Times New Roman"/>
          <w:szCs w:val="24"/>
        </w:rPr>
        <w:t>.</w:t>
      </w:r>
    </w:p>
    <w:p w14:paraId="7A42255F" w14:textId="77777777" w:rsidR="00C1188C" w:rsidRPr="00BA4F0F" w:rsidRDefault="00C1188C" w:rsidP="00C1188C">
      <w:pPr>
        <w:ind w:firstLine="851"/>
        <w:rPr>
          <w:rFonts w:cs="Times New Roman"/>
          <w:szCs w:val="24"/>
        </w:rPr>
      </w:pPr>
      <w:r w:rsidRPr="00BA4F0F">
        <w:rPr>
          <w:rFonts w:cs="Times New Roman"/>
          <w:szCs w:val="24"/>
        </w:rPr>
        <w:t xml:space="preserve">Необходимые организму нутриенты вводятся непосредственно в кровь. Основными составляющими парентерального питания являются: </w:t>
      </w:r>
    </w:p>
    <w:p w14:paraId="56A0A998" w14:textId="77777777" w:rsidR="00C1188C" w:rsidRPr="00BA4F0F" w:rsidRDefault="00C1188C" w:rsidP="00C1188C">
      <w:pPr>
        <w:ind w:firstLine="567"/>
        <w:rPr>
          <w:rFonts w:cs="Times New Roman"/>
          <w:szCs w:val="24"/>
        </w:rPr>
      </w:pPr>
      <w:r w:rsidRPr="00BA4F0F">
        <w:rPr>
          <w:rFonts w:cs="Times New Roman"/>
          <w:szCs w:val="24"/>
        </w:rPr>
        <w:t xml:space="preserve">• источники энергии: 10–20% растворы углеводов, жировые эмульсии; </w:t>
      </w:r>
    </w:p>
    <w:p w14:paraId="6C96FE43" w14:textId="77777777" w:rsidR="00C1188C" w:rsidRPr="00BA4F0F" w:rsidRDefault="00C1188C" w:rsidP="00C1188C">
      <w:pPr>
        <w:ind w:firstLine="567"/>
        <w:rPr>
          <w:rFonts w:cs="Times New Roman"/>
          <w:szCs w:val="24"/>
        </w:rPr>
      </w:pPr>
      <w:r w:rsidRPr="00BA4F0F">
        <w:rPr>
          <w:rFonts w:cs="Times New Roman"/>
          <w:szCs w:val="24"/>
        </w:rPr>
        <w:t xml:space="preserve">• источники пластического материала: растворы кристаллических аминокислот; </w:t>
      </w:r>
    </w:p>
    <w:p w14:paraId="77A54C91" w14:textId="38C9CECD" w:rsidR="00C1188C" w:rsidRPr="00BA4F0F" w:rsidRDefault="00C1188C" w:rsidP="00C1188C">
      <w:pPr>
        <w:ind w:firstLine="567"/>
        <w:rPr>
          <w:rFonts w:cs="Times New Roman"/>
          <w:szCs w:val="24"/>
        </w:rPr>
      </w:pPr>
      <w:r w:rsidRPr="00BA4F0F">
        <w:rPr>
          <w:rFonts w:cs="Times New Roman"/>
          <w:szCs w:val="24"/>
        </w:rPr>
        <w:t xml:space="preserve">• 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BA4F0F">
        <w:rPr>
          <w:rFonts w:cs="Times New Roman"/>
          <w:szCs w:val="24"/>
        </w:rPr>
        <w:fldChar w:fldCharType="begin" w:fldLock="1"/>
      </w:r>
      <w:r w:rsidR="00146A73">
        <w:rPr>
          <w:rFonts w:cs="Times New Roman"/>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[140]","plainTextFormattedCitation":"[140]","previouslyFormattedCitation":"[140]"},"properties":{"noteIndex":0},"schema":"https://github.com/citation-style-language/schema/raw/master/csl-citation.json"}</w:instrText>
      </w:r>
      <w:r w:rsidRPr="00BA4F0F">
        <w:rPr>
          <w:rFonts w:cs="Times New Roman"/>
          <w:szCs w:val="24"/>
        </w:rPr>
        <w:fldChar w:fldCharType="separate"/>
      </w:r>
      <w:r w:rsidR="00B436BD" w:rsidRPr="00B436BD">
        <w:rPr>
          <w:rFonts w:cs="Times New Roman"/>
          <w:noProof/>
          <w:szCs w:val="24"/>
        </w:rPr>
        <w:t>[140]</w:t>
      </w:r>
      <w:r w:rsidRPr="00BA4F0F">
        <w:rPr>
          <w:rFonts w:cs="Times New Roman"/>
          <w:szCs w:val="24"/>
        </w:rPr>
        <w:fldChar w:fldCharType="end"/>
      </w:r>
      <w:r w:rsidRPr="00BA4F0F">
        <w:rPr>
          <w:rFonts w:cs="Times New Roman"/>
          <w:szCs w:val="24"/>
        </w:rPr>
        <w:t xml:space="preserve">. </w:t>
      </w:r>
    </w:p>
    <w:p w14:paraId="1B775D2D" w14:textId="5719A1D2" w:rsidR="00C1188C" w:rsidRPr="00BA4F0F" w:rsidRDefault="00C1188C" w:rsidP="00C1188C">
      <w:pPr>
        <w:ind w:firstLine="851"/>
        <w:rPr>
          <w:rFonts w:cs="Times New Roman"/>
          <w:szCs w:val="24"/>
        </w:rPr>
      </w:pPr>
      <w:r w:rsidRPr="00BA4F0F">
        <w:rPr>
          <w:rFonts w:cs="Times New Roman"/>
          <w:szCs w:val="24"/>
        </w:rPr>
        <w:t xml:space="preserve">Системы парентерального питания </w:t>
      </w:r>
      <w:r w:rsidR="00FD2D61">
        <w:rPr>
          <w:rFonts w:cs="Times New Roman"/>
          <w:szCs w:val="24"/>
        </w:rPr>
        <w:fldChar w:fldCharType="begin" w:fldLock="1"/>
      </w:r>
      <w:r w:rsidR="00FD2D61">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[139,142]","plainTextFormattedCitation":"[139,142]","previouslyFormattedCitation":"[139,142]"},"properties":{"noteIndex":0},"schema":"https://github.com/citation-style-language/schema/raw/master/csl-citation.json"}</w:instrText>
      </w:r>
      <w:r w:rsidR="00FD2D61">
        <w:rPr>
          <w:rFonts w:cs="Times New Roman"/>
          <w:szCs w:val="24"/>
        </w:rPr>
        <w:fldChar w:fldCharType="separate"/>
      </w:r>
      <w:r w:rsidR="00FD2D61" w:rsidRPr="00FD2D61">
        <w:rPr>
          <w:rFonts w:cs="Times New Roman"/>
          <w:noProof/>
          <w:szCs w:val="24"/>
        </w:rPr>
        <w:t>[139,142]</w:t>
      </w:r>
      <w:r w:rsidR="00FD2D61">
        <w:rPr>
          <w:rFonts w:cs="Times New Roman"/>
          <w:szCs w:val="24"/>
        </w:rPr>
        <w:fldChar w:fldCharType="end"/>
      </w:r>
    </w:p>
    <w:p w14:paraId="4D3E3C9F" w14:textId="77777777" w:rsidR="00C1188C" w:rsidRPr="00BA4F0F" w:rsidRDefault="00C1188C" w:rsidP="00C1188C">
      <w:pPr>
        <w:ind w:firstLine="851"/>
        <w:rPr>
          <w:rFonts w:cs="Times New Roman"/>
          <w:szCs w:val="24"/>
        </w:rPr>
      </w:pPr>
      <w:r w:rsidRPr="00BA4F0F">
        <w:rPr>
          <w:rFonts w:cs="Times New Roman"/>
          <w:szCs w:val="24"/>
        </w:rPr>
        <w:t xml:space="preserve">• «модульная»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67A87F38" w14:textId="77777777" w:rsidR="00C1188C" w:rsidRPr="00BA4F0F" w:rsidRDefault="00C1188C" w:rsidP="00C1188C">
      <w:pPr>
        <w:ind w:firstLine="851"/>
        <w:rPr>
          <w:rFonts w:cs="Times New Roman"/>
          <w:szCs w:val="24"/>
        </w:rPr>
      </w:pPr>
      <w:r w:rsidRPr="00BA4F0F">
        <w:rPr>
          <w:rFonts w:cs="Times New Roman"/>
          <w:szCs w:val="24"/>
        </w:rPr>
        <w:t xml:space="preserve">• 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462570EB" w14:textId="06DB8E03" w:rsidR="00C1188C" w:rsidRPr="00BA4F0F" w:rsidRDefault="00C1188C" w:rsidP="00C1188C">
      <w:pPr>
        <w:ind w:firstLine="851"/>
        <w:rPr>
          <w:rFonts w:cs="Times New Roman"/>
          <w:szCs w:val="24"/>
        </w:rPr>
      </w:pPr>
      <w:r w:rsidRPr="00BA4F0F">
        <w:rPr>
          <w:rFonts w:cs="Times New Roman"/>
          <w:szCs w:val="24"/>
        </w:rPr>
        <w:t xml:space="preserve">Противопоказания к парентеральному питанию </w:t>
      </w:r>
      <w:r w:rsidR="00146A73">
        <w:rPr>
          <w:rFonts w:cs="Times New Roman"/>
          <w:szCs w:val="24"/>
        </w:rPr>
        <w:fldChar w:fldCharType="begin" w:fldLock="1"/>
      </w:r>
      <w:r w:rsidR="00FD2D61">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[139,142]","plainTextFormattedCitation":"[139,142]","previouslyFormattedCitation":"[139,142]"},"properties":{"noteIndex":0},"schema":"https://github.com/citation-style-language/schema/raw/master/csl-citation.json"}</w:instrText>
      </w:r>
      <w:r w:rsidR="00146A73">
        <w:rPr>
          <w:rFonts w:cs="Times New Roman"/>
          <w:szCs w:val="24"/>
        </w:rPr>
        <w:fldChar w:fldCharType="separate"/>
      </w:r>
      <w:r w:rsidR="00146A73" w:rsidRPr="00146A73">
        <w:rPr>
          <w:rFonts w:cs="Times New Roman"/>
          <w:noProof/>
          <w:szCs w:val="24"/>
        </w:rPr>
        <w:t>[139,142]</w:t>
      </w:r>
      <w:r w:rsidR="00146A73">
        <w:rPr>
          <w:rFonts w:cs="Times New Roman"/>
          <w:szCs w:val="24"/>
        </w:rPr>
        <w:fldChar w:fldCharType="end"/>
      </w:r>
    </w:p>
    <w:p w14:paraId="2569BE97" w14:textId="77777777" w:rsidR="00C1188C" w:rsidRPr="00BA4F0F" w:rsidRDefault="00C1188C" w:rsidP="00C1188C">
      <w:pPr>
        <w:ind w:firstLine="851"/>
        <w:rPr>
          <w:rFonts w:cs="Times New Roman"/>
          <w:szCs w:val="24"/>
        </w:rPr>
      </w:pPr>
      <w:r w:rsidRPr="00BA4F0F">
        <w:rPr>
          <w:rFonts w:cs="Times New Roman"/>
          <w:szCs w:val="24"/>
        </w:rPr>
        <w:t>• возможность энтерального питания;</w:t>
      </w:r>
    </w:p>
    <w:p w14:paraId="64C16AD0" w14:textId="77777777" w:rsidR="00C1188C" w:rsidRPr="00BA4F0F" w:rsidRDefault="00C1188C" w:rsidP="00C1188C">
      <w:pPr>
        <w:ind w:firstLine="851"/>
        <w:rPr>
          <w:rFonts w:cs="Times New Roman"/>
          <w:szCs w:val="24"/>
        </w:rPr>
      </w:pPr>
      <w:r w:rsidRPr="00BA4F0F">
        <w:rPr>
          <w:rFonts w:cs="Times New Roman"/>
          <w:szCs w:val="24"/>
        </w:rPr>
        <w:t xml:space="preserve">• невозможность обеспечения адекватного сосудистого доступа; </w:t>
      </w:r>
    </w:p>
    <w:p w14:paraId="6B2BA419" w14:textId="77777777" w:rsidR="00C1188C" w:rsidRPr="00BA4F0F" w:rsidRDefault="00C1188C" w:rsidP="00C1188C">
      <w:pPr>
        <w:ind w:firstLine="851"/>
        <w:rPr>
          <w:rFonts w:cs="Times New Roman"/>
          <w:szCs w:val="24"/>
        </w:rPr>
      </w:pPr>
      <w:r w:rsidRPr="00BA4F0F">
        <w:rPr>
          <w:rFonts w:cs="Times New Roman"/>
          <w:szCs w:val="24"/>
        </w:rPr>
        <w:t xml:space="preserve">• отсутствие признаков белково-энергетической недостаточности; </w:t>
      </w:r>
    </w:p>
    <w:p w14:paraId="04433A90" w14:textId="77777777" w:rsidR="00C1188C" w:rsidRPr="00BA4F0F" w:rsidRDefault="00C1188C" w:rsidP="00C1188C">
      <w:pPr>
        <w:ind w:firstLine="851"/>
        <w:rPr>
          <w:rFonts w:cs="Times New Roman"/>
          <w:szCs w:val="24"/>
        </w:rPr>
      </w:pPr>
      <w:r w:rsidRPr="00BA4F0F">
        <w:rPr>
          <w:rFonts w:cs="Times New Roman"/>
          <w:szCs w:val="24"/>
        </w:rPr>
        <w:t xml:space="preserve">• гипоксия (раО2 70 мм рт. ст., сывороточный лактат &gt; 3 ммоль/л); </w:t>
      </w:r>
    </w:p>
    <w:p w14:paraId="222A53F2" w14:textId="77777777" w:rsidR="00C1188C" w:rsidRPr="00BA4F0F" w:rsidRDefault="00C1188C" w:rsidP="00C1188C">
      <w:pPr>
        <w:ind w:firstLine="851"/>
        <w:rPr>
          <w:rFonts w:cs="Times New Roman"/>
          <w:szCs w:val="24"/>
        </w:rPr>
      </w:pPr>
      <w:r w:rsidRPr="00BA4F0F">
        <w:rPr>
          <w:rFonts w:cs="Times New Roman"/>
          <w:szCs w:val="24"/>
        </w:rPr>
        <w:t xml:space="preserve">• анурия или гипергидратация без диализа. </w:t>
      </w:r>
    </w:p>
    <w:p w14:paraId="4CE33624" w14:textId="3F87162B" w:rsidR="00C1188C" w:rsidRPr="00BA4F0F" w:rsidRDefault="00C1188C" w:rsidP="00C1188C">
      <w:pPr>
        <w:ind w:firstLine="851"/>
        <w:rPr>
          <w:rFonts w:cs="Times New Roman"/>
          <w:szCs w:val="24"/>
        </w:rPr>
      </w:pPr>
      <w:r w:rsidRPr="00BA4F0F">
        <w:rPr>
          <w:rFonts w:cs="Times New Roman"/>
          <w:szCs w:val="24"/>
        </w:rPr>
        <w:t xml:space="preserve">Смешанное питание </w:t>
      </w:r>
      <w:r w:rsidR="00146A73">
        <w:rPr>
          <w:rFonts w:cs="Times New Roman"/>
          <w:szCs w:val="24"/>
        </w:rPr>
        <w:fldChar w:fldCharType="begin" w:fldLock="1"/>
      </w:r>
      <w:r w:rsidR="00146A73">
        <w:rPr>
          <w:rFonts w:cs="Times New Roman"/>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[139,141]","plainTextFormattedCitation":"[139,141]","previouslyFormattedCitation":"[139,141]"},"properties":{"noteIndex":0},"schema":"https://github.com/citation-style-language/schema/raw/master/csl-citation.json"}</w:instrText>
      </w:r>
      <w:r w:rsidR="00146A73">
        <w:rPr>
          <w:rFonts w:cs="Times New Roman"/>
          <w:szCs w:val="24"/>
        </w:rPr>
        <w:fldChar w:fldCharType="separate"/>
      </w:r>
      <w:r w:rsidR="00146A73" w:rsidRPr="00146A73">
        <w:rPr>
          <w:rFonts w:cs="Times New Roman"/>
          <w:noProof/>
          <w:szCs w:val="24"/>
        </w:rPr>
        <w:t>[139,141]</w:t>
      </w:r>
      <w:r w:rsidR="00146A73">
        <w:rPr>
          <w:rFonts w:cs="Times New Roman"/>
          <w:szCs w:val="24"/>
        </w:rPr>
        <w:fldChar w:fldCharType="end"/>
      </w:r>
    </w:p>
    <w:p w14:paraId="43A0EB01" w14:textId="77777777" w:rsidR="00C1188C" w:rsidRPr="00BA4F0F" w:rsidRDefault="00C1188C" w:rsidP="00C1188C">
      <w:pPr>
        <w:ind w:firstLine="851"/>
        <w:rPr>
          <w:rFonts w:cs="Times New Roman"/>
          <w:szCs w:val="24"/>
        </w:rPr>
      </w:pPr>
      <w:r w:rsidRPr="00BA4F0F">
        <w:rPr>
          <w:rFonts w:cs="Times New Roman"/>
          <w:szCs w:val="24"/>
        </w:rPr>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0F645CBC" w14:textId="77777777" w:rsidR="00C1188C" w:rsidRPr="00BA4F0F" w:rsidRDefault="00C1188C" w:rsidP="00C1188C">
      <w:pPr>
        <w:ind w:firstLine="851"/>
        <w:rPr>
          <w:rFonts w:cs="Times New Roman"/>
          <w:szCs w:val="24"/>
        </w:rPr>
      </w:pPr>
      <w:r w:rsidRPr="00BA4F0F">
        <w:rPr>
          <w:rFonts w:cs="Times New Roman"/>
          <w:szCs w:val="24"/>
        </w:rPr>
        <w:t xml:space="preserve">Мониторинг эффективности нутритивной поддержки </w:t>
      </w:r>
    </w:p>
    <w:p w14:paraId="184643D5" w14:textId="77777777" w:rsidR="00C1188C" w:rsidRPr="00BA4F0F" w:rsidRDefault="00C1188C" w:rsidP="00C1188C">
      <w:pPr>
        <w:ind w:firstLine="851"/>
        <w:rPr>
          <w:rFonts w:cs="Times New Roman"/>
          <w:szCs w:val="24"/>
        </w:rPr>
      </w:pPr>
      <w:r w:rsidRPr="00BA4F0F">
        <w:rPr>
          <w:rFonts w:cs="Times New Roman"/>
          <w:szCs w:val="24"/>
        </w:rPr>
        <w:t>Частота исследования данных показателей может изменяться в зависимости от конкретной клинической ситуации.</w:t>
      </w:r>
    </w:p>
    <w:p w14:paraId="5AA50A4F" w14:textId="77777777" w:rsidR="00C1188C" w:rsidRPr="00BA4F0F" w:rsidRDefault="00C1188C" w:rsidP="00C1188C">
      <w:pPr>
        <w:ind w:firstLine="851"/>
        <w:rPr>
          <w:rFonts w:cs="Times New Roman"/>
          <w:szCs w:val="24"/>
        </w:rPr>
      </w:pPr>
      <w:r w:rsidRPr="00BA4F0F">
        <w:rPr>
          <w:rFonts w:cs="Times New Roman"/>
          <w:szCs w:val="24"/>
        </w:rPr>
        <w:t>• Общий белок сыворотки крови 1 раз в 5–7 дней.</w:t>
      </w:r>
    </w:p>
    <w:p w14:paraId="088960EE" w14:textId="77777777" w:rsidR="00C1188C" w:rsidRPr="00BA4F0F" w:rsidRDefault="00C1188C" w:rsidP="00C1188C">
      <w:pPr>
        <w:ind w:firstLine="851"/>
        <w:rPr>
          <w:rFonts w:cs="Times New Roman"/>
          <w:szCs w:val="24"/>
        </w:rPr>
      </w:pPr>
      <w:r w:rsidRPr="00BA4F0F">
        <w:rPr>
          <w:rFonts w:cs="Times New Roman"/>
          <w:szCs w:val="24"/>
        </w:rPr>
        <w:t>• Альбумин сыворотки крови 1 раз в 5–7 дней.</w:t>
      </w:r>
    </w:p>
    <w:p w14:paraId="195830FA" w14:textId="77777777" w:rsidR="00C1188C" w:rsidRPr="00BA4F0F" w:rsidRDefault="00C1188C" w:rsidP="00C1188C">
      <w:pPr>
        <w:ind w:firstLine="851"/>
        <w:rPr>
          <w:rFonts w:cs="Times New Roman"/>
          <w:szCs w:val="24"/>
        </w:rPr>
      </w:pPr>
      <w:r w:rsidRPr="00BA4F0F">
        <w:rPr>
          <w:rFonts w:cs="Times New Roman"/>
          <w:szCs w:val="24"/>
        </w:rPr>
        <w:t>• Гемоглобин 1 раз в 5–7 дней.</w:t>
      </w:r>
    </w:p>
    <w:p w14:paraId="675BA83B" w14:textId="77777777" w:rsidR="00C1188C" w:rsidRPr="00BA4F0F" w:rsidRDefault="00C1188C" w:rsidP="00C1188C">
      <w:pPr>
        <w:ind w:firstLine="851"/>
        <w:rPr>
          <w:rFonts w:cs="Times New Roman"/>
          <w:szCs w:val="24"/>
        </w:rPr>
      </w:pPr>
      <w:r w:rsidRPr="00BA4F0F">
        <w:rPr>
          <w:rFonts w:cs="Times New Roman"/>
          <w:szCs w:val="24"/>
        </w:rPr>
        <w:t>• Лимфоциты периферической крови 1 раз в 5–7 дней.</w:t>
      </w:r>
    </w:p>
    <w:p w14:paraId="4251CF3A" w14:textId="77777777" w:rsidR="00C1188C" w:rsidRPr="00BA4F0F" w:rsidRDefault="00C1188C" w:rsidP="00C1188C">
      <w:pPr>
        <w:ind w:firstLine="851"/>
        <w:rPr>
          <w:rFonts w:cs="Times New Roman"/>
          <w:szCs w:val="24"/>
        </w:rPr>
      </w:pPr>
      <w:r w:rsidRPr="00BA4F0F">
        <w:rPr>
          <w:rFonts w:cs="Times New Roman"/>
          <w:szCs w:val="24"/>
        </w:rPr>
        <w:t>• Масса тела и ИМТ тела 1 раз в 7–10 дней.</w:t>
      </w:r>
    </w:p>
    <w:p w14:paraId="5787BE35" w14:textId="77777777" w:rsidR="00C1188C" w:rsidRPr="00BA4F0F" w:rsidRDefault="00C1188C" w:rsidP="00C1188C">
      <w:pPr>
        <w:rPr>
          <w:rFonts w:cs="Times New Roman"/>
          <w:b/>
          <w:szCs w:val="24"/>
          <w:highlight w:val="green"/>
        </w:rPr>
      </w:pPr>
    </w:p>
    <w:p w14:paraId="0D98E4CD" w14:textId="77777777" w:rsidR="00C1188C" w:rsidRPr="00BA4F0F" w:rsidRDefault="00C1188C" w:rsidP="00C1188C">
      <w:pPr>
        <w:rPr>
          <w:rFonts w:cs="Times New Roman"/>
          <w:b/>
          <w:szCs w:val="24"/>
        </w:rPr>
      </w:pPr>
      <w:r w:rsidRPr="00BA4F0F">
        <w:rPr>
          <w:rFonts w:cs="Times New Roman"/>
          <w:b/>
          <w:szCs w:val="24"/>
        </w:rPr>
        <w:t xml:space="preserve"> </w:t>
      </w:r>
      <w:bookmarkStart w:id="137" w:name="_Toc44926642"/>
      <w:r w:rsidRPr="00BA4F0F">
        <w:rPr>
          <w:rFonts w:cs="Times New Roman"/>
          <w:b/>
          <w:szCs w:val="24"/>
        </w:rPr>
        <w:t>Обезболивание в период нейтропении</w:t>
      </w:r>
      <w:bookmarkEnd w:id="137"/>
    </w:p>
    <w:p w14:paraId="3D8E5561" w14:textId="77777777" w:rsidR="00C1188C" w:rsidRPr="00BA4F0F" w:rsidRDefault="00C1188C" w:rsidP="00C1188C">
      <w:pPr>
        <w:ind w:firstLine="851"/>
        <w:rPr>
          <w:rFonts w:cs="Times New Roman"/>
          <w:szCs w:val="24"/>
        </w:rPr>
      </w:pPr>
      <w:r w:rsidRPr="00BA4F0F">
        <w:rPr>
          <w:rFonts w:cs="Times New Roman"/>
          <w:szCs w:val="24"/>
        </w:rPr>
        <w:t xml:space="preserve">Интенсивный болевой синдром в полости рта и при глотании при мукозите </w:t>
      </w:r>
      <w:r w:rsidRPr="00BA4F0F">
        <w:rPr>
          <w:rFonts w:cs="Times New Roman"/>
          <w:szCs w:val="24"/>
          <w:lang w:val="en-US"/>
        </w:rPr>
        <w:t>III</w:t>
      </w:r>
      <w:r w:rsidRPr="00BA4F0F">
        <w:rPr>
          <w:rFonts w:cs="Times New Roman"/>
          <w:szCs w:val="24"/>
        </w:rPr>
        <w:t>-</w:t>
      </w:r>
      <w:r w:rsidRPr="00BA4F0F">
        <w:rPr>
          <w:rFonts w:cs="Times New Roman"/>
          <w:szCs w:val="24"/>
          <w:lang w:val="en-US"/>
        </w:rPr>
        <w:t>IV</w:t>
      </w:r>
      <w:r w:rsidRPr="00BA4F0F">
        <w:rPr>
          <w:rFonts w:cs="Times New Roman"/>
          <w:szCs w:val="24"/>
        </w:rPr>
        <w:t xml:space="preserve"> степени в период миелотоксического агранулоцитоза является показанием к назначению аналгетической терапии. Применение нестероидных противовоспалительных средств (НПВС) не рекомендовано в период МТА. Механизм действия НПВС связан с угнетением активности циклооксигеназы (ЦОГ), катализирующей образование простагландинов из арахидоновой кислоты. Простагландины играют важную роль в патогенезе боли, воспаления и лихорадки. </w:t>
      </w:r>
    </w:p>
    <w:p w14:paraId="186E39F7" w14:textId="77777777" w:rsidR="00C1188C" w:rsidRPr="00BA4F0F" w:rsidRDefault="00C1188C" w:rsidP="00C1188C">
      <w:pPr>
        <w:ind w:firstLine="851"/>
        <w:rPr>
          <w:rFonts w:cs="Times New Roman"/>
          <w:szCs w:val="24"/>
        </w:rPr>
      </w:pPr>
      <w:r w:rsidRPr="00BA4F0F">
        <w:rPr>
          <w:rFonts w:cs="Times New Roman"/>
          <w:szCs w:val="24"/>
        </w:rPr>
        <w:t xml:space="preserve">В условиях нейтропении блокирование воспалительной реакции может привести к фатальным осложнениям, молниеносному развитию сепсиса и септического шока. Кроме того, в результате ингибирования ЦОГ-1 в тромбоцитах подавляется синтез эндогенного проагреганта тромбоксана. Антиагрегантное действие НПВС в условиях тромбоцитопении может провоцировать кровотечения. </w:t>
      </w:r>
    </w:p>
    <w:p w14:paraId="57B27665" w14:textId="77777777" w:rsidR="00C1188C" w:rsidRPr="00BA4F0F" w:rsidRDefault="00C1188C" w:rsidP="00C1188C">
      <w:pPr>
        <w:ind w:firstLine="851"/>
        <w:rPr>
          <w:rFonts w:eastAsiaTheme="majorEastAsia" w:cs="Times New Roman"/>
          <w:b/>
          <w:bCs/>
          <w:szCs w:val="24"/>
        </w:rPr>
      </w:pPr>
      <w:r w:rsidRPr="00BA4F0F">
        <w:rPr>
          <w:rFonts w:cs="Times New Roman"/>
          <w:szCs w:val="24"/>
        </w:rPr>
        <w:t xml:space="preserve">В связи с этим в период МТА для обезболивания рекомендованы к применению наркотические аналгетики (промедол 10 мг в/в, трамадол 100 мг в/в, фентанил 25 мкг/час трансдермально). В связи с тем, что у части больных тяжелый мукозит сохраняется длительное время, может потребоваться многократное назначение указанных наркотических аналгетиков. </w:t>
      </w:r>
    </w:p>
    <w:p w14:paraId="0A545E9C" w14:textId="77777777" w:rsidR="00C1188C" w:rsidRPr="003B7A61" w:rsidRDefault="00C1188C" w:rsidP="00512B9A">
      <w:pPr>
        <w:pStyle w:val="2"/>
      </w:pPr>
    </w:p>
    <w:p w14:paraId="54ACCF0A" w14:textId="77777777" w:rsidR="003B7A61" w:rsidRDefault="003B7A61" w:rsidP="0040765B">
      <w:pPr>
        <w:pStyle w:val="2"/>
      </w:pPr>
    </w:p>
    <w:p w14:paraId="56A5C367" w14:textId="77777777" w:rsidR="0040765B" w:rsidRPr="00647057" w:rsidRDefault="0040765B" w:rsidP="00DD4FFF">
      <w:pPr>
        <w:pStyle w:val="2"/>
      </w:pPr>
    </w:p>
    <w:p w14:paraId="2D90A821" w14:textId="3F0A0E10" w:rsidR="00AC4C6F" w:rsidRDefault="00AC4C6F" w:rsidP="009A11DA">
      <w:pPr>
        <w:pStyle w:val="2"/>
      </w:pPr>
    </w:p>
    <w:p w14:paraId="7FCA3FFE" w14:textId="77777777" w:rsidR="00DD4FFF" w:rsidRPr="00FE0F01" w:rsidRDefault="00DD4FFF" w:rsidP="009A11DA">
      <w:pPr>
        <w:pStyle w:val="2"/>
      </w:pPr>
    </w:p>
    <w:p w14:paraId="564E8501" w14:textId="77777777" w:rsidR="009A11DA" w:rsidRPr="00F30696" w:rsidRDefault="009A11DA" w:rsidP="00FE0F01">
      <w:pPr>
        <w:rPr>
          <w:rFonts w:cs="Times New Roman"/>
          <w:szCs w:val="24"/>
        </w:rPr>
      </w:pPr>
    </w:p>
    <w:p w14:paraId="3578357E" w14:textId="77777777" w:rsidR="00FE0F01" w:rsidRDefault="00FE0F01" w:rsidP="00350A7D">
      <w:pPr>
        <w:pStyle w:val="2"/>
      </w:pPr>
    </w:p>
    <w:p w14:paraId="469C20FE" w14:textId="77777777" w:rsidR="00350A7D" w:rsidRDefault="00350A7D" w:rsidP="0078466D">
      <w:pPr>
        <w:pStyle w:val="2"/>
      </w:pPr>
    </w:p>
    <w:p w14:paraId="5CDABDAE" w14:textId="77777777" w:rsidR="0078466D" w:rsidRPr="00F4012B" w:rsidRDefault="0078466D" w:rsidP="0078466D">
      <w:pPr>
        <w:pStyle w:val="2"/>
      </w:pPr>
    </w:p>
    <w:p w14:paraId="78A12E87" w14:textId="77777777" w:rsidR="0078466D" w:rsidRPr="00217419" w:rsidRDefault="0078466D" w:rsidP="00FF534E">
      <w:pPr>
        <w:rPr>
          <w:rFonts w:eastAsia="Times New Roman" w:cs="Times New Roman"/>
          <w:b/>
          <w:szCs w:val="24"/>
          <w:lang w:eastAsia="ru-RU"/>
        </w:rPr>
      </w:pPr>
    </w:p>
    <w:p w14:paraId="30112DE9" w14:textId="77777777" w:rsidR="000414F6" w:rsidRDefault="00CB71DA" w:rsidP="0033051F">
      <w:pPr>
        <w:pStyle w:val="afff2"/>
      </w:pPr>
      <w:bookmarkStart w:id="138" w:name="_Toc65108063"/>
      <w:bookmarkEnd w:id="87"/>
      <w:r>
        <w:t xml:space="preserve">Приложение Б. Алгоритмы </w:t>
      </w:r>
      <w:bookmarkEnd w:id="88"/>
      <w:r w:rsidR="003527A8">
        <w:t>действий врача</w:t>
      </w:r>
      <w:bookmarkEnd w:id="138"/>
    </w:p>
    <w:p w14:paraId="30112DEA" w14:textId="77777777" w:rsidR="00C4630C" w:rsidRDefault="00C4630C">
      <w:pPr>
        <w:divId w:val="764688137"/>
        <w:rPr>
          <w:rFonts w:eastAsia="Times New Roman"/>
          <w:noProof/>
          <w:lang w:eastAsia="ru-RU"/>
        </w:rPr>
      </w:pPr>
    </w:p>
    <w:p w14:paraId="30112DEB" w14:textId="77777777" w:rsidR="00D41455" w:rsidRDefault="00F00F4A" w:rsidP="00F00F4A">
      <w:pPr>
        <w:pStyle w:val="afd"/>
        <w:ind w:firstLine="0"/>
        <w:divId w:val="764688137"/>
      </w:pPr>
      <w:r>
        <w:rPr>
          <w:noProof/>
        </w:rPr>
        <w:drawing>
          <wp:inline distT="0" distB="0" distL="0" distR="0" wp14:anchorId="30112E43" wp14:editId="30112E44">
            <wp:extent cx="5581015" cy="6598345"/>
            <wp:effectExtent l="0" t="0" r="0" b="5715"/>
            <wp:docPr id="3" name="Рисунок 3" descr="C:\images\16_ab803b74-d80e-40af-82db-92fa514c94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s\16_ab803b74-d80e-40af-82db-92fa514c947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81015" cy="6598345"/>
                    </a:xfrm>
                    <a:prstGeom prst="rect">
                      <a:avLst/>
                    </a:prstGeom>
                    <a:noFill/>
                    <a:ln>
                      <a:noFill/>
                    </a:ln>
                  </pic:spPr>
                </pic:pic>
              </a:graphicData>
            </a:graphic>
          </wp:inline>
        </w:drawing>
      </w:r>
    </w:p>
    <w:p w14:paraId="30112DEC" w14:textId="77777777" w:rsidR="00494319" w:rsidRDefault="00494319" w:rsidP="0033051F">
      <w:pPr>
        <w:pStyle w:val="afd"/>
        <w:rPr>
          <w:noProof/>
        </w:rPr>
      </w:pPr>
    </w:p>
    <w:p w14:paraId="30112DED" w14:textId="77777777" w:rsidR="000414F6" w:rsidRDefault="00CB71DA" w:rsidP="0033051F">
      <w:pPr>
        <w:pStyle w:val="afff2"/>
      </w:pPr>
      <w:r>
        <w:br w:type="page"/>
      </w:r>
      <w:bookmarkStart w:id="139" w:name="__RefHeading___doc_v"/>
      <w:bookmarkStart w:id="140" w:name="_Toc65108064"/>
      <w:r>
        <w:t>Приложение В. Информация для пациент</w:t>
      </w:r>
      <w:bookmarkEnd w:id="139"/>
      <w:r w:rsidR="003527A8">
        <w:t>а</w:t>
      </w:r>
      <w:bookmarkEnd w:id="140"/>
    </w:p>
    <w:p w14:paraId="30112DEE" w14:textId="77777777" w:rsid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Лимфомы - это опухоли из лимфоидных клеток. Лимфома - не одна болезнь, это большая группа, включающая более 30 разных заболеваний, которые отличаются друг от друга по своим проявлениям, по течению, по ответу на лечение. Главное, что надо понимать – то, что лимфомы ведут себя и лечатся совершенно по-разному. Поэтому просто слово "лимфома" ни о чем не говорит – чтобы понимать, как лечить, надо знать конкретный вариант лимфомы.</w:t>
      </w:r>
    </w:p>
    <w:p w14:paraId="30112DEF" w14:textId="77777777" w:rsid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Самый частый симптом лимфомы - это увеличение лимфоузлов. Однако этот симптом не единственный и даже не обязательный – поскольку лимфомы могут возникать в любом органе. Поэтому симптомы лимфомы могут быть очень разнообразными, практически любыми.</w:t>
      </w:r>
    </w:p>
    <w:p w14:paraId="30112DF0" w14:textId="77777777" w:rsid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Часто при лимфоме выявляют сразу распространенную стадию заболевания. Это связано с тем, что лимфоидные клетки циркулируют по всему организму с током крови и лимфы. Однако то, что большинство лимфом диагностируются в распространенных стадиях, не означает плохого прогноза. Лимфомы поддаются терапии значительно лучше многих других опухолей, и многие варианты лимфомы сегодня можно вылечить полностью.</w:t>
      </w:r>
    </w:p>
    <w:p w14:paraId="30112DF1" w14:textId="77777777" w:rsid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Течение неходжкинских лимфом также бывает разным. Некоторые текут длительно, годами и десятилетиями, и даже не требуют лечения. Другие характеризуются более агрессивным течением. По клиническому течению неходжкинские лимфомы подразделяются на агрессивные и вялотекущие.</w:t>
      </w:r>
    </w:p>
    <w:p w14:paraId="30112DF2" w14:textId="77777777" w:rsidR="00F00F4A" w:rsidRP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Некоторые лимфомы часто сопровождаются вовлечением костного мозга и крови, это не столь принципиально. Важнее, из каких клеток лимфома произошла, и какие поломки они несут.</w:t>
      </w:r>
    </w:p>
    <w:p w14:paraId="30112DF3" w14:textId="77777777" w:rsidR="00F00F4A" w:rsidRP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Лимфомы маргинальной зоны также относятся к группе вялотекущих лимфом. Они подразделяются на три категории в зависимости от того, где локализуется лимфома.</w:t>
      </w:r>
    </w:p>
    <w:p w14:paraId="30112DF4" w14:textId="77777777" w:rsidR="00F00F4A" w:rsidRP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К первой группе относятся лимфомы, возникающие из лимфоидной ткани, ассоциированной со слизистыми (Mucose-Associated Lymphoid Tissue). Они часто называются MALT-лимфомы или мальтомы. Все поверхности, все слизистые, посредством которых человек контактирует с внешней средой (выстилка дыхательных путей, легких, желудочно-кишечного тракта, мочевыводящих путей, половых путей, эпителий глаз) содержат лимфоидную ткань. Лимфоидная ткань, ассоциированная со слизистыми, защищает нас от многочисленных бактерий. Некоторые привычные возбудители настолько трудно уничтожить, что они сохраняются в данном месте (</w:t>
      </w:r>
      <w:r w:rsidR="001E0DF7" w:rsidRPr="00F00F4A">
        <w:rPr>
          <w:rFonts w:eastAsia="Times New Roman" w:cs="Times New Roman"/>
          <w:szCs w:val="24"/>
          <w:lang w:eastAsia="ru-RU"/>
        </w:rPr>
        <w:t>например,</w:t>
      </w:r>
      <w:r w:rsidRPr="00F00F4A">
        <w:rPr>
          <w:rFonts w:eastAsia="Times New Roman" w:cs="Times New Roman"/>
          <w:szCs w:val="24"/>
          <w:lang w:eastAsia="ru-RU"/>
        </w:rPr>
        <w:t xml:space="preserve"> в желудке или в кишечнике) очень длительно - годами. Сегодня мы знаем, что Helicobacter pylori, - бактерия, обитающая в желудке и являющаяся </w:t>
      </w:r>
      <w:r w:rsidR="001E0DF7" w:rsidRPr="00F00F4A">
        <w:rPr>
          <w:rFonts w:eastAsia="Times New Roman" w:cs="Times New Roman"/>
          <w:szCs w:val="24"/>
          <w:lang w:eastAsia="ru-RU"/>
        </w:rPr>
        <w:t>ведущей причиной язв желудка,</w:t>
      </w:r>
      <w:r w:rsidRPr="00F00F4A">
        <w:rPr>
          <w:rFonts w:eastAsia="Times New Roman" w:cs="Times New Roman"/>
          <w:szCs w:val="24"/>
          <w:lang w:eastAsia="ru-RU"/>
        </w:rPr>
        <w:t xml:space="preserve"> может приводит к развитию лимфом желудка. Chlamydia psittaci может вызывать MALT-лимфомы орбиты. Инфекция, вызванная Borrelia burgdorferi ассоциируется с MALT- лимфомами кожи, Campylobacter jejuni с MALT-лимфомами тонкой кишки. Лимфоидная ткань типа MALT может образовываться заново практически во всех органах у взрослого человека. Поэтому MALT-лимфомы могут возникнуть в любом органе. Чаще всего они возникают в желудочно-кишечном тракте, в глазах, в щитовидной железе, в слюнных железах, в коже. Многие люди, у которых развиваются такие лимфомы, имеют аутоиммунные болезни.</w:t>
      </w:r>
    </w:p>
    <w:p w14:paraId="30112DF5" w14:textId="77777777" w:rsidR="00F00F4A" w:rsidRP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Ко второй группе лимфом маргинальной зоны относятся лимфомы, растущие в лимфатических узлах. От других нодальных лимфом они отличаются тем, как выглядят под микроскопом, молекулярными признаками.</w:t>
      </w:r>
    </w:p>
    <w:p w14:paraId="30112DF6" w14:textId="77777777" w:rsidR="00F00F4A" w:rsidRPr="00F00F4A" w:rsidRDefault="00F00F4A" w:rsidP="00F00F4A">
      <w:pPr>
        <w:pStyle w:val="aff8"/>
        <w:rPr>
          <w:rFonts w:eastAsia="Times New Roman" w:cs="Times New Roman"/>
          <w:szCs w:val="24"/>
          <w:lang w:eastAsia="ru-RU"/>
        </w:rPr>
      </w:pPr>
      <w:r w:rsidRPr="00F00F4A">
        <w:rPr>
          <w:rFonts w:eastAsia="Times New Roman" w:cs="Times New Roman"/>
          <w:szCs w:val="24"/>
          <w:lang w:eastAsia="ru-RU"/>
        </w:rPr>
        <w:t>Наконец, третий вариант лимфомы маргинальной зоны возникает в селезенке. Селезеночная лимфома маргинальной зоны имеет очень характерные признаки.</w:t>
      </w:r>
    </w:p>
    <w:p w14:paraId="30112DF7" w14:textId="77777777" w:rsidR="00174593" w:rsidRPr="003527A8" w:rsidRDefault="00F00F4A" w:rsidP="00F00F4A">
      <w:pPr>
        <w:pStyle w:val="aff8"/>
      </w:pPr>
      <w:r w:rsidRPr="00F00F4A">
        <w:rPr>
          <w:rFonts w:eastAsia="Times New Roman" w:cs="Times New Roman"/>
          <w:szCs w:val="24"/>
          <w:lang w:eastAsia="ru-RU"/>
        </w:rPr>
        <w:t>Все лимфомы маргинальной зоны имеют благоприятный прогноз.</w:t>
      </w:r>
    </w:p>
    <w:p w14:paraId="30112DF8" w14:textId="77777777" w:rsidR="00427B0E" w:rsidRDefault="00CB71DA" w:rsidP="00A54C2B">
      <w:pPr>
        <w:pStyle w:val="afff2"/>
      </w:pPr>
      <w:r>
        <w:br w:type="page"/>
      </w:r>
      <w:bookmarkStart w:id="141" w:name="__RefHeading___doc_g"/>
      <w:bookmarkStart w:id="142" w:name="_Toc65108065"/>
      <w:r w:rsidRPr="005219AF">
        <w:t>Приложение</w:t>
      </w:r>
      <w:bookmarkEnd w:id="141"/>
      <w:r w:rsidR="003527A8" w:rsidRPr="005219AF">
        <w:t xml:space="preserve"> Г. Шкалы оценки, вопросники и другие оценочные инструменты состояния пациента, приведенные в клинических рекомендациях</w:t>
      </w:r>
      <w:bookmarkStart w:id="143" w:name="bookmark6"/>
      <w:bookmarkEnd w:id="142"/>
    </w:p>
    <w:p w14:paraId="30112DF9" w14:textId="77777777" w:rsidR="00A54C2B" w:rsidRPr="0033051F" w:rsidRDefault="00A54C2B" w:rsidP="0033051F">
      <w:pPr>
        <w:pStyle w:val="2"/>
      </w:pPr>
      <w:bookmarkStart w:id="144" w:name="_Toc11747754"/>
      <w:bookmarkStart w:id="145" w:name="_Toc24572141"/>
      <w:bookmarkStart w:id="146" w:name="_Toc24964262"/>
      <w:bookmarkStart w:id="147" w:name="_Toc65108066"/>
      <w:bookmarkEnd w:id="143"/>
      <w:r w:rsidRPr="0033051F">
        <w:t>Приложение Г</w:t>
      </w:r>
      <w:bookmarkStart w:id="148" w:name="_Toc19799875"/>
      <w:bookmarkStart w:id="149" w:name="_Toc16755716"/>
      <w:bookmarkEnd w:id="144"/>
      <w:r w:rsidRPr="0033051F">
        <w:t>1. Шкала оценки общего состояния пациента Восточной объединенной онкологической группы (ECOG</w:t>
      </w:r>
      <w:bookmarkEnd w:id="148"/>
      <w:r w:rsidRPr="0033051F">
        <w:t>)</w:t>
      </w:r>
      <w:bookmarkEnd w:id="145"/>
      <w:bookmarkEnd w:id="146"/>
      <w:bookmarkEnd w:id="147"/>
    </w:p>
    <w:p w14:paraId="30112DFA" w14:textId="77777777" w:rsidR="00A54C2B" w:rsidRPr="00703062" w:rsidRDefault="00A54C2B" w:rsidP="00A54C2B">
      <w:pPr>
        <w:spacing w:before="240"/>
        <w:rPr>
          <w:lang w:val="en-US"/>
        </w:rPr>
      </w:pPr>
      <w:r>
        <w:t>Оригинальное</w:t>
      </w:r>
      <w:r w:rsidRPr="00703062">
        <w:rPr>
          <w:lang w:val="en-US"/>
        </w:rPr>
        <w:t xml:space="preserve"> </w:t>
      </w:r>
      <w:r>
        <w:t>название</w:t>
      </w:r>
      <w:r w:rsidRPr="00703062">
        <w:rPr>
          <w:lang w:val="en-US"/>
        </w:rPr>
        <w:t xml:space="preserve">: </w:t>
      </w:r>
      <w:r>
        <w:rPr>
          <w:lang w:val="en-US"/>
        </w:rPr>
        <w:t>The</w:t>
      </w:r>
      <w:r w:rsidRPr="00703062">
        <w:rPr>
          <w:lang w:val="en-US"/>
        </w:rPr>
        <w:t xml:space="preserve"> </w:t>
      </w:r>
      <w:r>
        <w:rPr>
          <w:lang w:val="en-US"/>
        </w:rPr>
        <w:t>ECOG</w:t>
      </w:r>
      <w:r w:rsidRPr="00703062">
        <w:rPr>
          <w:lang w:val="en-US"/>
        </w:rPr>
        <w:t xml:space="preserve"> </w:t>
      </w:r>
      <w:r>
        <w:rPr>
          <w:lang w:val="en-US"/>
        </w:rPr>
        <w:t>Scale</w:t>
      </w:r>
      <w:r w:rsidRPr="00703062">
        <w:rPr>
          <w:lang w:val="en-US"/>
        </w:rPr>
        <w:t xml:space="preserve"> </w:t>
      </w:r>
      <w:r>
        <w:rPr>
          <w:lang w:val="en-US"/>
        </w:rPr>
        <w:t>of</w:t>
      </w:r>
      <w:r w:rsidRPr="00703062">
        <w:rPr>
          <w:lang w:val="en-US"/>
        </w:rPr>
        <w:t xml:space="preserve"> </w:t>
      </w:r>
      <w:r>
        <w:rPr>
          <w:lang w:val="en-US"/>
        </w:rPr>
        <w:t>Performance</w:t>
      </w:r>
      <w:r w:rsidRPr="00703062">
        <w:rPr>
          <w:lang w:val="en-US"/>
        </w:rPr>
        <w:t xml:space="preserve"> </w:t>
      </w:r>
      <w:r>
        <w:rPr>
          <w:lang w:val="en-US"/>
        </w:rPr>
        <w:t>Status</w:t>
      </w:r>
    </w:p>
    <w:p w14:paraId="30112DFB" w14:textId="54C8821B" w:rsidR="00A54C2B" w:rsidRPr="0001073F" w:rsidRDefault="00A54C2B" w:rsidP="00A54C2B">
      <w:r>
        <w:t>Источник</w:t>
      </w:r>
      <w:r w:rsidRPr="00CA1143">
        <w:rPr>
          <w:lang w:val="en-US"/>
        </w:rPr>
        <w:t xml:space="preserve">: </w:t>
      </w:r>
      <w:r>
        <w:rPr>
          <w:lang w:val="en-US"/>
        </w:rPr>
        <w:t>Oken</w:t>
      </w:r>
      <w:r w:rsidRPr="00CA1143">
        <w:rPr>
          <w:lang w:val="en-US"/>
        </w:rPr>
        <w:t xml:space="preserve"> </w:t>
      </w:r>
      <w:r>
        <w:rPr>
          <w:lang w:val="en-US"/>
        </w:rPr>
        <w:t>M</w:t>
      </w:r>
      <w:r w:rsidRPr="00CA1143">
        <w:rPr>
          <w:lang w:val="en-US"/>
        </w:rPr>
        <w:t>.</w:t>
      </w:r>
      <w:r>
        <w:rPr>
          <w:lang w:val="en-US"/>
        </w:rPr>
        <w:t>M</w:t>
      </w:r>
      <w:r w:rsidRPr="00CA1143">
        <w:rPr>
          <w:lang w:val="en-US"/>
        </w:rPr>
        <w:t xml:space="preserve">. </w:t>
      </w:r>
      <w:r>
        <w:rPr>
          <w:lang w:val="en-US"/>
        </w:rPr>
        <w:t>et</w:t>
      </w:r>
      <w:r w:rsidRPr="00CA1143">
        <w:rPr>
          <w:lang w:val="en-US"/>
        </w:rPr>
        <w:t xml:space="preserve"> </w:t>
      </w:r>
      <w:r>
        <w:rPr>
          <w:lang w:val="en-US"/>
        </w:rPr>
        <w:t>al</w:t>
      </w:r>
      <w:r w:rsidRPr="00CA1143">
        <w:rPr>
          <w:lang w:val="en-US"/>
        </w:rPr>
        <w:t xml:space="preserve">. </w:t>
      </w:r>
      <w:r>
        <w:rPr>
          <w:lang w:val="en-US"/>
        </w:rPr>
        <w:t>Toxicity</w:t>
      </w:r>
      <w:r w:rsidRPr="00703062">
        <w:rPr>
          <w:lang w:val="en-US"/>
        </w:rPr>
        <w:t xml:space="preserve"> </w:t>
      </w:r>
      <w:r>
        <w:rPr>
          <w:lang w:val="en-US"/>
        </w:rPr>
        <w:t>and</w:t>
      </w:r>
      <w:r w:rsidRPr="00703062">
        <w:rPr>
          <w:lang w:val="en-US"/>
        </w:rPr>
        <w:t xml:space="preserve"> </w:t>
      </w:r>
      <w:r>
        <w:rPr>
          <w:lang w:val="en-US"/>
        </w:rPr>
        <w:t>response</w:t>
      </w:r>
      <w:r w:rsidRPr="00703062">
        <w:rPr>
          <w:lang w:val="en-US"/>
        </w:rPr>
        <w:t xml:space="preserve"> </w:t>
      </w:r>
      <w:r>
        <w:rPr>
          <w:lang w:val="en-US"/>
        </w:rPr>
        <w:t>criteria</w:t>
      </w:r>
      <w:r w:rsidRPr="00703062">
        <w:rPr>
          <w:lang w:val="en-US"/>
        </w:rPr>
        <w:t xml:space="preserve"> </w:t>
      </w:r>
      <w:r>
        <w:rPr>
          <w:lang w:val="en-US"/>
        </w:rPr>
        <w:t>of</w:t>
      </w:r>
      <w:r w:rsidRPr="00703062">
        <w:rPr>
          <w:lang w:val="en-US"/>
        </w:rPr>
        <w:t xml:space="preserve"> </w:t>
      </w:r>
      <w:r>
        <w:rPr>
          <w:lang w:val="en-US"/>
        </w:rPr>
        <w:t>the</w:t>
      </w:r>
      <w:r w:rsidRPr="00703062">
        <w:rPr>
          <w:lang w:val="en-US"/>
        </w:rPr>
        <w:t xml:space="preserve"> </w:t>
      </w:r>
      <w:r>
        <w:rPr>
          <w:lang w:val="en-US"/>
        </w:rPr>
        <w:t>Eastern Cooperative Oncology Group</w:t>
      </w:r>
      <w:r w:rsidRPr="00703062">
        <w:rPr>
          <w:lang w:val="en-US"/>
        </w:rPr>
        <w:t>.</w:t>
      </w:r>
      <w:r>
        <w:rPr>
          <w:lang w:val="en-US"/>
        </w:rPr>
        <w:t xml:space="preserve"> Am</w:t>
      </w:r>
      <w:r w:rsidRPr="00DD4FFF">
        <w:t xml:space="preserve">. </w:t>
      </w:r>
      <w:r>
        <w:rPr>
          <w:lang w:val="en-US"/>
        </w:rPr>
        <w:t>J</w:t>
      </w:r>
      <w:r w:rsidRPr="00DD4FFF">
        <w:t xml:space="preserve">. </w:t>
      </w:r>
      <w:r>
        <w:rPr>
          <w:lang w:val="en-US"/>
        </w:rPr>
        <w:t>Clin</w:t>
      </w:r>
      <w:r w:rsidRPr="00DD4FFF">
        <w:t xml:space="preserve">. </w:t>
      </w:r>
      <w:r>
        <w:rPr>
          <w:lang w:val="en-US"/>
        </w:rPr>
        <w:t>Oncol</w:t>
      </w:r>
      <w:r w:rsidRPr="00230B80">
        <w:t xml:space="preserve">. </w:t>
      </w:r>
      <w:r w:rsidRPr="0001073F">
        <w:t xml:space="preserve">1982;5(6):649–65 </w:t>
      </w:r>
      <w:r>
        <w:fldChar w:fldCharType="begin" w:fldLock="1"/>
      </w:r>
      <w:r w:rsidR="00146A73">
        <w:rPr>
          <w:lang w:val="en-US"/>
        </w:rPr>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[145]","plainTextFormattedCitation":"[145]","previouslyFormattedCitation":"[145]"},"properties":{"noteIndex":0},"schema":"https://github.com/citation-style-language/schema/raw/master/csl-citation.json"}</w:instrText>
      </w:r>
      <w:r>
        <w:fldChar w:fldCharType="separate"/>
      </w:r>
      <w:r w:rsidR="00B436BD" w:rsidRPr="00B436BD">
        <w:rPr>
          <w:noProof/>
        </w:rPr>
        <w:t>[145]</w:t>
      </w:r>
      <w:r>
        <w:fldChar w:fldCharType="end"/>
      </w:r>
    </w:p>
    <w:p w14:paraId="30112DFC" w14:textId="77777777" w:rsidR="00A54C2B" w:rsidRDefault="00A54C2B" w:rsidP="00A54C2B">
      <w:r>
        <w:t>Тип: шкала оценки</w:t>
      </w:r>
    </w:p>
    <w:p w14:paraId="30112DFD" w14:textId="77777777" w:rsidR="00A54C2B" w:rsidRPr="003E0B03" w:rsidRDefault="00A54C2B" w:rsidP="00A54C2B">
      <w:r>
        <w:t xml:space="preserve">Назначение: клиническая оценка общего состояния пациента </w:t>
      </w:r>
    </w:p>
    <w:p w14:paraId="30112DFE" w14:textId="77777777" w:rsidR="00A54C2B" w:rsidRPr="00B468B9" w:rsidRDefault="00A54C2B" w:rsidP="00A54C2B">
      <w:pPr>
        <w:rPr>
          <w:bCs/>
        </w:rPr>
      </w:pPr>
      <w:r>
        <w:rPr>
          <w:bCs/>
        </w:rPr>
        <w:t>Содержание и интерпретация</w:t>
      </w:r>
      <w:r w:rsidRPr="00B468B9">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39"/>
        <w:gridCol w:w="6940"/>
      </w:tblGrid>
      <w:tr w:rsidR="00A54C2B" w14:paraId="30112E01" w14:textId="77777777" w:rsidTr="004F0134">
        <w:tc>
          <w:tcPr>
            <w:tcW w:w="1950" w:type="dxa"/>
            <w:tcBorders>
              <w:top w:val="single" w:sz="4" w:space="0" w:color="auto"/>
              <w:left w:val="single" w:sz="4" w:space="0" w:color="auto"/>
              <w:bottom w:val="single" w:sz="4" w:space="0" w:color="auto"/>
              <w:right w:val="single" w:sz="4" w:space="0" w:color="auto"/>
            </w:tcBorders>
          </w:tcPr>
          <w:p w14:paraId="30112DFF" w14:textId="77777777" w:rsidR="00A54C2B" w:rsidRDefault="00A54C2B" w:rsidP="004F0134">
            <w:pPr>
              <w:pStyle w:val="afd"/>
              <w:ind w:firstLine="0"/>
              <w:rPr>
                <w:rStyle w:val="affb"/>
                <w:b w:val="0"/>
              </w:rPr>
            </w:pPr>
            <w:r>
              <w:rPr>
                <w:rStyle w:val="affb"/>
                <w:b w:val="0"/>
              </w:rPr>
              <w:t>С</w:t>
            </w:r>
            <w:r>
              <w:rPr>
                <w:rStyle w:val="affb"/>
              </w:rPr>
              <w:t>татус (баллы)</w:t>
            </w:r>
          </w:p>
        </w:tc>
        <w:tc>
          <w:tcPr>
            <w:tcW w:w="7615" w:type="dxa"/>
            <w:tcBorders>
              <w:top w:val="single" w:sz="4" w:space="0" w:color="auto"/>
              <w:left w:val="single" w:sz="4" w:space="0" w:color="auto"/>
              <w:bottom w:val="single" w:sz="4" w:space="0" w:color="auto"/>
              <w:right w:val="single" w:sz="4" w:space="0" w:color="auto"/>
            </w:tcBorders>
          </w:tcPr>
          <w:p w14:paraId="30112E00" w14:textId="77777777" w:rsidR="00A54C2B" w:rsidRDefault="00A54C2B" w:rsidP="004F0134">
            <w:pPr>
              <w:pStyle w:val="afd"/>
              <w:ind w:firstLine="36"/>
              <w:jc w:val="center"/>
              <w:rPr>
                <w:rStyle w:val="affb"/>
                <w:b w:val="0"/>
              </w:rPr>
            </w:pPr>
            <w:r>
              <w:rPr>
                <w:rStyle w:val="affb"/>
                <w:b w:val="0"/>
              </w:rPr>
              <w:t>О</w:t>
            </w:r>
            <w:r>
              <w:rPr>
                <w:rStyle w:val="affb"/>
              </w:rPr>
              <w:t>писание общего состояния пациента</w:t>
            </w:r>
          </w:p>
        </w:tc>
      </w:tr>
      <w:tr w:rsidR="00A54C2B" w14:paraId="30112E04" w14:textId="77777777" w:rsidTr="004F0134">
        <w:tc>
          <w:tcPr>
            <w:tcW w:w="1950" w:type="dxa"/>
            <w:tcBorders>
              <w:top w:val="single" w:sz="4" w:space="0" w:color="auto"/>
              <w:left w:val="single" w:sz="4" w:space="0" w:color="auto"/>
              <w:bottom w:val="single" w:sz="4" w:space="0" w:color="auto"/>
              <w:right w:val="single" w:sz="4" w:space="0" w:color="auto"/>
            </w:tcBorders>
          </w:tcPr>
          <w:p w14:paraId="30112E02" w14:textId="77777777" w:rsidR="00A54C2B" w:rsidRDefault="00A54C2B" w:rsidP="004F0134">
            <w:pPr>
              <w:pStyle w:val="afd"/>
              <w:rPr>
                <w:rStyle w:val="affb"/>
                <w:b w:val="0"/>
                <w:lang w:val="en-US"/>
              </w:rPr>
            </w:pPr>
            <w:r>
              <w:rPr>
                <w:rStyle w:val="affb"/>
                <w:b w:val="0"/>
                <w:lang w:val="en-US"/>
              </w:rPr>
              <w:t>0</w:t>
            </w:r>
          </w:p>
        </w:tc>
        <w:tc>
          <w:tcPr>
            <w:tcW w:w="7615" w:type="dxa"/>
            <w:tcBorders>
              <w:top w:val="single" w:sz="4" w:space="0" w:color="auto"/>
              <w:left w:val="single" w:sz="4" w:space="0" w:color="auto"/>
              <w:bottom w:val="single" w:sz="4" w:space="0" w:color="auto"/>
              <w:right w:val="single" w:sz="4" w:space="0" w:color="auto"/>
            </w:tcBorders>
          </w:tcPr>
          <w:p w14:paraId="30112E03" w14:textId="77777777" w:rsidR="00A54C2B" w:rsidRDefault="00A54C2B" w:rsidP="004F0134">
            <w:pPr>
              <w:pStyle w:val="afd"/>
              <w:ind w:firstLine="0"/>
              <w:jc w:val="left"/>
              <w:rPr>
                <w:rStyle w:val="affb"/>
                <w:b w:val="0"/>
              </w:rPr>
            </w:pPr>
            <w:r>
              <w:rPr>
                <w:rStyle w:val="affb"/>
                <w:b w:val="0"/>
              </w:rPr>
              <w:t>Пациент полностью активен, способен выполнять все, как и до заболевания.</w:t>
            </w:r>
          </w:p>
        </w:tc>
      </w:tr>
      <w:tr w:rsidR="00A54C2B" w14:paraId="30112E07" w14:textId="77777777" w:rsidTr="004F0134">
        <w:tc>
          <w:tcPr>
            <w:tcW w:w="1950" w:type="dxa"/>
            <w:tcBorders>
              <w:top w:val="single" w:sz="4" w:space="0" w:color="auto"/>
              <w:left w:val="single" w:sz="4" w:space="0" w:color="auto"/>
              <w:bottom w:val="single" w:sz="4" w:space="0" w:color="auto"/>
              <w:right w:val="single" w:sz="4" w:space="0" w:color="auto"/>
            </w:tcBorders>
          </w:tcPr>
          <w:p w14:paraId="30112E05" w14:textId="77777777" w:rsidR="00A54C2B" w:rsidRDefault="00A54C2B" w:rsidP="004F0134">
            <w:pPr>
              <w:pStyle w:val="afd"/>
              <w:rPr>
                <w:rStyle w:val="affb"/>
                <w:b w:val="0"/>
              </w:rPr>
            </w:pPr>
            <w:r>
              <w:rPr>
                <w:rStyle w:val="affb"/>
                <w:b w:val="0"/>
              </w:rPr>
              <w:t>1</w:t>
            </w:r>
          </w:p>
        </w:tc>
        <w:tc>
          <w:tcPr>
            <w:tcW w:w="7615" w:type="dxa"/>
            <w:tcBorders>
              <w:top w:val="single" w:sz="4" w:space="0" w:color="auto"/>
              <w:left w:val="single" w:sz="4" w:space="0" w:color="auto"/>
              <w:bottom w:val="single" w:sz="4" w:space="0" w:color="auto"/>
              <w:right w:val="single" w:sz="4" w:space="0" w:color="auto"/>
            </w:tcBorders>
          </w:tcPr>
          <w:p w14:paraId="30112E06" w14:textId="77777777" w:rsidR="00A54C2B" w:rsidRDefault="00A54C2B" w:rsidP="004F0134">
            <w:pPr>
              <w:pStyle w:val="afd"/>
              <w:ind w:firstLine="0"/>
              <w:jc w:val="left"/>
              <w:rPr>
                <w:rStyle w:val="affb"/>
                <w:b w:val="0"/>
              </w:rPr>
            </w:pPr>
            <w:r>
              <w:rPr>
                <w:rStyle w:val="affb"/>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A54C2B" w14:paraId="30112E0A" w14:textId="77777777" w:rsidTr="004F0134">
        <w:tc>
          <w:tcPr>
            <w:tcW w:w="1950" w:type="dxa"/>
            <w:tcBorders>
              <w:top w:val="single" w:sz="4" w:space="0" w:color="auto"/>
              <w:left w:val="single" w:sz="4" w:space="0" w:color="auto"/>
              <w:bottom w:val="single" w:sz="4" w:space="0" w:color="auto"/>
              <w:right w:val="single" w:sz="4" w:space="0" w:color="auto"/>
            </w:tcBorders>
          </w:tcPr>
          <w:p w14:paraId="30112E08" w14:textId="77777777" w:rsidR="00A54C2B" w:rsidRDefault="00A54C2B" w:rsidP="004F0134">
            <w:pPr>
              <w:pStyle w:val="afd"/>
              <w:rPr>
                <w:rStyle w:val="affb"/>
                <w:b w:val="0"/>
              </w:rPr>
            </w:pPr>
            <w:r>
              <w:rPr>
                <w:rStyle w:val="affb"/>
                <w:b w:val="0"/>
              </w:rPr>
              <w:t>2</w:t>
            </w:r>
          </w:p>
        </w:tc>
        <w:tc>
          <w:tcPr>
            <w:tcW w:w="7615" w:type="dxa"/>
            <w:tcBorders>
              <w:top w:val="single" w:sz="4" w:space="0" w:color="auto"/>
              <w:left w:val="single" w:sz="4" w:space="0" w:color="auto"/>
              <w:bottom w:val="single" w:sz="4" w:space="0" w:color="auto"/>
              <w:right w:val="single" w:sz="4" w:space="0" w:color="auto"/>
            </w:tcBorders>
          </w:tcPr>
          <w:p w14:paraId="30112E09" w14:textId="77777777" w:rsidR="00A54C2B" w:rsidRDefault="00A54C2B" w:rsidP="004F0134">
            <w:pPr>
              <w:pStyle w:val="afd"/>
              <w:ind w:firstLine="0"/>
              <w:jc w:val="left"/>
              <w:rPr>
                <w:rStyle w:val="affb"/>
                <w:b w:val="0"/>
              </w:rPr>
            </w:pPr>
            <w:r>
              <w:rPr>
                <w:rStyle w:val="affb"/>
                <w:b w:val="0"/>
              </w:rPr>
              <w:t>Пациент лечится амбулаторно, способен к самообслуживанию, но не может выполнять работу. Более 50 % времени проводит активно – в вертикальном положении.</w:t>
            </w:r>
          </w:p>
        </w:tc>
      </w:tr>
      <w:tr w:rsidR="00A54C2B" w14:paraId="30112E0D" w14:textId="77777777" w:rsidTr="004F0134">
        <w:tc>
          <w:tcPr>
            <w:tcW w:w="1950" w:type="dxa"/>
            <w:tcBorders>
              <w:top w:val="single" w:sz="4" w:space="0" w:color="auto"/>
              <w:left w:val="single" w:sz="4" w:space="0" w:color="auto"/>
              <w:bottom w:val="single" w:sz="4" w:space="0" w:color="auto"/>
              <w:right w:val="single" w:sz="4" w:space="0" w:color="auto"/>
            </w:tcBorders>
          </w:tcPr>
          <w:p w14:paraId="30112E0B" w14:textId="77777777" w:rsidR="00A54C2B" w:rsidRDefault="00A54C2B" w:rsidP="004F0134">
            <w:pPr>
              <w:pStyle w:val="afd"/>
              <w:rPr>
                <w:rStyle w:val="affb"/>
                <w:b w:val="0"/>
              </w:rPr>
            </w:pPr>
            <w:r>
              <w:rPr>
                <w:rStyle w:val="affb"/>
                <w:b w:val="0"/>
              </w:rPr>
              <w:t>3</w:t>
            </w:r>
          </w:p>
        </w:tc>
        <w:tc>
          <w:tcPr>
            <w:tcW w:w="7615" w:type="dxa"/>
            <w:tcBorders>
              <w:top w:val="single" w:sz="4" w:space="0" w:color="auto"/>
              <w:left w:val="single" w:sz="4" w:space="0" w:color="auto"/>
              <w:bottom w:val="single" w:sz="4" w:space="0" w:color="auto"/>
              <w:right w:val="single" w:sz="4" w:space="0" w:color="auto"/>
            </w:tcBorders>
          </w:tcPr>
          <w:p w14:paraId="30112E0C" w14:textId="77777777" w:rsidR="00A54C2B" w:rsidRDefault="00A54C2B" w:rsidP="004F0134">
            <w:pPr>
              <w:pStyle w:val="afd"/>
              <w:ind w:firstLine="0"/>
              <w:jc w:val="left"/>
              <w:rPr>
                <w:rStyle w:val="affb"/>
                <w:b w:val="0"/>
              </w:rPr>
            </w:pPr>
            <w:r w:rsidRPr="003B113D">
              <w:rPr>
                <w:rStyle w:val="affb"/>
                <w:b w:val="0"/>
              </w:rPr>
              <w:t>Пациент</w:t>
            </w:r>
            <w:r>
              <w:rPr>
                <w:rStyle w:val="affb"/>
                <w:b w:val="0"/>
              </w:rPr>
              <w:t xml:space="preserve"> способен лишь к ограниченному самообслуживанию, проводит в кресле или постели более 50 % времени бодрствования.</w:t>
            </w:r>
          </w:p>
        </w:tc>
      </w:tr>
      <w:tr w:rsidR="00A54C2B" w14:paraId="30112E10" w14:textId="77777777" w:rsidTr="004F0134">
        <w:tc>
          <w:tcPr>
            <w:tcW w:w="1950" w:type="dxa"/>
            <w:tcBorders>
              <w:top w:val="single" w:sz="4" w:space="0" w:color="auto"/>
              <w:left w:val="single" w:sz="4" w:space="0" w:color="auto"/>
              <w:bottom w:val="single" w:sz="4" w:space="0" w:color="auto"/>
              <w:right w:val="single" w:sz="4" w:space="0" w:color="auto"/>
            </w:tcBorders>
          </w:tcPr>
          <w:p w14:paraId="30112E0E" w14:textId="77777777" w:rsidR="00A54C2B" w:rsidRDefault="00A54C2B" w:rsidP="004F0134">
            <w:pPr>
              <w:pStyle w:val="afd"/>
              <w:rPr>
                <w:rStyle w:val="affb"/>
                <w:b w:val="0"/>
              </w:rPr>
            </w:pPr>
            <w:r>
              <w:rPr>
                <w:rStyle w:val="affb"/>
                <w:b w:val="0"/>
              </w:rPr>
              <w:t>4</w:t>
            </w:r>
          </w:p>
        </w:tc>
        <w:tc>
          <w:tcPr>
            <w:tcW w:w="7615" w:type="dxa"/>
            <w:tcBorders>
              <w:top w:val="single" w:sz="4" w:space="0" w:color="auto"/>
              <w:left w:val="single" w:sz="4" w:space="0" w:color="auto"/>
              <w:bottom w:val="single" w:sz="4" w:space="0" w:color="auto"/>
              <w:right w:val="single" w:sz="4" w:space="0" w:color="auto"/>
            </w:tcBorders>
          </w:tcPr>
          <w:p w14:paraId="30112E0F" w14:textId="77777777" w:rsidR="00A54C2B" w:rsidRDefault="00A54C2B" w:rsidP="004F0134">
            <w:pPr>
              <w:pStyle w:val="afd"/>
              <w:ind w:firstLine="0"/>
              <w:jc w:val="left"/>
              <w:rPr>
                <w:rStyle w:val="affb"/>
                <w:b w:val="0"/>
              </w:rPr>
            </w:pPr>
            <w:r>
              <w:rPr>
                <w:rStyle w:val="affb"/>
                <w:b w:val="0"/>
              </w:rPr>
              <w:t>Инвалид, совершенно не способен к самообслуживанию, прикован к креслу или постели.</w:t>
            </w:r>
          </w:p>
        </w:tc>
      </w:tr>
      <w:tr w:rsidR="00A54C2B" w14:paraId="30112E13" w14:textId="77777777" w:rsidTr="004F0134">
        <w:tc>
          <w:tcPr>
            <w:tcW w:w="1950" w:type="dxa"/>
            <w:tcBorders>
              <w:top w:val="single" w:sz="4" w:space="0" w:color="auto"/>
              <w:left w:val="single" w:sz="4" w:space="0" w:color="auto"/>
              <w:bottom w:val="single" w:sz="4" w:space="0" w:color="auto"/>
              <w:right w:val="single" w:sz="4" w:space="0" w:color="auto"/>
            </w:tcBorders>
          </w:tcPr>
          <w:p w14:paraId="30112E11" w14:textId="77777777" w:rsidR="00A54C2B" w:rsidRDefault="00A54C2B" w:rsidP="004F0134">
            <w:pPr>
              <w:pStyle w:val="afd"/>
              <w:rPr>
                <w:rStyle w:val="affb"/>
                <w:b w:val="0"/>
              </w:rPr>
            </w:pPr>
            <w:r>
              <w:rPr>
                <w:rStyle w:val="affb"/>
                <w:b w:val="0"/>
              </w:rPr>
              <w:t>5</w:t>
            </w:r>
          </w:p>
        </w:tc>
        <w:tc>
          <w:tcPr>
            <w:tcW w:w="7615" w:type="dxa"/>
            <w:tcBorders>
              <w:top w:val="single" w:sz="4" w:space="0" w:color="auto"/>
              <w:left w:val="single" w:sz="4" w:space="0" w:color="auto"/>
              <w:bottom w:val="single" w:sz="4" w:space="0" w:color="auto"/>
              <w:right w:val="single" w:sz="4" w:space="0" w:color="auto"/>
            </w:tcBorders>
          </w:tcPr>
          <w:p w14:paraId="30112E12" w14:textId="77777777" w:rsidR="00A54C2B" w:rsidRDefault="00A54C2B" w:rsidP="004F0134">
            <w:pPr>
              <w:pStyle w:val="afd"/>
              <w:ind w:firstLine="0"/>
              <w:jc w:val="left"/>
              <w:rPr>
                <w:rStyle w:val="affb"/>
                <w:b w:val="0"/>
              </w:rPr>
            </w:pPr>
            <w:r>
              <w:rPr>
                <w:rStyle w:val="affb"/>
                <w:b w:val="0"/>
              </w:rPr>
              <w:t>Смерть пациента</w:t>
            </w:r>
          </w:p>
        </w:tc>
      </w:tr>
      <w:bookmarkEnd w:id="149"/>
    </w:tbl>
    <w:p w14:paraId="30112E14" w14:textId="77777777" w:rsidR="00AE3406" w:rsidRDefault="00AE3406" w:rsidP="00427B0E">
      <w:pPr>
        <w:pStyle w:val="afffb"/>
        <w:ind w:firstLine="0"/>
      </w:pPr>
    </w:p>
    <w:p w14:paraId="30112E15" w14:textId="77777777" w:rsidR="00F82D52" w:rsidRPr="0033051F" w:rsidRDefault="00F82D52" w:rsidP="00F82D52">
      <w:pPr>
        <w:pStyle w:val="2"/>
      </w:pPr>
      <w:bookmarkStart w:id="150" w:name="_Toc65108067"/>
      <w:r w:rsidRPr="0033051F">
        <w:t>Приложение Г</w:t>
      </w:r>
      <w:r w:rsidR="00A478F1" w:rsidRPr="00C31EFD">
        <w:t>2</w:t>
      </w:r>
      <w:r w:rsidRPr="0033051F">
        <w:t xml:space="preserve">. Шкала </w:t>
      </w:r>
      <w:r w:rsidRPr="00F82D52">
        <w:t>Khorana для оценки риска ВТЭО у пациентов, получающих химиотерапию</w:t>
      </w:r>
      <w:bookmarkEnd w:id="150"/>
      <w:r w:rsidRPr="00F82D52">
        <w:t xml:space="preserve">  </w:t>
      </w:r>
    </w:p>
    <w:p w14:paraId="30112E16" w14:textId="77777777" w:rsidR="00F82D52" w:rsidRPr="00703062" w:rsidRDefault="00F82D52" w:rsidP="00F82D52">
      <w:pPr>
        <w:spacing w:before="240"/>
        <w:rPr>
          <w:lang w:val="en-US"/>
        </w:rPr>
      </w:pPr>
      <w:r>
        <w:t>Оригинальное</w:t>
      </w:r>
      <w:r w:rsidRPr="00703062">
        <w:rPr>
          <w:lang w:val="en-US"/>
        </w:rPr>
        <w:t xml:space="preserve"> </w:t>
      </w:r>
      <w:r>
        <w:t>название</w:t>
      </w:r>
      <w:r w:rsidRPr="00703062">
        <w:rPr>
          <w:lang w:val="en-US"/>
        </w:rPr>
        <w:t xml:space="preserve">: </w:t>
      </w:r>
    </w:p>
    <w:p w14:paraId="30112E17" w14:textId="5F4A9E59" w:rsidR="00F82D52" w:rsidRPr="00D75819" w:rsidRDefault="00F82D52" w:rsidP="00F82D52">
      <w:r>
        <w:t>Источник</w:t>
      </w:r>
      <w:r w:rsidRPr="00CA1143">
        <w:rPr>
          <w:lang w:val="en-US"/>
        </w:rPr>
        <w:t xml:space="preserve">: </w:t>
      </w:r>
      <w:r w:rsidRPr="00154AEE">
        <w:rPr>
          <w:rFonts w:eastAsia="ArialNarrow" w:cs="Times New Roman"/>
          <w:szCs w:val="24"/>
          <w:highlight w:val="white"/>
          <w:lang w:val="en-US"/>
        </w:rPr>
        <w:t xml:space="preserve">Development and Validation of a predictive model for chemotherapyassociated thrombosis. </w:t>
      </w:r>
      <w:r w:rsidRPr="000F6464">
        <w:rPr>
          <w:rFonts w:eastAsia="ArialNarrow" w:cs="Times New Roman"/>
          <w:szCs w:val="24"/>
          <w:highlight w:val="white"/>
          <w:lang w:val="en-US"/>
        </w:rPr>
        <w:t>Blood</w:t>
      </w:r>
      <w:r w:rsidRPr="00F82D52">
        <w:rPr>
          <w:rFonts w:eastAsia="ArialNarrow" w:cs="Times New Roman"/>
          <w:szCs w:val="24"/>
          <w:highlight w:val="white"/>
        </w:rPr>
        <w:t>. 2008;111(10):4902-4907</w:t>
      </w:r>
      <w:r w:rsidRPr="00D75819">
        <w:t xml:space="preserve"> </w:t>
      </w:r>
      <w:r>
        <w:fldChar w:fldCharType="begin" w:fldLock="1"/>
      </w:r>
      <w:r w:rsidR="00146A73">
        <w:rPr>
          <w:lang w:val="en-US"/>
        </w:rPr>
        <w:instrText>ADDIN CSL_CITATION {"citationItems":[{"id":"ITEM-1","itemData":{"DOI":"10.1182/blood-2007-10-116327","ISSN":"00064971","abstract":"Risk of venous thromboembolism (VTE) is elevated in cancer, but individual risk factors cannot identify a sufficiently high- risk group of outpatients for thromboprophylaxis. We developed a simple model for predicting chemotherapy-associated VTE using baseline clinical and laboratory variables. The association of VTE with multiple variables was characterized in a derivation cohort of 2701 cancer outpatients from a prospective observational study. A risk model was derived and validated in an independent cohort of 1365 patients from the same study. Five predictive variables were identified in a multivariate model: site of cancer (2 points for very high-risk site, 1 point for high- risk site), platelet count of 350 x 109/L or more, hemoglobin less than 100 g/L (10g/dL) and/or use of erythropoiesis- stimulating agents, leukocyte count more than 11 x 109/L, and body mass index of 35 kg/m 2 or more (1 point each). Rates of VTE in the derivation and validation cohorts, respectively, were 0.8% and 0.3% in low-risk (score = 0), 1.8% and 2% in intermediate-risk (score = 1-2), and 7.1% and 6.7% in high-risk (score =: 3) category over a median of 2.5 months (C- statistic = 0.7 for both cohorts). This model can identify patients with a nearly 7% short-term risk of symptomatic VTE and may be used to select cancer outpatients for studies of thromboprophylaxis.","author":[{"dropping-particle":"","family":"Khorana","given":"Aloka","non-dropping-particle":"","parse-names":false,"suffix":""},{"dropping-particle":"","family":"Kuderer","given":"Nicole M.","non-dropping-particle":"","parse-names":false,"suffix":""},{"dropping-particle":"","family":"Culakova","given":"Eva","non-dropping-particle":"","parse-names":false,"suffix":""},{"dropping-particle":"","family":"Lyman","given":"Gary H.","non-dropping-particle":"","parse-names":false,"suffix":""},{"dropping-particle":"","family":"Francis","given":"Charles W.","non-dropping-particle":"","parse-names":false,"suffix":""}],"container-title":"Blood","id":"ITEM-1","issue":"10","issued":{"date-parts":[["2008","5","15"]]},"page":"4902-4907","title":"Development and validation of a predictive model for chemotherapy- associated thrombosis","type":"article-journal","volume":"111"},"uris":["http://www.mendeley.com/documents/?uuid=4c4dbd48-436b-35e3-9a94-775de2fff380"]}],"mendeley":{"formattedCitation":"[146]","plainTextFormattedCitation":"[146]","previouslyFormattedCitation":"[146]"},"properties":{"noteIndex":0},"schema":"https://github.com/citation-style-language/schema/raw/master/csl-citation.json"}</w:instrText>
      </w:r>
      <w:r>
        <w:fldChar w:fldCharType="separate"/>
      </w:r>
      <w:r w:rsidR="00B436BD" w:rsidRPr="00B436BD">
        <w:rPr>
          <w:noProof/>
        </w:rPr>
        <w:t>[146]</w:t>
      </w:r>
      <w:r>
        <w:fldChar w:fldCharType="end"/>
      </w:r>
    </w:p>
    <w:p w14:paraId="30112E18" w14:textId="77777777" w:rsidR="00F82D52" w:rsidRDefault="00F82D52" w:rsidP="00F82D52">
      <w:r>
        <w:t>Тип: шкала оценки</w:t>
      </w:r>
    </w:p>
    <w:p w14:paraId="30112E19" w14:textId="77777777" w:rsidR="00F82D52" w:rsidRPr="003E0B03" w:rsidRDefault="00F82D52" w:rsidP="00F82D52">
      <w:r>
        <w:t xml:space="preserve">Назначение: клиническая оценка общего состояния пациента </w:t>
      </w:r>
    </w:p>
    <w:p w14:paraId="30112E1A" w14:textId="77777777" w:rsidR="00F82D52" w:rsidRPr="00B468B9" w:rsidRDefault="00F82D52" w:rsidP="00F82D52">
      <w:pPr>
        <w:rPr>
          <w:bCs/>
        </w:rPr>
      </w:pPr>
      <w:r>
        <w:rPr>
          <w:bCs/>
        </w:rPr>
        <w:t>Содержание и интерпретация</w:t>
      </w:r>
      <w:r w:rsidRPr="00B468B9">
        <w:rPr>
          <w:bCs/>
        </w:rPr>
        <w:t>:</w:t>
      </w:r>
    </w:p>
    <w:tbl>
      <w:tblPr>
        <w:tblW w:w="9640" w:type="dxa"/>
        <w:tblInd w:w="-80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0" w:type="dxa"/>
          <w:bottom w:w="55" w:type="dxa"/>
          <w:right w:w="55" w:type="dxa"/>
        </w:tblCellMar>
        <w:tblLook w:val="0000" w:firstRow="0" w:lastRow="0" w:firstColumn="0" w:lastColumn="0" w:noHBand="0" w:noVBand="0"/>
      </w:tblPr>
      <w:tblGrid>
        <w:gridCol w:w="5954"/>
        <w:gridCol w:w="3686"/>
      </w:tblGrid>
      <w:tr w:rsidR="00F82D52" w:rsidRPr="00154AEE" w14:paraId="30112E1D"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1B" w14:textId="77777777" w:rsidR="00F82D52" w:rsidRPr="00154AEE" w:rsidRDefault="00F82D52" w:rsidP="00F82D52">
            <w:pPr>
              <w:ind w:firstLine="0"/>
              <w:rPr>
                <w:rFonts w:cs="Times New Roman"/>
                <w:b/>
                <w:szCs w:val="24"/>
              </w:rPr>
            </w:pPr>
            <w:r w:rsidRPr="00154AEE">
              <w:rPr>
                <w:rFonts w:cs="Times New Roman"/>
                <w:b/>
                <w:szCs w:val="24"/>
              </w:rPr>
              <w:t>ФАКТОРЫ РИСКА БАЛЛЫ</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1C" w14:textId="77777777" w:rsidR="00F82D52" w:rsidRPr="00154AEE" w:rsidRDefault="00F82D52" w:rsidP="00F82D52">
            <w:pPr>
              <w:ind w:firstLine="0"/>
              <w:rPr>
                <w:rFonts w:cs="Times New Roman"/>
                <w:b/>
                <w:szCs w:val="24"/>
              </w:rPr>
            </w:pPr>
            <w:r w:rsidRPr="00154AEE">
              <w:rPr>
                <w:rFonts w:cs="Times New Roman"/>
                <w:b/>
                <w:szCs w:val="24"/>
              </w:rPr>
              <w:t>ФАКТОРЫ РИСКА БАЛЛЫ</w:t>
            </w:r>
          </w:p>
        </w:tc>
      </w:tr>
      <w:tr w:rsidR="00F82D52" w:rsidRPr="00154AEE" w14:paraId="30112E24"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1E" w14:textId="77777777" w:rsidR="00F82D52" w:rsidRDefault="00F82D52" w:rsidP="00F82D52">
            <w:pPr>
              <w:ind w:firstLine="0"/>
              <w:rPr>
                <w:rFonts w:cs="Times New Roman"/>
                <w:szCs w:val="24"/>
              </w:rPr>
            </w:pPr>
            <w:r w:rsidRPr="00154AEE">
              <w:rPr>
                <w:rFonts w:cs="Times New Roman"/>
                <w:szCs w:val="24"/>
              </w:rPr>
              <w:t>Локализация опухоли</w:t>
            </w:r>
          </w:p>
          <w:p w14:paraId="30112E1F" w14:textId="77777777" w:rsidR="00F82D52" w:rsidRPr="00154AEE" w:rsidRDefault="00F82D52" w:rsidP="00F82D52">
            <w:pPr>
              <w:ind w:firstLine="0"/>
              <w:rPr>
                <w:rFonts w:cs="Times New Roman"/>
                <w:szCs w:val="24"/>
              </w:rPr>
            </w:pPr>
            <w:r w:rsidRPr="00154AEE">
              <w:rPr>
                <w:rFonts w:cs="Times New Roman"/>
                <w:szCs w:val="24"/>
              </w:rPr>
              <w:t>Очень высокий риск (желудок,</w:t>
            </w:r>
            <w:r>
              <w:rPr>
                <w:rFonts w:cs="Times New Roman"/>
                <w:szCs w:val="24"/>
              </w:rPr>
              <w:t xml:space="preserve"> </w:t>
            </w:r>
            <w:r w:rsidRPr="00154AEE">
              <w:rPr>
                <w:rFonts w:cs="Times New Roman"/>
                <w:szCs w:val="24"/>
              </w:rPr>
              <w:t>поджелудочная железа)</w:t>
            </w:r>
          </w:p>
          <w:p w14:paraId="30112E20" w14:textId="77777777" w:rsidR="00F82D52" w:rsidRPr="00154AEE" w:rsidRDefault="00F82D52" w:rsidP="00F82D52">
            <w:pPr>
              <w:ind w:firstLine="0"/>
              <w:rPr>
                <w:rFonts w:cs="Times New Roman"/>
                <w:szCs w:val="24"/>
              </w:rPr>
            </w:pPr>
            <w:r w:rsidRPr="00154AEE">
              <w:rPr>
                <w:rFonts w:cs="Times New Roman"/>
                <w:szCs w:val="24"/>
              </w:rPr>
              <w:t>Высокий риск (легкие, лимфома,</w:t>
            </w:r>
            <w:r>
              <w:rPr>
                <w:rFonts w:cs="Times New Roman"/>
                <w:szCs w:val="24"/>
              </w:rPr>
              <w:t xml:space="preserve"> </w:t>
            </w:r>
            <w:r w:rsidRPr="00154AEE">
              <w:rPr>
                <w:rFonts w:cs="Times New Roman"/>
                <w:szCs w:val="24"/>
              </w:rPr>
              <w:t>кровь, яички, яичники, матка)</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21" w14:textId="77777777" w:rsidR="00F82D52" w:rsidRPr="00154AEE" w:rsidRDefault="00F82D52" w:rsidP="00F82D52">
            <w:pPr>
              <w:ind w:firstLine="0"/>
              <w:rPr>
                <w:rFonts w:cs="Times New Roman"/>
                <w:szCs w:val="24"/>
              </w:rPr>
            </w:pPr>
            <w:r w:rsidRPr="00154AEE">
              <w:rPr>
                <w:rFonts w:cs="Times New Roman"/>
                <w:szCs w:val="24"/>
              </w:rPr>
              <w:t>2</w:t>
            </w:r>
          </w:p>
          <w:p w14:paraId="30112E22" w14:textId="77777777" w:rsidR="00F82D52" w:rsidRPr="00154AEE" w:rsidRDefault="00F82D52" w:rsidP="00F82D52">
            <w:pPr>
              <w:ind w:firstLine="0"/>
              <w:rPr>
                <w:rFonts w:cs="Times New Roman"/>
                <w:szCs w:val="24"/>
              </w:rPr>
            </w:pPr>
          </w:p>
          <w:p w14:paraId="30112E23" w14:textId="77777777" w:rsidR="00F82D52" w:rsidRPr="00154AEE" w:rsidRDefault="00F82D52" w:rsidP="00F82D52">
            <w:pPr>
              <w:ind w:firstLine="0"/>
              <w:rPr>
                <w:rFonts w:cs="Times New Roman"/>
                <w:szCs w:val="24"/>
              </w:rPr>
            </w:pPr>
            <w:r w:rsidRPr="00154AEE">
              <w:rPr>
                <w:rFonts w:cs="Times New Roman"/>
                <w:szCs w:val="24"/>
              </w:rPr>
              <w:t>1</w:t>
            </w:r>
          </w:p>
        </w:tc>
      </w:tr>
      <w:tr w:rsidR="00F82D52" w:rsidRPr="00154AEE" w14:paraId="30112E27"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25" w14:textId="77777777" w:rsidR="00F82D52" w:rsidRPr="00154AEE" w:rsidRDefault="00F82D52" w:rsidP="00F82D52">
            <w:pPr>
              <w:ind w:firstLine="0"/>
              <w:rPr>
                <w:rFonts w:cs="Times New Roman"/>
                <w:szCs w:val="24"/>
              </w:rPr>
            </w:pPr>
            <w:r w:rsidRPr="00154AEE">
              <w:rPr>
                <w:rFonts w:cs="Times New Roman"/>
                <w:szCs w:val="24"/>
              </w:rPr>
              <w:t>Количество тромбоцитов в крови</w:t>
            </w:r>
            <w:r>
              <w:rPr>
                <w:rFonts w:cs="Times New Roman"/>
                <w:szCs w:val="24"/>
              </w:rPr>
              <w:t xml:space="preserve"> </w:t>
            </w:r>
            <w:r w:rsidRPr="00154AEE">
              <w:rPr>
                <w:rFonts w:cs="Times New Roman"/>
                <w:szCs w:val="24"/>
              </w:rPr>
              <w:t>перед началом химиотерапии ≥</w:t>
            </w:r>
            <w:r>
              <w:rPr>
                <w:rFonts w:cs="Times New Roman"/>
                <w:szCs w:val="24"/>
              </w:rPr>
              <w:t xml:space="preserve"> </w:t>
            </w:r>
            <w:r w:rsidRPr="00154AEE">
              <w:rPr>
                <w:rFonts w:cs="Times New Roman"/>
                <w:szCs w:val="24"/>
              </w:rPr>
              <w:t>350 000/мл</w:t>
            </w:r>
            <w:r w:rsidRPr="00BD1ED5">
              <w:rPr>
                <w:rFonts w:cs="Times New Roman"/>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26" w14:textId="77777777" w:rsidR="00F82D52" w:rsidRPr="00154AEE" w:rsidRDefault="00F82D52" w:rsidP="00F82D52">
            <w:pPr>
              <w:ind w:firstLine="0"/>
              <w:rPr>
                <w:rFonts w:cs="Times New Roman"/>
                <w:szCs w:val="24"/>
              </w:rPr>
            </w:pPr>
            <w:r w:rsidRPr="00154AEE">
              <w:rPr>
                <w:rFonts w:cs="Times New Roman"/>
                <w:szCs w:val="24"/>
              </w:rPr>
              <w:t>1</w:t>
            </w:r>
          </w:p>
        </w:tc>
      </w:tr>
      <w:tr w:rsidR="00F82D52" w:rsidRPr="00154AEE" w14:paraId="30112E2A"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28" w14:textId="77777777" w:rsidR="00F82D52" w:rsidRPr="00154AEE" w:rsidRDefault="00F82D52" w:rsidP="00F82D52">
            <w:pPr>
              <w:ind w:firstLine="0"/>
              <w:rPr>
                <w:rFonts w:cs="Times New Roman"/>
                <w:szCs w:val="24"/>
              </w:rPr>
            </w:pPr>
            <w:r w:rsidRPr="00154AEE">
              <w:rPr>
                <w:rFonts w:cs="Times New Roman"/>
                <w:szCs w:val="24"/>
              </w:rPr>
              <w:t>Уровень гемоглобина менее 10 г/дл</w:t>
            </w:r>
            <w:r>
              <w:rPr>
                <w:rFonts w:cs="Times New Roman"/>
                <w:szCs w:val="24"/>
              </w:rPr>
              <w:t xml:space="preserve"> </w:t>
            </w:r>
            <w:r w:rsidRPr="00154AEE">
              <w:rPr>
                <w:rFonts w:cs="Times New Roman"/>
                <w:szCs w:val="24"/>
              </w:rPr>
              <w:t>или использование эритропоэтинов</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29" w14:textId="77777777" w:rsidR="00F82D52" w:rsidRPr="00154AEE" w:rsidRDefault="00F82D52" w:rsidP="00F82D52">
            <w:pPr>
              <w:pStyle w:val="affff5"/>
              <w:jc w:val="both"/>
              <w:rPr>
                <w:rFonts w:cs="Times New Roman"/>
                <w:szCs w:val="24"/>
              </w:rPr>
            </w:pPr>
            <w:r w:rsidRPr="00154AEE">
              <w:rPr>
                <w:rFonts w:cs="Times New Roman"/>
                <w:szCs w:val="24"/>
              </w:rPr>
              <w:t>1</w:t>
            </w:r>
          </w:p>
        </w:tc>
      </w:tr>
      <w:tr w:rsidR="00F82D52" w:rsidRPr="00154AEE" w14:paraId="30112E2D"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2B" w14:textId="77777777" w:rsidR="00F82D52" w:rsidRPr="00154AEE" w:rsidRDefault="00F82D52" w:rsidP="00F82D52">
            <w:pPr>
              <w:ind w:firstLine="0"/>
              <w:rPr>
                <w:rFonts w:cs="Times New Roman"/>
                <w:szCs w:val="24"/>
              </w:rPr>
            </w:pPr>
            <w:r w:rsidRPr="00154AEE">
              <w:rPr>
                <w:rFonts w:cs="Times New Roman"/>
                <w:szCs w:val="24"/>
              </w:rPr>
              <w:t>Количество лейкоцитов в крови</w:t>
            </w:r>
            <w:r>
              <w:rPr>
                <w:rFonts w:cs="Times New Roman"/>
                <w:szCs w:val="24"/>
              </w:rPr>
              <w:t xml:space="preserve"> </w:t>
            </w:r>
            <w:r w:rsidRPr="00154AEE">
              <w:rPr>
                <w:rFonts w:cs="Times New Roman"/>
                <w:szCs w:val="24"/>
              </w:rPr>
              <w:t>перед началом химиотерапии &gt;</w:t>
            </w:r>
            <w:r>
              <w:rPr>
                <w:rFonts w:cs="Times New Roman"/>
                <w:szCs w:val="24"/>
              </w:rPr>
              <w:t xml:space="preserve"> </w:t>
            </w:r>
            <w:r w:rsidRPr="00154AEE">
              <w:rPr>
                <w:rFonts w:cs="Times New Roman"/>
                <w:szCs w:val="24"/>
              </w:rPr>
              <w:t>11 000/мл</w:t>
            </w:r>
            <w:r w:rsidRPr="00BD1ED5">
              <w:rPr>
                <w:rFonts w:cs="Times New Roman"/>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2C" w14:textId="77777777" w:rsidR="00F82D52" w:rsidRPr="00154AEE" w:rsidRDefault="00F82D52" w:rsidP="00F82D52">
            <w:pPr>
              <w:pStyle w:val="affff5"/>
              <w:jc w:val="both"/>
              <w:rPr>
                <w:rFonts w:cs="Times New Roman"/>
                <w:szCs w:val="24"/>
              </w:rPr>
            </w:pPr>
            <w:r w:rsidRPr="00154AEE">
              <w:rPr>
                <w:rFonts w:cs="Times New Roman"/>
                <w:szCs w:val="24"/>
              </w:rPr>
              <w:t>1</w:t>
            </w:r>
          </w:p>
        </w:tc>
      </w:tr>
      <w:tr w:rsidR="00F82D52" w:rsidRPr="00154AEE" w14:paraId="30112E30"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2E" w14:textId="77777777" w:rsidR="00F82D52" w:rsidRPr="00154AEE" w:rsidRDefault="00F82D52" w:rsidP="00F82D52">
            <w:pPr>
              <w:ind w:firstLine="0"/>
              <w:rPr>
                <w:rFonts w:cs="Times New Roman"/>
                <w:szCs w:val="24"/>
              </w:rPr>
            </w:pPr>
            <w:r w:rsidRPr="00154AEE">
              <w:rPr>
                <w:rFonts w:cs="Times New Roman"/>
                <w:szCs w:val="24"/>
              </w:rPr>
              <w:t>Ожирение (индекс массы тела выше</w:t>
            </w:r>
            <w:r>
              <w:rPr>
                <w:rFonts w:cs="Times New Roman"/>
                <w:szCs w:val="24"/>
              </w:rPr>
              <w:t xml:space="preserve"> </w:t>
            </w:r>
            <w:r w:rsidRPr="00154AEE">
              <w:rPr>
                <w:rFonts w:cs="Times New Roman"/>
                <w:szCs w:val="24"/>
              </w:rPr>
              <w:t>35 кг/м</w:t>
            </w:r>
            <w:r w:rsidRPr="00BD1ED5">
              <w:rPr>
                <w:rFonts w:cs="Times New Roman"/>
                <w:szCs w:val="24"/>
                <w:vertAlign w:val="superscript"/>
              </w:rPr>
              <w:t>2</w:t>
            </w:r>
            <w:r w:rsidRPr="00154AEE">
              <w:rPr>
                <w:rFonts w:cs="Times New Roman"/>
                <w:szCs w:val="24"/>
              </w:rPr>
              <w:t>) и выше</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2F" w14:textId="77777777" w:rsidR="00F82D52" w:rsidRPr="00154AEE" w:rsidRDefault="00F82D52" w:rsidP="00F82D52">
            <w:pPr>
              <w:pStyle w:val="affff5"/>
              <w:jc w:val="both"/>
              <w:rPr>
                <w:rFonts w:cs="Times New Roman"/>
                <w:szCs w:val="24"/>
              </w:rPr>
            </w:pPr>
            <w:r w:rsidRPr="00154AEE">
              <w:rPr>
                <w:rFonts w:cs="Times New Roman"/>
                <w:szCs w:val="24"/>
              </w:rPr>
              <w:t>1</w:t>
            </w:r>
          </w:p>
        </w:tc>
      </w:tr>
      <w:tr w:rsidR="00F82D52" w:rsidRPr="00154AEE" w14:paraId="30112E34"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31" w14:textId="77777777" w:rsidR="00F82D52" w:rsidRPr="00154AEE" w:rsidRDefault="00F82D52" w:rsidP="00F82D52">
            <w:pPr>
              <w:pStyle w:val="affff5"/>
              <w:jc w:val="both"/>
              <w:rPr>
                <w:rFonts w:cs="Times New Roman"/>
                <w:szCs w:val="24"/>
              </w:rPr>
            </w:pP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32" w14:textId="77777777" w:rsidR="00F82D52" w:rsidRPr="00154AEE" w:rsidRDefault="00F82D52" w:rsidP="00F82D52">
            <w:pPr>
              <w:ind w:firstLine="0"/>
              <w:rPr>
                <w:rFonts w:cs="Times New Roman"/>
                <w:szCs w:val="24"/>
              </w:rPr>
            </w:pPr>
            <w:r w:rsidRPr="00154AEE">
              <w:rPr>
                <w:rFonts w:cs="Times New Roman"/>
                <w:szCs w:val="24"/>
              </w:rPr>
              <w:t>Риск развития ВТЭО</w:t>
            </w:r>
          </w:p>
          <w:p w14:paraId="30112E33" w14:textId="77777777" w:rsidR="00F82D52" w:rsidRPr="00154AEE" w:rsidRDefault="00F82D52" w:rsidP="00F82D52">
            <w:pPr>
              <w:ind w:firstLine="0"/>
              <w:rPr>
                <w:rFonts w:cs="Times New Roman"/>
                <w:szCs w:val="24"/>
              </w:rPr>
            </w:pPr>
            <w:r w:rsidRPr="00154AEE">
              <w:rPr>
                <w:rFonts w:cs="Times New Roman"/>
                <w:szCs w:val="24"/>
              </w:rPr>
              <w:t>за 2–5 мес. (%)</w:t>
            </w:r>
          </w:p>
        </w:tc>
      </w:tr>
      <w:tr w:rsidR="00F82D52" w:rsidRPr="00154AEE" w14:paraId="30112E37"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35" w14:textId="77777777" w:rsidR="00F82D52" w:rsidRPr="00154AEE" w:rsidRDefault="00F82D52" w:rsidP="00F82D52">
            <w:pPr>
              <w:ind w:firstLine="0"/>
              <w:rPr>
                <w:rFonts w:cs="Times New Roman"/>
                <w:szCs w:val="24"/>
              </w:rPr>
            </w:pPr>
            <w:r w:rsidRPr="00154AEE">
              <w:rPr>
                <w:rFonts w:cs="Times New Roman"/>
                <w:szCs w:val="24"/>
              </w:rPr>
              <w:t>Высокий риск,</w:t>
            </w:r>
            <w:r>
              <w:rPr>
                <w:rFonts w:cs="Times New Roman"/>
                <w:szCs w:val="24"/>
              </w:rPr>
              <w:t xml:space="preserve"> </w:t>
            </w:r>
            <w:r w:rsidRPr="00154AEE">
              <w:rPr>
                <w:rFonts w:cs="Times New Roman"/>
                <w:szCs w:val="24"/>
              </w:rPr>
              <w:t>сумма баллов ≥ 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36" w14:textId="77777777" w:rsidR="00F82D52" w:rsidRPr="00154AEE" w:rsidRDefault="00F82D52" w:rsidP="00F82D52">
            <w:pPr>
              <w:ind w:firstLine="0"/>
              <w:rPr>
                <w:rFonts w:cs="Times New Roman"/>
                <w:szCs w:val="24"/>
              </w:rPr>
            </w:pPr>
            <w:r w:rsidRPr="00154AEE">
              <w:rPr>
                <w:rFonts w:cs="Times New Roman"/>
                <w:szCs w:val="24"/>
              </w:rPr>
              <w:t>6,7–7,1</w:t>
            </w:r>
          </w:p>
        </w:tc>
      </w:tr>
      <w:tr w:rsidR="00F82D52" w:rsidRPr="00154AEE" w14:paraId="30112E3A"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38" w14:textId="77777777" w:rsidR="00F82D52" w:rsidRPr="00154AEE" w:rsidRDefault="00F82D52" w:rsidP="00F82D52">
            <w:pPr>
              <w:ind w:firstLine="0"/>
              <w:rPr>
                <w:rFonts w:cs="Times New Roman"/>
                <w:szCs w:val="24"/>
              </w:rPr>
            </w:pPr>
            <w:r w:rsidRPr="00154AEE">
              <w:rPr>
                <w:rFonts w:cs="Times New Roman"/>
                <w:szCs w:val="24"/>
              </w:rPr>
              <w:t>Средний риск,</w:t>
            </w:r>
            <w:r>
              <w:rPr>
                <w:rFonts w:cs="Times New Roman"/>
                <w:szCs w:val="24"/>
              </w:rPr>
              <w:t xml:space="preserve"> </w:t>
            </w:r>
            <w:r w:rsidRPr="00154AEE">
              <w:rPr>
                <w:rFonts w:cs="Times New Roman"/>
                <w:szCs w:val="24"/>
              </w:rPr>
              <w:t>сумма баллов 1–2</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39" w14:textId="77777777" w:rsidR="00F82D52" w:rsidRPr="00154AEE" w:rsidRDefault="00F82D52" w:rsidP="00F82D52">
            <w:pPr>
              <w:ind w:firstLine="0"/>
              <w:rPr>
                <w:rFonts w:cs="Times New Roman"/>
                <w:szCs w:val="24"/>
              </w:rPr>
            </w:pPr>
            <w:r w:rsidRPr="00154AEE">
              <w:rPr>
                <w:rFonts w:cs="Times New Roman"/>
                <w:szCs w:val="24"/>
              </w:rPr>
              <w:t>1,8–2</w:t>
            </w:r>
          </w:p>
        </w:tc>
      </w:tr>
      <w:tr w:rsidR="00F82D52" w:rsidRPr="00154AEE" w14:paraId="30112E3D" w14:textId="77777777" w:rsidTr="00F82D52">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0112E3B" w14:textId="77777777" w:rsidR="00F82D52" w:rsidRPr="00154AEE" w:rsidRDefault="00F82D52" w:rsidP="00F82D52">
            <w:pPr>
              <w:ind w:firstLine="0"/>
              <w:rPr>
                <w:rFonts w:cs="Times New Roman"/>
                <w:szCs w:val="24"/>
              </w:rPr>
            </w:pPr>
            <w:r w:rsidRPr="00154AEE">
              <w:rPr>
                <w:rFonts w:cs="Times New Roman"/>
                <w:szCs w:val="24"/>
              </w:rPr>
              <w:t>Низкий риск, сумма баллов 0</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30112E3C" w14:textId="77777777" w:rsidR="00F82D52" w:rsidRPr="00154AEE" w:rsidRDefault="00F82D52" w:rsidP="00F82D52">
            <w:pPr>
              <w:ind w:firstLine="0"/>
              <w:rPr>
                <w:rFonts w:cs="Times New Roman"/>
                <w:szCs w:val="24"/>
              </w:rPr>
            </w:pPr>
            <w:r w:rsidRPr="00154AEE">
              <w:rPr>
                <w:rFonts w:cs="Times New Roman"/>
                <w:szCs w:val="24"/>
              </w:rPr>
              <w:t>0,3–0,8</w:t>
            </w:r>
          </w:p>
        </w:tc>
      </w:tr>
    </w:tbl>
    <w:p w14:paraId="30112E3E" w14:textId="77777777" w:rsidR="00F82D52" w:rsidRPr="00583004" w:rsidRDefault="00F82D52" w:rsidP="00427B0E">
      <w:pPr>
        <w:pStyle w:val="afffb"/>
        <w:ind w:firstLine="0"/>
      </w:pPr>
    </w:p>
    <w:sectPr w:rsidR="00F82D52" w:rsidRPr="00583004" w:rsidSect="00B075C5">
      <w:headerReference w:type="default" r:id="rId11"/>
      <w:footerReference w:type="default" r:id="rId12"/>
      <w:pgSz w:w="11906" w:h="16838"/>
      <w:pgMar w:top="1134" w:right="1416"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14310" w14:textId="77777777" w:rsidR="007A47CE" w:rsidRDefault="007A47CE">
      <w:pPr>
        <w:spacing w:line="240" w:lineRule="auto"/>
      </w:pPr>
      <w:r>
        <w:separator/>
      </w:r>
    </w:p>
    <w:p w14:paraId="65869F1E" w14:textId="77777777" w:rsidR="007A47CE" w:rsidRDefault="007A47CE"/>
  </w:endnote>
  <w:endnote w:type="continuationSeparator" w:id="0">
    <w:p w14:paraId="4067DEA4" w14:textId="77777777" w:rsidR="007A47CE" w:rsidRDefault="007A47CE">
      <w:pPr>
        <w:spacing w:line="240" w:lineRule="auto"/>
      </w:pPr>
      <w:r>
        <w:continuationSeparator/>
      </w:r>
    </w:p>
    <w:p w14:paraId="6BD50BEC" w14:textId="77777777" w:rsidR="007A47CE" w:rsidRDefault="007A4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ill Sans">
    <w:altName w:val="Gill Sans"/>
    <w:charset w:val="B1"/>
    <w:family w:val="swiss"/>
    <w:pitch w:val="variable"/>
    <w:sig w:usb0="80000A67" w:usb1="00000000" w:usb2="00000000" w:usb3="00000000" w:csb0="000001F7" w:csb1="00000000"/>
  </w:font>
  <w:font w:name="OpenSymbol">
    <w:altName w:val="Times New Roman"/>
    <w:charset w:val="00"/>
    <w:family w:val="auto"/>
    <w:pitch w:val="variable"/>
    <w:sig w:usb0="800000AF" w:usb1="1807ECEA" w:usb2="00000010" w:usb3="00000000" w:csb0="00020001" w:csb1="00000000"/>
  </w:font>
  <w:font w:name="Palatino Linotype">
    <w:panose1 w:val="02040502050505030304"/>
    <w:charset w:val="CC"/>
    <w:family w:val="roman"/>
    <w:pitch w:val="variable"/>
    <w:sig w:usb0="E0000287" w:usb1="40000013" w:usb2="00000000" w:usb3="00000000" w:csb0="0000019F" w:csb1="00000000"/>
  </w:font>
  <w:font w:name="Helvetica Neue">
    <w:altName w:val="Helvetica Neue"/>
    <w:charset w:val="00"/>
    <w:family w:val="auto"/>
    <w:pitch w:val="variable"/>
    <w:sig w:usb0="E50002FF" w:usb1="500079DB" w:usb2="00000010" w:usb3="00000000" w:csb0="00000001" w:csb1="00000000"/>
  </w:font>
  <w:font w:name="GaramondC-Light">
    <w:panose1 w:val="00000000000000000000"/>
    <w:charset w:val="CC"/>
    <w:family w:val="auto"/>
    <w:notTrueType/>
    <w:pitch w:val="default"/>
    <w:sig w:usb0="00000201" w:usb1="00000000" w:usb2="00000000" w:usb3="00000000" w:csb0="00000004" w:csb1="00000000"/>
  </w:font>
  <w:font w:name="ＭＳ 明朝 (Основной текст темы (ази">
    <w:altName w:val="MS Mincho"/>
    <w:charset w:val="00"/>
    <w:family w:val="auto"/>
    <w:pitch w:val="default"/>
  </w:font>
  <w:font w:name="ArialNarrow">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30112E4F" w14:textId="77777777" w:rsidR="00F6217A" w:rsidRDefault="00F6217A">
        <w:pPr>
          <w:pStyle w:val="afc"/>
          <w:jc w:val="center"/>
        </w:pPr>
        <w:r>
          <w:fldChar w:fldCharType="begin"/>
        </w:r>
        <w:r>
          <w:instrText>PAGE</w:instrText>
        </w:r>
        <w:r>
          <w:fldChar w:fldCharType="separate"/>
        </w:r>
        <w:r w:rsidR="00EC4657">
          <w:rPr>
            <w:noProof/>
          </w:rPr>
          <w:t>58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DD9D7" w14:textId="77777777" w:rsidR="007A47CE" w:rsidRDefault="007A47CE">
      <w:pPr>
        <w:spacing w:line="240" w:lineRule="auto"/>
      </w:pPr>
      <w:r>
        <w:separator/>
      </w:r>
    </w:p>
    <w:p w14:paraId="53AAFAF3" w14:textId="77777777" w:rsidR="007A47CE" w:rsidRDefault="007A47CE"/>
  </w:footnote>
  <w:footnote w:type="continuationSeparator" w:id="0">
    <w:p w14:paraId="3F82FBB0" w14:textId="77777777" w:rsidR="007A47CE" w:rsidRDefault="007A47CE">
      <w:pPr>
        <w:spacing w:line="240" w:lineRule="auto"/>
      </w:pPr>
      <w:r>
        <w:continuationSeparator/>
      </w:r>
    </w:p>
    <w:p w14:paraId="1EFE7478" w14:textId="77777777" w:rsidR="007A47CE" w:rsidRDefault="007A47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12E4D" w14:textId="77777777" w:rsidR="00F6217A" w:rsidRDefault="00F6217A" w:rsidP="00186C35">
    <w:pPr>
      <w:pStyle w:val="afb"/>
      <w:ind w:firstLine="0"/>
      <w:rPr>
        <w:i/>
      </w:rPr>
    </w:pPr>
  </w:p>
  <w:p w14:paraId="30112E4E" w14:textId="77777777" w:rsidR="00F6217A" w:rsidRDefault="00F62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807"/>
    <w:multiLevelType w:val="hybridMultilevel"/>
    <w:tmpl w:val="B490A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A70C7"/>
    <w:multiLevelType w:val="hybridMultilevel"/>
    <w:tmpl w:val="B4025D86"/>
    <w:lvl w:ilvl="0" w:tplc="0506334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6614BD"/>
    <w:multiLevelType w:val="hybridMultilevel"/>
    <w:tmpl w:val="8C901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13974"/>
    <w:multiLevelType w:val="hybridMultilevel"/>
    <w:tmpl w:val="FA4A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403F8D"/>
    <w:multiLevelType w:val="hybridMultilevel"/>
    <w:tmpl w:val="93CEED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1F37FD"/>
    <w:multiLevelType w:val="hybridMultilevel"/>
    <w:tmpl w:val="439E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62440"/>
    <w:multiLevelType w:val="hybridMultilevel"/>
    <w:tmpl w:val="E0A80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9B225E"/>
    <w:multiLevelType w:val="hybridMultilevel"/>
    <w:tmpl w:val="1700E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76C5C1C"/>
    <w:multiLevelType w:val="hybridMultilevel"/>
    <w:tmpl w:val="E5A230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AA397F"/>
    <w:multiLevelType w:val="hybridMultilevel"/>
    <w:tmpl w:val="E31C6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D1015B"/>
    <w:multiLevelType w:val="hybridMultilevel"/>
    <w:tmpl w:val="3DD476BA"/>
    <w:lvl w:ilvl="0" w:tplc="04190003">
      <w:start w:val="1"/>
      <w:numFmt w:val="bullet"/>
      <w:lvlText w:val="o"/>
      <w:lvlJc w:val="left"/>
      <w:pPr>
        <w:ind w:left="1440" w:hanging="360"/>
      </w:pPr>
      <w:rPr>
        <w:rFonts w:ascii="Courier New" w:hAnsi="Courier New" w:cs="Courier New"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08E3117B"/>
    <w:multiLevelType w:val="hybridMultilevel"/>
    <w:tmpl w:val="877E7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7617AD"/>
    <w:multiLevelType w:val="hybridMultilevel"/>
    <w:tmpl w:val="0EFEA2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803113"/>
    <w:multiLevelType w:val="hybridMultilevel"/>
    <w:tmpl w:val="A8B83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17" w15:restartNumberingAfterBreak="0">
    <w:nsid w:val="0AD2445A"/>
    <w:multiLevelType w:val="hybridMultilevel"/>
    <w:tmpl w:val="0A8CFB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090C2C"/>
    <w:multiLevelType w:val="hybridMultilevel"/>
    <w:tmpl w:val="70329C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1B3D13"/>
    <w:multiLevelType w:val="hybridMultilevel"/>
    <w:tmpl w:val="7608AA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AF3ABF"/>
    <w:multiLevelType w:val="hybridMultilevel"/>
    <w:tmpl w:val="DBACD46C"/>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494" w:hanging="70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0D16377A"/>
    <w:multiLevelType w:val="hybridMultilevel"/>
    <w:tmpl w:val="1BC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743AAD"/>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4" w15:restartNumberingAfterBreak="0">
    <w:nsid w:val="0F1C4733"/>
    <w:multiLevelType w:val="hybridMultilevel"/>
    <w:tmpl w:val="6D027C68"/>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15:restartNumberingAfterBreak="0">
    <w:nsid w:val="0F804A37"/>
    <w:multiLevelType w:val="multilevel"/>
    <w:tmpl w:val="0090D9A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10AA0379"/>
    <w:multiLevelType w:val="hybridMultilevel"/>
    <w:tmpl w:val="D6D40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11313628"/>
    <w:multiLevelType w:val="hybridMultilevel"/>
    <w:tmpl w:val="0ACE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0C550D"/>
    <w:multiLevelType w:val="hybridMultilevel"/>
    <w:tmpl w:val="16A666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4037E02"/>
    <w:multiLevelType w:val="hybridMultilevel"/>
    <w:tmpl w:val="B410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3F1B45"/>
    <w:multiLevelType w:val="hybridMultilevel"/>
    <w:tmpl w:val="6C7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38" w15:restartNumberingAfterBreak="0">
    <w:nsid w:val="18B750CE"/>
    <w:multiLevelType w:val="hybridMultilevel"/>
    <w:tmpl w:val="E25EE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9255EDC"/>
    <w:multiLevelType w:val="hybridMultilevel"/>
    <w:tmpl w:val="F04889CA"/>
    <w:lvl w:ilvl="0" w:tplc="504CF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AEC1080"/>
    <w:multiLevelType w:val="multilevel"/>
    <w:tmpl w:val="E230D3C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F61062"/>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15:restartNumberingAfterBreak="0">
    <w:nsid w:val="1AF73943"/>
    <w:multiLevelType w:val="hybridMultilevel"/>
    <w:tmpl w:val="01C41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CD66A5D"/>
    <w:multiLevelType w:val="hybridMultilevel"/>
    <w:tmpl w:val="D54EA47E"/>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5" w15:restartNumberingAfterBreak="0">
    <w:nsid w:val="1D0C0A31"/>
    <w:multiLevelType w:val="hybridMultilevel"/>
    <w:tmpl w:val="E51E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A871A9"/>
    <w:multiLevelType w:val="hybridMultilevel"/>
    <w:tmpl w:val="60A65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DB567F2"/>
    <w:multiLevelType w:val="hybridMultilevel"/>
    <w:tmpl w:val="809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DDD6F7A"/>
    <w:multiLevelType w:val="hybridMultilevel"/>
    <w:tmpl w:val="B4A48E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EDF0E41"/>
    <w:multiLevelType w:val="hybridMultilevel"/>
    <w:tmpl w:val="1B0E4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15:restartNumberingAfterBreak="0">
    <w:nsid w:val="1FC92CBC"/>
    <w:multiLevelType w:val="hybridMultilevel"/>
    <w:tmpl w:val="0DCC8E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FA4456"/>
    <w:multiLevelType w:val="hybridMultilevel"/>
    <w:tmpl w:val="B8DA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2FA79B0"/>
    <w:multiLevelType w:val="hybridMultilevel"/>
    <w:tmpl w:val="B1BAA88E"/>
    <w:lvl w:ilvl="0" w:tplc="04190001">
      <w:start w:val="1"/>
      <w:numFmt w:val="bullet"/>
      <w:lvlText w:val=""/>
      <w:lvlJc w:val="left"/>
      <w:pPr>
        <w:ind w:left="1777" w:hanging="360"/>
      </w:pPr>
      <w:rPr>
        <w:rFonts w:ascii="Symbol" w:hAnsi="Symbol" w:hint="default"/>
      </w:rPr>
    </w:lvl>
    <w:lvl w:ilvl="1" w:tplc="04190003">
      <w:start w:val="1"/>
      <w:numFmt w:val="bullet"/>
      <w:lvlText w:val="o"/>
      <w:lvlJc w:val="left"/>
      <w:pPr>
        <w:ind w:left="2497" w:hanging="360"/>
      </w:pPr>
      <w:rPr>
        <w:rFonts w:ascii="Courier New" w:hAnsi="Courier New" w:cs="Courier New" w:hint="default"/>
      </w:rPr>
    </w:lvl>
    <w:lvl w:ilvl="2" w:tplc="04190003">
      <w:start w:val="1"/>
      <w:numFmt w:val="bullet"/>
      <w:lvlText w:val="o"/>
      <w:lvlJc w:val="left"/>
      <w:pPr>
        <w:ind w:left="1440" w:hanging="360"/>
      </w:pPr>
      <w:rPr>
        <w:rFonts w:ascii="Courier New" w:hAnsi="Courier New" w:cs="Courier New"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57" w15:restartNumberingAfterBreak="0">
    <w:nsid w:val="23437769"/>
    <w:multiLevelType w:val="hybridMultilevel"/>
    <w:tmpl w:val="63BEF6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59"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266A5A47"/>
    <w:multiLevelType w:val="hybridMultilevel"/>
    <w:tmpl w:val="DD688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7B03510"/>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3" w15:restartNumberingAfterBreak="0">
    <w:nsid w:val="29845A96"/>
    <w:multiLevelType w:val="hybridMultilevel"/>
    <w:tmpl w:val="E0AE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29862D22"/>
    <w:multiLevelType w:val="hybridMultilevel"/>
    <w:tmpl w:val="CC90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A180DC9"/>
    <w:multiLevelType w:val="hybridMultilevel"/>
    <w:tmpl w:val="C14C1B66"/>
    <w:lvl w:ilvl="0" w:tplc="0419000F">
      <w:start w:val="1"/>
      <w:numFmt w:val="decimal"/>
      <w:lvlText w:val="%1."/>
      <w:lvlJc w:val="left"/>
      <w:pPr>
        <w:ind w:left="785"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B8E0F97"/>
    <w:multiLevelType w:val="hybridMultilevel"/>
    <w:tmpl w:val="A8184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C9F7B5D"/>
    <w:multiLevelType w:val="hybridMultilevel"/>
    <w:tmpl w:val="F52C27E2"/>
    <w:lvl w:ilvl="0" w:tplc="04190001">
      <w:start w:val="1"/>
      <w:numFmt w:val="bullet"/>
      <w:lvlText w:val=""/>
      <w:lvlJc w:val="left"/>
      <w:pPr>
        <w:ind w:left="504" w:hanging="360"/>
      </w:pPr>
      <w:rPr>
        <w:rFonts w:ascii="Symbol" w:hAnsi="Symbol"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71" w15:restartNumberingAfterBreak="0">
    <w:nsid w:val="2CA15120"/>
    <w:multiLevelType w:val="hybridMultilevel"/>
    <w:tmpl w:val="BC3A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2CAB5E62"/>
    <w:multiLevelType w:val="hybridMultilevel"/>
    <w:tmpl w:val="60DC6A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D4D1BA9"/>
    <w:multiLevelType w:val="hybridMultilevel"/>
    <w:tmpl w:val="CCC2A9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DC05429"/>
    <w:multiLevelType w:val="hybridMultilevel"/>
    <w:tmpl w:val="D2F2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E855049"/>
    <w:multiLevelType w:val="hybridMultilevel"/>
    <w:tmpl w:val="8F228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F005901"/>
    <w:multiLevelType w:val="multilevel"/>
    <w:tmpl w:val="66E036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2F50420A"/>
    <w:multiLevelType w:val="hybridMultilevel"/>
    <w:tmpl w:val="8644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10D7E7D"/>
    <w:multiLevelType w:val="hybridMultilevel"/>
    <w:tmpl w:val="BF2CB2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9" w15:restartNumberingAfterBreak="0">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0" w15:restartNumberingAfterBreak="0">
    <w:nsid w:val="33477A51"/>
    <w:multiLevelType w:val="hybridMultilevel"/>
    <w:tmpl w:val="D3363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34D4E75"/>
    <w:multiLevelType w:val="hybridMultilevel"/>
    <w:tmpl w:val="DEE0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3A32DB3"/>
    <w:multiLevelType w:val="hybridMultilevel"/>
    <w:tmpl w:val="F1DC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3AC1BDC"/>
    <w:multiLevelType w:val="hybridMultilevel"/>
    <w:tmpl w:val="D9B0D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46B37C6"/>
    <w:multiLevelType w:val="hybridMultilevel"/>
    <w:tmpl w:val="14927E2C"/>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5374E87"/>
    <w:multiLevelType w:val="hybridMultilevel"/>
    <w:tmpl w:val="D54EA47E"/>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86"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87" w15:restartNumberingAfterBreak="0">
    <w:nsid w:val="38A42892"/>
    <w:multiLevelType w:val="hybridMultilevel"/>
    <w:tmpl w:val="4CDAC1EE"/>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88" w15:restartNumberingAfterBreak="0">
    <w:nsid w:val="38EF7B49"/>
    <w:multiLevelType w:val="hybridMultilevel"/>
    <w:tmpl w:val="043A83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9121AA2"/>
    <w:multiLevelType w:val="hybridMultilevel"/>
    <w:tmpl w:val="D54EA47E"/>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91" w15:restartNumberingAfterBreak="0">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3B3E26"/>
    <w:multiLevelType w:val="hybridMultilevel"/>
    <w:tmpl w:val="9460D1A8"/>
    <w:lvl w:ilvl="0" w:tplc="93E8D1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4"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95"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6" w15:restartNumberingAfterBreak="0">
    <w:nsid w:val="405C414E"/>
    <w:multiLevelType w:val="hybridMultilevel"/>
    <w:tmpl w:val="8748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1F926C8"/>
    <w:multiLevelType w:val="hybridMultilevel"/>
    <w:tmpl w:val="967C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9" w15:restartNumberingAfterBreak="0">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7497BE7"/>
    <w:multiLevelType w:val="hybridMultilevel"/>
    <w:tmpl w:val="531CB4D6"/>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2" w15:restartNumberingAfterBreak="0">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7803458"/>
    <w:multiLevelType w:val="multilevel"/>
    <w:tmpl w:val="F0D47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Wingdings" w:eastAsiaTheme="minorHAnsi" w:hAnsi="Wingdings" w:cstheme="minorBidi" w:hint="default"/>
      </w:rPr>
    </w:lvl>
    <w:lvl w:ilvl="3">
      <w:numFmt w:val="bullet"/>
      <w:lvlText w:val="•"/>
      <w:lvlJc w:val="left"/>
      <w:pPr>
        <w:ind w:left="3180" w:hanging="660"/>
      </w:pPr>
      <w:rPr>
        <w:rFonts w:ascii="Times New Roman" w:eastAsiaTheme="minorHAnsi" w:hAnsi="Times New Roman" w:cs="Times New Roman" w:hint="default"/>
      </w:rPr>
    </w:lvl>
    <w:lvl w:ilvl="4">
      <w:start w:val="1"/>
      <w:numFmt w:val="decimal"/>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E14443"/>
    <w:multiLevelType w:val="hybridMultilevel"/>
    <w:tmpl w:val="EE26E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7F836B7"/>
    <w:multiLevelType w:val="hybridMultilevel"/>
    <w:tmpl w:val="C828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7" w15:restartNumberingAfterBreak="0">
    <w:nsid w:val="48A1119A"/>
    <w:multiLevelType w:val="hybridMultilevel"/>
    <w:tmpl w:val="EC341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8CC0A55"/>
    <w:multiLevelType w:val="hybridMultilevel"/>
    <w:tmpl w:val="1322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9AF70B8"/>
    <w:multiLevelType w:val="hybridMultilevel"/>
    <w:tmpl w:val="1EFC1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AE857F8"/>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1"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C6E52F0"/>
    <w:multiLevelType w:val="hybridMultilevel"/>
    <w:tmpl w:val="00F27D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5" w15:restartNumberingAfterBreak="0">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E002C25"/>
    <w:multiLevelType w:val="hybridMultilevel"/>
    <w:tmpl w:val="9E52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EA30340"/>
    <w:multiLevelType w:val="hybridMultilevel"/>
    <w:tmpl w:val="B6F0C3DC"/>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18" w15:restartNumberingAfterBreak="0">
    <w:nsid w:val="4ED33599"/>
    <w:multiLevelType w:val="multilevel"/>
    <w:tmpl w:val="F5BE2E1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9"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21" w15:restartNumberingAfterBreak="0">
    <w:nsid w:val="51003E57"/>
    <w:multiLevelType w:val="hybridMultilevel"/>
    <w:tmpl w:val="AA760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3C60F6D"/>
    <w:multiLevelType w:val="hybridMultilevel"/>
    <w:tmpl w:val="7634162C"/>
    <w:lvl w:ilvl="0" w:tplc="D48EC5B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54A15903"/>
    <w:multiLevelType w:val="hybridMultilevel"/>
    <w:tmpl w:val="974CA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5DD441C"/>
    <w:multiLevelType w:val="hybridMultilevel"/>
    <w:tmpl w:val="C71CFD9E"/>
    <w:lvl w:ilvl="0" w:tplc="70B68430">
      <w:start w:val="1"/>
      <w:numFmt w:val="decimal"/>
      <w:lvlText w:val="%1."/>
      <w:lvlJc w:val="left"/>
      <w:pPr>
        <w:ind w:left="720" w:hanging="360"/>
      </w:pPr>
      <w:rPr>
        <w:rFonts w:cs="Times New Roman"/>
      </w:rPr>
    </w:lvl>
    <w:lvl w:ilvl="1" w:tplc="04190003">
      <w:start w:val="1"/>
      <w:numFmt w:val="decimal"/>
      <w:lvlText w:val="%2)"/>
      <w:lvlJc w:val="left"/>
      <w:pPr>
        <w:ind w:left="1470" w:hanging="390"/>
      </w:pPr>
      <w:rPr>
        <w:rFonts w:hint="default"/>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6" w15:restartNumberingAfterBreak="0">
    <w:nsid w:val="561D52BA"/>
    <w:multiLevelType w:val="hybridMultilevel"/>
    <w:tmpl w:val="56601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15:restartNumberingAfterBreak="0">
    <w:nsid w:val="562B7A6E"/>
    <w:multiLevelType w:val="hybridMultilevel"/>
    <w:tmpl w:val="31B4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8197E79"/>
    <w:multiLevelType w:val="hybridMultilevel"/>
    <w:tmpl w:val="0DFE2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85C1AAF"/>
    <w:multiLevelType w:val="multilevel"/>
    <w:tmpl w:val="DAFEE6C4"/>
    <w:lvl w:ilvl="0">
      <w:start w:val="1"/>
      <w:numFmt w:val="decimal"/>
      <w:lvlText w:val="%1)"/>
      <w:lvlJc w:val="left"/>
      <w:pPr>
        <w:ind w:left="1428"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8E929BE"/>
    <w:multiLevelType w:val="hybridMultilevel"/>
    <w:tmpl w:val="35683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9A30498"/>
    <w:multiLevelType w:val="hybridMultilevel"/>
    <w:tmpl w:val="F142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35" w15:restartNumberingAfterBreak="0">
    <w:nsid w:val="5C11366E"/>
    <w:multiLevelType w:val="hybridMultilevel"/>
    <w:tmpl w:val="4BE2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C655BEF"/>
    <w:multiLevelType w:val="hybridMultilevel"/>
    <w:tmpl w:val="B35C4DF6"/>
    <w:lvl w:ilvl="0" w:tplc="6FE65B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7" w15:restartNumberingAfterBreak="0">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CEE57BB"/>
    <w:multiLevelType w:val="hybridMultilevel"/>
    <w:tmpl w:val="A524D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D8A3271"/>
    <w:multiLevelType w:val="hybridMultilevel"/>
    <w:tmpl w:val="427CF01E"/>
    <w:lvl w:ilvl="0" w:tplc="09DA591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0" w15:restartNumberingAfterBreak="0">
    <w:nsid w:val="5DBB20C8"/>
    <w:multiLevelType w:val="hybridMultilevel"/>
    <w:tmpl w:val="8632A7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E0E191C"/>
    <w:multiLevelType w:val="hybridMultilevel"/>
    <w:tmpl w:val="E3806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E3E40E7"/>
    <w:multiLevelType w:val="hybridMultilevel"/>
    <w:tmpl w:val="774AA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E42575E"/>
    <w:multiLevelType w:val="hybridMultilevel"/>
    <w:tmpl w:val="2DE0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F3834EF"/>
    <w:multiLevelType w:val="hybridMultilevel"/>
    <w:tmpl w:val="D11CB1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7"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9" w15:restartNumberingAfterBreak="0">
    <w:nsid w:val="607D666F"/>
    <w:multiLevelType w:val="hybridMultilevel"/>
    <w:tmpl w:val="FAC2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0C062FF"/>
    <w:multiLevelType w:val="hybridMultilevel"/>
    <w:tmpl w:val="040A4DCE"/>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1" w15:restartNumberingAfterBreak="0">
    <w:nsid w:val="6228685B"/>
    <w:multiLevelType w:val="hybridMultilevel"/>
    <w:tmpl w:val="7264E0E6"/>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8FD68728">
      <w:start w:val="1"/>
      <w:numFmt w:val="decimal"/>
      <w:lvlText w:val="%4."/>
      <w:lvlJc w:val="left"/>
      <w:pPr>
        <w:ind w:left="3087" w:hanging="360"/>
      </w:pPr>
      <w:rPr>
        <w:rFonts w:ascii="Times New Roman" w:eastAsia="Calibri" w:hAnsi="Times New Roman" w:cs="Times New Roman"/>
      </w:r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2" w15:restartNumberingAfterBreak="0">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153"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3C72227"/>
    <w:multiLevelType w:val="hybridMultilevel"/>
    <w:tmpl w:val="E5C8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40C6E06"/>
    <w:multiLevelType w:val="hybridMultilevel"/>
    <w:tmpl w:val="2852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4BF4139"/>
    <w:multiLevelType w:val="hybridMultilevel"/>
    <w:tmpl w:val="BDBA2C9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7" w15:restartNumberingAfterBreak="0">
    <w:nsid w:val="64CB17D4"/>
    <w:multiLevelType w:val="hybridMultilevel"/>
    <w:tmpl w:val="B944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59"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0" w15:restartNumberingAfterBreak="0">
    <w:nsid w:val="65890E2C"/>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1" w15:restartNumberingAfterBreak="0">
    <w:nsid w:val="65EE1CD2"/>
    <w:multiLevelType w:val="hybridMultilevel"/>
    <w:tmpl w:val="D4FAF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5FB0DEB"/>
    <w:multiLevelType w:val="hybridMultilevel"/>
    <w:tmpl w:val="336C1E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5FC491C"/>
    <w:multiLevelType w:val="hybridMultilevel"/>
    <w:tmpl w:val="F8BE31C4"/>
    <w:numStyleLink w:val="1"/>
  </w:abstractNum>
  <w:abstractNum w:abstractNumId="164" w15:restartNumberingAfterBreak="0">
    <w:nsid w:val="665352F1"/>
    <w:multiLevelType w:val="hybridMultilevel"/>
    <w:tmpl w:val="3718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6E51975"/>
    <w:multiLevelType w:val="hybridMultilevel"/>
    <w:tmpl w:val="7A7C6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7464575"/>
    <w:multiLevelType w:val="hybridMultilevel"/>
    <w:tmpl w:val="AAC275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78F247B"/>
    <w:multiLevelType w:val="hybridMultilevel"/>
    <w:tmpl w:val="7F3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7BE2026"/>
    <w:multiLevelType w:val="hybridMultilevel"/>
    <w:tmpl w:val="F4C00982"/>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69"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70"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1"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9E82B41"/>
    <w:multiLevelType w:val="hybridMultilevel"/>
    <w:tmpl w:val="485A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AC854FF"/>
    <w:multiLevelType w:val="hybridMultilevel"/>
    <w:tmpl w:val="F5C654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AFF0605"/>
    <w:multiLevelType w:val="hybridMultilevel"/>
    <w:tmpl w:val="9F60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78" w15:restartNumberingAfterBreak="0">
    <w:nsid w:val="6E2010A3"/>
    <w:multiLevelType w:val="hybridMultilevel"/>
    <w:tmpl w:val="0BD07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E24223D"/>
    <w:multiLevelType w:val="hybridMultilevel"/>
    <w:tmpl w:val="7450BC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EFA2964"/>
    <w:multiLevelType w:val="hybridMultilevel"/>
    <w:tmpl w:val="2EF2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6FDC162F"/>
    <w:multiLevelType w:val="hybridMultilevel"/>
    <w:tmpl w:val="7FEAD3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710E7B94"/>
    <w:multiLevelType w:val="hybridMultilevel"/>
    <w:tmpl w:val="6090CD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3" w15:restartNumberingAfterBreak="0">
    <w:nsid w:val="71F87B85"/>
    <w:multiLevelType w:val="hybridMultilevel"/>
    <w:tmpl w:val="DF404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5" w15:restartNumberingAfterBreak="0">
    <w:nsid w:val="74233B1A"/>
    <w:multiLevelType w:val="hybridMultilevel"/>
    <w:tmpl w:val="40625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4BE66AC"/>
    <w:multiLevelType w:val="hybridMultilevel"/>
    <w:tmpl w:val="86D8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4FB01F8"/>
    <w:multiLevelType w:val="hybridMultilevel"/>
    <w:tmpl w:val="87B48F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5C2543E"/>
    <w:multiLevelType w:val="hybridMultilevel"/>
    <w:tmpl w:val="43A231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0" w15:restartNumberingAfterBreak="0">
    <w:nsid w:val="75D82873"/>
    <w:multiLevelType w:val="hybridMultilevel"/>
    <w:tmpl w:val="EFDA39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2" w15:restartNumberingAfterBreak="0">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76AD17CF"/>
    <w:multiLevelType w:val="hybridMultilevel"/>
    <w:tmpl w:val="031A4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4" w15:restartNumberingAfterBreak="0">
    <w:nsid w:val="76E33EC4"/>
    <w:multiLevelType w:val="hybridMultilevel"/>
    <w:tmpl w:val="47E2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77107AF"/>
    <w:multiLevelType w:val="hybridMultilevel"/>
    <w:tmpl w:val="D63A2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8E11DD6"/>
    <w:multiLevelType w:val="hybridMultilevel"/>
    <w:tmpl w:val="C358AC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96E5432"/>
    <w:multiLevelType w:val="hybridMultilevel"/>
    <w:tmpl w:val="91501A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8" w15:restartNumberingAfterBreak="0">
    <w:nsid w:val="79713416"/>
    <w:multiLevelType w:val="hybridMultilevel"/>
    <w:tmpl w:val="D548C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200" w15:restartNumberingAfterBreak="0">
    <w:nsid w:val="7C2D2F11"/>
    <w:multiLevelType w:val="hybridMultilevel"/>
    <w:tmpl w:val="AAC285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CEE1064"/>
    <w:multiLevelType w:val="multilevel"/>
    <w:tmpl w:val="DE00292C"/>
    <w:lvl w:ilvl="0">
      <w:start w:val="1"/>
      <w:numFmt w:val="decimal"/>
      <w:lvlText w:val="%1."/>
      <w:lvlJc w:val="left"/>
      <w:pPr>
        <w:ind w:left="720" w:hanging="360"/>
      </w:pPr>
      <w:rPr>
        <w:rFonts w:cs="Times New Roman"/>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2" w15:restartNumberingAfterBreak="0">
    <w:nsid w:val="7D0B5D6E"/>
    <w:multiLevelType w:val="hybridMultilevel"/>
    <w:tmpl w:val="28E8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D253A11"/>
    <w:multiLevelType w:val="hybridMultilevel"/>
    <w:tmpl w:val="CDC45FAE"/>
    <w:lvl w:ilvl="0" w:tplc="D94857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4" w15:restartNumberingAfterBreak="0">
    <w:nsid w:val="7D352FBE"/>
    <w:multiLevelType w:val="hybridMultilevel"/>
    <w:tmpl w:val="9F224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E612FB6"/>
    <w:multiLevelType w:val="hybridMultilevel"/>
    <w:tmpl w:val="77D2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EAF518E"/>
    <w:multiLevelType w:val="hybridMultilevel"/>
    <w:tmpl w:val="D0BA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F3D118A"/>
    <w:multiLevelType w:val="hybridMultilevel"/>
    <w:tmpl w:val="FB78D584"/>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9F66AA4E">
      <w:start w:val="3"/>
      <w:numFmt w:val="bullet"/>
      <w:lvlText w:val="-"/>
      <w:lvlJc w:val="left"/>
      <w:pPr>
        <w:ind w:left="2869" w:hanging="360"/>
      </w:pPr>
      <w:rPr>
        <w:rFonts w:ascii="Times New Roman" w:eastAsiaTheme="minorHAnsi"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FCE568C"/>
    <w:multiLevelType w:val="hybridMultilevel"/>
    <w:tmpl w:val="F0E2B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3"/>
  </w:num>
  <w:num w:numId="2">
    <w:abstractNumId w:val="191"/>
  </w:num>
  <w:num w:numId="3">
    <w:abstractNumId w:val="128"/>
  </w:num>
  <w:num w:numId="4">
    <w:abstractNumId w:val="65"/>
  </w:num>
  <w:num w:numId="5">
    <w:abstractNumId w:val="204"/>
  </w:num>
  <w:num w:numId="6">
    <w:abstractNumId w:val="208"/>
  </w:num>
  <w:num w:numId="7">
    <w:abstractNumId w:val="20"/>
  </w:num>
  <w:num w:numId="8">
    <w:abstractNumId w:val="12"/>
  </w:num>
  <w:num w:numId="9">
    <w:abstractNumId w:val="103"/>
  </w:num>
  <w:num w:numId="10">
    <w:abstractNumId w:val="56"/>
  </w:num>
  <w:num w:numId="11">
    <w:abstractNumId w:val="101"/>
  </w:num>
  <w:num w:numId="12">
    <w:abstractNumId w:val="209"/>
  </w:num>
  <w:num w:numId="13">
    <w:abstractNumId w:val="16"/>
  </w:num>
  <w:num w:numId="14">
    <w:abstractNumId w:val="68"/>
  </w:num>
  <w:num w:numId="15">
    <w:abstractNumId w:val="59"/>
  </w:num>
  <w:num w:numId="16">
    <w:abstractNumId w:val="26"/>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5"/>
  </w:num>
  <w:num w:numId="20">
    <w:abstractNumId w:val="96"/>
  </w:num>
  <w:num w:numId="21">
    <w:abstractNumId w:val="1"/>
  </w:num>
  <w:num w:numId="22">
    <w:abstractNumId w:val="125"/>
  </w:num>
  <w:num w:numId="23">
    <w:abstractNumId w:val="201"/>
  </w:num>
  <w:num w:numId="24">
    <w:abstractNumId w:val="24"/>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1"/>
  </w:num>
  <w:num w:numId="27">
    <w:abstractNumId w:val="90"/>
  </w:num>
  <w:num w:numId="28">
    <w:abstractNumId w:val="85"/>
  </w:num>
  <w:num w:numId="29">
    <w:abstractNumId w:val="44"/>
  </w:num>
  <w:num w:numId="30">
    <w:abstractNumId w:val="139"/>
  </w:num>
  <w:num w:numId="31">
    <w:abstractNumId w:val="190"/>
  </w:num>
  <w:num w:numId="32">
    <w:abstractNumId w:val="174"/>
  </w:num>
  <w:num w:numId="33">
    <w:abstractNumId w:val="196"/>
  </w:num>
  <w:num w:numId="34">
    <w:abstractNumId w:val="75"/>
  </w:num>
  <w:num w:numId="35">
    <w:abstractNumId w:val="78"/>
  </w:num>
  <w:num w:numId="36">
    <w:abstractNumId w:val="80"/>
  </w:num>
  <w:num w:numId="37">
    <w:abstractNumId w:val="47"/>
  </w:num>
  <w:num w:numId="38">
    <w:abstractNumId w:val="34"/>
  </w:num>
  <w:num w:numId="39">
    <w:abstractNumId w:val="175"/>
  </w:num>
  <w:num w:numId="40">
    <w:abstractNumId w:val="156"/>
  </w:num>
  <w:num w:numId="41">
    <w:abstractNumId w:val="189"/>
  </w:num>
  <w:num w:numId="42">
    <w:abstractNumId w:val="146"/>
  </w:num>
  <w:num w:numId="43">
    <w:abstractNumId w:val="119"/>
  </w:num>
  <w:num w:numId="44">
    <w:abstractNumId w:val="148"/>
  </w:num>
  <w:num w:numId="45">
    <w:abstractNumId w:val="98"/>
  </w:num>
  <w:num w:numId="46">
    <w:abstractNumId w:val="51"/>
  </w:num>
  <w:num w:numId="47">
    <w:abstractNumId w:val="21"/>
  </w:num>
  <w:num w:numId="48">
    <w:abstractNumId w:val="106"/>
  </w:num>
  <w:num w:numId="49">
    <w:abstractNumId w:val="28"/>
  </w:num>
  <w:num w:numId="50">
    <w:abstractNumId w:val="42"/>
  </w:num>
  <w:num w:numId="51">
    <w:abstractNumId w:val="118"/>
  </w:num>
  <w:num w:numId="52">
    <w:abstractNumId w:val="76"/>
  </w:num>
  <w:num w:numId="53">
    <w:abstractNumId w:val="131"/>
  </w:num>
  <w:num w:numId="54">
    <w:abstractNumId w:val="23"/>
  </w:num>
  <w:num w:numId="55">
    <w:abstractNumId w:val="133"/>
  </w:num>
  <w:num w:numId="56">
    <w:abstractNumId w:val="160"/>
  </w:num>
  <w:num w:numId="57">
    <w:abstractNumId w:val="62"/>
  </w:num>
  <w:num w:numId="58">
    <w:abstractNumId w:val="110"/>
  </w:num>
  <w:num w:numId="59">
    <w:abstractNumId w:val="100"/>
  </w:num>
  <w:num w:numId="60">
    <w:abstractNumId w:val="147"/>
  </w:num>
  <w:num w:numId="61">
    <w:abstractNumId w:val="130"/>
  </w:num>
  <w:num w:numId="62">
    <w:abstractNumId w:val="36"/>
  </w:num>
  <w:num w:numId="63">
    <w:abstractNumId w:val="95"/>
  </w:num>
  <w:num w:numId="64">
    <w:abstractNumId w:val="10"/>
  </w:num>
  <w:num w:numId="65">
    <w:abstractNumId w:val="111"/>
  </w:num>
  <w:num w:numId="66">
    <w:abstractNumId w:val="170"/>
  </w:num>
  <w:num w:numId="67">
    <w:abstractNumId w:val="122"/>
  </w:num>
  <w:num w:numId="68">
    <w:abstractNumId w:val="159"/>
  </w:num>
  <w:num w:numId="69">
    <w:abstractNumId w:val="35"/>
  </w:num>
  <w:num w:numId="70">
    <w:abstractNumId w:val="54"/>
  </w:num>
  <w:num w:numId="71">
    <w:abstractNumId w:val="67"/>
  </w:num>
  <w:num w:numId="72">
    <w:abstractNumId w:val="173"/>
  </w:num>
  <w:num w:numId="73">
    <w:abstractNumId w:val="186"/>
  </w:num>
  <w:num w:numId="74">
    <w:abstractNumId w:val="31"/>
  </w:num>
  <w:num w:numId="75">
    <w:abstractNumId w:val="171"/>
  </w:num>
  <w:num w:numId="76">
    <w:abstractNumId w:val="33"/>
  </w:num>
  <w:num w:numId="77">
    <w:abstractNumId w:val="92"/>
  </w:num>
  <w:num w:numId="78">
    <w:abstractNumId w:val="61"/>
  </w:num>
  <w:num w:numId="79">
    <w:abstractNumId w:val="113"/>
  </w:num>
  <w:num w:numId="80">
    <w:abstractNumId w:val="7"/>
  </w:num>
  <w:num w:numId="81">
    <w:abstractNumId w:val="163"/>
  </w:num>
  <w:num w:numId="82">
    <w:abstractNumId w:val="112"/>
  </w:num>
  <w:num w:numId="83">
    <w:abstractNumId w:val="176"/>
  </w:num>
  <w:num w:numId="84">
    <w:abstractNumId w:val="144"/>
  </w:num>
  <w:num w:numId="85">
    <w:abstractNumId w:val="94"/>
  </w:num>
  <w:num w:numId="86">
    <w:abstractNumId w:val="37"/>
  </w:num>
  <w:num w:numId="87">
    <w:abstractNumId w:val="120"/>
  </w:num>
  <w:num w:numId="88">
    <w:abstractNumId w:val="152"/>
  </w:num>
  <w:num w:numId="89">
    <w:abstractNumId w:val="177"/>
  </w:num>
  <w:num w:numId="90">
    <w:abstractNumId w:val="169"/>
  </w:num>
  <w:num w:numId="91">
    <w:abstractNumId w:val="58"/>
  </w:num>
  <w:num w:numId="92">
    <w:abstractNumId w:val="134"/>
  </w:num>
  <w:num w:numId="93">
    <w:abstractNumId w:val="158"/>
  </w:num>
  <w:num w:numId="94">
    <w:abstractNumId w:val="123"/>
  </w:num>
  <w:num w:numId="95">
    <w:abstractNumId w:val="117"/>
  </w:num>
  <w:num w:numId="96">
    <w:abstractNumId w:val="168"/>
  </w:num>
  <w:num w:numId="97">
    <w:abstractNumId w:val="197"/>
  </w:num>
  <w:num w:numId="98">
    <w:abstractNumId w:val="114"/>
  </w:num>
  <w:num w:numId="99">
    <w:abstractNumId w:val="151"/>
  </w:num>
  <w:num w:numId="100">
    <w:abstractNumId w:val="6"/>
  </w:num>
  <w:num w:numId="101">
    <w:abstractNumId w:val="53"/>
  </w:num>
  <w:num w:numId="102">
    <w:abstractNumId w:val="22"/>
  </w:num>
  <w:num w:numId="103">
    <w:abstractNumId w:val="180"/>
  </w:num>
  <w:num w:numId="104">
    <w:abstractNumId w:val="207"/>
  </w:num>
  <w:num w:numId="105">
    <w:abstractNumId w:val="87"/>
  </w:num>
  <w:num w:numId="106">
    <w:abstractNumId w:val="70"/>
  </w:num>
  <w:num w:numId="107">
    <w:abstractNumId w:val="63"/>
  </w:num>
  <w:num w:numId="108">
    <w:abstractNumId w:val="205"/>
  </w:num>
  <w:num w:numId="109">
    <w:abstractNumId w:val="39"/>
  </w:num>
  <w:num w:numId="110">
    <w:abstractNumId w:val="145"/>
  </w:num>
  <w:num w:numId="111">
    <w:abstractNumId w:val="93"/>
  </w:num>
  <w:num w:numId="112">
    <w:abstractNumId w:val="136"/>
  </w:num>
  <w:num w:numId="113">
    <w:abstractNumId w:val="66"/>
  </w:num>
  <w:num w:numId="114">
    <w:abstractNumId w:val="203"/>
  </w:num>
  <w:num w:numId="115">
    <w:abstractNumId w:val="137"/>
  </w:num>
  <w:num w:numId="116">
    <w:abstractNumId w:val="107"/>
  </w:num>
  <w:num w:numId="117">
    <w:abstractNumId w:val="82"/>
  </w:num>
  <w:num w:numId="118">
    <w:abstractNumId w:val="194"/>
  </w:num>
  <w:num w:numId="119">
    <w:abstractNumId w:val="140"/>
  </w:num>
  <w:num w:numId="120">
    <w:abstractNumId w:val="178"/>
  </w:num>
  <w:num w:numId="121">
    <w:abstractNumId w:val="141"/>
  </w:num>
  <w:num w:numId="122">
    <w:abstractNumId w:val="88"/>
  </w:num>
  <w:num w:numId="123">
    <w:abstractNumId w:val="195"/>
  </w:num>
  <w:num w:numId="124">
    <w:abstractNumId w:val="135"/>
  </w:num>
  <w:num w:numId="125">
    <w:abstractNumId w:val="0"/>
  </w:num>
  <w:num w:numId="126">
    <w:abstractNumId w:val="81"/>
  </w:num>
  <w:num w:numId="127">
    <w:abstractNumId w:val="165"/>
  </w:num>
  <w:num w:numId="128">
    <w:abstractNumId w:val="38"/>
  </w:num>
  <w:num w:numId="129">
    <w:abstractNumId w:val="4"/>
  </w:num>
  <w:num w:numId="130">
    <w:abstractNumId w:val="185"/>
  </w:num>
  <w:num w:numId="131">
    <w:abstractNumId w:val="164"/>
  </w:num>
  <w:num w:numId="132">
    <w:abstractNumId w:val="43"/>
  </w:num>
  <w:num w:numId="133">
    <w:abstractNumId w:val="2"/>
  </w:num>
  <w:num w:numId="134">
    <w:abstractNumId w:val="210"/>
  </w:num>
  <w:num w:numId="135">
    <w:abstractNumId w:val="3"/>
  </w:num>
  <w:num w:numId="136">
    <w:abstractNumId w:val="162"/>
  </w:num>
  <w:num w:numId="137">
    <w:abstractNumId w:val="5"/>
  </w:num>
  <w:num w:numId="138">
    <w:abstractNumId w:val="157"/>
  </w:num>
  <w:num w:numId="139">
    <w:abstractNumId w:val="13"/>
  </w:num>
  <w:num w:numId="140">
    <w:abstractNumId w:val="14"/>
  </w:num>
  <w:num w:numId="141">
    <w:abstractNumId w:val="116"/>
  </w:num>
  <w:num w:numId="142">
    <w:abstractNumId w:val="17"/>
  </w:num>
  <w:num w:numId="143">
    <w:abstractNumId w:val="64"/>
  </w:num>
  <w:num w:numId="144">
    <w:abstractNumId w:val="206"/>
  </w:num>
  <w:num w:numId="145">
    <w:abstractNumId w:val="155"/>
  </w:num>
  <w:num w:numId="146">
    <w:abstractNumId w:val="73"/>
  </w:num>
  <w:num w:numId="147">
    <w:abstractNumId w:val="9"/>
  </w:num>
  <w:num w:numId="148">
    <w:abstractNumId w:val="187"/>
  </w:num>
  <w:num w:numId="149">
    <w:abstractNumId w:val="166"/>
  </w:num>
  <w:num w:numId="150">
    <w:abstractNumId w:val="105"/>
  </w:num>
  <w:num w:numId="151">
    <w:abstractNumId w:val="19"/>
  </w:num>
  <w:num w:numId="152">
    <w:abstractNumId w:val="104"/>
  </w:num>
  <w:num w:numId="153">
    <w:abstractNumId w:val="102"/>
  </w:num>
  <w:num w:numId="154">
    <w:abstractNumId w:val="55"/>
  </w:num>
  <w:num w:numId="155">
    <w:abstractNumId w:val="11"/>
  </w:num>
  <w:num w:numId="156">
    <w:abstractNumId w:val="200"/>
  </w:num>
  <w:num w:numId="157">
    <w:abstractNumId w:val="202"/>
  </w:num>
  <w:num w:numId="158">
    <w:abstractNumId w:val="74"/>
  </w:num>
  <w:num w:numId="159">
    <w:abstractNumId w:val="143"/>
  </w:num>
  <w:num w:numId="160">
    <w:abstractNumId w:val="97"/>
  </w:num>
  <w:num w:numId="161">
    <w:abstractNumId w:val="72"/>
  </w:num>
  <w:num w:numId="162">
    <w:abstractNumId w:val="48"/>
  </w:num>
  <w:num w:numId="163">
    <w:abstractNumId w:val="18"/>
  </w:num>
  <w:num w:numId="164">
    <w:abstractNumId w:val="52"/>
  </w:num>
  <w:num w:numId="165">
    <w:abstractNumId w:val="49"/>
  </w:num>
  <w:num w:numId="166">
    <w:abstractNumId w:val="154"/>
  </w:num>
  <w:num w:numId="167">
    <w:abstractNumId w:val="138"/>
  </w:num>
  <w:num w:numId="168">
    <w:abstractNumId w:val="57"/>
  </w:num>
  <w:num w:numId="169">
    <w:abstractNumId w:val="198"/>
  </w:num>
  <w:num w:numId="170">
    <w:abstractNumId w:val="181"/>
  </w:num>
  <w:num w:numId="171">
    <w:abstractNumId w:val="167"/>
  </w:num>
  <w:num w:numId="172">
    <w:abstractNumId w:val="30"/>
  </w:num>
  <w:num w:numId="173">
    <w:abstractNumId w:val="179"/>
  </w:num>
  <w:num w:numId="174">
    <w:abstractNumId w:val="183"/>
  </w:num>
  <w:num w:numId="175">
    <w:abstractNumId w:val="27"/>
  </w:num>
  <w:num w:numId="176">
    <w:abstractNumId w:val="60"/>
  </w:num>
  <w:num w:numId="177">
    <w:abstractNumId w:val="45"/>
  </w:num>
  <w:num w:numId="178">
    <w:abstractNumId w:val="172"/>
  </w:num>
  <w:num w:numId="179">
    <w:abstractNumId w:val="132"/>
  </w:num>
  <w:num w:numId="180">
    <w:abstractNumId w:val="46"/>
  </w:num>
  <w:num w:numId="181">
    <w:abstractNumId w:val="129"/>
  </w:num>
  <w:num w:numId="182">
    <w:abstractNumId w:val="121"/>
  </w:num>
  <w:num w:numId="183">
    <w:abstractNumId w:val="32"/>
  </w:num>
  <w:num w:numId="184">
    <w:abstractNumId w:val="83"/>
  </w:num>
  <w:num w:numId="185">
    <w:abstractNumId w:val="142"/>
  </w:num>
  <w:num w:numId="186">
    <w:abstractNumId w:val="149"/>
  </w:num>
  <w:num w:numId="187">
    <w:abstractNumId w:val="15"/>
  </w:num>
  <w:num w:numId="188">
    <w:abstractNumId w:val="69"/>
  </w:num>
  <w:num w:numId="189">
    <w:abstractNumId w:val="77"/>
  </w:num>
  <w:num w:numId="190">
    <w:abstractNumId w:val="108"/>
  </w:num>
  <w:num w:numId="191">
    <w:abstractNumId w:val="127"/>
  </w:num>
  <w:num w:numId="192">
    <w:abstractNumId w:val="124"/>
  </w:num>
  <w:num w:numId="193">
    <w:abstractNumId w:val="188"/>
  </w:num>
  <w:num w:numId="194">
    <w:abstractNumId w:val="109"/>
  </w:num>
  <w:num w:numId="195">
    <w:abstractNumId w:val="99"/>
  </w:num>
  <w:num w:numId="196">
    <w:abstractNumId w:val="89"/>
  </w:num>
  <w:num w:numId="197">
    <w:abstractNumId w:val="40"/>
  </w:num>
  <w:num w:numId="198">
    <w:abstractNumId w:val="115"/>
  </w:num>
  <w:num w:numId="199">
    <w:abstractNumId w:val="50"/>
  </w:num>
  <w:num w:numId="200">
    <w:abstractNumId w:val="182"/>
  </w:num>
  <w:num w:numId="201">
    <w:abstractNumId w:val="199"/>
  </w:num>
  <w:num w:numId="202">
    <w:abstractNumId w:val="192"/>
  </w:num>
  <w:num w:numId="203">
    <w:abstractNumId w:val="91"/>
  </w:num>
  <w:num w:numId="204">
    <w:abstractNumId w:val="29"/>
  </w:num>
  <w:num w:numId="205">
    <w:abstractNumId w:val="84"/>
  </w:num>
  <w:num w:numId="20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84"/>
  </w:num>
  <w:num w:numId="211">
    <w:abstractNumId w:val="150"/>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NLE0MjYwNTQ0NzVU0lEKTi0uzszPAykwrAUAaRCJPCwAAAA="/>
  </w:docVars>
  <w:rsids>
    <w:rsidRoot w:val="00187BA3"/>
    <w:rsid w:val="00001800"/>
    <w:rsid w:val="000036C7"/>
    <w:rsid w:val="0001073F"/>
    <w:rsid w:val="0001484C"/>
    <w:rsid w:val="00014F04"/>
    <w:rsid w:val="00015B13"/>
    <w:rsid w:val="00015EE5"/>
    <w:rsid w:val="000171A1"/>
    <w:rsid w:val="00021834"/>
    <w:rsid w:val="00021FEA"/>
    <w:rsid w:val="00034E4B"/>
    <w:rsid w:val="00036656"/>
    <w:rsid w:val="000366BC"/>
    <w:rsid w:val="00040660"/>
    <w:rsid w:val="000414F6"/>
    <w:rsid w:val="00041CCC"/>
    <w:rsid w:val="00041F35"/>
    <w:rsid w:val="00043202"/>
    <w:rsid w:val="00043F95"/>
    <w:rsid w:val="00050CCC"/>
    <w:rsid w:val="00051F38"/>
    <w:rsid w:val="00056C09"/>
    <w:rsid w:val="000578EF"/>
    <w:rsid w:val="00062C89"/>
    <w:rsid w:val="00063045"/>
    <w:rsid w:val="00063D1A"/>
    <w:rsid w:val="000648CE"/>
    <w:rsid w:val="00064FEC"/>
    <w:rsid w:val="000657A8"/>
    <w:rsid w:val="00065D0C"/>
    <w:rsid w:val="00071B0D"/>
    <w:rsid w:val="000768AC"/>
    <w:rsid w:val="00080B1D"/>
    <w:rsid w:val="00082679"/>
    <w:rsid w:val="00090D97"/>
    <w:rsid w:val="00092D8B"/>
    <w:rsid w:val="00094ED6"/>
    <w:rsid w:val="00096860"/>
    <w:rsid w:val="000968C6"/>
    <w:rsid w:val="00097073"/>
    <w:rsid w:val="00097E92"/>
    <w:rsid w:val="000A277C"/>
    <w:rsid w:val="000A6EAB"/>
    <w:rsid w:val="000A7312"/>
    <w:rsid w:val="000B0DCD"/>
    <w:rsid w:val="000B7A71"/>
    <w:rsid w:val="000C78B8"/>
    <w:rsid w:val="000D5CD6"/>
    <w:rsid w:val="000E02DD"/>
    <w:rsid w:val="000E14DB"/>
    <w:rsid w:val="000E2352"/>
    <w:rsid w:val="000E2605"/>
    <w:rsid w:val="000E2BA9"/>
    <w:rsid w:val="000E45D4"/>
    <w:rsid w:val="000E5A78"/>
    <w:rsid w:val="000E6E0F"/>
    <w:rsid w:val="000F4D7F"/>
    <w:rsid w:val="000F56D6"/>
    <w:rsid w:val="001035CE"/>
    <w:rsid w:val="001060DD"/>
    <w:rsid w:val="001124B8"/>
    <w:rsid w:val="00116B73"/>
    <w:rsid w:val="00122110"/>
    <w:rsid w:val="0012279D"/>
    <w:rsid w:val="001260FA"/>
    <w:rsid w:val="00144C58"/>
    <w:rsid w:val="00146A73"/>
    <w:rsid w:val="00146FA3"/>
    <w:rsid w:val="00150FA6"/>
    <w:rsid w:val="0015288D"/>
    <w:rsid w:val="001528A9"/>
    <w:rsid w:val="0015481C"/>
    <w:rsid w:val="00155462"/>
    <w:rsid w:val="001565D2"/>
    <w:rsid w:val="00161351"/>
    <w:rsid w:val="00162635"/>
    <w:rsid w:val="00164FEE"/>
    <w:rsid w:val="001662C9"/>
    <w:rsid w:val="00170E50"/>
    <w:rsid w:val="00171D80"/>
    <w:rsid w:val="00172112"/>
    <w:rsid w:val="001730AB"/>
    <w:rsid w:val="00174593"/>
    <w:rsid w:val="0017531C"/>
    <w:rsid w:val="001753BF"/>
    <w:rsid w:val="00175649"/>
    <w:rsid w:val="00175C52"/>
    <w:rsid w:val="00176DDF"/>
    <w:rsid w:val="00177841"/>
    <w:rsid w:val="0018521E"/>
    <w:rsid w:val="00185239"/>
    <w:rsid w:val="00185A7E"/>
    <w:rsid w:val="00186C35"/>
    <w:rsid w:val="00186E42"/>
    <w:rsid w:val="00187BA3"/>
    <w:rsid w:val="001B13FE"/>
    <w:rsid w:val="001B4EF2"/>
    <w:rsid w:val="001C217F"/>
    <w:rsid w:val="001D24E4"/>
    <w:rsid w:val="001D28F8"/>
    <w:rsid w:val="001D40F8"/>
    <w:rsid w:val="001D484A"/>
    <w:rsid w:val="001D6A5B"/>
    <w:rsid w:val="001D7903"/>
    <w:rsid w:val="001E05D1"/>
    <w:rsid w:val="001E0DF7"/>
    <w:rsid w:val="001E5B2F"/>
    <w:rsid w:val="001E738E"/>
    <w:rsid w:val="001F1449"/>
    <w:rsid w:val="001F345F"/>
    <w:rsid w:val="001F4A3C"/>
    <w:rsid w:val="001F6712"/>
    <w:rsid w:val="00200FCF"/>
    <w:rsid w:val="00207691"/>
    <w:rsid w:val="0020771B"/>
    <w:rsid w:val="002145F1"/>
    <w:rsid w:val="002165EA"/>
    <w:rsid w:val="0021676E"/>
    <w:rsid w:val="00217419"/>
    <w:rsid w:val="002177F4"/>
    <w:rsid w:val="00221384"/>
    <w:rsid w:val="00221C7A"/>
    <w:rsid w:val="00224547"/>
    <w:rsid w:val="00225149"/>
    <w:rsid w:val="00227150"/>
    <w:rsid w:val="00230B80"/>
    <w:rsid w:val="00231660"/>
    <w:rsid w:val="00231F54"/>
    <w:rsid w:val="00233F79"/>
    <w:rsid w:val="00243928"/>
    <w:rsid w:val="0025228A"/>
    <w:rsid w:val="0025283A"/>
    <w:rsid w:val="00255B40"/>
    <w:rsid w:val="00256D37"/>
    <w:rsid w:val="00260D24"/>
    <w:rsid w:val="00262CC3"/>
    <w:rsid w:val="00263322"/>
    <w:rsid w:val="002651E9"/>
    <w:rsid w:val="0026691E"/>
    <w:rsid w:val="00267769"/>
    <w:rsid w:val="002758A4"/>
    <w:rsid w:val="00275A41"/>
    <w:rsid w:val="00284A3D"/>
    <w:rsid w:val="00285B5C"/>
    <w:rsid w:val="00287E18"/>
    <w:rsid w:val="0029188E"/>
    <w:rsid w:val="002929B1"/>
    <w:rsid w:val="002A0C02"/>
    <w:rsid w:val="002A1864"/>
    <w:rsid w:val="002A7272"/>
    <w:rsid w:val="002B07F4"/>
    <w:rsid w:val="002B10E2"/>
    <w:rsid w:val="002B377C"/>
    <w:rsid w:val="002C165F"/>
    <w:rsid w:val="002C5128"/>
    <w:rsid w:val="002C63FA"/>
    <w:rsid w:val="002C7010"/>
    <w:rsid w:val="002D04FB"/>
    <w:rsid w:val="002D2CF7"/>
    <w:rsid w:val="002D32BF"/>
    <w:rsid w:val="002D4BC6"/>
    <w:rsid w:val="002D6604"/>
    <w:rsid w:val="002E0516"/>
    <w:rsid w:val="002E0F4E"/>
    <w:rsid w:val="002E5470"/>
    <w:rsid w:val="002E6C4C"/>
    <w:rsid w:val="002F1A41"/>
    <w:rsid w:val="002F38B6"/>
    <w:rsid w:val="002F7719"/>
    <w:rsid w:val="002F788D"/>
    <w:rsid w:val="00300783"/>
    <w:rsid w:val="00300D55"/>
    <w:rsid w:val="00301C01"/>
    <w:rsid w:val="00303629"/>
    <w:rsid w:val="00311757"/>
    <w:rsid w:val="00312568"/>
    <w:rsid w:val="0031459E"/>
    <w:rsid w:val="00315A5D"/>
    <w:rsid w:val="0032061E"/>
    <w:rsid w:val="003263CD"/>
    <w:rsid w:val="003302AF"/>
    <w:rsid w:val="0033051F"/>
    <w:rsid w:val="003329C6"/>
    <w:rsid w:val="00334F6C"/>
    <w:rsid w:val="00337A20"/>
    <w:rsid w:val="00342C61"/>
    <w:rsid w:val="00342EE0"/>
    <w:rsid w:val="003430E6"/>
    <w:rsid w:val="00347A28"/>
    <w:rsid w:val="00350A7D"/>
    <w:rsid w:val="003527A8"/>
    <w:rsid w:val="0035419A"/>
    <w:rsid w:val="00354395"/>
    <w:rsid w:val="00356F3C"/>
    <w:rsid w:val="00364741"/>
    <w:rsid w:val="0036727F"/>
    <w:rsid w:val="00370263"/>
    <w:rsid w:val="0037117A"/>
    <w:rsid w:val="003730F6"/>
    <w:rsid w:val="0037419B"/>
    <w:rsid w:val="003741B5"/>
    <w:rsid w:val="0037752C"/>
    <w:rsid w:val="00381476"/>
    <w:rsid w:val="00384B6A"/>
    <w:rsid w:val="0038545E"/>
    <w:rsid w:val="0039190D"/>
    <w:rsid w:val="00392E36"/>
    <w:rsid w:val="00396F46"/>
    <w:rsid w:val="003A0423"/>
    <w:rsid w:val="003A282F"/>
    <w:rsid w:val="003A661A"/>
    <w:rsid w:val="003B006C"/>
    <w:rsid w:val="003B0404"/>
    <w:rsid w:val="003B392D"/>
    <w:rsid w:val="003B54BA"/>
    <w:rsid w:val="003B7A61"/>
    <w:rsid w:val="003C0FA3"/>
    <w:rsid w:val="003C110C"/>
    <w:rsid w:val="003C79A2"/>
    <w:rsid w:val="003D3A29"/>
    <w:rsid w:val="003D4CEB"/>
    <w:rsid w:val="003D5DEB"/>
    <w:rsid w:val="003E0500"/>
    <w:rsid w:val="003E2397"/>
    <w:rsid w:val="003E254E"/>
    <w:rsid w:val="003E29AE"/>
    <w:rsid w:val="003F0349"/>
    <w:rsid w:val="003F0AA9"/>
    <w:rsid w:val="003F2205"/>
    <w:rsid w:val="003F54B8"/>
    <w:rsid w:val="00401821"/>
    <w:rsid w:val="00401CD5"/>
    <w:rsid w:val="00402261"/>
    <w:rsid w:val="00402333"/>
    <w:rsid w:val="0040701D"/>
    <w:rsid w:val="00407213"/>
    <w:rsid w:val="0040765B"/>
    <w:rsid w:val="00410741"/>
    <w:rsid w:val="00413E6C"/>
    <w:rsid w:val="004158BC"/>
    <w:rsid w:val="00417BB2"/>
    <w:rsid w:val="00422C46"/>
    <w:rsid w:val="00423B24"/>
    <w:rsid w:val="00426647"/>
    <w:rsid w:val="00427B0E"/>
    <w:rsid w:val="00435A99"/>
    <w:rsid w:val="004403B5"/>
    <w:rsid w:val="00441E32"/>
    <w:rsid w:val="00442AB7"/>
    <w:rsid w:val="00442E27"/>
    <w:rsid w:val="0044339D"/>
    <w:rsid w:val="00443A6F"/>
    <w:rsid w:val="0044532A"/>
    <w:rsid w:val="00450CC5"/>
    <w:rsid w:val="00456685"/>
    <w:rsid w:val="004577A8"/>
    <w:rsid w:val="00461772"/>
    <w:rsid w:val="00461929"/>
    <w:rsid w:val="00463D76"/>
    <w:rsid w:val="004664C1"/>
    <w:rsid w:val="00467FA0"/>
    <w:rsid w:val="0047349C"/>
    <w:rsid w:val="004735D2"/>
    <w:rsid w:val="00477ACC"/>
    <w:rsid w:val="004801CE"/>
    <w:rsid w:val="00480B19"/>
    <w:rsid w:val="004871F2"/>
    <w:rsid w:val="0048745A"/>
    <w:rsid w:val="004914BD"/>
    <w:rsid w:val="00493844"/>
    <w:rsid w:val="00494319"/>
    <w:rsid w:val="0049507C"/>
    <w:rsid w:val="0049584C"/>
    <w:rsid w:val="00495DD8"/>
    <w:rsid w:val="0049725A"/>
    <w:rsid w:val="004978B3"/>
    <w:rsid w:val="004A0BA3"/>
    <w:rsid w:val="004A21C0"/>
    <w:rsid w:val="004A4546"/>
    <w:rsid w:val="004A7406"/>
    <w:rsid w:val="004B1A79"/>
    <w:rsid w:val="004B254B"/>
    <w:rsid w:val="004B7BA3"/>
    <w:rsid w:val="004C0214"/>
    <w:rsid w:val="004C037A"/>
    <w:rsid w:val="004C0EED"/>
    <w:rsid w:val="004C1C16"/>
    <w:rsid w:val="004C6DE4"/>
    <w:rsid w:val="004C7535"/>
    <w:rsid w:val="004D1B5D"/>
    <w:rsid w:val="004D6665"/>
    <w:rsid w:val="004D6B87"/>
    <w:rsid w:val="004E1288"/>
    <w:rsid w:val="004E3BF7"/>
    <w:rsid w:val="004E5E50"/>
    <w:rsid w:val="004E71DE"/>
    <w:rsid w:val="004F0134"/>
    <w:rsid w:val="004F1D40"/>
    <w:rsid w:val="004F413D"/>
    <w:rsid w:val="004F4F24"/>
    <w:rsid w:val="004F6B12"/>
    <w:rsid w:val="005008F9"/>
    <w:rsid w:val="00500F3E"/>
    <w:rsid w:val="00512374"/>
    <w:rsid w:val="00512B9A"/>
    <w:rsid w:val="0052193F"/>
    <w:rsid w:val="005219AF"/>
    <w:rsid w:val="0052462B"/>
    <w:rsid w:val="0052679E"/>
    <w:rsid w:val="00532A0E"/>
    <w:rsid w:val="00537471"/>
    <w:rsid w:val="0054544D"/>
    <w:rsid w:val="00546683"/>
    <w:rsid w:val="00554450"/>
    <w:rsid w:val="00554F5D"/>
    <w:rsid w:val="005627B3"/>
    <w:rsid w:val="00562845"/>
    <w:rsid w:val="00566FC8"/>
    <w:rsid w:val="005708CB"/>
    <w:rsid w:val="00571482"/>
    <w:rsid w:val="00576B90"/>
    <w:rsid w:val="00577102"/>
    <w:rsid w:val="00577624"/>
    <w:rsid w:val="00582655"/>
    <w:rsid w:val="00583004"/>
    <w:rsid w:val="0059411A"/>
    <w:rsid w:val="005A50FB"/>
    <w:rsid w:val="005A56BB"/>
    <w:rsid w:val="005A5BFA"/>
    <w:rsid w:val="005A6E15"/>
    <w:rsid w:val="005B0324"/>
    <w:rsid w:val="005B0A67"/>
    <w:rsid w:val="005B2989"/>
    <w:rsid w:val="005B43D8"/>
    <w:rsid w:val="005B54C3"/>
    <w:rsid w:val="005B6D15"/>
    <w:rsid w:val="005B7062"/>
    <w:rsid w:val="005C25FB"/>
    <w:rsid w:val="005C2C63"/>
    <w:rsid w:val="005C5D2F"/>
    <w:rsid w:val="005C7877"/>
    <w:rsid w:val="005D0A68"/>
    <w:rsid w:val="005D4E90"/>
    <w:rsid w:val="005D7260"/>
    <w:rsid w:val="005D72F0"/>
    <w:rsid w:val="005E12CF"/>
    <w:rsid w:val="005E7AFF"/>
    <w:rsid w:val="005F2D66"/>
    <w:rsid w:val="005F668D"/>
    <w:rsid w:val="00604A5B"/>
    <w:rsid w:val="00610A16"/>
    <w:rsid w:val="00613DB8"/>
    <w:rsid w:val="00617B53"/>
    <w:rsid w:val="00621751"/>
    <w:rsid w:val="00624531"/>
    <w:rsid w:val="006250AC"/>
    <w:rsid w:val="0062583E"/>
    <w:rsid w:val="006364D5"/>
    <w:rsid w:val="0064071E"/>
    <w:rsid w:val="006425FF"/>
    <w:rsid w:val="006446FF"/>
    <w:rsid w:val="00646B1A"/>
    <w:rsid w:val="00647057"/>
    <w:rsid w:val="006534F0"/>
    <w:rsid w:val="00653525"/>
    <w:rsid w:val="00655C97"/>
    <w:rsid w:val="0065783B"/>
    <w:rsid w:val="006619AD"/>
    <w:rsid w:val="0066485C"/>
    <w:rsid w:val="00665A6C"/>
    <w:rsid w:val="00665C29"/>
    <w:rsid w:val="0066740A"/>
    <w:rsid w:val="00674635"/>
    <w:rsid w:val="00684975"/>
    <w:rsid w:val="0068676A"/>
    <w:rsid w:val="0068704A"/>
    <w:rsid w:val="00687492"/>
    <w:rsid w:val="00690549"/>
    <w:rsid w:val="00690B03"/>
    <w:rsid w:val="006948A9"/>
    <w:rsid w:val="00695151"/>
    <w:rsid w:val="0069587D"/>
    <w:rsid w:val="00697DD3"/>
    <w:rsid w:val="006A017B"/>
    <w:rsid w:val="006A5F00"/>
    <w:rsid w:val="006B7459"/>
    <w:rsid w:val="006C0C64"/>
    <w:rsid w:val="006C3E0B"/>
    <w:rsid w:val="006C5550"/>
    <w:rsid w:val="006C7FA2"/>
    <w:rsid w:val="006D1C3B"/>
    <w:rsid w:val="006D2D89"/>
    <w:rsid w:val="006D6B46"/>
    <w:rsid w:val="006E0A80"/>
    <w:rsid w:val="006E172F"/>
    <w:rsid w:val="006E20DB"/>
    <w:rsid w:val="006E5E8C"/>
    <w:rsid w:val="006E6304"/>
    <w:rsid w:val="006F29CD"/>
    <w:rsid w:val="006F5BE4"/>
    <w:rsid w:val="00700530"/>
    <w:rsid w:val="00702D8D"/>
    <w:rsid w:val="007056AB"/>
    <w:rsid w:val="00716588"/>
    <w:rsid w:val="00717D75"/>
    <w:rsid w:val="00721F93"/>
    <w:rsid w:val="007244A8"/>
    <w:rsid w:val="00724DB2"/>
    <w:rsid w:val="0072615F"/>
    <w:rsid w:val="0073243E"/>
    <w:rsid w:val="00737866"/>
    <w:rsid w:val="00737943"/>
    <w:rsid w:val="0074544F"/>
    <w:rsid w:val="0075206A"/>
    <w:rsid w:val="00754DD3"/>
    <w:rsid w:val="007562AB"/>
    <w:rsid w:val="007717F3"/>
    <w:rsid w:val="007737BD"/>
    <w:rsid w:val="0077688A"/>
    <w:rsid w:val="007813BC"/>
    <w:rsid w:val="0078466D"/>
    <w:rsid w:val="0079220F"/>
    <w:rsid w:val="0079328C"/>
    <w:rsid w:val="007936C4"/>
    <w:rsid w:val="007946A5"/>
    <w:rsid w:val="007A10E9"/>
    <w:rsid w:val="007A344D"/>
    <w:rsid w:val="007A47CE"/>
    <w:rsid w:val="007A52E6"/>
    <w:rsid w:val="007A672C"/>
    <w:rsid w:val="007A7FBE"/>
    <w:rsid w:val="007B6060"/>
    <w:rsid w:val="007B620C"/>
    <w:rsid w:val="007B772C"/>
    <w:rsid w:val="007C192F"/>
    <w:rsid w:val="007C1C15"/>
    <w:rsid w:val="007C3C41"/>
    <w:rsid w:val="007D42AC"/>
    <w:rsid w:val="007D6C0A"/>
    <w:rsid w:val="007E1018"/>
    <w:rsid w:val="007E1A53"/>
    <w:rsid w:val="007E3301"/>
    <w:rsid w:val="007E429F"/>
    <w:rsid w:val="007E7369"/>
    <w:rsid w:val="007F0EE9"/>
    <w:rsid w:val="007F2CD8"/>
    <w:rsid w:val="007F529C"/>
    <w:rsid w:val="008001E4"/>
    <w:rsid w:val="00800352"/>
    <w:rsid w:val="00802EFF"/>
    <w:rsid w:val="0081411B"/>
    <w:rsid w:val="008141CB"/>
    <w:rsid w:val="008216A7"/>
    <w:rsid w:val="00821723"/>
    <w:rsid w:val="0082750B"/>
    <w:rsid w:val="00827F70"/>
    <w:rsid w:val="00831EAA"/>
    <w:rsid w:val="00832124"/>
    <w:rsid w:val="00834AEB"/>
    <w:rsid w:val="008358AE"/>
    <w:rsid w:val="008371F9"/>
    <w:rsid w:val="00837BC5"/>
    <w:rsid w:val="00841A43"/>
    <w:rsid w:val="00841FEF"/>
    <w:rsid w:val="008434F9"/>
    <w:rsid w:val="0085474C"/>
    <w:rsid w:val="00854903"/>
    <w:rsid w:val="008609AE"/>
    <w:rsid w:val="00861F2F"/>
    <w:rsid w:val="008679B5"/>
    <w:rsid w:val="00871548"/>
    <w:rsid w:val="00872927"/>
    <w:rsid w:val="00872B3C"/>
    <w:rsid w:val="00875B79"/>
    <w:rsid w:val="008762E9"/>
    <w:rsid w:val="00876A43"/>
    <w:rsid w:val="00877EF5"/>
    <w:rsid w:val="00880FB4"/>
    <w:rsid w:val="008810D9"/>
    <w:rsid w:val="00886B7D"/>
    <w:rsid w:val="00890B9B"/>
    <w:rsid w:val="00890C4B"/>
    <w:rsid w:val="00895771"/>
    <w:rsid w:val="008964CF"/>
    <w:rsid w:val="00897B91"/>
    <w:rsid w:val="008A0973"/>
    <w:rsid w:val="008A24EB"/>
    <w:rsid w:val="008A2747"/>
    <w:rsid w:val="008A39E5"/>
    <w:rsid w:val="008A6C58"/>
    <w:rsid w:val="008B0A4A"/>
    <w:rsid w:val="008B322C"/>
    <w:rsid w:val="008B402F"/>
    <w:rsid w:val="008C0296"/>
    <w:rsid w:val="008C6D6D"/>
    <w:rsid w:val="008D50EC"/>
    <w:rsid w:val="008D6C00"/>
    <w:rsid w:val="008D6D89"/>
    <w:rsid w:val="008D6F8C"/>
    <w:rsid w:val="008E0C3A"/>
    <w:rsid w:val="008E1B7D"/>
    <w:rsid w:val="008E1EF9"/>
    <w:rsid w:val="008E497E"/>
    <w:rsid w:val="008E7EEC"/>
    <w:rsid w:val="00901962"/>
    <w:rsid w:val="00903272"/>
    <w:rsid w:val="00906BDC"/>
    <w:rsid w:val="00910303"/>
    <w:rsid w:val="009103C4"/>
    <w:rsid w:val="00911FEB"/>
    <w:rsid w:val="0091604A"/>
    <w:rsid w:val="009164E0"/>
    <w:rsid w:val="00923191"/>
    <w:rsid w:val="00924161"/>
    <w:rsid w:val="00924918"/>
    <w:rsid w:val="009318D0"/>
    <w:rsid w:val="009359F4"/>
    <w:rsid w:val="009408D3"/>
    <w:rsid w:val="009417DC"/>
    <w:rsid w:val="009423C8"/>
    <w:rsid w:val="00946706"/>
    <w:rsid w:val="009470C1"/>
    <w:rsid w:val="00953107"/>
    <w:rsid w:val="00953A70"/>
    <w:rsid w:val="00962FAC"/>
    <w:rsid w:val="009631F9"/>
    <w:rsid w:val="0097294B"/>
    <w:rsid w:val="00973A7E"/>
    <w:rsid w:val="00985FE3"/>
    <w:rsid w:val="009865B8"/>
    <w:rsid w:val="009878CA"/>
    <w:rsid w:val="0099072E"/>
    <w:rsid w:val="00991BF8"/>
    <w:rsid w:val="00992D76"/>
    <w:rsid w:val="0099762E"/>
    <w:rsid w:val="009A11DA"/>
    <w:rsid w:val="009A2FEF"/>
    <w:rsid w:val="009B0DDF"/>
    <w:rsid w:val="009B4039"/>
    <w:rsid w:val="009B6587"/>
    <w:rsid w:val="009B7244"/>
    <w:rsid w:val="009B77D9"/>
    <w:rsid w:val="009C0364"/>
    <w:rsid w:val="009C1559"/>
    <w:rsid w:val="009C3091"/>
    <w:rsid w:val="009C36FB"/>
    <w:rsid w:val="009C6B5A"/>
    <w:rsid w:val="009D1643"/>
    <w:rsid w:val="009D3B73"/>
    <w:rsid w:val="009E2C2B"/>
    <w:rsid w:val="009E685D"/>
    <w:rsid w:val="009E6AE7"/>
    <w:rsid w:val="009F2091"/>
    <w:rsid w:val="009F231E"/>
    <w:rsid w:val="009F4FA6"/>
    <w:rsid w:val="009F5D92"/>
    <w:rsid w:val="009F6196"/>
    <w:rsid w:val="009F744C"/>
    <w:rsid w:val="00A054AC"/>
    <w:rsid w:val="00A07386"/>
    <w:rsid w:val="00A15CB7"/>
    <w:rsid w:val="00A16E51"/>
    <w:rsid w:val="00A22A78"/>
    <w:rsid w:val="00A231F6"/>
    <w:rsid w:val="00A259BD"/>
    <w:rsid w:val="00A25C25"/>
    <w:rsid w:val="00A26422"/>
    <w:rsid w:val="00A311CB"/>
    <w:rsid w:val="00A41DBB"/>
    <w:rsid w:val="00A41E3F"/>
    <w:rsid w:val="00A4325F"/>
    <w:rsid w:val="00A43CE5"/>
    <w:rsid w:val="00A45883"/>
    <w:rsid w:val="00A46466"/>
    <w:rsid w:val="00A478F1"/>
    <w:rsid w:val="00A519D4"/>
    <w:rsid w:val="00A522A5"/>
    <w:rsid w:val="00A53CD4"/>
    <w:rsid w:val="00A54A0B"/>
    <w:rsid w:val="00A54C2B"/>
    <w:rsid w:val="00A54E67"/>
    <w:rsid w:val="00A55F6F"/>
    <w:rsid w:val="00A57060"/>
    <w:rsid w:val="00A571EA"/>
    <w:rsid w:val="00A666D3"/>
    <w:rsid w:val="00A70F44"/>
    <w:rsid w:val="00A80828"/>
    <w:rsid w:val="00A808FF"/>
    <w:rsid w:val="00A81848"/>
    <w:rsid w:val="00A836D8"/>
    <w:rsid w:val="00A83C66"/>
    <w:rsid w:val="00A84901"/>
    <w:rsid w:val="00A8531D"/>
    <w:rsid w:val="00A859D3"/>
    <w:rsid w:val="00A86E5F"/>
    <w:rsid w:val="00A87256"/>
    <w:rsid w:val="00A91645"/>
    <w:rsid w:val="00A9169E"/>
    <w:rsid w:val="00A93407"/>
    <w:rsid w:val="00AA297E"/>
    <w:rsid w:val="00AA49EC"/>
    <w:rsid w:val="00AB1CCB"/>
    <w:rsid w:val="00AB384B"/>
    <w:rsid w:val="00AB3FBF"/>
    <w:rsid w:val="00AB4DB0"/>
    <w:rsid w:val="00AB6FCB"/>
    <w:rsid w:val="00AC12A4"/>
    <w:rsid w:val="00AC4C6F"/>
    <w:rsid w:val="00AD5514"/>
    <w:rsid w:val="00AE1E64"/>
    <w:rsid w:val="00AE3406"/>
    <w:rsid w:val="00AE5DB2"/>
    <w:rsid w:val="00AE77FF"/>
    <w:rsid w:val="00AF3168"/>
    <w:rsid w:val="00AF52E2"/>
    <w:rsid w:val="00AF7684"/>
    <w:rsid w:val="00B006A6"/>
    <w:rsid w:val="00B00BD0"/>
    <w:rsid w:val="00B02E09"/>
    <w:rsid w:val="00B03BC2"/>
    <w:rsid w:val="00B03CC6"/>
    <w:rsid w:val="00B0429E"/>
    <w:rsid w:val="00B0565A"/>
    <w:rsid w:val="00B057FE"/>
    <w:rsid w:val="00B05B54"/>
    <w:rsid w:val="00B06A6D"/>
    <w:rsid w:val="00B075C5"/>
    <w:rsid w:val="00B104EF"/>
    <w:rsid w:val="00B134B0"/>
    <w:rsid w:val="00B145CD"/>
    <w:rsid w:val="00B16451"/>
    <w:rsid w:val="00B16734"/>
    <w:rsid w:val="00B16826"/>
    <w:rsid w:val="00B21452"/>
    <w:rsid w:val="00B23363"/>
    <w:rsid w:val="00B264A8"/>
    <w:rsid w:val="00B33912"/>
    <w:rsid w:val="00B33AB3"/>
    <w:rsid w:val="00B356F3"/>
    <w:rsid w:val="00B436BD"/>
    <w:rsid w:val="00B449BB"/>
    <w:rsid w:val="00B46390"/>
    <w:rsid w:val="00B468B9"/>
    <w:rsid w:val="00B51DC9"/>
    <w:rsid w:val="00B54589"/>
    <w:rsid w:val="00B569C3"/>
    <w:rsid w:val="00B57ECE"/>
    <w:rsid w:val="00B6051D"/>
    <w:rsid w:val="00B61BD5"/>
    <w:rsid w:val="00B6445C"/>
    <w:rsid w:val="00B65A2B"/>
    <w:rsid w:val="00B660FE"/>
    <w:rsid w:val="00B706A9"/>
    <w:rsid w:val="00B7152D"/>
    <w:rsid w:val="00B7479D"/>
    <w:rsid w:val="00B80D71"/>
    <w:rsid w:val="00B8195D"/>
    <w:rsid w:val="00B8218A"/>
    <w:rsid w:val="00B83DBD"/>
    <w:rsid w:val="00B8401B"/>
    <w:rsid w:val="00B85022"/>
    <w:rsid w:val="00B8507B"/>
    <w:rsid w:val="00B9412E"/>
    <w:rsid w:val="00B97FFA"/>
    <w:rsid w:val="00BA157E"/>
    <w:rsid w:val="00BA2398"/>
    <w:rsid w:val="00BA46B4"/>
    <w:rsid w:val="00BB661F"/>
    <w:rsid w:val="00BB7996"/>
    <w:rsid w:val="00BB7C62"/>
    <w:rsid w:val="00BC0F0B"/>
    <w:rsid w:val="00BC3865"/>
    <w:rsid w:val="00BC52A6"/>
    <w:rsid w:val="00BC7258"/>
    <w:rsid w:val="00BD1243"/>
    <w:rsid w:val="00BD1ED5"/>
    <w:rsid w:val="00BD2E10"/>
    <w:rsid w:val="00BD30F5"/>
    <w:rsid w:val="00BD6E2A"/>
    <w:rsid w:val="00BE30F2"/>
    <w:rsid w:val="00BE5D4B"/>
    <w:rsid w:val="00BE61A4"/>
    <w:rsid w:val="00BF18BF"/>
    <w:rsid w:val="00BF1B99"/>
    <w:rsid w:val="00BF3A59"/>
    <w:rsid w:val="00BF3F8D"/>
    <w:rsid w:val="00BF6032"/>
    <w:rsid w:val="00C00960"/>
    <w:rsid w:val="00C02508"/>
    <w:rsid w:val="00C03FB1"/>
    <w:rsid w:val="00C10D41"/>
    <w:rsid w:val="00C1188C"/>
    <w:rsid w:val="00C11D68"/>
    <w:rsid w:val="00C12369"/>
    <w:rsid w:val="00C12988"/>
    <w:rsid w:val="00C20DD2"/>
    <w:rsid w:val="00C25E9D"/>
    <w:rsid w:val="00C31EFD"/>
    <w:rsid w:val="00C346EB"/>
    <w:rsid w:val="00C34847"/>
    <w:rsid w:val="00C40BD7"/>
    <w:rsid w:val="00C4469F"/>
    <w:rsid w:val="00C452E1"/>
    <w:rsid w:val="00C4630C"/>
    <w:rsid w:val="00C466DA"/>
    <w:rsid w:val="00C50E9F"/>
    <w:rsid w:val="00C51C7E"/>
    <w:rsid w:val="00C57AE8"/>
    <w:rsid w:val="00C6020A"/>
    <w:rsid w:val="00C61038"/>
    <w:rsid w:val="00C61CE9"/>
    <w:rsid w:val="00C6417C"/>
    <w:rsid w:val="00C648C4"/>
    <w:rsid w:val="00C65C60"/>
    <w:rsid w:val="00C65E68"/>
    <w:rsid w:val="00C71654"/>
    <w:rsid w:val="00C71A63"/>
    <w:rsid w:val="00C7219D"/>
    <w:rsid w:val="00C76650"/>
    <w:rsid w:val="00C8596F"/>
    <w:rsid w:val="00C85A73"/>
    <w:rsid w:val="00C9051B"/>
    <w:rsid w:val="00C90680"/>
    <w:rsid w:val="00C9220A"/>
    <w:rsid w:val="00C92724"/>
    <w:rsid w:val="00CA3A78"/>
    <w:rsid w:val="00CA3E60"/>
    <w:rsid w:val="00CB07EE"/>
    <w:rsid w:val="00CB29F4"/>
    <w:rsid w:val="00CB562F"/>
    <w:rsid w:val="00CB68F0"/>
    <w:rsid w:val="00CB6FFD"/>
    <w:rsid w:val="00CB71DA"/>
    <w:rsid w:val="00CC07D9"/>
    <w:rsid w:val="00CC24FE"/>
    <w:rsid w:val="00CC3E4A"/>
    <w:rsid w:val="00CC5156"/>
    <w:rsid w:val="00CC5BAC"/>
    <w:rsid w:val="00CC7701"/>
    <w:rsid w:val="00CC7927"/>
    <w:rsid w:val="00CD2797"/>
    <w:rsid w:val="00CD4024"/>
    <w:rsid w:val="00CD66FC"/>
    <w:rsid w:val="00CD75E6"/>
    <w:rsid w:val="00CD77AA"/>
    <w:rsid w:val="00CE0D10"/>
    <w:rsid w:val="00CE0E26"/>
    <w:rsid w:val="00CE3AE3"/>
    <w:rsid w:val="00CF18C6"/>
    <w:rsid w:val="00CF74E8"/>
    <w:rsid w:val="00D051CB"/>
    <w:rsid w:val="00D06541"/>
    <w:rsid w:val="00D07C36"/>
    <w:rsid w:val="00D2153B"/>
    <w:rsid w:val="00D2226B"/>
    <w:rsid w:val="00D22A46"/>
    <w:rsid w:val="00D22DC2"/>
    <w:rsid w:val="00D234C0"/>
    <w:rsid w:val="00D254F2"/>
    <w:rsid w:val="00D3063E"/>
    <w:rsid w:val="00D30F0A"/>
    <w:rsid w:val="00D32112"/>
    <w:rsid w:val="00D41455"/>
    <w:rsid w:val="00D44573"/>
    <w:rsid w:val="00D4546D"/>
    <w:rsid w:val="00D462F1"/>
    <w:rsid w:val="00D51163"/>
    <w:rsid w:val="00D5263C"/>
    <w:rsid w:val="00D5342C"/>
    <w:rsid w:val="00D570F8"/>
    <w:rsid w:val="00D61017"/>
    <w:rsid w:val="00D62304"/>
    <w:rsid w:val="00D63FBB"/>
    <w:rsid w:val="00D67C73"/>
    <w:rsid w:val="00D7407F"/>
    <w:rsid w:val="00D74813"/>
    <w:rsid w:val="00D75819"/>
    <w:rsid w:val="00D84C86"/>
    <w:rsid w:val="00D84E8C"/>
    <w:rsid w:val="00D85B71"/>
    <w:rsid w:val="00D90134"/>
    <w:rsid w:val="00D91256"/>
    <w:rsid w:val="00D916F1"/>
    <w:rsid w:val="00D92BF9"/>
    <w:rsid w:val="00D95B78"/>
    <w:rsid w:val="00D96EAB"/>
    <w:rsid w:val="00D977B1"/>
    <w:rsid w:val="00DA5C21"/>
    <w:rsid w:val="00DA711B"/>
    <w:rsid w:val="00DB0D55"/>
    <w:rsid w:val="00DB4171"/>
    <w:rsid w:val="00DC1F88"/>
    <w:rsid w:val="00DD0688"/>
    <w:rsid w:val="00DD28C7"/>
    <w:rsid w:val="00DD4FFF"/>
    <w:rsid w:val="00DF14AA"/>
    <w:rsid w:val="00DF784A"/>
    <w:rsid w:val="00E0145A"/>
    <w:rsid w:val="00E05B2D"/>
    <w:rsid w:val="00E060AE"/>
    <w:rsid w:val="00E07D1C"/>
    <w:rsid w:val="00E10DBD"/>
    <w:rsid w:val="00E1183C"/>
    <w:rsid w:val="00E12857"/>
    <w:rsid w:val="00E136D2"/>
    <w:rsid w:val="00E1525C"/>
    <w:rsid w:val="00E252A0"/>
    <w:rsid w:val="00E25A52"/>
    <w:rsid w:val="00E307F7"/>
    <w:rsid w:val="00E30AEE"/>
    <w:rsid w:val="00E32D0B"/>
    <w:rsid w:val="00E4137C"/>
    <w:rsid w:val="00E431B4"/>
    <w:rsid w:val="00E45C65"/>
    <w:rsid w:val="00E472D3"/>
    <w:rsid w:val="00E47473"/>
    <w:rsid w:val="00E505FF"/>
    <w:rsid w:val="00E53562"/>
    <w:rsid w:val="00E55C77"/>
    <w:rsid w:val="00E568B9"/>
    <w:rsid w:val="00E6066E"/>
    <w:rsid w:val="00E606F0"/>
    <w:rsid w:val="00E61A9E"/>
    <w:rsid w:val="00E61E49"/>
    <w:rsid w:val="00E65564"/>
    <w:rsid w:val="00E67C8E"/>
    <w:rsid w:val="00E75CF1"/>
    <w:rsid w:val="00E77F6D"/>
    <w:rsid w:val="00E8557C"/>
    <w:rsid w:val="00E87706"/>
    <w:rsid w:val="00E9186E"/>
    <w:rsid w:val="00EA054D"/>
    <w:rsid w:val="00EA1C50"/>
    <w:rsid w:val="00EA5B5D"/>
    <w:rsid w:val="00EB0681"/>
    <w:rsid w:val="00EB08D0"/>
    <w:rsid w:val="00EB2B59"/>
    <w:rsid w:val="00EB56E2"/>
    <w:rsid w:val="00EB6E9C"/>
    <w:rsid w:val="00EB78B2"/>
    <w:rsid w:val="00EC4657"/>
    <w:rsid w:val="00EC5E28"/>
    <w:rsid w:val="00ED0B3A"/>
    <w:rsid w:val="00ED4DB4"/>
    <w:rsid w:val="00ED5276"/>
    <w:rsid w:val="00ED5598"/>
    <w:rsid w:val="00EE1AD1"/>
    <w:rsid w:val="00EE59C2"/>
    <w:rsid w:val="00EE71ED"/>
    <w:rsid w:val="00EF12FD"/>
    <w:rsid w:val="00EF456C"/>
    <w:rsid w:val="00EF5C06"/>
    <w:rsid w:val="00F00F4A"/>
    <w:rsid w:val="00F02F1F"/>
    <w:rsid w:val="00F037C8"/>
    <w:rsid w:val="00F03E80"/>
    <w:rsid w:val="00F109FA"/>
    <w:rsid w:val="00F12200"/>
    <w:rsid w:val="00F12E3F"/>
    <w:rsid w:val="00F139FA"/>
    <w:rsid w:val="00F16494"/>
    <w:rsid w:val="00F201E7"/>
    <w:rsid w:val="00F22D42"/>
    <w:rsid w:val="00F24259"/>
    <w:rsid w:val="00F26D70"/>
    <w:rsid w:val="00F30D2A"/>
    <w:rsid w:val="00F333D2"/>
    <w:rsid w:val="00F338AB"/>
    <w:rsid w:val="00F4012B"/>
    <w:rsid w:val="00F4056E"/>
    <w:rsid w:val="00F40CDE"/>
    <w:rsid w:val="00F41DD0"/>
    <w:rsid w:val="00F42580"/>
    <w:rsid w:val="00F43101"/>
    <w:rsid w:val="00F533A5"/>
    <w:rsid w:val="00F539E0"/>
    <w:rsid w:val="00F542DA"/>
    <w:rsid w:val="00F569D1"/>
    <w:rsid w:val="00F5789A"/>
    <w:rsid w:val="00F6217A"/>
    <w:rsid w:val="00F6558C"/>
    <w:rsid w:val="00F65B65"/>
    <w:rsid w:val="00F7459C"/>
    <w:rsid w:val="00F756F0"/>
    <w:rsid w:val="00F76439"/>
    <w:rsid w:val="00F8063E"/>
    <w:rsid w:val="00F807A4"/>
    <w:rsid w:val="00F80DBE"/>
    <w:rsid w:val="00F80E52"/>
    <w:rsid w:val="00F81529"/>
    <w:rsid w:val="00F81854"/>
    <w:rsid w:val="00F8226D"/>
    <w:rsid w:val="00F82D52"/>
    <w:rsid w:val="00F82F9F"/>
    <w:rsid w:val="00F8524A"/>
    <w:rsid w:val="00F861FF"/>
    <w:rsid w:val="00FA3CB9"/>
    <w:rsid w:val="00FA47CA"/>
    <w:rsid w:val="00FA4B24"/>
    <w:rsid w:val="00FB0125"/>
    <w:rsid w:val="00FB2557"/>
    <w:rsid w:val="00FC31C8"/>
    <w:rsid w:val="00FC49E2"/>
    <w:rsid w:val="00FC6F6E"/>
    <w:rsid w:val="00FC7C18"/>
    <w:rsid w:val="00FD04FC"/>
    <w:rsid w:val="00FD0E36"/>
    <w:rsid w:val="00FD2D61"/>
    <w:rsid w:val="00FD4952"/>
    <w:rsid w:val="00FD6C81"/>
    <w:rsid w:val="00FD701B"/>
    <w:rsid w:val="00FE0969"/>
    <w:rsid w:val="00FE0F01"/>
    <w:rsid w:val="00FE1379"/>
    <w:rsid w:val="00FF4D6F"/>
    <w:rsid w:val="00FF534E"/>
    <w:rsid w:val="00FF6D8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12B13"/>
  <w15:docId w15:val="{726741E1-1F7E-F24F-BF4B-AB471F64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Термины"/>
    <w:qFormat/>
    <w:rsid w:val="002758A4"/>
    <w:pPr>
      <w:spacing w:line="360" w:lineRule="auto"/>
      <w:ind w:firstLine="709"/>
      <w:jc w:val="both"/>
    </w:pPr>
    <w:rPr>
      <w:rFonts w:ascii="Times New Roman" w:hAnsi="Times New Roman"/>
      <w:sz w:val="24"/>
    </w:rPr>
  </w:style>
  <w:style w:type="paragraph" w:styleId="11">
    <w:name w:val="heading 1"/>
    <w:basedOn w:val="2"/>
    <w:link w:val="12"/>
    <w:uiPriority w:val="9"/>
    <w:qFormat/>
    <w:rsid w:val="00183653"/>
    <w:pPr>
      <w:ind w:firstLine="0"/>
      <w:outlineLvl w:val="0"/>
    </w:pPr>
  </w:style>
  <w:style w:type="paragraph" w:styleId="2">
    <w:name w:val="heading 2"/>
    <w:aliases w:val="Наим. подраздела"/>
    <w:basedOn w:val="a2"/>
    <w:link w:val="20"/>
    <w:uiPriority w:val="9"/>
    <w:unhideWhenUsed/>
    <w:qFormat/>
    <w:rsid w:val="002F7719"/>
    <w:pPr>
      <w:outlineLvl w:val="1"/>
    </w:pPr>
  </w:style>
  <w:style w:type="paragraph" w:styleId="3">
    <w:name w:val="heading 3"/>
    <w:basedOn w:val="a1"/>
    <w:next w:val="a1"/>
    <w:link w:val="30"/>
    <w:unhideWhenUsed/>
    <w:qFormat/>
    <w:rsid w:val="009C36FB"/>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uiPriority w:val="99"/>
    <w:qFormat/>
    <w:rsid w:val="004F1D40"/>
    <w:pPr>
      <w:keepNext/>
      <w:keepLines/>
      <w:spacing w:before="40" w:line="288" w:lineRule="auto"/>
      <w:ind w:firstLine="567"/>
      <w:outlineLvl w:val="3"/>
    </w:pPr>
    <w:rPr>
      <w:rFonts w:ascii="Calibri Light" w:eastAsia="Times New Roman" w:hAnsi="Calibri Light" w:cs="Times New Roman"/>
      <w:i/>
      <w:iCs/>
      <w:color w:val="2E74B5"/>
      <w:sz w:val="22"/>
    </w:rPr>
  </w:style>
  <w:style w:type="paragraph" w:styleId="5">
    <w:name w:val="heading 5"/>
    <w:basedOn w:val="a1"/>
    <w:next w:val="a1"/>
    <w:link w:val="50"/>
    <w:uiPriority w:val="99"/>
    <w:qFormat/>
    <w:rsid w:val="004F1D40"/>
    <w:pPr>
      <w:keepNext/>
      <w:keepLines/>
      <w:spacing w:before="200" w:line="288" w:lineRule="auto"/>
      <w:ind w:firstLine="567"/>
      <w:outlineLvl w:val="4"/>
    </w:pPr>
    <w:rPr>
      <w:rFonts w:ascii="Calibri Light" w:eastAsia="Times New Roman" w:hAnsi="Calibri Light" w:cs="Times New Roman"/>
      <w:color w:val="1F4D78"/>
      <w:sz w:val="22"/>
    </w:rPr>
  </w:style>
  <w:style w:type="paragraph" w:styleId="6">
    <w:name w:val="heading 6"/>
    <w:basedOn w:val="a1"/>
    <w:next w:val="a1"/>
    <w:link w:val="60"/>
    <w:uiPriority w:val="99"/>
    <w:qFormat/>
    <w:rsid w:val="004F1D40"/>
    <w:pPr>
      <w:keepNext/>
      <w:autoSpaceDE w:val="0"/>
      <w:autoSpaceDN w:val="0"/>
      <w:adjustRightInd w:val="0"/>
      <w:spacing w:line="480" w:lineRule="auto"/>
      <w:jc w:val="left"/>
      <w:outlineLvl w:val="5"/>
    </w:pPr>
    <w:rPr>
      <w:rFonts w:eastAsia="Times New Roman" w:cs="Times New Roman"/>
      <w:i/>
      <w:iCs/>
      <w:szCs w:val="24"/>
      <w:lang w:val="en-US" w:eastAsia="ru-RU"/>
    </w:rPr>
  </w:style>
  <w:style w:type="paragraph" w:styleId="7">
    <w:name w:val="heading 7"/>
    <w:basedOn w:val="a1"/>
    <w:next w:val="a1"/>
    <w:link w:val="70"/>
    <w:uiPriority w:val="99"/>
    <w:qFormat/>
    <w:rsid w:val="004F1D40"/>
    <w:pPr>
      <w:keepNext/>
      <w:autoSpaceDE w:val="0"/>
      <w:autoSpaceDN w:val="0"/>
      <w:adjustRightInd w:val="0"/>
      <w:jc w:val="left"/>
      <w:outlineLvl w:val="6"/>
    </w:pPr>
    <w:rPr>
      <w:rFonts w:ascii="Arial" w:eastAsia="Times New Roman" w:hAnsi="Arial" w:cs="Arial"/>
      <w:b/>
      <w:bCs/>
      <w:sz w:val="28"/>
      <w:szCs w:val="2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Верхний колонтитул Знак"/>
    <w:basedOn w:val="a3"/>
    <w:uiPriority w:val="99"/>
    <w:rsid w:val="00C15E9F"/>
  </w:style>
  <w:style w:type="character" w:customStyle="1" w:styleId="a7">
    <w:name w:val="Нижний колонтитул Знак"/>
    <w:basedOn w:val="a3"/>
    <w:uiPriority w:val="99"/>
    <w:rsid w:val="00C15E9F"/>
  </w:style>
  <w:style w:type="character" w:customStyle="1" w:styleId="apple-converted-space">
    <w:name w:val="apple-converted-space"/>
    <w:basedOn w:val="a3"/>
    <w:rsid w:val="004B3C53"/>
  </w:style>
  <w:style w:type="character" w:customStyle="1" w:styleId="-">
    <w:name w:val="Интернет-ссылка"/>
    <w:basedOn w:val="a3"/>
    <w:uiPriority w:val="99"/>
    <w:unhideWhenUsed/>
    <w:rsid w:val="004B3C53"/>
    <w:rPr>
      <w:color w:val="0000FF"/>
      <w:u w:val="single"/>
    </w:rPr>
  </w:style>
  <w:style w:type="character" w:customStyle="1" w:styleId="12">
    <w:name w:val="Заголовок 1 Знак"/>
    <w:basedOn w:val="a3"/>
    <w:link w:val="11"/>
    <w:uiPriority w:val="9"/>
    <w:qFormat/>
    <w:rsid w:val="00183653"/>
    <w:rPr>
      <w:rFonts w:ascii="Times New Roman" w:hAnsi="Times New Roman" w:cs="Times New Roman"/>
      <w:b/>
      <w:sz w:val="24"/>
      <w:szCs w:val="24"/>
      <w:u w:val="single"/>
    </w:rPr>
  </w:style>
  <w:style w:type="character" w:customStyle="1" w:styleId="a8">
    <w:name w:val="Текст выноски Знак"/>
    <w:basedOn w:val="a3"/>
    <w:uiPriority w:val="99"/>
    <w:qFormat/>
    <w:rsid w:val="00E9341B"/>
    <w:rPr>
      <w:rFonts w:ascii="Tahoma" w:hAnsi="Tahoma" w:cs="Tahoma"/>
      <w:sz w:val="16"/>
      <w:szCs w:val="16"/>
    </w:rPr>
  </w:style>
  <w:style w:type="character" w:customStyle="1" w:styleId="a9">
    <w:name w:val="Подзаголовок Знак"/>
    <w:basedOn w:val="a3"/>
    <w:uiPriority w:val="11"/>
    <w:rsid w:val="00181EC4"/>
    <w:rPr>
      <w:rFonts w:ascii="Times New Roman" w:hAnsi="Times New Roman" w:cs="Times New Roman"/>
      <w:b/>
      <w:sz w:val="24"/>
      <w:szCs w:val="24"/>
      <w:u w:val="single"/>
    </w:rPr>
  </w:style>
  <w:style w:type="character" w:styleId="aa">
    <w:name w:val="Subtle Reference"/>
    <w:uiPriority w:val="31"/>
    <w:qFormat/>
    <w:rsid w:val="00181EC4"/>
    <w:rPr>
      <w:rFonts w:ascii="Times New Roman" w:hAnsi="Times New Roman" w:cs="Times New Roman"/>
      <w:b/>
      <w:sz w:val="24"/>
      <w:szCs w:val="24"/>
    </w:rPr>
  </w:style>
  <w:style w:type="character" w:customStyle="1" w:styleId="ab">
    <w:name w:val="Абзац списка Знак"/>
    <w:basedOn w:val="a3"/>
    <w:uiPriority w:val="34"/>
    <w:rsid w:val="00300F50"/>
  </w:style>
  <w:style w:type="character" w:customStyle="1" w:styleId="ac">
    <w:name w:val="Без интервала Знак"/>
    <w:basedOn w:val="ab"/>
    <w:uiPriority w:val="1"/>
    <w:rsid w:val="008B1499"/>
    <w:rPr>
      <w:rFonts w:ascii="Times New Roman" w:hAnsi="Times New Roman" w:cs="Times New Roman"/>
      <w:sz w:val="24"/>
      <w:szCs w:val="24"/>
    </w:rPr>
  </w:style>
  <w:style w:type="character" w:customStyle="1" w:styleId="ad">
    <w:name w:val="УД Знак"/>
    <w:basedOn w:val="ac"/>
    <w:rsid w:val="00300F50"/>
    <w:rPr>
      <w:rFonts w:ascii="Times New Roman" w:hAnsi="Times New Roman" w:cs="Times New Roman"/>
      <w:b/>
      <w:sz w:val="24"/>
      <w:szCs w:val="24"/>
    </w:rPr>
  </w:style>
  <w:style w:type="character" w:customStyle="1" w:styleId="ae">
    <w:name w:val="Ком Знак"/>
    <w:basedOn w:val="ab"/>
    <w:rsid w:val="008B1499"/>
    <w:rPr>
      <w:rFonts w:ascii="Times New Roman" w:hAnsi="Times New Roman" w:cs="Times New Roman"/>
      <w:i/>
      <w:sz w:val="24"/>
      <w:szCs w:val="24"/>
    </w:rPr>
  </w:style>
  <w:style w:type="character" w:styleId="af">
    <w:name w:val="annotation reference"/>
    <w:basedOn w:val="a3"/>
    <w:uiPriority w:val="99"/>
    <w:unhideWhenUsed/>
    <w:qFormat/>
    <w:rsid w:val="009C1F13"/>
    <w:rPr>
      <w:sz w:val="16"/>
      <w:szCs w:val="16"/>
    </w:rPr>
  </w:style>
  <w:style w:type="character" w:customStyle="1" w:styleId="af0">
    <w:name w:val="Текст примечания Знак"/>
    <w:basedOn w:val="a3"/>
    <w:uiPriority w:val="99"/>
    <w:qFormat/>
    <w:rsid w:val="009C1F13"/>
    <w:rPr>
      <w:rFonts w:ascii="Times New Roman" w:hAnsi="Times New Roman"/>
      <w:sz w:val="20"/>
      <w:szCs w:val="20"/>
    </w:rPr>
  </w:style>
  <w:style w:type="character" w:customStyle="1" w:styleId="af1">
    <w:name w:val="Тема примечания Знак"/>
    <w:basedOn w:val="af0"/>
    <w:uiPriority w:val="99"/>
    <w:qFormat/>
    <w:rsid w:val="009C1F13"/>
    <w:rPr>
      <w:rFonts w:ascii="Times New Roman" w:hAnsi="Times New Roman"/>
      <w:b/>
      <w:bCs/>
      <w:sz w:val="20"/>
      <w:szCs w:val="20"/>
    </w:rPr>
  </w:style>
  <w:style w:type="character" w:customStyle="1" w:styleId="af2">
    <w:name w:val="Название Знак"/>
    <w:basedOn w:val="a3"/>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3">
    <w:name w:val="Текст сноски Знак"/>
    <w:basedOn w:val="a3"/>
    <w:uiPriority w:val="99"/>
    <w:rsid w:val="004008B9"/>
    <w:rPr>
      <w:rFonts w:ascii="Calibri" w:eastAsia="Calibri" w:hAnsi="Calibri" w:cs="Times New Roman"/>
      <w:sz w:val="20"/>
      <w:szCs w:val="20"/>
    </w:rPr>
  </w:style>
  <w:style w:type="character" w:styleId="af4">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3"/>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3"/>
    <w:uiPriority w:val="99"/>
    <w:rsid w:val="003F4166"/>
    <w:rPr>
      <w:rFonts w:ascii="Times New Roman" w:eastAsia="Times New Roman" w:hAnsi="Times New Roman" w:cs="Times New Roman"/>
      <w:sz w:val="20"/>
      <w:szCs w:val="20"/>
      <w:lang w:eastAsia="ru-RU"/>
    </w:rPr>
  </w:style>
  <w:style w:type="character" w:customStyle="1" w:styleId="13">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5">
    <w:name w:val="Ссылка указателя"/>
    <w:qFormat/>
    <w:rsid w:val="00275A41"/>
  </w:style>
  <w:style w:type="paragraph" w:customStyle="1" w:styleId="14">
    <w:name w:val="Заголовок1"/>
    <w:basedOn w:val="a1"/>
    <w:next w:val="af6"/>
    <w:rsid w:val="00275A41"/>
    <w:pPr>
      <w:keepNext/>
      <w:spacing w:before="240" w:after="120"/>
    </w:pPr>
    <w:rPr>
      <w:rFonts w:ascii="Liberation Sans" w:eastAsia="Microsoft YaHei" w:hAnsi="Liberation Sans" w:cs="Mangal"/>
      <w:sz w:val="28"/>
      <w:szCs w:val="28"/>
    </w:rPr>
  </w:style>
  <w:style w:type="paragraph" w:styleId="af6">
    <w:name w:val="Body Text"/>
    <w:basedOn w:val="a1"/>
    <w:link w:val="af7"/>
    <w:rsid w:val="00275A41"/>
    <w:pPr>
      <w:spacing w:after="140" w:line="288" w:lineRule="auto"/>
    </w:pPr>
  </w:style>
  <w:style w:type="paragraph" w:styleId="af8">
    <w:name w:val="List"/>
    <w:basedOn w:val="af6"/>
    <w:rsid w:val="00275A41"/>
    <w:rPr>
      <w:rFonts w:cs="Mangal"/>
    </w:rPr>
  </w:style>
  <w:style w:type="paragraph" w:styleId="af9">
    <w:name w:val="caption"/>
    <w:basedOn w:val="a1"/>
    <w:qFormat/>
    <w:rsid w:val="00275A41"/>
    <w:pPr>
      <w:suppressLineNumbers/>
      <w:spacing w:before="120" w:after="120"/>
    </w:pPr>
    <w:rPr>
      <w:rFonts w:cs="Mangal"/>
      <w:i/>
      <w:iCs/>
      <w:szCs w:val="24"/>
    </w:rPr>
  </w:style>
  <w:style w:type="paragraph" w:styleId="afa">
    <w:name w:val="index heading"/>
    <w:basedOn w:val="a1"/>
    <w:rsid w:val="00275A41"/>
    <w:pPr>
      <w:suppressLineNumbers/>
    </w:pPr>
    <w:rPr>
      <w:rFonts w:cs="Mangal"/>
    </w:rPr>
  </w:style>
  <w:style w:type="paragraph" w:styleId="afb">
    <w:name w:val="header"/>
    <w:basedOn w:val="a1"/>
    <w:link w:val="15"/>
    <w:uiPriority w:val="99"/>
    <w:unhideWhenUsed/>
    <w:qFormat/>
    <w:rsid w:val="00C15E9F"/>
    <w:pPr>
      <w:tabs>
        <w:tab w:val="center" w:pos="4677"/>
        <w:tab w:val="right" w:pos="9355"/>
      </w:tabs>
      <w:spacing w:line="240" w:lineRule="auto"/>
    </w:pPr>
  </w:style>
  <w:style w:type="paragraph" w:styleId="afc">
    <w:name w:val="footer"/>
    <w:basedOn w:val="a1"/>
    <w:link w:val="16"/>
    <w:uiPriority w:val="99"/>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F41DD0"/>
    <w:pPr>
      <w:spacing w:before="100" w:beforeAutospacing="1" w:after="100" w:afterAutospacing="1"/>
    </w:pPr>
    <w:rPr>
      <w:rFonts w:eastAsia="Times New Roman" w:cs="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rsid w:val="006B7CAB"/>
    <w:pPr>
      <w:spacing w:beforeAutospacing="1" w:afterAutospacing="1" w:line="240" w:lineRule="auto"/>
    </w:pPr>
    <w:rPr>
      <w:rFonts w:eastAsia="Times New Roman" w:cs="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iPriority w:val="9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186C35"/>
    <w:pPr>
      <w:tabs>
        <w:tab w:val="right" w:leader="dot" w:pos="9345"/>
      </w:tabs>
      <w:spacing w:after="100"/>
      <w:ind w:firstLine="0"/>
    </w:pPr>
  </w:style>
  <w:style w:type="paragraph" w:styleId="a2">
    <w:name w:val="Subtitle"/>
    <w:basedOn w:val="a1"/>
    <w:link w:val="1b"/>
    <w:uiPriority w:val="11"/>
    <w:qFormat/>
    <w:rsid w:val="00181EC4"/>
    <w:pPr>
      <w:suppressAutoHyphens/>
      <w:spacing w:before="240"/>
    </w:pPr>
    <w:rPr>
      <w:rFonts w:cs="Times New Roman"/>
      <w:b/>
      <w:szCs w:val="24"/>
      <w:u w:val="single"/>
    </w:rPr>
  </w:style>
  <w:style w:type="paragraph" w:styleId="aff1">
    <w:name w:val="No Spacing"/>
    <w:basedOn w:val="afe"/>
    <w:uiPriority w:val="1"/>
    <w:qFormat/>
    <w:rsid w:val="008B1499"/>
    <w:pPr>
      <w:spacing w:before="240"/>
      <w:ind w:left="851" w:hanging="425"/>
    </w:pPr>
    <w:rPr>
      <w:rFonts w:cs="Times New Roman"/>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1"/>
    <w:link w:val="1c"/>
    <w:uiPriority w:val="99"/>
    <w:unhideWhenUsed/>
    <w:qFormat/>
    <w:rsid w:val="009C1F13"/>
    <w:pPr>
      <w:spacing w:line="240" w:lineRule="auto"/>
    </w:pPr>
    <w:rPr>
      <w:sz w:val="20"/>
      <w:szCs w:val="20"/>
    </w:rPr>
  </w:style>
  <w:style w:type="paragraph" w:styleId="aff5">
    <w:name w:val="annotation subject"/>
    <w:basedOn w:val="aff4"/>
    <w:link w:val="1d"/>
    <w:uiPriority w:val="99"/>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heme="majorEastAsia" w:cstheme="majorBidi"/>
      <w:spacing w:val="-10"/>
      <w:sz w:val="28"/>
      <w:szCs w:val="56"/>
      <w:u w:val="single"/>
    </w:rPr>
  </w:style>
  <w:style w:type="paragraph" w:styleId="21">
    <w:name w:val="toc 2"/>
    <w:basedOn w:val="a1"/>
    <w:autoRedefine/>
    <w:uiPriority w:val="39"/>
    <w:qFormat/>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7">
    <w:name w:val="footnote text"/>
    <w:basedOn w:val="a1"/>
    <w:link w:val="1f"/>
    <w:uiPriority w:val="99"/>
    <w:unhideWhenUsed/>
    <w:qFormat/>
    <w:rsid w:val="004008B9"/>
    <w:pPr>
      <w:spacing w:after="200" w:line="276" w:lineRule="auto"/>
    </w:pPr>
    <w:rPr>
      <w:rFonts w:ascii="Calibri" w:eastAsia="Calibri" w:hAnsi="Calibri" w:cs="Times New Roman"/>
      <w:sz w:val="20"/>
      <w:szCs w:val="20"/>
    </w:rPr>
  </w:style>
  <w:style w:type="paragraph" w:customStyle="1" w:styleId="1f0">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8">
    <w:name w:val="Содержимое врезки"/>
    <w:basedOn w:val="a1"/>
    <w:uiPriority w:val="99"/>
    <w:qFormat/>
    <w:rsid w:val="00275A41"/>
  </w:style>
  <w:style w:type="table" w:styleId="aff9">
    <w:name w:val="Table Grid"/>
    <w:basedOn w:val="a4"/>
    <w:uiPriority w:val="5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b">
    <w:name w:val="Strong"/>
    <w:basedOn w:val="a3"/>
    <w:uiPriority w:val="22"/>
    <w:qFormat/>
    <w:rsid w:val="009E685D"/>
    <w:rPr>
      <w:b/>
      <w:bCs/>
    </w:rPr>
  </w:style>
  <w:style w:type="character" w:styleId="affc">
    <w:name w:val="Emphasis"/>
    <w:basedOn w:val="a3"/>
    <w:uiPriority w:val="20"/>
    <w:qFormat/>
    <w:rsid w:val="002F7719"/>
    <w:rPr>
      <w:i/>
      <w:iCs/>
    </w:rPr>
  </w:style>
  <w:style w:type="character" w:styleId="affd">
    <w:name w:val="Hyperlink"/>
    <w:basedOn w:val="a3"/>
    <w:uiPriority w:val="99"/>
    <w:unhideWhenUsed/>
    <w:rsid w:val="00275A41"/>
    <w:rPr>
      <w:color w:val="0000FF"/>
      <w:u w:val="single"/>
    </w:rPr>
  </w:style>
  <w:style w:type="paragraph" w:customStyle="1" w:styleId="10">
    <w:name w:val="Стиль1"/>
    <w:basedOn w:val="a1"/>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3"/>
    <w:link w:val="10"/>
    <w:rsid w:val="00EE59C2"/>
    <w:rPr>
      <w:rFonts w:ascii="Times New Roman" w:eastAsia="Times New Roman" w:hAnsi="Times New Roman"/>
      <w:sz w:val="24"/>
    </w:rPr>
  </w:style>
  <w:style w:type="character" w:customStyle="1" w:styleId="apple-style-span">
    <w:name w:val="apple-style-span"/>
    <w:rsid w:val="00021FEA"/>
  </w:style>
  <w:style w:type="paragraph" w:styleId="affe">
    <w:name w:val="Revision"/>
    <w:hidden/>
    <w:uiPriority w:val="99"/>
    <w:rsid w:val="00AE3406"/>
    <w:rPr>
      <w:rFonts w:ascii="Times New Roman" w:hAnsi="Times New Roman"/>
      <w:sz w:val="24"/>
    </w:rPr>
  </w:style>
  <w:style w:type="paragraph" w:customStyle="1" w:styleId="a0">
    <w:name w:val="Список ключевых слов"/>
    <w:basedOn w:val="afe"/>
    <w:link w:val="afff"/>
    <w:qFormat/>
    <w:rsid w:val="0021676E"/>
    <w:pPr>
      <w:numPr>
        <w:numId w:val="3"/>
      </w:numPr>
      <w:ind w:left="0" w:firstLine="709"/>
    </w:pPr>
    <w:rPr>
      <w:szCs w:val="28"/>
    </w:rPr>
  </w:style>
  <w:style w:type="paragraph" w:customStyle="1" w:styleId="afff0">
    <w:name w:val="Сокращения"/>
    <w:basedOn w:val="a1"/>
    <w:link w:val="afff1"/>
    <w:qFormat/>
    <w:rsid w:val="0021676E"/>
  </w:style>
  <w:style w:type="character" w:customStyle="1" w:styleId="18">
    <w:name w:val="Абзац списка Знак1"/>
    <w:basedOn w:val="a3"/>
    <w:link w:val="afe"/>
    <w:uiPriority w:val="34"/>
    <w:rsid w:val="0021676E"/>
    <w:rPr>
      <w:rFonts w:ascii="Times New Roman" w:hAnsi="Times New Roman"/>
      <w:sz w:val="24"/>
    </w:rPr>
  </w:style>
  <w:style w:type="character" w:customStyle="1" w:styleId="afff">
    <w:name w:val="Список ключевых слов Знак"/>
    <w:basedOn w:val="18"/>
    <w:link w:val="a0"/>
    <w:rsid w:val="0021676E"/>
    <w:rPr>
      <w:rFonts w:ascii="Times New Roman" w:hAnsi="Times New Roman"/>
      <w:sz w:val="24"/>
      <w:szCs w:val="28"/>
    </w:rPr>
  </w:style>
  <w:style w:type="paragraph" w:customStyle="1" w:styleId="afff2">
    <w:name w:val="Наим. раздела"/>
    <w:basedOn w:val="CustomContentNormal"/>
    <w:link w:val="afff3"/>
    <w:qFormat/>
    <w:rsid w:val="00C4630C"/>
  </w:style>
  <w:style w:type="character" w:customStyle="1" w:styleId="afff1">
    <w:name w:val="Сокращения Знак"/>
    <w:basedOn w:val="a3"/>
    <w:link w:val="afff0"/>
    <w:rsid w:val="0021676E"/>
    <w:rPr>
      <w:rFonts w:ascii="Times New Roman" w:hAnsi="Times New Roman"/>
      <w:sz w:val="24"/>
    </w:rPr>
  </w:style>
  <w:style w:type="paragraph" w:customStyle="1" w:styleId="1f1">
    <w:name w:val="Текст в 1 разделе"/>
    <w:basedOn w:val="a1"/>
    <w:link w:val="1f2"/>
    <w:qFormat/>
    <w:rsid w:val="0021676E"/>
    <w:rPr>
      <w:rFonts w:eastAsia="Times New Roman" w:cs="Times New Roman"/>
      <w:szCs w:val="24"/>
    </w:rPr>
  </w:style>
  <w:style w:type="character" w:customStyle="1" w:styleId="CustomContentNormal0">
    <w:name w:val="Custom Content Normal Знак"/>
    <w:basedOn w:val="a3"/>
    <w:link w:val="CustomContentNormal"/>
    <w:rsid w:val="0021676E"/>
    <w:rPr>
      <w:rFonts w:ascii="Times New Roman" w:eastAsia="Sans" w:hAnsi="Times New Roman"/>
      <w:b/>
      <w:sz w:val="28"/>
    </w:rPr>
  </w:style>
  <w:style w:type="character" w:customStyle="1" w:styleId="afff3">
    <w:name w:val="Наим. раздела Знак"/>
    <w:basedOn w:val="CustomContentNormal0"/>
    <w:link w:val="afff2"/>
    <w:rsid w:val="00C4630C"/>
    <w:rPr>
      <w:rFonts w:ascii="Times New Roman" w:eastAsia="Sans" w:hAnsi="Times New Roman"/>
      <w:b/>
      <w:sz w:val="28"/>
    </w:rPr>
  </w:style>
  <w:style w:type="paragraph" w:customStyle="1" w:styleId="afff4">
    <w:name w:val="Таблицы"/>
    <w:basedOn w:val="afd"/>
    <w:link w:val="afff5"/>
    <w:qFormat/>
    <w:rsid w:val="0021676E"/>
    <w:pPr>
      <w:spacing w:line="240" w:lineRule="auto"/>
      <w:ind w:firstLine="0"/>
    </w:pPr>
  </w:style>
  <w:style w:type="character" w:customStyle="1" w:styleId="1f2">
    <w:name w:val="Текст в 1 разделе Знак"/>
    <w:basedOn w:val="a3"/>
    <w:link w:val="1f1"/>
    <w:rsid w:val="0021676E"/>
    <w:rPr>
      <w:rFonts w:ascii="Times New Roman" w:eastAsia="Times New Roman" w:hAnsi="Times New Roman" w:cs="Times New Roman"/>
      <w:sz w:val="24"/>
      <w:szCs w:val="24"/>
    </w:rPr>
  </w:style>
  <w:style w:type="paragraph" w:customStyle="1" w:styleId="afff6">
    <w:name w:val="Наим. табл"/>
    <w:basedOn w:val="a1"/>
    <w:link w:val="afff7"/>
    <w:qFormat/>
    <w:rsid w:val="0021676E"/>
  </w:style>
  <w:style w:type="character" w:customStyle="1" w:styleId="17">
    <w:name w:val="Обычный (веб) Знак1"/>
    <w:basedOn w:val="a3"/>
    <w:link w:val="afd"/>
    <w:rsid w:val="00F41DD0"/>
    <w:rPr>
      <w:rFonts w:ascii="Times New Roman" w:eastAsia="Times New Roman" w:hAnsi="Times New Roman" w:cs="Times New Roman"/>
      <w:sz w:val="24"/>
      <w:szCs w:val="24"/>
      <w:lang w:eastAsia="ru-RU"/>
    </w:rPr>
  </w:style>
  <w:style w:type="character" w:customStyle="1" w:styleId="afff5">
    <w:name w:val="Таблицы Знак"/>
    <w:basedOn w:val="17"/>
    <w:link w:val="afff4"/>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qFormat/>
    <w:rsid w:val="00334F6C"/>
    <w:rPr>
      <w:szCs w:val="24"/>
    </w:rPr>
  </w:style>
  <w:style w:type="character" w:customStyle="1" w:styleId="afff7">
    <w:name w:val="Наим. табл Знак"/>
    <w:basedOn w:val="a3"/>
    <w:link w:val="afff6"/>
    <w:rsid w:val="0021676E"/>
    <w:rPr>
      <w:rFonts w:ascii="Times New Roman" w:hAnsi="Times New Roman"/>
      <w:sz w:val="24"/>
    </w:rPr>
  </w:style>
  <w:style w:type="paragraph" w:customStyle="1" w:styleId="afff8">
    <w:name w:val="Рекомендация"/>
    <w:basedOn w:val="10"/>
    <w:link w:val="afff9"/>
    <w:qFormat/>
    <w:rsid w:val="0021676E"/>
  </w:style>
  <w:style w:type="character" w:customStyle="1" w:styleId="2-60">
    <w:name w:val="Вводный текст 2-6 разделы Знак"/>
    <w:basedOn w:val="a3"/>
    <w:link w:val="2-6"/>
    <w:rsid w:val="00334F6C"/>
    <w:rPr>
      <w:rFonts w:ascii="Times New Roman" w:hAnsi="Times New Roman"/>
      <w:sz w:val="24"/>
      <w:szCs w:val="24"/>
    </w:rPr>
  </w:style>
  <w:style w:type="paragraph" w:customStyle="1" w:styleId="afffa">
    <w:name w:val="УДД"/>
    <w:aliases w:val="УУР"/>
    <w:basedOn w:val="aff2"/>
    <w:rsid w:val="0021676E"/>
  </w:style>
  <w:style w:type="character" w:customStyle="1" w:styleId="afff9">
    <w:name w:val="Рекомендация Знак"/>
    <w:basedOn w:val="110"/>
    <w:link w:val="afff8"/>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b">
    <w:name w:val="Памятки"/>
    <w:basedOn w:val="1f1"/>
    <w:link w:val="afffc"/>
    <w:uiPriority w:val="99"/>
    <w:qFormat/>
    <w:rsid w:val="00094ED6"/>
    <w:rPr>
      <w:i/>
      <w:color w:val="FF0000"/>
      <w:sz w:val="18"/>
    </w:rPr>
  </w:style>
  <w:style w:type="character" w:customStyle="1" w:styleId="afffc">
    <w:name w:val="Памятки Знак"/>
    <w:basedOn w:val="1f2"/>
    <w:link w:val="afffb"/>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ссылка"/>
    <w:basedOn w:val="a1"/>
    <w:link w:val="afffe"/>
    <w:qFormat/>
    <w:rsid w:val="00A91645"/>
    <w:rPr>
      <w:rFonts w:eastAsia="Times New Roman" w:cs="Times New Roman"/>
      <w:i/>
      <w:color w:val="0070C0"/>
      <w:szCs w:val="24"/>
      <w:u w:val="single"/>
    </w:rPr>
  </w:style>
  <w:style w:type="character" w:customStyle="1" w:styleId="afffe">
    <w:name w:val="ссылка Знак"/>
    <w:basedOn w:val="a3"/>
    <w:link w:val="afffd"/>
    <w:rsid w:val="00A91645"/>
    <w:rPr>
      <w:rFonts w:ascii="Times New Roman" w:eastAsia="Times New Roman" w:hAnsi="Times New Roman" w:cs="Times New Roman"/>
      <w:i/>
      <w:color w:val="0070C0"/>
      <w:sz w:val="24"/>
      <w:szCs w:val="24"/>
      <w:u w:val="single"/>
    </w:rPr>
  </w:style>
  <w:style w:type="character" w:customStyle="1" w:styleId="affff">
    <w:name w:val="Основной текст_"/>
    <w:basedOn w:val="a3"/>
    <w:link w:val="1f4"/>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3"/>
    <w:link w:val="23"/>
    <w:rsid w:val="00C4630C"/>
    <w:rPr>
      <w:rFonts w:ascii="Times New Roman" w:eastAsia="Times New Roman" w:hAnsi="Times New Roman" w:cs="Times New Roman"/>
      <w:b/>
      <w:bCs/>
      <w:sz w:val="28"/>
      <w:szCs w:val="28"/>
      <w:shd w:val="clear" w:color="auto" w:fill="FFFFFF"/>
    </w:rPr>
  </w:style>
  <w:style w:type="paragraph" w:customStyle="1" w:styleId="1f4">
    <w:name w:val="Основной текст1"/>
    <w:basedOn w:val="a1"/>
    <w:link w:val="affff"/>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1"/>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affff0">
    <w:basedOn w:val="a1"/>
    <w:next w:val="afd"/>
    <w:link w:val="affff1"/>
    <w:unhideWhenUsed/>
    <w:qFormat/>
    <w:rsid w:val="000578EF"/>
    <w:rPr>
      <w:rFonts w:eastAsia="Times New Roman"/>
      <w:szCs w:val="24"/>
    </w:rPr>
  </w:style>
  <w:style w:type="character" w:customStyle="1" w:styleId="affff1">
    <w:name w:val="Обычный (веб) Знак"/>
    <w:link w:val="affff0"/>
    <w:rsid w:val="000578EF"/>
    <w:rPr>
      <w:rFonts w:ascii="Times New Roman" w:eastAsia="Times New Roman" w:hAnsi="Times New Roman"/>
      <w:sz w:val="24"/>
      <w:szCs w:val="24"/>
    </w:rPr>
  </w:style>
  <w:style w:type="table" w:customStyle="1" w:styleId="-131">
    <w:name w:val="Список-таблица 1 светлая — акцент 31"/>
    <w:basedOn w:val="a4"/>
    <w:uiPriority w:val="46"/>
    <w:rsid w:val="000578E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1"/>
    <w:qFormat/>
    <w:rsid w:val="000578EF"/>
    <w:pPr>
      <w:widowControl w:val="0"/>
      <w:spacing w:line="240" w:lineRule="auto"/>
      <w:ind w:left="103" w:firstLine="0"/>
      <w:jc w:val="left"/>
    </w:pPr>
    <w:rPr>
      <w:rFonts w:ascii="Calibri" w:eastAsia="Times New Roman" w:hAnsi="Calibri" w:cs="Calibri"/>
      <w:sz w:val="22"/>
      <w:lang w:val="en-US"/>
    </w:rPr>
  </w:style>
  <w:style w:type="character" w:customStyle="1" w:styleId="1c">
    <w:name w:val="Текст примечания Знак1"/>
    <w:basedOn w:val="a3"/>
    <w:link w:val="aff4"/>
    <w:uiPriority w:val="99"/>
    <w:rsid w:val="000578EF"/>
    <w:rPr>
      <w:rFonts w:ascii="Times New Roman" w:hAnsi="Times New Roman"/>
      <w:szCs w:val="20"/>
    </w:rPr>
  </w:style>
  <w:style w:type="character" w:customStyle="1" w:styleId="1e">
    <w:name w:val="Название Знак1"/>
    <w:aliases w:val="Заголовок мой Знак,Название1 Знак"/>
    <w:basedOn w:val="a3"/>
    <w:link w:val="aff6"/>
    <w:rsid w:val="000578EF"/>
    <w:rPr>
      <w:rFonts w:ascii="Times New Roman" w:eastAsiaTheme="majorEastAsia" w:hAnsi="Times New Roman" w:cstheme="majorBidi"/>
      <w:spacing w:val="-10"/>
      <w:sz w:val="28"/>
      <w:szCs w:val="56"/>
      <w:u w:val="single"/>
    </w:rPr>
  </w:style>
  <w:style w:type="table" w:customStyle="1" w:styleId="-11">
    <w:name w:val="Таблица-сетка 1 светлая1"/>
    <w:basedOn w:val="a4"/>
    <w:uiPriority w:val="46"/>
    <w:rsid w:val="000578EF"/>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5"/>
    <w:next w:val="111111"/>
    <w:rsid w:val="000578EF"/>
    <w:pPr>
      <w:numPr>
        <w:numId w:val="14"/>
      </w:numPr>
    </w:pPr>
  </w:style>
  <w:style w:type="numbering" w:customStyle="1" w:styleId="1ai1">
    <w:name w:val="1 / a / i1"/>
    <w:basedOn w:val="a5"/>
    <w:next w:val="1ai"/>
    <w:rsid w:val="000578EF"/>
    <w:pPr>
      <w:numPr>
        <w:numId w:val="15"/>
      </w:numPr>
    </w:pPr>
  </w:style>
  <w:style w:type="numbering" w:styleId="111111">
    <w:name w:val="Outline List 2"/>
    <w:basedOn w:val="a5"/>
    <w:uiPriority w:val="99"/>
    <w:semiHidden/>
    <w:unhideWhenUsed/>
    <w:rsid w:val="000578EF"/>
    <w:pPr>
      <w:numPr>
        <w:numId w:val="12"/>
      </w:numPr>
    </w:pPr>
  </w:style>
  <w:style w:type="numbering" w:styleId="1ai">
    <w:name w:val="Outline List 1"/>
    <w:basedOn w:val="a5"/>
    <w:uiPriority w:val="99"/>
    <w:semiHidden/>
    <w:unhideWhenUsed/>
    <w:rsid w:val="000578EF"/>
    <w:pPr>
      <w:numPr>
        <w:numId w:val="13"/>
      </w:numPr>
    </w:pPr>
  </w:style>
  <w:style w:type="character" w:styleId="affff2">
    <w:name w:val="FollowedHyperlink"/>
    <w:basedOn w:val="a3"/>
    <w:uiPriority w:val="99"/>
    <w:unhideWhenUsed/>
    <w:rsid w:val="000578EF"/>
    <w:rPr>
      <w:color w:val="954F72" w:themeColor="followedHyperlink"/>
      <w:u w:val="single"/>
    </w:rPr>
  </w:style>
  <w:style w:type="paragraph" w:customStyle="1" w:styleId="msonormal0">
    <w:name w:val="msonormal"/>
    <w:basedOn w:val="a1"/>
    <w:uiPriority w:val="99"/>
    <w:qFormat/>
    <w:rsid w:val="000578EF"/>
    <w:pPr>
      <w:spacing w:before="100" w:beforeAutospacing="1" w:after="100" w:afterAutospacing="1" w:line="288" w:lineRule="auto"/>
      <w:ind w:firstLine="0"/>
      <w:jc w:val="left"/>
    </w:pPr>
    <w:rPr>
      <w:rFonts w:eastAsia="Times New Roman" w:cs="Times New Roman"/>
      <w:szCs w:val="24"/>
      <w:lang w:eastAsia="ru-RU"/>
    </w:rPr>
  </w:style>
  <w:style w:type="character" w:customStyle="1" w:styleId="1f5">
    <w:name w:val="Заголовок Знак1"/>
    <w:aliases w:val="Заголовок мой Знак1"/>
    <w:basedOn w:val="a3"/>
    <w:rsid w:val="000578EF"/>
    <w:rPr>
      <w:rFonts w:asciiTheme="majorHAnsi" w:eastAsiaTheme="majorEastAsia" w:hAnsiTheme="majorHAnsi" w:cstheme="majorBidi"/>
      <w:spacing w:val="-10"/>
      <w:kern w:val="28"/>
      <w:sz w:val="56"/>
      <w:szCs w:val="56"/>
    </w:rPr>
  </w:style>
  <w:style w:type="paragraph" w:customStyle="1" w:styleId="a">
    <w:name w:val="рек"/>
    <w:basedOn w:val="afe"/>
    <w:link w:val="affff3"/>
    <w:qFormat/>
    <w:rsid w:val="000578EF"/>
    <w:pPr>
      <w:numPr>
        <w:numId w:val="16"/>
      </w:numPr>
      <w:tabs>
        <w:tab w:val="left" w:pos="1134"/>
      </w:tabs>
      <w:spacing w:before="240"/>
      <w:ind w:left="709" w:hanging="425"/>
      <w:contextualSpacing w:val="0"/>
    </w:pPr>
    <w:rPr>
      <w:rFonts w:cs="Times New Roman"/>
      <w:szCs w:val="24"/>
    </w:rPr>
  </w:style>
  <w:style w:type="character" w:customStyle="1" w:styleId="affff3">
    <w:name w:val="рек Знак"/>
    <w:basedOn w:val="ab"/>
    <w:link w:val="a"/>
    <w:rsid w:val="000578EF"/>
    <w:rPr>
      <w:rFonts w:ascii="Times New Roman" w:hAnsi="Times New Roman" w:cs="Times New Roman"/>
      <w:sz w:val="24"/>
      <w:szCs w:val="24"/>
    </w:rPr>
  </w:style>
  <w:style w:type="paragraph" w:customStyle="1" w:styleId="1f6">
    <w:name w:val="Обычный с отступом 1 см"/>
    <w:basedOn w:val="a1"/>
    <w:rsid w:val="003F0AA9"/>
    <w:pPr>
      <w:widowControl w:val="0"/>
      <w:ind w:firstLine="680"/>
    </w:pPr>
    <w:rPr>
      <w:rFonts w:ascii="Arial" w:eastAsia="Times New Roman" w:hAnsi="Arial" w:cs="Times New Roman"/>
      <w:bCs/>
      <w:iCs/>
      <w:sz w:val="28"/>
      <w:szCs w:val="20"/>
      <w:lang w:eastAsia="ru-RU"/>
    </w:rPr>
  </w:style>
  <w:style w:type="character" w:styleId="affff4">
    <w:name w:val="endnote reference"/>
    <w:basedOn w:val="a3"/>
    <w:uiPriority w:val="99"/>
    <w:semiHidden/>
    <w:unhideWhenUsed/>
    <w:rsid w:val="0015288D"/>
    <w:rPr>
      <w:vertAlign w:val="superscript"/>
    </w:rPr>
  </w:style>
  <w:style w:type="character" w:customStyle="1" w:styleId="ListLabel67">
    <w:name w:val="ListLabel 67"/>
    <w:qFormat/>
    <w:rsid w:val="003329C6"/>
    <w:rPr>
      <w:sz w:val="20"/>
    </w:rPr>
  </w:style>
  <w:style w:type="paragraph" w:customStyle="1" w:styleId="affff5">
    <w:name w:val="Содержимое таблицы"/>
    <w:basedOn w:val="a1"/>
    <w:qFormat/>
    <w:rsid w:val="00F82D52"/>
    <w:pPr>
      <w:suppressLineNumbers/>
      <w:ind w:firstLine="0"/>
      <w:jc w:val="left"/>
    </w:pPr>
    <w:rPr>
      <w:rFonts w:eastAsia="Calibri" w:cs="Tahoma"/>
    </w:rPr>
  </w:style>
  <w:style w:type="character" w:styleId="affff6">
    <w:name w:val="Placeholder Text"/>
    <w:basedOn w:val="a3"/>
    <w:uiPriority w:val="99"/>
    <w:semiHidden/>
    <w:rsid w:val="00D85B71"/>
    <w:rPr>
      <w:color w:val="808080"/>
    </w:rPr>
  </w:style>
  <w:style w:type="character" w:customStyle="1" w:styleId="30">
    <w:name w:val="Заголовок 3 Знак"/>
    <w:basedOn w:val="a3"/>
    <w:link w:val="3"/>
    <w:uiPriority w:val="9"/>
    <w:rsid w:val="009C36FB"/>
    <w:rPr>
      <w:rFonts w:asciiTheme="majorHAnsi" w:eastAsiaTheme="majorEastAsia" w:hAnsiTheme="majorHAnsi" w:cstheme="majorBidi"/>
      <w:color w:val="1F4D78" w:themeColor="accent1" w:themeShade="7F"/>
      <w:sz w:val="24"/>
      <w:szCs w:val="24"/>
    </w:rPr>
  </w:style>
  <w:style w:type="paragraph" w:customStyle="1" w:styleId="Number">
    <w:name w:val="Number"/>
    <w:basedOn w:val="a1"/>
    <w:uiPriority w:val="99"/>
    <w:rsid w:val="00FF534E"/>
    <w:pPr>
      <w:autoSpaceDE w:val="0"/>
      <w:autoSpaceDN w:val="0"/>
      <w:adjustRightInd w:val="0"/>
      <w:spacing w:before="40"/>
      <w:ind w:left="715" w:hanging="6"/>
    </w:pPr>
    <w:rPr>
      <w:rFonts w:eastAsiaTheme="minorEastAsia" w:cs="Times New Roman"/>
      <w:color w:val="000000"/>
      <w:szCs w:val="24"/>
      <w:lang w:eastAsia="ru-RU"/>
    </w:rPr>
  </w:style>
  <w:style w:type="paragraph" w:customStyle="1" w:styleId="ConsPlusNormal">
    <w:name w:val="ConsPlusNormal"/>
    <w:rsid w:val="002E5470"/>
    <w:pPr>
      <w:widowControl w:val="0"/>
      <w:autoSpaceDE w:val="0"/>
      <w:autoSpaceDN w:val="0"/>
    </w:pPr>
    <w:rPr>
      <w:rFonts w:ascii="Calibri" w:eastAsia="Times New Roman" w:hAnsi="Calibri" w:cs="Calibri"/>
      <w:sz w:val="22"/>
      <w:szCs w:val="20"/>
      <w:lang w:eastAsia="ru-RU"/>
    </w:rPr>
  </w:style>
  <w:style w:type="paragraph" w:customStyle="1" w:styleId="Normal11">
    <w:name w:val="Normal 1"/>
    <w:uiPriority w:val="99"/>
    <w:rsid w:val="008B402F"/>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lang w:eastAsia="ru-RU"/>
    </w:rPr>
  </w:style>
  <w:style w:type="paragraph" w:customStyle="1" w:styleId="Numlist">
    <w:name w:val="Num_list"/>
    <w:basedOn w:val="a1"/>
    <w:qFormat/>
    <w:rsid w:val="00AA297E"/>
    <w:pPr>
      <w:overflowPunct w:val="0"/>
      <w:spacing w:line="240" w:lineRule="auto"/>
      <w:ind w:firstLine="708"/>
      <w:jc w:val="left"/>
      <w:textAlignment w:val="baseline"/>
    </w:pPr>
    <w:rPr>
      <w:rFonts w:eastAsia="Times New Roman" w:cs="Times New Roman"/>
      <w:szCs w:val="24"/>
      <w:lang w:eastAsia="ru-RU"/>
    </w:rPr>
  </w:style>
  <w:style w:type="table" w:customStyle="1" w:styleId="1f7">
    <w:name w:val="Сетка таблицы светлая1"/>
    <w:basedOn w:val="a4"/>
    <w:uiPriority w:val="40"/>
    <w:rsid w:val="00AA297E"/>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40">
    <w:name w:val="Заголовок 4 Знак"/>
    <w:basedOn w:val="a3"/>
    <w:link w:val="4"/>
    <w:uiPriority w:val="99"/>
    <w:rsid w:val="004F1D40"/>
    <w:rPr>
      <w:rFonts w:ascii="Calibri Light" w:eastAsia="Times New Roman" w:hAnsi="Calibri Light" w:cs="Times New Roman"/>
      <w:i/>
      <w:iCs/>
      <w:color w:val="2E74B5"/>
      <w:sz w:val="22"/>
    </w:rPr>
  </w:style>
  <w:style w:type="character" w:customStyle="1" w:styleId="50">
    <w:name w:val="Заголовок 5 Знак"/>
    <w:basedOn w:val="a3"/>
    <w:link w:val="5"/>
    <w:uiPriority w:val="99"/>
    <w:rsid w:val="004F1D40"/>
    <w:rPr>
      <w:rFonts w:ascii="Calibri Light" w:eastAsia="Times New Roman" w:hAnsi="Calibri Light" w:cs="Times New Roman"/>
      <w:color w:val="1F4D78"/>
      <w:sz w:val="22"/>
    </w:rPr>
  </w:style>
  <w:style w:type="character" w:customStyle="1" w:styleId="60">
    <w:name w:val="Заголовок 6 Знак"/>
    <w:basedOn w:val="a3"/>
    <w:link w:val="6"/>
    <w:uiPriority w:val="99"/>
    <w:rsid w:val="004F1D40"/>
    <w:rPr>
      <w:rFonts w:ascii="Times New Roman" w:eastAsia="Times New Roman" w:hAnsi="Times New Roman" w:cs="Times New Roman"/>
      <w:i/>
      <w:iCs/>
      <w:sz w:val="24"/>
      <w:szCs w:val="24"/>
      <w:lang w:val="en-US" w:eastAsia="ru-RU"/>
    </w:rPr>
  </w:style>
  <w:style w:type="character" w:customStyle="1" w:styleId="70">
    <w:name w:val="Заголовок 7 Знак"/>
    <w:basedOn w:val="a3"/>
    <w:link w:val="7"/>
    <w:uiPriority w:val="99"/>
    <w:rsid w:val="004F1D40"/>
    <w:rPr>
      <w:rFonts w:ascii="Arial" w:eastAsia="Times New Roman" w:hAnsi="Arial" w:cs="Arial"/>
      <w:b/>
      <w:bCs/>
      <w:sz w:val="28"/>
      <w:szCs w:val="28"/>
      <w:lang w:eastAsia="ru-RU"/>
    </w:rPr>
  </w:style>
  <w:style w:type="character" w:customStyle="1" w:styleId="af7">
    <w:name w:val="Основной текст Знак"/>
    <w:link w:val="af6"/>
    <w:locked/>
    <w:rsid w:val="004F1D40"/>
    <w:rPr>
      <w:rFonts w:ascii="Times New Roman" w:hAnsi="Times New Roman"/>
      <w:sz w:val="24"/>
    </w:rPr>
  </w:style>
  <w:style w:type="paragraph" w:styleId="1f8">
    <w:name w:val="index 1"/>
    <w:basedOn w:val="a1"/>
    <w:next w:val="a1"/>
    <w:autoRedefine/>
    <w:uiPriority w:val="99"/>
    <w:semiHidden/>
    <w:rsid w:val="004F1D40"/>
    <w:pPr>
      <w:ind w:left="240" w:hanging="240"/>
    </w:pPr>
    <w:rPr>
      <w:rFonts w:eastAsia="Calibri" w:cs="Times New Roman"/>
    </w:rPr>
  </w:style>
  <w:style w:type="character" w:customStyle="1" w:styleId="15">
    <w:name w:val="Верхний колонтитул Знак1"/>
    <w:link w:val="afb"/>
    <w:uiPriority w:val="99"/>
    <w:locked/>
    <w:rsid w:val="004F1D40"/>
    <w:rPr>
      <w:rFonts w:ascii="Times New Roman" w:hAnsi="Times New Roman"/>
      <w:sz w:val="24"/>
    </w:rPr>
  </w:style>
  <w:style w:type="character" w:customStyle="1" w:styleId="16">
    <w:name w:val="Нижний колонтитул Знак1"/>
    <w:link w:val="afc"/>
    <w:uiPriority w:val="99"/>
    <w:locked/>
    <w:rsid w:val="004F1D40"/>
    <w:rPr>
      <w:rFonts w:ascii="Times New Roman" w:hAnsi="Times New Roman"/>
      <w:sz w:val="24"/>
    </w:rPr>
  </w:style>
  <w:style w:type="character" w:customStyle="1" w:styleId="19">
    <w:name w:val="Текст выноски Знак1"/>
    <w:link w:val="aff0"/>
    <w:uiPriority w:val="99"/>
    <w:locked/>
    <w:rsid w:val="004F1D40"/>
    <w:rPr>
      <w:rFonts w:ascii="Tahoma" w:hAnsi="Tahoma" w:cs="Tahoma"/>
      <w:sz w:val="16"/>
      <w:szCs w:val="16"/>
    </w:rPr>
  </w:style>
  <w:style w:type="character" w:customStyle="1" w:styleId="1b">
    <w:name w:val="Подзаголовок Знак1"/>
    <w:link w:val="a2"/>
    <w:uiPriority w:val="11"/>
    <w:locked/>
    <w:rsid w:val="004F1D40"/>
    <w:rPr>
      <w:rFonts w:ascii="Times New Roman" w:hAnsi="Times New Roman" w:cs="Times New Roman"/>
      <w:b/>
      <w:sz w:val="24"/>
      <w:szCs w:val="24"/>
      <w:u w:val="single"/>
    </w:rPr>
  </w:style>
  <w:style w:type="character" w:customStyle="1" w:styleId="1d">
    <w:name w:val="Тема примечания Знак1"/>
    <w:link w:val="aff5"/>
    <w:uiPriority w:val="99"/>
    <w:locked/>
    <w:rsid w:val="004F1D40"/>
    <w:rPr>
      <w:rFonts w:ascii="Times New Roman" w:hAnsi="Times New Roman"/>
      <w:b/>
      <w:bCs/>
      <w:szCs w:val="20"/>
    </w:rPr>
  </w:style>
  <w:style w:type="character" w:customStyle="1" w:styleId="1f">
    <w:name w:val="Текст сноски Знак1"/>
    <w:link w:val="aff7"/>
    <w:uiPriority w:val="99"/>
    <w:locked/>
    <w:rsid w:val="004F1D40"/>
    <w:rPr>
      <w:rFonts w:ascii="Calibri" w:eastAsia="Calibri" w:hAnsi="Calibri" w:cs="Times New Roman"/>
      <w:szCs w:val="20"/>
    </w:rPr>
  </w:style>
  <w:style w:type="paragraph" w:customStyle="1" w:styleId="affff7">
    <w:name w:val="Стиль"/>
    <w:uiPriority w:val="99"/>
    <w:rsid w:val="004F1D40"/>
    <w:pPr>
      <w:keepNext/>
      <w:keepLines/>
      <w:spacing w:line="276" w:lineRule="auto"/>
      <w:outlineLvl w:val="0"/>
    </w:pPr>
    <w:rPr>
      <w:rFonts w:ascii="Times New Roman" w:eastAsia="Calibri" w:hAnsi="Times New Roman" w:cs="Times New Roman"/>
      <w:sz w:val="24"/>
    </w:rPr>
  </w:style>
  <w:style w:type="paragraph" w:customStyle="1" w:styleId="1f9">
    <w:name w:val="УДД1"/>
    <w:aliases w:val="УУР1"/>
    <w:basedOn w:val="afffa"/>
    <w:uiPriority w:val="99"/>
    <w:rsid w:val="004F1D40"/>
    <w:pPr>
      <w:contextualSpacing w:val="0"/>
    </w:pPr>
    <w:rPr>
      <w:rFonts w:eastAsia="Calibri"/>
    </w:rPr>
  </w:style>
  <w:style w:type="paragraph" w:styleId="32">
    <w:name w:val="toc 3"/>
    <w:basedOn w:val="a1"/>
    <w:next w:val="a1"/>
    <w:autoRedefine/>
    <w:uiPriority w:val="39"/>
    <w:unhideWhenUsed/>
    <w:qFormat/>
    <w:rsid w:val="004F1D40"/>
    <w:pPr>
      <w:ind w:left="480"/>
      <w:jc w:val="left"/>
    </w:pPr>
    <w:rPr>
      <w:rFonts w:asciiTheme="minorHAnsi" w:eastAsia="Calibri" w:hAnsiTheme="minorHAnsi" w:cs="Times New Roman"/>
      <w:sz w:val="20"/>
      <w:szCs w:val="20"/>
    </w:rPr>
  </w:style>
  <w:style w:type="numbering" w:customStyle="1" w:styleId="1fa">
    <w:name w:val="Нет списка1"/>
    <w:next w:val="a5"/>
    <w:uiPriority w:val="99"/>
    <w:semiHidden/>
    <w:unhideWhenUsed/>
    <w:rsid w:val="004F1D40"/>
  </w:style>
  <w:style w:type="numbering" w:customStyle="1" w:styleId="24">
    <w:name w:val="Нет списка2"/>
    <w:next w:val="a5"/>
    <w:uiPriority w:val="99"/>
    <w:semiHidden/>
    <w:unhideWhenUsed/>
    <w:rsid w:val="004F1D40"/>
  </w:style>
  <w:style w:type="numbering" w:customStyle="1" w:styleId="33">
    <w:name w:val="Нет списка3"/>
    <w:next w:val="a5"/>
    <w:uiPriority w:val="99"/>
    <w:semiHidden/>
    <w:unhideWhenUsed/>
    <w:rsid w:val="004F1D40"/>
  </w:style>
  <w:style w:type="paragraph" w:styleId="HTML">
    <w:name w:val="HTML Preformatted"/>
    <w:basedOn w:val="a1"/>
    <w:link w:val="HTML0"/>
    <w:rsid w:val="004F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4F1D40"/>
    <w:rPr>
      <w:rFonts w:ascii="Courier New" w:eastAsia="Times New Roman" w:hAnsi="Courier New" w:cs="Courier New"/>
      <w:szCs w:val="20"/>
      <w:lang w:eastAsia="ru-RU"/>
    </w:rPr>
  </w:style>
  <w:style w:type="paragraph" w:styleId="affff8">
    <w:name w:val="endnote text"/>
    <w:basedOn w:val="a1"/>
    <w:link w:val="affff9"/>
    <w:uiPriority w:val="99"/>
    <w:unhideWhenUsed/>
    <w:rsid w:val="004F1D40"/>
    <w:pPr>
      <w:spacing w:line="240" w:lineRule="auto"/>
      <w:ind w:firstLine="567"/>
    </w:pPr>
    <w:rPr>
      <w:rFonts w:ascii="Calibri" w:eastAsia="Calibri" w:hAnsi="Calibri" w:cs="Times New Roman"/>
      <w:sz w:val="20"/>
      <w:szCs w:val="20"/>
    </w:rPr>
  </w:style>
  <w:style w:type="character" w:customStyle="1" w:styleId="affff9">
    <w:name w:val="Текст концевой сноски Знак"/>
    <w:basedOn w:val="a3"/>
    <w:link w:val="affff8"/>
    <w:uiPriority w:val="99"/>
    <w:rsid w:val="004F1D40"/>
    <w:rPr>
      <w:rFonts w:ascii="Calibri" w:eastAsia="Calibri" w:hAnsi="Calibri" w:cs="Times New Roman"/>
      <w:szCs w:val="20"/>
    </w:rPr>
  </w:style>
  <w:style w:type="character" w:customStyle="1" w:styleId="1fb">
    <w:name w:val="Строгий1"/>
    <w:rsid w:val="004F1D40"/>
    <w:rPr>
      <w:b/>
      <w:bCs/>
    </w:rPr>
  </w:style>
  <w:style w:type="paragraph" w:customStyle="1" w:styleId="310">
    <w:name w:val="Основной текст с отступом 31"/>
    <w:basedOn w:val="a1"/>
    <w:rsid w:val="004F1D40"/>
    <w:pPr>
      <w:suppressAutoHyphens/>
      <w:spacing w:after="120" w:line="240" w:lineRule="auto"/>
      <w:ind w:left="283" w:firstLine="567"/>
    </w:pPr>
    <w:rPr>
      <w:rFonts w:eastAsia="Times New Roman" w:cs="Calibri"/>
      <w:sz w:val="16"/>
      <w:szCs w:val="16"/>
      <w:lang w:eastAsia="ar-SA"/>
    </w:rPr>
  </w:style>
  <w:style w:type="table" w:customStyle="1" w:styleId="25">
    <w:name w:val="Сетка таблицы2"/>
    <w:basedOn w:val="a4"/>
    <w:next w:val="aff9"/>
    <w:uiPriority w:val="59"/>
    <w:rsid w:val="004F1D40"/>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4F1D40"/>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4F1D40"/>
  </w:style>
  <w:style w:type="paragraph" w:customStyle="1" w:styleId="firstlast">
    <w:name w:val="first last"/>
    <w:basedOn w:val="a1"/>
    <w:uiPriority w:val="99"/>
    <w:rsid w:val="004F1D40"/>
    <w:pPr>
      <w:spacing w:before="100" w:beforeAutospacing="1" w:after="100" w:afterAutospacing="1" w:line="240" w:lineRule="auto"/>
      <w:ind w:firstLine="567"/>
    </w:pPr>
    <w:rPr>
      <w:rFonts w:eastAsia="Times New Roman" w:cs="Times New Roman"/>
      <w:szCs w:val="24"/>
      <w:lang w:eastAsia="ru-RU"/>
    </w:rPr>
  </w:style>
  <w:style w:type="paragraph" w:customStyle="1" w:styleId="last">
    <w:name w:val="last"/>
    <w:basedOn w:val="a1"/>
    <w:uiPriority w:val="99"/>
    <w:rsid w:val="004F1D40"/>
    <w:pPr>
      <w:spacing w:before="100" w:beforeAutospacing="1" w:after="100" w:afterAutospacing="1" w:line="240" w:lineRule="auto"/>
      <w:ind w:firstLine="567"/>
    </w:pPr>
    <w:rPr>
      <w:rFonts w:eastAsia="Times New Roman" w:cs="Times New Roman"/>
      <w:szCs w:val="24"/>
      <w:lang w:eastAsia="ru-RU"/>
    </w:rPr>
  </w:style>
  <w:style w:type="paragraph" w:customStyle="1" w:styleId="para">
    <w:name w:val="para"/>
    <w:basedOn w:val="a1"/>
    <w:uiPriority w:val="99"/>
    <w:rsid w:val="004F1D40"/>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4F1D40"/>
  </w:style>
  <w:style w:type="character" w:customStyle="1" w:styleId="postbody1">
    <w:name w:val="postbody1"/>
    <w:rsid w:val="004F1D40"/>
    <w:rPr>
      <w:sz w:val="18"/>
      <w:szCs w:val="18"/>
    </w:rPr>
  </w:style>
  <w:style w:type="character" w:customStyle="1" w:styleId="volume">
    <w:name w:val="volume"/>
    <w:rsid w:val="004F1D40"/>
  </w:style>
  <w:style w:type="character" w:customStyle="1" w:styleId="issue">
    <w:name w:val="issue"/>
    <w:rsid w:val="004F1D40"/>
  </w:style>
  <w:style w:type="character" w:customStyle="1" w:styleId="pages">
    <w:name w:val="pages"/>
    <w:rsid w:val="004F1D40"/>
  </w:style>
  <w:style w:type="paragraph" w:customStyle="1" w:styleId="210">
    <w:name w:val="Основной текст 21"/>
    <w:basedOn w:val="a1"/>
    <w:rsid w:val="004F1D40"/>
    <w:pPr>
      <w:suppressAutoHyphens/>
      <w:spacing w:line="240" w:lineRule="auto"/>
      <w:ind w:firstLine="567"/>
    </w:pPr>
    <w:rPr>
      <w:rFonts w:eastAsia="Times New Roman" w:cs="Calibri"/>
      <w:szCs w:val="20"/>
      <w:lang w:eastAsia="ar-SA"/>
    </w:rPr>
  </w:style>
  <w:style w:type="paragraph" w:customStyle="1" w:styleId="1fc">
    <w:name w:val="Абзац списка1"/>
    <w:basedOn w:val="a1"/>
    <w:uiPriority w:val="34"/>
    <w:qFormat/>
    <w:rsid w:val="004F1D40"/>
    <w:pPr>
      <w:suppressAutoHyphens/>
      <w:spacing w:after="200" w:line="276" w:lineRule="auto"/>
      <w:ind w:firstLine="567"/>
    </w:pPr>
    <w:rPr>
      <w:rFonts w:ascii="Calibri" w:eastAsia="Calibri" w:hAnsi="Calibri" w:cs="Calibri"/>
      <w:sz w:val="22"/>
      <w:lang w:val="nl-NL" w:eastAsia="ar-SA"/>
    </w:rPr>
  </w:style>
  <w:style w:type="paragraph" w:customStyle="1" w:styleId="220">
    <w:name w:val="Основной текст 22"/>
    <w:basedOn w:val="a1"/>
    <w:rsid w:val="004F1D40"/>
    <w:pPr>
      <w:suppressAutoHyphens/>
      <w:spacing w:line="100" w:lineRule="atLeast"/>
      <w:ind w:firstLine="567"/>
    </w:pPr>
    <w:rPr>
      <w:rFonts w:eastAsia="Times New Roman" w:cs="Times New Roman"/>
      <w:kern w:val="1"/>
      <w:szCs w:val="24"/>
      <w:lang w:eastAsia="ar-SA"/>
    </w:rPr>
  </w:style>
  <w:style w:type="paragraph" w:styleId="affffa">
    <w:name w:val="Body Text Indent"/>
    <w:basedOn w:val="a1"/>
    <w:link w:val="affffb"/>
    <w:uiPriority w:val="99"/>
    <w:unhideWhenUsed/>
    <w:rsid w:val="004F1D40"/>
    <w:pPr>
      <w:spacing w:after="120" w:line="288" w:lineRule="auto"/>
      <w:ind w:left="283" w:firstLine="567"/>
    </w:pPr>
    <w:rPr>
      <w:rFonts w:ascii="Calibri" w:eastAsia="Calibri" w:hAnsi="Calibri" w:cs="Times New Roman"/>
      <w:sz w:val="22"/>
    </w:rPr>
  </w:style>
  <w:style w:type="character" w:customStyle="1" w:styleId="affffb">
    <w:name w:val="Основной текст с отступом Знак"/>
    <w:basedOn w:val="a3"/>
    <w:link w:val="affffa"/>
    <w:uiPriority w:val="99"/>
    <w:rsid w:val="004F1D40"/>
    <w:rPr>
      <w:rFonts w:ascii="Calibri" w:eastAsia="Calibri" w:hAnsi="Calibri" w:cs="Times New Roman"/>
      <w:sz w:val="22"/>
    </w:rPr>
  </w:style>
  <w:style w:type="paragraph" w:customStyle="1" w:styleId="TextDrugs">
    <w:name w:val="Text_Drugs"/>
    <w:basedOn w:val="a1"/>
    <w:rsid w:val="004F1D40"/>
    <w:pPr>
      <w:suppressAutoHyphens/>
      <w:spacing w:line="100" w:lineRule="atLeast"/>
      <w:ind w:firstLine="567"/>
    </w:pPr>
    <w:rPr>
      <w:rFonts w:ascii="Cambria" w:eastAsia="MS Mincho" w:hAnsi="Cambria" w:cs="Times New Roman"/>
      <w:kern w:val="1"/>
      <w:szCs w:val="24"/>
      <w:lang w:val="de-DE" w:eastAsia="ar-SA"/>
    </w:rPr>
  </w:style>
  <w:style w:type="character" w:customStyle="1" w:styleId="jrnl">
    <w:name w:val="jrnl"/>
    <w:rsid w:val="004F1D40"/>
  </w:style>
  <w:style w:type="character" w:customStyle="1" w:styleId="highlight">
    <w:name w:val="highlight"/>
    <w:rsid w:val="004F1D40"/>
  </w:style>
  <w:style w:type="character" w:customStyle="1" w:styleId="maintextbldleft">
    <w:name w:val="maintextbldleft"/>
    <w:rsid w:val="004F1D40"/>
  </w:style>
  <w:style w:type="character" w:customStyle="1" w:styleId="maintextleft">
    <w:name w:val="maintextleft"/>
    <w:rsid w:val="004F1D40"/>
  </w:style>
  <w:style w:type="paragraph" w:customStyle="1" w:styleId="26">
    <w:name w:val="Абзац списка2"/>
    <w:basedOn w:val="a1"/>
    <w:rsid w:val="004F1D40"/>
    <w:pPr>
      <w:suppressAutoHyphens/>
      <w:spacing w:after="200" w:line="276" w:lineRule="auto"/>
      <w:ind w:firstLine="567"/>
    </w:pPr>
    <w:rPr>
      <w:rFonts w:ascii="Calibri" w:eastAsia="Calibri" w:hAnsi="Calibri" w:cs="Calibri"/>
      <w:sz w:val="22"/>
      <w:lang w:val="nl-NL" w:eastAsia="ar-SA"/>
    </w:rPr>
  </w:style>
  <w:style w:type="paragraph" w:customStyle="1" w:styleId="230">
    <w:name w:val="Основной текст 23"/>
    <w:basedOn w:val="a1"/>
    <w:rsid w:val="004F1D40"/>
    <w:pPr>
      <w:suppressAutoHyphens/>
      <w:spacing w:line="100" w:lineRule="atLeast"/>
      <w:ind w:firstLine="567"/>
    </w:pPr>
    <w:rPr>
      <w:rFonts w:eastAsia="Times New Roman" w:cs="Times New Roman"/>
      <w:kern w:val="1"/>
      <w:szCs w:val="24"/>
      <w:lang w:eastAsia="ar-SA"/>
    </w:rPr>
  </w:style>
  <w:style w:type="character" w:customStyle="1" w:styleId="hps">
    <w:name w:val="hps"/>
    <w:rsid w:val="004F1D40"/>
  </w:style>
  <w:style w:type="paragraph" w:styleId="27">
    <w:name w:val="Body Text 2"/>
    <w:basedOn w:val="a1"/>
    <w:link w:val="28"/>
    <w:semiHidden/>
    <w:rsid w:val="004F1D40"/>
    <w:pPr>
      <w:spacing w:line="240" w:lineRule="auto"/>
      <w:ind w:firstLine="567"/>
    </w:pPr>
    <w:rPr>
      <w:rFonts w:eastAsia="Times New Roman" w:cs="Times New Roman"/>
      <w:szCs w:val="20"/>
      <w:lang w:eastAsia="ru-RU"/>
    </w:rPr>
  </w:style>
  <w:style w:type="character" w:customStyle="1" w:styleId="28">
    <w:name w:val="Основной текст 2 Знак"/>
    <w:basedOn w:val="a3"/>
    <w:link w:val="27"/>
    <w:semiHidden/>
    <w:rsid w:val="004F1D40"/>
    <w:rPr>
      <w:rFonts w:ascii="Times New Roman" w:eastAsia="Times New Roman" w:hAnsi="Times New Roman" w:cs="Times New Roman"/>
      <w:sz w:val="24"/>
      <w:szCs w:val="20"/>
      <w:lang w:eastAsia="ru-RU"/>
    </w:rPr>
  </w:style>
  <w:style w:type="character" w:customStyle="1" w:styleId="highwire-citation-authors">
    <w:name w:val="highwire-citation-authors"/>
    <w:rsid w:val="004F1D40"/>
  </w:style>
  <w:style w:type="character" w:customStyle="1" w:styleId="nlm-given-names">
    <w:name w:val="nlm-given-names"/>
    <w:rsid w:val="004F1D40"/>
  </w:style>
  <w:style w:type="character" w:customStyle="1" w:styleId="nlm-surname">
    <w:name w:val="nlm-surname"/>
    <w:rsid w:val="004F1D40"/>
  </w:style>
  <w:style w:type="character" w:customStyle="1" w:styleId="highwire-cite-metadata-journal">
    <w:name w:val="highwire-cite-metadata-journal"/>
    <w:rsid w:val="004F1D40"/>
  </w:style>
  <w:style w:type="character" w:customStyle="1" w:styleId="highwire-cite-metadata-date">
    <w:name w:val="highwire-cite-metadata-date"/>
    <w:rsid w:val="004F1D40"/>
  </w:style>
  <w:style w:type="character" w:customStyle="1" w:styleId="highwire-cite-metadata-volume-pages">
    <w:name w:val="highwire-cite-metadata-volume-pages"/>
    <w:rsid w:val="004F1D40"/>
  </w:style>
  <w:style w:type="character" w:customStyle="1" w:styleId="highwire-cite-metadata-doi">
    <w:name w:val="highwire-cite-metadata-doi"/>
    <w:rsid w:val="004F1D40"/>
  </w:style>
  <w:style w:type="character" w:customStyle="1" w:styleId="freeaccess">
    <w:name w:val="freeaccess"/>
    <w:rsid w:val="004F1D40"/>
  </w:style>
  <w:style w:type="character" w:styleId="affffc">
    <w:name w:val="page number"/>
    <w:uiPriority w:val="99"/>
    <w:rsid w:val="004F1D40"/>
  </w:style>
  <w:style w:type="paragraph" w:customStyle="1" w:styleId="34">
    <w:name w:val="Абзац списка3"/>
    <w:basedOn w:val="a1"/>
    <w:rsid w:val="004F1D40"/>
    <w:pPr>
      <w:spacing w:line="240" w:lineRule="auto"/>
      <w:ind w:left="720" w:firstLine="567"/>
    </w:pPr>
    <w:rPr>
      <w:rFonts w:eastAsia="Calibri" w:cs="Times New Roman"/>
      <w:szCs w:val="24"/>
      <w:lang w:eastAsia="ru-RU"/>
    </w:rPr>
  </w:style>
  <w:style w:type="character" w:customStyle="1" w:styleId="WW8Num3z0">
    <w:name w:val="WW8Num3z0"/>
    <w:rsid w:val="004F1D40"/>
    <w:rPr>
      <w:rFonts w:ascii="Symbol" w:hAnsi="Symbol" w:cs="Symbol"/>
    </w:rPr>
  </w:style>
  <w:style w:type="character" w:customStyle="1" w:styleId="WW8Num3z1">
    <w:name w:val="WW8Num3z1"/>
    <w:rsid w:val="004F1D40"/>
    <w:rPr>
      <w:rFonts w:ascii="Courier New" w:hAnsi="Courier New" w:cs="Courier New"/>
    </w:rPr>
  </w:style>
  <w:style w:type="character" w:customStyle="1" w:styleId="WW8Num3z2">
    <w:name w:val="WW8Num3z2"/>
    <w:rsid w:val="004F1D40"/>
    <w:rPr>
      <w:rFonts w:ascii="Wingdings" w:hAnsi="Wingdings" w:cs="Wingdings"/>
    </w:rPr>
  </w:style>
  <w:style w:type="character" w:customStyle="1" w:styleId="WW8Num3z4">
    <w:name w:val="WW8Num3z4"/>
    <w:rsid w:val="004F1D40"/>
    <w:rPr>
      <w:rFonts w:ascii="Courier New" w:hAnsi="Courier New" w:cs="Courier New"/>
    </w:rPr>
  </w:style>
  <w:style w:type="character" w:customStyle="1" w:styleId="WW8Num4z0">
    <w:name w:val="WW8Num4z0"/>
    <w:rsid w:val="004F1D40"/>
    <w:rPr>
      <w:rFonts w:ascii="Symbol" w:hAnsi="Symbol" w:cs="Symbol"/>
    </w:rPr>
  </w:style>
  <w:style w:type="character" w:customStyle="1" w:styleId="WW8Num5z0">
    <w:name w:val="WW8Num5z0"/>
    <w:rsid w:val="004F1D40"/>
    <w:rPr>
      <w:rFonts w:ascii="Calibri" w:hAnsi="Calibri" w:cs="Calibri"/>
    </w:rPr>
  </w:style>
  <w:style w:type="character" w:customStyle="1" w:styleId="WW8Num5z1">
    <w:name w:val="WW8Num5z1"/>
    <w:rsid w:val="004F1D40"/>
    <w:rPr>
      <w:rFonts w:ascii="Calibri" w:hAnsi="Calibri" w:cs="Calibri"/>
    </w:rPr>
  </w:style>
  <w:style w:type="character" w:customStyle="1" w:styleId="WW8Num5z2">
    <w:name w:val="WW8Num5z2"/>
    <w:rsid w:val="004F1D40"/>
    <w:rPr>
      <w:rFonts w:ascii="Wingdings" w:hAnsi="Wingdings" w:cs="Wingdings"/>
    </w:rPr>
  </w:style>
  <w:style w:type="character" w:customStyle="1" w:styleId="WW8Num5z4">
    <w:name w:val="WW8Num5z4"/>
    <w:rsid w:val="004F1D40"/>
    <w:rPr>
      <w:rFonts w:ascii="Courier New" w:hAnsi="Courier New" w:cs="Courier New"/>
    </w:rPr>
  </w:style>
  <w:style w:type="character" w:customStyle="1" w:styleId="WW8Num6z0">
    <w:name w:val="WW8Num6z0"/>
    <w:rsid w:val="004F1D40"/>
    <w:rPr>
      <w:rFonts w:ascii="Gill Sans" w:hAnsi="Gill Sans" w:cs="Gill Sans"/>
      <w:sz w:val="28"/>
      <w:szCs w:val="22"/>
    </w:rPr>
  </w:style>
  <w:style w:type="character" w:customStyle="1" w:styleId="WW8Num6z1">
    <w:name w:val="WW8Num6z1"/>
    <w:rsid w:val="004F1D40"/>
    <w:rPr>
      <w:rFonts w:ascii="Courier New" w:hAnsi="Courier New" w:cs="Courier New"/>
    </w:rPr>
  </w:style>
  <w:style w:type="character" w:customStyle="1" w:styleId="WW8Num6z2">
    <w:name w:val="WW8Num6z2"/>
    <w:rsid w:val="004F1D40"/>
    <w:rPr>
      <w:rFonts w:ascii="Wingdings" w:hAnsi="Wingdings" w:cs="Wingdings"/>
    </w:rPr>
  </w:style>
  <w:style w:type="character" w:customStyle="1" w:styleId="WW8Num7z0">
    <w:name w:val="WW8Num7z0"/>
    <w:rsid w:val="004F1D40"/>
    <w:rPr>
      <w:rFonts w:ascii="Symbol" w:hAnsi="Symbol" w:cs="Symbol"/>
    </w:rPr>
  </w:style>
  <w:style w:type="character" w:customStyle="1" w:styleId="WW8Num7z1">
    <w:name w:val="WW8Num7z1"/>
    <w:rsid w:val="004F1D40"/>
    <w:rPr>
      <w:rFonts w:ascii="Calibri" w:hAnsi="Calibri" w:cs="Calibri"/>
    </w:rPr>
  </w:style>
  <w:style w:type="character" w:customStyle="1" w:styleId="WW8Num8z0">
    <w:name w:val="WW8Num8z0"/>
    <w:rsid w:val="004F1D40"/>
    <w:rPr>
      <w:rFonts w:ascii="Symbol" w:hAnsi="Symbol" w:cs="Symbol"/>
    </w:rPr>
  </w:style>
  <w:style w:type="character" w:customStyle="1" w:styleId="WW8Num9z0">
    <w:name w:val="WW8Num9z0"/>
    <w:rsid w:val="004F1D40"/>
    <w:rPr>
      <w:rFonts w:ascii="Calibri" w:eastAsia="Times New Roman" w:hAnsi="Calibri" w:cs="Times New Roman"/>
    </w:rPr>
  </w:style>
  <w:style w:type="character" w:customStyle="1" w:styleId="WW8Num10z0">
    <w:name w:val="WW8Num10z0"/>
    <w:rsid w:val="004F1D40"/>
    <w:rPr>
      <w:b w:val="0"/>
      <w:i w:val="0"/>
    </w:rPr>
  </w:style>
  <w:style w:type="character" w:customStyle="1" w:styleId="WW8Num11z0">
    <w:name w:val="WW8Num11z0"/>
    <w:rsid w:val="004F1D40"/>
    <w:rPr>
      <w:rFonts w:ascii="Symbol" w:hAnsi="Symbol" w:cs="Symbol"/>
    </w:rPr>
  </w:style>
  <w:style w:type="character" w:customStyle="1" w:styleId="WW8Num12z0">
    <w:name w:val="WW8Num12z0"/>
    <w:rsid w:val="004F1D40"/>
    <w:rPr>
      <w:rFonts w:ascii="Symbol" w:hAnsi="Symbol" w:cs="Symbol"/>
    </w:rPr>
  </w:style>
  <w:style w:type="character" w:customStyle="1" w:styleId="WW8Num13z0">
    <w:name w:val="WW8Num13z0"/>
    <w:rsid w:val="004F1D40"/>
    <w:rPr>
      <w:rFonts w:ascii="Symbol" w:hAnsi="Symbol" w:cs="Symbol"/>
    </w:rPr>
  </w:style>
  <w:style w:type="character" w:customStyle="1" w:styleId="WW8Num14z0">
    <w:name w:val="WW8Num14z0"/>
    <w:rsid w:val="004F1D40"/>
    <w:rPr>
      <w:rFonts w:ascii="Calibri" w:hAnsi="Calibri" w:cs="Calibri"/>
    </w:rPr>
  </w:style>
  <w:style w:type="character" w:customStyle="1" w:styleId="WW8Num15z0">
    <w:name w:val="WW8Num15z0"/>
    <w:rsid w:val="004F1D40"/>
    <w:rPr>
      <w:rFonts w:ascii="Symbol" w:hAnsi="Symbol" w:cs="Symbol"/>
    </w:rPr>
  </w:style>
  <w:style w:type="character" w:customStyle="1" w:styleId="WW8Num16z0">
    <w:name w:val="WW8Num16z0"/>
    <w:rsid w:val="004F1D40"/>
    <w:rPr>
      <w:rFonts w:ascii="Symbol" w:hAnsi="Symbol" w:cs="Symbol"/>
    </w:rPr>
  </w:style>
  <w:style w:type="character" w:customStyle="1" w:styleId="WW8Num17z0">
    <w:name w:val="WW8Num17z0"/>
    <w:rsid w:val="004F1D40"/>
    <w:rPr>
      <w:rFonts w:ascii="Calibri" w:hAnsi="Calibri" w:cs="Calibri"/>
    </w:rPr>
  </w:style>
  <w:style w:type="character" w:customStyle="1" w:styleId="WW8Num18z0">
    <w:name w:val="WW8Num18z0"/>
    <w:rsid w:val="004F1D40"/>
    <w:rPr>
      <w:rFonts w:ascii="Symbol" w:hAnsi="Symbol" w:cs="Symbol"/>
    </w:rPr>
  </w:style>
  <w:style w:type="character" w:customStyle="1" w:styleId="WW8Num19z0">
    <w:name w:val="WW8Num19z0"/>
    <w:rsid w:val="004F1D40"/>
    <w:rPr>
      <w:rFonts w:ascii="Symbol" w:hAnsi="Symbol" w:cs="Symbol"/>
    </w:rPr>
  </w:style>
  <w:style w:type="character" w:customStyle="1" w:styleId="WW8Num20z0">
    <w:name w:val="WW8Num20z0"/>
    <w:rsid w:val="004F1D40"/>
    <w:rPr>
      <w:rFonts w:ascii="Symbol" w:hAnsi="Symbol" w:cs="Symbol"/>
    </w:rPr>
  </w:style>
  <w:style w:type="character" w:customStyle="1" w:styleId="WW8Num21z0">
    <w:name w:val="WW8Num21z0"/>
    <w:rsid w:val="004F1D40"/>
    <w:rPr>
      <w:rFonts w:ascii="Symbol" w:hAnsi="Symbol" w:cs="Symbol"/>
    </w:rPr>
  </w:style>
  <w:style w:type="character" w:customStyle="1" w:styleId="WW8Num22z0">
    <w:name w:val="WW8Num22z0"/>
    <w:rsid w:val="004F1D40"/>
    <w:rPr>
      <w:rFonts w:ascii="Symbol" w:hAnsi="Symbol" w:cs="Symbol"/>
    </w:rPr>
  </w:style>
  <w:style w:type="character" w:customStyle="1" w:styleId="WW8Num23z0">
    <w:name w:val="WW8Num23z0"/>
    <w:rsid w:val="004F1D40"/>
    <w:rPr>
      <w:rFonts w:ascii="Symbol" w:hAnsi="Symbol" w:cs="Symbol"/>
    </w:rPr>
  </w:style>
  <w:style w:type="character" w:customStyle="1" w:styleId="WW8Num24z0">
    <w:name w:val="WW8Num24z0"/>
    <w:rsid w:val="004F1D40"/>
    <w:rPr>
      <w:rFonts w:ascii="Symbol" w:hAnsi="Symbol" w:cs="Symbol"/>
    </w:rPr>
  </w:style>
  <w:style w:type="character" w:customStyle="1" w:styleId="WW8Num25z0">
    <w:name w:val="WW8Num25z0"/>
    <w:rsid w:val="004F1D40"/>
    <w:rPr>
      <w:rFonts w:ascii="Symbol" w:hAnsi="Symbol" w:cs="Symbol"/>
    </w:rPr>
  </w:style>
  <w:style w:type="character" w:customStyle="1" w:styleId="WW8Num26z0">
    <w:name w:val="WW8Num26z0"/>
    <w:rsid w:val="004F1D40"/>
    <w:rPr>
      <w:rFonts w:ascii="Symbol" w:hAnsi="Symbol" w:cs="Symbol"/>
    </w:rPr>
  </w:style>
  <w:style w:type="character" w:customStyle="1" w:styleId="WW8Num27z0">
    <w:name w:val="WW8Num27z0"/>
    <w:rsid w:val="004F1D40"/>
    <w:rPr>
      <w:rFonts w:ascii="Calibri" w:hAnsi="Calibri" w:cs="Calibri"/>
    </w:rPr>
  </w:style>
  <w:style w:type="character" w:customStyle="1" w:styleId="WW8Num27z1">
    <w:name w:val="WW8Num27z1"/>
    <w:rsid w:val="004F1D40"/>
    <w:rPr>
      <w:rFonts w:ascii="Courier New" w:hAnsi="Courier New" w:cs="Courier New"/>
    </w:rPr>
  </w:style>
  <w:style w:type="character" w:customStyle="1" w:styleId="WW8Num27z2">
    <w:name w:val="WW8Num27z2"/>
    <w:rsid w:val="004F1D40"/>
    <w:rPr>
      <w:rFonts w:ascii="Wingdings" w:hAnsi="Wingdings" w:cs="Wingdings"/>
    </w:rPr>
  </w:style>
  <w:style w:type="character" w:customStyle="1" w:styleId="WW8Num27z4">
    <w:name w:val="WW8Num27z4"/>
    <w:rsid w:val="004F1D40"/>
    <w:rPr>
      <w:rFonts w:ascii="Courier New" w:hAnsi="Courier New" w:cs="Courier New"/>
    </w:rPr>
  </w:style>
  <w:style w:type="character" w:customStyle="1" w:styleId="WW8Num28z0">
    <w:name w:val="WW8Num28z0"/>
    <w:rsid w:val="004F1D40"/>
    <w:rPr>
      <w:rFonts w:ascii="Symbol" w:hAnsi="Symbol" w:cs="Symbol"/>
    </w:rPr>
  </w:style>
  <w:style w:type="character" w:customStyle="1" w:styleId="WW8Num29z0">
    <w:name w:val="WW8Num29z0"/>
    <w:rsid w:val="004F1D40"/>
    <w:rPr>
      <w:rFonts w:ascii="Symbol" w:hAnsi="Symbol" w:cs="Symbol"/>
    </w:rPr>
  </w:style>
  <w:style w:type="character" w:customStyle="1" w:styleId="WW8Num30z0">
    <w:name w:val="WW8Num30z0"/>
    <w:rsid w:val="004F1D40"/>
    <w:rPr>
      <w:rFonts w:ascii="Symbol" w:hAnsi="Symbol" w:cs="Symbol"/>
    </w:rPr>
  </w:style>
  <w:style w:type="character" w:customStyle="1" w:styleId="WW8Num31z0">
    <w:name w:val="WW8Num31z0"/>
    <w:rsid w:val="004F1D40"/>
    <w:rPr>
      <w:b w:val="0"/>
      <w:i w:val="0"/>
      <w:kern w:val="1"/>
    </w:rPr>
  </w:style>
  <w:style w:type="character" w:customStyle="1" w:styleId="WW8Num32z0">
    <w:name w:val="WW8Num32z0"/>
    <w:rsid w:val="004F1D40"/>
    <w:rPr>
      <w:rFonts w:ascii="Symbol" w:hAnsi="Symbol" w:cs="Symbol"/>
    </w:rPr>
  </w:style>
  <w:style w:type="character" w:customStyle="1" w:styleId="WW8Num34z0">
    <w:name w:val="WW8Num34z0"/>
    <w:rsid w:val="004F1D40"/>
    <w:rPr>
      <w:rFonts w:ascii="Symbol" w:hAnsi="Symbol" w:cs="Symbol"/>
    </w:rPr>
  </w:style>
  <w:style w:type="character" w:customStyle="1" w:styleId="WW8Num34z1">
    <w:name w:val="WW8Num34z1"/>
    <w:rsid w:val="004F1D40"/>
    <w:rPr>
      <w:rFonts w:ascii="Courier New" w:hAnsi="Courier New" w:cs="Courier New"/>
    </w:rPr>
  </w:style>
  <w:style w:type="character" w:customStyle="1" w:styleId="WW8Num34z2">
    <w:name w:val="WW8Num34z2"/>
    <w:rsid w:val="004F1D40"/>
    <w:rPr>
      <w:rFonts w:ascii="Wingdings" w:hAnsi="Wingdings" w:cs="Wingdings"/>
    </w:rPr>
  </w:style>
  <w:style w:type="character" w:customStyle="1" w:styleId="WW8Num34z4">
    <w:name w:val="WW8Num34z4"/>
    <w:rsid w:val="004F1D40"/>
    <w:rPr>
      <w:rFonts w:ascii="Courier New" w:hAnsi="Courier New" w:cs="Courier New"/>
    </w:rPr>
  </w:style>
  <w:style w:type="character" w:customStyle="1" w:styleId="WW8Num35z0">
    <w:name w:val="WW8Num35z0"/>
    <w:rsid w:val="004F1D40"/>
    <w:rPr>
      <w:rFonts w:ascii="Calibri" w:hAnsi="Calibri" w:cs="Calibri"/>
    </w:rPr>
  </w:style>
  <w:style w:type="character" w:customStyle="1" w:styleId="WW8Num36z0">
    <w:name w:val="WW8Num36z0"/>
    <w:rsid w:val="004F1D40"/>
    <w:rPr>
      <w:rFonts w:ascii="Symbol" w:hAnsi="Symbol" w:cs="Symbol"/>
    </w:rPr>
  </w:style>
  <w:style w:type="character" w:customStyle="1" w:styleId="WW8Num37z0">
    <w:name w:val="WW8Num37z0"/>
    <w:rsid w:val="004F1D40"/>
    <w:rPr>
      <w:rFonts w:ascii="Symbol" w:hAnsi="Symbol" w:cs="Symbol"/>
    </w:rPr>
  </w:style>
  <w:style w:type="character" w:customStyle="1" w:styleId="WW8Num38z0">
    <w:name w:val="WW8Num38z0"/>
    <w:rsid w:val="004F1D40"/>
    <w:rPr>
      <w:rFonts w:ascii="Symbol" w:hAnsi="Symbol" w:cs="Symbol"/>
    </w:rPr>
  </w:style>
  <w:style w:type="character" w:customStyle="1" w:styleId="WW8Num39z0">
    <w:name w:val="WW8Num39z0"/>
    <w:rsid w:val="004F1D40"/>
    <w:rPr>
      <w:rFonts w:ascii="Symbol" w:hAnsi="Symbol" w:cs="Symbol"/>
    </w:rPr>
  </w:style>
  <w:style w:type="character" w:customStyle="1" w:styleId="WW8Num40z0">
    <w:name w:val="WW8Num40z0"/>
    <w:rsid w:val="004F1D40"/>
    <w:rPr>
      <w:rFonts w:ascii="Symbol" w:hAnsi="Symbol" w:cs="Symbol"/>
    </w:rPr>
  </w:style>
  <w:style w:type="character" w:customStyle="1" w:styleId="WW8Num41z0">
    <w:name w:val="WW8Num41z0"/>
    <w:rsid w:val="004F1D40"/>
    <w:rPr>
      <w:rFonts w:ascii="Calibri" w:hAnsi="Calibri" w:cs="Calibri"/>
    </w:rPr>
  </w:style>
  <w:style w:type="character" w:customStyle="1" w:styleId="WW8Num42z0">
    <w:name w:val="WW8Num42z0"/>
    <w:rsid w:val="004F1D40"/>
    <w:rPr>
      <w:rFonts w:ascii="Symbol" w:hAnsi="Symbol" w:cs="Symbol"/>
    </w:rPr>
  </w:style>
  <w:style w:type="character" w:customStyle="1" w:styleId="WW8Num43z0">
    <w:name w:val="WW8Num43z0"/>
    <w:rsid w:val="004F1D40"/>
    <w:rPr>
      <w:rFonts w:ascii="Symbol" w:hAnsi="Symbol" w:cs="Symbol"/>
    </w:rPr>
  </w:style>
  <w:style w:type="character" w:customStyle="1" w:styleId="WW8Num44z0">
    <w:name w:val="WW8Num44z0"/>
    <w:rsid w:val="004F1D40"/>
    <w:rPr>
      <w:rFonts w:ascii="Symbol" w:hAnsi="Symbol" w:cs="Symbol"/>
    </w:rPr>
  </w:style>
  <w:style w:type="character" w:customStyle="1" w:styleId="WW8Num45z0">
    <w:name w:val="WW8Num45z0"/>
    <w:rsid w:val="004F1D40"/>
    <w:rPr>
      <w:rFonts w:ascii="Symbol" w:hAnsi="Symbol" w:cs="Symbol"/>
    </w:rPr>
  </w:style>
  <w:style w:type="character" w:customStyle="1" w:styleId="WW8Num46z0">
    <w:name w:val="WW8Num46z0"/>
    <w:rsid w:val="004F1D40"/>
    <w:rPr>
      <w:rFonts w:ascii="Symbol" w:hAnsi="Symbol" w:cs="Symbol"/>
    </w:rPr>
  </w:style>
  <w:style w:type="character" w:customStyle="1" w:styleId="WW8Num47z0">
    <w:name w:val="WW8Num47z0"/>
    <w:rsid w:val="004F1D40"/>
    <w:rPr>
      <w:rFonts w:ascii="Calibri" w:hAnsi="Calibri" w:cs="Calibri"/>
    </w:rPr>
  </w:style>
  <w:style w:type="character" w:customStyle="1" w:styleId="WW8Num48z0">
    <w:name w:val="WW8Num48z0"/>
    <w:rsid w:val="004F1D40"/>
    <w:rPr>
      <w:rFonts w:ascii="Symbol" w:hAnsi="Symbol" w:cs="Symbol"/>
    </w:rPr>
  </w:style>
  <w:style w:type="character" w:customStyle="1" w:styleId="WW8Num49z0">
    <w:name w:val="WW8Num49z0"/>
    <w:rsid w:val="004F1D40"/>
    <w:rPr>
      <w:rFonts w:ascii="Symbol" w:hAnsi="Symbol" w:cs="Symbol"/>
    </w:rPr>
  </w:style>
  <w:style w:type="character" w:customStyle="1" w:styleId="WW8Num49z1">
    <w:name w:val="WW8Num49z1"/>
    <w:rsid w:val="004F1D40"/>
    <w:rPr>
      <w:rFonts w:ascii="Courier New" w:hAnsi="Courier New" w:cs="Courier New"/>
    </w:rPr>
  </w:style>
  <w:style w:type="character" w:customStyle="1" w:styleId="WW8Num49z2">
    <w:name w:val="WW8Num49z2"/>
    <w:rsid w:val="004F1D40"/>
    <w:rPr>
      <w:rFonts w:ascii="Wingdings" w:hAnsi="Wingdings" w:cs="Wingdings"/>
    </w:rPr>
  </w:style>
  <w:style w:type="character" w:customStyle="1" w:styleId="WW8Num50z0">
    <w:name w:val="WW8Num50z0"/>
    <w:rsid w:val="004F1D40"/>
    <w:rPr>
      <w:rFonts w:ascii="Symbol" w:hAnsi="Symbol" w:cs="Symbol"/>
    </w:rPr>
  </w:style>
  <w:style w:type="character" w:customStyle="1" w:styleId="29">
    <w:name w:val="Основной шрифт абзаца2"/>
    <w:rsid w:val="004F1D40"/>
  </w:style>
  <w:style w:type="character" w:customStyle="1" w:styleId="WW8Num4z1">
    <w:name w:val="WW8Num4z1"/>
    <w:rsid w:val="004F1D40"/>
    <w:rPr>
      <w:rFonts w:ascii="Courier New" w:hAnsi="Courier New" w:cs="Courier New"/>
      <w:color w:val="000000"/>
    </w:rPr>
  </w:style>
  <w:style w:type="character" w:customStyle="1" w:styleId="WW8Num4z2">
    <w:name w:val="WW8Num4z2"/>
    <w:rsid w:val="004F1D40"/>
    <w:rPr>
      <w:rFonts w:ascii="Wingdings" w:hAnsi="Wingdings" w:cs="Wingdings"/>
    </w:rPr>
  </w:style>
  <w:style w:type="character" w:customStyle="1" w:styleId="WW8Num4z4">
    <w:name w:val="WW8Num4z4"/>
    <w:rsid w:val="004F1D40"/>
    <w:rPr>
      <w:rFonts w:ascii="Courier New" w:hAnsi="Courier New" w:cs="Courier New"/>
    </w:rPr>
  </w:style>
  <w:style w:type="character" w:customStyle="1" w:styleId="WW8Num7z2">
    <w:name w:val="WW8Num7z2"/>
    <w:rsid w:val="004F1D40"/>
    <w:rPr>
      <w:rFonts w:ascii="Wingdings" w:hAnsi="Wingdings" w:cs="Wingdings"/>
    </w:rPr>
  </w:style>
  <w:style w:type="character" w:customStyle="1" w:styleId="WW8Num7z4">
    <w:name w:val="WW8Num7z4"/>
    <w:rsid w:val="004F1D40"/>
    <w:rPr>
      <w:rFonts w:ascii="Courier New" w:hAnsi="Courier New" w:cs="Courier New"/>
    </w:rPr>
  </w:style>
  <w:style w:type="character" w:customStyle="1" w:styleId="WW8Num8z1">
    <w:name w:val="WW8Num8z1"/>
    <w:rsid w:val="004F1D40"/>
    <w:rPr>
      <w:rFonts w:ascii="Courier New" w:hAnsi="Courier New" w:cs="Courier New"/>
    </w:rPr>
  </w:style>
  <w:style w:type="character" w:customStyle="1" w:styleId="WW8Num8z2">
    <w:name w:val="WW8Num8z2"/>
    <w:rsid w:val="004F1D40"/>
    <w:rPr>
      <w:rFonts w:ascii="Wingdings" w:hAnsi="Wingdings" w:cs="Wingdings"/>
    </w:rPr>
  </w:style>
  <w:style w:type="character" w:customStyle="1" w:styleId="WW8Num9z1">
    <w:name w:val="WW8Num9z1"/>
    <w:rsid w:val="004F1D40"/>
    <w:rPr>
      <w:rFonts w:ascii="Symbol" w:hAnsi="Symbol" w:cs="Courier New"/>
    </w:rPr>
  </w:style>
  <w:style w:type="character" w:customStyle="1" w:styleId="WW8Num15z1">
    <w:name w:val="WW8Num15z1"/>
    <w:rsid w:val="004F1D40"/>
    <w:rPr>
      <w:rFonts w:ascii="Courier New" w:hAnsi="Courier New" w:cs="Courier New"/>
    </w:rPr>
  </w:style>
  <w:style w:type="character" w:customStyle="1" w:styleId="WW8Num15z2">
    <w:name w:val="WW8Num15z2"/>
    <w:rsid w:val="004F1D40"/>
    <w:rPr>
      <w:rFonts w:ascii="Wingdings" w:hAnsi="Wingdings" w:cs="Wingdings"/>
    </w:rPr>
  </w:style>
  <w:style w:type="character" w:customStyle="1" w:styleId="WW8Num16z1">
    <w:name w:val="WW8Num16z1"/>
    <w:rsid w:val="004F1D40"/>
    <w:rPr>
      <w:rFonts w:ascii="Courier New" w:hAnsi="Courier New" w:cs="Courier New"/>
    </w:rPr>
  </w:style>
  <w:style w:type="character" w:customStyle="1" w:styleId="WW8Num16z2">
    <w:name w:val="WW8Num16z2"/>
    <w:rsid w:val="004F1D40"/>
    <w:rPr>
      <w:rFonts w:ascii="Wingdings" w:hAnsi="Wingdings" w:cs="Wingdings"/>
    </w:rPr>
  </w:style>
  <w:style w:type="character" w:customStyle="1" w:styleId="WW8Num17z1">
    <w:name w:val="WW8Num17z1"/>
    <w:rsid w:val="004F1D40"/>
    <w:rPr>
      <w:rFonts w:ascii="Courier New" w:hAnsi="Courier New" w:cs="Courier New"/>
    </w:rPr>
  </w:style>
  <w:style w:type="character" w:customStyle="1" w:styleId="WW8Num17z2">
    <w:name w:val="WW8Num17z2"/>
    <w:rsid w:val="004F1D40"/>
    <w:rPr>
      <w:rFonts w:ascii="Wingdings" w:hAnsi="Wingdings" w:cs="Wingdings"/>
    </w:rPr>
  </w:style>
  <w:style w:type="character" w:customStyle="1" w:styleId="WW8Num17z3">
    <w:name w:val="WW8Num17z3"/>
    <w:rsid w:val="004F1D40"/>
    <w:rPr>
      <w:rFonts w:ascii="Symbol" w:hAnsi="Symbol" w:cs="Symbol"/>
    </w:rPr>
  </w:style>
  <w:style w:type="character" w:customStyle="1" w:styleId="WW8Num18z1">
    <w:name w:val="WW8Num18z1"/>
    <w:rsid w:val="004F1D40"/>
    <w:rPr>
      <w:rFonts w:ascii="Courier New" w:hAnsi="Courier New" w:cs="Courier New"/>
    </w:rPr>
  </w:style>
  <w:style w:type="character" w:customStyle="1" w:styleId="WW8Num18z2">
    <w:name w:val="WW8Num18z2"/>
    <w:rsid w:val="004F1D40"/>
    <w:rPr>
      <w:rFonts w:ascii="Wingdings" w:hAnsi="Wingdings" w:cs="Wingdings"/>
    </w:rPr>
  </w:style>
  <w:style w:type="character" w:customStyle="1" w:styleId="WW8Num19z1">
    <w:name w:val="WW8Num19z1"/>
    <w:rsid w:val="004F1D40"/>
    <w:rPr>
      <w:rFonts w:ascii="Courier New" w:hAnsi="Courier New" w:cs="Courier New"/>
    </w:rPr>
  </w:style>
  <w:style w:type="character" w:customStyle="1" w:styleId="WW8Num19z2">
    <w:name w:val="WW8Num19z2"/>
    <w:rsid w:val="004F1D40"/>
    <w:rPr>
      <w:rFonts w:ascii="Wingdings" w:hAnsi="Wingdings" w:cs="Wingdings"/>
    </w:rPr>
  </w:style>
  <w:style w:type="character" w:customStyle="1" w:styleId="WW8Num20z1">
    <w:name w:val="WW8Num20z1"/>
    <w:rsid w:val="004F1D40"/>
    <w:rPr>
      <w:rFonts w:ascii="Courier New" w:hAnsi="Courier New" w:cs="Courier New"/>
    </w:rPr>
  </w:style>
  <w:style w:type="character" w:customStyle="1" w:styleId="WW8Num20z2">
    <w:name w:val="WW8Num20z2"/>
    <w:rsid w:val="004F1D40"/>
    <w:rPr>
      <w:rFonts w:ascii="Wingdings" w:hAnsi="Wingdings" w:cs="Wingdings"/>
    </w:rPr>
  </w:style>
  <w:style w:type="character" w:customStyle="1" w:styleId="WW8Num21z1">
    <w:name w:val="WW8Num21z1"/>
    <w:rsid w:val="004F1D40"/>
    <w:rPr>
      <w:rFonts w:ascii="Courier New" w:hAnsi="Courier New" w:cs="Courier New"/>
    </w:rPr>
  </w:style>
  <w:style w:type="character" w:customStyle="1" w:styleId="WW8Num21z2">
    <w:name w:val="WW8Num21z2"/>
    <w:rsid w:val="004F1D40"/>
    <w:rPr>
      <w:rFonts w:ascii="Wingdings" w:hAnsi="Wingdings" w:cs="Wingdings"/>
    </w:rPr>
  </w:style>
  <w:style w:type="character" w:customStyle="1" w:styleId="WW8Num22z1">
    <w:name w:val="WW8Num22z1"/>
    <w:rsid w:val="004F1D40"/>
    <w:rPr>
      <w:rFonts w:ascii="Courier New" w:hAnsi="Courier New" w:cs="Courier New"/>
    </w:rPr>
  </w:style>
  <w:style w:type="character" w:customStyle="1" w:styleId="WW8Num22z2">
    <w:name w:val="WW8Num22z2"/>
    <w:rsid w:val="004F1D40"/>
    <w:rPr>
      <w:rFonts w:ascii="Wingdings" w:hAnsi="Wingdings" w:cs="Wingdings"/>
    </w:rPr>
  </w:style>
  <w:style w:type="character" w:customStyle="1" w:styleId="WW8Num23z1">
    <w:name w:val="WW8Num23z1"/>
    <w:rsid w:val="004F1D40"/>
    <w:rPr>
      <w:rFonts w:ascii="Courier New" w:hAnsi="Courier New" w:cs="Courier New"/>
    </w:rPr>
  </w:style>
  <w:style w:type="character" w:customStyle="1" w:styleId="WW8Num23z2">
    <w:name w:val="WW8Num23z2"/>
    <w:rsid w:val="004F1D40"/>
    <w:rPr>
      <w:rFonts w:ascii="Wingdings" w:hAnsi="Wingdings" w:cs="Wingdings"/>
    </w:rPr>
  </w:style>
  <w:style w:type="character" w:customStyle="1" w:styleId="WW8Num24z1">
    <w:name w:val="WW8Num24z1"/>
    <w:rsid w:val="004F1D40"/>
    <w:rPr>
      <w:rFonts w:ascii="Courier New" w:hAnsi="Courier New" w:cs="Courier New"/>
    </w:rPr>
  </w:style>
  <w:style w:type="character" w:customStyle="1" w:styleId="WW8Num24z2">
    <w:name w:val="WW8Num24z2"/>
    <w:rsid w:val="004F1D40"/>
    <w:rPr>
      <w:rFonts w:ascii="Wingdings" w:hAnsi="Wingdings" w:cs="Wingdings"/>
    </w:rPr>
  </w:style>
  <w:style w:type="character" w:customStyle="1" w:styleId="WW8Num25z1">
    <w:name w:val="WW8Num25z1"/>
    <w:rsid w:val="004F1D40"/>
    <w:rPr>
      <w:rFonts w:ascii="Courier New" w:hAnsi="Courier New" w:cs="Courier New"/>
    </w:rPr>
  </w:style>
  <w:style w:type="character" w:customStyle="1" w:styleId="WW8Num25z2">
    <w:name w:val="WW8Num25z2"/>
    <w:rsid w:val="004F1D40"/>
    <w:rPr>
      <w:rFonts w:ascii="Wingdings" w:hAnsi="Wingdings" w:cs="Wingdings"/>
    </w:rPr>
  </w:style>
  <w:style w:type="character" w:customStyle="1" w:styleId="WW8Num26z1">
    <w:name w:val="WW8Num26z1"/>
    <w:rsid w:val="004F1D40"/>
    <w:rPr>
      <w:rFonts w:ascii="Courier New" w:hAnsi="Courier New" w:cs="Courier New"/>
    </w:rPr>
  </w:style>
  <w:style w:type="character" w:customStyle="1" w:styleId="WW8Num26z2">
    <w:name w:val="WW8Num26z2"/>
    <w:rsid w:val="004F1D40"/>
    <w:rPr>
      <w:rFonts w:ascii="Wingdings" w:hAnsi="Wingdings" w:cs="Wingdings"/>
    </w:rPr>
  </w:style>
  <w:style w:type="character" w:customStyle="1" w:styleId="WW8Num27z3">
    <w:name w:val="WW8Num27z3"/>
    <w:rsid w:val="004F1D40"/>
    <w:rPr>
      <w:rFonts w:ascii="Symbol" w:hAnsi="Symbol" w:cs="Symbol"/>
    </w:rPr>
  </w:style>
  <w:style w:type="character" w:customStyle="1" w:styleId="WW8Num28z1">
    <w:name w:val="WW8Num28z1"/>
    <w:rsid w:val="004F1D40"/>
    <w:rPr>
      <w:rFonts w:ascii="Courier New" w:hAnsi="Courier New" w:cs="Courier New"/>
    </w:rPr>
  </w:style>
  <w:style w:type="character" w:customStyle="1" w:styleId="WW8Num28z2">
    <w:name w:val="WW8Num28z2"/>
    <w:rsid w:val="004F1D40"/>
    <w:rPr>
      <w:rFonts w:ascii="Wingdings" w:hAnsi="Wingdings" w:cs="Wingdings"/>
    </w:rPr>
  </w:style>
  <w:style w:type="character" w:customStyle="1" w:styleId="WW8Num29z1">
    <w:name w:val="WW8Num29z1"/>
    <w:rsid w:val="004F1D40"/>
    <w:rPr>
      <w:rFonts w:ascii="Courier New" w:hAnsi="Courier New" w:cs="Courier New"/>
    </w:rPr>
  </w:style>
  <w:style w:type="character" w:customStyle="1" w:styleId="WW8Num29z2">
    <w:name w:val="WW8Num29z2"/>
    <w:rsid w:val="004F1D40"/>
    <w:rPr>
      <w:rFonts w:ascii="Wingdings" w:hAnsi="Wingdings" w:cs="Wingdings"/>
    </w:rPr>
  </w:style>
  <w:style w:type="character" w:customStyle="1" w:styleId="WW8Num32z1">
    <w:name w:val="WW8Num32z1"/>
    <w:rsid w:val="004F1D40"/>
    <w:rPr>
      <w:rFonts w:ascii="Calibri" w:hAnsi="Calibri" w:cs="Calibri"/>
    </w:rPr>
  </w:style>
  <w:style w:type="character" w:customStyle="1" w:styleId="WW8Num32z2">
    <w:name w:val="WW8Num32z2"/>
    <w:rsid w:val="004F1D40"/>
    <w:rPr>
      <w:rFonts w:ascii="Wingdings" w:hAnsi="Wingdings" w:cs="Wingdings"/>
    </w:rPr>
  </w:style>
  <w:style w:type="character" w:customStyle="1" w:styleId="WW8Num32z4">
    <w:name w:val="WW8Num32z4"/>
    <w:rsid w:val="004F1D40"/>
    <w:rPr>
      <w:rFonts w:ascii="Courier New" w:hAnsi="Courier New" w:cs="Courier New"/>
    </w:rPr>
  </w:style>
  <w:style w:type="character" w:customStyle="1" w:styleId="WW8Num33z0">
    <w:name w:val="WW8Num33z0"/>
    <w:rsid w:val="004F1D40"/>
    <w:rPr>
      <w:rFonts w:ascii="Symbol" w:hAnsi="Symbol" w:cs="Symbol"/>
    </w:rPr>
  </w:style>
  <w:style w:type="character" w:customStyle="1" w:styleId="WW8Num35z1">
    <w:name w:val="WW8Num35z1"/>
    <w:rsid w:val="004F1D40"/>
    <w:rPr>
      <w:rFonts w:ascii="Courier New" w:hAnsi="Courier New" w:cs="Courier New"/>
    </w:rPr>
  </w:style>
  <w:style w:type="character" w:customStyle="1" w:styleId="WW8Num35z2">
    <w:name w:val="WW8Num35z2"/>
    <w:rsid w:val="004F1D40"/>
    <w:rPr>
      <w:rFonts w:ascii="Wingdings" w:hAnsi="Wingdings" w:cs="Wingdings"/>
    </w:rPr>
  </w:style>
  <w:style w:type="character" w:customStyle="1" w:styleId="WW8Num35z3">
    <w:name w:val="WW8Num35z3"/>
    <w:rsid w:val="004F1D40"/>
    <w:rPr>
      <w:rFonts w:ascii="Symbol" w:hAnsi="Symbol" w:cs="Symbol"/>
    </w:rPr>
  </w:style>
  <w:style w:type="character" w:customStyle="1" w:styleId="WW8Num36z1">
    <w:name w:val="WW8Num36z1"/>
    <w:rsid w:val="004F1D40"/>
    <w:rPr>
      <w:rFonts w:ascii="Courier New" w:hAnsi="Courier New" w:cs="Courier New"/>
    </w:rPr>
  </w:style>
  <w:style w:type="character" w:customStyle="1" w:styleId="WW8Num36z2">
    <w:name w:val="WW8Num36z2"/>
    <w:rsid w:val="004F1D40"/>
    <w:rPr>
      <w:rFonts w:ascii="Wingdings" w:hAnsi="Wingdings" w:cs="Wingdings"/>
    </w:rPr>
  </w:style>
  <w:style w:type="character" w:customStyle="1" w:styleId="WW8Num37z1">
    <w:name w:val="WW8Num37z1"/>
    <w:rsid w:val="004F1D40"/>
    <w:rPr>
      <w:rFonts w:ascii="Courier New" w:hAnsi="Courier New" w:cs="Courier New"/>
    </w:rPr>
  </w:style>
  <w:style w:type="character" w:customStyle="1" w:styleId="WW8Num37z2">
    <w:name w:val="WW8Num37z2"/>
    <w:rsid w:val="004F1D40"/>
    <w:rPr>
      <w:rFonts w:ascii="Wingdings" w:hAnsi="Wingdings" w:cs="Wingdings"/>
    </w:rPr>
  </w:style>
  <w:style w:type="character" w:customStyle="1" w:styleId="WW8Num39z1">
    <w:name w:val="WW8Num39z1"/>
    <w:rsid w:val="004F1D40"/>
    <w:rPr>
      <w:rFonts w:ascii="Calibri" w:hAnsi="Calibri" w:cs="Calibri"/>
    </w:rPr>
  </w:style>
  <w:style w:type="character" w:customStyle="1" w:styleId="WW8Num39z2">
    <w:name w:val="WW8Num39z2"/>
    <w:rsid w:val="004F1D40"/>
    <w:rPr>
      <w:rFonts w:ascii="Wingdings" w:hAnsi="Wingdings" w:cs="Wingdings"/>
    </w:rPr>
  </w:style>
  <w:style w:type="character" w:customStyle="1" w:styleId="WW8Num39z4">
    <w:name w:val="WW8Num39z4"/>
    <w:rsid w:val="004F1D40"/>
    <w:rPr>
      <w:rFonts w:ascii="Courier New" w:hAnsi="Courier New" w:cs="Courier New"/>
    </w:rPr>
  </w:style>
  <w:style w:type="character" w:customStyle="1" w:styleId="WW8Num40z1">
    <w:name w:val="WW8Num40z1"/>
    <w:rsid w:val="004F1D40"/>
    <w:rPr>
      <w:rFonts w:ascii="Courier New" w:hAnsi="Courier New" w:cs="Courier New"/>
    </w:rPr>
  </w:style>
  <w:style w:type="character" w:customStyle="1" w:styleId="WW8Num40z2">
    <w:name w:val="WW8Num40z2"/>
    <w:rsid w:val="004F1D40"/>
    <w:rPr>
      <w:rFonts w:ascii="Wingdings" w:hAnsi="Wingdings" w:cs="Wingdings"/>
    </w:rPr>
  </w:style>
  <w:style w:type="character" w:customStyle="1" w:styleId="WW8Num41z1">
    <w:name w:val="WW8Num41z1"/>
    <w:rsid w:val="004F1D40"/>
    <w:rPr>
      <w:rFonts w:ascii="Courier New" w:hAnsi="Courier New" w:cs="Courier New"/>
    </w:rPr>
  </w:style>
  <w:style w:type="character" w:customStyle="1" w:styleId="WW8Num41z2">
    <w:name w:val="WW8Num41z2"/>
    <w:rsid w:val="004F1D40"/>
    <w:rPr>
      <w:rFonts w:ascii="Wingdings" w:hAnsi="Wingdings" w:cs="Wingdings"/>
    </w:rPr>
  </w:style>
  <w:style w:type="character" w:customStyle="1" w:styleId="WW8Num41z3">
    <w:name w:val="WW8Num41z3"/>
    <w:rsid w:val="004F1D40"/>
    <w:rPr>
      <w:rFonts w:ascii="Symbol" w:hAnsi="Symbol" w:cs="Symbol"/>
    </w:rPr>
  </w:style>
  <w:style w:type="character" w:customStyle="1" w:styleId="WW8Num42z1">
    <w:name w:val="WW8Num42z1"/>
    <w:rsid w:val="004F1D40"/>
    <w:rPr>
      <w:rFonts w:ascii="Courier New" w:hAnsi="Courier New" w:cs="Courier New"/>
    </w:rPr>
  </w:style>
  <w:style w:type="character" w:customStyle="1" w:styleId="WW8Num42z2">
    <w:name w:val="WW8Num42z2"/>
    <w:rsid w:val="004F1D40"/>
    <w:rPr>
      <w:rFonts w:ascii="Wingdings" w:hAnsi="Wingdings" w:cs="Wingdings"/>
    </w:rPr>
  </w:style>
  <w:style w:type="character" w:customStyle="1" w:styleId="WW8Num43z1">
    <w:name w:val="WW8Num43z1"/>
    <w:rsid w:val="004F1D40"/>
    <w:rPr>
      <w:rFonts w:ascii="Courier New" w:hAnsi="Courier New" w:cs="Courier New"/>
    </w:rPr>
  </w:style>
  <w:style w:type="character" w:customStyle="1" w:styleId="WW8Num43z2">
    <w:name w:val="WW8Num43z2"/>
    <w:rsid w:val="004F1D40"/>
    <w:rPr>
      <w:rFonts w:ascii="Wingdings" w:hAnsi="Wingdings" w:cs="Wingdings"/>
    </w:rPr>
  </w:style>
  <w:style w:type="character" w:customStyle="1" w:styleId="WW8Num44z1">
    <w:name w:val="WW8Num44z1"/>
    <w:rsid w:val="004F1D40"/>
    <w:rPr>
      <w:rFonts w:ascii="Courier New" w:hAnsi="Courier New" w:cs="Courier New"/>
    </w:rPr>
  </w:style>
  <w:style w:type="character" w:customStyle="1" w:styleId="WW8Num44z2">
    <w:name w:val="WW8Num44z2"/>
    <w:rsid w:val="004F1D40"/>
    <w:rPr>
      <w:rFonts w:ascii="Wingdings" w:hAnsi="Wingdings" w:cs="Wingdings"/>
    </w:rPr>
  </w:style>
  <w:style w:type="character" w:customStyle="1" w:styleId="WW8Num45z1">
    <w:name w:val="WW8Num45z1"/>
    <w:rsid w:val="004F1D40"/>
    <w:rPr>
      <w:rFonts w:ascii="Courier New" w:hAnsi="Courier New" w:cs="Courier New"/>
    </w:rPr>
  </w:style>
  <w:style w:type="character" w:customStyle="1" w:styleId="WW8Num45z2">
    <w:name w:val="WW8Num45z2"/>
    <w:rsid w:val="004F1D40"/>
    <w:rPr>
      <w:rFonts w:ascii="Wingdings" w:hAnsi="Wingdings" w:cs="Wingdings"/>
    </w:rPr>
  </w:style>
  <w:style w:type="character" w:customStyle="1" w:styleId="WW8Num46z1">
    <w:name w:val="WW8Num46z1"/>
    <w:rsid w:val="004F1D40"/>
    <w:rPr>
      <w:rFonts w:ascii="Courier New" w:hAnsi="Courier New" w:cs="Courier New"/>
    </w:rPr>
  </w:style>
  <w:style w:type="character" w:customStyle="1" w:styleId="WW8Num46z2">
    <w:name w:val="WW8Num46z2"/>
    <w:rsid w:val="004F1D40"/>
    <w:rPr>
      <w:rFonts w:ascii="Wingdings" w:hAnsi="Wingdings" w:cs="Wingdings"/>
    </w:rPr>
  </w:style>
  <w:style w:type="character" w:customStyle="1" w:styleId="WW8Num47z1">
    <w:name w:val="WW8Num47z1"/>
    <w:rsid w:val="004F1D40"/>
    <w:rPr>
      <w:rFonts w:ascii="Courier New" w:hAnsi="Courier New" w:cs="Courier New"/>
    </w:rPr>
  </w:style>
  <w:style w:type="character" w:customStyle="1" w:styleId="WW8Num47z2">
    <w:name w:val="WW8Num47z2"/>
    <w:rsid w:val="004F1D40"/>
    <w:rPr>
      <w:rFonts w:ascii="Wingdings" w:hAnsi="Wingdings" w:cs="Wingdings"/>
    </w:rPr>
  </w:style>
  <w:style w:type="character" w:customStyle="1" w:styleId="WW8Num47z3">
    <w:name w:val="WW8Num47z3"/>
    <w:rsid w:val="004F1D40"/>
    <w:rPr>
      <w:rFonts w:ascii="Symbol" w:hAnsi="Symbol" w:cs="Symbol"/>
    </w:rPr>
  </w:style>
  <w:style w:type="character" w:customStyle="1" w:styleId="WW8Num48z1">
    <w:name w:val="WW8Num48z1"/>
    <w:rsid w:val="004F1D40"/>
    <w:rPr>
      <w:rFonts w:ascii="Courier New" w:hAnsi="Courier New" w:cs="Courier New"/>
    </w:rPr>
  </w:style>
  <w:style w:type="character" w:customStyle="1" w:styleId="WW8Num48z2">
    <w:name w:val="WW8Num48z2"/>
    <w:rsid w:val="004F1D40"/>
    <w:rPr>
      <w:rFonts w:ascii="Wingdings" w:hAnsi="Wingdings" w:cs="Wingdings"/>
    </w:rPr>
  </w:style>
  <w:style w:type="character" w:customStyle="1" w:styleId="WW8Num50z1">
    <w:name w:val="WW8Num50z1"/>
    <w:rsid w:val="004F1D40"/>
    <w:rPr>
      <w:rFonts w:ascii="Courier New" w:hAnsi="Courier New" w:cs="Courier New"/>
    </w:rPr>
  </w:style>
  <w:style w:type="character" w:customStyle="1" w:styleId="WW8Num50z2">
    <w:name w:val="WW8Num50z2"/>
    <w:rsid w:val="004F1D40"/>
    <w:rPr>
      <w:rFonts w:ascii="Wingdings" w:hAnsi="Wingdings" w:cs="Wingdings"/>
    </w:rPr>
  </w:style>
  <w:style w:type="character" w:customStyle="1" w:styleId="WW8Num51z0">
    <w:name w:val="WW8Num51z0"/>
    <w:rsid w:val="004F1D40"/>
    <w:rPr>
      <w:rFonts w:ascii="Symbol" w:hAnsi="Symbol" w:cs="Symbol"/>
    </w:rPr>
  </w:style>
  <w:style w:type="character" w:customStyle="1" w:styleId="WW8Num51z1">
    <w:name w:val="WW8Num51z1"/>
    <w:rsid w:val="004F1D40"/>
    <w:rPr>
      <w:rFonts w:ascii="Courier New" w:hAnsi="Courier New" w:cs="Courier New"/>
    </w:rPr>
  </w:style>
  <w:style w:type="character" w:customStyle="1" w:styleId="WW8Num51z2">
    <w:name w:val="WW8Num51z2"/>
    <w:rsid w:val="004F1D40"/>
    <w:rPr>
      <w:rFonts w:ascii="Wingdings" w:hAnsi="Wingdings" w:cs="Wingdings"/>
    </w:rPr>
  </w:style>
  <w:style w:type="character" w:customStyle="1" w:styleId="WW8Num52z0">
    <w:name w:val="WW8Num52z0"/>
    <w:rsid w:val="004F1D40"/>
    <w:rPr>
      <w:rFonts w:ascii="Symbol" w:hAnsi="Symbol" w:cs="Symbol"/>
    </w:rPr>
  </w:style>
  <w:style w:type="character" w:customStyle="1" w:styleId="WW8Num52z1">
    <w:name w:val="WW8Num52z1"/>
    <w:rsid w:val="004F1D40"/>
    <w:rPr>
      <w:rFonts w:ascii="Courier New" w:hAnsi="Courier New" w:cs="Courier New"/>
    </w:rPr>
  </w:style>
  <w:style w:type="character" w:customStyle="1" w:styleId="WW8Num52z2">
    <w:name w:val="WW8Num52z2"/>
    <w:rsid w:val="004F1D40"/>
    <w:rPr>
      <w:rFonts w:ascii="Wingdings" w:hAnsi="Wingdings" w:cs="Wingdings"/>
    </w:rPr>
  </w:style>
  <w:style w:type="character" w:customStyle="1" w:styleId="WW8Num53z0">
    <w:name w:val="WW8Num53z0"/>
    <w:rsid w:val="004F1D40"/>
    <w:rPr>
      <w:rFonts w:ascii="Symbol" w:hAnsi="Symbol" w:cs="Symbol"/>
    </w:rPr>
  </w:style>
  <w:style w:type="character" w:customStyle="1" w:styleId="WW8Num53z1">
    <w:name w:val="WW8Num53z1"/>
    <w:rsid w:val="004F1D40"/>
    <w:rPr>
      <w:rFonts w:ascii="Courier New" w:hAnsi="Courier New" w:cs="Courier New"/>
    </w:rPr>
  </w:style>
  <w:style w:type="character" w:customStyle="1" w:styleId="WW8Num53z2">
    <w:name w:val="WW8Num53z2"/>
    <w:rsid w:val="004F1D40"/>
    <w:rPr>
      <w:rFonts w:ascii="Wingdings" w:hAnsi="Wingdings" w:cs="Wingdings"/>
    </w:rPr>
  </w:style>
  <w:style w:type="character" w:customStyle="1" w:styleId="WW8Num54z0">
    <w:name w:val="WW8Num54z0"/>
    <w:rsid w:val="004F1D40"/>
    <w:rPr>
      <w:rFonts w:ascii="Symbol" w:hAnsi="Symbol" w:cs="Symbol"/>
    </w:rPr>
  </w:style>
  <w:style w:type="character" w:customStyle="1" w:styleId="WW8Num54z1">
    <w:name w:val="WW8Num54z1"/>
    <w:rsid w:val="004F1D40"/>
    <w:rPr>
      <w:rFonts w:ascii="Courier New" w:hAnsi="Courier New" w:cs="Courier New"/>
    </w:rPr>
  </w:style>
  <w:style w:type="character" w:customStyle="1" w:styleId="WW8Num54z2">
    <w:name w:val="WW8Num54z2"/>
    <w:rsid w:val="004F1D40"/>
    <w:rPr>
      <w:rFonts w:ascii="Wingdings" w:hAnsi="Wingdings" w:cs="Wingdings"/>
    </w:rPr>
  </w:style>
  <w:style w:type="character" w:customStyle="1" w:styleId="1fd">
    <w:name w:val="Основной шрифт абзаца1"/>
    <w:rsid w:val="004F1D40"/>
  </w:style>
  <w:style w:type="character" w:customStyle="1" w:styleId="affffd">
    <w:name w:val="Символ сноски"/>
    <w:rsid w:val="004F1D40"/>
    <w:rPr>
      <w:rFonts w:cs="Times New Roman"/>
      <w:vertAlign w:val="superscript"/>
    </w:rPr>
  </w:style>
  <w:style w:type="character" w:customStyle="1" w:styleId="affffe">
    <w:name w:val="Символы концевой сноски"/>
    <w:rsid w:val="004F1D40"/>
    <w:rPr>
      <w:vertAlign w:val="superscript"/>
    </w:rPr>
  </w:style>
  <w:style w:type="character" w:customStyle="1" w:styleId="afffff">
    <w:name w:val="Маркеры списка"/>
    <w:rsid w:val="004F1D40"/>
    <w:rPr>
      <w:rFonts w:ascii="OpenSymbol" w:eastAsia="OpenSymbol" w:hAnsi="OpenSymbol" w:cs="OpenSymbol"/>
    </w:rPr>
  </w:style>
  <w:style w:type="paragraph" w:customStyle="1" w:styleId="2a">
    <w:name w:val="Название2"/>
    <w:basedOn w:val="a1"/>
    <w:rsid w:val="004F1D40"/>
    <w:pPr>
      <w:suppressLineNumbers/>
      <w:suppressAutoHyphens/>
      <w:spacing w:before="120" w:after="120" w:line="288" w:lineRule="auto"/>
      <w:ind w:firstLine="567"/>
    </w:pPr>
    <w:rPr>
      <w:rFonts w:ascii="Calibri" w:eastAsia="Calibri" w:hAnsi="Calibri" w:cs="Mangal"/>
      <w:i/>
      <w:iCs/>
      <w:szCs w:val="24"/>
      <w:lang w:eastAsia="ar-SA"/>
    </w:rPr>
  </w:style>
  <w:style w:type="paragraph" w:customStyle="1" w:styleId="2b">
    <w:name w:val="Указатель2"/>
    <w:basedOn w:val="a1"/>
    <w:rsid w:val="004F1D40"/>
    <w:pPr>
      <w:suppressLineNumbers/>
      <w:suppressAutoHyphens/>
      <w:spacing w:line="288" w:lineRule="auto"/>
      <w:ind w:firstLine="567"/>
    </w:pPr>
    <w:rPr>
      <w:rFonts w:ascii="Calibri" w:eastAsia="Calibri" w:hAnsi="Calibri" w:cs="Mangal"/>
      <w:sz w:val="22"/>
      <w:lang w:eastAsia="ar-SA"/>
    </w:rPr>
  </w:style>
  <w:style w:type="paragraph" w:customStyle="1" w:styleId="1fe">
    <w:name w:val="Указатель1"/>
    <w:basedOn w:val="a1"/>
    <w:rsid w:val="004F1D40"/>
    <w:pPr>
      <w:suppressLineNumbers/>
      <w:suppressAutoHyphens/>
      <w:spacing w:line="288" w:lineRule="auto"/>
      <w:ind w:firstLine="567"/>
    </w:pPr>
    <w:rPr>
      <w:rFonts w:ascii="Calibri" w:eastAsia="Calibri" w:hAnsi="Calibri" w:cs="Mangal"/>
      <w:sz w:val="22"/>
      <w:lang w:eastAsia="ar-SA"/>
    </w:rPr>
  </w:style>
  <w:style w:type="paragraph" w:customStyle="1" w:styleId="afffff0">
    <w:name w:val="Заголовок таблицы"/>
    <w:basedOn w:val="affff5"/>
    <w:rsid w:val="004F1D40"/>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4F1D40"/>
    <w:rPr>
      <w:b/>
      <w:bCs/>
    </w:rPr>
  </w:style>
  <w:style w:type="character" w:customStyle="1" w:styleId="slug-vol">
    <w:name w:val="slug-vol"/>
    <w:rsid w:val="004F1D40"/>
  </w:style>
  <w:style w:type="character" w:customStyle="1" w:styleId="slug-issue">
    <w:name w:val="slug-issue"/>
    <w:rsid w:val="004F1D40"/>
  </w:style>
  <w:style w:type="character" w:customStyle="1" w:styleId="slug-pages3">
    <w:name w:val="slug-pages3"/>
    <w:rsid w:val="004F1D40"/>
    <w:rPr>
      <w:b/>
      <w:bCs/>
    </w:rPr>
  </w:style>
  <w:style w:type="paragraph" w:customStyle="1" w:styleId="LTGliederung1">
    <w:name w:val="???????~LT~Gliederung 1"/>
    <w:rsid w:val="004F1D40"/>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4F1D40"/>
    <w:rPr>
      <w:rFonts w:ascii="Palatino Linotype" w:hAnsi="Palatino Linotype" w:cs="Palatino Linotype"/>
      <w:spacing w:val="0"/>
      <w:sz w:val="15"/>
      <w:szCs w:val="15"/>
    </w:rPr>
  </w:style>
  <w:style w:type="table" w:customStyle="1" w:styleId="510">
    <w:name w:val="Таблица простая 51"/>
    <w:basedOn w:val="a4"/>
    <w:uiPriority w:val="45"/>
    <w:rsid w:val="004F1D40"/>
    <w:rPr>
      <w:rFonts w:ascii="Calibri" w:eastAsia="Calibri" w:hAnsi="Calibri" w:cs="Times New Roman"/>
      <w:szCs w:val="20"/>
      <w:lang w:eastAsia="ru-RU"/>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4F1D40"/>
  </w:style>
  <w:style w:type="character" w:customStyle="1" w:styleId="WW-Absatz-Standardschriftart">
    <w:name w:val="WW-Absatz-Standardschriftart"/>
    <w:rsid w:val="004F1D40"/>
  </w:style>
  <w:style w:type="paragraph" w:customStyle="1" w:styleId="p1">
    <w:name w:val="p1"/>
    <w:basedOn w:val="a1"/>
    <w:rsid w:val="004F1D40"/>
    <w:pPr>
      <w:spacing w:line="240" w:lineRule="auto"/>
      <w:ind w:firstLine="0"/>
      <w:jc w:val="left"/>
    </w:pPr>
    <w:rPr>
      <w:rFonts w:ascii="Helvetica Neue" w:eastAsia="Calibri" w:hAnsi="Helvetica Neue" w:cs="Times New Roman"/>
      <w:color w:val="000000"/>
      <w:sz w:val="20"/>
      <w:szCs w:val="20"/>
      <w:lang w:eastAsia="ru-RU"/>
    </w:rPr>
  </w:style>
  <w:style w:type="paragraph" w:customStyle="1" w:styleId="ListParagraph1">
    <w:name w:val="List Paragraph1"/>
    <w:basedOn w:val="a1"/>
    <w:rsid w:val="004F1D40"/>
    <w:pPr>
      <w:suppressAutoHyphens/>
      <w:spacing w:after="200" w:line="276" w:lineRule="auto"/>
      <w:ind w:firstLine="0"/>
      <w:jc w:val="left"/>
    </w:pPr>
    <w:rPr>
      <w:rFonts w:ascii="Calibri" w:eastAsia="Calibri" w:hAnsi="Calibri" w:cs="Calibri"/>
      <w:sz w:val="22"/>
      <w:lang w:val="nl-NL" w:eastAsia="ar-SA"/>
    </w:rPr>
  </w:style>
  <w:style w:type="character" w:customStyle="1" w:styleId="Caaieiaie1Ciae">
    <w:name w:val="Caaieiaie 1 Ciae"/>
    <w:uiPriority w:val="99"/>
    <w:rsid w:val="004F1D40"/>
    <w:rPr>
      <w:rFonts w:ascii="Cambria" w:hAnsi="Cambria" w:cs="Cambria"/>
      <w:b/>
      <w:bCs/>
      <w:kern w:val="32"/>
      <w:sz w:val="32"/>
      <w:szCs w:val="32"/>
    </w:rPr>
  </w:style>
  <w:style w:type="character" w:customStyle="1" w:styleId="Caaieiaie2Ciae">
    <w:name w:val="Caaieiaie 2 Ciae"/>
    <w:uiPriority w:val="99"/>
    <w:rsid w:val="004F1D40"/>
    <w:rPr>
      <w:rFonts w:ascii="Cambria" w:hAnsi="Cambria" w:cs="Cambria"/>
      <w:b/>
      <w:bCs/>
      <w:i/>
      <w:iCs/>
      <w:sz w:val="28"/>
      <w:szCs w:val="28"/>
    </w:rPr>
  </w:style>
  <w:style w:type="character" w:customStyle="1" w:styleId="Caaieiaie3Ciae">
    <w:name w:val="Caaieiaie 3 Ciae"/>
    <w:uiPriority w:val="99"/>
    <w:rsid w:val="004F1D40"/>
    <w:rPr>
      <w:rFonts w:ascii="Cambria" w:hAnsi="Cambria" w:cs="Cambria"/>
      <w:b/>
      <w:bCs/>
      <w:sz w:val="26"/>
      <w:szCs w:val="26"/>
    </w:rPr>
  </w:style>
  <w:style w:type="character" w:customStyle="1" w:styleId="Caaieiaie4Ciae">
    <w:name w:val="Caaieiaie 4 Ciae"/>
    <w:uiPriority w:val="99"/>
    <w:rsid w:val="004F1D40"/>
    <w:rPr>
      <w:rFonts w:ascii="Times New Roman" w:hAnsi="Times New Roman" w:cs="Times New Roman"/>
      <w:b/>
      <w:bCs/>
      <w:sz w:val="28"/>
      <w:szCs w:val="28"/>
    </w:rPr>
  </w:style>
  <w:style w:type="character" w:customStyle="1" w:styleId="Caaieiaie5Ciae">
    <w:name w:val="Caaieiaie 5 Ciae"/>
    <w:uiPriority w:val="99"/>
    <w:rsid w:val="004F1D40"/>
    <w:rPr>
      <w:rFonts w:cs="Times New Roman"/>
      <w:b/>
      <w:bCs/>
      <w:i/>
      <w:iCs/>
      <w:sz w:val="26"/>
      <w:szCs w:val="26"/>
    </w:rPr>
  </w:style>
  <w:style w:type="character" w:customStyle="1" w:styleId="Caaieiaie6Ciae">
    <w:name w:val="Caaieiaie 6 Ciae"/>
    <w:uiPriority w:val="99"/>
    <w:rsid w:val="004F1D40"/>
    <w:rPr>
      <w:rFonts w:cs="Times New Roman"/>
      <w:b/>
      <w:bCs/>
    </w:rPr>
  </w:style>
  <w:style w:type="character" w:customStyle="1" w:styleId="Caaieiaie7Ciae">
    <w:name w:val="Caaieiaie 7 Ciae"/>
    <w:uiPriority w:val="99"/>
    <w:rsid w:val="004F1D40"/>
    <w:rPr>
      <w:rFonts w:cs="Times New Roman"/>
      <w:sz w:val="24"/>
      <w:szCs w:val="24"/>
    </w:rPr>
  </w:style>
  <w:style w:type="character" w:customStyle="1" w:styleId="Caaieiaie1Ciae1">
    <w:name w:val="Caaieiaie 1 Ciae1"/>
    <w:uiPriority w:val="99"/>
    <w:rsid w:val="004F1D40"/>
    <w:rPr>
      <w:rFonts w:ascii="Cambria" w:hAnsi="Cambria" w:cs="Cambria"/>
      <w:b/>
      <w:bCs/>
      <w:kern w:val="32"/>
      <w:sz w:val="32"/>
      <w:szCs w:val="32"/>
    </w:rPr>
  </w:style>
  <w:style w:type="character" w:customStyle="1" w:styleId="Caaieiaie2Ciae1">
    <w:name w:val="Caaieiaie 2 Ciae1"/>
    <w:uiPriority w:val="99"/>
    <w:rsid w:val="004F1D40"/>
    <w:rPr>
      <w:rFonts w:ascii="Cambria" w:hAnsi="Cambria" w:cs="Cambria"/>
      <w:b/>
      <w:bCs/>
      <w:i/>
      <w:iCs/>
      <w:sz w:val="28"/>
      <w:szCs w:val="28"/>
    </w:rPr>
  </w:style>
  <w:style w:type="character" w:customStyle="1" w:styleId="Caaieiaie3Ciae1">
    <w:name w:val="Caaieiaie 3 Ciae1"/>
    <w:uiPriority w:val="99"/>
    <w:rsid w:val="004F1D40"/>
    <w:rPr>
      <w:rFonts w:ascii="Cambria" w:hAnsi="Cambria" w:cs="Cambria"/>
      <w:b/>
      <w:bCs/>
      <w:sz w:val="26"/>
      <w:szCs w:val="26"/>
    </w:rPr>
  </w:style>
  <w:style w:type="character" w:customStyle="1" w:styleId="Caaieiaie4Ciae1">
    <w:name w:val="Caaieiaie 4 Ciae1"/>
    <w:uiPriority w:val="99"/>
    <w:rsid w:val="004F1D40"/>
    <w:rPr>
      <w:rFonts w:ascii="Times New Roman" w:hAnsi="Times New Roman" w:cs="Times New Roman"/>
      <w:b/>
      <w:bCs/>
      <w:sz w:val="28"/>
      <w:szCs w:val="28"/>
    </w:rPr>
  </w:style>
  <w:style w:type="character" w:customStyle="1" w:styleId="Caaieiaie5Ciae1">
    <w:name w:val="Caaieiaie 5 Ciae1"/>
    <w:uiPriority w:val="99"/>
    <w:rsid w:val="004F1D40"/>
    <w:rPr>
      <w:rFonts w:cs="Times New Roman"/>
      <w:b/>
      <w:bCs/>
      <w:i/>
      <w:iCs/>
      <w:sz w:val="26"/>
      <w:szCs w:val="26"/>
    </w:rPr>
  </w:style>
  <w:style w:type="character" w:customStyle="1" w:styleId="Caaieiaie6Ciae1">
    <w:name w:val="Caaieiaie 6 Ciae1"/>
    <w:uiPriority w:val="99"/>
    <w:rsid w:val="004F1D40"/>
    <w:rPr>
      <w:rFonts w:cs="Times New Roman"/>
      <w:b/>
      <w:bCs/>
    </w:rPr>
  </w:style>
  <w:style w:type="character" w:customStyle="1" w:styleId="Caaieiaie7Ciae1">
    <w:name w:val="Caaieiaie 7 Ciae1"/>
    <w:uiPriority w:val="99"/>
    <w:rsid w:val="004F1D40"/>
    <w:rPr>
      <w:rFonts w:cs="Times New Roman"/>
      <w:sz w:val="24"/>
      <w:szCs w:val="24"/>
    </w:rPr>
  </w:style>
  <w:style w:type="paragraph" w:customStyle="1" w:styleId="Heading5">
    <w:name w:val="Heading5"/>
    <w:basedOn w:val="a1"/>
    <w:uiPriority w:val="99"/>
    <w:rsid w:val="004F1D40"/>
    <w:pPr>
      <w:autoSpaceDE w:val="0"/>
      <w:autoSpaceDN w:val="0"/>
      <w:adjustRightInd w:val="0"/>
      <w:spacing w:before="100" w:after="100" w:line="240" w:lineRule="auto"/>
      <w:ind w:firstLine="0"/>
      <w:jc w:val="left"/>
    </w:pPr>
    <w:rPr>
      <w:rFonts w:eastAsia="Times New Roman" w:cs="Times New Roman"/>
      <w:b/>
      <w:bCs/>
      <w:i/>
      <w:iCs/>
      <w:szCs w:val="24"/>
      <w:lang w:eastAsia="ru-RU"/>
    </w:rPr>
  </w:style>
  <w:style w:type="paragraph" w:customStyle="1" w:styleId="FitzBullet">
    <w:name w:val="FitzBullet"/>
    <w:basedOn w:val="a1"/>
    <w:rsid w:val="004F1D40"/>
    <w:pPr>
      <w:shd w:val="clear" w:color="auto" w:fill="FFFFFF"/>
      <w:tabs>
        <w:tab w:val="left" w:pos="317"/>
      </w:tabs>
      <w:autoSpaceDE w:val="0"/>
      <w:autoSpaceDN w:val="0"/>
      <w:adjustRightInd w:val="0"/>
      <w:spacing w:before="60" w:after="60" w:line="240" w:lineRule="auto"/>
      <w:ind w:left="283" w:hanging="283"/>
      <w:jc w:val="left"/>
    </w:pPr>
    <w:rPr>
      <w:rFonts w:eastAsia="Times New Roman" w:cs="Times New Roman"/>
      <w:color w:val="000000"/>
      <w:szCs w:val="24"/>
      <w:lang w:eastAsia="ru-RU"/>
    </w:rPr>
  </w:style>
  <w:style w:type="paragraph" w:customStyle="1" w:styleId="author">
    <w:name w:val="author"/>
    <w:basedOn w:val="3"/>
    <w:uiPriority w:val="99"/>
    <w:rsid w:val="004F1D40"/>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4F1D40"/>
    <w:pPr>
      <w:tabs>
        <w:tab w:val="clear" w:pos="317"/>
        <w:tab w:val="left" w:pos="1134"/>
      </w:tabs>
      <w:ind w:left="1417"/>
    </w:pPr>
    <w:rPr>
      <w:lang w:val="en-US"/>
    </w:rPr>
  </w:style>
  <w:style w:type="character" w:customStyle="1" w:styleId="sokr">
    <w:name w:val="sokr"/>
    <w:rsid w:val="004F1D40"/>
  </w:style>
  <w:style w:type="paragraph" w:customStyle="1" w:styleId="opisdvfld">
    <w:name w:val="opis_dvfld"/>
    <w:basedOn w:val="a1"/>
    <w:rsid w:val="004F1D4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1">
    <w:name w:val="Литература"/>
    <w:basedOn w:val="a1"/>
    <w:qFormat/>
    <w:rsid w:val="004F1D40"/>
    <w:pPr>
      <w:suppressAutoHyphens/>
      <w:spacing w:after="120" w:line="240" w:lineRule="auto"/>
      <w:ind w:firstLine="0"/>
      <w:jc w:val="left"/>
    </w:pPr>
    <w:rPr>
      <w:rFonts w:eastAsia="Calibri" w:cs="Times New Roman"/>
      <w:i/>
      <w:kern w:val="2"/>
      <w:szCs w:val="24"/>
      <w:lang w:val="en-US"/>
    </w:rPr>
  </w:style>
  <w:style w:type="character" w:customStyle="1" w:styleId="cit">
    <w:name w:val="cit"/>
    <w:basedOn w:val="a3"/>
    <w:rsid w:val="004F1D40"/>
  </w:style>
  <w:style w:type="character" w:customStyle="1" w:styleId="al-author-delim">
    <w:name w:val="al-author-delim"/>
    <w:basedOn w:val="a3"/>
    <w:rsid w:val="004F1D40"/>
  </w:style>
  <w:style w:type="character" w:styleId="afffff2">
    <w:name w:val="line number"/>
    <w:basedOn w:val="a3"/>
    <w:uiPriority w:val="99"/>
    <w:semiHidden/>
    <w:unhideWhenUsed/>
    <w:rsid w:val="004F1D40"/>
  </w:style>
  <w:style w:type="character" w:customStyle="1" w:styleId="author-sup-separator">
    <w:name w:val="author-sup-separator"/>
    <w:rsid w:val="004F1D40"/>
  </w:style>
  <w:style w:type="character" w:customStyle="1" w:styleId="comma">
    <w:name w:val="comma"/>
    <w:rsid w:val="004F1D40"/>
  </w:style>
  <w:style w:type="character" w:customStyle="1" w:styleId="citation-doi">
    <w:name w:val="citation-doi"/>
    <w:rsid w:val="004F1D40"/>
  </w:style>
  <w:style w:type="character" w:customStyle="1" w:styleId="st">
    <w:name w:val="st"/>
    <w:rsid w:val="004F1D40"/>
  </w:style>
  <w:style w:type="character" w:customStyle="1" w:styleId="2c">
    <w:name w:val="Строгий2"/>
    <w:rsid w:val="004F1D40"/>
  </w:style>
  <w:style w:type="character" w:customStyle="1" w:styleId="pagelast">
    <w:name w:val="pagelast"/>
    <w:uiPriority w:val="99"/>
    <w:rsid w:val="004F1D40"/>
    <w:rPr>
      <w:rFonts w:cs="Times New Roman"/>
    </w:rPr>
  </w:style>
  <w:style w:type="paragraph" w:customStyle="1" w:styleId="Autor">
    <w:name w:val="Autor"/>
    <w:basedOn w:val="a1"/>
    <w:rsid w:val="004F1D40"/>
    <w:pPr>
      <w:widowControl w:val="0"/>
      <w:shd w:val="clear" w:color="auto" w:fill="FFFFFF"/>
      <w:overflowPunct w:val="0"/>
      <w:autoSpaceDE w:val="0"/>
      <w:autoSpaceDN w:val="0"/>
      <w:adjustRightInd w:val="0"/>
      <w:spacing w:before="120" w:line="240" w:lineRule="atLeast"/>
      <w:ind w:firstLine="0"/>
      <w:jc w:val="left"/>
      <w:textAlignment w:val="baseline"/>
    </w:pPr>
    <w:rPr>
      <w:rFonts w:eastAsia="Calibri" w:cs="Times New Roman"/>
      <w:i/>
      <w:iCs/>
      <w:sz w:val="22"/>
      <w:lang w:val="en-US" w:eastAsia="ru-RU"/>
    </w:rPr>
  </w:style>
  <w:style w:type="paragraph" w:customStyle="1" w:styleId="table-name">
    <w:name w:val="table-name"/>
    <w:basedOn w:val="a1"/>
    <w:rsid w:val="004F1D40"/>
    <w:pPr>
      <w:autoSpaceDE w:val="0"/>
      <w:autoSpaceDN w:val="0"/>
      <w:adjustRightInd w:val="0"/>
      <w:spacing w:before="40" w:line="240" w:lineRule="auto"/>
      <w:ind w:firstLine="425"/>
      <w:jc w:val="left"/>
    </w:pPr>
    <w:rPr>
      <w:rFonts w:eastAsia="Times New Roman" w:cs="Times New Roman"/>
      <w:b/>
      <w:bCs/>
      <w:color w:val="000000"/>
      <w:sz w:val="20"/>
      <w:szCs w:val="20"/>
      <w:lang w:val="en-US" w:eastAsia="ru-RU"/>
    </w:rPr>
  </w:style>
  <w:style w:type="paragraph" w:customStyle="1" w:styleId="Table-head-italic">
    <w:name w:val="Table-head-italic"/>
    <w:basedOn w:val="a1"/>
    <w:rsid w:val="004F1D40"/>
    <w:pPr>
      <w:widowControl w:val="0"/>
      <w:shd w:val="clear" w:color="auto" w:fill="FFFFFF"/>
      <w:autoSpaceDE w:val="0"/>
      <w:autoSpaceDN w:val="0"/>
      <w:adjustRightInd w:val="0"/>
      <w:spacing w:line="240" w:lineRule="auto"/>
      <w:ind w:firstLine="0"/>
      <w:jc w:val="left"/>
    </w:pPr>
    <w:rPr>
      <w:rFonts w:eastAsia="Times New Roman" w:cs="Times New Roman"/>
      <w:i/>
      <w:iCs/>
      <w:sz w:val="18"/>
      <w:szCs w:val="18"/>
      <w:lang w:val="en-US" w:eastAsia="ru-RU"/>
    </w:rPr>
  </w:style>
  <w:style w:type="paragraph" w:customStyle="1" w:styleId="table-text-0">
    <w:name w:val="table-text-0"/>
    <w:basedOn w:val="a1"/>
    <w:rsid w:val="004F1D40"/>
    <w:pPr>
      <w:autoSpaceDE w:val="0"/>
      <w:autoSpaceDN w:val="0"/>
      <w:adjustRightInd w:val="0"/>
      <w:spacing w:before="40" w:line="240" w:lineRule="auto"/>
      <w:ind w:left="113" w:firstLine="425"/>
      <w:jc w:val="left"/>
    </w:pPr>
    <w:rPr>
      <w:rFonts w:eastAsia="Times New Roman" w:cs="Times New Roman"/>
      <w:sz w:val="20"/>
      <w:szCs w:val="20"/>
      <w:lang w:val="en-US" w:eastAsia="ru-RU"/>
    </w:rPr>
  </w:style>
  <w:style w:type="paragraph" w:customStyle="1" w:styleId="FitzFootnote">
    <w:name w:val="FitzFootnote"/>
    <w:basedOn w:val="a1"/>
    <w:rsid w:val="004F1D40"/>
    <w:pPr>
      <w:shd w:val="clear" w:color="auto" w:fill="FFFFFF"/>
      <w:autoSpaceDE w:val="0"/>
      <w:autoSpaceDN w:val="0"/>
      <w:adjustRightInd w:val="0"/>
      <w:spacing w:before="60" w:after="60" w:line="240" w:lineRule="auto"/>
      <w:ind w:firstLine="0"/>
      <w:jc w:val="left"/>
    </w:pPr>
    <w:rPr>
      <w:rFonts w:eastAsia="Times New Roman" w:cs="Times New Roman"/>
      <w:color w:val="000000"/>
      <w:sz w:val="18"/>
      <w:szCs w:val="18"/>
      <w:lang w:val="en-US" w:eastAsia="ru-RU"/>
    </w:rPr>
  </w:style>
  <w:style w:type="paragraph" w:customStyle="1" w:styleId="table-text-1">
    <w:name w:val="table-text-1"/>
    <w:basedOn w:val="a1"/>
    <w:rsid w:val="004F1D40"/>
    <w:pPr>
      <w:overflowPunct w:val="0"/>
      <w:autoSpaceDE w:val="0"/>
      <w:autoSpaceDN w:val="0"/>
      <w:adjustRightInd w:val="0"/>
      <w:spacing w:before="40" w:after="40" w:line="240" w:lineRule="auto"/>
      <w:ind w:left="340" w:hanging="170"/>
      <w:jc w:val="left"/>
      <w:textAlignment w:val="baseline"/>
    </w:pPr>
    <w:rPr>
      <w:rFonts w:eastAsia="Times New Roman" w:cs="Times New Roman"/>
      <w:color w:val="000000"/>
      <w:sz w:val="17"/>
      <w:szCs w:val="20"/>
      <w:lang w:eastAsia="ru-RU"/>
    </w:rPr>
  </w:style>
  <w:style w:type="paragraph" w:customStyle="1" w:styleId="formula">
    <w:name w:val="formula"/>
    <w:basedOn w:val="a1"/>
    <w:rsid w:val="004F1D40"/>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cs="Times New Roman"/>
      <w:sz w:val="20"/>
      <w:szCs w:val="20"/>
      <w:lang w:eastAsia="ru-RU"/>
    </w:rPr>
  </w:style>
  <w:style w:type="paragraph" w:customStyle="1" w:styleId="1ff">
    <w:name w:val="Обычный (веб)1"/>
    <w:basedOn w:val="a1"/>
    <w:uiPriority w:val="99"/>
    <w:unhideWhenUsed/>
    <w:qFormat/>
    <w:rsid w:val="004F1D40"/>
    <w:pPr>
      <w:spacing w:beforeAutospacing="1" w:afterAutospacing="1" w:line="288" w:lineRule="auto"/>
      <w:ind w:firstLine="0"/>
      <w:jc w:val="left"/>
    </w:pPr>
    <w:rPr>
      <w:rFonts w:eastAsia="Times New Roman" w:cs="Times New Roman"/>
      <w:szCs w:val="24"/>
      <w:lang w:eastAsia="ru-RU"/>
    </w:rPr>
  </w:style>
  <w:style w:type="character" w:customStyle="1" w:styleId="highlight1">
    <w:name w:val="highlight1"/>
    <w:basedOn w:val="a3"/>
    <w:rsid w:val="004F1D40"/>
  </w:style>
  <w:style w:type="character" w:customStyle="1" w:styleId="element-citation">
    <w:name w:val="element-citation"/>
    <w:basedOn w:val="a3"/>
    <w:rsid w:val="004F1D40"/>
  </w:style>
  <w:style w:type="character" w:customStyle="1" w:styleId="ref-journal">
    <w:name w:val="ref-journal"/>
    <w:basedOn w:val="a3"/>
    <w:rsid w:val="004F1D40"/>
  </w:style>
  <w:style w:type="character" w:customStyle="1" w:styleId="ref-vol">
    <w:name w:val="ref-vol"/>
    <w:basedOn w:val="a3"/>
    <w:rsid w:val="004F1D40"/>
  </w:style>
  <w:style w:type="character" w:customStyle="1" w:styleId="nowrap">
    <w:name w:val="nowrap"/>
    <w:basedOn w:val="a3"/>
    <w:rsid w:val="004F1D40"/>
  </w:style>
  <w:style w:type="paragraph" w:customStyle="1" w:styleId="1ff0">
    <w:name w:val="Заголовок оглавления1"/>
    <w:basedOn w:val="11"/>
    <w:rsid w:val="004F1D40"/>
    <w:pPr>
      <w:suppressAutoHyphens w:val="0"/>
      <w:spacing w:after="120" w:line="276" w:lineRule="auto"/>
      <w:jc w:val="center"/>
    </w:pPr>
    <w:rPr>
      <w:rFonts w:eastAsia="Times New Roman"/>
      <w:sz w:val="22"/>
      <w:szCs w:val="20"/>
      <w:u w:val="none"/>
    </w:rPr>
  </w:style>
  <w:style w:type="paragraph" w:customStyle="1" w:styleId="35">
    <w:name w:val="3"/>
    <w:basedOn w:val="a1"/>
    <w:link w:val="36"/>
    <w:qFormat/>
    <w:rsid w:val="004F1D40"/>
    <w:pPr>
      <w:ind w:left="142" w:firstLine="0"/>
      <w:contextualSpacing/>
    </w:pPr>
    <w:rPr>
      <w:rFonts w:eastAsia="Calibri" w:cs="Times New Roman"/>
    </w:rPr>
  </w:style>
  <w:style w:type="character" w:customStyle="1" w:styleId="36">
    <w:name w:val="3 Знак"/>
    <w:basedOn w:val="a3"/>
    <w:link w:val="35"/>
    <w:rsid w:val="004F1D40"/>
    <w:rPr>
      <w:rFonts w:ascii="Times New Roman" w:eastAsia="Calibri" w:hAnsi="Times New Roman" w:cs="Times New Roman"/>
      <w:sz w:val="24"/>
    </w:rPr>
  </w:style>
  <w:style w:type="paragraph" w:styleId="42">
    <w:name w:val="toc 4"/>
    <w:basedOn w:val="a1"/>
    <w:next w:val="a1"/>
    <w:autoRedefine/>
    <w:uiPriority w:val="39"/>
    <w:unhideWhenUsed/>
    <w:rsid w:val="004F1D40"/>
    <w:pPr>
      <w:ind w:left="720"/>
      <w:jc w:val="left"/>
    </w:pPr>
    <w:rPr>
      <w:rFonts w:asciiTheme="minorHAnsi" w:eastAsia="Calibri" w:hAnsiTheme="minorHAnsi" w:cs="Times New Roman"/>
      <w:sz w:val="20"/>
      <w:szCs w:val="20"/>
    </w:rPr>
  </w:style>
  <w:style w:type="paragraph" w:styleId="52">
    <w:name w:val="toc 5"/>
    <w:basedOn w:val="a1"/>
    <w:next w:val="a1"/>
    <w:autoRedefine/>
    <w:uiPriority w:val="39"/>
    <w:unhideWhenUsed/>
    <w:rsid w:val="004F1D40"/>
    <w:pPr>
      <w:ind w:left="960"/>
      <w:jc w:val="left"/>
    </w:pPr>
    <w:rPr>
      <w:rFonts w:asciiTheme="minorHAnsi" w:eastAsia="Calibri" w:hAnsiTheme="minorHAnsi" w:cs="Times New Roman"/>
      <w:sz w:val="20"/>
      <w:szCs w:val="20"/>
    </w:rPr>
  </w:style>
  <w:style w:type="paragraph" w:styleId="61">
    <w:name w:val="toc 6"/>
    <w:basedOn w:val="a1"/>
    <w:next w:val="a1"/>
    <w:autoRedefine/>
    <w:uiPriority w:val="39"/>
    <w:unhideWhenUsed/>
    <w:rsid w:val="004F1D40"/>
    <w:pPr>
      <w:ind w:left="1200"/>
      <w:jc w:val="left"/>
    </w:pPr>
    <w:rPr>
      <w:rFonts w:asciiTheme="minorHAnsi" w:eastAsia="Calibri" w:hAnsiTheme="minorHAnsi" w:cs="Times New Roman"/>
      <w:sz w:val="20"/>
      <w:szCs w:val="20"/>
    </w:rPr>
  </w:style>
  <w:style w:type="paragraph" w:styleId="72">
    <w:name w:val="toc 7"/>
    <w:basedOn w:val="a1"/>
    <w:next w:val="a1"/>
    <w:autoRedefine/>
    <w:uiPriority w:val="39"/>
    <w:unhideWhenUsed/>
    <w:rsid w:val="004F1D40"/>
    <w:pPr>
      <w:ind w:left="1440"/>
      <w:jc w:val="left"/>
    </w:pPr>
    <w:rPr>
      <w:rFonts w:asciiTheme="minorHAnsi" w:eastAsia="Calibri" w:hAnsiTheme="minorHAnsi" w:cs="Times New Roman"/>
      <w:sz w:val="20"/>
      <w:szCs w:val="20"/>
    </w:rPr>
  </w:style>
  <w:style w:type="paragraph" w:styleId="80">
    <w:name w:val="toc 8"/>
    <w:basedOn w:val="a1"/>
    <w:next w:val="a1"/>
    <w:autoRedefine/>
    <w:uiPriority w:val="39"/>
    <w:unhideWhenUsed/>
    <w:rsid w:val="004F1D40"/>
    <w:pPr>
      <w:ind w:left="1680"/>
      <w:jc w:val="left"/>
    </w:pPr>
    <w:rPr>
      <w:rFonts w:asciiTheme="minorHAnsi" w:eastAsia="Calibri" w:hAnsiTheme="minorHAnsi" w:cs="Times New Roman"/>
      <w:sz w:val="20"/>
      <w:szCs w:val="20"/>
    </w:rPr>
  </w:style>
  <w:style w:type="paragraph" w:styleId="90">
    <w:name w:val="toc 9"/>
    <w:basedOn w:val="a1"/>
    <w:next w:val="a1"/>
    <w:autoRedefine/>
    <w:uiPriority w:val="39"/>
    <w:unhideWhenUsed/>
    <w:rsid w:val="004F1D40"/>
    <w:pPr>
      <w:ind w:left="1920"/>
      <w:jc w:val="left"/>
    </w:pPr>
    <w:rPr>
      <w:rFonts w:asciiTheme="minorHAnsi" w:eastAsia="Calibri" w:hAnsiTheme="minorHAnsi" w:cs="Times New Roman"/>
      <w:sz w:val="20"/>
      <w:szCs w:val="20"/>
    </w:rPr>
  </w:style>
  <w:style w:type="paragraph" w:customStyle="1" w:styleId="Author0">
    <w:name w:val="Author"/>
    <w:uiPriority w:val="99"/>
    <w:rsid w:val="004801CE"/>
    <w:pPr>
      <w:ind w:firstLine="284"/>
      <w:jc w:val="center"/>
    </w:pPr>
    <w:rPr>
      <w:rFonts w:ascii="Times New Roman" w:eastAsia="Arial Unicode MS" w:hAnsi="Times New Roman" w:cs="Arial Unicode MS"/>
      <w:i/>
      <w:iCs/>
      <w:color w:val="000000"/>
      <w:sz w:val="24"/>
      <w:szCs w:val="24"/>
      <w:u w:color="000000"/>
      <w:lang w:eastAsia="ru-RU"/>
    </w:rPr>
  </w:style>
  <w:style w:type="paragraph" w:customStyle="1" w:styleId="bullet">
    <w:name w:val="bullet"/>
    <w:uiPriority w:val="99"/>
    <w:rsid w:val="004801CE"/>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lang w:eastAsia="ru-RU"/>
    </w:rPr>
  </w:style>
  <w:style w:type="paragraph" w:customStyle="1" w:styleId="Number1">
    <w:name w:val="Number1"/>
    <w:uiPriority w:val="99"/>
    <w:rsid w:val="004801CE"/>
    <w:pPr>
      <w:shd w:val="clear" w:color="auto" w:fill="FFFFFF"/>
      <w:tabs>
        <w:tab w:val="left" w:pos="394"/>
      </w:tabs>
      <w:spacing w:before="5"/>
      <w:ind w:left="284" w:hanging="284"/>
    </w:pPr>
    <w:rPr>
      <w:rFonts w:ascii="Times New Roman" w:eastAsia="Arial Unicode MS" w:hAnsi="Times New Roman" w:cs="Arial Unicode MS"/>
      <w:color w:val="000000"/>
      <w:spacing w:val="-1"/>
      <w:sz w:val="24"/>
      <w:szCs w:val="24"/>
      <w:u w:color="000000"/>
      <w:lang w:eastAsia="ru-RU"/>
    </w:rPr>
  </w:style>
  <w:style w:type="paragraph" w:customStyle="1" w:styleId="Literature">
    <w:name w:val="Literature"/>
    <w:uiPriority w:val="99"/>
    <w:rsid w:val="004801CE"/>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lang w:eastAsia="ru-RU"/>
    </w:rPr>
  </w:style>
  <w:style w:type="numbering" w:customStyle="1" w:styleId="1">
    <w:name w:val="Импортированный стиль 1"/>
    <w:rsid w:val="004801CE"/>
    <w:pPr>
      <w:numPr>
        <w:numId w:val="82"/>
      </w:numPr>
    </w:pPr>
  </w:style>
  <w:style w:type="character" w:customStyle="1" w:styleId="html-italic">
    <w:name w:val="html-italic"/>
    <w:basedOn w:val="a3"/>
    <w:rsid w:val="004801CE"/>
  </w:style>
  <w:style w:type="character" w:customStyle="1" w:styleId="highwire-cite-metadata-volume">
    <w:name w:val="highwire-cite-metadata-volume"/>
    <w:basedOn w:val="a3"/>
    <w:rsid w:val="004801CE"/>
  </w:style>
  <w:style w:type="character" w:customStyle="1" w:styleId="infolabel">
    <w:name w:val="info_label"/>
    <w:basedOn w:val="a3"/>
    <w:rsid w:val="004801CE"/>
  </w:style>
  <w:style w:type="character" w:customStyle="1" w:styleId="infovalue">
    <w:name w:val="info_value"/>
    <w:basedOn w:val="a3"/>
    <w:rsid w:val="0048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49771666">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61856538">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548568">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83937936">
      <w:bodyDiv w:val="1"/>
      <w:marLeft w:val="0"/>
      <w:marRight w:val="0"/>
      <w:marTop w:val="0"/>
      <w:marBottom w:val="0"/>
      <w:divBdr>
        <w:top w:val="none" w:sz="0" w:space="0" w:color="auto"/>
        <w:left w:val="none" w:sz="0" w:space="0" w:color="auto"/>
        <w:bottom w:val="none" w:sz="0" w:space="0" w:color="auto"/>
        <w:right w:val="none" w:sz="0" w:space="0" w:color="auto"/>
      </w:divBdr>
    </w:div>
    <w:div w:id="711074917">
      <w:bodyDiv w:val="1"/>
      <w:marLeft w:val="0"/>
      <w:marRight w:val="0"/>
      <w:marTop w:val="0"/>
      <w:marBottom w:val="0"/>
      <w:divBdr>
        <w:top w:val="none" w:sz="0" w:space="0" w:color="auto"/>
        <w:left w:val="none" w:sz="0" w:space="0" w:color="auto"/>
        <w:bottom w:val="none" w:sz="0" w:space="0" w:color="auto"/>
        <w:right w:val="none" w:sz="0" w:space="0" w:color="auto"/>
      </w:divBdr>
    </w:div>
    <w:div w:id="756484725">
      <w:bodyDiv w:val="1"/>
      <w:marLeft w:val="0"/>
      <w:marRight w:val="0"/>
      <w:marTop w:val="0"/>
      <w:marBottom w:val="0"/>
      <w:divBdr>
        <w:top w:val="none" w:sz="0" w:space="0" w:color="auto"/>
        <w:left w:val="none" w:sz="0" w:space="0" w:color="auto"/>
        <w:bottom w:val="none" w:sz="0" w:space="0" w:color="auto"/>
        <w:right w:val="none" w:sz="0" w:space="0" w:color="auto"/>
      </w:divBdr>
    </w:div>
    <w:div w:id="778451575">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897278808">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89602893">
      <w:bodyDiv w:val="1"/>
      <w:marLeft w:val="0"/>
      <w:marRight w:val="0"/>
      <w:marTop w:val="0"/>
      <w:marBottom w:val="0"/>
      <w:divBdr>
        <w:top w:val="none" w:sz="0" w:space="0" w:color="auto"/>
        <w:left w:val="none" w:sz="0" w:space="0" w:color="auto"/>
        <w:bottom w:val="none" w:sz="0" w:space="0" w:color="auto"/>
        <w:right w:val="none" w:sz="0" w:space="0" w:color="auto"/>
      </w:divBdr>
    </w:div>
    <w:div w:id="997004063">
      <w:bodyDiv w:val="1"/>
      <w:marLeft w:val="0"/>
      <w:marRight w:val="0"/>
      <w:marTop w:val="0"/>
      <w:marBottom w:val="0"/>
      <w:divBdr>
        <w:top w:val="none" w:sz="0" w:space="0" w:color="auto"/>
        <w:left w:val="none" w:sz="0" w:space="0" w:color="auto"/>
        <w:bottom w:val="none" w:sz="0" w:space="0" w:color="auto"/>
        <w:right w:val="none" w:sz="0" w:space="0" w:color="auto"/>
      </w:divBdr>
    </w:div>
    <w:div w:id="1029450706">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5073778">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25891271">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85198990">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60432205">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243123">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56973031">
      <w:bodyDiv w:val="1"/>
      <w:marLeft w:val="0"/>
      <w:marRight w:val="0"/>
      <w:marTop w:val="0"/>
      <w:marBottom w:val="0"/>
      <w:divBdr>
        <w:top w:val="none" w:sz="0" w:space="0" w:color="auto"/>
        <w:left w:val="none" w:sz="0" w:space="0" w:color="auto"/>
        <w:bottom w:val="none" w:sz="0" w:space="0" w:color="auto"/>
        <w:right w:val="none" w:sz="0" w:space="0" w:color="auto"/>
      </w:divBdr>
    </w:div>
    <w:div w:id="1757557760">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17325763">
      <w:bodyDiv w:val="1"/>
      <w:marLeft w:val="0"/>
      <w:marRight w:val="0"/>
      <w:marTop w:val="0"/>
      <w:marBottom w:val="0"/>
      <w:divBdr>
        <w:top w:val="none" w:sz="0" w:space="0" w:color="auto"/>
        <w:left w:val="none" w:sz="0" w:space="0" w:color="auto"/>
        <w:bottom w:val="none" w:sz="0" w:space="0" w:color="auto"/>
        <w:right w:val="none" w:sz="0" w:space="0" w:color="auto"/>
      </w:divBdr>
    </w:div>
    <w:div w:id="1939167664">
      <w:bodyDiv w:val="1"/>
      <w:marLeft w:val="0"/>
      <w:marRight w:val="0"/>
      <w:marTop w:val="0"/>
      <w:marBottom w:val="0"/>
      <w:divBdr>
        <w:top w:val="none" w:sz="0" w:space="0" w:color="auto"/>
        <w:left w:val="none" w:sz="0" w:space="0" w:color="auto"/>
        <w:bottom w:val="none" w:sz="0" w:space="0" w:color="auto"/>
        <w:right w:val="none" w:sz="0" w:space="0" w:color="auto"/>
      </w:divBdr>
    </w:div>
    <w:div w:id="1960140679">
      <w:bodyDiv w:val="1"/>
      <w:marLeft w:val="0"/>
      <w:marRight w:val="0"/>
      <w:marTop w:val="0"/>
      <w:marBottom w:val="0"/>
      <w:divBdr>
        <w:top w:val="none" w:sz="0" w:space="0" w:color="auto"/>
        <w:left w:val="none" w:sz="0" w:space="0" w:color="auto"/>
        <w:bottom w:val="none" w:sz="0" w:space="0" w:color="auto"/>
        <w:right w:val="none" w:sz="0" w:space="0" w:color="auto"/>
      </w:divBdr>
    </w:div>
    <w:div w:id="1987970812">
      <w:bodyDiv w:val="1"/>
      <w:marLeft w:val="0"/>
      <w:marRight w:val="0"/>
      <w:marTop w:val="0"/>
      <w:marBottom w:val="0"/>
      <w:divBdr>
        <w:top w:val="none" w:sz="0" w:space="0" w:color="auto"/>
        <w:left w:val="none" w:sz="0" w:space="0" w:color="auto"/>
        <w:bottom w:val="none" w:sz="0" w:space="0" w:color="auto"/>
        <w:right w:val="none" w:sz="0" w:space="0" w:color="auto"/>
      </w:divBdr>
    </w:div>
    <w:div w:id="2025396603">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C:\images\16_ab803b74-d80e-40af-82db-92fa514c947d.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B23E0-1948-4B80-B5CF-EAA98088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224736</Words>
  <Characters>1280998</Characters>
  <Application>Microsoft Office Word</Application>
  <DocSecurity>0</DocSecurity>
  <Lines>10674</Lines>
  <Paragraphs>3005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dc:description/>
  <cp:lastModifiedBy>Аль-Ради Любовь Саттаровна</cp:lastModifiedBy>
  <cp:revision>2</cp:revision>
  <cp:lastPrinted>2020-03-13T09:12:00Z</cp:lastPrinted>
  <dcterms:created xsi:type="dcterms:W3CDTF">2021-02-25T07:02:00Z</dcterms:created>
  <dcterms:modified xsi:type="dcterms:W3CDTF">2021-02-25T07:02:00Z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