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99508DD" w14:textId="77777777" w:rsidR="00E36621" w:rsidRDefault="00BD0784" w:rsidP="004E3A70">
      <w:pPr>
        <w:pStyle w:val="ab"/>
      </w:pPr>
      <w:r>
        <w:rPr>
          <w:noProof/>
          <w:lang w:eastAsia="ru-RU"/>
        </w:rPr>
        <mc:AlternateContent>
          <mc:Choice Requires="wps">
            <w:drawing>
              <wp:anchor distT="0" distB="0" distL="114300" distR="114300" simplePos="0" relativeHeight="251658240" behindDoc="1" locked="0" layoutInCell="1" allowOverlap="1" wp14:anchorId="198F33CB" wp14:editId="25C2A254">
                <wp:simplePos x="0" y="0"/>
                <wp:positionH relativeFrom="column">
                  <wp:posOffset>-737235</wp:posOffset>
                </wp:positionH>
                <wp:positionV relativeFrom="paragraph">
                  <wp:posOffset>-386715</wp:posOffset>
                </wp:positionV>
                <wp:extent cx="6886575" cy="10020300"/>
                <wp:effectExtent l="0" t="0" r="0" b="0"/>
                <wp:wrapNone/>
                <wp:docPr id="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002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CF0A2" w14:textId="77777777" w:rsidR="00574AC0" w:rsidRDefault="00574AC0" w:rsidP="00E36621"/>
                          <w:p w14:paraId="33F8429B" w14:textId="77777777" w:rsidR="00574AC0" w:rsidRDefault="00574AC0" w:rsidP="00E36621"/>
                          <w:p w14:paraId="56200049" w14:textId="77777777" w:rsidR="00574AC0" w:rsidRPr="009B79B9" w:rsidRDefault="00574AC0" w:rsidP="00E3662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8F33CB" id="Прямоугольник 16" o:spid="_x0000_s1026" style="position:absolute;margin-left:-58.05pt;margin-top:-30.45pt;width:542.2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" stroked="f">
                <v:path arrowok="t"/>
                <v:textbox>
                  <w:txbxContent>
                    <w:p w14:paraId="428CF0A2" w14:textId="77777777" w:rsidR="00574AC0" w:rsidRDefault="00574AC0" w:rsidP="00E36621"/>
                    <w:p w14:paraId="33F8429B" w14:textId="77777777" w:rsidR="00574AC0" w:rsidRDefault="00574AC0" w:rsidP="00E36621"/>
                    <w:p w14:paraId="56200049" w14:textId="77777777" w:rsidR="00574AC0" w:rsidRPr="009B79B9" w:rsidRDefault="00574AC0" w:rsidP="00E36621"/>
                  </w:txbxContent>
                </v:textbox>
              </v:rect>
            </w:pict>
          </mc:Fallback>
        </mc:AlternateContent>
      </w:r>
      <w:r>
        <w:rPr>
          <w:noProof/>
          <w:lang w:eastAsia="ru-RU"/>
        </w:rPr>
        <mc:AlternateContent>
          <mc:Choice Requires="wps">
            <w:drawing>
              <wp:anchor distT="0" distB="0" distL="114300" distR="114300" simplePos="0" relativeHeight="251657216" behindDoc="1" locked="0" layoutInCell="1" allowOverlap="1" wp14:anchorId="36DA311B" wp14:editId="6B9AA250">
                <wp:simplePos x="0" y="0"/>
                <wp:positionH relativeFrom="page">
                  <wp:posOffset>-35560</wp:posOffset>
                </wp:positionH>
                <wp:positionV relativeFrom="paragraph">
                  <wp:posOffset>-962660</wp:posOffset>
                </wp:positionV>
                <wp:extent cx="7601585" cy="1102106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solidFill>
                          <a:srgbClr val="0B595D">
                            <a:alpha val="10196"/>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8B8049" id="Прямоугольник 15" o:spid="_x0000_s1026" style="position:absolute;margin-left:-2.8pt;margin-top:-75.8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" fillcolor="#0b595d" stroked="f">
                <v:fill opacity="6682f"/>
                <w10:wrap anchorx="page"/>
              </v:rect>
            </w:pict>
          </mc:Fallback>
        </mc:AlternateContent>
      </w:r>
    </w:p>
    <w:p w14:paraId="4581F242" w14:textId="77777777" w:rsidR="00E36621" w:rsidRDefault="00E36621" w:rsidP="004E3A70">
      <w:pPr>
        <w:pStyle w:val="ab"/>
      </w:pPr>
    </w:p>
    <w:p w14:paraId="25379E00" w14:textId="77777777" w:rsidR="00E36621" w:rsidRDefault="00E36621" w:rsidP="004E3A70"/>
    <w:tbl>
      <w:tblPr>
        <w:tblpPr w:leftFromText="180" w:rightFromText="180" w:vertAnchor="page" w:horzAnchor="margin" w:tblpY="2575"/>
        <w:tblW w:w="95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531"/>
        <w:gridCol w:w="4994"/>
      </w:tblGrid>
      <w:tr w:rsidR="00397360" w:rsidRPr="00DC5C3F" w14:paraId="45D99C4A" w14:textId="77777777" w:rsidTr="003B0273">
        <w:trPr>
          <w:trHeight w:val="2690"/>
        </w:trPr>
        <w:tc>
          <w:tcPr>
            <w:tcW w:w="9525" w:type="dxa"/>
            <w:gridSpan w:val="2"/>
          </w:tcPr>
          <w:p w14:paraId="61B53F8A" w14:textId="77777777" w:rsidR="00397360" w:rsidRDefault="00397360" w:rsidP="004E3A70">
            <w:pPr>
              <w:tabs>
                <w:tab w:val="left" w:pos="6135"/>
              </w:tabs>
              <w:jc w:val="center"/>
              <w:rPr>
                <w:b/>
                <w:bCs/>
                <w:color w:val="808080"/>
              </w:rPr>
            </w:pPr>
          </w:p>
          <w:p w14:paraId="01536D4C" w14:textId="77777777" w:rsidR="00397360" w:rsidRDefault="00397360" w:rsidP="004E3A70">
            <w:pPr>
              <w:tabs>
                <w:tab w:val="left" w:pos="6135"/>
              </w:tabs>
              <w:jc w:val="center"/>
              <w:rPr>
                <w:b/>
                <w:bCs/>
                <w:noProof/>
                <w:color w:val="767171"/>
                <w:lang w:eastAsia="ru-RU"/>
              </w:rPr>
            </w:pPr>
            <w:r w:rsidRPr="009B79B9">
              <w:rPr>
                <w:b/>
                <w:bCs/>
                <w:color w:val="808080"/>
              </w:rPr>
              <w:t xml:space="preserve">Клинические </w:t>
            </w:r>
            <w:r w:rsidRPr="009B79B9">
              <w:rPr>
                <w:b/>
                <w:bCs/>
                <w:noProof/>
                <w:color w:val="767171"/>
                <w:lang w:eastAsia="ru-RU"/>
              </w:rPr>
              <w:t>рекомендации</w:t>
            </w:r>
          </w:p>
          <w:p w14:paraId="7894C01E" w14:textId="77777777" w:rsidR="00397360" w:rsidRDefault="00397360" w:rsidP="004E3A70">
            <w:pPr>
              <w:tabs>
                <w:tab w:val="left" w:pos="6135"/>
              </w:tabs>
              <w:jc w:val="center"/>
              <w:rPr>
                <w:b/>
                <w:color w:val="000000"/>
                <w:sz w:val="44"/>
                <w:szCs w:val="44"/>
              </w:rPr>
            </w:pPr>
            <w:r>
              <w:rPr>
                <w:b/>
                <w:bCs/>
                <w:noProof/>
                <w:color w:val="767171"/>
                <w:lang w:eastAsia="ru-RU"/>
              </w:rPr>
              <w:br/>
            </w:r>
            <w:r w:rsidRPr="00A032F4">
              <w:rPr>
                <w:b/>
                <w:color w:val="000000"/>
                <w:sz w:val="44"/>
                <w:szCs w:val="44"/>
              </w:rPr>
              <w:t>Хронический лимфо</w:t>
            </w:r>
            <w:r>
              <w:rPr>
                <w:b/>
                <w:color w:val="000000"/>
                <w:sz w:val="44"/>
                <w:szCs w:val="44"/>
              </w:rPr>
              <w:t xml:space="preserve">цитарный </w:t>
            </w:r>
            <w:r w:rsidRPr="00A032F4">
              <w:rPr>
                <w:b/>
                <w:color w:val="000000"/>
                <w:sz w:val="44"/>
                <w:szCs w:val="44"/>
              </w:rPr>
              <w:t xml:space="preserve">лейкоз / </w:t>
            </w:r>
            <w:r w:rsidRPr="00A032F4">
              <w:rPr>
                <w:b/>
                <w:color w:val="000000"/>
                <w:sz w:val="44"/>
                <w:szCs w:val="44"/>
              </w:rPr>
              <w:br/>
              <w:t>лимфома из малых лимфоцитов</w:t>
            </w:r>
          </w:p>
          <w:p w14:paraId="7D9B31FC" w14:textId="77777777" w:rsidR="00DB46A1" w:rsidRPr="009B79B9" w:rsidRDefault="00DB46A1" w:rsidP="004E3A70">
            <w:pPr>
              <w:tabs>
                <w:tab w:val="left" w:pos="6135"/>
              </w:tabs>
              <w:jc w:val="center"/>
              <w:rPr>
                <w:b/>
                <w:bCs/>
                <w:sz w:val="28"/>
                <w:szCs w:val="28"/>
              </w:rPr>
            </w:pPr>
          </w:p>
        </w:tc>
      </w:tr>
      <w:tr w:rsidR="00E36621" w:rsidRPr="00DC5C3F" w14:paraId="283E9A7A" w14:textId="77777777" w:rsidTr="003B0273">
        <w:trPr>
          <w:trHeight w:val="815"/>
        </w:trPr>
        <w:tc>
          <w:tcPr>
            <w:tcW w:w="4531" w:type="dxa"/>
          </w:tcPr>
          <w:p w14:paraId="484D9395" w14:textId="77777777" w:rsidR="00E36621" w:rsidRPr="00DC5C3F" w:rsidRDefault="00E36621" w:rsidP="005D3BBD">
            <w:pPr>
              <w:tabs>
                <w:tab w:val="left" w:pos="6135"/>
              </w:tabs>
              <w:jc w:val="right"/>
              <w:rPr>
                <w:szCs w:val="28"/>
              </w:rPr>
            </w:pPr>
            <w:r w:rsidRPr="00DC5C3F">
              <w:rPr>
                <w:color w:val="808080"/>
                <w:szCs w:val="28"/>
              </w:rPr>
              <w:t xml:space="preserve">Кодирование по Международной статистической классификации болезней и проблем, связанных со здоровьем: </w:t>
            </w:r>
          </w:p>
          <w:p w14:paraId="632386A8" w14:textId="77777777" w:rsidR="00E36621" w:rsidRPr="00DC5C3F" w:rsidRDefault="00E36621" w:rsidP="005D3BBD">
            <w:pPr>
              <w:pStyle w:val="af2"/>
              <w:spacing w:line="360" w:lineRule="auto"/>
              <w:jc w:val="right"/>
              <w:rPr>
                <w:sz w:val="24"/>
                <w:szCs w:val="28"/>
              </w:rPr>
            </w:pPr>
          </w:p>
        </w:tc>
        <w:tc>
          <w:tcPr>
            <w:tcW w:w="4994" w:type="dxa"/>
          </w:tcPr>
          <w:p w14:paraId="64F1B877" w14:textId="77777777" w:rsidR="00E36621" w:rsidRPr="00397360" w:rsidRDefault="00E36621" w:rsidP="005D3BBD">
            <w:pPr>
              <w:tabs>
                <w:tab w:val="left" w:pos="6135"/>
              </w:tabs>
              <w:jc w:val="left"/>
              <w:rPr>
                <w:bCs/>
                <w:szCs w:val="24"/>
              </w:rPr>
            </w:pPr>
            <w:r w:rsidRPr="00397360">
              <w:rPr>
                <w:rStyle w:val="pop-slug-vol"/>
                <w:bCs/>
                <w:szCs w:val="24"/>
              </w:rPr>
              <w:t>C91.1</w:t>
            </w:r>
          </w:p>
        </w:tc>
      </w:tr>
      <w:tr w:rsidR="00E36621" w:rsidRPr="00DC5C3F" w14:paraId="7AF71377" w14:textId="77777777" w:rsidTr="003B0273">
        <w:trPr>
          <w:trHeight w:val="583"/>
        </w:trPr>
        <w:tc>
          <w:tcPr>
            <w:tcW w:w="4531" w:type="dxa"/>
          </w:tcPr>
          <w:p w14:paraId="04B90DB8" w14:textId="77777777" w:rsidR="00E36621" w:rsidRPr="00DC5C3F" w:rsidRDefault="00E36621" w:rsidP="005D3BBD">
            <w:pPr>
              <w:tabs>
                <w:tab w:val="left" w:pos="6135"/>
              </w:tabs>
              <w:jc w:val="right"/>
              <w:rPr>
                <w:color w:val="808080"/>
                <w:szCs w:val="28"/>
              </w:rPr>
            </w:pPr>
            <w:r w:rsidRPr="00DC5C3F">
              <w:rPr>
                <w:rStyle w:val="pop-slug-vol"/>
                <w:color w:val="767171"/>
                <w:szCs w:val="28"/>
              </w:rPr>
              <w:t>Возрастная группа:</w:t>
            </w:r>
            <w:r w:rsidR="00DD3D1E">
              <w:rPr>
                <w:rStyle w:val="pop-slug-vol"/>
                <w:b/>
                <w:color w:val="767171"/>
                <w:szCs w:val="28"/>
              </w:rPr>
              <w:t xml:space="preserve"> </w:t>
            </w:r>
          </w:p>
        </w:tc>
        <w:tc>
          <w:tcPr>
            <w:tcW w:w="4994" w:type="dxa"/>
          </w:tcPr>
          <w:p w14:paraId="4A5005B0" w14:textId="77777777" w:rsidR="00E36621" w:rsidRPr="00397360" w:rsidRDefault="00E36621" w:rsidP="005D3BBD">
            <w:pPr>
              <w:tabs>
                <w:tab w:val="left" w:pos="6135"/>
              </w:tabs>
              <w:jc w:val="left"/>
              <w:rPr>
                <w:color w:val="808080"/>
                <w:szCs w:val="28"/>
              </w:rPr>
            </w:pPr>
            <w:r w:rsidRPr="00397360">
              <w:t>взрослые</w:t>
            </w:r>
          </w:p>
        </w:tc>
      </w:tr>
      <w:tr w:rsidR="00E36621" w:rsidRPr="00DC5C3F" w14:paraId="720B00D2" w14:textId="77777777" w:rsidTr="003B0273">
        <w:trPr>
          <w:trHeight w:val="608"/>
        </w:trPr>
        <w:tc>
          <w:tcPr>
            <w:tcW w:w="4531" w:type="dxa"/>
          </w:tcPr>
          <w:p w14:paraId="73B2B6F6" w14:textId="77777777" w:rsidR="00E36621" w:rsidRPr="00DC5C3F" w:rsidRDefault="00E36621" w:rsidP="005D3BBD">
            <w:pPr>
              <w:tabs>
                <w:tab w:val="left" w:pos="6135"/>
              </w:tabs>
              <w:jc w:val="right"/>
              <w:rPr>
                <w:color w:val="808080"/>
                <w:szCs w:val="28"/>
              </w:rPr>
            </w:pPr>
            <w:r w:rsidRPr="00DC5C3F">
              <w:rPr>
                <w:color w:val="808080"/>
              </w:rPr>
              <w:t>Год утверждения:</w:t>
            </w:r>
          </w:p>
        </w:tc>
        <w:tc>
          <w:tcPr>
            <w:tcW w:w="4994" w:type="dxa"/>
          </w:tcPr>
          <w:p w14:paraId="2A21E997" w14:textId="77777777" w:rsidR="00E36621" w:rsidRPr="00397360" w:rsidRDefault="00E36621" w:rsidP="005D3BBD">
            <w:pPr>
              <w:tabs>
                <w:tab w:val="left" w:pos="6135"/>
              </w:tabs>
              <w:jc w:val="left"/>
            </w:pPr>
          </w:p>
        </w:tc>
      </w:tr>
      <w:tr w:rsidR="00E36621" w:rsidRPr="00DC5C3F" w14:paraId="3D726ED4" w14:textId="77777777" w:rsidTr="003B0273">
        <w:trPr>
          <w:trHeight w:val="501"/>
        </w:trPr>
        <w:tc>
          <w:tcPr>
            <w:tcW w:w="9525" w:type="dxa"/>
            <w:gridSpan w:val="2"/>
          </w:tcPr>
          <w:p w14:paraId="2B2B769F" w14:textId="77777777" w:rsidR="00E36621" w:rsidRPr="00DC5C3F" w:rsidRDefault="00E36621" w:rsidP="004E3A70">
            <w:pPr>
              <w:tabs>
                <w:tab w:val="left" w:pos="6135"/>
              </w:tabs>
              <w:rPr>
                <w:color w:val="FF0000"/>
                <w:sz w:val="20"/>
                <w:szCs w:val="20"/>
              </w:rPr>
            </w:pPr>
            <w:r w:rsidRPr="00DC5C3F">
              <w:rPr>
                <w:color w:val="808080"/>
              </w:rPr>
              <w:t>Разработчик</w:t>
            </w:r>
            <w:r>
              <w:rPr>
                <w:color w:val="808080"/>
              </w:rPr>
              <w:t>и</w:t>
            </w:r>
            <w:r w:rsidRPr="00DC5C3F">
              <w:rPr>
                <w:color w:val="808080"/>
              </w:rPr>
              <w:t xml:space="preserve"> клинической рекомендации:</w:t>
            </w:r>
            <w:r w:rsidRPr="00DC5C3F">
              <w:rPr>
                <w:color w:val="FF0000"/>
                <w:sz w:val="20"/>
                <w:szCs w:val="20"/>
              </w:rPr>
              <w:t xml:space="preserve"> </w:t>
            </w:r>
          </w:p>
        </w:tc>
      </w:tr>
      <w:tr w:rsidR="00E36621" w:rsidRPr="00DC5C3F" w14:paraId="4233EE80" w14:textId="77777777" w:rsidTr="003B0273">
        <w:trPr>
          <w:trHeight w:val="4170"/>
        </w:trPr>
        <w:tc>
          <w:tcPr>
            <w:tcW w:w="9525" w:type="dxa"/>
            <w:gridSpan w:val="2"/>
          </w:tcPr>
          <w:p w14:paraId="6A129647" w14:textId="77777777" w:rsidR="00E36621" w:rsidRDefault="00E36621" w:rsidP="00D61785">
            <w:pPr>
              <w:pStyle w:val="a4"/>
              <w:numPr>
                <w:ilvl w:val="0"/>
                <w:numId w:val="17"/>
              </w:numPr>
              <w:spacing w:before="0"/>
            </w:pPr>
            <w:r w:rsidRPr="004F4212">
              <w:t>Ассоциация онкологов России</w:t>
            </w:r>
          </w:p>
          <w:p w14:paraId="661C04C5" w14:textId="77777777" w:rsidR="00E36621" w:rsidRPr="00E36621" w:rsidRDefault="00E36621" w:rsidP="00D61785">
            <w:pPr>
              <w:pStyle w:val="a4"/>
              <w:numPr>
                <w:ilvl w:val="0"/>
                <w:numId w:val="17"/>
              </w:numPr>
              <w:spacing w:before="0"/>
            </w:pPr>
            <w:r w:rsidRPr="004F4212">
              <w:t>Национальное гематологическое общество</w:t>
            </w:r>
          </w:p>
          <w:p w14:paraId="5BEFF7BF" w14:textId="77777777" w:rsidR="00E36621" w:rsidRPr="004F4212" w:rsidRDefault="00E36621" w:rsidP="00D61785">
            <w:pPr>
              <w:pStyle w:val="a4"/>
              <w:numPr>
                <w:ilvl w:val="0"/>
                <w:numId w:val="17"/>
              </w:numPr>
              <w:spacing w:before="0"/>
            </w:pPr>
            <w:r w:rsidRPr="004F4212">
              <w:t>Российское общество онкогематологов</w:t>
            </w:r>
          </w:p>
          <w:p w14:paraId="20002FBB" w14:textId="77777777" w:rsidR="00E36621" w:rsidRPr="00DC5C3F" w:rsidRDefault="00E36621" w:rsidP="00E92E00">
            <w:pPr>
              <w:pStyle w:val="ab"/>
              <w:rPr>
                <w:b/>
                <w:sz w:val="28"/>
              </w:rPr>
            </w:pPr>
          </w:p>
        </w:tc>
      </w:tr>
    </w:tbl>
    <w:p w14:paraId="5D518EF9" w14:textId="77777777" w:rsidR="00217639" w:rsidRPr="0030568B" w:rsidRDefault="00E36621" w:rsidP="005D3BBD">
      <w:pPr>
        <w:pStyle w:val="1"/>
        <w:spacing w:before="0" w:after="0"/>
        <w:rPr>
          <w:bCs/>
          <w:sz w:val="24"/>
          <w:szCs w:val="24"/>
        </w:rPr>
      </w:pPr>
      <w:r>
        <w:br w:type="page"/>
      </w:r>
      <w:bookmarkStart w:id="1" w:name="_Toc23601709"/>
      <w:bookmarkStart w:id="2" w:name="_Toc65068789"/>
      <w:r w:rsidR="00217639" w:rsidRPr="0026358C">
        <w:rPr>
          <w:bCs/>
          <w:sz w:val="24"/>
          <w:szCs w:val="24"/>
        </w:rPr>
        <w:lastRenderedPageBreak/>
        <w:t>Оглавление</w:t>
      </w:r>
      <w:bookmarkEnd w:id="1"/>
      <w:bookmarkEnd w:id="2"/>
    </w:p>
    <w:p w14:paraId="1CE6C492" w14:textId="77777777" w:rsidR="00397360" w:rsidRPr="00397360" w:rsidRDefault="00397360" w:rsidP="004E3A70">
      <w:pPr>
        <w:jc w:val="center"/>
        <w:rPr>
          <w:b/>
        </w:rPr>
      </w:pPr>
    </w:p>
    <w:p w14:paraId="59DB33E8" w14:textId="35167BBF" w:rsidR="003A51FD" w:rsidRDefault="000B0AC3">
      <w:pPr>
        <w:pStyle w:val="12"/>
        <w:tabs>
          <w:tab w:val="right" w:leader="dot" w:pos="9346"/>
        </w:tabs>
        <w:rPr>
          <w:rFonts w:asciiTheme="minorHAnsi" w:eastAsiaTheme="minorEastAsia" w:hAnsiTheme="minorHAnsi" w:cstheme="minorBidi"/>
          <w:noProof/>
          <w:szCs w:val="24"/>
          <w:lang w:eastAsia="ru-RU"/>
        </w:rPr>
      </w:pPr>
      <w:r>
        <w:rPr>
          <w:b/>
          <w:bCs/>
        </w:rPr>
        <w:fldChar w:fldCharType="begin"/>
      </w:r>
      <w:r w:rsidR="00437AD9">
        <w:rPr>
          <w:b/>
          <w:bCs/>
        </w:rPr>
        <w:instrText xml:space="preserve"> TOC \o "1-2" \h \z \u </w:instrText>
      </w:r>
      <w:r>
        <w:rPr>
          <w:b/>
          <w:bCs/>
        </w:rPr>
        <w:fldChar w:fldCharType="separate"/>
      </w:r>
      <w:hyperlink w:anchor="_Toc65068789" w:history="1">
        <w:r w:rsidR="003A51FD" w:rsidRPr="005D2A87">
          <w:rPr>
            <w:rStyle w:val="af0"/>
            <w:bCs/>
            <w:noProof/>
          </w:rPr>
          <w:t>Оглавление</w:t>
        </w:r>
        <w:r w:rsidR="003A51FD">
          <w:rPr>
            <w:noProof/>
            <w:webHidden/>
          </w:rPr>
          <w:tab/>
        </w:r>
        <w:r w:rsidR="003A51FD">
          <w:rPr>
            <w:noProof/>
            <w:webHidden/>
          </w:rPr>
          <w:fldChar w:fldCharType="begin"/>
        </w:r>
        <w:r w:rsidR="003A51FD">
          <w:rPr>
            <w:noProof/>
            <w:webHidden/>
          </w:rPr>
          <w:instrText xml:space="preserve"> PAGEREF _Toc65068789 \h </w:instrText>
        </w:r>
        <w:r w:rsidR="003A51FD">
          <w:rPr>
            <w:noProof/>
            <w:webHidden/>
          </w:rPr>
        </w:r>
        <w:r w:rsidR="003A51FD">
          <w:rPr>
            <w:noProof/>
            <w:webHidden/>
          </w:rPr>
          <w:fldChar w:fldCharType="separate"/>
        </w:r>
        <w:r w:rsidR="003A51FD">
          <w:rPr>
            <w:noProof/>
            <w:webHidden/>
          </w:rPr>
          <w:t>2</w:t>
        </w:r>
        <w:r w:rsidR="003A51FD">
          <w:rPr>
            <w:noProof/>
            <w:webHidden/>
          </w:rPr>
          <w:fldChar w:fldCharType="end"/>
        </w:r>
      </w:hyperlink>
    </w:p>
    <w:p w14:paraId="496343D7" w14:textId="58DD2FB1"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790" w:history="1">
        <w:r w:rsidR="003A51FD" w:rsidRPr="005D2A87">
          <w:rPr>
            <w:rStyle w:val="af0"/>
            <w:noProof/>
          </w:rPr>
          <w:t>Список сокращений</w:t>
        </w:r>
        <w:r w:rsidR="003A51FD">
          <w:rPr>
            <w:noProof/>
            <w:webHidden/>
          </w:rPr>
          <w:tab/>
        </w:r>
        <w:r w:rsidR="003A51FD">
          <w:rPr>
            <w:noProof/>
            <w:webHidden/>
          </w:rPr>
          <w:fldChar w:fldCharType="begin"/>
        </w:r>
        <w:r w:rsidR="003A51FD">
          <w:rPr>
            <w:noProof/>
            <w:webHidden/>
          </w:rPr>
          <w:instrText xml:space="preserve"> PAGEREF _Toc65068790 \h </w:instrText>
        </w:r>
        <w:r w:rsidR="003A51FD">
          <w:rPr>
            <w:noProof/>
            <w:webHidden/>
          </w:rPr>
        </w:r>
        <w:r w:rsidR="003A51FD">
          <w:rPr>
            <w:noProof/>
            <w:webHidden/>
          </w:rPr>
          <w:fldChar w:fldCharType="separate"/>
        </w:r>
        <w:r w:rsidR="003A51FD">
          <w:rPr>
            <w:noProof/>
            <w:webHidden/>
          </w:rPr>
          <w:t>5</w:t>
        </w:r>
        <w:r w:rsidR="003A51FD">
          <w:rPr>
            <w:noProof/>
            <w:webHidden/>
          </w:rPr>
          <w:fldChar w:fldCharType="end"/>
        </w:r>
      </w:hyperlink>
    </w:p>
    <w:p w14:paraId="002E72EA" w14:textId="5B13613A"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791" w:history="1">
        <w:r w:rsidR="003A51FD" w:rsidRPr="005D2A87">
          <w:rPr>
            <w:rStyle w:val="af0"/>
            <w:rFonts w:ascii="Times New Roman CYR" w:hAnsi="Times New Roman CYR" w:cs="Times New Roman CYR"/>
            <w:noProof/>
          </w:rPr>
          <w:t>Термины и определения</w:t>
        </w:r>
        <w:r w:rsidR="003A51FD">
          <w:rPr>
            <w:noProof/>
            <w:webHidden/>
          </w:rPr>
          <w:tab/>
        </w:r>
        <w:r w:rsidR="003A51FD">
          <w:rPr>
            <w:noProof/>
            <w:webHidden/>
          </w:rPr>
          <w:fldChar w:fldCharType="begin"/>
        </w:r>
        <w:r w:rsidR="003A51FD">
          <w:rPr>
            <w:noProof/>
            <w:webHidden/>
          </w:rPr>
          <w:instrText xml:space="preserve"> PAGEREF _Toc65068791 \h </w:instrText>
        </w:r>
        <w:r w:rsidR="003A51FD">
          <w:rPr>
            <w:noProof/>
            <w:webHidden/>
          </w:rPr>
        </w:r>
        <w:r w:rsidR="003A51FD">
          <w:rPr>
            <w:noProof/>
            <w:webHidden/>
          </w:rPr>
          <w:fldChar w:fldCharType="separate"/>
        </w:r>
        <w:r w:rsidR="003A51FD">
          <w:rPr>
            <w:noProof/>
            <w:webHidden/>
          </w:rPr>
          <w:t>8</w:t>
        </w:r>
        <w:r w:rsidR="003A51FD">
          <w:rPr>
            <w:noProof/>
            <w:webHidden/>
          </w:rPr>
          <w:fldChar w:fldCharType="end"/>
        </w:r>
      </w:hyperlink>
    </w:p>
    <w:p w14:paraId="10FB2C64" w14:textId="6F07E174"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792" w:history="1">
        <w:r w:rsidR="003A51FD" w:rsidRPr="005D2A87">
          <w:rPr>
            <w:rStyle w:val="af0"/>
            <w:noProof/>
          </w:rPr>
          <w:t>1. Краткая информация по заболеванию или состоянию  (группе заболеваний или состояний)</w:t>
        </w:r>
        <w:r w:rsidR="003A51FD">
          <w:rPr>
            <w:noProof/>
            <w:webHidden/>
          </w:rPr>
          <w:tab/>
        </w:r>
        <w:r w:rsidR="003A51FD">
          <w:rPr>
            <w:noProof/>
            <w:webHidden/>
          </w:rPr>
          <w:fldChar w:fldCharType="begin"/>
        </w:r>
        <w:r w:rsidR="003A51FD">
          <w:rPr>
            <w:noProof/>
            <w:webHidden/>
          </w:rPr>
          <w:instrText xml:space="preserve"> PAGEREF _Toc65068792 \h </w:instrText>
        </w:r>
        <w:r w:rsidR="003A51FD">
          <w:rPr>
            <w:noProof/>
            <w:webHidden/>
          </w:rPr>
        </w:r>
        <w:r w:rsidR="003A51FD">
          <w:rPr>
            <w:noProof/>
            <w:webHidden/>
          </w:rPr>
          <w:fldChar w:fldCharType="separate"/>
        </w:r>
        <w:r w:rsidR="003A51FD">
          <w:rPr>
            <w:noProof/>
            <w:webHidden/>
          </w:rPr>
          <w:t>9</w:t>
        </w:r>
        <w:r w:rsidR="003A51FD">
          <w:rPr>
            <w:noProof/>
            <w:webHidden/>
          </w:rPr>
          <w:fldChar w:fldCharType="end"/>
        </w:r>
      </w:hyperlink>
    </w:p>
    <w:p w14:paraId="0EE2A058" w14:textId="2F1394C8"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793" w:history="1">
        <w:r w:rsidR="003A51FD" w:rsidRPr="005D2A87">
          <w:rPr>
            <w:rStyle w:val="af0"/>
            <w:noProof/>
          </w:rPr>
          <w:t>1.1. Определение заболевания или состояния (группы заболеваний или состояний)</w:t>
        </w:r>
        <w:r w:rsidR="003A51FD">
          <w:rPr>
            <w:noProof/>
            <w:webHidden/>
          </w:rPr>
          <w:tab/>
        </w:r>
        <w:r w:rsidR="003A51FD">
          <w:rPr>
            <w:noProof/>
            <w:webHidden/>
          </w:rPr>
          <w:fldChar w:fldCharType="begin"/>
        </w:r>
        <w:r w:rsidR="003A51FD">
          <w:rPr>
            <w:noProof/>
            <w:webHidden/>
          </w:rPr>
          <w:instrText xml:space="preserve"> PAGEREF _Toc65068793 \h </w:instrText>
        </w:r>
        <w:r w:rsidR="003A51FD">
          <w:rPr>
            <w:noProof/>
            <w:webHidden/>
          </w:rPr>
        </w:r>
        <w:r w:rsidR="003A51FD">
          <w:rPr>
            <w:noProof/>
            <w:webHidden/>
          </w:rPr>
          <w:fldChar w:fldCharType="separate"/>
        </w:r>
        <w:r w:rsidR="003A51FD">
          <w:rPr>
            <w:noProof/>
            <w:webHidden/>
          </w:rPr>
          <w:t>9</w:t>
        </w:r>
        <w:r w:rsidR="003A51FD">
          <w:rPr>
            <w:noProof/>
            <w:webHidden/>
          </w:rPr>
          <w:fldChar w:fldCharType="end"/>
        </w:r>
      </w:hyperlink>
    </w:p>
    <w:p w14:paraId="272E11AA" w14:textId="458EDAB4"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794" w:history="1">
        <w:r w:rsidR="003A51FD" w:rsidRPr="005D2A87">
          <w:rPr>
            <w:rStyle w:val="af0"/>
            <w:noProof/>
          </w:rPr>
          <w:t>1.2. Этиология и патогенез заболевания или состояния (группы заболеваний или состояний)</w:t>
        </w:r>
        <w:r w:rsidR="003A51FD">
          <w:rPr>
            <w:noProof/>
            <w:webHidden/>
          </w:rPr>
          <w:tab/>
        </w:r>
        <w:r w:rsidR="003A51FD">
          <w:rPr>
            <w:noProof/>
            <w:webHidden/>
          </w:rPr>
          <w:fldChar w:fldCharType="begin"/>
        </w:r>
        <w:r w:rsidR="003A51FD">
          <w:rPr>
            <w:noProof/>
            <w:webHidden/>
          </w:rPr>
          <w:instrText xml:space="preserve"> PAGEREF _Toc65068794 \h </w:instrText>
        </w:r>
        <w:r w:rsidR="003A51FD">
          <w:rPr>
            <w:noProof/>
            <w:webHidden/>
          </w:rPr>
        </w:r>
        <w:r w:rsidR="003A51FD">
          <w:rPr>
            <w:noProof/>
            <w:webHidden/>
          </w:rPr>
          <w:fldChar w:fldCharType="separate"/>
        </w:r>
        <w:r w:rsidR="003A51FD">
          <w:rPr>
            <w:noProof/>
            <w:webHidden/>
          </w:rPr>
          <w:t>9</w:t>
        </w:r>
        <w:r w:rsidR="003A51FD">
          <w:rPr>
            <w:noProof/>
            <w:webHidden/>
          </w:rPr>
          <w:fldChar w:fldCharType="end"/>
        </w:r>
      </w:hyperlink>
    </w:p>
    <w:p w14:paraId="2D686D8C" w14:textId="2247F422"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795" w:history="1">
        <w:r w:rsidR="003A51FD" w:rsidRPr="005D2A87">
          <w:rPr>
            <w:rStyle w:val="af0"/>
            <w:noProof/>
          </w:rPr>
          <w:t>1.3. Эпидемиология заболевания или состояния (группы заболеваний или состояний)</w:t>
        </w:r>
        <w:r w:rsidR="003A51FD">
          <w:rPr>
            <w:noProof/>
            <w:webHidden/>
          </w:rPr>
          <w:tab/>
        </w:r>
        <w:r w:rsidR="003A51FD">
          <w:rPr>
            <w:noProof/>
            <w:webHidden/>
          </w:rPr>
          <w:fldChar w:fldCharType="begin"/>
        </w:r>
        <w:r w:rsidR="003A51FD">
          <w:rPr>
            <w:noProof/>
            <w:webHidden/>
          </w:rPr>
          <w:instrText xml:space="preserve"> PAGEREF _Toc65068795 \h </w:instrText>
        </w:r>
        <w:r w:rsidR="003A51FD">
          <w:rPr>
            <w:noProof/>
            <w:webHidden/>
          </w:rPr>
        </w:r>
        <w:r w:rsidR="003A51FD">
          <w:rPr>
            <w:noProof/>
            <w:webHidden/>
          </w:rPr>
          <w:fldChar w:fldCharType="separate"/>
        </w:r>
        <w:r w:rsidR="003A51FD">
          <w:rPr>
            <w:noProof/>
            <w:webHidden/>
          </w:rPr>
          <w:t>10</w:t>
        </w:r>
        <w:r w:rsidR="003A51FD">
          <w:rPr>
            <w:noProof/>
            <w:webHidden/>
          </w:rPr>
          <w:fldChar w:fldCharType="end"/>
        </w:r>
      </w:hyperlink>
    </w:p>
    <w:p w14:paraId="1A3F6828" w14:textId="3320AE70"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796" w:history="1">
        <w:r w:rsidR="003A51FD" w:rsidRPr="005D2A87">
          <w:rPr>
            <w:rStyle w:val="af0"/>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3A51FD">
          <w:rPr>
            <w:noProof/>
            <w:webHidden/>
          </w:rPr>
          <w:tab/>
        </w:r>
        <w:r w:rsidR="003A51FD">
          <w:rPr>
            <w:noProof/>
            <w:webHidden/>
          </w:rPr>
          <w:fldChar w:fldCharType="begin"/>
        </w:r>
        <w:r w:rsidR="003A51FD">
          <w:rPr>
            <w:noProof/>
            <w:webHidden/>
          </w:rPr>
          <w:instrText xml:space="preserve"> PAGEREF _Toc65068796 \h </w:instrText>
        </w:r>
        <w:r w:rsidR="003A51FD">
          <w:rPr>
            <w:noProof/>
            <w:webHidden/>
          </w:rPr>
        </w:r>
        <w:r w:rsidR="003A51FD">
          <w:rPr>
            <w:noProof/>
            <w:webHidden/>
          </w:rPr>
          <w:fldChar w:fldCharType="separate"/>
        </w:r>
        <w:r w:rsidR="003A51FD">
          <w:rPr>
            <w:noProof/>
            <w:webHidden/>
          </w:rPr>
          <w:t>10</w:t>
        </w:r>
        <w:r w:rsidR="003A51FD">
          <w:rPr>
            <w:noProof/>
            <w:webHidden/>
          </w:rPr>
          <w:fldChar w:fldCharType="end"/>
        </w:r>
      </w:hyperlink>
    </w:p>
    <w:p w14:paraId="0D8B8746" w14:textId="2AE758FE"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797" w:history="1">
        <w:r w:rsidR="003A51FD" w:rsidRPr="005D2A87">
          <w:rPr>
            <w:rStyle w:val="af0"/>
            <w:noProof/>
          </w:rPr>
          <w:t>1.5. Классификация заболевания или состояния (группы заболеваний или состояний)</w:t>
        </w:r>
        <w:r w:rsidR="003A51FD">
          <w:rPr>
            <w:noProof/>
            <w:webHidden/>
          </w:rPr>
          <w:tab/>
        </w:r>
        <w:r w:rsidR="003A51FD">
          <w:rPr>
            <w:noProof/>
            <w:webHidden/>
          </w:rPr>
          <w:fldChar w:fldCharType="begin"/>
        </w:r>
        <w:r w:rsidR="003A51FD">
          <w:rPr>
            <w:noProof/>
            <w:webHidden/>
          </w:rPr>
          <w:instrText xml:space="preserve"> PAGEREF _Toc65068797 \h </w:instrText>
        </w:r>
        <w:r w:rsidR="003A51FD">
          <w:rPr>
            <w:noProof/>
            <w:webHidden/>
          </w:rPr>
        </w:r>
        <w:r w:rsidR="003A51FD">
          <w:rPr>
            <w:noProof/>
            <w:webHidden/>
          </w:rPr>
          <w:fldChar w:fldCharType="separate"/>
        </w:r>
        <w:r w:rsidR="003A51FD">
          <w:rPr>
            <w:noProof/>
            <w:webHidden/>
          </w:rPr>
          <w:t>10</w:t>
        </w:r>
        <w:r w:rsidR="003A51FD">
          <w:rPr>
            <w:noProof/>
            <w:webHidden/>
          </w:rPr>
          <w:fldChar w:fldCharType="end"/>
        </w:r>
      </w:hyperlink>
    </w:p>
    <w:p w14:paraId="3CD13982" w14:textId="67D56603"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798" w:history="1">
        <w:r w:rsidR="003A51FD" w:rsidRPr="005D2A87">
          <w:rPr>
            <w:rStyle w:val="af0"/>
            <w:noProof/>
          </w:rPr>
          <w:t>1.5.2. Определение групп риска</w:t>
        </w:r>
        <w:r w:rsidR="003A51FD">
          <w:rPr>
            <w:noProof/>
            <w:webHidden/>
          </w:rPr>
          <w:tab/>
        </w:r>
        <w:r w:rsidR="003A51FD">
          <w:rPr>
            <w:noProof/>
            <w:webHidden/>
          </w:rPr>
          <w:fldChar w:fldCharType="begin"/>
        </w:r>
        <w:r w:rsidR="003A51FD">
          <w:rPr>
            <w:noProof/>
            <w:webHidden/>
          </w:rPr>
          <w:instrText xml:space="preserve"> PAGEREF _Toc65068798 \h </w:instrText>
        </w:r>
        <w:r w:rsidR="003A51FD">
          <w:rPr>
            <w:noProof/>
            <w:webHidden/>
          </w:rPr>
        </w:r>
        <w:r w:rsidR="003A51FD">
          <w:rPr>
            <w:noProof/>
            <w:webHidden/>
          </w:rPr>
          <w:fldChar w:fldCharType="separate"/>
        </w:r>
        <w:r w:rsidR="003A51FD">
          <w:rPr>
            <w:noProof/>
            <w:webHidden/>
          </w:rPr>
          <w:t>11</w:t>
        </w:r>
        <w:r w:rsidR="003A51FD">
          <w:rPr>
            <w:noProof/>
            <w:webHidden/>
          </w:rPr>
          <w:fldChar w:fldCharType="end"/>
        </w:r>
      </w:hyperlink>
    </w:p>
    <w:p w14:paraId="41980917" w14:textId="1205349B"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799" w:history="1">
        <w:r w:rsidR="003A51FD" w:rsidRPr="005D2A87">
          <w:rPr>
            <w:rStyle w:val="af0"/>
            <w:noProof/>
          </w:rPr>
          <w:t>1.6. Клиническая картина заболевания или состояния (группы заболеваний или состояний)</w:t>
        </w:r>
        <w:r w:rsidR="003A51FD">
          <w:rPr>
            <w:noProof/>
            <w:webHidden/>
          </w:rPr>
          <w:tab/>
        </w:r>
        <w:r w:rsidR="003A51FD">
          <w:rPr>
            <w:noProof/>
            <w:webHidden/>
          </w:rPr>
          <w:fldChar w:fldCharType="begin"/>
        </w:r>
        <w:r w:rsidR="003A51FD">
          <w:rPr>
            <w:noProof/>
            <w:webHidden/>
          </w:rPr>
          <w:instrText xml:space="preserve"> PAGEREF _Toc65068799 \h </w:instrText>
        </w:r>
        <w:r w:rsidR="003A51FD">
          <w:rPr>
            <w:noProof/>
            <w:webHidden/>
          </w:rPr>
        </w:r>
        <w:r w:rsidR="003A51FD">
          <w:rPr>
            <w:noProof/>
            <w:webHidden/>
          </w:rPr>
          <w:fldChar w:fldCharType="separate"/>
        </w:r>
        <w:r w:rsidR="003A51FD">
          <w:rPr>
            <w:noProof/>
            <w:webHidden/>
          </w:rPr>
          <w:t>12</w:t>
        </w:r>
        <w:r w:rsidR="003A51FD">
          <w:rPr>
            <w:noProof/>
            <w:webHidden/>
          </w:rPr>
          <w:fldChar w:fldCharType="end"/>
        </w:r>
      </w:hyperlink>
    </w:p>
    <w:p w14:paraId="00A1A188" w14:textId="6DF5B0C2"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00" w:history="1">
        <w:r w:rsidR="003A51FD" w:rsidRPr="005D2A87">
          <w:rPr>
            <w:rStyle w:val="af0"/>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3A51FD">
          <w:rPr>
            <w:noProof/>
            <w:webHidden/>
          </w:rPr>
          <w:tab/>
        </w:r>
        <w:r w:rsidR="003A51FD">
          <w:rPr>
            <w:noProof/>
            <w:webHidden/>
          </w:rPr>
          <w:fldChar w:fldCharType="begin"/>
        </w:r>
        <w:r w:rsidR="003A51FD">
          <w:rPr>
            <w:noProof/>
            <w:webHidden/>
          </w:rPr>
          <w:instrText xml:space="preserve"> PAGEREF _Toc65068800 \h </w:instrText>
        </w:r>
        <w:r w:rsidR="003A51FD">
          <w:rPr>
            <w:noProof/>
            <w:webHidden/>
          </w:rPr>
        </w:r>
        <w:r w:rsidR="003A51FD">
          <w:rPr>
            <w:noProof/>
            <w:webHidden/>
          </w:rPr>
          <w:fldChar w:fldCharType="separate"/>
        </w:r>
        <w:r w:rsidR="003A51FD">
          <w:rPr>
            <w:noProof/>
            <w:webHidden/>
          </w:rPr>
          <w:t>12</w:t>
        </w:r>
        <w:r w:rsidR="003A51FD">
          <w:rPr>
            <w:noProof/>
            <w:webHidden/>
          </w:rPr>
          <w:fldChar w:fldCharType="end"/>
        </w:r>
      </w:hyperlink>
    </w:p>
    <w:p w14:paraId="53BEA0A4" w14:textId="6A9E1665"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01" w:history="1">
        <w:r w:rsidR="003A51FD" w:rsidRPr="005D2A87">
          <w:rPr>
            <w:rStyle w:val="af0"/>
            <w:noProof/>
          </w:rPr>
          <w:t>2.1. Жалобы и анамнез</w:t>
        </w:r>
        <w:r w:rsidR="003A51FD">
          <w:rPr>
            <w:noProof/>
            <w:webHidden/>
          </w:rPr>
          <w:tab/>
        </w:r>
        <w:r w:rsidR="003A51FD">
          <w:rPr>
            <w:noProof/>
            <w:webHidden/>
          </w:rPr>
          <w:fldChar w:fldCharType="begin"/>
        </w:r>
        <w:r w:rsidR="003A51FD">
          <w:rPr>
            <w:noProof/>
            <w:webHidden/>
          </w:rPr>
          <w:instrText xml:space="preserve"> PAGEREF _Toc65068801 \h </w:instrText>
        </w:r>
        <w:r w:rsidR="003A51FD">
          <w:rPr>
            <w:noProof/>
            <w:webHidden/>
          </w:rPr>
        </w:r>
        <w:r w:rsidR="003A51FD">
          <w:rPr>
            <w:noProof/>
            <w:webHidden/>
          </w:rPr>
          <w:fldChar w:fldCharType="separate"/>
        </w:r>
        <w:r w:rsidR="003A51FD">
          <w:rPr>
            <w:noProof/>
            <w:webHidden/>
          </w:rPr>
          <w:t>13</w:t>
        </w:r>
        <w:r w:rsidR="003A51FD">
          <w:rPr>
            <w:noProof/>
            <w:webHidden/>
          </w:rPr>
          <w:fldChar w:fldCharType="end"/>
        </w:r>
      </w:hyperlink>
    </w:p>
    <w:p w14:paraId="5325A34C" w14:textId="332003AE"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02" w:history="1">
        <w:r w:rsidR="003A51FD" w:rsidRPr="005D2A87">
          <w:rPr>
            <w:rStyle w:val="af0"/>
            <w:noProof/>
          </w:rPr>
          <w:t>2.2. Физикальное обследование</w:t>
        </w:r>
        <w:r w:rsidR="003A51FD">
          <w:rPr>
            <w:noProof/>
            <w:webHidden/>
          </w:rPr>
          <w:tab/>
        </w:r>
        <w:r w:rsidR="003A51FD">
          <w:rPr>
            <w:noProof/>
            <w:webHidden/>
          </w:rPr>
          <w:fldChar w:fldCharType="begin"/>
        </w:r>
        <w:r w:rsidR="003A51FD">
          <w:rPr>
            <w:noProof/>
            <w:webHidden/>
          </w:rPr>
          <w:instrText xml:space="preserve"> PAGEREF _Toc65068802 \h </w:instrText>
        </w:r>
        <w:r w:rsidR="003A51FD">
          <w:rPr>
            <w:noProof/>
            <w:webHidden/>
          </w:rPr>
        </w:r>
        <w:r w:rsidR="003A51FD">
          <w:rPr>
            <w:noProof/>
            <w:webHidden/>
          </w:rPr>
          <w:fldChar w:fldCharType="separate"/>
        </w:r>
        <w:r w:rsidR="003A51FD">
          <w:rPr>
            <w:noProof/>
            <w:webHidden/>
          </w:rPr>
          <w:t>13</w:t>
        </w:r>
        <w:r w:rsidR="003A51FD">
          <w:rPr>
            <w:noProof/>
            <w:webHidden/>
          </w:rPr>
          <w:fldChar w:fldCharType="end"/>
        </w:r>
      </w:hyperlink>
    </w:p>
    <w:p w14:paraId="65F6793E" w14:textId="71674103"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03" w:history="1">
        <w:r w:rsidR="003A51FD" w:rsidRPr="005D2A87">
          <w:rPr>
            <w:rStyle w:val="af0"/>
            <w:noProof/>
          </w:rPr>
          <w:t>2.3. Лабораторные диагностические исследования</w:t>
        </w:r>
        <w:r w:rsidR="003A51FD">
          <w:rPr>
            <w:noProof/>
            <w:webHidden/>
          </w:rPr>
          <w:tab/>
        </w:r>
        <w:r w:rsidR="003A51FD">
          <w:rPr>
            <w:noProof/>
            <w:webHidden/>
          </w:rPr>
          <w:fldChar w:fldCharType="begin"/>
        </w:r>
        <w:r w:rsidR="003A51FD">
          <w:rPr>
            <w:noProof/>
            <w:webHidden/>
          </w:rPr>
          <w:instrText xml:space="preserve"> PAGEREF _Toc65068803 \h </w:instrText>
        </w:r>
        <w:r w:rsidR="003A51FD">
          <w:rPr>
            <w:noProof/>
            <w:webHidden/>
          </w:rPr>
        </w:r>
        <w:r w:rsidR="003A51FD">
          <w:rPr>
            <w:noProof/>
            <w:webHidden/>
          </w:rPr>
          <w:fldChar w:fldCharType="separate"/>
        </w:r>
        <w:r w:rsidR="003A51FD">
          <w:rPr>
            <w:noProof/>
            <w:webHidden/>
          </w:rPr>
          <w:t>14</w:t>
        </w:r>
        <w:r w:rsidR="003A51FD">
          <w:rPr>
            <w:noProof/>
            <w:webHidden/>
          </w:rPr>
          <w:fldChar w:fldCharType="end"/>
        </w:r>
      </w:hyperlink>
    </w:p>
    <w:p w14:paraId="3B96292C" w14:textId="2861BC0D"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04" w:history="1">
        <w:r w:rsidR="003A51FD" w:rsidRPr="005D2A87">
          <w:rPr>
            <w:rStyle w:val="af0"/>
            <w:noProof/>
          </w:rPr>
          <w:t>2.4. Инструментальные диагностические исследования</w:t>
        </w:r>
        <w:r w:rsidR="003A51FD">
          <w:rPr>
            <w:noProof/>
            <w:webHidden/>
          </w:rPr>
          <w:tab/>
        </w:r>
        <w:r w:rsidR="003A51FD">
          <w:rPr>
            <w:noProof/>
            <w:webHidden/>
          </w:rPr>
          <w:fldChar w:fldCharType="begin"/>
        </w:r>
        <w:r w:rsidR="003A51FD">
          <w:rPr>
            <w:noProof/>
            <w:webHidden/>
          </w:rPr>
          <w:instrText xml:space="preserve"> PAGEREF _Toc65068804 \h </w:instrText>
        </w:r>
        <w:r w:rsidR="003A51FD">
          <w:rPr>
            <w:noProof/>
            <w:webHidden/>
          </w:rPr>
        </w:r>
        <w:r w:rsidR="003A51FD">
          <w:rPr>
            <w:noProof/>
            <w:webHidden/>
          </w:rPr>
          <w:fldChar w:fldCharType="separate"/>
        </w:r>
        <w:r w:rsidR="003A51FD">
          <w:rPr>
            <w:noProof/>
            <w:webHidden/>
          </w:rPr>
          <w:t>21</w:t>
        </w:r>
        <w:r w:rsidR="003A51FD">
          <w:rPr>
            <w:noProof/>
            <w:webHidden/>
          </w:rPr>
          <w:fldChar w:fldCharType="end"/>
        </w:r>
      </w:hyperlink>
    </w:p>
    <w:p w14:paraId="0AB65B2C" w14:textId="15A35380"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05" w:history="1">
        <w:r w:rsidR="003A51FD" w:rsidRPr="005D2A87">
          <w:rPr>
            <w:rStyle w:val="af0"/>
            <w:noProof/>
          </w:rPr>
          <w:t>2.5. Иные диагностические исследования</w:t>
        </w:r>
        <w:r w:rsidR="003A51FD">
          <w:rPr>
            <w:noProof/>
            <w:webHidden/>
          </w:rPr>
          <w:tab/>
        </w:r>
        <w:r w:rsidR="003A51FD">
          <w:rPr>
            <w:noProof/>
            <w:webHidden/>
          </w:rPr>
          <w:fldChar w:fldCharType="begin"/>
        </w:r>
        <w:r w:rsidR="003A51FD">
          <w:rPr>
            <w:noProof/>
            <w:webHidden/>
          </w:rPr>
          <w:instrText xml:space="preserve"> PAGEREF _Toc65068805 \h </w:instrText>
        </w:r>
        <w:r w:rsidR="003A51FD">
          <w:rPr>
            <w:noProof/>
            <w:webHidden/>
          </w:rPr>
        </w:r>
        <w:r w:rsidR="003A51FD">
          <w:rPr>
            <w:noProof/>
            <w:webHidden/>
          </w:rPr>
          <w:fldChar w:fldCharType="separate"/>
        </w:r>
        <w:r w:rsidR="003A51FD">
          <w:rPr>
            <w:noProof/>
            <w:webHidden/>
          </w:rPr>
          <w:t>23</w:t>
        </w:r>
        <w:r w:rsidR="003A51FD">
          <w:rPr>
            <w:noProof/>
            <w:webHidden/>
          </w:rPr>
          <w:fldChar w:fldCharType="end"/>
        </w:r>
      </w:hyperlink>
    </w:p>
    <w:p w14:paraId="10D466D4" w14:textId="1DA18313"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06" w:history="1">
        <w:r w:rsidR="003A51FD" w:rsidRPr="005D2A87">
          <w:rPr>
            <w:rStyle w:val="af0"/>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3A51FD">
          <w:rPr>
            <w:noProof/>
            <w:webHidden/>
          </w:rPr>
          <w:tab/>
        </w:r>
        <w:r w:rsidR="003A51FD">
          <w:rPr>
            <w:noProof/>
            <w:webHidden/>
          </w:rPr>
          <w:fldChar w:fldCharType="begin"/>
        </w:r>
        <w:r w:rsidR="003A51FD">
          <w:rPr>
            <w:noProof/>
            <w:webHidden/>
          </w:rPr>
          <w:instrText xml:space="preserve"> PAGEREF _Toc65068806 \h </w:instrText>
        </w:r>
        <w:r w:rsidR="003A51FD">
          <w:rPr>
            <w:noProof/>
            <w:webHidden/>
          </w:rPr>
        </w:r>
        <w:r w:rsidR="003A51FD">
          <w:rPr>
            <w:noProof/>
            <w:webHidden/>
          </w:rPr>
          <w:fldChar w:fldCharType="separate"/>
        </w:r>
        <w:r w:rsidR="003A51FD">
          <w:rPr>
            <w:noProof/>
            <w:webHidden/>
          </w:rPr>
          <w:t>24</w:t>
        </w:r>
        <w:r w:rsidR="003A51FD">
          <w:rPr>
            <w:noProof/>
            <w:webHidden/>
          </w:rPr>
          <w:fldChar w:fldCharType="end"/>
        </w:r>
      </w:hyperlink>
    </w:p>
    <w:p w14:paraId="3F797D33" w14:textId="3D262FAA"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07" w:history="1">
        <w:r w:rsidR="003A51FD" w:rsidRPr="005D2A87">
          <w:rPr>
            <w:rStyle w:val="af0"/>
            <w:noProof/>
          </w:rPr>
          <w:t>3.1. Показания к началу терапии В-клеточного ХЛЛ</w:t>
        </w:r>
        <w:r w:rsidR="003A51FD">
          <w:rPr>
            <w:noProof/>
            <w:webHidden/>
          </w:rPr>
          <w:tab/>
        </w:r>
        <w:r w:rsidR="003A51FD">
          <w:rPr>
            <w:noProof/>
            <w:webHidden/>
          </w:rPr>
          <w:fldChar w:fldCharType="begin"/>
        </w:r>
        <w:r w:rsidR="003A51FD">
          <w:rPr>
            <w:noProof/>
            <w:webHidden/>
          </w:rPr>
          <w:instrText xml:space="preserve"> PAGEREF _Toc65068807 \h </w:instrText>
        </w:r>
        <w:r w:rsidR="003A51FD">
          <w:rPr>
            <w:noProof/>
            <w:webHidden/>
          </w:rPr>
        </w:r>
        <w:r w:rsidR="003A51FD">
          <w:rPr>
            <w:noProof/>
            <w:webHidden/>
          </w:rPr>
          <w:fldChar w:fldCharType="separate"/>
        </w:r>
        <w:r w:rsidR="003A51FD">
          <w:rPr>
            <w:noProof/>
            <w:webHidden/>
          </w:rPr>
          <w:t>24</w:t>
        </w:r>
        <w:r w:rsidR="003A51FD">
          <w:rPr>
            <w:noProof/>
            <w:webHidden/>
          </w:rPr>
          <w:fldChar w:fldCharType="end"/>
        </w:r>
      </w:hyperlink>
    </w:p>
    <w:p w14:paraId="32C4F17C" w14:textId="31EC9D8C"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08" w:history="1">
        <w:r w:rsidR="003A51FD" w:rsidRPr="005D2A87">
          <w:rPr>
            <w:rStyle w:val="af0"/>
            <w:noProof/>
          </w:rPr>
          <w:t>3.2. Первая линия лечения ХЛЛ</w:t>
        </w:r>
        <w:r w:rsidR="003A51FD">
          <w:rPr>
            <w:noProof/>
            <w:webHidden/>
          </w:rPr>
          <w:tab/>
        </w:r>
        <w:r w:rsidR="003A51FD">
          <w:rPr>
            <w:noProof/>
            <w:webHidden/>
          </w:rPr>
          <w:fldChar w:fldCharType="begin"/>
        </w:r>
        <w:r w:rsidR="003A51FD">
          <w:rPr>
            <w:noProof/>
            <w:webHidden/>
          </w:rPr>
          <w:instrText xml:space="preserve"> PAGEREF _Toc65068808 \h </w:instrText>
        </w:r>
        <w:r w:rsidR="003A51FD">
          <w:rPr>
            <w:noProof/>
            <w:webHidden/>
          </w:rPr>
        </w:r>
        <w:r w:rsidR="003A51FD">
          <w:rPr>
            <w:noProof/>
            <w:webHidden/>
          </w:rPr>
          <w:fldChar w:fldCharType="separate"/>
        </w:r>
        <w:r w:rsidR="003A51FD">
          <w:rPr>
            <w:noProof/>
            <w:webHidden/>
          </w:rPr>
          <w:t>24</w:t>
        </w:r>
        <w:r w:rsidR="003A51FD">
          <w:rPr>
            <w:noProof/>
            <w:webHidden/>
          </w:rPr>
          <w:fldChar w:fldCharType="end"/>
        </w:r>
      </w:hyperlink>
    </w:p>
    <w:p w14:paraId="4870E15C" w14:textId="58B80E7D"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09" w:history="1">
        <w:r w:rsidR="003A51FD" w:rsidRPr="005D2A87">
          <w:rPr>
            <w:rStyle w:val="af0"/>
            <w:noProof/>
          </w:rPr>
          <w:t>3.3. Выбор терапии ХЛЛ 2-й и последующих линий</w:t>
        </w:r>
        <w:r w:rsidR="003A51FD">
          <w:rPr>
            <w:noProof/>
            <w:webHidden/>
          </w:rPr>
          <w:tab/>
        </w:r>
        <w:r w:rsidR="003A51FD">
          <w:rPr>
            <w:noProof/>
            <w:webHidden/>
          </w:rPr>
          <w:fldChar w:fldCharType="begin"/>
        </w:r>
        <w:r w:rsidR="003A51FD">
          <w:rPr>
            <w:noProof/>
            <w:webHidden/>
          </w:rPr>
          <w:instrText xml:space="preserve"> PAGEREF _Toc65068809 \h </w:instrText>
        </w:r>
        <w:r w:rsidR="003A51FD">
          <w:rPr>
            <w:noProof/>
            <w:webHidden/>
          </w:rPr>
        </w:r>
        <w:r w:rsidR="003A51FD">
          <w:rPr>
            <w:noProof/>
            <w:webHidden/>
          </w:rPr>
          <w:fldChar w:fldCharType="separate"/>
        </w:r>
        <w:r w:rsidR="003A51FD">
          <w:rPr>
            <w:noProof/>
            <w:webHidden/>
          </w:rPr>
          <w:t>33</w:t>
        </w:r>
        <w:r w:rsidR="003A51FD">
          <w:rPr>
            <w:noProof/>
            <w:webHidden/>
          </w:rPr>
          <w:fldChar w:fldCharType="end"/>
        </w:r>
      </w:hyperlink>
    </w:p>
    <w:p w14:paraId="2D8272EB" w14:textId="325BDA5B"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10" w:history="1">
        <w:r w:rsidR="003A51FD" w:rsidRPr="005D2A87">
          <w:rPr>
            <w:rStyle w:val="af0"/>
            <w:noProof/>
          </w:rPr>
          <w:t>3.4. Сопутствующая и сопроводительная терапия</w:t>
        </w:r>
        <w:r w:rsidR="003A51FD">
          <w:rPr>
            <w:noProof/>
            <w:webHidden/>
          </w:rPr>
          <w:tab/>
        </w:r>
        <w:r w:rsidR="003A51FD">
          <w:rPr>
            <w:noProof/>
            <w:webHidden/>
          </w:rPr>
          <w:fldChar w:fldCharType="begin"/>
        </w:r>
        <w:r w:rsidR="003A51FD">
          <w:rPr>
            <w:noProof/>
            <w:webHidden/>
          </w:rPr>
          <w:instrText xml:space="preserve"> PAGEREF _Toc65068810 \h </w:instrText>
        </w:r>
        <w:r w:rsidR="003A51FD">
          <w:rPr>
            <w:noProof/>
            <w:webHidden/>
          </w:rPr>
        </w:r>
        <w:r w:rsidR="003A51FD">
          <w:rPr>
            <w:noProof/>
            <w:webHidden/>
          </w:rPr>
          <w:fldChar w:fldCharType="separate"/>
        </w:r>
        <w:r w:rsidR="003A51FD">
          <w:rPr>
            <w:noProof/>
            <w:webHidden/>
          </w:rPr>
          <w:t>37</w:t>
        </w:r>
        <w:r w:rsidR="003A51FD">
          <w:rPr>
            <w:noProof/>
            <w:webHidden/>
          </w:rPr>
          <w:fldChar w:fldCharType="end"/>
        </w:r>
      </w:hyperlink>
    </w:p>
    <w:p w14:paraId="007F7BD0" w14:textId="3CE3F7B9"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11" w:history="1">
        <w:r w:rsidR="003A51FD" w:rsidRPr="005D2A87">
          <w:rPr>
            <w:rStyle w:val="af0"/>
            <w:noProof/>
          </w:rPr>
          <w:t>3.5. Оценка ответа на лечение</w:t>
        </w:r>
        <w:r w:rsidR="003A51FD">
          <w:rPr>
            <w:noProof/>
            <w:webHidden/>
          </w:rPr>
          <w:tab/>
        </w:r>
        <w:r w:rsidR="003A51FD">
          <w:rPr>
            <w:noProof/>
            <w:webHidden/>
          </w:rPr>
          <w:fldChar w:fldCharType="begin"/>
        </w:r>
        <w:r w:rsidR="003A51FD">
          <w:rPr>
            <w:noProof/>
            <w:webHidden/>
          </w:rPr>
          <w:instrText xml:space="preserve"> PAGEREF _Toc65068811 \h </w:instrText>
        </w:r>
        <w:r w:rsidR="003A51FD">
          <w:rPr>
            <w:noProof/>
            <w:webHidden/>
          </w:rPr>
        </w:r>
        <w:r w:rsidR="003A51FD">
          <w:rPr>
            <w:noProof/>
            <w:webHidden/>
          </w:rPr>
          <w:fldChar w:fldCharType="separate"/>
        </w:r>
        <w:r w:rsidR="003A51FD">
          <w:rPr>
            <w:noProof/>
            <w:webHidden/>
          </w:rPr>
          <w:t>39</w:t>
        </w:r>
        <w:r w:rsidR="003A51FD">
          <w:rPr>
            <w:noProof/>
            <w:webHidden/>
          </w:rPr>
          <w:fldChar w:fldCharType="end"/>
        </w:r>
      </w:hyperlink>
    </w:p>
    <w:p w14:paraId="35BD9741" w14:textId="3B2A84FF"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12" w:history="1">
        <w:r w:rsidR="003A51FD" w:rsidRPr="005D2A87">
          <w:rPr>
            <w:rStyle w:val="af0"/>
            <w:noProof/>
          </w:rPr>
          <w:t>3.6 Обезболивание</w:t>
        </w:r>
        <w:r w:rsidR="003A51FD">
          <w:rPr>
            <w:noProof/>
            <w:webHidden/>
          </w:rPr>
          <w:tab/>
        </w:r>
        <w:r w:rsidR="003A51FD">
          <w:rPr>
            <w:noProof/>
            <w:webHidden/>
          </w:rPr>
          <w:fldChar w:fldCharType="begin"/>
        </w:r>
        <w:r w:rsidR="003A51FD">
          <w:rPr>
            <w:noProof/>
            <w:webHidden/>
          </w:rPr>
          <w:instrText xml:space="preserve"> PAGEREF _Toc65068812 \h </w:instrText>
        </w:r>
        <w:r w:rsidR="003A51FD">
          <w:rPr>
            <w:noProof/>
            <w:webHidden/>
          </w:rPr>
        </w:r>
        <w:r w:rsidR="003A51FD">
          <w:rPr>
            <w:noProof/>
            <w:webHidden/>
          </w:rPr>
          <w:fldChar w:fldCharType="separate"/>
        </w:r>
        <w:r w:rsidR="003A51FD">
          <w:rPr>
            <w:noProof/>
            <w:webHidden/>
          </w:rPr>
          <w:t>39</w:t>
        </w:r>
        <w:r w:rsidR="003A51FD">
          <w:rPr>
            <w:noProof/>
            <w:webHidden/>
          </w:rPr>
          <w:fldChar w:fldCharType="end"/>
        </w:r>
      </w:hyperlink>
    </w:p>
    <w:p w14:paraId="45607766" w14:textId="71A70491"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13" w:history="1">
        <w:r w:rsidR="003A51FD" w:rsidRPr="005D2A87">
          <w:rPr>
            <w:rStyle w:val="af0"/>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3A51FD">
          <w:rPr>
            <w:noProof/>
            <w:webHidden/>
          </w:rPr>
          <w:tab/>
        </w:r>
        <w:r w:rsidR="003A51FD">
          <w:rPr>
            <w:noProof/>
            <w:webHidden/>
          </w:rPr>
          <w:fldChar w:fldCharType="begin"/>
        </w:r>
        <w:r w:rsidR="003A51FD">
          <w:rPr>
            <w:noProof/>
            <w:webHidden/>
          </w:rPr>
          <w:instrText xml:space="preserve"> PAGEREF _Toc65068813 \h </w:instrText>
        </w:r>
        <w:r w:rsidR="003A51FD">
          <w:rPr>
            <w:noProof/>
            <w:webHidden/>
          </w:rPr>
        </w:r>
        <w:r w:rsidR="003A51FD">
          <w:rPr>
            <w:noProof/>
            <w:webHidden/>
          </w:rPr>
          <w:fldChar w:fldCharType="separate"/>
        </w:r>
        <w:r w:rsidR="003A51FD">
          <w:rPr>
            <w:noProof/>
            <w:webHidden/>
          </w:rPr>
          <w:t>40</w:t>
        </w:r>
        <w:r w:rsidR="003A51FD">
          <w:rPr>
            <w:noProof/>
            <w:webHidden/>
          </w:rPr>
          <w:fldChar w:fldCharType="end"/>
        </w:r>
      </w:hyperlink>
    </w:p>
    <w:p w14:paraId="20D160BE" w14:textId="2B53F078"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14" w:history="1">
        <w:r w:rsidR="003A51FD" w:rsidRPr="005D2A87">
          <w:rPr>
            <w:rStyle w:val="af0"/>
            <w:noProof/>
          </w:rPr>
          <w:t>5. Профилактика и диспансерное наблюдение,  медицинские показания и противопоказания  к применению методов профилактики</w:t>
        </w:r>
        <w:r w:rsidR="003A51FD">
          <w:rPr>
            <w:noProof/>
            <w:webHidden/>
          </w:rPr>
          <w:tab/>
        </w:r>
        <w:r w:rsidR="003A51FD">
          <w:rPr>
            <w:noProof/>
            <w:webHidden/>
          </w:rPr>
          <w:fldChar w:fldCharType="begin"/>
        </w:r>
        <w:r w:rsidR="003A51FD">
          <w:rPr>
            <w:noProof/>
            <w:webHidden/>
          </w:rPr>
          <w:instrText xml:space="preserve"> PAGEREF _Toc65068814 \h </w:instrText>
        </w:r>
        <w:r w:rsidR="003A51FD">
          <w:rPr>
            <w:noProof/>
            <w:webHidden/>
          </w:rPr>
        </w:r>
        <w:r w:rsidR="003A51FD">
          <w:rPr>
            <w:noProof/>
            <w:webHidden/>
          </w:rPr>
          <w:fldChar w:fldCharType="separate"/>
        </w:r>
        <w:r w:rsidR="003A51FD">
          <w:rPr>
            <w:noProof/>
            <w:webHidden/>
          </w:rPr>
          <w:t>40</w:t>
        </w:r>
        <w:r w:rsidR="003A51FD">
          <w:rPr>
            <w:noProof/>
            <w:webHidden/>
          </w:rPr>
          <w:fldChar w:fldCharType="end"/>
        </w:r>
      </w:hyperlink>
    </w:p>
    <w:p w14:paraId="1B7926F4" w14:textId="413C8202"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15" w:history="1">
        <w:r w:rsidR="003A51FD" w:rsidRPr="005D2A87">
          <w:rPr>
            <w:rStyle w:val="af0"/>
            <w:noProof/>
          </w:rPr>
          <w:t>6. Организация оказания медицинской помощи</w:t>
        </w:r>
        <w:r w:rsidR="003A51FD">
          <w:rPr>
            <w:noProof/>
            <w:webHidden/>
          </w:rPr>
          <w:tab/>
        </w:r>
        <w:r w:rsidR="003A51FD">
          <w:rPr>
            <w:noProof/>
            <w:webHidden/>
          </w:rPr>
          <w:fldChar w:fldCharType="begin"/>
        </w:r>
        <w:r w:rsidR="003A51FD">
          <w:rPr>
            <w:noProof/>
            <w:webHidden/>
          </w:rPr>
          <w:instrText xml:space="preserve"> PAGEREF _Toc65068815 \h </w:instrText>
        </w:r>
        <w:r w:rsidR="003A51FD">
          <w:rPr>
            <w:noProof/>
            <w:webHidden/>
          </w:rPr>
        </w:r>
        <w:r w:rsidR="003A51FD">
          <w:rPr>
            <w:noProof/>
            <w:webHidden/>
          </w:rPr>
          <w:fldChar w:fldCharType="separate"/>
        </w:r>
        <w:r w:rsidR="003A51FD">
          <w:rPr>
            <w:noProof/>
            <w:webHidden/>
          </w:rPr>
          <w:t>41</w:t>
        </w:r>
        <w:r w:rsidR="003A51FD">
          <w:rPr>
            <w:noProof/>
            <w:webHidden/>
          </w:rPr>
          <w:fldChar w:fldCharType="end"/>
        </w:r>
      </w:hyperlink>
    </w:p>
    <w:p w14:paraId="11D80E86" w14:textId="6923E642"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16" w:history="1">
        <w:r w:rsidR="003A51FD" w:rsidRPr="005D2A87">
          <w:rPr>
            <w:rStyle w:val="af0"/>
            <w:rFonts w:eastAsia="GalsLightC"/>
            <w:noProof/>
          </w:rPr>
          <w:t>7. Дополнительная информация (в том числе факторы, влияющие на исход заболевания или состояния)</w:t>
        </w:r>
        <w:r w:rsidR="003A51FD">
          <w:rPr>
            <w:noProof/>
            <w:webHidden/>
          </w:rPr>
          <w:tab/>
        </w:r>
        <w:r w:rsidR="003A51FD">
          <w:rPr>
            <w:noProof/>
            <w:webHidden/>
          </w:rPr>
          <w:fldChar w:fldCharType="begin"/>
        </w:r>
        <w:r w:rsidR="003A51FD">
          <w:rPr>
            <w:noProof/>
            <w:webHidden/>
          </w:rPr>
          <w:instrText xml:space="preserve"> PAGEREF _Toc65068816 \h </w:instrText>
        </w:r>
        <w:r w:rsidR="003A51FD">
          <w:rPr>
            <w:noProof/>
            <w:webHidden/>
          </w:rPr>
        </w:r>
        <w:r w:rsidR="003A51FD">
          <w:rPr>
            <w:noProof/>
            <w:webHidden/>
          </w:rPr>
          <w:fldChar w:fldCharType="separate"/>
        </w:r>
        <w:r w:rsidR="003A51FD">
          <w:rPr>
            <w:noProof/>
            <w:webHidden/>
          </w:rPr>
          <w:t>44</w:t>
        </w:r>
        <w:r w:rsidR="003A51FD">
          <w:rPr>
            <w:noProof/>
            <w:webHidden/>
          </w:rPr>
          <w:fldChar w:fldCharType="end"/>
        </w:r>
      </w:hyperlink>
    </w:p>
    <w:p w14:paraId="28B1E0C8" w14:textId="7E673421"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17" w:history="1">
        <w:r w:rsidR="003A51FD" w:rsidRPr="005D2A87">
          <w:rPr>
            <w:rStyle w:val="af0"/>
            <w:noProof/>
          </w:rPr>
          <w:t>7.1. Стадирование лимфомы из малых лимфоцитов</w:t>
        </w:r>
        <w:r w:rsidR="003A51FD">
          <w:rPr>
            <w:noProof/>
            <w:webHidden/>
          </w:rPr>
          <w:tab/>
        </w:r>
        <w:r w:rsidR="003A51FD">
          <w:rPr>
            <w:noProof/>
            <w:webHidden/>
          </w:rPr>
          <w:fldChar w:fldCharType="begin"/>
        </w:r>
        <w:r w:rsidR="003A51FD">
          <w:rPr>
            <w:noProof/>
            <w:webHidden/>
          </w:rPr>
          <w:instrText xml:space="preserve"> PAGEREF _Toc65068817 \h </w:instrText>
        </w:r>
        <w:r w:rsidR="003A51FD">
          <w:rPr>
            <w:noProof/>
            <w:webHidden/>
          </w:rPr>
        </w:r>
        <w:r w:rsidR="003A51FD">
          <w:rPr>
            <w:noProof/>
            <w:webHidden/>
          </w:rPr>
          <w:fldChar w:fldCharType="separate"/>
        </w:r>
        <w:r w:rsidR="003A51FD">
          <w:rPr>
            <w:noProof/>
            <w:webHidden/>
          </w:rPr>
          <w:t>44</w:t>
        </w:r>
        <w:r w:rsidR="003A51FD">
          <w:rPr>
            <w:noProof/>
            <w:webHidden/>
          </w:rPr>
          <w:fldChar w:fldCharType="end"/>
        </w:r>
      </w:hyperlink>
    </w:p>
    <w:p w14:paraId="4B0911AD" w14:textId="2E26C5FB"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18" w:history="1">
        <w:r w:rsidR="003A51FD" w:rsidRPr="005D2A87">
          <w:rPr>
            <w:rStyle w:val="af0"/>
            <w:noProof/>
          </w:rPr>
          <w:t>7.2. Общая выживаемость пациентов в группах по МПИ</w:t>
        </w:r>
        <w:r w:rsidR="003A51FD">
          <w:rPr>
            <w:noProof/>
            <w:webHidden/>
          </w:rPr>
          <w:tab/>
        </w:r>
        <w:r w:rsidR="003A51FD">
          <w:rPr>
            <w:noProof/>
            <w:webHidden/>
          </w:rPr>
          <w:fldChar w:fldCharType="begin"/>
        </w:r>
        <w:r w:rsidR="003A51FD">
          <w:rPr>
            <w:noProof/>
            <w:webHidden/>
          </w:rPr>
          <w:instrText xml:space="preserve"> PAGEREF _Toc65068818 \h </w:instrText>
        </w:r>
        <w:r w:rsidR="003A51FD">
          <w:rPr>
            <w:noProof/>
            <w:webHidden/>
          </w:rPr>
        </w:r>
        <w:r w:rsidR="003A51FD">
          <w:rPr>
            <w:noProof/>
            <w:webHidden/>
          </w:rPr>
          <w:fldChar w:fldCharType="separate"/>
        </w:r>
        <w:r w:rsidR="003A51FD">
          <w:rPr>
            <w:noProof/>
            <w:webHidden/>
          </w:rPr>
          <w:t>46</w:t>
        </w:r>
        <w:r w:rsidR="003A51FD">
          <w:rPr>
            <w:noProof/>
            <w:webHidden/>
          </w:rPr>
          <w:fldChar w:fldCharType="end"/>
        </w:r>
      </w:hyperlink>
    </w:p>
    <w:p w14:paraId="35F7FC74" w14:textId="3A39C6BA"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19" w:history="1">
        <w:r w:rsidR="003A51FD" w:rsidRPr="005D2A87">
          <w:rPr>
            <w:rStyle w:val="af0"/>
            <w:noProof/>
          </w:rPr>
          <w:t>7.3. Оценка ответа на лечение при ХЛЛ</w:t>
        </w:r>
        <w:r w:rsidR="003A51FD">
          <w:rPr>
            <w:noProof/>
            <w:webHidden/>
          </w:rPr>
          <w:tab/>
        </w:r>
        <w:r w:rsidR="003A51FD">
          <w:rPr>
            <w:noProof/>
            <w:webHidden/>
          </w:rPr>
          <w:fldChar w:fldCharType="begin"/>
        </w:r>
        <w:r w:rsidR="003A51FD">
          <w:rPr>
            <w:noProof/>
            <w:webHidden/>
          </w:rPr>
          <w:instrText xml:space="preserve"> PAGEREF _Toc65068819 \h </w:instrText>
        </w:r>
        <w:r w:rsidR="003A51FD">
          <w:rPr>
            <w:noProof/>
            <w:webHidden/>
          </w:rPr>
        </w:r>
        <w:r w:rsidR="003A51FD">
          <w:rPr>
            <w:noProof/>
            <w:webHidden/>
          </w:rPr>
          <w:fldChar w:fldCharType="separate"/>
        </w:r>
        <w:r w:rsidR="003A51FD">
          <w:rPr>
            <w:noProof/>
            <w:webHidden/>
          </w:rPr>
          <w:t>46</w:t>
        </w:r>
        <w:r w:rsidR="003A51FD">
          <w:rPr>
            <w:noProof/>
            <w:webHidden/>
          </w:rPr>
          <w:fldChar w:fldCharType="end"/>
        </w:r>
      </w:hyperlink>
    </w:p>
    <w:p w14:paraId="059CC97B" w14:textId="1F9C1A43"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20" w:history="1">
        <w:r w:rsidR="003A51FD" w:rsidRPr="005D2A87">
          <w:rPr>
            <w:rStyle w:val="af0"/>
            <w:noProof/>
          </w:rPr>
          <w:t>7.4. Диагностика и лечение бактериальных инфекционных осложнений у пациентов с ХЛЛ/ЛМЛ</w:t>
        </w:r>
        <w:r w:rsidR="003A51FD">
          <w:rPr>
            <w:noProof/>
            <w:webHidden/>
          </w:rPr>
          <w:tab/>
        </w:r>
        <w:r w:rsidR="003A51FD">
          <w:rPr>
            <w:noProof/>
            <w:webHidden/>
          </w:rPr>
          <w:fldChar w:fldCharType="begin"/>
        </w:r>
        <w:r w:rsidR="003A51FD">
          <w:rPr>
            <w:noProof/>
            <w:webHidden/>
          </w:rPr>
          <w:instrText xml:space="preserve"> PAGEREF _Toc65068820 \h </w:instrText>
        </w:r>
        <w:r w:rsidR="003A51FD">
          <w:rPr>
            <w:noProof/>
            <w:webHidden/>
          </w:rPr>
        </w:r>
        <w:r w:rsidR="003A51FD">
          <w:rPr>
            <w:noProof/>
            <w:webHidden/>
          </w:rPr>
          <w:fldChar w:fldCharType="separate"/>
        </w:r>
        <w:r w:rsidR="003A51FD">
          <w:rPr>
            <w:noProof/>
            <w:webHidden/>
          </w:rPr>
          <w:t>47</w:t>
        </w:r>
        <w:r w:rsidR="003A51FD">
          <w:rPr>
            <w:noProof/>
            <w:webHidden/>
          </w:rPr>
          <w:fldChar w:fldCharType="end"/>
        </w:r>
      </w:hyperlink>
    </w:p>
    <w:p w14:paraId="6AEA3744" w14:textId="46688142"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21" w:history="1">
        <w:r w:rsidR="003A51FD" w:rsidRPr="005D2A87">
          <w:rPr>
            <w:rStyle w:val="af0"/>
            <w:noProof/>
          </w:rPr>
          <w:t>7.5 Диагностика и лечение вирусных инфекций у пациентов с ХЛЛ/ЛМЛ</w:t>
        </w:r>
        <w:r w:rsidR="003A51FD">
          <w:rPr>
            <w:noProof/>
            <w:webHidden/>
          </w:rPr>
          <w:tab/>
        </w:r>
        <w:r w:rsidR="003A51FD">
          <w:rPr>
            <w:noProof/>
            <w:webHidden/>
          </w:rPr>
          <w:fldChar w:fldCharType="begin"/>
        </w:r>
        <w:r w:rsidR="003A51FD">
          <w:rPr>
            <w:noProof/>
            <w:webHidden/>
          </w:rPr>
          <w:instrText xml:space="preserve"> PAGEREF _Toc65068821 \h </w:instrText>
        </w:r>
        <w:r w:rsidR="003A51FD">
          <w:rPr>
            <w:noProof/>
            <w:webHidden/>
          </w:rPr>
        </w:r>
        <w:r w:rsidR="003A51FD">
          <w:rPr>
            <w:noProof/>
            <w:webHidden/>
          </w:rPr>
          <w:fldChar w:fldCharType="separate"/>
        </w:r>
        <w:r w:rsidR="003A51FD">
          <w:rPr>
            <w:noProof/>
            <w:webHidden/>
          </w:rPr>
          <w:t>69</w:t>
        </w:r>
        <w:r w:rsidR="003A51FD">
          <w:rPr>
            <w:noProof/>
            <w:webHidden/>
          </w:rPr>
          <w:fldChar w:fldCharType="end"/>
        </w:r>
      </w:hyperlink>
    </w:p>
    <w:p w14:paraId="365725C3" w14:textId="7DD6A133"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22" w:history="1">
        <w:r w:rsidR="003A51FD" w:rsidRPr="005D2A87">
          <w:rPr>
            <w:rStyle w:val="af0"/>
            <w:noProof/>
          </w:rPr>
          <w:t>7.6. Диагностика и лечение инфекций, вызванных грибами, у пациентов с ХЛЛ/ЛМЛ</w:t>
        </w:r>
        <w:r w:rsidR="003A51FD">
          <w:rPr>
            <w:noProof/>
            <w:webHidden/>
          </w:rPr>
          <w:tab/>
        </w:r>
        <w:r w:rsidR="003A51FD">
          <w:rPr>
            <w:noProof/>
            <w:webHidden/>
          </w:rPr>
          <w:fldChar w:fldCharType="begin"/>
        </w:r>
        <w:r w:rsidR="003A51FD">
          <w:rPr>
            <w:noProof/>
            <w:webHidden/>
          </w:rPr>
          <w:instrText xml:space="preserve"> PAGEREF _Toc65068822 \h </w:instrText>
        </w:r>
        <w:r w:rsidR="003A51FD">
          <w:rPr>
            <w:noProof/>
            <w:webHidden/>
          </w:rPr>
        </w:r>
        <w:r w:rsidR="003A51FD">
          <w:rPr>
            <w:noProof/>
            <w:webHidden/>
          </w:rPr>
          <w:fldChar w:fldCharType="separate"/>
        </w:r>
        <w:r w:rsidR="003A51FD">
          <w:rPr>
            <w:noProof/>
            <w:webHidden/>
          </w:rPr>
          <w:t>73</w:t>
        </w:r>
        <w:r w:rsidR="003A51FD">
          <w:rPr>
            <w:noProof/>
            <w:webHidden/>
          </w:rPr>
          <w:fldChar w:fldCharType="end"/>
        </w:r>
      </w:hyperlink>
    </w:p>
    <w:p w14:paraId="48507FA2" w14:textId="30332C51"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23" w:history="1">
        <w:r w:rsidR="003A51FD" w:rsidRPr="005D2A87">
          <w:rPr>
            <w:rStyle w:val="af0"/>
            <w:noProof/>
          </w:rPr>
          <w:t>7.7. Кардиологическое обследование и лечение пациентов с ХЛЛ/ЛМЛ</w:t>
        </w:r>
        <w:r w:rsidR="003A51FD">
          <w:rPr>
            <w:noProof/>
            <w:webHidden/>
          </w:rPr>
          <w:tab/>
        </w:r>
        <w:r w:rsidR="003A51FD">
          <w:rPr>
            <w:noProof/>
            <w:webHidden/>
          </w:rPr>
          <w:fldChar w:fldCharType="begin"/>
        </w:r>
        <w:r w:rsidR="003A51FD">
          <w:rPr>
            <w:noProof/>
            <w:webHidden/>
          </w:rPr>
          <w:instrText xml:space="preserve"> PAGEREF _Toc65068823 \h </w:instrText>
        </w:r>
        <w:r w:rsidR="003A51FD">
          <w:rPr>
            <w:noProof/>
            <w:webHidden/>
          </w:rPr>
        </w:r>
        <w:r w:rsidR="003A51FD">
          <w:rPr>
            <w:noProof/>
            <w:webHidden/>
          </w:rPr>
          <w:fldChar w:fldCharType="separate"/>
        </w:r>
        <w:r w:rsidR="003A51FD">
          <w:rPr>
            <w:noProof/>
            <w:webHidden/>
          </w:rPr>
          <w:t>99</w:t>
        </w:r>
        <w:r w:rsidR="003A51FD">
          <w:rPr>
            <w:noProof/>
            <w:webHidden/>
          </w:rPr>
          <w:fldChar w:fldCharType="end"/>
        </w:r>
      </w:hyperlink>
    </w:p>
    <w:p w14:paraId="533D42DE" w14:textId="0CBF8872"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24" w:history="1">
        <w:r w:rsidR="003A51FD" w:rsidRPr="005D2A87">
          <w:rPr>
            <w:rStyle w:val="af0"/>
            <w:noProof/>
          </w:rPr>
          <w:t>Критерии оценки качества медицинской помощи</w:t>
        </w:r>
        <w:r w:rsidR="003A51FD">
          <w:rPr>
            <w:noProof/>
            <w:webHidden/>
          </w:rPr>
          <w:tab/>
        </w:r>
        <w:r w:rsidR="003A51FD">
          <w:rPr>
            <w:noProof/>
            <w:webHidden/>
          </w:rPr>
          <w:fldChar w:fldCharType="begin"/>
        </w:r>
        <w:r w:rsidR="003A51FD">
          <w:rPr>
            <w:noProof/>
            <w:webHidden/>
          </w:rPr>
          <w:instrText xml:space="preserve"> PAGEREF _Toc65068824 \h </w:instrText>
        </w:r>
        <w:r w:rsidR="003A51FD">
          <w:rPr>
            <w:noProof/>
            <w:webHidden/>
          </w:rPr>
        </w:r>
        <w:r w:rsidR="003A51FD">
          <w:rPr>
            <w:noProof/>
            <w:webHidden/>
          </w:rPr>
          <w:fldChar w:fldCharType="separate"/>
        </w:r>
        <w:r w:rsidR="003A51FD">
          <w:rPr>
            <w:noProof/>
            <w:webHidden/>
          </w:rPr>
          <w:t>108</w:t>
        </w:r>
        <w:r w:rsidR="003A51FD">
          <w:rPr>
            <w:noProof/>
            <w:webHidden/>
          </w:rPr>
          <w:fldChar w:fldCharType="end"/>
        </w:r>
      </w:hyperlink>
    </w:p>
    <w:p w14:paraId="703B1065" w14:textId="26FAD1E4"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25" w:history="1">
        <w:r w:rsidR="003A51FD" w:rsidRPr="005D2A87">
          <w:rPr>
            <w:rStyle w:val="af0"/>
            <w:noProof/>
          </w:rPr>
          <w:t>Список литературы</w:t>
        </w:r>
        <w:r w:rsidR="003A51FD">
          <w:rPr>
            <w:noProof/>
            <w:webHidden/>
          </w:rPr>
          <w:tab/>
        </w:r>
        <w:r w:rsidR="003A51FD">
          <w:rPr>
            <w:noProof/>
            <w:webHidden/>
          </w:rPr>
          <w:fldChar w:fldCharType="begin"/>
        </w:r>
        <w:r w:rsidR="003A51FD">
          <w:rPr>
            <w:noProof/>
            <w:webHidden/>
          </w:rPr>
          <w:instrText xml:space="preserve"> PAGEREF _Toc65068825 \h </w:instrText>
        </w:r>
        <w:r w:rsidR="003A51FD">
          <w:rPr>
            <w:noProof/>
            <w:webHidden/>
          </w:rPr>
        </w:r>
        <w:r w:rsidR="003A51FD">
          <w:rPr>
            <w:noProof/>
            <w:webHidden/>
          </w:rPr>
          <w:fldChar w:fldCharType="separate"/>
        </w:r>
        <w:r w:rsidR="003A51FD">
          <w:rPr>
            <w:noProof/>
            <w:webHidden/>
          </w:rPr>
          <w:t>109</w:t>
        </w:r>
        <w:r w:rsidR="003A51FD">
          <w:rPr>
            <w:noProof/>
            <w:webHidden/>
          </w:rPr>
          <w:fldChar w:fldCharType="end"/>
        </w:r>
      </w:hyperlink>
    </w:p>
    <w:p w14:paraId="24F0D30D" w14:textId="442657CF"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26" w:history="1">
        <w:r w:rsidR="003A51FD" w:rsidRPr="005D2A87">
          <w:rPr>
            <w:rStyle w:val="af0"/>
            <w:noProof/>
          </w:rPr>
          <w:t>Приложение А1. Состав рабочей группы по разработке  и пересмотру клинических рекомендаций</w:t>
        </w:r>
        <w:r w:rsidR="003A51FD">
          <w:rPr>
            <w:noProof/>
            <w:webHidden/>
          </w:rPr>
          <w:tab/>
        </w:r>
        <w:r w:rsidR="003A51FD">
          <w:rPr>
            <w:noProof/>
            <w:webHidden/>
          </w:rPr>
          <w:fldChar w:fldCharType="begin"/>
        </w:r>
        <w:r w:rsidR="003A51FD">
          <w:rPr>
            <w:noProof/>
            <w:webHidden/>
          </w:rPr>
          <w:instrText xml:space="preserve"> PAGEREF _Toc65068826 \h </w:instrText>
        </w:r>
        <w:r w:rsidR="003A51FD">
          <w:rPr>
            <w:noProof/>
            <w:webHidden/>
          </w:rPr>
        </w:r>
        <w:r w:rsidR="003A51FD">
          <w:rPr>
            <w:noProof/>
            <w:webHidden/>
          </w:rPr>
          <w:fldChar w:fldCharType="separate"/>
        </w:r>
        <w:r w:rsidR="003A51FD">
          <w:rPr>
            <w:noProof/>
            <w:webHidden/>
          </w:rPr>
          <w:t>117</w:t>
        </w:r>
        <w:r w:rsidR="003A51FD">
          <w:rPr>
            <w:noProof/>
            <w:webHidden/>
          </w:rPr>
          <w:fldChar w:fldCharType="end"/>
        </w:r>
      </w:hyperlink>
    </w:p>
    <w:p w14:paraId="45DD63FA" w14:textId="5F294B9E"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27" w:history="1">
        <w:r w:rsidR="003A51FD" w:rsidRPr="005D2A87">
          <w:rPr>
            <w:rStyle w:val="af0"/>
            <w:noProof/>
          </w:rPr>
          <w:t>Приложение А2. Методология разработки клинических рекомендаций</w:t>
        </w:r>
        <w:r w:rsidR="003A51FD">
          <w:rPr>
            <w:noProof/>
            <w:webHidden/>
          </w:rPr>
          <w:tab/>
        </w:r>
        <w:r w:rsidR="003A51FD">
          <w:rPr>
            <w:noProof/>
            <w:webHidden/>
          </w:rPr>
          <w:fldChar w:fldCharType="begin"/>
        </w:r>
        <w:r w:rsidR="003A51FD">
          <w:rPr>
            <w:noProof/>
            <w:webHidden/>
          </w:rPr>
          <w:instrText xml:space="preserve"> PAGEREF _Toc65068827 \h </w:instrText>
        </w:r>
        <w:r w:rsidR="003A51FD">
          <w:rPr>
            <w:noProof/>
            <w:webHidden/>
          </w:rPr>
        </w:r>
        <w:r w:rsidR="003A51FD">
          <w:rPr>
            <w:noProof/>
            <w:webHidden/>
          </w:rPr>
          <w:fldChar w:fldCharType="separate"/>
        </w:r>
        <w:r w:rsidR="003A51FD">
          <w:rPr>
            <w:noProof/>
            <w:webHidden/>
          </w:rPr>
          <w:t>121</w:t>
        </w:r>
        <w:r w:rsidR="003A51FD">
          <w:rPr>
            <w:noProof/>
            <w:webHidden/>
          </w:rPr>
          <w:fldChar w:fldCharType="end"/>
        </w:r>
      </w:hyperlink>
    </w:p>
    <w:p w14:paraId="595147E2" w14:textId="7EFE71AB"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28" w:history="1">
        <w:r w:rsidR="003A51FD" w:rsidRPr="005D2A87">
          <w:rPr>
            <w:rStyle w:val="af0"/>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3A51FD">
          <w:rPr>
            <w:noProof/>
            <w:webHidden/>
          </w:rPr>
          <w:tab/>
        </w:r>
        <w:r w:rsidR="003A51FD">
          <w:rPr>
            <w:noProof/>
            <w:webHidden/>
          </w:rPr>
          <w:fldChar w:fldCharType="begin"/>
        </w:r>
        <w:r w:rsidR="003A51FD">
          <w:rPr>
            <w:noProof/>
            <w:webHidden/>
          </w:rPr>
          <w:instrText xml:space="preserve"> PAGEREF _Toc65068828 \h </w:instrText>
        </w:r>
        <w:r w:rsidR="003A51FD">
          <w:rPr>
            <w:noProof/>
            <w:webHidden/>
          </w:rPr>
        </w:r>
        <w:r w:rsidR="003A51FD">
          <w:rPr>
            <w:noProof/>
            <w:webHidden/>
          </w:rPr>
          <w:fldChar w:fldCharType="separate"/>
        </w:r>
        <w:r w:rsidR="003A51FD">
          <w:rPr>
            <w:noProof/>
            <w:webHidden/>
          </w:rPr>
          <w:t>125</w:t>
        </w:r>
        <w:r w:rsidR="003A51FD">
          <w:rPr>
            <w:noProof/>
            <w:webHidden/>
          </w:rPr>
          <w:fldChar w:fldCharType="end"/>
        </w:r>
      </w:hyperlink>
    </w:p>
    <w:p w14:paraId="1E3F8FAE" w14:textId="52CE41B0"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29" w:history="1">
        <w:r w:rsidR="003A51FD" w:rsidRPr="005D2A87">
          <w:rPr>
            <w:rStyle w:val="af0"/>
            <w:noProof/>
          </w:rPr>
          <w:t>Приложение А3.1. Значение маркеров вируса гепатита В при ХЛЛ</w:t>
        </w:r>
        <w:r w:rsidR="003A51FD">
          <w:rPr>
            <w:noProof/>
            <w:webHidden/>
          </w:rPr>
          <w:tab/>
        </w:r>
        <w:r w:rsidR="003A51FD">
          <w:rPr>
            <w:noProof/>
            <w:webHidden/>
          </w:rPr>
          <w:fldChar w:fldCharType="begin"/>
        </w:r>
        <w:r w:rsidR="003A51FD">
          <w:rPr>
            <w:noProof/>
            <w:webHidden/>
          </w:rPr>
          <w:instrText xml:space="preserve"> PAGEREF _Toc65068829 \h </w:instrText>
        </w:r>
        <w:r w:rsidR="003A51FD">
          <w:rPr>
            <w:noProof/>
            <w:webHidden/>
          </w:rPr>
        </w:r>
        <w:r w:rsidR="003A51FD">
          <w:rPr>
            <w:noProof/>
            <w:webHidden/>
          </w:rPr>
          <w:fldChar w:fldCharType="separate"/>
        </w:r>
        <w:r w:rsidR="003A51FD">
          <w:rPr>
            <w:noProof/>
            <w:webHidden/>
          </w:rPr>
          <w:t>125</w:t>
        </w:r>
        <w:r w:rsidR="003A51FD">
          <w:rPr>
            <w:noProof/>
            <w:webHidden/>
          </w:rPr>
          <w:fldChar w:fldCharType="end"/>
        </w:r>
      </w:hyperlink>
    </w:p>
    <w:p w14:paraId="0777D33E" w14:textId="22F87B97"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30" w:history="1">
        <w:r w:rsidR="003A51FD" w:rsidRPr="005D2A87">
          <w:rPr>
            <w:rStyle w:val="af0"/>
            <w:noProof/>
          </w:rPr>
          <w:t>Приложение А3.2. Показания к началу лечения ХЛЛ/ЛМЛ</w:t>
        </w:r>
        <w:r w:rsidR="003A51FD">
          <w:rPr>
            <w:noProof/>
            <w:webHidden/>
          </w:rPr>
          <w:tab/>
        </w:r>
        <w:r w:rsidR="003A51FD">
          <w:rPr>
            <w:noProof/>
            <w:webHidden/>
          </w:rPr>
          <w:fldChar w:fldCharType="begin"/>
        </w:r>
        <w:r w:rsidR="003A51FD">
          <w:rPr>
            <w:noProof/>
            <w:webHidden/>
          </w:rPr>
          <w:instrText xml:space="preserve"> PAGEREF _Toc65068830 \h </w:instrText>
        </w:r>
        <w:r w:rsidR="003A51FD">
          <w:rPr>
            <w:noProof/>
            <w:webHidden/>
          </w:rPr>
        </w:r>
        <w:r w:rsidR="003A51FD">
          <w:rPr>
            <w:noProof/>
            <w:webHidden/>
          </w:rPr>
          <w:fldChar w:fldCharType="separate"/>
        </w:r>
        <w:r w:rsidR="003A51FD">
          <w:rPr>
            <w:noProof/>
            <w:webHidden/>
          </w:rPr>
          <w:t>126</w:t>
        </w:r>
        <w:r w:rsidR="003A51FD">
          <w:rPr>
            <w:noProof/>
            <w:webHidden/>
          </w:rPr>
          <w:fldChar w:fldCharType="end"/>
        </w:r>
      </w:hyperlink>
    </w:p>
    <w:p w14:paraId="1AEF9A83" w14:textId="2319097C"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31" w:history="1">
        <w:r w:rsidR="003A51FD" w:rsidRPr="005D2A87">
          <w:rPr>
            <w:rStyle w:val="af0"/>
            <w:noProof/>
          </w:rPr>
          <w:t>Приложение А3.3. Режимы лекарственного лечения ХЛЛ</w:t>
        </w:r>
        <w:r w:rsidR="003A51FD">
          <w:rPr>
            <w:noProof/>
            <w:webHidden/>
          </w:rPr>
          <w:tab/>
        </w:r>
        <w:r w:rsidR="003A51FD">
          <w:rPr>
            <w:noProof/>
            <w:webHidden/>
          </w:rPr>
          <w:fldChar w:fldCharType="begin"/>
        </w:r>
        <w:r w:rsidR="003A51FD">
          <w:rPr>
            <w:noProof/>
            <w:webHidden/>
          </w:rPr>
          <w:instrText xml:space="preserve"> PAGEREF _Toc65068831 \h </w:instrText>
        </w:r>
        <w:r w:rsidR="003A51FD">
          <w:rPr>
            <w:noProof/>
            <w:webHidden/>
          </w:rPr>
        </w:r>
        <w:r w:rsidR="003A51FD">
          <w:rPr>
            <w:noProof/>
            <w:webHidden/>
          </w:rPr>
          <w:fldChar w:fldCharType="separate"/>
        </w:r>
        <w:r w:rsidR="003A51FD">
          <w:rPr>
            <w:noProof/>
            <w:webHidden/>
          </w:rPr>
          <w:t>126</w:t>
        </w:r>
        <w:r w:rsidR="003A51FD">
          <w:rPr>
            <w:noProof/>
            <w:webHidden/>
          </w:rPr>
          <w:fldChar w:fldCharType="end"/>
        </w:r>
      </w:hyperlink>
    </w:p>
    <w:p w14:paraId="750754C6" w14:textId="67FF93B8"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32" w:history="1">
        <w:r w:rsidR="003A51FD" w:rsidRPr="005D2A87">
          <w:rPr>
            <w:rStyle w:val="af0"/>
            <w:noProof/>
          </w:rPr>
          <w:t xml:space="preserve">Приложение А3.4. </w:t>
        </w:r>
        <w:r w:rsidR="003A51FD" w:rsidRPr="005D2A87">
          <w:rPr>
            <w:rStyle w:val="af0"/>
            <w:rFonts w:eastAsia="Arial Unicode MS"/>
            <w:noProof/>
          </w:rPr>
          <w:t>Сопроводительная терапия при введении моноклональных антител у пациентов с ХЛЛ/ЛМЛ.</w:t>
        </w:r>
        <w:r w:rsidR="003A51FD">
          <w:rPr>
            <w:noProof/>
            <w:webHidden/>
          </w:rPr>
          <w:tab/>
        </w:r>
        <w:r w:rsidR="003A51FD">
          <w:rPr>
            <w:noProof/>
            <w:webHidden/>
          </w:rPr>
          <w:fldChar w:fldCharType="begin"/>
        </w:r>
        <w:r w:rsidR="003A51FD">
          <w:rPr>
            <w:noProof/>
            <w:webHidden/>
          </w:rPr>
          <w:instrText xml:space="preserve"> PAGEREF _Toc65068832 \h </w:instrText>
        </w:r>
        <w:r w:rsidR="003A51FD">
          <w:rPr>
            <w:noProof/>
            <w:webHidden/>
          </w:rPr>
        </w:r>
        <w:r w:rsidR="003A51FD">
          <w:rPr>
            <w:noProof/>
            <w:webHidden/>
          </w:rPr>
          <w:fldChar w:fldCharType="separate"/>
        </w:r>
        <w:r w:rsidR="003A51FD">
          <w:rPr>
            <w:noProof/>
            <w:webHidden/>
          </w:rPr>
          <w:t>129</w:t>
        </w:r>
        <w:r w:rsidR="003A51FD">
          <w:rPr>
            <w:noProof/>
            <w:webHidden/>
          </w:rPr>
          <w:fldChar w:fldCharType="end"/>
        </w:r>
      </w:hyperlink>
    </w:p>
    <w:p w14:paraId="354C312F" w14:textId="6E7C7F24"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33" w:history="1">
        <w:r w:rsidR="003A51FD" w:rsidRPr="005D2A87">
          <w:rPr>
            <w:rStyle w:val="af0"/>
            <w:noProof/>
          </w:rPr>
          <w:t xml:space="preserve">Приложение А3.5. </w:t>
        </w:r>
        <w:r w:rsidR="003A51FD" w:rsidRPr="005D2A87">
          <w:rPr>
            <w:rStyle w:val="af0"/>
            <w:rFonts w:eastAsia="SimSun"/>
            <w:noProof/>
          </w:rPr>
          <w:t>Проведение трансплантации аллогенных гемопоэтических стволовых клеток</w:t>
        </w:r>
        <w:r w:rsidR="003A51FD">
          <w:rPr>
            <w:noProof/>
            <w:webHidden/>
          </w:rPr>
          <w:tab/>
        </w:r>
        <w:r w:rsidR="003A51FD">
          <w:rPr>
            <w:noProof/>
            <w:webHidden/>
          </w:rPr>
          <w:fldChar w:fldCharType="begin"/>
        </w:r>
        <w:r w:rsidR="003A51FD">
          <w:rPr>
            <w:noProof/>
            <w:webHidden/>
          </w:rPr>
          <w:instrText xml:space="preserve"> PAGEREF _Toc65068833 \h </w:instrText>
        </w:r>
        <w:r w:rsidR="003A51FD">
          <w:rPr>
            <w:noProof/>
            <w:webHidden/>
          </w:rPr>
        </w:r>
        <w:r w:rsidR="003A51FD">
          <w:rPr>
            <w:noProof/>
            <w:webHidden/>
          </w:rPr>
          <w:fldChar w:fldCharType="separate"/>
        </w:r>
        <w:r w:rsidR="003A51FD">
          <w:rPr>
            <w:noProof/>
            <w:webHidden/>
          </w:rPr>
          <w:t>136</w:t>
        </w:r>
        <w:r w:rsidR="003A51FD">
          <w:rPr>
            <w:noProof/>
            <w:webHidden/>
          </w:rPr>
          <w:fldChar w:fldCharType="end"/>
        </w:r>
      </w:hyperlink>
    </w:p>
    <w:p w14:paraId="4707984A" w14:textId="18A2AFE5"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34" w:history="1">
        <w:r w:rsidR="003A51FD" w:rsidRPr="005D2A87">
          <w:rPr>
            <w:rStyle w:val="af0"/>
            <w:noProof/>
          </w:rPr>
          <w:t>Приложение Б. Алгоритмы действий врача</w:t>
        </w:r>
        <w:r w:rsidR="003A51FD">
          <w:rPr>
            <w:noProof/>
            <w:webHidden/>
          </w:rPr>
          <w:tab/>
        </w:r>
        <w:r w:rsidR="003A51FD">
          <w:rPr>
            <w:noProof/>
            <w:webHidden/>
          </w:rPr>
          <w:fldChar w:fldCharType="begin"/>
        </w:r>
        <w:r w:rsidR="003A51FD">
          <w:rPr>
            <w:noProof/>
            <w:webHidden/>
          </w:rPr>
          <w:instrText xml:space="preserve"> PAGEREF _Toc65068834 \h </w:instrText>
        </w:r>
        <w:r w:rsidR="003A51FD">
          <w:rPr>
            <w:noProof/>
            <w:webHidden/>
          </w:rPr>
        </w:r>
        <w:r w:rsidR="003A51FD">
          <w:rPr>
            <w:noProof/>
            <w:webHidden/>
          </w:rPr>
          <w:fldChar w:fldCharType="separate"/>
        </w:r>
        <w:r w:rsidR="003A51FD">
          <w:rPr>
            <w:noProof/>
            <w:webHidden/>
          </w:rPr>
          <w:t>256</w:t>
        </w:r>
        <w:r w:rsidR="003A51FD">
          <w:rPr>
            <w:noProof/>
            <w:webHidden/>
          </w:rPr>
          <w:fldChar w:fldCharType="end"/>
        </w:r>
      </w:hyperlink>
    </w:p>
    <w:p w14:paraId="096A1BEA" w14:textId="751BFB41"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35" w:history="1">
        <w:r w:rsidR="003A51FD" w:rsidRPr="005D2A87">
          <w:rPr>
            <w:rStyle w:val="af0"/>
            <w:noProof/>
          </w:rPr>
          <w:t>Приложение Б1. Алгоритм выбора первой линии терапии пациента с ХЛЛ/ЛМЛ</w:t>
        </w:r>
        <w:r w:rsidR="003A51FD">
          <w:rPr>
            <w:noProof/>
            <w:webHidden/>
          </w:rPr>
          <w:tab/>
        </w:r>
        <w:r w:rsidR="003A51FD">
          <w:rPr>
            <w:noProof/>
            <w:webHidden/>
          </w:rPr>
          <w:fldChar w:fldCharType="begin"/>
        </w:r>
        <w:r w:rsidR="003A51FD">
          <w:rPr>
            <w:noProof/>
            <w:webHidden/>
          </w:rPr>
          <w:instrText xml:space="preserve"> PAGEREF _Toc65068835 \h </w:instrText>
        </w:r>
        <w:r w:rsidR="003A51FD">
          <w:rPr>
            <w:noProof/>
            <w:webHidden/>
          </w:rPr>
        </w:r>
        <w:r w:rsidR="003A51FD">
          <w:rPr>
            <w:noProof/>
            <w:webHidden/>
          </w:rPr>
          <w:fldChar w:fldCharType="separate"/>
        </w:r>
        <w:r w:rsidR="003A51FD">
          <w:rPr>
            <w:noProof/>
            <w:webHidden/>
          </w:rPr>
          <w:t>256</w:t>
        </w:r>
        <w:r w:rsidR="003A51FD">
          <w:rPr>
            <w:noProof/>
            <w:webHidden/>
          </w:rPr>
          <w:fldChar w:fldCharType="end"/>
        </w:r>
      </w:hyperlink>
    </w:p>
    <w:p w14:paraId="46BD88FE" w14:textId="7543AAE4"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36" w:history="1">
        <w:r w:rsidR="003A51FD" w:rsidRPr="005D2A87">
          <w:rPr>
            <w:rStyle w:val="af0"/>
            <w:noProof/>
          </w:rPr>
          <w:t>Приложение Б2. Алгоритм выбора терапии рецидива ХЛЛ/ЛМЛ</w:t>
        </w:r>
        <w:r w:rsidR="003A51FD">
          <w:rPr>
            <w:noProof/>
            <w:webHidden/>
          </w:rPr>
          <w:tab/>
        </w:r>
        <w:r w:rsidR="003A51FD">
          <w:rPr>
            <w:noProof/>
            <w:webHidden/>
          </w:rPr>
          <w:fldChar w:fldCharType="begin"/>
        </w:r>
        <w:r w:rsidR="003A51FD">
          <w:rPr>
            <w:noProof/>
            <w:webHidden/>
          </w:rPr>
          <w:instrText xml:space="preserve"> PAGEREF _Toc65068836 \h </w:instrText>
        </w:r>
        <w:r w:rsidR="003A51FD">
          <w:rPr>
            <w:noProof/>
            <w:webHidden/>
          </w:rPr>
        </w:r>
        <w:r w:rsidR="003A51FD">
          <w:rPr>
            <w:noProof/>
            <w:webHidden/>
          </w:rPr>
          <w:fldChar w:fldCharType="separate"/>
        </w:r>
        <w:r w:rsidR="003A51FD">
          <w:rPr>
            <w:noProof/>
            <w:webHidden/>
          </w:rPr>
          <w:t>257</w:t>
        </w:r>
        <w:r w:rsidR="003A51FD">
          <w:rPr>
            <w:noProof/>
            <w:webHidden/>
          </w:rPr>
          <w:fldChar w:fldCharType="end"/>
        </w:r>
      </w:hyperlink>
    </w:p>
    <w:p w14:paraId="703D5FD2" w14:textId="47DD082F"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37" w:history="1">
        <w:r w:rsidR="003A51FD" w:rsidRPr="005D2A87">
          <w:rPr>
            <w:rStyle w:val="af0"/>
            <w:noProof/>
          </w:rPr>
          <w:t>Приложение В. Информация для пациентов</w:t>
        </w:r>
        <w:r w:rsidR="003A51FD">
          <w:rPr>
            <w:noProof/>
            <w:webHidden/>
          </w:rPr>
          <w:tab/>
        </w:r>
        <w:r w:rsidR="003A51FD">
          <w:rPr>
            <w:noProof/>
            <w:webHidden/>
          </w:rPr>
          <w:fldChar w:fldCharType="begin"/>
        </w:r>
        <w:r w:rsidR="003A51FD">
          <w:rPr>
            <w:noProof/>
            <w:webHidden/>
          </w:rPr>
          <w:instrText xml:space="preserve"> PAGEREF _Toc65068837 \h </w:instrText>
        </w:r>
        <w:r w:rsidR="003A51FD">
          <w:rPr>
            <w:noProof/>
            <w:webHidden/>
          </w:rPr>
        </w:r>
        <w:r w:rsidR="003A51FD">
          <w:rPr>
            <w:noProof/>
            <w:webHidden/>
          </w:rPr>
          <w:fldChar w:fldCharType="separate"/>
        </w:r>
        <w:r w:rsidR="003A51FD">
          <w:rPr>
            <w:noProof/>
            <w:webHidden/>
          </w:rPr>
          <w:t>258</w:t>
        </w:r>
        <w:r w:rsidR="003A51FD">
          <w:rPr>
            <w:noProof/>
            <w:webHidden/>
          </w:rPr>
          <w:fldChar w:fldCharType="end"/>
        </w:r>
      </w:hyperlink>
    </w:p>
    <w:p w14:paraId="7D91FC89" w14:textId="41259723" w:rsidR="003A51FD" w:rsidRDefault="00D55F0D">
      <w:pPr>
        <w:pStyle w:val="12"/>
        <w:tabs>
          <w:tab w:val="right" w:leader="dot" w:pos="9346"/>
        </w:tabs>
        <w:rPr>
          <w:rFonts w:asciiTheme="minorHAnsi" w:eastAsiaTheme="minorEastAsia" w:hAnsiTheme="minorHAnsi" w:cstheme="minorBidi"/>
          <w:noProof/>
          <w:szCs w:val="24"/>
          <w:lang w:eastAsia="ru-RU"/>
        </w:rPr>
      </w:pPr>
      <w:hyperlink w:anchor="_Toc65068838" w:history="1">
        <w:r w:rsidR="003A51FD" w:rsidRPr="005D2A87">
          <w:rPr>
            <w:rStyle w:val="af0"/>
            <w:noProof/>
          </w:rPr>
          <w:t>Приложение Г. Шкалы оценки, вопросники  и другие оценочные инструменты состояния пациента, приведенные в клинических рекомендациях</w:t>
        </w:r>
        <w:r w:rsidR="003A51FD">
          <w:rPr>
            <w:noProof/>
            <w:webHidden/>
          </w:rPr>
          <w:tab/>
        </w:r>
        <w:r w:rsidR="003A51FD">
          <w:rPr>
            <w:noProof/>
            <w:webHidden/>
          </w:rPr>
          <w:fldChar w:fldCharType="begin"/>
        </w:r>
        <w:r w:rsidR="003A51FD">
          <w:rPr>
            <w:noProof/>
            <w:webHidden/>
          </w:rPr>
          <w:instrText xml:space="preserve"> PAGEREF _Toc65068838 \h </w:instrText>
        </w:r>
        <w:r w:rsidR="003A51FD">
          <w:rPr>
            <w:noProof/>
            <w:webHidden/>
          </w:rPr>
        </w:r>
        <w:r w:rsidR="003A51FD">
          <w:rPr>
            <w:noProof/>
            <w:webHidden/>
          </w:rPr>
          <w:fldChar w:fldCharType="separate"/>
        </w:r>
        <w:r w:rsidR="003A51FD">
          <w:rPr>
            <w:noProof/>
            <w:webHidden/>
          </w:rPr>
          <w:t>260</w:t>
        </w:r>
        <w:r w:rsidR="003A51FD">
          <w:rPr>
            <w:noProof/>
            <w:webHidden/>
          </w:rPr>
          <w:fldChar w:fldCharType="end"/>
        </w:r>
      </w:hyperlink>
    </w:p>
    <w:p w14:paraId="649220B5" w14:textId="0614C941"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39" w:history="1">
        <w:r w:rsidR="003A51FD" w:rsidRPr="005D2A87">
          <w:rPr>
            <w:rStyle w:val="af0"/>
            <w:noProof/>
          </w:rPr>
          <w:t xml:space="preserve">Приложение Г1. Шкала оценки общего состояния пациента </w:t>
        </w:r>
        <w:r w:rsidR="003A51FD" w:rsidRPr="005D2A87">
          <w:rPr>
            <w:rStyle w:val="af0"/>
            <w:noProof/>
            <w:lang w:val="en-US"/>
          </w:rPr>
          <w:t>ECOG</w:t>
        </w:r>
        <w:r w:rsidR="003A51FD">
          <w:rPr>
            <w:noProof/>
            <w:webHidden/>
          </w:rPr>
          <w:tab/>
        </w:r>
        <w:r w:rsidR="003A51FD">
          <w:rPr>
            <w:noProof/>
            <w:webHidden/>
          </w:rPr>
          <w:fldChar w:fldCharType="begin"/>
        </w:r>
        <w:r w:rsidR="003A51FD">
          <w:rPr>
            <w:noProof/>
            <w:webHidden/>
          </w:rPr>
          <w:instrText xml:space="preserve"> PAGEREF _Toc65068839 \h </w:instrText>
        </w:r>
        <w:r w:rsidR="003A51FD">
          <w:rPr>
            <w:noProof/>
            <w:webHidden/>
          </w:rPr>
        </w:r>
        <w:r w:rsidR="003A51FD">
          <w:rPr>
            <w:noProof/>
            <w:webHidden/>
          </w:rPr>
          <w:fldChar w:fldCharType="separate"/>
        </w:r>
        <w:r w:rsidR="003A51FD">
          <w:rPr>
            <w:noProof/>
            <w:webHidden/>
          </w:rPr>
          <w:t>260</w:t>
        </w:r>
        <w:r w:rsidR="003A51FD">
          <w:rPr>
            <w:noProof/>
            <w:webHidden/>
          </w:rPr>
          <w:fldChar w:fldCharType="end"/>
        </w:r>
      </w:hyperlink>
    </w:p>
    <w:p w14:paraId="54FDB338" w14:textId="38977F92"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40" w:history="1">
        <w:r w:rsidR="003A51FD" w:rsidRPr="005D2A87">
          <w:rPr>
            <w:rStyle w:val="af0"/>
            <w:noProof/>
          </w:rPr>
          <w:t xml:space="preserve">Приложение Г2. Шкала оценки коморбидности </w:t>
        </w:r>
        <w:r w:rsidR="003A51FD" w:rsidRPr="005D2A87">
          <w:rPr>
            <w:rStyle w:val="af0"/>
            <w:noProof/>
            <w:lang w:val="en-US"/>
          </w:rPr>
          <w:t>CIRS</w:t>
        </w:r>
        <w:r w:rsidR="003A51FD">
          <w:rPr>
            <w:noProof/>
            <w:webHidden/>
          </w:rPr>
          <w:tab/>
        </w:r>
        <w:r w:rsidR="003A51FD">
          <w:rPr>
            <w:noProof/>
            <w:webHidden/>
          </w:rPr>
          <w:fldChar w:fldCharType="begin"/>
        </w:r>
        <w:r w:rsidR="003A51FD">
          <w:rPr>
            <w:noProof/>
            <w:webHidden/>
          </w:rPr>
          <w:instrText xml:space="preserve"> PAGEREF _Toc65068840 \h </w:instrText>
        </w:r>
        <w:r w:rsidR="003A51FD">
          <w:rPr>
            <w:noProof/>
            <w:webHidden/>
          </w:rPr>
        </w:r>
        <w:r w:rsidR="003A51FD">
          <w:rPr>
            <w:noProof/>
            <w:webHidden/>
          </w:rPr>
          <w:fldChar w:fldCharType="separate"/>
        </w:r>
        <w:r w:rsidR="003A51FD">
          <w:rPr>
            <w:noProof/>
            <w:webHidden/>
          </w:rPr>
          <w:t>260</w:t>
        </w:r>
        <w:r w:rsidR="003A51FD">
          <w:rPr>
            <w:noProof/>
            <w:webHidden/>
          </w:rPr>
          <w:fldChar w:fldCharType="end"/>
        </w:r>
      </w:hyperlink>
    </w:p>
    <w:p w14:paraId="23D141AA" w14:textId="5DFA01DF"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41" w:history="1">
        <w:r w:rsidR="003A51FD" w:rsidRPr="005D2A87">
          <w:rPr>
            <w:rStyle w:val="af0"/>
            <w:noProof/>
          </w:rPr>
          <w:t xml:space="preserve">Приложение Г3. </w:t>
        </w:r>
        <w:r w:rsidR="003A51FD" w:rsidRPr="005D2A87">
          <w:rPr>
            <w:rStyle w:val="af0"/>
            <w:rFonts w:eastAsia="SimSun"/>
            <w:noProof/>
          </w:rPr>
          <w:t>Расчет трансплантационного риска по шкале EBMT</w:t>
        </w:r>
        <w:r w:rsidR="003A51FD">
          <w:rPr>
            <w:noProof/>
            <w:webHidden/>
          </w:rPr>
          <w:tab/>
        </w:r>
        <w:r w:rsidR="003A51FD">
          <w:rPr>
            <w:noProof/>
            <w:webHidden/>
          </w:rPr>
          <w:fldChar w:fldCharType="begin"/>
        </w:r>
        <w:r w:rsidR="003A51FD">
          <w:rPr>
            <w:noProof/>
            <w:webHidden/>
          </w:rPr>
          <w:instrText xml:space="preserve"> PAGEREF _Toc65068841 \h </w:instrText>
        </w:r>
        <w:r w:rsidR="003A51FD">
          <w:rPr>
            <w:noProof/>
            <w:webHidden/>
          </w:rPr>
        </w:r>
        <w:r w:rsidR="003A51FD">
          <w:rPr>
            <w:noProof/>
            <w:webHidden/>
          </w:rPr>
          <w:fldChar w:fldCharType="separate"/>
        </w:r>
        <w:r w:rsidR="003A51FD">
          <w:rPr>
            <w:noProof/>
            <w:webHidden/>
          </w:rPr>
          <w:t>262</w:t>
        </w:r>
        <w:r w:rsidR="003A51FD">
          <w:rPr>
            <w:noProof/>
            <w:webHidden/>
          </w:rPr>
          <w:fldChar w:fldCharType="end"/>
        </w:r>
      </w:hyperlink>
    </w:p>
    <w:p w14:paraId="2DD0D3D3" w14:textId="4FF8FCD0" w:rsidR="003A51FD" w:rsidRDefault="00D55F0D">
      <w:pPr>
        <w:pStyle w:val="21"/>
        <w:tabs>
          <w:tab w:val="right" w:leader="dot" w:pos="9346"/>
        </w:tabs>
        <w:rPr>
          <w:rFonts w:asciiTheme="minorHAnsi" w:eastAsiaTheme="minorEastAsia" w:hAnsiTheme="minorHAnsi" w:cstheme="minorBidi"/>
          <w:noProof/>
          <w:szCs w:val="24"/>
          <w:lang w:eastAsia="ru-RU"/>
        </w:rPr>
      </w:pPr>
      <w:hyperlink w:anchor="_Toc65068842" w:history="1">
        <w:r w:rsidR="003A51FD" w:rsidRPr="005D2A87">
          <w:rPr>
            <w:rStyle w:val="af0"/>
            <w:noProof/>
          </w:rPr>
          <w:t xml:space="preserve">Приложение Г4. </w:t>
        </w:r>
        <w:r w:rsidR="003A51FD" w:rsidRPr="005D2A87">
          <w:rPr>
            <w:rStyle w:val="af0"/>
            <w:rFonts w:eastAsia="SimSun"/>
            <w:noProof/>
          </w:rPr>
          <w:t>Расчет трансплантационного риска по шкале HCT-CI</w:t>
        </w:r>
        <w:r w:rsidR="003A51FD">
          <w:rPr>
            <w:noProof/>
            <w:webHidden/>
          </w:rPr>
          <w:tab/>
        </w:r>
        <w:r w:rsidR="003A51FD">
          <w:rPr>
            <w:noProof/>
            <w:webHidden/>
          </w:rPr>
          <w:fldChar w:fldCharType="begin"/>
        </w:r>
        <w:r w:rsidR="003A51FD">
          <w:rPr>
            <w:noProof/>
            <w:webHidden/>
          </w:rPr>
          <w:instrText xml:space="preserve"> PAGEREF _Toc65068842 \h </w:instrText>
        </w:r>
        <w:r w:rsidR="003A51FD">
          <w:rPr>
            <w:noProof/>
            <w:webHidden/>
          </w:rPr>
        </w:r>
        <w:r w:rsidR="003A51FD">
          <w:rPr>
            <w:noProof/>
            <w:webHidden/>
          </w:rPr>
          <w:fldChar w:fldCharType="separate"/>
        </w:r>
        <w:r w:rsidR="003A51FD">
          <w:rPr>
            <w:noProof/>
            <w:webHidden/>
          </w:rPr>
          <w:t>263</w:t>
        </w:r>
        <w:r w:rsidR="003A51FD">
          <w:rPr>
            <w:noProof/>
            <w:webHidden/>
          </w:rPr>
          <w:fldChar w:fldCharType="end"/>
        </w:r>
      </w:hyperlink>
    </w:p>
    <w:p w14:paraId="0266D718" w14:textId="3F5B20EA" w:rsidR="004D7374" w:rsidRDefault="000B0AC3" w:rsidP="005D3BBD">
      <w:pPr>
        <w:pStyle w:val="af9"/>
        <w:spacing w:before="0"/>
      </w:pPr>
      <w:r>
        <w:rPr>
          <w:bCs/>
        </w:rPr>
        <w:fldChar w:fldCharType="end"/>
      </w:r>
      <w:bookmarkStart w:id="3" w:name="_Toc520213121"/>
      <w:r w:rsidR="00E36621">
        <w:br w:type="page"/>
      </w:r>
      <w:bookmarkStart w:id="4" w:name="_Toc23601710"/>
      <w:bookmarkStart w:id="5" w:name="_Toc65068790"/>
      <w:r w:rsidR="004D7374">
        <w:lastRenderedPageBreak/>
        <w:t>Список сокращений</w:t>
      </w:r>
      <w:bookmarkEnd w:id="3"/>
      <w:bookmarkEnd w:id="4"/>
      <w:bookmarkEnd w:id="5"/>
    </w:p>
    <w:p w14:paraId="55ED52DF" w14:textId="77777777" w:rsidR="00D620D3" w:rsidRPr="00AB45B2" w:rsidRDefault="00D620D3" w:rsidP="00D620D3">
      <w:pPr>
        <w:rPr>
          <w:szCs w:val="24"/>
        </w:rPr>
      </w:pPr>
      <w:r w:rsidRPr="00AB45B2">
        <w:rPr>
          <w:szCs w:val="24"/>
        </w:rPr>
        <w:t>АВ-блокада – атриовентрикулярная блокада</w:t>
      </w:r>
    </w:p>
    <w:p w14:paraId="0C910D95" w14:textId="57E68E95" w:rsidR="00D620D3" w:rsidRPr="00AB45B2" w:rsidRDefault="00D620D3" w:rsidP="00D620D3">
      <w:pPr>
        <w:rPr>
          <w:szCs w:val="24"/>
        </w:rPr>
      </w:pPr>
      <w:r w:rsidRPr="00AB45B2">
        <w:rPr>
          <w:szCs w:val="24"/>
        </w:rPr>
        <w:t xml:space="preserve">АГ </w:t>
      </w:r>
      <w:r w:rsidR="007858A0">
        <w:rPr>
          <w:szCs w:val="24"/>
        </w:rPr>
        <w:t>–</w:t>
      </w:r>
      <w:r w:rsidRPr="00AB45B2">
        <w:rPr>
          <w:szCs w:val="24"/>
        </w:rPr>
        <w:t xml:space="preserve"> артериальная гипертензия</w:t>
      </w:r>
    </w:p>
    <w:p w14:paraId="33C2B511" w14:textId="14EDE628" w:rsidR="00D620D3" w:rsidRDefault="00D620D3" w:rsidP="00D620D3">
      <w:pPr>
        <w:rPr>
          <w:szCs w:val="24"/>
        </w:rPr>
      </w:pPr>
      <w:r w:rsidRPr="00AB45B2">
        <w:rPr>
          <w:szCs w:val="24"/>
        </w:rPr>
        <w:t xml:space="preserve">АД </w:t>
      </w:r>
      <w:r w:rsidR="007858A0">
        <w:rPr>
          <w:szCs w:val="24"/>
        </w:rPr>
        <w:t>–</w:t>
      </w:r>
      <w:r w:rsidRPr="00AB45B2">
        <w:rPr>
          <w:szCs w:val="24"/>
        </w:rPr>
        <w:t xml:space="preserve"> артериальное давление</w:t>
      </w:r>
    </w:p>
    <w:p w14:paraId="3E5677D4" w14:textId="5CCCEB43" w:rsidR="007629D4" w:rsidRDefault="007629D4" w:rsidP="005D3BBD">
      <w:pPr>
        <w:contextualSpacing/>
      </w:pPr>
      <w:r>
        <w:t>АЛТ – аланинаминотрансфераза</w:t>
      </w:r>
    </w:p>
    <w:p w14:paraId="1A51ECCD" w14:textId="27AD7024" w:rsidR="007858A0" w:rsidRDefault="007858A0" w:rsidP="007858A0">
      <w:pPr>
        <w:rPr>
          <w:szCs w:val="24"/>
        </w:rPr>
      </w:pPr>
      <w:r w:rsidRPr="00AB45B2">
        <w:rPr>
          <w:szCs w:val="24"/>
        </w:rPr>
        <w:t xml:space="preserve">АРА </w:t>
      </w:r>
      <w:r>
        <w:rPr>
          <w:szCs w:val="24"/>
        </w:rPr>
        <w:t>–</w:t>
      </w:r>
      <w:r w:rsidRPr="00AB45B2">
        <w:rPr>
          <w:szCs w:val="24"/>
        </w:rPr>
        <w:t xml:space="preserve"> антагонисты рецепторов ангиотензина </w:t>
      </w:r>
      <w:r w:rsidRPr="00AB45B2">
        <w:rPr>
          <w:szCs w:val="24"/>
          <w:lang w:val="en-US"/>
        </w:rPr>
        <w:t>II</w:t>
      </w:r>
    </w:p>
    <w:p w14:paraId="163FDE21" w14:textId="77777777" w:rsidR="007629D4" w:rsidRDefault="007629D4" w:rsidP="005D3BBD">
      <w:pPr>
        <w:contextualSpacing/>
      </w:pPr>
      <w:r>
        <w:t>АСТ – аспартатаминотрансфераза</w:t>
      </w:r>
    </w:p>
    <w:p w14:paraId="2B3967DD" w14:textId="77777777" w:rsidR="00F46609" w:rsidRDefault="00F46609" w:rsidP="005D3BBD">
      <w:pPr>
        <w:contextualSpacing/>
      </w:pPr>
      <w:r>
        <w:t>АЧТВ – активированное частичное тромбопластиновое время</w:t>
      </w:r>
    </w:p>
    <w:p w14:paraId="1CF65267" w14:textId="18D04B48" w:rsidR="00BF22C9" w:rsidRPr="00761653" w:rsidRDefault="00BF22C9" w:rsidP="00BF22C9">
      <w:r w:rsidRPr="00761653">
        <w:t>БАЛ – бронхоальвеолярный лаваж</w:t>
      </w:r>
    </w:p>
    <w:p w14:paraId="4CF0A108" w14:textId="77777777" w:rsidR="00BF22C9" w:rsidRPr="00761653" w:rsidRDefault="00BF22C9" w:rsidP="00BF22C9">
      <w:r w:rsidRPr="00761653">
        <w:t>БЛРС – β-лактамазы расширенного спектра</w:t>
      </w:r>
    </w:p>
    <w:p w14:paraId="5A4F6FBB" w14:textId="4B1AA1BA" w:rsidR="007858A0" w:rsidRPr="007858A0" w:rsidRDefault="007858A0" w:rsidP="005D3BBD">
      <w:pPr>
        <w:rPr>
          <w:szCs w:val="24"/>
        </w:rPr>
      </w:pPr>
      <w:r w:rsidRPr="00AB45B2">
        <w:rPr>
          <w:szCs w:val="24"/>
        </w:rPr>
        <w:t xml:space="preserve">БПА </w:t>
      </w:r>
      <w:r>
        <w:rPr>
          <w:szCs w:val="24"/>
        </w:rPr>
        <w:t>–</w:t>
      </w:r>
      <w:r w:rsidRPr="00AB45B2">
        <w:rPr>
          <w:szCs w:val="24"/>
        </w:rPr>
        <w:t xml:space="preserve"> болезнь периферических артерий</w:t>
      </w:r>
    </w:p>
    <w:p w14:paraId="545254E3" w14:textId="5D6DD9F5" w:rsidR="004D7374" w:rsidRDefault="004D7374" w:rsidP="005D3BBD">
      <w:pPr>
        <w:contextualSpacing/>
      </w:pPr>
      <w:r>
        <w:t>ВБП – выживаемость без прогрессирования</w:t>
      </w:r>
    </w:p>
    <w:p w14:paraId="51839636" w14:textId="504B505A" w:rsidR="00C466A6" w:rsidRDefault="00C466A6" w:rsidP="00C466A6">
      <w:pPr>
        <w:widowControl w:val="0"/>
        <w:autoSpaceDE w:val="0"/>
        <w:autoSpaceDN w:val="0"/>
        <w:adjustRightInd w:val="0"/>
        <w:ind w:right="51"/>
        <w:contextualSpacing/>
        <w:rPr>
          <w:bCs/>
        </w:rPr>
      </w:pPr>
      <w:r w:rsidRPr="00DA2BC8">
        <w:rPr>
          <w:bCs/>
        </w:rPr>
        <w:t>ВИЧ – вирус иммунодефицита человека</w:t>
      </w:r>
    </w:p>
    <w:p w14:paraId="33B94FA6" w14:textId="77777777" w:rsidR="00C873C3" w:rsidRPr="00DA2BC8" w:rsidRDefault="00C873C3" w:rsidP="00C873C3">
      <w:pPr>
        <w:widowControl w:val="0"/>
        <w:autoSpaceDE w:val="0"/>
        <w:autoSpaceDN w:val="0"/>
        <w:adjustRightInd w:val="0"/>
        <w:ind w:right="51"/>
        <w:contextualSpacing/>
        <w:rPr>
          <w:bCs/>
        </w:rPr>
      </w:pPr>
      <w:r w:rsidRPr="00DA2BC8">
        <w:rPr>
          <w:bCs/>
        </w:rPr>
        <w:t>ГСК – гемопоэтические стволовые клетки</w:t>
      </w:r>
    </w:p>
    <w:p w14:paraId="758F6CDE" w14:textId="77777777" w:rsidR="004D7374" w:rsidRDefault="004D7374" w:rsidP="005D3BBD">
      <w:pPr>
        <w:contextualSpacing/>
      </w:pPr>
      <w:r>
        <w:t>ДИ – доверительный интервал</w:t>
      </w:r>
    </w:p>
    <w:p w14:paraId="13F7CE4F" w14:textId="77777777" w:rsidR="00BF22C9" w:rsidRPr="00761653" w:rsidRDefault="00BF22C9" w:rsidP="00BF22C9">
      <w:r w:rsidRPr="00761653">
        <w:t>ДНК – дезоксирибонуклеиновая кислота</w:t>
      </w:r>
    </w:p>
    <w:p w14:paraId="08BE1872" w14:textId="2D38DB3A" w:rsidR="005A2BA9" w:rsidRPr="005A2BA9" w:rsidRDefault="005A2BA9" w:rsidP="00BF22C9">
      <w:pPr>
        <w:rPr>
          <w:szCs w:val="24"/>
        </w:rPr>
      </w:pPr>
      <w:r w:rsidRPr="00AB45B2">
        <w:rPr>
          <w:szCs w:val="24"/>
        </w:rPr>
        <w:t xml:space="preserve">иАПФ </w:t>
      </w:r>
      <w:r>
        <w:rPr>
          <w:szCs w:val="24"/>
        </w:rPr>
        <w:t>–</w:t>
      </w:r>
      <w:r w:rsidRPr="00AB45B2">
        <w:rPr>
          <w:szCs w:val="24"/>
        </w:rPr>
        <w:t xml:space="preserve"> ингибиторы ангиотензин превращающего фермента</w:t>
      </w:r>
    </w:p>
    <w:p w14:paraId="203D987D" w14:textId="494A792B" w:rsidR="005A2BA9" w:rsidRPr="005A2BA9" w:rsidRDefault="005A2BA9" w:rsidP="00BF22C9">
      <w:pPr>
        <w:rPr>
          <w:szCs w:val="24"/>
        </w:rPr>
      </w:pPr>
      <w:r w:rsidRPr="00AB45B2">
        <w:rPr>
          <w:szCs w:val="24"/>
        </w:rPr>
        <w:t xml:space="preserve">ИБС </w:t>
      </w:r>
      <w:r>
        <w:rPr>
          <w:szCs w:val="24"/>
        </w:rPr>
        <w:t>–</w:t>
      </w:r>
      <w:r w:rsidRPr="00AB45B2">
        <w:rPr>
          <w:szCs w:val="24"/>
        </w:rPr>
        <w:t xml:space="preserve"> ишемическая болезнь сердца</w:t>
      </w:r>
    </w:p>
    <w:p w14:paraId="6517C2AD" w14:textId="77777777" w:rsidR="005A2BA9" w:rsidRDefault="005A2BA9" w:rsidP="005A2BA9">
      <w:pPr>
        <w:rPr>
          <w:szCs w:val="24"/>
        </w:rPr>
      </w:pPr>
      <w:r w:rsidRPr="00AB45B2">
        <w:rPr>
          <w:szCs w:val="24"/>
        </w:rPr>
        <w:t xml:space="preserve">КАГ </w:t>
      </w:r>
      <w:r>
        <w:rPr>
          <w:szCs w:val="24"/>
        </w:rPr>
        <w:t>–</w:t>
      </w:r>
      <w:r w:rsidRPr="00AB45B2">
        <w:rPr>
          <w:szCs w:val="24"/>
        </w:rPr>
        <w:t xml:space="preserve"> коронароангиография</w:t>
      </w:r>
    </w:p>
    <w:p w14:paraId="00659EC6" w14:textId="0E74FEC1" w:rsidR="00BF22C9" w:rsidRPr="00761653" w:rsidRDefault="00BF22C9" w:rsidP="00BF22C9">
      <w:r w:rsidRPr="00761653">
        <w:t>КОЕ – колониеобразующая единица</w:t>
      </w:r>
    </w:p>
    <w:p w14:paraId="1A5069C7" w14:textId="2360B28F" w:rsidR="005554E5" w:rsidRDefault="005554E5" w:rsidP="005D3BBD">
      <w:pPr>
        <w:contextualSpacing/>
      </w:pPr>
      <w:r>
        <w:t>КТ – компьютерная томография</w:t>
      </w:r>
    </w:p>
    <w:p w14:paraId="73D427E3" w14:textId="77777777" w:rsidR="005A2BA9" w:rsidRPr="00AB45B2" w:rsidRDefault="005A2BA9" w:rsidP="005A2BA9">
      <w:pPr>
        <w:rPr>
          <w:szCs w:val="24"/>
        </w:rPr>
      </w:pPr>
      <w:r w:rsidRPr="00AB45B2">
        <w:rPr>
          <w:szCs w:val="24"/>
        </w:rPr>
        <w:t xml:space="preserve">КФК общ. </w:t>
      </w:r>
      <w:r>
        <w:rPr>
          <w:szCs w:val="24"/>
        </w:rPr>
        <w:t>–</w:t>
      </w:r>
      <w:r w:rsidRPr="00AB45B2">
        <w:rPr>
          <w:szCs w:val="24"/>
        </w:rPr>
        <w:t xml:space="preserve"> креатинфосфокиназа общая</w:t>
      </w:r>
    </w:p>
    <w:p w14:paraId="2D0B2507" w14:textId="77777777" w:rsidR="005A2BA9" w:rsidRPr="00AB45B2" w:rsidRDefault="005A2BA9" w:rsidP="005A2BA9">
      <w:pPr>
        <w:rPr>
          <w:szCs w:val="24"/>
        </w:rPr>
      </w:pPr>
      <w:r w:rsidRPr="00AB45B2">
        <w:rPr>
          <w:szCs w:val="24"/>
        </w:rPr>
        <w:t>КФК-МБ – фракция креатинкиназы, являющаяся специфичным и чувствительным инди-катором повреждения миокарда.</w:t>
      </w:r>
    </w:p>
    <w:p w14:paraId="19F6A4C7" w14:textId="41473C99" w:rsidR="004D7374" w:rsidRDefault="004D7374" w:rsidP="005D3BBD">
      <w:pPr>
        <w:contextualSpacing/>
      </w:pPr>
      <w:r>
        <w:t>ЛМЛ – лимфома из малых лимфоцитов</w:t>
      </w:r>
    </w:p>
    <w:p w14:paraId="64EC9D76" w14:textId="7079D950" w:rsidR="005A2BA9" w:rsidRPr="005A2BA9" w:rsidRDefault="005A2BA9" w:rsidP="005D3BBD">
      <w:pPr>
        <w:rPr>
          <w:szCs w:val="24"/>
        </w:rPr>
      </w:pPr>
      <w:r w:rsidRPr="00AB45B2">
        <w:rPr>
          <w:szCs w:val="24"/>
        </w:rPr>
        <w:t xml:space="preserve">ЛПНП </w:t>
      </w:r>
      <w:r>
        <w:rPr>
          <w:szCs w:val="24"/>
        </w:rPr>
        <w:t>–</w:t>
      </w:r>
      <w:r w:rsidRPr="00AB45B2">
        <w:rPr>
          <w:szCs w:val="24"/>
        </w:rPr>
        <w:t xml:space="preserve"> липопротеиды низкой плотности</w:t>
      </w:r>
    </w:p>
    <w:p w14:paraId="261C2396" w14:textId="77777777" w:rsidR="000C05AF" w:rsidRDefault="000C05AF" w:rsidP="005D3BBD">
      <w:pPr>
        <w:contextualSpacing/>
      </w:pPr>
      <w:r>
        <w:t>МВКЛ – моноклональный В-клеточный лимфоцитоз</w:t>
      </w:r>
    </w:p>
    <w:p w14:paraId="3CC81E77" w14:textId="77777777" w:rsidR="00BF22C9" w:rsidRDefault="00BF22C9" w:rsidP="00BF22C9">
      <w:r w:rsidRPr="00761653">
        <w:t>МЕ – международная единица</w:t>
      </w:r>
    </w:p>
    <w:p w14:paraId="208DFB4C" w14:textId="08BB1801" w:rsidR="00F46609" w:rsidRDefault="00F46609" w:rsidP="005D3BBD">
      <w:pPr>
        <w:contextualSpacing/>
      </w:pPr>
      <w:r>
        <w:t>МНО – международное нормализованное отношение</w:t>
      </w:r>
    </w:p>
    <w:p w14:paraId="01EE693B" w14:textId="77777777" w:rsidR="004D7374" w:rsidRDefault="004D7374" w:rsidP="005D3BBD">
      <w:pPr>
        <w:contextualSpacing/>
      </w:pPr>
      <w:r>
        <w:t>МОБ – минимальная остаточная болезнь</w:t>
      </w:r>
    </w:p>
    <w:p w14:paraId="3247AF03" w14:textId="77777777" w:rsidR="004D7374" w:rsidRDefault="004D7374" w:rsidP="005D3BBD">
      <w:pPr>
        <w:contextualSpacing/>
      </w:pPr>
      <w:r>
        <w:t>МПИ – международный прогностический индекс</w:t>
      </w:r>
    </w:p>
    <w:p w14:paraId="654F8B41" w14:textId="77777777" w:rsidR="00BF22C9" w:rsidRPr="00761653" w:rsidRDefault="00BF22C9" w:rsidP="00BF22C9">
      <w:r w:rsidRPr="00761653">
        <w:rPr>
          <w:bCs/>
          <w:iCs/>
        </w:rPr>
        <w:t>МПК – минимальная подавляющая концентрация</w:t>
      </w:r>
    </w:p>
    <w:p w14:paraId="6204D7B1" w14:textId="77777777" w:rsidR="00BF22C9" w:rsidRPr="00761653" w:rsidRDefault="00BF22C9" w:rsidP="00BF22C9">
      <w:r w:rsidRPr="00761653">
        <w:t>МРТ – магнитно-резонансная томография</w:t>
      </w:r>
    </w:p>
    <w:p w14:paraId="0311D0E0" w14:textId="75E00954" w:rsidR="004D7374" w:rsidRDefault="004D7374" w:rsidP="005D3BBD">
      <w:pPr>
        <w:contextualSpacing/>
      </w:pPr>
      <w:r>
        <w:t>ОВ – общая выживаемость</w:t>
      </w:r>
    </w:p>
    <w:p w14:paraId="1B04C4C5" w14:textId="1BAC2094" w:rsidR="00A76E18" w:rsidRDefault="00A76E18" w:rsidP="005D3BBD">
      <w:r w:rsidRPr="00053026">
        <w:t>ОМЛ – острый миелоидный лейкоз</w:t>
      </w:r>
    </w:p>
    <w:p w14:paraId="0C2B8661" w14:textId="77777777" w:rsidR="000D4986" w:rsidRDefault="000D4986" w:rsidP="000D4986">
      <w:pPr>
        <w:rPr>
          <w:szCs w:val="24"/>
        </w:rPr>
      </w:pPr>
      <w:r>
        <w:rPr>
          <w:szCs w:val="24"/>
        </w:rPr>
        <w:lastRenderedPageBreak/>
        <w:t>ОКС–- острый коронарный синдром</w:t>
      </w:r>
    </w:p>
    <w:p w14:paraId="7CCEFBCB" w14:textId="77777777" w:rsidR="000D4986" w:rsidRPr="00AB45B2" w:rsidRDefault="000D4986" w:rsidP="000D4986">
      <w:pPr>
        <w:rPr>
          <w:szCs w:val="24"/>
        </w:rPr>
      </w:pPr>
      <w:r>
        <w:rPr>
          <w:szCs w:val="24"/>
        </w:rPr>
        <w:t>ОПН – острая почечная недостаточность</w:t>
      </w:r>
    </w:p>
    <w:p w14:paraId="5D86D021" w14:textId="0D6DB1DA" w:rsidR="001F4A9B" w:rsidRDefault="001F4A9B" w:rsidP="005D3BBD">
      <w:pPr>
        <w:contextualSpacing/>
      </w:pPr>
      <w:r>
        <w:t>ОР – отношение рисков</w:t>
      </w:r>
    </w:p>
    <w:p w14:paraId="444CB09E" w14:textId="6A60C038" w:rsidR="00A76E18" w:rsidRDefault="00D94B05" w:rsidP="005D3BBD">
      <w:r w:rsidRPr="00053026">
        <w:t>ПХТ – полихимиотерапия</w:t>
      </w:r>
    </w:p>
    <w:p w14:paraId="21E1584A" w14:textId="78BDEE22" w:rsidR="00BF22C9" w:rsidRDefault="00BF22C9" w:rsidP="00BF22C9">
      <w:r w:rsidRPr="00761653">
        <w:t>ПЦР – полимеразная цепная реакция</w:t>
      </w:r>
    </w:p>
    <w:p w14:paraId="391A83C0" w14:textId="77777777" w:rsidR="00C873C3" w:rsidRPr="00DA2BC8" w:rsidRDefault="00C873C3" w:rsidP="00C873C3">
      <w:pPr>
        <w:widowControl w:val="0"/>
        <w:autoSpaceDE w:val="0"/>
        <w:autoSpaceDN w:val="0"/>
        <w:adjustRightInd w:val="0"/>
        <w:ind w:right="51"/>
        <w:contextualSpacing/>
        <w:rPr>
          <w:bCs/>
        </w:rPr>
      </w:pPr>
      <w:r w:rsidRPr="00DA2BC8">
        <w:rPr>
          <w:bCs/>
        </w:rPr>
        <w:t>pРНК – рибосомная рибонуклеиновая кислота</w:t>
      </w:r>
    </w:p>
    <w:p w14:paraId="7F59224F" w14:textId="75000F9B" w:rsidR="00D94B05" w:rsidRDefault="00D94B05" w:rsidP="00BF22C9">
      <w:r w:rsidRPr="00053026">
        <w:t>РТПХ – реакция «трансплантат против хозяина»</w:t>
      </w:r>
    </w:p>
    <w:p w14:paraId="1E63A7D2" w14:textId="4FF6CB8C" w:rsidR="00D94B05" w:rsidRPr="00761653" w:rsidRDefault="00D94B05" w:rsidP="00BF22C9">
      <w:r w:rsidRPr="00053026">
        <w:t>СМЖ</w:t>
      </w:r>
      <w:r>
        <w:t xml:space="preserve"> – спинномозговая жидкость</w:t>
      </w:r>
    </w:p>
    <w:p w14:paraId="4CE911AD" w14:textId="77777777" w:rsidR="00BF22C9" w:rsidRPr="00761653" w:rsidRDefault="00BF22C9" w:rsidP="00BF22C9">
      <w:r w:rsidRPr="00761653">
        <w:t>ТГСК – трансплантация гемопоэтических стволовых клеток</w:t>
      </w:r>
    </w:p>
    <w:p w14:paraId="63694E4D" w14:textId="77777777" w:rsidR="008569ED" w:rsidRDefault="008569ED" w:rsidP="008569ED">
      <w:pPr>
        <w:rPr>
          <w:szCs w:val="24"/>
        </w:rPr>
      </w:pPr>
      <w:r>
        <w:rPr>
          <w:szCs w:val="24"/>
        </w:rPr>
        <w:t xml:space="preserve">ФВЛЖ </w:t>
      </w:r>
      <w:r w:rsidRPr="00AB45B2">
        <w:rPr>
          <w:szCs w:val="24"/>
        </w:rPr>
        <w:t>– фракция выброса</w:t>
      </w:r>
      <w:r>
        <w:rPr>
          <w:szCs w:val="24"/>
        </w:rPr>
        <w:t xml:space="preserve"> левого желудочка</w:t>
      </w:r>
    </w:p>
    <w:p w14:paraId="22E26C81" w14:textId="73B3FECC" w:rsidR="008569ED" w:rsidRPr="008569ED" w:rsidRDefault="008569ED" w:rsidP="005D3BBD">
      <w:pPr>
        <w:rPr>
          <w:szCs w:val="24"/>
        </w:rPr>
      </w:pPr>
      <w:r w:rsidRPr="00AB45B2">
        <w:rPr>
          <w:szCs w:val="24"/>
        </w:rPr>
        <w:t>ФП – фибрилляция предсердий</w:t>
      </w:r>
    </w:p>
    <w:p w14:paraId="17EB6905" w14:textId="4E3002A6" w:rsidR="000F2499" w:rsidRDefault="000F2499" w:rsidP="005D3BBD">
      <w:pPr>
        <w:contextualSpacing/>
      </w:pPr>
      <w:r>
        <w:t>УЗИ – ультразвуковое исследование</w:t>
      </w:r>
    </w:p>
    <w:p w14:paraId="1E944642" w14:textId="77777777" w:rsidR="008569ED" w:rsidRPr="00AB45B2" w:rsidRDefault="008569ED" w:rsidP="008569ED">
      <w:pPr>
        <w:rPr>
          <w:szCs w:val="24"/>
        </w:rPr>
      </w:pPr>
      <w:r>
        <w:rPr>
          <w:szCs w:val="24"/>
        </w:rPr>
        <w:t>ХБП – хроническая болезнь почек</w:t>
      </w:r>
    </w:p>
    <w:p w14:paraId="4A8C8AA0" w14:textId="77777777" w:rsidR="008569ED" w:rsidRDefault="008569ED" w:rsidP="008569ED">
      <w:pPr>
        <w:contextualSpacing/>
      </w:pPr>
      <w:r w:rsidRPr="00D012C9">
        <w:t>ХЛЛ –</w:t>
      </w:r>
      <w:r>
        <w:t xml:space="preserve">хронический </w:t>
      </w:r>
      <w:r w:rsidRPr="00D012C9">
        <w:t>лимфоцитарный лейкоз</w:t>
      </w:r>
    </w:p>
    <w:p w14:paraId="65A8D418" w14:textId="77777777" w:rsidR="008569ED" w:rsidRDefault="008569ED" w:rsidP="008569ED">
      <w:pPr>
        <w:rPr>
          <w:szCs w:val="24"/>
        </w:rPr>
      </w:pPr>
      <w:r>
        <w:rPr>
          <w:szCs w:val="24"/>
        </w:rPr>
        <w:t>ХПН – хроническая почечная недостаточность</w:t>
      </w:r>
    </w:p>
    <w:p w14:paraId="6BF624E8" w14:textId="77777777" w:rsidR="008569ED" w:rsidRDefault="008569ED" w:rsidP="008569ED">
      <w:pPr>
        <w:rPr>
          <w:szCs w:val="24"/>
        </w:rPr>
      </w:pPr>
      <w:r w:rsidRPr="00AB45B2">
        <w:rPr>
          <w:szCs w:val="24"/>
        </w:rPr>
        <w:t>ХСН – хроническая сердечная недостаточность</w:t>
      </w:r>
    </w:p>
    <w:p w14:paraId="0F896B34" w14:textId="77777777" w:rsidR="00BF22C9" w:rsidRPr="00761653" w:rsidRDefault="00BF22C9" w:rsidP="00BF22C9">
      <w:r w:rsidRPr="00761653">
        <w:t>ЦВК – центральный венозный катетер</w:t>
      </w:r>
    </w:p>
    <w:p w14:paraId="5AE3C3E5" w14:textId="430103FC" w:rsidR="00BF22C9" w:rsidRDefault="00BF22C9" w:rsidP="00BF22C9">
      <w:r w:rsidRPr="00761653">
        <w:t>ЦНС – центральная нервная система</w:t>
      </w:r>
    </w:p>
    <w:p w14:paraId="178FE57D" w14:textId="77777777" w:rsidR="008569ED" w:rsidRPr="00AB45B2" w:rsidRDefault="008569ED" w:rsidP="008569ED">
      <w:pPr>
        <w:rPr>
          <w:szCs w:val="24"/>
        </w:rPr>
      </w:pPr>
      <w:r w:rsidRPr="00AB45B2">
        <w:rPr>
          <w:szCs w:val="24"/>
        </w:rPr>
        <w:t>ЧПЭХО-КГ – чреспищеводная эхокардиография</w:t>
      </w:r>
    </w:p>
    <w:p w14:paraId="1902B2BE" w14:textId="79B82EFE" w:rsidR="008569ED" w:rsidRPr="008569ED" w:rsidRDefault="008569ED" w:rsidP="00BF22C9">
      <w:pPr>
        <w:rPr>
          <w:szCs w:val="24"/>
        </w:rPr>
      </w:pPr>
      <w:r w:rsidRPr="00AB45B2">
        <w:rPr>
          <w:szCs w:val="24"/>
        </w:rPr>
        <w:t>ЧСС – частота сердечных сокращений</w:t>
      </w:r>
    </w:p>
    <w:p w14:paraId="2533BE70" w14:textId="77777777" w:rsidR="00CF39E4" w:rsidRPr="00AB45B2" w:rsidRDefault="00CF39E4" w:rsidP="00CF39E4">
      <w:pPr>
        <w:rPr>
          <w:szCs w:val="24"/>
        </w:rPr>
      </w:pPr>
      <w:r w:rsidRPr="00AB45B2">
        <w:rPr>
          <w:szCs w:val="24"/>
        </w:rPr>
        <w:t>ЭКГ – электрокардиография</w:t>
      </w:r>
    </w:p>
    <w:p w14:paraId="78611105" w14:textId="60470185" w:rsidR="00BF22C9" w:rsidRPr="00761653" w:rsidRDefault="00BF22C9" w:rsidP="00BF22C9">
      <w:r w:rsidRPr="00761653">
        <w:t>ЭхоКГ – эхокардиография</w:t>
      </w:r>
    </w:p>
    <w:p w14:paraId="592FA52F" w14:textId="77777777" w:rsidR="00E85D5F" w:rsidRPr="00AD4D8E" w:rsidRDefault="00BF22C9" w:rsidP="00E85D5F">
      <w:pPr>
        <w:rPr>
          <w:i/>
        </w:rPr>
      </w:pPr>
      <w:r w:rsidRPr="005D3BBD">
        <w:rPr>
          <w:i/>
          <w:lang w:val="en-US"/>
        </w:rPr>
        <w:t>A</w:t>
      </w:r>
      <w:r w:rsidRPr="00AD4D8E">
        <w:rPr>
          <w:i/>
        </w:rPr>
        <w:t xml:space="preserve">. </w:t>
      </w:r>
      <w:r w:rsidRPr="005D3BBD">
        <w:rPr>
          <w:i/>
          <w:lang w:val="en-US"/>
        </w:rPr>
        <w:t>baumannii</w:t>
      </w:r>
      <w:r w:rsidRPr="00AD4D8E">
        <w:t xml:space="preserve"> – </w:t>
      </w:r>
      <w:r w:rsidRPr="005D3BBD">
        <w:rPr>
          <w:i/>
          <w:lang w:val="en-US"/>
        </w:rPr>
        <w:t>Acinetobacter</w:t>
      </w:r>
      <w:r w:rsidRPr="00AD4D8E">
        <w:rPr>
          <w:i/>
        </w:rPr>
        <w:t xml:space="preserve"> </w:t>
      </w:r>
      <w:r w:rsidRPr="005D3BBD">
        <w:rPr>
          <w:i/>
          <w:lang w:val="en-US"/>
        </w:rPr>
        <w:t>baumannii</w:t>
      </w:r>
    </w:p>
    <w:p w14:paraId="7C08E930" w14:textId="77777777" w:rsidR="00E85D5F" w:rsidRDefault="00BF22C9" w:rsidP="00E85D5F">
      <w:pPr>
        <w:rPr>
          <w:i/>
          <w:lang w:val="en-US"/>
        </w:rPr>
      </w:pPr>
      <w:r w:rsidRPr="005613A8">
        <w:rPr>
          <w:i/>
          <w:lang w:val="en-US"/>
        </w:rPr>
        <w:t>C. albicans – Candida albicans</w:t>
      </w:r>
      <w:r w:rsidR="00E85D5F" w:rsidRPr="00E85D5F">
        <w:rPr>
          <w:bCs/>
          <w:i/>
          <w:lang w:val="en-US"/>
        </w:rPr>
        <w:t xml:space="preserve"> </w:t>
      </w:r>
    </w:p>
    <w:p w14:paraId="443BF4F2" w14:textId="684D642C" w:rsidR="00E85D5F" w:rsidRPr="00E85D5F" w:rsidRDefault="00E85D5F" w:rsidP="00E85D5F">
      <w:pPr>
        <w:rPr>
          <w:i/>
          <w:lang w:val="en-US"/>
        </w:rPr>
      </w:pPr>
      <w:r w:rsidRPr="00DA2BC8">
        <w:rPr>
          <w:bCs/>
          <w:i/>
        </w:rPr>
        <w:t>С</w:t>
      </w:r>
      <w:r w:rsidRPr="005D3BBD">
        <w:rPr>
          <w:bCs/>
          <w:i/>
          <w:lang w:val="en-US"/>
        </w:rPr>
        <w:t>. albidus – Cryptococcus albidus</w:t>
      </w:r>
    </w:p>
    <w:p w14:paraId="30F69FF4" w14:textId="77777777" w:rsidR="00E85D5F" w:rsidRDefault="00E85D5F" w:rsidP="00E85D5F">
      <w:pPr>
        <w:rPr>
          <w:i/>
          <w:lang w:val="en-US"/>
        </w:rPr>
      </w:pPr>
      <w:r w:rsidRPr="005613A8">
        <w:rPr>
          <w:i/>
          <w:lang w:val="en-US"/>
        </w:rPr>
        <w:t>C. difficile – Clostridioides difficile</w:t>
      </w:r>
    </w:p>
    <w:p w14:paraId="326D5A2C"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gattii – Cryptococcus gattii</w:t>
      </w:r>
    </w:p>
    <w:p w14:paraId="28292985"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glabrata – Candida glabrata</w:t>
      </w:r>
    </w:p>
    <w:p w14:paraId="4E2A9D7F"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krusei – Candida krusei</w:t>
      </w:r>
    </w:p>
    <w:p w14:paraId="53E8E43B"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laurentii – Cryptococcus laurentii</w:t>
      </w:r>
    </w:p>
    <w:p w14:paraId="15FCEF04" w14:textId="77777777" w:rsidR="00BF22C9" w:rsidRPr="005613A8" w:rsidRDefault="00BF22C9" w:rsidP="00BF22C9">
      <w:pPr>
        <w:rPr>
          <w:i/>
          <w:lang w:val="en-US"/>
        </w:rPr>
      </w:pPr>
      <w:r w:rsidRPr="005613A8">
        <w:rPr>
          <w:i/>
          <w:lang w:val="en-US"/>
        </w:rPr>
        <w:t>C. neumonia – Chlamydophila neumonia</w:t>
      </w:r>
    </w:p>
    <w:p w14:paraId="5B726F61" w14:textId="0E9A6F07" w:rsidR="00E36621" w:rsidRPr="00AD4D8E" w:rsidRDefault="00E36621" w:rsidP="005D3BBD">
      <w:pPr>
        <w:contextualSpacing/>
      </w:pPr>
      <w:r w:rsidRPr="005D3BBD">
        <w:rPr>
          <w:lang w:val="en-US"/>
        </w:rPr>
        <w:t>Chl</w:t>
      </w:r>
      <w:r w:rsidRPr="00AD4D8E">
        <w:t>-</w:t>
      </w:r>
      <w:r w:rsidRPr="005D3BBD">
        <w:rPr>
          <w:lang w:val="en-US"/>
        </w:rPr>
        <w:t>G</w:t>
      </w:r>
      <w:r w:rsidRPr="00AD4D8E">
        <w:t xml:space="preserve"> – </w:t>
      </w:r>
      <w:r>
        <w:t>режим</w:t>
      </w:r>
      <w:r w:rsidRPr="00AD4D8E">
        <w:t xml:space="preserve"> </w:t>
      </w:r>
      <w:r>
        <w:t>иммунохимиотерапии</w:t>
      </w:r>
      <w:r w:rsidRPr="00AD4D8E">
        <w:t xml:space="preserve">, </w:t>
      </w:r>
      <w:r>
        <w:t>включающий</w:t>
      </w:r>
      <w:r w:rsidRPr="00AD4D8E">
        <w:t xml:space="preserve"> </w:t>
      </w:r>
      <w:r>
        <w:t>обинутузумаб</w:t>
      </w:r>
      <w:r w:rsidRPr="00AD4D8E">
        <w:t xml:space="preserve">** </w:t>
      </w:r>
      <w:r>
        <w:t>и</w:t>
      </w:r>
      <w:r w:rsidRPr="00AD4D8E">
        <w:t xml:space="preserve"> </w:t>
      </w:r>
      <w:r>
        <w:t>хлорамб</w:t>
      </w:r>
      <w:r w:rsidR="00AA4B03">
        <w:t>уцил</w:t>
      </w:r>
      <w:r w:rsidR="00AA4B03" w:rsidRPr="00AD4D8E">
        <w:t>** (</w:t>
      </w:r>
      <w:r w:rsidR="00AA4B03">
        <w:t>схемы</w:t>
      </w:r>
      <w:r w:rsidR="00AA4B03" w:rsidRPr="00AD4D8E">
        <w:t xml:space="preserve"> </w:t>
      </w:r>
      <w:r w:rsidR="00AA4B03">
        <w:t>режимов</w:t>
      </w:r>
      <w:r w:rsidR="00AA4B03" w:rsidRPr="00AD4D8E">
        <w:t xml:space="preserve"> </w:t>
      </w:r>
      <w:r w:rsidR="00AA4B03">
        <w:t>лечения</w:t>
      </w:r>
      <w:r w:rsidR="00AA4B03" w:rsidRPr="00AD4D8E">
        <w:t xml:space="preserve"> </w:t>
      </w:r>
      <w:r>
        <w:t>см</w:t>
      </w:r>
      <w:r w:rsidRPr="00AD4D8E">
        <w:t xml:space="preserve">. </w:t>
      </w:r>
      <w:r w:rsidR="00AA4B03">
        <w:t>в</w:t>
      </w:r>
      <w:r w:rsidR="00AA4B03" w:rsidRPr="00AD4D8E">
        <w:t xml:space="preserve"> </w:t>
      </w:r>
      <w:r>
        <w:t>приложени</w:t>
      </w:r>
      <w:r w:rsidR="00AA4B03">
        <w:t>и</w:t>
      </w:r>
      <w:r w:rsidRPr="00AD4D8E">
        <w:t xml:space="preserve"> </w:t>
      </w:r>
      <w:r>
        <w:t>А</w:t>
      </w:r>
      <w:r w:rsidRPr="00AD4D8E">
        <w:t>3.3)</w:t>
      </w:r>
    </w:p>
    <w:p w14:paraId="5027C6DC" w14:textId="77777777" w:rsidR="00E36621" w:rsidRDefault="00E36621" w:rsidP="005D3BBD">
      <w:pPr>
        <w:contextualSpacing/>
      </w:pPr>
      <w:r>
        <w:t>Chl-R</w:t>
      </w:r>
      <w:r w:rsidRPr="00F842BB">
        <w:t xml:space="preserve"> – </w:t>
      </w:r>
      <w:r>
        <w:t xml:space="preserve">режим иммунохимиотерапии, включающий ритуксимаб** и хлорамбуцил** (схемы режимов лечения см. </w:t>
      </w:r>
      <w:r w:rsidR="00AA4B03">
        <w:t>в приложении</w:t>
      </w:r>
      <w:r>
        <w:t xml:space="preserve"> А3.3)</w:t>
      </w:r>
    </w:p>
    <w:p w14:paraId="3F39633F" w14:textId="0A3F8203" w:rsidR="00BF22C9" w:rsidRDefault="00BF22C9" w:rsidP="00BF22C9">
      <w:pPr>
        <w:rPr>
          <w:lang w:val="en-US"/>
        </w:rPr>
      </w:pPr>
      <w:r w:rsidRPr="005613A8">
        <w:rPr>
          <w:lang w:val="en-US"/>
        </w:rPr>
        <w:lastRenderedPageBreak/>
        <w:t>CIM – carbapenem inactivation method</w:t>
      </w:r>
    </w:p>
    <w:p w14:paraId="416B5ADF" w14:textId="37B88C09" w:rsidR="00D94B05" w:rsidRPr="00FC43B1" w:rsidRDefault="00D94B05" w:rsidP="00BF22C9">
      <w:pPr>
        <w:rPr>
          <w:lang w:val="en-US"/>
        </w:rPr>
      </w:pPr>
      <w:r w:rsidRPr="00FC43B1">
        <w:rPr>
          <w:lang w:val="en-US"/>
        </w:rPr>
        <w:t>CMV – cytomegalovirus</w:t>
      </w:r>
    </w:p>
    <w:p w14:paraId="2104D1F8" w14:textId="7202182F" w:rsidR="00E36621" w:rsidRPr="005D3BBD" w:rsidRDefault="00E36621" w:rsidP="005D3BBD">
      <w:pPr>
        <w:contextualSpacing/>
        <w:rPr>
          <w:lang w:val="en-US"/>
        </w:rPr>
      </w:pPr>
      <w:r w:rsidRPr="005D3BBD">
        <w:rPr>
          <w:lang w:val="en-US"/>
        </w:rPr>
        <w:t xml:space="preserve">CTC – </w:t>
      </w:r>
      <w:r>
        <w:t>общие</w:t>
      </w:r>
      <w:r w:rsidRPr="005D3BBD">
        <w:rPr>
          <w:lang w:val="en-US"/>
        </w:rPr>
        <w:t xml:space="preserve"> </w:t>
      </w:r>
      <w:r>
        <w:t>критерии</w:t>
      </w:r>
      <w:r w:rsidRPr="005D3BBD">
        <w:rPr>
          <w:lang w:val="en-US"/>
        </w:rPr>
        <w:t xml:space="preserve"> </w:t>
      </w:r>
      <w:r>
        <w:t>токсичности</w:t>
      </w:r>
      <w:r w:rsidRPr="005D3BBD">
        <w:rPr>
          <w:lang w:val="en-US"/>
        </w:rPr>
        <w:t xml:space="preserve"> </w:t>
      </w:r>
    </w:p>
    <w:p w14:paraId="393ABD94" w14:textId="77777777" w:rsidR="00BF22C9" w:rsidRPr="005613A8" w:rsidRDefault="00BF22C9" w:rsidP="00BF22C9">
      <w:pPr>
        <w:rPr>
          <w:i/>
          <w:lang w:val="en-US"/>
        </w:rPr>
      </w:pPr>
      <w:r w:rsidRPr="005613A8">
        <w:rPr>
          <w:i/>
          <w:lang w:val="en-US"/>
        </w:rPr>
        <w:t>E. faecalis – Enterococcus faecalis</w:t>
      </w:r>
    </w:p>
    <w:p w14:paraId="1D87B63A" w14:textId="77777777" w:rsidR="00BF22C9" w:rsidRPr="005613A8" w:rsidRDefault="00BF22C9" w:rsidP="00BF22C9">
      <w:pPr>
        <w:rPr>
          <w:i/>
          <w:lang w:val="en-US"/>
        </w:rPr>
      </w:pPr>
      <w:r w:rsidRPr="005613A8">
        <w:rPr>
          <w:i/>
          <w:lang w:val="en-US"/>
        </w:rPr>
        <w:t>E. faecium – Enterococcus faecium</w:t>
      </w:r>
    </w:p>
    <w:p w14:paraId="7A669247" w14:textId="11E19EFC" w:rsidR="00BF22C9" w:rsidRDefault="00BF22C9" w:rsidP="00BF22C9">
      <w:pPr>
        <w:rPr>
          <w:i/>
          <w:lang w:val="en-US"/>
        </w:rPr>
      </w:pPr>
      <w:r w:rsidRPr="005613A8">
        <w:rPr>
          <w:i/>
          <w:lang w:val="en-US"/>
        </w:rPr>
        <w:t>E. coli – Escherichia coli</w:t>
      </w:r>
    </w:p>
    <w:p w14:paraId="179CDF59" w14:textId="058C3F0A" w:rsidR="00D94B05" w:rsidRPr="00FC43B1" w:rsidRDefault="00D94B05" w:rsidP="00BF22C9">
      <w:pPr>
        <w:rPr>
          <w:lang w:val="en-US"/>
        </w:rPr>
      </w:pPr>
      <w:r w:rsidRPr="00FC43B1">
        <w:rPr>
          <w:lang w:val="en-US"/>
        </w:rPr>
        <w:t>EBV – Epstein-Barr virus</w:t>
      </w:r>
    </w:p>
    <w:p w14:paraId="50F7EE16" w14:textId="2E77DCBE" w:rsidR="00E36621" w:rsidRPr="00FC43B1" w:rsidRDefault="00E36621" w:rsidP="005D3BBD">
      <w:pPr>
        <w:contextualSpacing/>
        <w:rPr>
          <w:lang w:val="en-US"/>
        </w:rPr>
      </w:pPr>
      <w:r w:rsidRPr="005D3BBD">
        <w:rPr>
          <w:lang w:val="en-US"/>
        </w:rPr>
        <w:t>FCR</w:t>
      </w:r>
      <w:r w:rsidRPr="00FC43B1">
        <w:rPr>
          <w:lang w:val="en-US"/>
        </w:rPr>
        <w:t xml:space="preserve"> – </w:t>
      </w:r>
      <w:r>
        <w:t>режим</w:t>
      </w:r>
      <w:r w:rsidRPr="00FC43B1">
        <w:rPr>
          <w:lang w:val="en-US"/>
        </w:rPr>
        <w:t xml:space="preserve"> </w:t>
      </w:r>
      <w:r>
        <w:t>иммунохимиотерапии</w:t>
      </w:r>
      <w:r w:rsidRPr="00FC43B1">
        <w:rPr>
          <w:lang w:val="en-US"/>
        </w:rPr>
        <w:t xml:space="preserve">, </w:t>
      </w:r>
      <w:r>
        <w:t>включающий</w:t>
      </w:r>
      <w:r w:rsidRPr="00FC43B1">
        <w:rPr>
          <w:lang w:val="en-US"/>
        </w:rPr>
        <w:t xml:space="preserve"> </w:t>
      </w:r>
      <w:r>
        <w:t>ритуксимаб</w:t>
      </w:r>
      <w:r w:rsidRPr="00FC43B1">
        <w:rPr>
          <w:lang w:val="en-US"/>
        </w:rPr>
        <w:t xml:space="preserve">**, </w:t>
      </w:r>
      <w:r>
        <w:t>флударабин</w:t>
      </w:r>
      <w:r w:rsidRPr="00FC43B1">
        <w:rPr>
          <w:lang w:val="en-US"/>
        </w:rPr>
        <w:t xml:space="preserve">** </w:t>
      </w:r>
      <w:r>
        <w:t>и</w:t>
      </w:r>
      <w:r w:rsidRPr="00FC43B1">
        <w:rPr>
          <w:lang w:val="en-US"/>
        </w:rPr>
        <w:t xml:space="preserve"> </w:t>
      </w:r>
      <w:r>
        <w:t>циклофосфамид</w:t>
      </w:r>
      <w:r w:rsidRPr="00FC43B1">
        <w:rPr>
          <w:lang w:val="en-US"/>
        </w:rPr>
        <w:t>** (</w:t>
      </w:r>
      <w:r w:rsidR="00AA4B03">
        <w:t>схемы</w:t>
      </w:r>
      <w:r w:rsidR="00AA4B03" w:rsidRPr="00FC43B1">
        <w:rPr>
          <w:lang w:val="en-US"/>
        </w:rPr>
        <w:t xml:space="preserve"> </w:t>
      </w:r>
      <w:r w:rsidR="00AA4B03">
        <w:t>режимов</w:t>
      </w:r>
      <w:r w:rsidR="00AA4B03" w:rsidRPr="00FC43B1">
        <w:rPr>
          <w:lang w:val="en-US"/>
        </w:rPr>
        <w:t xml:space="preserve"> </w:t>
      </w:r>
      <w:r w:rsidR="00AA4B03">
        <w:t>лечения</w:t>
      </w:r>
      <w:r w:rsidR="00AA4B03" w:rsidRPr="00FC43B1">
        <w:rPr>
          <w:lang w:val="en-US"/>
        </w:rPr>
        <w:t xml:space="preserve"> </w:t>
      </w:r>
      <w:r w:rsidR="00AA4B03">
        <w:t>см</w:t>
      </w:r>
      <w:r w:rsidR="00AA4B03" w:rsidRPr="00FC43B1">
        <w:rPr>
          <w:lang w:val="en-US"/>
        </w:rPr>
        <w:t xml:space="preserve">. </w:t>
      </w:r>
      <w:r w:rsidR="00AA4B03">
        <w:t>в</w:t>
      </w:r>
      <w:r w:rsidR="00AA4B03" w:rsidRPr="00FC43B1">
        <w:rPr>
          <w:lang w:val="en-US"/>
        </w:rPr>
        <w:t xml:space="preserve"> </w:t>
      </w:r>
      <w:r w:rsidR="00AA4B03">
        <w:t>приложении</w:t>
      </w:r>
      <w:r w:rsidR="00AA4B03" w:rsidRPr="00FC43B1">
        <w:rPr>
          <w:lang w:val="en-US"/>
        </w:rPr>
        <w:t xml:space="preserve"> </w:t>
      </w:r>
      <w:r>
        <w:t>А</w:t>
      </w:r>
      <w:r w:rsidRPr="00FC43B1">
        <w:rPr>
          <w:lang w:val="en-US"/>
        </w:rPr>
        <w:t xml:space="preserve">3.3) </w:t>
      </w:r>
    </w:p>
    <w:p w14:paraId="52759769" w14:textId="77777777" w:rsidR="00E36621" w:rsidRDefault="00E36621" w:rsidP="005D3BBD">
      <w:pPr>
        <w:contextualSpacing/>
      </w:pPr>
      <w:r>
        <w:t>FCR-Lite – режим иммунохимиотерапии, включающий ритуксимаб**, флударабин** и циклофосфамид** с редукцией доз цитостатических препаратов (</w:t>
      </w:r>
      <w:r w:rsidR="00AA4B03">
        <w:t xml:space="preserve">схемы режимов лечения см. в приложении </w:t>
      </w:r>
      <w:r>
        <w:t>А3.3)</w:t>
      </w:r>
    </w:p>
    <w:p w14:paraId="043E73AF" w14:textId="4010880E" w:rsidR="00830499" w:rsidRDefault="00830499" w:rsidP="005D3BBD">
      <w:pPr>
        <w:contextualSpacing/>
      </w:pPr>
      <w:r w:rsidRPr="00830499">
        <w:t xml:space="preserve">FISH </w:t>
      </w:r>
      <w:r>
        <w:t>– ф</w:t>
      </w:r>
      <w:r w:rsidRPr="00830499">
        <w:t>луоресц</w:t>
      </w:r>
      <w:r>
        <w:t>ентная гибридизаа</w:t>
      </w:r>
      <w:r w:rsidRPr="00830499">
        <w:t xml:space="preserve">ция </w:t>
      </w:r>
      <w:r w:rsidRPr="00830499">
        <w:rPr>
          <w:i/>
        </w:rPr>
        <w:t>in situ</w:t>
      </w:r>
      <w:r w:rsidRPr="00830499">
        <w:t xml:space="preserve"> </w:t>
      </w:r>
    </w:p>
    <w:p w14:paraId="1DA2CDAA" w14:textId="77777777" w:rsidR="00E9471C" w:rsidRPr="00FC43B1" w:rsidRDefault="00E9471C" w:rsidP="00E9471C">
      <w:r w:rsidRPr="005D3BBD">
        <w:rPr>
          <w:lang w:val="en-US"/>
        </w:rPr>
        <w:t>HHV</w:t>
      </w:r>
      <w:r w:rsidRPr="00FC43B1">
        <w:t xml:space="preserve">-6 – </w:t>
      </w:r>
      <w:r w:rsidRPr="005D3BBD">
        <w:rPr>
          <w:lang w:val="en-US"/>
        </w:rPr>
        <w:t>Human</w:t>
      </w:r>
      <w:r w:rsidRPr="00FC43B1">
        <w:t xml:space="preserve"> </w:t>
      </w:r>
      <w:r w:rsidRPr="005D3BBD">
        <w:rPr>
          <w:lang w:val="en-US"/>
        </w:rPr>
        <w:t>herpes</w:t>
      </w:r>
      <w:r w:rsidRPr="00FC43B1">
        <w:t xml:space="preserve"> </w:t>
      </w:r>
      <w:r w:rsidRPr="005D3BBD">
        <w:rPr>
          <w:lang w:val="en-US"/>
        </w:rPr>
        <w:t>virus</w:t>
      </w:r>
      <w:r w:rsidRPr="00FC43B1">
        <w:t xml:space="preserve"> 6</w:t>
      </w:r>
    </w:p>
    <w:p w14:paraId="09B8B7FF" w14:textId="77777777" w:rsidR="00E9471C" w:rsidRPr="005D3BBD" w:rsidRDefault="00E9471C" w:rsidP="00E9471C">
      <w:pPr>
        <w:rPr>
          <w:lang w:val="en-US"/>
        </w:rPr>
      </w:pPr>
      <w:r w:rsidRPr="005D3BBD">
        <w:rPr>
          <w:lang w:val="en-US"/>
        </w:rPr>
        <w:t>HSV – Herpes simplex virus</w:t>
      </w:r>
    </w:p>
    <w:p w14:paraId="554044F8" w14:textId="035D8C23" w:rsidR="00E9471C" w:rsidRPr="00E9471C" w:rsidRDefault="00E9471C" w:rsidP="005D3BBD">
      <w:pPr>
        <w:rPr>
          <w:lang w:val="en-US"/>
        </w:rPr>
      </w:pPr>
      <w:r w:rsidRPr="005D3BBD">
        <w:rPr>
          <w:lang w:val="en-US"/>
        </w:rPr>
        <w:t>HZV – Herpes zoster virus</w:t>
      </w:r>
    </w:p>
    <w:p w14:paraId="6AE8C090" w14:textId="77777777" w:rsidR="00E36621" w:rsidRDefault="00E36621" w:rsidP="005D3BBD">
      <w:pPr>
        <w:contextualSpacing/>
      </w:pPr>
      <w:r>
        <w:t>IGHV – вариабельные участки тяжелых цепей иммуноглобулинов</w:t>
      </w:r>
    </w:p>
    <w:p w14:paraId="7E3032CB" w14:textId="77777777" w:rsidR="007F5246" w:rsidRDefault="007F5246" w:rsidP="005D3BBD">
      <w:pPr>
        <w:contextualSpacing/>
      </w:pPr>
      <w:r>
        <w:t>IWCLL</w:t>
      </w:r>
      <w:r w:rsidRPr="00397360">
        <w:t xml:space="preserve"> – Международн</w:t>
      </w:r>
      <w:r>
        <w:t>ая</w:t>
      </w:r>
      <w:r w:rsidRPr="00397360">
        <w:t xml:space="preserve"> рабоч</w:t>
      </w:r>
      <w:r>
        <w:t>ая</w:t>
      </w:r>
      <w:r w:rsidRPr="00397360">
        <w:t xml:space="preserve"> групп</w:t>
      </w:r>
      <w:r>
        <w:t>а по изучению хронического лимфоцитарного лейкоза</w:t>
      </w:r>
    </w:p>
    <w:p w14:paraId="5C12E30C" w14:textId="77777777" w:rsidR="00BF22C9" w:rsidRPr="005613A8" w:rsidRDefault="00BF22C9" w:rsidP="00BF22C9">
      <w:pPr>
        <w:rPr>
          <w:i/>
          <w:lang w:val="en-US"/>
        </w:rPr>
      </w:pPr>
      <w:r w:rsidRPr="005613A8">
        <w:rPr>
          <w:i/>
          <w:lang w:val="en-US"/>
        </w:rPr>
        <w:t>K. neumonia – Klebsiella neumonia</w:t>
      </w:r>
    </w:p>
    <w:p w14:paraId="5B9D2A3C" w14:textId="77777777" w:rsidR="00BF22C9" w:rsidRPr="005613A8" w:rsidRDefault="00BF22C9" w:rsidP="00BF22C9">
      <w:pPr>
        <w:rPr>
          <w:lang w:val="en-US"/>
        </w:rPr>
      </w:pPr>
      <w:r w:rsidRPr="005613A8">
        <w:rPr>
          <w:lang w:val="en-US"/>
        </w:rPr>
        <w:t xml:space="preserve">KPC – </w:t>
      </w:r>
      <w:r w:rsidRPr="005613A8">
        <w:rPr>
          <w:i/>
          <w:lang w:val="en-US"/>
        </w:rPr>
        <w:t>Klebsiella neumonia</w:t>
      </w:r>
      <w:r w:rsidRPr="005613A8">
        <w:rPr>
          <w:lang w:val="en-US"/>
        </w:rPr>
        <w:t xml:space="preserve"> carbapenemase</w:t>
      </w:r>
    </w:p>
    <w:p w14:paraId="19F01B99" w14:textId="77777777" w:rsidR="00BF22C9" w:rsidRPr="005613A8" w:rsidRDefault="00BF22C9" w:rsidP="00BF22C9">
      <w:pPr>
        <w:rPr>
          <w:i/>
          <w:lang w:val="en-US"/>
        </w:rPr>
      </w:pPr>
      <w:r w:rsidRPr="005613A8">
        <w:rPr>
          <w:i/>
          <w:lang w:val="en-US"/>
        </w:rPr>
        <w:t>L. pneumophila</w:t>
      </w:r>
      <w:r w:rsidRPr="005613A8">
        <w:rPr>
          <w:lang w:val="en-US"/>
        </w:rPr>
        <w:t xml:space="preserve"> – </w:t>
      </w:r>
      <w:r w:rsidRPr="005613A8">
        <w:rPr>
          <w:i/>
          <w:lang w:val="en-US"/>
        </w:rPr>
        <w:t>Legionella pneumophila</w:t>
      </w:r>
    </w:p>
    <w:p w14:paraId="2B5F8ABC" w14:textId="77777777" w:rsidR="00BF22C9" w:rsidRPr="005613A8" w:rsidRDefault="00BF22C9" w:rsidP="00BF22C9">
      <w:pPr>
        <w:rPr>
          <w:i/>
          <w:lang w:val="en-US"/>
        </w:rPr>
      </w:pPr>
      <w:r w:rsidRPr="005613A8">
        <w:rPr>
          <w:i/>
          <w:lang w:val="en-US"/>
        </w:rPr>
        <w:t>L. monocytogenes – Listeria monocytogenes</w:t>
      </w:r>
    </w:p>
    <w:p w14:paraId="0B5A1316" w14:textId="77777777" w:rsidR="00BF22C9" w:rsidRPr="005613A8" w:rsidRDefault="00BF22C9" w:rsidP="00BF22C9">
      <w:pPr>
        <w:rPr>
          <w:lang w:val="en-US"/>
        </w:rPr>
      </w:pPr>
      <w:r w:rsidRPr="005613A8">
        <w:rPr>
          <w:lang w:val="en-US"/>
        </w:rPr>
        <w:t>mCIM – modified carbapenem inactivation method</w:t>
      </w:r>
    </w:p>
    <w:p w14:paraId="41176044" w14:textId="77777777" w:rsidR="00E4260E" w:rsidRPr="005D3BBD" w:rsidRDefault="00E4260E" w:rsidP="00E4260E">
      <w:pPr>
        <w:widowControl w:val="0"/>
        <w:autoSpaceDE w:val="0"/>
        <w:autoSpaceDN w:val="0"/>
        <w:adjustRightInd w:val="0"/>
        <w:ind w:right="51"/>
        <w:contextualSpacing/>
        <w:rPr>
          <w:bCs/>
          <w:i/>
          <w:lang w:val="en-US"/>
        </w:rPr>
      </w:pPr>
      <w:r w:rsidRPr="005D3BBD">
        <w:rPr>
          <w:bCs/>
          <w:i/>
          <w:lang w:val="en-US"/>
        </w:rPr>
        <w:t>M. furfur – Malassezia furfur</w:t>
      </w:r>
    </w:p>
    <w:p w14:paraId="38D4DF27" w14:textId="77777777" w:rsidR="00E4260E" w:rsidRPr="005D3BBD" w:rsidRDefault="00E4260E" w:rsidP="00E4260E">
      <w:pPr>
        <w:widowControl w:val="0"/>
        <w:autoSpaceDE w:val="0"/>
        <w:autoSpaceDN w:val="0"/>
        <w:adjustRightInd w:val="0"/>
        <w:ind w:right="51"/>
        <w:contextualSpacing/>
        <w:rPr>
          <w:bCs/>
          <w:i/>
          <w:lang w:val="en-US"/>
        </w:rPr>
      </w:pPr>
      <w:r w:rsidRPr="005D3BBD">
        <w:rPr>
          <w:bCs/>
          <w:i/>
          <w:lang w:val="en-US"/>
        </w:rPr>
        <w:t>M. pachydermatis – Malassezia pachydermatis</w:t>
      </w:r>
    </w:p>
    <w:p w14:paraId="6C820DB8" w14:textId="77777777" w:rsidR="00E4260E" w:rsidRDefault="00E4260E" w:rsidP="00E4260E">
      <w:pPr>
        <w:rPr>
          <w:i/>
          <w:lang w:val="en-US"/>
        </w:rPr>
      </w:pPr>
      <w:r w:rsidRPr="005613A8">
        <w:rPr>
          <w:i/>
          <w:lang w:val="en-US"/>
        </w:rPr>
        <w:t xml:space="preserve">M. </w:t>
      </w:r>
      <w:r>
        <w:rPr>
          <w:i/>
          <w:lang w:val="en-US"/>
        </w:rPr>
        <w:t>p</w:t>
      </w:r>
      <w:r w:rsidRPr="005613A8">
        <w:rPr>
          <w:i/>
          <w:lang w:val="en-US"/>
        </w:rPr>
        <w:t xml:space="preserve">neumonia – Mycoplasma </w:t>
      </w:r>
      <w:r>
        <w:rPr>
          <w:i/>
          <w:lang w:val="en-US"/>
        </w:rPr>
        <w:t>p</w:t>
      </w:r>
      <w:r w:rsidRPr="005613A8">
        <w:rPr>
          <w:i/>
          <w:lang w:val="en-US"/>
        </w:rPr>
        <w:t>neumonia</w:t>
      </w:r>
    </w:p>
    <w:p w14:paraId="6512AC13" w14:textId="77777777" w:rsidR="00BF22C9" w:rsidRPr="005613A8" w:rsidRDefault="00BF22C9" w:rsidP="00BF22C9">
      <w:pPr>
        <w:rPr>
          <w:lang w:val="en-US"/>
        </w:rPr>
      </w:pPr>
      <w:r w:rsidRPr="005613A8">
        <w:rPr>
          <w:lang w:val="en-US"/>
        </w:rPr>
        <w:t>NDM – New Delhi metallo-</w:t>
      </w:r>
      <w:r w:rsidRPr="00761653">
        <w:t>β</w:t>
      </w:r>
      <w:r w:rsidRPr="005613A8">
        <w:rPr>
          <w:lang w:val="en-US"/>
        </w:rPr>
        <w:t>-lactamase</w:t>
      </w:r>
    </w:p>
    <w:p w14:paraId="1860534F" w14:textId="0748F26D" w:rsidR="00BF22C9" w:rsidRPr="002F68E0" w:rsidRDefault="00BF22C9" w:rsidP="00BF22C9">
      <w:pPr>
        <w:tabs>
          <w:tab w:val="center" w:pos="4890"/>
        </w:tabs>
      </w:pPr>
      <w:r w:rsidRPr="005613A8">
        <w:rPr>
          <w:lang w:val="en-US"/>
        </w:rPr>
        <w:t>OXA</w:t>
      </w:r>
      <w:r w:rsidRPr="002F68E0">
        <w:t xml:space="preserve">-48 – </w:t>
      </w:r>
      <w:r w:rsidRPr="005613A8">
        <w:rPr>
          <w:lang w:val="en-US"/>
        </w:rPr>
        <w:t>oxacillinase</w:t>
      </w:r>
      <w:r w:rsidRPr="002F68E0">
        <w:t>-48</w:t>
      </w:r>
    </w:p>
    <w:p w14:paraId="1488E6F0" w14:textId="7FE21460" w:rsidR="00CF39E4" w:rsidRPr="00CF39E4" w:rsidRDefault="00CF39E4" w:rsidP="00CF39E4">
      <w:pPr>
        <w:rPr>
          <w:szCs w:val="24"/>
        </w:rPr>
      </w:pPr>
      <w:r w:rsidRPr="00AB45B2">
        <w:rPr>
          <w:szCs w:val="24"/>
          <w:lang w:val="en-US"/>
        </w:rPr>
        <w:t>QTc</w:t>
      </w:r>
      <w:r w:rsidRPr="00AB45B2">
        <w:rPr>
          <w:szCs w:val="24"/>
        </w:rPr>
        <w:t xml:space="preserve"> – корригированный интервал </w:t>
      </w:r>
      <w:r w:rsidRPr="00AB45B2">
        <w:rPr>
          <w:szCs w:val="24"/>
          <w:lang w:val="en-US"/>
        </w:rPr>
        <w:t>QT</w:t>
      </w:r>
      <w:r w:rsidRPr="00AB45B2">
        <w:rPr>
          <w:szCs w:val="24"/>
        </w:rPr>
        <w:t xml:space="preserve"> на электрокардиограмме</w:t>
      </w:r>
    </w:p>
    <w:p w14:paraId="5D71C0DA" w14:textId="77777777" w:rsidR="00D82507" w:rsidRPr="005D3BBD" w:rsidRDefault="00D82507" w:rsidP="00D82507">
      <w:pPr>
        <w:widowControl w:val="0"/>
        <w:autoSpaceDE w:val="0"/>
        <w:autoSpaceDN w:val="0"/>
        <w:adjustRightInd w:val="0"/>
        <w:ind w:right="51"/>
        <w:contextualSpacing/>
        <w:rPr>
          <w:bCs/>
          <w:i/>
          <w:lang w:val="en-US"/>
        </w:rPr>
      </w:pPr>
      <w:r w:rsidRPr="005D3BBD">
        <w:rPr>
          <w:bCs/>
          <w:i/>
          <w:lang w:val="en-US"/>
        </w:rPr>
        <w:t>R. glutinis  – Rhodotorula glutinis</w:t>
      </w:r>
    </w:p>
    <w:p w14:paraId="4268C196" w14:textId="77777777" w:rsidR="00BF22C9" w:rsidRPr="005613A8" w:rsidRDefault="00BF22C9" w:rsidP="00BF22C9">
      <w:pPr>
        <w:rPr>
          <w:i/>
          <w:lang w:val="en-US"/>
        </w:rPr>
      </w:pPr>
      <w:r w:rsidRPr="005613A8">
        <w:rPr>
          <w:i/>
          <w:lang w:val="en-US"/>
        </w:rPr>
        <w:t>P. jirovecii – Pneumocystis jirovecii</w:t>
      </w:r>
    </w:p>
    <w:p w14:paraId="4BB8290C" w14:textId="77777777" w:rsidR="00E4260E" w:rsidRPr="005D3BBD" w:rsidRDefault="00E4260E" w:rsidP="00D82507">
      <w:pPr>
        <w:widowControl w:val="0"/>
        <w:autoSpaceDE w:val="0"/>
        <w:autoSpaceDN w:val="0"/>
        <w:adjustRightInd w:val="0"/>
        <w:ind w:right="51"/>
        <w:contextualSpacing/>
        <w:rPr>
          <w:bCs/>
          <w:i/>
          <w:lang w:val="en-US"/>
        </w:rPr>
      </w:pPr>
      <w:r w:rsidRPr="005D3BBD">
        <w:rPr>
          <w:bCs/>
          <w:i/>
          <w:lang w:val="en-US"/>
        </w:rPr>
        <w:t>R. minuta – Rhodotorula minuta</w:t>
      </w:r>
    </w:p>
    <w:p w14:paraId="730B8C8B" w14:textId="77777777" w:rsidR="00E4260E" w:rsidRPr="005D3BBD" w:rsidRDefault="00E4260E" w:rsidP="00D82507">
      <w:pPr>
        <w:widowControl w:val="0"/>
        <w:autoSpaceDE w:val="0"/>
        <w:autoSpaceDN w:val="0"/>
        <w:adjustRightInd w:val="0"/>
        <w:ind w:right="51"/>
        <w:contextualSpacing/>
        <w:rPr>
          <w:bCs/>
          <w:i/>
          <w:lang w:val="en-US"/>
        </w:rPr>
      </w:pPr>
      <w:r w:rsidRPr="005D3BBD">
        <w:rPr>
          <w:bCs/>
          <w:i/>
          <w:lang w:val="en-US"/>
        </w:rPr>
        <w:t>R. mucilaginosa – Rhodotorula mucilaginosa</w:t>
      </w:r>
    </w:p>
    <w:p w14:paraId="1D1BB2E0" w14:textId="77777777" w:rsidR="00E4260E" w:rsidRPr="002F68E0" w:rsidRDefault="00E4260E" w:rsidP="00D82507">
      <w:pPr>
        <w:widowControl w:val="0"/>
        <w:autoSpaceDE w:val="0"/>
        <w:autoSpaceDN w:val="0"/>
        <w:adjustRightInd w:val="0"/>
        <w:ind w:right="51"/>
        <w:contextualSpacing/>
        <w:rPr>
          <w:bCs/>
          <w:i/>
        </w:rPr>
      </w:pPr>
      <w:r w:rsidRPr="005D3BBD">
        <w:rPr>
          <w:bCs/>
          <w:i/>
          <w:lang w:val="en-US"/>
        </w:rPr>
        <w:t>R</w:t>
      </w:r>
      <w:r w:rsidRPr="002F68E0">
        <w:rPr>
          <w:bCs/>
          <w:i/>
        </w:rPr>
        <w:t xml:space="preserve">. </w:t>
      </w:r>
      <w:r w:rsidRPr="005D3BBD">
        <w:rPr>
          <w:bCs/>
          <w:i/>
          <w:lang w:val="en-US"/>
        </w:rPr>
        <w:t>rubra</w:t>
      </w:r>
      <w:r w:rsidRPr="002F68E0">
        <w:rPr>
          <w:bCs/>
          <w:i/>
        </w:rPr>
        <w:t xml:space="preserve"> – </w:t>
      </w:r>
      <w:r w:rsidRPr="005D3BBD">
        <w:rPr>
          <w:bCs/>
          <w:i/>
          <w:lang w:val="en-US"/>
        </w:rPr>
        <w:t>Rhodotorula</w:t>
      </w:r>
      <w:r w:rsidRPr="002F68E0">
        <w:rPr>
          <w:bCs/>
          <w:i/>
        </w:rPr>
        <w:t xml:space="preserve"> </w:t>
      </w:r>
      <w:r w:rsidRPr="005D3BBD">
        <w:rPr>
          <w:bCs/>
          <w:i/>
          <w:lang w:val="en-US"/>
        </w:rPr>
        <w:t>rubra</w:t>
      </w:r>
    </w:p>
    <w:p w14:paraId="1A1997E6" w14:textId="159BE279" w:rsidR="00E36621" w:rsidRDefault="00E36621" w:rsidP="005D3BBD">
      <w:pPr>
        <w:contextualSpacing/>
      </w:pPr>
      <w:r>
        <w:lastRenderedPageBreak/>
        <w:t>RB – режим иммунохимиотерапии, включающий ритуксимаб** и бендамустин (</w:t>
      </w:r>
      <w:r w:rsidR="00AA4B03">
        <w:t xml:space="preserve">схемы режимов лечения см. в приложении </w:t>
      </w:r>
      <w:r>
        <w:t>А3.3)</w:t>
      </w:r>
    </w:p>
    <w:p w14:paraId="62E519A9" w14:textId="77777777" w:rsidR="00E36621" w:rsidRDefault="00E36621" w:rsidP="005D3BBD">
      <w:pPr>
        <w:contextualSpacing/>
      </w:pPr>
      <w:r>
        <w:t>R-CD – режим иммунохимиотерапии, включающий ритуксимаб**, циклофосфамид** и дексаметазон** (</w:t>
      </w:r>
      <w:r w:rsidR="00AA4B03">
        <w:t xml:space="preserve">схемы режимов лечения см. в приложении </w:t>
      </w:r>
      <w:r>
        <w:t>А3.3)</w:t>
      </w:r>
    </w:p>
    <w:p w14:paraId="0A1650B3" w14:textId="77777777" w:rsidR="00E36621" w:rsidRDefault="00E36621" w:rsidP="005D3BBD">
      <w:pPr>
        <w:contextualSpacing/>
      </w:pPr>
      <w:r>
        <w:t>R-FCM – режим иммунохимиотерапии, включающий ритуксимаб**, флударабин**, циклофосфамид** и митоксантрон** (</w:t>
      </w:r>
      <w:r w:rsidR="00AA4B03">
        <w:t xml:space="preserve">схемы режимов лечения см. в приложении </w:t>
      </w:r>
      <w:r>
        <w:t>А3.3)</w:t>
      </w:r>
    </w:p>
    <w:p w14:paraId="15229083" w14:textId="5A01FD6A" w:rsidR="0030568B" w:rsidRDefault="00E36621">
      <w:pPr>
        <w:contextualSpacing/>
        <w:jc w:val="left"/>
      </w:pPr>
      <w:r>
        <w:t>R-HDMP – режим иммунохимиотерапии, включающий ритуксимаб** и метил</w:t>
      </w:r>
      <w:r w:rsidR="007F5246">
        <w:softHyphen/>
      </w:r>
      <w:r>
        <w:t>преднизолон** (</w:t>
      </w:r>
      <w:r w:rsidR="00AA4B03">
        <w:t xml:space="preserve">схемы режимов лечения см. в приложении </w:t>
      </w:r>
      <w:r>
        <w:t>А3.3)</w:t>
      </w:r>
      <w:bookmarkStart w:id="6" w:name="_Toc520213122"/>
    </w:p>
    <w:p w14:paraId="27966C6A" w14:textId="77777777" w:rsidR="00BF22C9" w:rsidRPr="005613A8" w:rsidRDefault="00BF22C9" w:rsidP="00BF22C9">
      <w:pPr>
        <w:rPr>
          <w:i/>
          <w:lang w:val="en-US"/>
        </w:rPr>
      </w:pPr>
      <w:r w:rsidRPr="005613A8">
        <w:rPr>
          <w:i/>
          <w:lang w:val="en-US"/>
        </w:rPr>
        <w:t>S. aureus – Staphylococcus aureus</w:t>
      </w:r>
    </w:p>
    <w:p w14:paraId="24F8F623" w14:textId="77777777" w:rsidR="00D82507" w:rsidRPr="005D3BBD" w:rsidRDefault="00D82507" w:rsidP="00D82507">
      <w:pPr>
        <w:widowControl w:val="0"/>
        <w:autoSpaceDE w:val="0"/>
        <w:autoSpaceDN w:val="0"/>
        <w:adjustRightInd w:val="0"/>
        <w:ind w:right="51"/>
        <w:contextualSpacing/>
        <w:rPr>
          <w:bCs/>
          <w:i/>
          <w:lang w:val="en-US"/>
        </w:rPr>
      </w:pPr>
      <w:r w:rsidRPr="005D3BBD">
        <w:rPr>
          <w:bCs/>
          <w:i/>
          <w:lang w:val="en-US"/>
        </w:rPr>
        <w:t xml:space="preserve">S. boulardii – Saccharomyces boulardii </w:t>
      </w:r>
    </w:p>
    <w:p w14:paraId="7E07549C" w14:textId="77777777" w:rsidR="00D82507" w:rsidRPr="005D3BBD" w:rsidRDefault="00D82507" w:rsidP="00D82507">
      <w:pPr>
        <w:widowControl w:val="0"/>
        <w:autoSpaceDE w:val="0"/>
        <w:autoSpaceDN w:val="0"/>
        <w:adjustRightInd w:val="0"/>
        <w:ind w:right="51"/>
        <w:contextualSpacing/>
        <w:rPr>
          <w:bCs/>
          <w:i/>
          <w:lang w:val="en-US"/>
        </w:rPr>
      </w:pPr>
      <w:r w:rsidRPr="005D3BBD">
        <w:rPr>
          <w:bCs/>
          <w:i/>
          <w:lang w:val="en-US"/>
        </w:rPr>
        <w:t>S. capitata – Saprochaete capitata</w:t>
      </w:r>
    </w:p>
    <w:p w14:paraId="7F6CD54F" w14:textId="77777777" w:rsidR="00D82507" w:rsidRDefault="00BF22C9" w:rsidP="00D82507">
      <w:pPr>
        <w:rPr>
          <w:i/>
          <w:lang w:val="en-US"/>
        </w:rPr>
      </w:pPr>
      <w:r w:rsidRPr="005613A8">
        <w:rPr>
          <w:i/>
          <w:lang w:val="en-US"/>
        </w:rPr>
        <w:t>S. maltophilia – Stenotrophomonas maltophilia</w:t>
      </w:r>
    </w:p>
    <w:p w14:paraId="3D8E0235" w14:textId="18987104" w:rsidR="00C466A6" w:rsidRDefault="00C466A6" w:rsidP="00D82507">
      <w:pPr>
        <w:rPr>
          <w:bCs/>
          <w:i/>
          <w:lang w:val="en-US"/>
        </w:rPr>
      </w:pPr>
      <w:r w:rsidRPr="005D3BBD">
        <w:rPr>
          <w:bCs/>
          <w:i/>
          <w:lang w:val="en-US"/>
        </w:rPr>
        <w:t>S. prolificans – Scedosporium prolificans</w:t>
      </w:r>
    </w:p>
    <w:p w14:paraId="7A7D5EB4" w14:textId="77777777" w:rsidR="00CF39E4" w:rsidRPr="00CF39E4" w:rsidRDefault="00CF39E4" w:rsidP="00CF39E4">
      <w:pPr>
        <w:rPr>
          <w:szCs w:val="24"/>
          <w:lang w:val="en-US"/>
        </w:rPr>
      </w:pPr>
      <w:r w:rsidRPr="00C2150F">
        <w:rPr>
          <w:szCs w:val="24"/>
          <w:lang w:val="en-US"/>
        </w:rPr>
        <w:t>SCORE</w:t>
      </w:r>
      <w:r w:rsidRPr="00CF39E4">
        <w:rPr>
          <w:szCs w:val="24"/>
          <w:lang w:val="en-US"/>
        </w:rPr>
        <w:t xml:space="preserve"> – </w:t>
      </w:r>
      <w:r w:rsidRPr="00C2150F">
        <w:rPr>
          <w:szCs w:val="24"/>
          <w:lang w:val="en-US"/>
        </w:rPr>
        <w:t>Systematic</w:t>
      </w:r>
      <w:r w:rsidRPr="00CF39E4">
        <w:rPr>
          <w:szCs w:val="24"/>
          <w:lang w:val="en-US"/>
        </w:rPr>
        <w:t xml:space="preserve"> </w:t>
      </w:r>
      <w:r w:rsidRPr="00C2150F">
        <w:rPr>
          <w:szCs w:val="24"/>
          <w:lang w:val="en-US"/>
        </w:rPr>
        <w:t>COronary</w:t>
      </w:r>
      <w:r w:rsidRPr="00CF39E4">
        <w:rPr>
          <w:szCs w:val="24"/>
          <w:lang w:val="en-US"/>
        </w:rPr>
        <w:t xml:space="preserve"> </w:t>
      </w:r>
      <w:r w:rsidRPr="00C2150F">
        <w:rPr>
          <w:szCs w:val="24"/>
          <w:lang w:val="en-US"/>
        </w:rPr>
        <w:t>Risk</w:t>
      </w:r>
      <w:r w:rsidRPr="00CF39E4">
        <w:rPr>
          <w:szCs w:val="24"/>
          <w:lang w:val="en-US"/>
        </w:rPr>
        <w:t xml:space="preserve"> </w:t>
      </w:r>
      <w:r w:rsidRPr="00C2150F">
        <w:rPr>
          <w:szCs w:val="24"/>
          <w:lang w:val="en-US"/>
        </w:rPr>
        <w:t>Evaluation</w:t>
      </w:r>
      <w:r w:rsidRPr="00CF39E4">
        <w:rPr>
          <w:szCs w:val="24"/>
          <w:lang w:val="en-US"/>
        </w:rPr>
        <w:t xml:space="preserve">, </w:t>
      </w:r>
      <w:r>
        <w:rPr>
          <w:szCs w:val="24"/>
        </w:rPr>
        <w:t>шкала</w:t>
      </w:r>
      <w:r w:rsidRPr="00CF39E4">
        <w:rPr>
          <w:szCs w:val="24"/>
          <w:lang w:val="en-US"/>
        </w:rPr>
        <w:t xml:space="preserve"> </w:t>
      </w:r>
      <w:r>
        <w:rPr>
          <w:szCs w:val="24"/>
        </w:rPr>
        <w:t>оценки</w:t>
      </w:r>
      <w:r w:rsidRPr="00CF39E4">
        <w:rPr>
          <w:szCs w:val="24"/>
          <w:lang w:val="en-US"/>
        </w:rPr>
        <w:t xml:space="preserve"> </w:t>
      </w:r>
      <w:r>
        <w:rPr>
          <w:szCs w:val="24"/>
        </w:rPr>
        <w:t>риска</w:t>
      </w:r>
      <w:r w:rsidRPr="00CF39E4">
        <w:rPr>
          <w:szCs w:val="24"/>
          <w:lang w:val="en-US"/>
        </w:rPr>
        <w:t xml:space="preserve"> </w:t>
      </w:r>
      <w:r>
        <w:rPr>
          <w:szCs w:val="24"/>
        </w:rPr>
        <w:t>кардиальных</w:t>
      </w:r>
      <w:r w:rsidRPr="00CF39E4">
        <w:rPr>
          <w:szCs w:val="24"/>
          <w:lang w:val="en-US"/>
        </w:rPr>
        <w:t xml:space="preserve"> </w:t>
      </w:r>
      <w:r>
        <w:rPr>
          <w:szCs w:val="24"/>
        </w:rPr>
        <w:t>нежелательных</w:t>
      </w:r>
      <w:r w:rsidRPr="00CF39E4">
        <w:rPr>
          <w:szCs w:val="24"/>
          <w:lang w:val="en-US"/>
        </w:rPr>
        <w:t xml:space="preserve"> </w:t>
      </w:r>
      <w:r>
        <w:rPr>
          <w:szCs w:val="24"/>
        </w:rPr>
        <w:t>явлений</w:t>
      </w:r>
    </w:p>
    <w:p w14:paraId="5B6112C0" w14:textId="77777777" w:rsidR="00C466A6" w:rsidRPr="00CF39E4" w:rsidRDefault="00C466A6" w:rsidP="00BF22C9">
      <w:pPr>
        <w:rPr>
          <w:i/>
          <w:lang w:val="en-US"/>
        </w:rPr>
      </w:pPr>
    </w:p>
    <w:p w14:paraId="6A0EAEE1" w14:textId="25F1DC22" w:rsidR="004D7374" w:rsidRPr="002F68E0" w:rsidRDefault="004D7374" w:rsidP="005D3BBD">
      <w:pPr>
        <w:pStyle w:val="af9"/>
        <w:spacing w:before="0"/>
        <w:rPr>
          <w:rStyle w:val="10"/>
          <w:rFonts w:eastAsia="Calibri"/>
          <w:b/>
          <w:sz w:val="24"/>
          <w:szCs w:val="24"/>
        </w:rPr>
      </w:pPr>
      <w:bookmarkStart w:id="7" w:name="_Toc23601711"/>
      <w:bookmarkStart w:id="8" w:name="_Toc65068791"/>
      <w:r w:rsidRPr="00EF27D9">
        <w:rPr>
          <w:rStyle w:val="10"/>
          <w:rFonts w:eastAsia="Calibri"/>
          <w:b/>
          <w:sz w:val="24"/>
        </w:rPr>
        <w:t>Термины</w:t>
      </w:r>
      <w:r w:rsidRPr="002F68E0">
        <w:rPr>
          <w:rStyle w:val="10"/>
          <w:rFonts w:eastAsia="Calibri"/>
          <w:b/>
          <w:sz w:val="24"/>
        </w:rPr>
        <w:t xml:space="preserve"> </w:t>
      </w:r>
      <w:r w:rsidRPr="00EF27D9">
        <w:rPr>
          <w:rStyle w:val="10"/>
          <w:rFonts w:eastAsia="Calibri"/>
          <w:b/>
          <w:sz w:val="24"/>
        </w:rPr>
        <w:t>и</w:t>
      </w:r>
      <w:r w:rsidRPr="002F68E0">
        <w:rPr>
          <w:rStyle w:val="10"/>
          <w:rFonts w:eastAsia="Calibri"/>
          <w:b/>
          <w:sz w:val="24"/>
        </w:rPr>
        <w:t xml:space="preserve"> </w:t>
      </w:r>
      <w:r w:rsidRPr="00EF27D9">
        <w:rPr>
          <w:rStyle w:val="10"/>
          <w:rFonts w:eastAsia="Calibri"/>
          <w:b/>
          <w:sz w:val="24"/>
        </w:rPr>
        <w:t>определения</w:t>
      </w:r>
      <w:bookmarkEnd w:id="6"/>
      <w:bookmarkEnd w:id="7"/>
      <w:bookmarkEnd w:id="8"/>
    </w:p>
    <w:p w14:paraId="5057DDE8" w14:textId="77777777" w:rsidR="004D7374" w:rsidRDefault="004D7374">
      <w:pPr>
        <w:ind w:firstLine="709"/>
        <w:contextualSpacing/>
      </w:pPr>
      <w:r w:rsidRPr="004D7374">
        <w:rPr>
          <w:b/>
        </w:rPr>
        <w:t>ECOG</w:t>
      </w:r>
      <w:r>
        <w:t xml:space="preserve"> – оценка общего состояния пациента по шкале, разработанной Восточной объединенной онкологической группой (Eastern</w:t>
      </w:r>
      <w:r w:rsidR="008F42D8">
        <w:t xml:space="preserve"> </w:t>
      </w:r>
      <w:r>
        <w:t>Cooperative</w:t>
      </w:r>
      <w:r w:rsidR="008F42D8">
        <w:t xml:space="preserve"> </w:t>
      </w:r>
      <w:r>
        <w:t>Oncology</w:t>
      </w:r>
      <w:r w:rsidR="008F42D8">
        <w:t xml:space="preserve"> </w:t>
      </w:r>
      <w:r>
        <w:t xml:space="preserve">Group) </w:t>
      </w:r>
      <w:r w:rsidR="00F07AA9">
        <w:t>(</w:t>
      </w:r>
      <w:r>
        <w:t>см.</w:t>
      </w:r>
      <w:r w:rsidR="00F07AA9">
        <w:t> </w:t>
      </w:r>
      <w:r>
        <w:t>приложение Г1</w:t>
      </w:r>
      <w:r w:rsidR="00F07AA9">
        <w:t>)</w:t>
      </w:r>
      <w:r>
        <w:t>.</w:t>
      </w:r>
    </w:p>
    <w:p w14:paraId="55E8E3E6" w14:textId="77777777" w:rsidR="00873DA3" w:rsidRPr="003147A2" w:rsidRDefault="00873DA3">
      <w:pPr>
        <w:ind w:firstLine="709"/>
        <w:contextualSpacing/>
      </w:pPr>
      <w:r>
        <w:rPr>
          <w:b/>
        </w:rPr>
        <w:t xml:space="preserve">В-симптомы </w:t>
      </w:r>
      <w:r w:rsidRPr="003147A2">
        <w:t xml:space="preserve">– </w:t>
      </w:r>
      <w:r w:rsidR="003B230C" w:rsidRPr="003147A2">
        <w:t>неспецифические</w:t>
      </w:r>
      <w:r w:rsidRPr="003147A2">
        <w:t xml:space="preserve"> симптомы опухолевой интоксикации, включающие лихорадку </w:t>
      </w:r>
      <w:r w:rsidR="00F07AA9">
        <w:t xml:space="preserve">(температуру тела </w:t>
      </w:r>
      <w:r w:rsidRPr="00602B3B">
        <w:t>выше 38°С</w:t>
      </w:r>
      <w:r w:rsidR="00F07AA9">
        <w:t>)</w:t>
      </w:r>
      <w:r w:rsidRPr="00602B3B">
        <w:t xml:space="preserve"> </w:t>
      </w:r>
      <w:r w:rsidR="004A1FA5">
        <w:t xml:space="preserve">более 2 </w:t>
      </w:r>
      <w:r w:rsidR="00F07AA9">
        <w:t>нед.</w:t>
      </w:r>
      <w:r w:rsidR="004A1FA5">
        <w:t xml:space="preserve"> подряд</w:t>
      </w:r>
      <w:r w:rsidR="00F07AA9">
        <w:t xml:space="preserve"> без признаков воспаления, ночные профузные поты,</w:t>
      </w:r>
      <w:r w:rsidRPr="003147A2">
        <w:t xml:space="preserve"> похудание на 10</w:t>
      </w:r>
      <w:r w:rsidR="00DD3D1E">
        <w:t xml:space="preserve"> %</w:t>
      </w:r>
      <w:r w:rsidRPr="003147A2">
        <w:t xml:space="preserve"> массы тела за последние 6 мес.</w:t>
      </w:r>
    </w:p>
    <w:p w14:paraId="627BC77E" w14:textId="77777777" w:rsidR="004D7374" w:rsidRDefault="004D7374">
      <w:pPr>
        <w:ind w:firstLine="709"/>
        <w:contextualSpacing/>
      </w:pPr>
      <w:r w:rsidRPr="004D7374">
        <w:rPr>
          <w:b/>
        </w:rPr>
        <w:t>Лимфома из малых лимфоцитов</w:t>
      </w:r>
      <w:r>
        <w:t xml:space="preserve"> – это В-клеточная опухол</w:t>
      </w:r>
      <w:r w:rsidR="005208EC">
        <w:t>ь</w:t>
      </w:r>
      <w:r>
        <w:t xml:space="preserve"> из </w:t>
      </w:r>
      <w:r w:rsidR="005208EC">
        <w:t>малых В-лимфоцитов с иммунофенотипом хронического лимфоцитарного лейкоза</w:t>
      </w:r>
      <w:r w:rsidR="00032FC0">
        <w:t>, характери</w:t>
      </w:r>
      <w:r w:rsidR="00F07AA9">
        <w:softHyphen/>
      </w:r>
      <w:r w:rsidR="00032FC0">
        <w:t>зу</w:t>
      </w:r>
      <w:r w:rsidR="00CC2A3D">
        <w:t>ющаяся</w:t>
      </w:r>
      <w:r w:rsidR="00032FC0">
        <w:t xml:space="preserve"> </w:t>
      </w:r>
      <w:r w:rsidR="00032FC0" w:rsidRPr="00032FC0">
        <w:t>наличи</w:t>
      </w:r>
      <w:r w:rsidR="00032FC0">
        <w:t>ем</w:t>
      </w:r>
      <w:r w:rsidR="00032FC0" w:rsidRPr="00032FC0">
        <w:t xml:space="preserve"> лимфаденопатии и/или спленомегалии с содержанием В-лимфоцитов в периферической крови </w:t>
      </w:r>
      <w:r w:rsidR="00CC2A3D">
        <w:t>≤</w:t>
      </w:r>
      <w:r w:rsidR="00032FC0" w:rsidRPr="00032FC0">
        <w:t>5</w:t>
      </w:r>
      <w:r w:rsidR="003F71E8">
        <w:t xml:space="preserve"> </w:t>
      </w:r>
      <w:r w:rsidR="000648CB">
        <w:t>×</w:t>
      </w:r>
      <w:r w:rsidR="003F71E8">
        <w:t xml:space="preserve"> </w:t>
      </w:r>
      <w:r w:rsidR="00032FC0">
        <w:t>10</w:t>
      </w:r>
      <w:r w:rsidR="00032FC0" w:rsidRPr="00D449BB">
        <w:rPr>
          <w:vertAlign w:val="superscript"/>
        </w:rPr>
        <w:t>9</w:t>
      </w:r>
      <w:r w:rsidR="00032FC0">
        <w:t>/л</w:t>
      </w:r>
      <w:r w:rsidR="00032FC0" w:rsidRPr="00007106">
        <w:t xml:space="preserve"> </w:t>
      </w:r>
      <w:r w:rsidR="000137B7">
        <w:t>без морфологических признаков поражения костного мозга</w:t>
      </w:r>
      <w:r w:rsidR="00D449BB" w:rsidRPr="00D449BB">
        <w:t>.</w:t>
      </w:r>
    </w:p>
    <w:p w14:paraId="41A11DEA" w14:textId="77777777" w:rsidR="003F71E8" w:rsidRPr="003F71E8" w:rsidRDefault="003F71E8">
      <w:pPr>
        <w:ind w:firstLine="709"/>
        <w:contextualSpacing/>
        <w:rPr>
          <w:iCs/>
        </w:rPr>
      </w:pPr>
      <w:r w:rsidRPr="003F71E8">
        <w:rPr>
          <w:b/>
          <w:bCs/>
          <w:iCs/>
        </w:rPr>
        <w:t>Синдром Рихтера</w:t>
      </w:r>
      <w:r w:rsidRPr="003F71E8">
        <w:rPr>
          <w:iCs/>
        </w:rPr>
        <w:t xml:space="preserve"> </w:t>
      </w:r>
      <w:r>
        <w:rPr>
          <w:iCs/>
        </w:rPr>
        <w:t>–</w:t>
      </w:r>
      <w:r w:rsidRPr="003F71E8">
        <w:rPr>
          <w:iCs/>
        </w:rPr>
        <w:t xml:space="preserve"> появление крупноклеточной лимфомы на фоне </w:t>
      </w:r>
      <w:r w:rsidR="000648CB">
        <w:t>хронического лимфоцитарного лейкоза</w:t>
      </w:r>
      <w:r>
        <w:rPr>
          <w:iCs/>
        </w:rPr>
        <w:t>.</w:t>
      </w:r>
      <w:r w:rsidRPr="003F71E8">
        <w:rPr>
          <w:iCs/>
        </w:rPr>
        <w:t xml:space="preserve"> </w:t>
      </w:r>
    </w:p>
    <w:p w14:paraId="5D057E7C" w14:textId="77777777" w:rsidR="003F71E8" w:rsidRPr="003F71E8" w:rsidRDefault="003F71E8">
      <w:pPr>
        <w:ind w:firstLine="709"/>
        <w:contextualSpacing/>
        <w:rPr>
          <w:iCs/>
        </w:rPr>
      </w:pPr>
      <w:r w:rsidRPr="003F71E8">
        <w:rPr>
          <w:b/>
          <w:bCs/>
          <w:iCs/>
        </w:rPr>
        <w:t>Ходжкинская трансформация</w:t>
      </w:r>
      <w:r>
        <w:rPr>
          <w:iCs/>
        </w:rPr>
        <w:t xml:space="preserve"> – </w:t>
      </w:r>
      <w:r w:rsidRPr="003F71E8">
        <w:rPr>
          <w:iCs/>
        </w:rPr>
        <w:t xml:space="preserve">появление лимфомы Ходжкина на фоне </w:t>
      </w:r>
      <w:r w:rsidR="000648CB">
        <w:t>хронического лимфоцитарного лейкоза</w:t>
      </w:r>
      <w:r w:rsidRPr="003F71E8">
        <w:rPr>
          <w:iCs/>
        </w:rPr>
        <w:t>.</w:t>
      </w:r>
    </w:p>
    <w:p w14:paraId="36D24B24" w14:textId="77777777" w:rsidR="004D7374" w:rsidRPr="00007106" w:rsidRDefault="004D7374">
      <w:pPr>
        <w:ind w:firstLine="709"/>
        <w:contextualSpacing/>
      </w:pPr>
      <w:r w:rsidRPr="004D7374">
        <w:rPr>
          <w:b/>
        </w:rPr>
        <w:t xml:space="preserve">Хронический </w:t>
      </w:r>
      <w:r w:rsidR="00A223BC" w:rsidRPr="00D449BB">
        <w:rPr>
          <w:b/>
        </w:rPr>
        <w:t>лимфоцитарный лейкоз</w:t>
      </w:r>
      <w:r w:rsidR="00A223BC">
        <w:t xml:space="preserve"> </w:t>
      </w:r>
      <w:r>
        <w:t xml:space="preserve">– это опухоль из </w:t>
      </w:r>
      <w:r w:rsidR="005208EC">
        <w:t>малых В-лимфоцитов</w:t>
      </w:r>
      <w:r>
        <w:t xml:space="preserve">, характеризующаяся </w:t>
      </w:r>
      <w:r w:rsidR="00CC2A3D">
        <w:t>пролиферацией и</w:t>
      </w:r>
      <w:r w:rsidR="00883FF1">
        <w:t xml:space="preserve"> накоплением </w:t>
      </w:r>
      <w:r w:rsidR="00CC2A3D">
        <w:t xml:space="preserve">аберрантных лимфоидных </w:t>
      </w:r>
      <w:r w:rsidR="00883FF1">
        <w:t xml:space="preserve">клеток в костном мозге, </w:t>
      </w:r>
      <w:r w:rsidR="00CC2A3D">
        <w:t>кр</w:t>
      </w:r>
      <w:r w:rsidR="00883FF1">
        <w:t>ови, лимфоидных тк</w:t>
      </w:r>
      <w:r w:rsidR="000648CB">
        <w:t>анях;</w:t>
      </w:r>
      <w:r w:rsidR="00883FF1">
        <w:t xml:space="preserve"> </w:t>
      </w:r>
      <w:r w:rsidR="00CC2A3D">
        <w:t xml:space="preserve">критерием </w:t>
      </w:r>
      <w:r w:rsidR="000648CB">
        <w:t>по</w:t>
      </w:r>
      <w:r w:rsidR="00CC2A3D">
        <w:t xml:space="preserve">становки диагноза является </w:t>
      </w:r>
      <w:r w:rsidR="00CC2A3D">
        <w:lastRenderedPageBreak/>
        <w:t xml:space="preserve">обнаружение </w:t>
      </w:r>
      <w:r w:rsidR="005208EC">
        <w:t>абсолютн</w:t>
      </w:r>
      <w:r w:rsidR="00CC2A3D">
        <w:t>ого</w:t>
      </w:r>
      <w:r w:rsidR="005208EC">
        <w:t xml:space="preserve"> В-клеточн</w:t>
      </w:r>
      <w:r w:rsidR="000648CB">
        <w:t>ого лимфоцитоза</w:t>
      </w:r>
      <w:r>
        <w:t xml:space="preserve"> в крови (&gt;</w:t>
      </w:r>
      <w:r w:rsidR="00032FC0" w:rsidRPr="00032FC0">
        <w:t>5</w:t>
      </w:r>
      <w:r w:rsidR="000648CB">
        <w:t xml:space="preserve"> × </w:t>
      </w:r>
      <w:r w:rsidR="00032FC0" w:rsidRPr="00032FC0">
        <w:t>10</w:t>
      </w:r>
      <w:r w:rsidR="00032FC0" w:rsidRPr="00BA5245">
        <w:rPr>
          <w:vertAlign w:val="superscript"/>
        </w:rPr>
        <w:t>9</w:t>
      </w:r>
      <w:r w:rsidR="00032FC0" w:rsidRPr="00032FC0">
        <w:t xml:space="preserve">/л </w:t>
      </w:r>
      <w:r>
        <w:t>моноклональных В-лимфоцитов)</w:t>
      </w:r>
      <w:r w:rsidR="00F63CEF">
        <w:t>.</w:t>
      </w:r>
      <w:r w:rsidR="005208EC">
        <w:t xml:space="preserve"> </w:t>
      </w:r>
      <w:r w:rsidR="000648CB" w:rsidRPr="000648CB">
        <w:t>Хронический лимфоцитарный лейкоз</w:t>
      </w:r>
      <w:r w:rsidR="00CC2A3D" w:rsidRPr="000648CB">
        <w:t xml:space="preserve"> </w:t>
      </w:r>
      <w:r w:rsidR="00CC2A3D" w:rsidRPr="00F63CEF">
        <w:t xml:space="preserve">и </w:t>
      </w:r>
      <w:r w:rsidR="000648CB">
        <w:t>л</w:t>
      </w:r>
      <w:r w:rsidR="000648CB" w:rsidRPr="000648CB">
        <w:t>имфома из малых лимфоцитов</w:t>
      </w:r>
      <w:r w:rsidR="00CC2A3D" w:rsidRPr="000648CB">
        <w:t xml:space="preserve"> </w:t>
      </w:r>
      <w:r w:rsidR="00CC2A3D" w:rsidRPr="00F63CEF">
        <w:t>представляют собой различные проявления одного и того же заболевания.</w:t>
      </w:r>
      <w:r w:rsidR="000648CB">
        <w:t xml:space="preserve"> </w:t>
      </w:r>
    </w:p>
    <w:p w14:paraId="3C9973BA" w14:textId="77777777" w:rsidR="008D44A6" w:rsidRPr="004753EB" w:rsidRDefault="003A1E47">
      <w:pPr>
        <w:ind w:firstLine="709"/>
        <w:contextualSpacing/>
      </w:pPr>
      <w:r w:rsidRPr="003147A2">
        <w:rPr>
          <w:b/>
        </w:rPr>
        <w:t>Трансформация</w:t>
      </w:r>
      <w:r w:rsidR="00DD3D1E">
        <w:rPr>
          <w:b/>
        </w:rPr>
        <w:t xml:space="preserve"> </w:t>
      </w:r>
      <w:r w:rsidR="004753EB">
        <w:t xml:space="preserve">– развитие диффузной В-клеточной крупноклеточной лимфомы или лимфомы Ходжкина на фоне </w:t>
      </w:r>
      <w:r w:rsidR="000648CB">
        <w:t>х</w:t>
      </w:r>
      <w:r w:rsidR="000648CB" w:rsidRPr="000648CB">
        <w:t>роническ</w:t>
      </w:r>
      <w:r w:rsidR="000648CB">
        <w:t>ого</w:t>
      </w:r>
      <w:r w:rsidR="000648CB" w:rsidRPr="000648CB">
        <w:t xml:space="preserve"> лимфоцитарн</w:t>
      </w:r>
      <w:r w:rsidR="000648CB">
        <w:t>ого</w:t>
      </w:r>
      <w:r w:rsidR="000648CB" w:rsidRPr="000648CB">
        <w:t xml:space="preserve"> лейкоз</w:t>
      </w:r>
      <w:r w:rsidR="000648CB">
        <w:t>а</w:t>
      </w:r>
      <w:r w:rsidR="000648CB" w:rsidRPr="000648CB">
        <w:t xml:space="preserve"> </w:t>
      </w:r>
      <w:r w:rsidR="000648CB" w:rsidRPr="00F63CEF">
        <w:t>и</w:t>
      </w:r>
      <w:r w:rsidR="000648CB">
        <w:t>ли</w:t>
      </w:r>
      <w:r w:rsidR="000648CB" w:rsidRPr="00F63CEF">
        <w:t xml:space="preserve"> </w:t>
      </w:r>
      <w:r w:rsidR="000648CB">
        <w:t>л</w:t>
      </w:r>
      <w:r w:rsidR="000648CB" w:rsidRPr="000648CB">
        <w:t>имфом</w:t>
      </w:r>
      <w:r w:rsidR="000648CB">
        <w:t>ы</w:t>
      </w:r>
      <w:r w:rsidR="000648CB" w:rsidRPr="000648CB">
        <w:t xml:space="preserve"> из малых лимфоцитов</w:t>
      </w:r>
      <w:r w:rsidR="004753EB">
        <w:t xml:space="preserve">. </w:t>
      </w:r>
    </w:p>
    <w:p w14:paraId="5A7C38A8" w14:textId="77777777" w:rsidR="00DC3895" w:rsidRPr="00437AD9" w:rsidRDefault="001C2A64" w:rsidP="005D3BBD">
      <w:pPr>
        <w:pStyle w:val="af9"/>
        <w:spacing w:before="0"/>
      </w:pPr>
      <w:bookmarkStart w:id="9" w:name="_Toc23601712"/>
      <w:bookmarkStart w:id="10" w:name="_Toc65068792"/>
      <w:r>
        <w:t xml:space="preserve">1. </w:t>
      </w:r>
      <w:r w:rsidR="00DC3895" w:rsidRPr="00437AD9">
        <w:t xml:space="preserve">Краткая информация по заболеванию или состоянию </w:t>
      </w:r>
      <w:r w:rsidR="00BE6A1C">
        <w:br/>
      </w:r>
      <w:r w:rsidR="00DC3895" w:rsidRPr="00437AD9">
        <w:t>(группе заболеваний или состояний)</w:t>
      </w:r>
      <w:bookmarkEnd w:id="9"/>
      <w:bookmarkEnd w:id="10"/>
    </w:p>
    <w:p w14:paraId="6A9662EA" w14:textId="77777777" w:rsidR="004D7374" w:rsidRPr="004E3A70" w:rsidRDefault="004D7374">
      <w:pPr>
        <w:pStyle w:val="2"/>
      </w:pPr>
      <w:bookmarkStart w:id="11" w:name="_Toc23601713"/>
      <w:bookmarkStart w:id="12" w:name="_Toc65068793"/>
      <w:r w:rsidRPr="004E3A70">
        <w:t>1.1</w:t>
      </w:r>
      <w:r w:rsidR="00397360" w:rsidRPr="004E3A70">
        <w:t>.</w:t>
      </w:r>
      <w:r w:rsidRPr="004E3A70">
        <w:t xml:space="preserve"> Определени</w:t>
      </w:r>
      <w:r w:rsidR="00BE6A1C" w:rsidRPr="005D3BBD">
        <w:t>е</w:t>
      </w:r>
      <w:r w:rsidR="0030568B" w:rsidRPr="005D3BBD">
        <w:t xml:space="preserve"> заболевания или состояния (группы заболеваний или состояний)</w:t>
      </w:r>
      <w:bookmarkEnd w:id="11"/>
      <w:bookmarkEnd w:id="12"/>
    </w:p>
    <w:p w14:paraId="265D9BB4" w14:textId="77777777" w:rsidR="004D7374" w:rsidRDefault="007F15BE" w:rsidP="004E3A70">
      <w:pPr>
        <w:ind w:firstLine="709"/>
        <w:contextualSpacing/>
      </w:pPr>
      <w:r>
        <w:t>Хронический лимфо</w:t>
      </w:r>
      <w:r w:rsidR="007D1103">
        <w:t xml:space="preserve">цитарный </w:t>
      </w:r>
      <w:r>
        <w:t>лейкоз (ХЛЛ)</w:t>
      </w:r>
      <w:r w:rsidR="000648CB">
        <w:t xml:space="preserve"> и </w:t>
      </w:r>
      <w:r w:rsidR="004D7374">
        <w:t>лимфома из малых лимфоцитов (ЛМЛ)</w:t>
      </w:r>
      <w:r w:rsidR="00DD3D1E">
        <w:t> </w:t>
      </w:r>
      <w:r w:rsidR="004D7374">
        <w:t xml:space="preserve">– это В-клеточные опухоли из </w:t>
      </w:r>
      <w:r w:rsidR="005208EC">
        <w:t>малых В-лимфоцитов</w:t>
      </w:r>
      <w:r w:rsidR="004D7374">
        <w:t xml:space="preserve">. </w:t>
      </w:r>
      <w:r w:rsidR="005208EC">
        <w:t>ХЛЛ</w:t>
      </w:r>
      <w:r w:rsidR="000648CB">
        <w:t xml:space="preserve"> и </w:t>
      </w:r>
      <w:r w:rsidR="005208EC">
        <w:t>ЛМЛ</w:t>
      </w:r>
      <w:r w:rsidR="004D7374">
        <w:t xml:space="preserve"> биологически </w:t>
      </w:r>
      <w:r w:rsidR="004D7374" w:rsidRPr="004A1FA5">
        <w:t xml:space="preserve">представляют собой </w:t>
      </w:r>
      <w:r w:rsidR="000137B7">
        <w:t>одну</w:t>
      </w:r>
      <w:r w:rsidR="00194677">
        <w:t xml:space="preserve"> нозологическую </w:t>
      </w:r>
      <w:r w:rsidR="000137B7">
        <w:t>форму.</w:t>
      </w:r>
      <w:r w:rsidR="00DD3D1E">
        <w:t xml:space="preserve"> </w:t>
      </w:r>
      <w:r w:rsidR="004D7374" w:rsidRPr="004A1FA5">
        <w:t xml:space="preserve">Отличие между ними </w:t>
      </w:r>
      <w:r w:rsidR="000648CB">
        <w:t xml:space="preserve">состоит </w:t>
      </w:r>
      <w:r w:rsidR="004D7374" w:rsidRPr="004A1FA5">
        <w:t xml:space="preserve">в том, что при ХЛЛ в крови </w:t>
      </w:r>
      <w:r w:rsidR="000648CB">
        <w:t>наблюдается</w:t>
      </w:r>
      <w:r w:rsidR="004D7374" w:rsidRPr="004A1FA5">
        <w:t xml:space="preserve"> значительный лимфоцитоз (</w:t>
      </w:r>
      <w:r w:rsidR="004A1FA5" w:rsidRPr="004A1FA5">
        <w:t>≥</w:t>
      </w:r>
      <w:r w:rsidR="004D7374" w:rsidRPr="004A1FA5">
        <w:t xml:space="preserve">5000 моноклональных </w:t>
      </w:r>
      <w:r w:rsidR="000648CB">
        <w:br/>
      </w:r>
      <w:r w:rsidR="004D7374" w:rsidRPr="004A1FA5">
        <w:t>В-лимфоцитов), тогда как при</w:t>
      </w:r>
      <w:r w:rsidR="004D7374">
        <w:t xml:space="preserve"> ЛМЛ </w:t>
      </w:r>
      <w:r w:rsidR="00194677">
        <w:t xml:space="preserve">выявляется поражение лимфатических узлов, селезенки, </w:t>
      </w:r>
      <w:r w:rsidR="000648CB">
        <w:t xml:space="preserve">но </w:t>
      </w:r>
      <w:r w:rsidR="000137B7">
        <w:t xml:space="preserve">содержание клональных В-клеток в крови </w:t>
      </w:r>
      <w:r w:rsidR="000137B7" w:rsidRPr="000137B7">
        <w:t>≤5</w:t>
      </w:r>
      <w:r w:rsidR="007D1103">
        <w:t> </w:t>
      </w:r>
      <w:r w:rsidR="00DD3D1E">
        <w:t>×</w:t>
      </w:r>
      <w:r w:rsidR="007D1103">
        <w:t> </w:t>
      </w:r>
      <w:r w:rsidR="000137B7" w:rsidRPr="000137B7">
        <w:t>10</w:t>
      </w:r>
      <w:r w:rsidR="000137B7" w:rsidRPr="000137B7">
        <w:rPr>
          <w:vertAlign w:val="superscript"/>
        </w:rPr>
        <w:t>9</w:t>
      </w:r>
      <w:r w:rsidR="000137B7" w:rsidRPr="000137B7">
        <w:t>/л</w:t>
      </w:r>
      <w:r w:rsidR="000137B7">
        <w:t>, отсутствуют морфологически</w:t>
      </w:r>
      <w:r w:rsidR="000648CB">
        <w:t>е</w:t>
      </w:r>
      <w:r w:rsidR="000137B7">
        <w:t xml:space="preserve"> признак</w:t>
      </w:r>
      <w:r w:rsidR="000648CB">
        <w:t>и</w:t>
      </w:r>
      <w:r w:rsidR="000137B7">
        <w:t xml:space="preserve"> поражения костного мозга.</w:t>
      </w:r>
    </w:p>
    <w:p w14:paraId="702B030F" w14:textId="77777777" w:rsidR="004D7374" w:rsidRPr="00E92E00" w:rsidRDefault="004D7374" w:rsidP="005D3BBD">
      <w:pPr>
        <w:pStyle w:val="2"/>
      </w:pPr>
      <w:bookmarkStart w:id="13" w:name="_Toc23601714"/>
      <w:bookmarkStart w:id="14" w:name="_Toc65068794"/>
      <w:r w:rsidRPr="004E3A70">
        <w:t>1.2</w:t>
      </w:r>
      <w:r w:rsidR="00397360" w:rsidRPr="004E3A70">
        <w:t>.</w:t>
      </w:r>
      <w:r w:rsidRPr="00830EF8">
        <w:t xml:space="preserve"> Этиология и патогенез</w:t>
      </w:r>
      <w:r w:rsidR="000F2A44" w:rsidRPr="00830EF8">
        <w:t xml:space="preserve"> </w:t>
      </w:r>
      <w:r w:rsidR="0030568B" w:rsidRPr="00E92E00">
        <w:t>заболевания или состояния (группы заболеваний или состояний)</w:t>
      </w:r>
      <w:bookmarkEnd w:id="13"/>
      <w:bookmarkEnd w:id="14"/>
    </w:p>
    <w:p w14:paraId="3D2138E8" w14:textId="77777777" w:rsidR="001A7FF4" w:rsidRPr="0016638B" w:rsidRDefault="000648CB" w:rsidP="004E3A70">
      <w:pPr>
        <w:ind w:firstLine="709"/>
      </w:pPr>
      <w:r>
        <w:t>Молекулярный патогенез ХЛЛ –</w:t>
      </w:r>
      <w:r w:rsidR="00C75BCD" w:rsidRPr="0016638B">
        <w:t xml:space="preserve"> комплексный многоступенчатый процесс, который приводит к репликации клона В-лимфоцитов</w:t>
      </w:r>
      <w:r w:rsidR="008C3A74" w:rsidRPr="0016638B">
        <w:t xml:space="preserve"> </w:t>
      </w:r>
      <w:r w:rsidR="000B0AC3" w:rsidRPr="0016638B">
        <w:fldChar w:fldCharType="begin" w:fldLock="1"/>
      </w:r>
      <w:r w:rsidR="001A7FF4" w:rsidRPr="0016638B">
        <w:instrText>ADDIN CSL_CITATION {"citationItems":[{"id":"ITEM-1","itemData":{"DOI":"10.1016/j.semcancer.2010.08.004","ISSN":"1044579X","abstract":"The key molecule for normal B cells is the surface Ig (sIg) of the B-cell receptor, which influences cell behaviour, even after neoplastic transformation. During B-cell maturation, sIg accumulates somatic mutations in the Ig variable region (V) genes and tumours retain these patterns, thereby revealing the point of differentiation of the B cell of origin. The importance of origin is strikingly illustrated in CLL where the two major subsets with distinctive clinical behaviour express either unmutated (U) or mutated (M) V genes. Biased selection of VDJ genes also occurs in CLL, allowing further identification of the normal B-cell counterparts, with U-CLL apparently derived from circulating naïve B cells. Surface IgM of CLL is functional, with evidence for ongoing interaction with antigen in vivo. Signalling connects to cell survival, proliferation and migration, key determinants of tumour cell behaviour. Probing of B-cell receptor-mediated signalling pathways, either constitutively activated or open for activation, reveals dynamic, possibly repetitive, stimulatory events, likely to occur in tissue sites. Subtle differences in signal responsiveness between U-CLL or M-CLL subsets, together with microenvironmental factors, may explain clinical outcome. Knowledge of the critical signalling pathways should reveal the steps vulnerable to inhibition and allow development of a new range of therapeutic drugs, targeted particularly against the more aggressive subset, U-CLL. © 2010 Elsevier Ltd.","author":[{"dropping-particle":"","family":"Packham","given":"Graham","non-dropping-particle":"","parse-names":false,"suffix":""},{"dropping-particle":"","family":"Stevenson","given":"Freda","non-dropping-particle":"","parse-names":false,"suffix":""}],"container-title":"Seminars in Cancer Biology","id":"ITEM-1","issue":"6","issued":{"date-parts":[["2010","12"]]},"page":"391-399","title":"The role of the B-cell receptor in the pathogenesis of chronic lymphocytic leukaemia","type":"article","volume":"20"},"uris":["http://www.mendeley.com/documents/?uuid=830522e0-49cb-3380-a41f-4db8c7d9791e"]},{"id":"ITEM-2","itemData":{"DOI":"10.1158/0008-5472.CAN-14-0630","ISSN":"15387445","abstract":"Over the last decade, immunogenetic analysis of B-cell receptor immunoglobulins (BcR IG) has proved instrumental in dissecting chronic lymphocytic leukemia (CLL) pathogenesis. Initially, it was the finding that the level of somatic hypermutations in rearranged IG heavy-chain genes could define two CLL subtypes associated with a different clinical course that drew attention. As the years ensued, this not only continued to hold strong, but also revealed an unprecedented BcR restriction (aptly coined as \" stereotypy\"), thus cementing the idea that antigenic elements select the leukemic clones. With all this in mind, in the present review, we focus on the CLL BcR IG, a molecule that clearly lies at the heart of disease pathogenesis, and attempt to distil from past and emerging biologic knowledge the most relevant aspects in the context of the immunogenetics of CLL, while at the same time provoking questions that remain unanswered. We juxtapose CLL with mutated BcR IGs against CLL with unmutated BcR IGs due to their striking clinicobiologic differences; however, when considering ontogeny, common derivation of the two mutational subtypes cannot be excluded. The issue of stereotypy is intertwined throughout and we also raise the subject of isotype-switched CLL, which, despite its rarity, contributes intriguing ontogenetic hints. © 2014 AACR.","author":[{"dropping-particle":"","family":"Vardi","given":"Anna","non-dropping-particle":"","parse-names":false,"suffix":""},{"dropping-particle":"","family":"Agathangelidis","given":"Andreas","non-dropping-particle":"","parse-names":false,"suffix":""},{"dropping-particle":"","family":"Sutton","given":"Lesley Ann","non-dropping-particle":"","parse-names":false,"suffix":""},{"dropping-particle":"","family":"Ghia","given":"Paolo","non-dropping-particle":"","parse-names":false,"suffix":""},{"dropping-particle":"","family":"Rosenquist","given":"Richard","non-dropping-particle":"","parse-names":false,"suffix":""},{"dropping-particle":"","family":"Stamatopoulos","given":"Kostas","non-dropping-particle":"","parse-names":false,"suffix":""}],"container-title":"Cancer Research","id":"ITEM-2","issue":"16","issued":{"date-parts":[["2014","8","15"]]},"page":"4211-4216","publisher":"American Association for Cancer Research Inc.","title":"Immunogenetic studies of chronic lymphocytic leukemia: Revelations and speculations about ontogeny and clinical evolution","type":"article","volume":"74"},"uris":["http://www.mendeley.com/documents/?uuid=bbd755e8-35f4-3510-87ba-154469cdeb86"]},{"id":"ITEM-3","itemData":{"DOI":"10.1182/blood-2007-07-099564","ISSN":"00064971","abstract":"Somatic hypermutation (SHM) features in a series of 1967 immunoglobulin heavy chain gene (IGH) rearrangements obtained from patients with chronic lymphocytic leukemia (CLL) were examined and compared with IGH sequences from non-CLL B cells available in public databases. SHM analysis was performed for all 1290 CLL sequences in this cohort with less than 100% identity to germ line. At the cohort level, SHM patterns were typical of a canonical SHM process. However, important differences emerged from the analysis of certain subgroups of CLL sequences defined by: (1) IGHV gene usage, (2) presence of stereotyped heavy chain complementarity-determining region 3 (HCDR3) sequences, and (3) mutational load. Recurrent, \"stereotyped\" amino acid changes occurred across the entire IGHV region in CLL subsets carrying stereotyped HCDR3 sequences, especially those expressing the IGHV3-21 and IGHV4-34 genes. These mutations are underrepresented among non-CLL sequences and thus can be considered as CLL-biased. Furthermore, it was shown that even a low level of mutations may be functionally relevant, given that stereotyped amino acid changes can be found in subsets of minimally mutated cases. The precise targeting and distinctive features of somatic hypermutation (SHM) in selected subgroups of CLL patients provide further evidence for selection by specific antigenic element(s). © 2008 by The American Society of Hematology.","author":[{"dropping-particle":"","family":"Murray","given":"Fiona","non-dropping-particle":"","parse-names":false,"suffix":""},{"dropping-particle":"","family":"Darzentas","given":"Nikos","non-dropping-particle":"","parse-names":false,"suffix":""},{"dropping-particle":"","family":"Hadzidimitriou","given":"Anastasia","non-dropping-particle":"","parse-names":false,"suffix":""},{"dropping-particle":"","family":"Tobin","given":"Gerard","non-dropping-particle":"","parse-names":false,"suffix":""},{"dropping-particle":"","family":"Boudjogra","given":"Myriam","non-dropping-particle":"","parse-names":false,"suffix":""},{"dropping-particle":"","family":"Scielzo","given":"Cristina","non-dropping-particle":"","parse-names":false,"suffix":""},{"dropping-particle":"","family":"Laoutaris","given":"Nikolaos","non-dropping-particle":"","parse-names":false,"suffix":""},{"dropping-particle":"","family":"Karlsson","given":"Karin","non-dropping-particle":"","parse-names":false,"suffix":""},{"dropping-particle":"","family":"Baran-Marzsak","given":"Fanny","non-dropping-particle":"","parse-names":false,"suffix":""},{"dropping-particle":"","family":"Tsaftaris","given":"Athanasios","non-dropping-particle":"","parse-names":false,"suffix":""},{"dropping-particle":"","family":"Moreno","given":"Carol","non-dropping-particle":"","parse-names":false,"suffix":""},{"dropping-particle":"","family":"Anagnostopoulos","given":"Achilles","non-dropping-particle":"","parse-names":false,"suffix":""},{"dropping-particle":"","family":"Caligaris-Cappio","given":"Federico","non-dropping-particle":"","parse-names":false,"suffix":""},{"dropping-particle":"","family":"Vaur","given":"Dominique","non-dropping-particle":"","parse-names":false,"suffix":""},{"dropping-particle":"","family":"Ouzounis","given":"Christos","non-dropping-particle":"","parse-names":false,"suffix":""},{"dropping-particle":"","family":"Belessi","given":"Chrysoula","non-dropping-particle":"","parse-names":false,"suffix":""},{"dropping-particle":"","family":"Ghia","given":"Paolo","non-dropping-particle":"","parse-names":false,"suffix":""},{"dropping-particle":"","family":"Davi","given":"Fred","non-dropping-particle":"","parse-names":false,"suffix":""},{"dropping-particle":"","family":"Rosenquist","given":"Richard","non-dropping-particle":"","parse-names":false,"suffix":""},{"dropping-particle":"","family":"Stamatopoulos","given":"Kostas","non-dropping-particle":"","parse-names":false,"suffix":""}],"container-title":"Blood","id":"ITEM-3","issue":"3","issued":{"date-parts":[["2008"]]},"page":"1524-1533","title":"Stereotyped patterns of somatic hypermutation in subsets of patients with chronic lymphocytic leukemia: Implications for the role of antigen selection in leukemogenesis","type":"article-journal","volume":"111"},"uris":["http://www.mendeley.com/documents/?uuid=a3b1e906-374a-3e1e-a5fc-aca74df7bc47"]}],"mendeley":{"formattedCitation":"[1–3]","plainTextFormattedCitation":"[1–3]","previouslyFormattedCitation":"[1–3]"},"properties":{"noteIndex":0},"schema":"https://github.com/citation-style-language/schema/raw/master/csl-citation.json"}</w:instrText>
      </w:r>
      <w:r w:rsidR="000B0AC3" w:rsidRPr="0016638B">
        <w:fldChar w:fldCharType="separate"/>
      </w:r>
      <w:r w:rsidR="008C3A74" w:rsidRPr="0016638B">
        <w:rPr>
          <w:noProof/>
        </w:rPr>
        <w:t>[1–3]</w:t>
      </w:r>
      <w:r w:rsidR="000B0AC3" w:rsidRPr="0016638B">
        <w:fldChar w:fldCharType="end"/>
      </w:r>
      <w:r w:rsidR="00C75BCD" w:rsidRPr="0016638B">
        <w:t>. Почти во всех случаях хроническому лимфолейкозу предшествует моноклональный В-клеточный лимфоцитоз (МВКЛ), который обнаруживается высокоточными методами иммунофенотипирования у 5</w:t>
      </w:r>
      <w:r w:rsidR="007D1103" w:rsidRPr="0016638B">
        <w:t>–</w:t>
      </w:r>
      <w:r w:rsidR="00C75BCD" w:rsidRPr="0016638B">
        <w:t>15</w:t>
      </w:r>
      <w:r w:rsidR="00DD3D1E">
        <w:t xml:space="preserve"> %</w:t>
      </w:r>
      <w:r w:rsidR="00C75BCD" w:rsidRPr="0016638B">
        <w:t xml:space="preserve"> лиц старше </w:t>
      </w:r>
      <w:r w:rsidR="008C3A74" w:rsidRPr="0016638B">
        <w:t>4</w:t>
      </w:r>
      <w:r w:rsidR="00C75BCD" w:rsidRPr="0016638B">
        <w:t>0 лет</w:t>
      </w:r>
      <w:r w:rsidR="008C3A74" w:rsidRPr="0016638B">
        <w:t xml:space="preserve">, </w:t>
      </w:r>
      <w:r w:rsidR="001A7FF4" w:rsidRPr="0016638B">
        <w:t>риск развития</w:t>
      </w:r>
      <w:r w:rsidR="008C3A74" w:rsidRPr="0016638B">
        <w:t xml:space="preserve"> МВКЛ увеличивается с возрастом</w:t>
      </w:r>
      <w:r w:rsidR="001A7FF4" w:rsidRPr="0016638B">
        <w:t xml:space="preserve"> </w:t>
      </w:r>
      <w:r w:rsidR="000B0AC3" w:rsidRPr="0016638B">
        <w:fldChar w:fldCharType="begin" w:fldLock="1"/>
      </w:r>
      <w:r w:rsidR="00A33FC0" w:rsidRPr="0016638B">
        <w:instrText xml:space="preserve">ADDIN CSL_CITATION {"citationItems":[{"id":"ITEM-1","itemData":{"DOI":"10.1182/blood-2015-02-585059","ISSN":"15280020","abstract":"Monoclonal B lymphocytosis (MBL) is defined as the presence of a clonal B-cell population in the peripheral blood with fewer than 5 × 10(9)/L B-cells and no other signs of a lymphoproliferative disorder. The majority of cases of MBL have the immunophenotype of chronic lymphocytic leukemia (CLL). MBL can be categorized as either low count or high count based on whether the B-cell count is above or below 0.5 × 10(9)/L. Low-count MBL can be detected in </w:instrText>
      </w:r>
      <w:r w:rsidR="00A33FC0" w:rsidRPr="0016638B">
        <w:rPr>
          <w:rFonts w:ascii="Cambria Math" w:hAnsi="Cambria Math" w:cs="Cambria Math"/>
        </w:rPr>
        <w:instrText>∼</w:instrText>
      </w:r>
      <w:r w:rsidR="00A33FC0" w:rsidRPr="0016638B">
        <w:instrText>5% of adults over the age of 40 years when assessed using standard-sensitivity flow cytometry assays. A number of biological and genetic characteristics distinguish low-count from high-count MBL. Whereas low-count MBL rarely progresses to CLL, high-count MBL progresses to CLL requiring therapy at a rate of 1% to 2% per year. High-count MBL is distinguished from Rai 0 CLL based on whether the B-cell count is above or below 5 × 10(9)/L. Although individuals with both high-count MBL and CLL Rai stage 0 are at increased risk of infections and second cancers, the risk of progression requiring treatment and the potential to shorten life expectancy are greater for CLL. This review highlights challenging questions regarding the classification, risk stratification, management, and supportive care of patients with MBL and CLL.","author":[{"dropping-particle":"","family":"Strati","given":"Paolo","non-dropping-particle":"","parse-names":false,"suffix":""},{"dropping-particle":"","family":"Shanafelt","given":"Tait D.","non-dropping-particle":"","parse-names":false,"suffix":""}],"container-title":"Blood","id":"ITEM-1","issue":"4","issued":{"date-parts":[["2015","7","23"]]},"page":"454-462","publisher":"American Society of Hematology","title":"Monoclonal B-cell lymphocytosis and early-stage chronic lymphocytic leukemia: Diagnosis, natural history, and risk stratification","type":"article","volume":"126"},"uris":["http://www.mendeley.com/documents/?uuid=1aa8dff9-435e-3b9c-aa07-bacd9e18cc38"]}],"mendeley":{"formattedCitation":"[4]","plainTextFormattedCitation":"[4]","previouslyFormattedCitation":"[4]"},"properties":{"noteIndex":0},"schema":"https://github.com/citation-style-language/schema/raw/master/csl-citation.json"}</w:instrText>
      </w:r>
      <w:r w:rsidR="000B0AC3" w:rsidRPr="0016638B">
        <w:fldChar w:fldCharType="separate"/>
      </w:r>
      <w:r w:rsidR="001A7FF4" w:rsidRPr="0016638B">
        <w:rPr>
          <w:noProof/>
        </w:rPr>
        <w:t>[4]</w:t>
      </w:r>
      <w:r w:rsidR="000B0AC3" w:rsidRPr="0016638B">
        <w:fldChar w:fldCharType="end"/>
      </w:r>
      <w:r w:rsidR="00C75BCD" w:rsidRPr="0016638B">
        <w:t xml:space="preserve">. МВКЛ инициируется комплексом факторов, </w:t>
      </w:r>
      <w:r w:rsidR="00BA284D">
        <w:t xml:space="preserve">который </w:t>
      </w:r>
      <w:r w:rsidR="00C75BCD" w:rsidRPr="0016638B">
        <w:t>включа</w:t>
      </w:r>
      <w:r w:rsidR="00BA284D">
        <w:t>ет</w:t>
      </w:r>
      <w:r w:rsidR="00C75BCD" w:rsidRPr="0016638B">
        <w:t xml:space="preserve"> мутации ряда генов, антигенн</w:t>
      </w:r>
      <w:r w:rsidR="00BA284D">
        <w:t>ую</w:t>
      </w:r>
      <w:r w:rsidR="00C75BCD" w:rsidRPr="0016638B">
        <w:t xml:space="preserve"> стимуляци</w:t>
      </w:r>
      <w:r w:rsidR="00BA284D">
        <w:t>ю</w:t>
      </w:r>
      <w:r w:rsidR="00C75BCD" w:rsidRPr="0016638B">
        <w:t>, сигнал</w:t>
      </w:r>
      <w:r w:rsidR="00BA284D">
        <w:t>ы</w:t>
      </w:r>
      <w:r w:rsidR="00BA284D" w:rsidRPr="00BA284D">
        <w:t xml:space="preserve"> </w:t>
      </w:r>
      <w:r w:rsidR="00BA284D">
        <w:t xml:space="preserve">от </w:t>
      </w:r>
      <w:r w:rsidR="00BA284D" w:rsidRPr="0016638B">
        <w:t>микроокружен</w:t>
      </w:r>
      <w:r w:rsidR="00BA284D">
        <w:t>ия</w:t>
      </w:r>
      <w:r w:rsidR="00C75BCD" w:rsidRPr="0016638B">
        <w:t>, эпигенетически</w:t>
      </w:r>
      <w:r w:rsidR="00BA284D">
        <w:t>е</w:t>
      </w:r>
      <w:r w:rsidR="00C75BCD" w:rsidRPr="0016638B">
        <w:t xml:space="preserve"> модификации и, наконец, цитогенетически</w:t>
      </w:r>
      <w:r w:rsidR="00BA284D">
        <w:t>е</w:t>
      </w:r>
      <w:r w:rsidR="00C75BCD" w:rsidRPr="0016638B">
        <w:t xml:space="preserve"> нарушения. В результате появляется клон лимфоцитов с фенотипом клеток ХЛЛ. </w:t>
      </w:r>
      <w:r w:rsidR="00BA284D">
        <w:t>У</w:t>
      </w:r>
      <w:r w:rsidR="00C75BCD" w:rsidRPr="0016638B">
        <w:t>ч</w:t>
      </w:r>
      <w:r w:rsidR="00BA284D">
        <w:t>и</w:t>
      </w:r>
      <w:r w:rsidR="00C75BCD" w:rsidRPr="0016638B">
        <w:t>т</w:t>
      </w:r>
      <w:r w:rsidR="00BA284D">
        <w:t>ывая</w:t>
      </w:r>
      <w:r w:rsidR="00C75BCD" w:rsidRPr="0016638B">
        <w:t xml:space="preserve"> многократно преобладающ</w:t>
      </w:r>
      <w:r w:rsidR="00BA284D">
        <w:t>ую</w:t>
      </w:r>
      <w:r w:rsidR="00C75BCD" w:rsidRPr="0016638B">
        <w:t xml:space="preserve"> частот</w:t>
      </w:r>
      <w:r w:rsidR="00BA284D">
        <w:t>у</w:t>
      </w:r>
      <w:r w:rsidR="00C75BCD" w:rsidRPr="0016638B">
        <w:t xml:space="preserve"> МВКЛ, </w:t>
      </w:r>
      <w:r w:rsidR="00BA284D" w:rsidRPr="0016638B">
        <w:t>к развитию ХЛЛ</w:t>
      </w:r>
      <w:r w:rsidR="00BA284D" w:rsidRPr="00BA284D">
        <w:t xml:space="preserve"> </w:t>
      </w:r>
      <w:r w:rsidR="00BA284D" w:rsidRPr="0016638B">
        <w:t xml:space="preserve">приводят </w:t>
      </w:r>
      <w:r w:rsidR="00C75BCD" w:rsidRPr="0016638B">
        <w:t xml:space="preserve">дополнительные генетические нарушения </w:t>
      </w:r>
      <w:r w:rsidR="00BA284D" w:rsidRPr="0016638B">
        <w:t xml:space="preserve">в </w:t>
      </w:r>
      <w:r w:rsidR="00BA284D">
        <w:t>1</w:t>
      </w:r>
      <w:r w:rsidR="00BA284D" w:rsidRPr="0016638B">
        <w:t xml:space="preserve"> из </w:t>
      </w:r>
      <w:r w:rsidR="00BA284D">
        <w:t>100</w:t>
      </w:r>
      <w:r w:rsidR="00BA284D" w:rsidRPr="0016638B">
        <w:t xml:space="preserve"> случаев МВКЛ</w:t>
      </w:r>
      <w:r w:rsidR="00C75BCD" w:rsidRPr="0016638B">
        <w:t>.</w:t>
      </w:r>
      <w:r w:rsidR="00DD3D1E">
        <w:t xml:space="preserve"> </w:t>
      </w:r>
      <w:r w:rsidR="001F5994" w:rsidRPr="0016638B">
        <w:t xml:space="preserve">Клетки ХЛЛ существенно влияют на микроокружение, инициируя </w:t>
      </w:r>
      <w:r w:rsidR="00BA284D">
        <w:t>появление</w:t>
      </w:r>
      <w:r w:rsidR="001F5994" w:rsidRPr="0016638B">
        <w:t xml:space="preserve"> </w:t>
      </w:r>
      <w:r w:rsidR="001A7FF4" w:rsidRPr="0016638B">
        <w:t xml:space="preserve">особого микроокружения </w:t>
      </w:r>
      <w:r w:rsidR="001F5994" w:rsidRPr="0016638B">
        <w:t>и даже специали</w:t>
      </w:r>
      <w:r w:rsidR="00BA284D">
        <w:softHyphen/>
      </w:r>
      <w:r w:rsidR="001F5994" w:rsidRPr="0016638B">
        <w:t>зированных клеток (</w:t>
      </w:r>
      <w:r w:rsidR="001F5994" w:rsidRPr="0016638B">
        <w:rPr>
          <w:lang w:val="en-US"/>
        </w:rPr>
        <w:t>nurse</w:t>
      </w:r>
      <w:r w:rsidR="001F5994" w:rsidRPr="0016638B">
        <w:t>-</w:t>
      </w:r>
      <w:r w:rsidR="001F5994" w:rsidRPr="0016638B">
        <w:rPr>
          <w:lang w:val="en-US"/>
        </w:rPr>
        <w:t>like</w:t>
      </w:r>
      <w:r w:rsidR="001F5994" w:rsidRPr="0016638B">
        <w:t xml:space="preserve"> </w:t>
      </w:r>
      <w:r w:rsidR="001F5994" w:rsidRPr="0016638B">
        <w:rPr>
          <w:lang w:val="en-US"/>
        </w:rPr>
        <w:t>cells</w:t>
      </w:r>
      <w:r w:rsidR="001F5994" w:rsidRPr="0016638B">
        <w:t>), которые определяют их клональную экспансию и дают возможность переживать генотоксические стрессы</w:t>
      </w:r>
      <w:r w:rsidR="00C75BCD" w:rsidRPr="0016638B">
        <w:t>. Время и химиотерапия приводят к клональной эволюции с накоплением генетических нарушений, которые делают клетки ХЛЛ все более автономными, быстро</w:t>
      </w:r>
      <w:r w:rsidR="00BA284D">
        <w:t xml:space="preserve"> </w:t>
      </w:r>
      <w:r w:rsidR="00C75BCD" w:rsidRPr="0016638B">
        <w:t xml:space="preserve">делящимися и рефракторными к терапии. </w:t>
      </w:r>
    </w:p>
    <w:p w14:paraId="3E90E9D5" w14:textId="77777777" w:rsidR="00C75BCD" w:rsidRPr="0016638B" w:rsidRDefault="00C75BCD" w:rsidP="00830EF8">
      <w:pPr>
        <w:ind w:firstLine="709"/>
      </w:pPr>
      <w:r w:rsidRPr="0016638B">
        <w:lastRenderedPageBreak/>
        <w:t>Клетки ХЛЛ/ЛМЛ экспрессируют В-клеточные антигенные рецепторы с ограниченным репертуаром специфичности. Постоянная передача сигнала через эти рецепторы и характер этой передачи явля</w:t>
      </w:r>
      <w:r w:rsidR="00A33FC0" w:rsidRPr="0016638B">
        <w:t>ю</w:t>
      </w:r>
      <w:r w:rsidRPr="0016638B">
        <w:t xml:space="preserve">тся ключевым фактором, определяющим жизнеспособность клеток ХЛЛ и также характер </w:t>
      </w:r>
      <w:r w:rsidR="00BA284D">
        <w:t>развития</w:t>
      </w:r>
      <w:r w:rsidRPr="0016638B">
        <w:t xml:space="preserve"> </w:t>
      </w:r>
      <w:r w:rsidR="001F5994" w:rsidRPr="0016638B">
        <w:t>этой опухоли</w:t>
      </w:r>
      <w:r w:rsidRPr="0016638B">
        <w:t xml:space="preserve">. Предполагается, </w:t>
      </w:r>
      <w:r w:rsidR="001F5994" w:rsidRPr="0016638B">
        <w:t xml:space="preserve">что </w:t>
      </w:r>
      <w:r w:rsidRPr="0016638B">
        <w:t>сигнальный путь В-клеточного рецептора не зависит от антигенов, но осуществляется автономно, возможно при взаимодействии клеток ХЛЛ друг с другом</w:t>
      </w:r>
      <w:r w:rsidR="00A33FC0" w:rsidRPr="0016638B">
        <w:t xml:space="preserve"> </w:t>
      </w:r>
      <w:r w:rsidR="000B0AC3" w:rsidRPr="0016638B">
        <w:fldChar w:fldCharType="begin" w:fldLock="1"/>
      </w:r>
      <w:r w:rsidR="00015814">
        <w:instrText>ADDIN CSL_CITATION {"citationItems":[{"id":"ITEM-1","itemData":{"DOI":"10.1146/annurev-pathol-020712-163955","ISSN":"1553-4006","author":[{"dropping-particle":"","family":"Zhang","given":"Suping","non-dropping-particle":"","parse-names":false,"suffix":""},{"dropping-particle":"","family":"Kipps","given":"Thomas J.","non-dropping-particle":"","parse-names":false,"suffix":""}],"container-title":"Annual Review of Pathology: Mechanisms of Disease","id":"ITEM-1","issue":"1","issued":{"date-parts":[["2014","1","24"]]},"page":"103-118","title":"The Pathogenesis of Chronic Lymphocytic Leukemia","type":"article-journal","volume":"9"},"uris":["http://www.mendeley.com/documents/?uuid=c287baf8-912e-3bba-833c-73547f391e3f"]},{"id":"ITEM-2","itemData":{"DOI":"10.1016/j.it.2013.07.002","ISSN":"14714906","abstract":"B cell receptor (BCR) signaling plays an important pathogenic role in chronic lymphocytic leukemia (CLL) and B cell lymphomas, based on structural restrictions of the BCR, and BCR-dependent survival and growth of the malignant B cells. In CLL and lymphoma subtypes, ligand-independent ('tonic') and ligand-dependent BCR signaling have been characterized, which can involve mutations of BCR pathway components or be triggered by (auto)antigens present in the tissue microenvironment. In CLL, based on high response rates and durable remissions in early-stage clinical trials, there is rapid clinical development of inhibitors targeting BCR-associated kinases [Bruton's tyrosine kinase (BTK), phosphoinositide 3-kinase (PI3K)δ], which will change treatment paradigms in CLL and other B cell malignancies. Here, we discuss the evolution of this field, from BCR-related prognostic markers, to mechanisms of BCR activation, and targeting of BCR-associated kinases, the emerging Achilles' heel in CLL pathogenesis. © 2013 Elsevier Ltd.","author":[{"dropping-particle":"","family":"Burger","given":"Jan A.","non-dropping-particle":"","parse-names":false,"suffix":""},{"dropping-particle":"","family":"Chiorazzi","given":"Nicholas","non-dropping-particle":"","parse-names":false,"suffix":""}],"container-title":"Trends in Immunology","id":"ITEM-2","issue":"12","issued":{"date-parts":[["2013","12"]]},"page":"592-601","title":"B cell receptor signaling in chronic lymphocytic leukemia","type":"article","volume":"34"},"uris":["http://www.mendeley.com/documents/?uuid=d59ab3e3-a06f-38a9-b8d4-6417066cbe46"]}],"mendeley":{"formattedCitation":"[5,6]","plainTextFormattedCitation":"[5,6]","previouslyFormattedCitation":"[5,6]"},"properties":{"noteIndex":0},"schema":"https://github.com/citation-style-language/schema/raw/master/csl-citation.json"}</w:instrText>
      </w:r>
      <w:r w:rsidR="000B0AC3" w:rsidRPr="0016638B">
        <w:fldChar w:fldCharType="separate"/>
      </w:r>
      <w:r w:rsidR="00015814" w:rsidRPr="00015814">
        <w:rPr>
          <w:noProof/>
        </w:rPr>
        <w:t>[5,6]</w:t>
      </w:r>
      <w:r w:rsidR="000B0AC3" w:rsidRPr="0016638B">
        <w:fldChar w:fldCharType="end"/>
      </w:r>
      <w:r w:rsidRPr="0016638B">
        <w:t>.</w:t>
      </w:r>
    </w:p>
    <w:p w14:paraId="58676A24" w14:textId="77777777" w:rsidR="004D7374" w:rsidRPr="004E3A70" w:rsidRDefault="004D7374" w:rsidP="005D3BBD">
      <w:pPr>
        <w:pStyle w:val="2"/>
      </w:pPr>
      <w:bookmarkStart w:id="15" w:name="_Toc23601715"/>
      <w:bookmarkStart w:id="16" w:name="_Toc65068795"/>
      <w:r w:rsidRPr="004E3A70">
        <w:t>1.3</w:t>
      </w:r>
      <w:r w:rsidR="00397360" w:rsidRPr="004E3A70">
        <w:t>.</w:t>
      </w:r>
      <w:r w:rsidRPr="004E3A70">
        <w:t xml:space="preserve"> Эпидемиология</w:t>
      </w:r>
      <w:r w:rsidR="0030568B" w:rsidRPr="004E3A70">
        <w:t xml:space="preserve"> заболевания или состояния (группы заболеваний или состояний)</w:t>
      </w:r>
      <w:bookmarkEnd w:id="15"/>
      <w:bookmarkEnd w:id="16"/>
    </w:p>
    <w:p w14:paraId="125FD826" w14:textId="77777777" w:rsidR="004D7374" w:rsidRDefault="004D7374" w:rsidP="004E3A70">
      <w:pPr>
        <w:ind w:firstLine="709"/>
        <w:contextualSpacing/>
      </w:pPr>
      <w:r>
        <w:t>ХЛЛ – самый частый вид лейкоз</w:t>
      </w:r>
      <w:r w:rsidR="0015009B">
        <w:t>а</w:t>
      </w:r>
      <w:r>
        <w:t xml:space="preserve"> у взро</w:t>
      </w:r>
      <w:r w:rsidR="00DD3D1E">
        <w:t xml:space="preserve">слых. В европейских странах заболеваемость им </w:t>
      </w:r>
      <w:r>
        <w:t xml:space="preserve">составляет </w:t>
      </w:r>
      <w:r w:rsidR="0088552E" w:rsidRPr="0016638B">
        <w:t>5</w:t>
      </w:r>
      <w:r w:rsidR="00DD3D1E">
        <w:t xml:space="preserve"> случаев на </w:t>
      </w:r>
      <w:r>
        <w:t xml:space="preserve">100 </w:t>
      </w:r>
      <w:r w:rsidR="00DD3D1E">
        <w:t xml:space="preserve">тыс. человек </w:t>
      </w:r>
      <w:r>
        <w:t>в год</w:t>
      </w:r>
      <w:r w:rsidR="00025CCB">
        <w:t xml:space="preserve">. </w:t>
      </w:r>
      <w:r w:rsidR="00DD3D1E">
        <w:t>З</w:t>
      </w:r>
      <w:r w:rsidR="00025CCB">
        <w:t>аболеваемост</w:t>
      </w:r>
      <w:r w:rsidR="00DD3D1E">
        <w:t>ь</w:t>
      </w:r>
      <w:r w:rsidR="00025CCB">
        <w:t xml:space="preserve"> увеличивается с возрастом</w:t>
      </w:r>
      <w:r>
        <w:t xml:space="preserve">. У лиц старше </w:t>
      </w:r>
      <w:r w:rsidR="00025CCB">
        <w:t>7</w:t>
      </w:r>
      <w:r>
        <w:t xml:space="preserve">0 лет она составляет </w:t>
      </w:r>
      <w:r w:rsidR="00DD3D1E">
        <w:t xml:space="preserve">более </w:t>
      </w:r>
      <w:r w:rsidR="00025CCB">
        <w:t>2</w:t>
      </w:r>
      <w:r>
        <w:t>0</w:t>
      </w:r>
      <w:r w:rsidR="00DD3D1E">
        <w:t xml:space="preserve"> случаев на </w:t>
      </w:r>
      <w:r>
        <w:t xml:space="preserve">100 </w:t>
      </w:r>
      <w:r w:rsidR="00DD3D1E">
        <w:t xml:space="preserve">тыс. человек </w:t>
      </w:r>
      <w:r>
        <w:t xml:space="preserve">в год. Медиана возраста на момент установления диагноза в европейских странах – 69 лет </w:t>
      </w:r>
      <w:r w:rsidR="000B0AC3">
        <w:fldChar w:fldCharType="begin" w:fldLock="1"/>
      </w:r>
      <w:r w:rsidR="000F2A44">
        <w:instrText>ADDIN CSL_CITATION {"citationItems":[{"id":"ITEM-1","itemData":{"DOI":"10.1182/blood-2005-06-2508","ISSN":"00064971","abstract":"Because the causes of most lymphoid neoplasms remain unknown, comparison of incidence patterns by disease subtype may provide critical clues for future etiologic investigations. We therefore conducted a comprehensive assessment of 114,548 lymphoid neoplasms diagnosed during 1992-2001 in 12 Surveillance, Epidemiology, and End Results (SEER) registries according to the internationally recognized World Health Organization (WHO) lymphoma classification introduced in 2001. Cases coded in International Classification of Diseases for Oncology, Second Edition (ICD-O-2), were converted to ICD-O-3 for WHO subtype assignment. Age-specific and age-adjusted rates were compared by sex and race (white, black, Asian). Age-adjusted trends in incidence were estimated by sex and race using weighted least squares log-linear regression. Diverse incidence patterns and trends were observed by lymphoid neoplasm subtype and population. In the elderly (75 years or older), rates of diffuse large B-cell lymphoma (DLBCL) and follicular lymphoma increased 1.4% and 1.8% per year, respectively, whereas rates of chronic lymphocytic leukemia/small lymphocytic lymphoma (CLL/SLL) declined 2.1% per year. Although whites bear the highest incidence burden for most lymphoid neoplasm subtypes, most notably for hairy cell leukemia and follicular lymphoma, black predominance was observed for plasma cell and T-cell neoplasms. Asians have considerably lower rates than whites and blacks for CLL/SLL and Hodgkin lymphoma. We conclude that the striking differences in incidence patterns by histologic subtype strongly suggest that there is etiologic heterogeneity among lymphoid neoplasms and support the pursuit of epidemiologic analysis by subtype.","author":[{"dropping-particle":"","family":"Morton","given":"Lindsay M.","non-dropping-particle":"","parse-names":false,"suffix":""},{"dropping-particle":"","family":"Wang","given":"Sophia S.","non-dropping-particle":"","parse-names":false,"suffix":""},{"dropping-particle":"","family":"Devesa","given":"Susan S.","non-dropping-particle":"","parse-names":false,"suffix":""},{"dropping-particle":"","family":"Hartge","given":"Patricia","non-dropping-particle":"","parse-names":false,"suffix":""},{"dropping-particle":"","family":"Weisenburger","given":"Dennis D.","non-dropping-particle":"","parse-names":false,"suffix":""},{"dropping-particle":"","family":"Linet","given":"Martha S.","non-dropping-particle":"","parse-names":false,"suffix":""}],"container-title":"Blood","id":"ITEM-1","issue":"1","issued":{"date-parts":[["2006","1","1"]]},"page":"265-276","title":"Lymphoma incidence patterns by WHO subtype in the United States, 1992-2001","type":"article-journal","volume":"107"},"uris":["http://www.mendeley.com/documents/?uuid=15802976-4224-3b4f-ba66-28fa4b9804dd"]},{"id":"ITEM-2","itemData":{"DOI":"10.1111/j.1600-0609.2008.01114.x","ISSN":"09024441","abstract":"OBJECTIVE: Whilst Chronic lymphocytic leukaemia (CLL) is considered a rare disease, to our knowledge, the current prevalence of CLL within the European Union (EU) member states is not published. Understanding the number of individuals with CLL is vital to assess disease burden within the wider population. METHODS: Using 2002 data from the International Agency for Research on Cancer, we estimated the number of individuals with CLL (ICD-10 C91.1) from those reported for all leukaemias (C91-95) and extrapolated the figures by the population increase within the EU between 2002 and 2006, the last year with fully updated community population estimates. One- and 5-yr partial prevalence estimates are reported (i.e. the number of individuals still living 1-5 yr post-diagnosis). We then applied proportional estimates from the literature to assess those requiring immediate treatment, those under observation and their likely progression rates. RESULTS: We found that within the 27 EU states plus Iceland, Norway and Lichtenstein, 1- and 5-yr CLL partial prevalence estimates totalled approximately 13,952 and 46,633 individuals respectively in 2006. By applying Binet staging to the 1-yr estimate, 40% of patients will be stage B/C and require immediate treatment. Thus, 5581 individuals may be treated within the first year of diagnosis. Of the 60% (8371) under observation, by 5 yr up to 33% (2763) may have more advanced disease with increased risk of mortality. CONCLUSION: Whilst CLL is a rare disease, the number of individuals burdened by the disease within the EU is considerable and thousands of patients require treatment and physician care, which has cost implications for member states.","author":[{"dropping-particle":"","family":"Watson","given":"Louise","non-dropping-particle":"","parse-names":false,"suffix":""},{"dropping-particle":"","family":"Wyld","given":"Peter","non-dropping-particle":"","parse-names":false,"suffix":""},{"dropping-particle":"","family":"Catovsky","given":"Daniel","non-dropping-particle":"","parse-names":false,"suffix":""}],"container-title":"European Journal of Haematology","id":"ITEM-2","issue":"4","issued":{"date-parts":[["2008","10"]]},"page":"253-258","title":"Disease burden of chronic lymphocytic leukaemia within the European Union","type":"article-journal","volume":"81"},"uris":["http://www.mendeley.com/documents/?uuid=5d69840b-b298-33cd-b84e-f36114e4d3de"]},{"id":"ITEM-3","itemData":{"PMID":"17237035","author":[{"dropping-particle":"","family":"Jemal","given":"A.","non-dropping-particle":"","parse-names":false,"suffix":""},{"dropping-particle":"","family":"Siegel","given":"R.","non-dropping-particle":"","parse-names":false,"suffix":""},{"dropping-particle":"","family":"Ward","given":"E.","non-dropping-particle":"","parse-names":false,"suffix":""},{"dropping-particle":"","family":"Murray","given":"T.","non-dropping-particle":"","parse-names":false,"suffix":""},{"dropping-particle":"","family":"Xu","given":"J.","non-dropping-particle":"","parse-names":false,"suffix":""},{"dropping-particle":"","family":"Thun","given":"M.J.","non-dropping-particle":"","parse-names":false,"suffix":""}],"container-title":"CA: a cancer journal for clinicians","id":"ITEM-3","issue":"1","issued":{"date-parts":[["2007"]]},"page":"43-66","title":"Cancer statistics, 2007.","type":"article-journal","volume":"57"},"uris":["http://www.mendeley.com/documents/?uuid=e874d4ce-8762-484d-907a-6fc171df76ab"]},{"id":"ITEM-4","itemData":{"DOI":"10.1111/j.1365-2141.2007.06856.x","ISSN":"00071048","abstract":"The 2001 World Health Organization classification scheme considers B-cell chronic lymphocytic leukaemia (CLL) and small lymphocytic lymphoma (SLL) in an aggregate category (CLL/SLL) because of shared clinicopathological features. We have estimated age-adjusted incidence rates (IRs) of CLL and SLL in the population-based Surveillance, Epidemiology and End Results Program in the United States to analyse patterns of CLL and SLL separately and jointly. Age-standardized to the 2000 US population, overall IRs were 3.83 per 100 000 person-years for CLL (n = 15 676) and 1.31 for SLL (n = 5382) during 1993-2004. Incidence of the combined entity, CLL/SLL, was 90% higher among males compared to females, and the male:female IR ratio was significantly higher for CLL (1.98) than for SLL (1.67). CLL/SLL IRs were 25% and 77% lower among Blacks and Asian/Pacific Islanders, respectively, compared to Whites. A significant reporting delay was evident for CLL but not for SLL, so that CLL/SLL temporal trends must be interpreted cautiously. CLL and SLL IRs increased exponentially with age among all gender/race groups, with CLL IRs increasing more steeply with advancing age than SLL. Avenues of future research include assessment of delayed- and under-reporting to cancer registries and exploration of race, gender, and age effects in epidemiological studies.","author":[{"dropping-particle":"","family":"Dores","given":"Graça M.","non-dropping-particle":"","parse-names":false,"suffix":""},{"dropping-particle":"","family":"Anderson","given":"William F.","non-dropping-particle":"","parse-names":false,"suffix":""},{"dropping-particle":"","family":"Curtis","given":"Rochelle E.","non-dropping-particle":"","parse-names":false,"suffix":""},{"dropping-particle":"","family":"Landgren","given":"Ola","non-dropping-particle":"","parse-names":false,"suffix":""},{"dropping-particle":"","family":"Ostroumova","given":"Evgenia","non-dropping-particle":"","parse-names":false,"suffix":""},{"dropping-particle":"","family":"Bluhm","given":"Elizabeth C.","non-dropping-particle":"","parse-names":false,"suffix":""},{"dropping-particle":"","family":"Rabkin","given":"Charles S.","non-dropping-particle":"","parse-names":false,"suffix":""},{"dropping-particle":"","family":"Devesa","given":"Susan S.","non-dropping-particle":"","parse-names":false,"suffix":""},{"dropping-particle":"","family":"Linet","given":"Martha S.","non-dropping-particle":"","parse-names":false,"suffix":""}],"container-title":"British Journal of Haematology","id":"ITEM-4","issue":"5","issued":{"date-parts":[["2007","12"]]},"page":"809-819","title":"Chronic lymphocytic leukaemia and small lymphocytic lymphoma: Overview of the descriptive epidemiology","type":"article-journal","volume":"139"},"uris":["http://www.mendeley.com/documents/?uuid=c627013b-6902-38d0-b3c8-4a4075d2576c"]}],"mendeley":{"formattedCitation":"[7–10]","plainTextFormattedCitation":"[7–10]","previouslyFormattedCitation":"[7–10]"},"properties":{"noteIndex":0},"schema":"https://github.com/citation-style-language/schema/raw/master/csl-citation.json"}</w:instrText>
      </w:r>
      <w:r w:rsidR="000B0AC3">
        <w:fldChar w:fldCharType="separate"/>
      </w:r>
      <w:r w:rsidR="000F2A44" w:rsidRPr="000F2A44">
        <w:rPr>
          <w:noProof/>
        </w:rPr>
        <w:t>[7–10]</w:t>
      </w:r>
      <w:r w:rsidR="000B0AC3">
        <w:fldChar w:fldCharType="end"/>
      </w:r>
      <w:r>
        <w:t xml:space="preserve">. </w:t>
      </w:r>
      <w:r w:rsidRPr="00D012C9">
        <w:t>В Российской Федерации ХЛЛ выявляется реже: в 201</w:t>
      </w:r>
      <w:r w:rsidR="000F2A44">
        <w:t>7</w:t>
      </w:r>
      <w:r w:rsidRPr="00D012C9">
        <w:t xml:space="preserve"> г. заболеваемость составила 2,95</w:t>
      </w:r>
      <w:r w:rsidR="00DD3D1E">
        <w:t xml:space="preserve"> случая на </w:t>
      </w:r>
      <w:r w:rsidRPr="00D012C9">
        <w:t xml:space="preserve">100 </w:t>
      </w:r>
      <w:r w:rsidR="00DD3D1E">
        <w:t>тыс. человек</w:t>
      </w:r>
      <w:r w:rsidRPr="00D012C9">
        <w:t xml:space="preserve">, медиана возраста на момент установления диагноза </w:t>
      </w:r>
      <w:r w:rsidR="00BA284D">
        <w:t>–</w:t>
      </w:r>
      <w:r w:rsidRPr="00D012C9">
        <w:t xml:space="preserve"> 68 лет</w:t>
      </w:r>
      <w:r w:rsidR="000F2A44" w:rsidRPr="000F2A44">
        <w:t xml:space="preserve"> </w:t>
      </w:r>
      <w:r w:rsidR="000B0AC3">
        <w:fldChar w:fldCharType="begin" w:fldLock="1"/>
      </w:r>
      <w:r w:rsidR="00DE62FF">
        <w:instrText>ADDIN CSL_CITATION {"citationItems":[{"id":"ITEM-1","itemData":{"id":"ITEM-1","issued":{"date-parts":[["2018"]]},"publisher":"М.: МНИОИ им. П.А. Герцена – филиал ФГБУ «НМИЦ радиологии» Минздрава России","title":"Злокачественные новообразования в России в 2017 году (заболеваемость и смертность). Под ред. А.Д. Каприна, В.В. Старинского, Г.В. Петровой.","type":"book"},"uris":["http://www.mendeley.com/documents/?uuid=68874f7e-083c-49ca-8143-de3506a11a73"]}],"mendeley":{"formattedCitation":"[11]","plainTextFormattedCitation":"[11]","previouslyFormattedCitation":"[11]"},"properties":{"noteIndex":0},"schema":"https://github.com/citation-style-language/schema/raw/master/csl-citation.json"}</w:instrText>
      </w:r>
      <w:r w:rsidR="000B0AC3">
        <w:fldChar w:fldCharType="separate"/>
      </w:r>
      <w:r w:rsidR="000F2A44" w:rsidRPr="000F2A44">
        <w:rPr>
          <w:noProof/>
        </w:rPr>
        <w:t>[11]</w:t>
      </w:r>
      <w:r w:rsidR="000B0AC3">
        <w:fldChar w:fldCharType="end"/>
      </w:r>
      <w:r>
        <w:t>.</w:t>
      </w:r>
    </w:p>
    <w:p w14:paraId="01F3E0F5" w14:textId="77777777" w:rsidR="004D7374" w:rsidRPr="004E3A70" w:rsidRDefault="004D7374" w:rsidP="005D3BBD">
      <w:pPr>
        <w:pStyle w:val="2"/>
      </w:pPr>
      <w:bookmarkStart w:id="17" w:name="_Toc23601716"/>
      <w:bookmarkStart w:id="18" w:name="_Toc65068796"/>
      <w:r w:rsidRPr="004E3A70">
        <w:t>1.4</w:t>
      </w:r>
      <w:r w:rsidR="00397360" w:rsidRPr="004E3A70">
        <w:t>.</w:t>
      </w:r>
      <w:r w:rsidRPr="004E3A70">
        <w:t xml:space="preserve"> </w:t>
      </w:r>
      <w:r w:rsidR="0030568B" w:rsidRPr="004E3A70">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7"/>
      <w:bookmarkEnd w:id="18"/>
    </w:p>
    <w:p w14:paraId="0409BE7F" w14:textId="77777777" w:rsidR="00A032F4" w:rsidRDefault="004D7374" w:rsidP="004E3A70">
      <w:r w:rsidRPr="00931A0F">
        <w:t>С91.1</w:t>
      </w:r>
      <w:r w:rsidR="006422C1" w:rsidRPr="006422C1">
        <w:t xml:space="preserve"> – </w:t>
      </w:r>
      <w:r w:rsidR="00BA284D">
        <w:t>Х</w:t>
      </w:r>
      <w:r w:rsidR="006422C1">
        <w:t>ронический лимфоцитарный лейкоз</w:t>
      </w:r>
    </w:p>
    <w:p w14:paraId="04DDB70E" w14:textId="77777777" w:rsidR="004D7374" w:rsidRPr="00830EF8" w:rsidRDefault="004D7374" w:rsidP="005D3BBD">
      <w:pPr>
        <w:pStyle w:val="2"/>
      </w:pPr>
      <w:bookmarkStart w:id="19" w:name="_Toc23601717"/>
      <w:bookmarkStart w:id="20" w:name="_Toc65068797"/>
      <w:r w:rsidRPr="004E3A70">
        <w:t>1.5</w:t>
      </w:r>
      <w:r w:rsidR="00397360" w:rsidRPr="004E3A70">
        <w:t>.</w:t>
      </w:r>
      <w:r w:rsidRPr="004E3A70">
        <w:t xml:space="preserve"> </w:t>
      </w:r>
      <w:r w:rsidR="00DE62FF" w:rsidRPr="004E3A70">
        <w:t>Классификация</w:t>
      </w:r>
      <w:r w:rsidR="0030568B" w:rsidRPr="004E3A70">
        <w:t xml:space="preserve"> заболевания или состояния (группы заболеваний или состояний)</w:t>
      </w:r>
      <w:bookmarkEnd w:id="19"/>
      <w:bookmarkEnd w:id="20"/>
    </w:p>
    <w:p w14:paraId="48C43EEF" w14:textId="77777777" w:rsidR="004D7374" w:rsidRPr="00E0632F" w:rsidRDefault="004D7374" w:rsidP="004E3A70">
      <w:pPr>
        <w:ind w:firstLine="709"/>
        <w:contextualSpacing/>
      </w:pPr>
      <w:r>
        <w:t>ХЛЛ может классифицироваться по стадиям</w:t>
      </w:r>
      <w:r w:rsidR="006422C1">
        <w:t xml:space="preserve"> (см. раздел 1.5.1 Стадирование)</w:t>
      </w:r>
      <w:r>
        <w:t>, а также по группам риска</w:t>
      </w:r>
      <w:r w:rsidR="006422C1">
        <w:t xml:space="preserve"> (см. раздел 1.5.2 Определение групп риска)</w:t>
      </w:r>
      <w:r w:rsidR="00DE62FF">
        <w:t xml:space="preserve"> </w:t>
      </w:r>
      <w:r w:rsidR="000B0AC3">
        <w:fldChar w:fldCharType="begin" w:fldLock="1"/>
      </w:r>
      <w:r w:rsidR="006D166E">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DE62FF" w:rsidRPr="00DE62FF">
        <w:rPr>
          <w:noProof/>
        </w:rPr>
        <w:t>[12]</w:t>
      </w:r>
      <w:r w:rsidR="000B0AC3">
        <w:fldChar w:fldCharType="end"/>
      </w:r>
      <w:r w:rsidR="006422C1">
        <w:t>.</w:t>
      </w:r>
      <w:r w:rsidR="00DE62FF" w:rsidRPr="00E0632F">
        <w:t xml:space="preserve"> </w:t>
      </w:r>
    </w:p>
    <w:p w14:paraId="2BAF43E0" w14:textId="77777777" w:rsidR="004D7374" w:rsidRPr="005D3BBD" w:rsidRDefault="004D7374" w:rsidP="004E3A70">
      <w:pPr>
        <w:pStyle w:val="3"/>
      </w:pPr>
      <w:r w:rsidRPr="005D3BBD">
        <w:t>1.5.1</w:t>
      </w:r>
      <w:r w:rsidR="00397360" w:rsidRPr="005D3BBD">
        <w:t>.</w:t>
      </w:r>
      <w:r w:rsidRPr="005D3BBD">
        <w:t xml:space="preserve"> Стадирование</w:t>
      </w:r>
      <w:r w:rsidR="0030568B" w:rsidRPr="005D3BBD">
        <w:t xml:space="preserve"> </w:t>
      </w:r>
    </w:p>
    <w:p w14:paraId="7DCBAE48" w14:textId="77777777" w:rsidR="004D7374" w:rsidRDefault="004D7374" w:rsidP="004E3A70">
      <w:pPr>
        <w:ind w:firstLine="709"/>
        <w:contextualSpacing/>
      </w:pPr>
      <w:r>
        <w:t>Стадию ХЛЛ устанавливают на основании физикального исследования и анализа крови по критериям J.L. Binet (табл. 1)</w:t>
      </w:r>
      <w:r w:rsidR="006D166E" w:rsidRPr="00E0632F">
        <w:t xml:space="preserve"> </w:t>
      </w:r>
      <w:r w:rsidR="000B0AC3">
        <w:fldChar w:fldCharType="begin" w:fldLock="1"/>
      </w:r>
      <w:r w:rsidR="006D166E">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6D166E" w:rsidRPr="00DE62FF">
        <w:rPr>
          <w:noProof/>
        </w:rPr>
        <w:t>[12]</w:t>
      </w:r>
      <w:r w:rsidR="000B0AC3">
        <w:fldChar w:fldCharType="end"/>
      </w:r>
      <w:r>
        <w:t>. Компьютерная томография</w:t>
      </w:r>
      <w:r w:rsidR="00AA4B03">
        <w:t xml:space="preserve"> (КТ)</w:t>
      </w:r>
      <w:r>
        <w:t xml:space="preserve">, рентгеновское и </w:t>
      </w:r>
      <w:r w:rsidR="000F2499">
        <w:t>ультразвуковое исследование</w:t>
      </w:r>
      <w:r>
        <w:t xml:space="preserve"> </w:t>
      </w:r>
      <w:r w:rsidR="000C05AF">
        <w:t xml:space="preserve">(УЗИ) </w:t>
      </w:r>
      <w:r>
        <w:t xml:space="preserve">для установления стадии не требуется. Стадия констатируется на текущий момент, указывается в диагнозе и </w:t>
      </w:r>
      <w:r w:rsidR="000F2499">
        <w:t>служит ориентиром при определении</w:t>
      </w:r>
      <w:r>
        <w:t xml:space="preserve"> показани</w:t>
      </w:r>
      <w:r w:rsidR="000F2499">
        <w:t>й</w:t>
      </w:r>
      <w:r>
        <w:t xml:space="preserve"> к терапии. </w:t>
      </w:r>
    </w:p>
    <w:p w14:paraId="09E9EC0E" w14:textId="77777777" w:rsidR="003B3C73" w:rsidRPr="003B3C73" w:rsidRDefault="003B3C73" w:rsidP="005D3BBD">
      <w:pPr>
        <w:ind w:firstLine="567"/>
        <w:rPr>
          <w:bCs/>
          <w:lang w:eastAsia="ru-RU"/>
        </w:rPr>
      </w:pPr>
      <w:r w:rsidRPr="0083297F">
        <w:rPr>
          <w:bCs/>
          <w:lang w:eastAsia="ru-RU"/>
        </w:rPr>
        <w:t xml:space="preserve">Стадирование </w:t>
      </w:r>
      <w:r>
        <w:rPr>
          <w:bCs/>
          <w:lang w:eastAsia="ru-RU"/>
        </w:rPr>
        <w:t xml:space="preserve">ЛМЛ </w:t>
      </w:r>
      <w:r w:rsidRPr="0083297F">
        <w:rPr>
          <w:bCs/>
          <w:lang w:eastAsia="ru-RU"/>
        </w:rPr>
        <w:t xml:space="preserve">осуществляется по результатам обследования в соответствии с критериями классификации </w:t>
      </w:r>
      <w:r w:rsidRPr="0083297F">
        <w:rPr>
          <w:bCs/>
          <w:lang w:val="en-US" w:eastAsia="ru-RU"/>
        </w:rPr>
        <w:t>Ann</w:t>
      </w:r>
      <w:r w:rsidRPr="0083297F">
        <w:rPr>
          <w:bCs/>
          <w:lang w:eastAsia="ru-RU"/>
        </w:rPr>
        <w:t xml:space="preserve"> </w:t>
      </w:r>
      <w:r w:rsidRPr="0083297F">
        <w:rPr>
          <w:bCs/>
          <w:lang w:val="en-US" w:eastAsia="ru-RU"/>
        </w:rPr>
        <w:t>Arbor</w:t>
      </w:r>
      <w:r w:rsidRPr="0083297F">
        <w:rPr>
          <w:bCs/>
          <w:lang w:eastAsia="ru-RU"/>
        </w:rPr>
        <w:t xml:space="preserve"> (</w:t>
      </w:r>
      <w:r>
        <w:rPr>
          <w:bCs/>
          <w:lang w:eastAsia="ru-RU"/>
        </w:rPr>
        <w:t>см.</w:t>
      </w:r>
      <w:r w:rsidR="00145A85">
        <w:rPr>
          <w:bCs/>
          <w:lang w:eastAsia="ru-RU"/>
        </w:rPr>
        <w:t xml:space="preserve"> раздел 7.1 данных рекомендаций</w:t>
      </w:r>
      <w:r w:rsidRPr="0083297F">
        <w:rPr>
          <w:bCs/>
          <w:lang w:eastAsia="ru-RU"/>
        </w:rPr>
        <w:t>)</w:t>
      </w:r>
      <w:r>
        <w:rPr>
          <w:bCs/>
          <w:lang w:eastAsia="ru-RU"/>
        </w:rPr>
        <w:t xml:space="preserve"> </w:t>
      </w:r>
      <w:r w:rsidR="000B0AC3">
        <w:rPr>
          <w:bCs/>
          <w:lang w:eastAsia="ru-RU"/>
        </w:rPr>
        <w:fldChar w:fldCharType="begin" w:fldLock="1"/>
      </w:r>
      <w:r>
        <w:rPr>
          <w:bCs/>
          <w:lang w:eastAsia="ru-RU"/>
        </w:rPr>
        <w:instrText>ADDIN CSL_CITATION {"citationItems":[{"id":"ITEM-1","itemData":{"DOI":"10.3322/canjclin.55.6.368","ISSN":"0007-9235","abstract":"Non-Hodgkin Lymphomas are always treatable and frequently curable malignancies. However, choosing the most appropriate therapy requires accurate diagnosis and a careful staging evaluation. New patients with non-Hodgkin Lymphoma should have their tumors classified using the World Health Organization classification. The specific choice of therapy is dependent on a careful staging evaluation. Patients with non-Hodgkin Lymphoma are assigned an anatomic stage using the Ann Arbor system. However, patients should also be classified using the International Prognostic Index. New insights into the biology of the lymphomas in the coming years might well improve our ability to evaluate patients and choose therapy.","author":[{"dropping-particle":"","family":"Armitage","given":"J. O.","non-dropping-particle":"","parse-names":false,"suffix":""}],"container-title":"CA: A Cancer Journal for Clinicians","id":"ITEM-1","issue":"6","issued":{"date-parts":[["2005","11","1"]]},"page":"368-376","publisher":"Wiley","title":"Staging Non-Hodgkin Lymphoma","type":"article-journal","volume":"55"},"uris":["http://www.mendeley.com/documents/?uuid=45b3a54f-f97c-3777-9073-4f78aaeb0610"]}],"mendeley":{"formattedCitation":"[13]","plainTextFormattedCitation":"[13]","previouslyFormattedCitation":"[13]"},"properties":{"noteIndex":0},"schema":"https://github.com/citation-style-language/schema/raw/master/csl-citation.json"}</w:instrText>
      </w:r>
      <w:r w:rsidR="000B0AC3">
        <w:rPr>
          <w:bCs/>
          <w:lang w:eastAsia="ru-RU"/>
        </w:rPr>
        <w:fldChar w:fldCharType="separate"/>
      </w:r>
      <w:r w:rsidRPr="006D166E">
        <w:rPr>
          <w:bCs/>
          <w:noProof/>
          <w:lang w:eastAsia="ru-RU"/>
        </w:rPr>
        <w:t>[13]</w:t>
      </w:r>
      <w:r w:rsidR="000B0AC3">
        <w:rPr>
          <w:bCs/>
          <w:lang w:eastAsia="ru-RU"/>
        </w:rPr>
        <w:fldChar w:fldCharType="end"/>
      </w:r>
      <w:r w:rsidRPr="0083297F">
        <w:rPr>
          <w:bCs/>
          <w:lang w:eastAsia="ru-RU"/>
        </w:rPr>
        <w:t>.</w:t>
      </w:r>
      <w:r w:rsidRPr="0083297F">
        <w:rPr>
          <w:bCs/>
          <w:color w:val="FF0000"/>
          <w:lang w:eastAsia="ru-RU"/>
        </w:rPr>
        <w:t xml:space="preserve"> </w:t>
      </w:r>
    </w:p>
    <w:p w14:paraId="6E119E23" w14:textId="77777777" w:rsidR="004D7374" w:rsidRPr="00371E34" w:rsidRDefault="004D7374" w:rsidP="004E3A70">
      <w:pPr>
        <w:contextualSpacing/>
        <w:rPr>
          <w:b/>
        </w:rPr>
      </w:pPr>
      <w:r w:rsidRPr="00371E34">
        <w:rPr>
          <w:b/>
        </w:rPr>
        <w:t xml:space="preserve">Таблица 1. Стадии </w:t>
      </w:r>
      <w:r w:rsidR="00371E34">
        <w:rPr>
          <w:b/>
        </w:rPr>
        <w:t>хронического</w:t>
      </w:r>
      <w:r w:rsidR="00371E34" w:rsidRPr="00371E34">
        <w:rPr>
          <w:b/>
        </w:rPr>
        <w:t xml:space="preserve"> лимфоцитарн</w:t>
      </w:r>
      <w:r w:rsidR="00371E34">
        <w:rPr>
          <w:b/>
        </w:rPr>
        <w:t>ого</w:t>
      </w:r>
      <w:r w:rsidR="00371E34" w:rsidRPr="00371E34">
        <w:rPr>
          <w:b/>
        </w:rPr>
        <w:t xml:space="preserve"> лейкоз</w:t>
      </w:r>
      <w:r w:rsidR="00371E34">
        <w:rPr>
          <w:b/>
        </w:rPr>
        <w:t>а</w:t>
      </w:r>
      <w:r w:rsidRPr="00371E34">
        <w:rPr>
          <w:b/>
        </w:rPr>
        <w:t xml:space="preserve"> по Binet</w:t>
      </w:r>
    </w:p>
    <w:tbl>
      <w:tblPr>
        <w:tblW w:w="9329" w:type="dxa"/>
        <w:tblCellMar>
          <w:top w:w="15" w:type="dxa"/>
          <w:left w:w="15" w:type="dxa"/>
          <w:bottom w:w="15" w:type="dxa"/>
          <w:right w:w="15" w:type="dxa"/>
        </w:tblCellMar>
        <w:tblLook w:val="04A0" w:firstRow="1" w:lastRow="0" w:firstColumn="1" w:lastColumn="0" w:noHBand="0" w:noVBand="1"/>
      </w:tblPr>
      <w:tblGrid>
        <w:gridCol w:w="917"/>
        <w:gridCol w:w="4222"/>
        <w:gridCol w:w="2268"/>
        <w:gridCol w:w="1922"/>
      </w:tblGrid>
      <w:tr w:rsidR="00B11FF3" w:rsidRPr="00371E34" w14:paraId="7F6AC784"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34ECA8BD" w14:textId="77777777" w:rsidR="00B11FF3" w:rsidRPr="00371E34" w:rsidRDefault="00B11FF3" w:rsidP="005D3BBD">
            <w:pPr>
              <w:pStyle w:val="11"/>
              <w:spacing w:beforeAutospacing="0" w:afterAutospacing="0" w:line="360" w:lineRule="auto"/>
              <w:jc w:val="center"/>
              <w:rPr>
                <w:b/>
              </w:rPr>
            </w:pPr>
            <w:r w:rsidRPr="00371E34">
              <w:rPr>
                <w:b/>
              </w:rPr>
              <w:t>Стадия</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76123698" w14:textId="77777777" w:rsidR="00B11FF3" w:rsidRPr="00371E34" w:rsidRDefault="00B11FF3" w:rsidP="005D3BBD">
            <w:pPr>
              <w:pStyle w:val="11"/>
              <w:spacing w:beforeAutospacing="0" w:afterAutospacing="0" w:line="360" w:lineRule="auto"/>
              <w:jc w:val="center"/>
              <w:rPr>
                <w:b/>
              </w:rPr>
            </w:pPr>
            <w:r w:rsidRPr="00371E34">
              <w:rPr>
                <w:b/>
              </w:rPr>
              <w:t>Характеристика</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33C5608D" w14:textId="77777777" w:rsidR="00B11FF3" w:rsidRPr="00371E34" w:rsidRDefault="00B11FF3" w:rsidP="005D3BBD">
            <w:pPr>
              <w:pStyle w:val="11"/>
              <w:spacing w:beforeAutospacing="0" w:afterAutospacing="0" w:line="360" w:lineRule="auto"/>
              <w:jc w:val="center"/>
              <w:rPr>
                <w:b/>
              </w:rPr>
            </w:pPr>
            <w:r w:rsidRPr="00371E34">
              <w:rPr>
                <w:b/>
              </w:rPr>
              <w:t>Медиана выживаемости, мес.</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3615DA77" w14:textId="77777777" w:rsidR="00B11FF3" w:rsidRPr="00371E34" w:rsidRDefault="00371E34" w:rsidP="005D3BBD">
            <w:pPr>
              <w:pStyle w:val="11"/>
              <w:spacing w:beforeAutospacing="0" w:afterAutospacing="0" w:line="360" w:lineRule="auto"/>
              <w:jc w:val="center"/>
              <w:rPr>
                <w:b/>
              </w:rPr>
            </w:pPr>
            <w:r>
              <w:rPr>
                <w:b/>
              </w:rPr>
              <w:t>Доля</w:t>
            </w:r>
            <w:r w:rsidR="00B11FF3" w:rsidRPr="00371E34">
              <w:rPr>
                <w:b/>
              </w:rPr>
              <w:t xml:space="preserve"> </w:t>
            </w:r>
            <w:r w:rsidR="00573998">
              <w:rPr>
                <w:b/>
              </w:rPr>
              <w:t>пациентов</w:t>
            </w:r>
            <w:r w:rsidR="00573998" w:rsidRPr="00371E34">
              <w:rPr>
                <w:b/>
              </w:rPr>
              <w:t xml:space="preserve"> </w:t>
            </w:r>
            <w:r w:rsidR="000F2499">
              <w:rPr>
                <w:b/>
              </w:rPr>
              <w:br/>
            </w:r>
            <w:r w:rsidR="00B11FF3" w:rsidRPr="00371E34">
              <w:rPr>
                <w:b/>
              </w:rPr>
              <w:t>в дебюте</w:t>
            </w:r>
            <w:r>
              <w:rPr>
                <w:b/>
              </w:rPr>
              <w:t>, %</w:t>
            </w:r>
          </w:p>
        </w:tc>
      </w:tr>
      <w:tr w:rsidR="00B11FF3" w:rsidRPr="005B4606" w14:paraId="6FE8BBC6"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3E750D50" w14:textId="77777777" w:rsidR="00B11FF3" w:rsidRPr="00AB6521" w:rsidRDefault="00B11FF3" w:rsidP="005D3BBD">
            <w:pPr>
              <w:pStyle w:val="11"/>
              <w:spacing w:beforeAutospacing="0" w:afterAutospacing="0" w:line="360" w:lineRule="auto"/>
            </w:pPr>
            <w:r w:rsidRPr="00AB6521">
              <w:lastRenderedPageBreak/>
              <w:t>A</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2B8C815E" w14:textId="77777777" w:rsidR="00B11FF3" w:rsidRPr="00AB6521" w:rsidRDefault="00B11FF3" w:rsidP="005D3BBD">
            <w:pPr>
              <w:pStyle w:val="11"/>
              <w:spacing w:beforeAutospacing="0" w:afterAutospacing="0" w:line="360" w:lineRule="auto"/>
            </w:pPr>
            <w:r>
              <w:t>Гемоглобин</w:t>
            </w:r>
            <w:r w:rsidR="00371E34">
              <w:t xml:space="preserve"> </w:t>
            </w:r>
            <w:r w:rsidRPr="00AB6521">
              <w:t xml:space="preserve">&gt;100 г/л, </w:t>
            </w:r>
            <w:r w:rsidR="00371E34">
              <w:br/>
            </w:r>
            <w:r w:rsidRPr="00AB6521">
              <w:t>тромбоциты &gt;100 × 10</w:t>
            </w:r>
            <w:r w:rsidRPr="00AB6521">
              <w:rPr>
                <w:vertAlign w:val="superscript"/>
              </w:rPr>
              <w:t>9</w:t>
            </w:r>
            <w:r w:rsidRPr="00AB6521">
              <w:t xml:space="preserve">/л, </w:t>
            </w:r>
            <w:r w:rsidR="00371E34">
              <w:br/>
            </w:r>
            <w:r w:rsidRPr="00AB6521">
              <w:t>поражено &lt;3 лимфатических областей*</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484BBBAE" w14:textId="77777777" w:rsidR="00B11FF3" w:rsidRPr="00D012C9" w:rsidRDefault="00B11FF3" w:rsidP="005D3BBD">
            <w:pPr>
              <w:pStyle w:val="11"/>
              <w:spacing w:beforeAutospacing="0" w:afterAutospacing="0" w:line="360" w:lineRule="auto"/>
              <w:jc w:val="center"/>
            </w:pPr>
            <w:r w:rsidRPr="00D012C9">
              <w:t>&gt;120</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1C6BD575" w14:textId="77777777" w:rsidR="00B11FF3" w:rsidRPr="00D012C9" w:rsidRDefault="00B11FF3" w:rsidP="005D3BBD">
            <w:pPr>
              <w:pStyle w:val="11"/>
              <w:spacing w:beforeAutospacing="0" w:afterAutospacing="0" w:line="360" w:lineRule="auto"/>
              <w:jc w:val="center"/>
            </w:pPr>
            <w:r w:rsidRPr="00D012C9">
              <w:t>60</w:t>
            </w:r>
          </w:p>
        </w:tc>
      </w:tr>
      <w:tr w:rsidR="00B11FF3" w:rsidRPr="005B4606" w14:paraId="781163A0"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4E7885B4" w14:textId="77777777" w:rsidR="00B11FF3" w:rsidRPr="00AB6521" w:rsidRDefault="00B11FF3" w:rsidP="005D3BBD">
            <w:pPr>
              <w:pStyle w:val="11"/>
              <w:spacing w:beforeAutospacing="0" w:afterAutospacing="0" w:line="360" w:lineRule="auto"/>
            </w:pPr>
            <w:r w:rsidRPr="00AB6521">
              <w:t>B</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00AE1E17" w14:textId="77777777" w:rsidR="00B11FF3" w:rsidRPr="00AB6521" w:rsidRDefault="00B11FF3" w:rsidP="005D3BBD">
            <w:pPr>
              <w:pStyle w:val="11"/>
              <w:spacing w:beforeAutospacing="0" w:afterAutospacing="0" w:line="360" w:lineRule="auto"/>
            </w:pPr>
            <w:r>
              <w:t>Гемоглобин</w:t>
            </w:r>
            <w:r w:rsidR="000F2499">
              <w:t xml:space="preserve"> </w:t>
            </w:r>
            <w:r w:rsidRPr="00AB6521">
              <w:t xml:space="preserve">&gt;100 г/л, </w:t>
            </w:r>
            <w:r w:rsidR="00371E34">
              <w:br/>
            </w:r>
            <w:r w:rsidRPr="00AB6521">
              <w:t>тромбоциты &gt;100 × 10</w:t>
            </w:r>
            <w:r w:rsidRPr="00AB6521">
              <w:rPr>
                <w:vertAlign w:val="superscript"/>
              </w:rPr>
              <w:t>9</w:t>
            </w:r>
            <w:r w:rsidRPr="00AB6521">
              <w:t xml:space="preserve">/л, </w:t>
            </w:r>
            <w:r w:rsidR="000F2499">
              <w:br/>
            </w:r>
            <w:r w:rsidRPr="00AB6521">
              <w:t xml:space="preserve">поражено </w:t>
            </w:r>
            <w:r w:rsidRPr="00D012C9">
              <w:t>&gt;3</w:t>
            </w:r>
            <w:r w:rsidRPr="00AB6521">
              <w:t xml:space="preserve"> лимфатических областей*</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32C507B6" w14:textId="77777777" w:rsidR="00B11FF3" w:rsidRPr="00D012C9" w:rsidRDefault="00B11FF3" w:rsidP="005D3BBD">
            <w:pPr>
              <w:pStyle w:val="11"/>
              <w:spacing w:beforeAutospacing="0" w:afterAutospacing="0" w:line="360" w:lineRule="auto"/>
              <w:jc w:val="center"/>
            </w:pPr>
            <w:r w:rsidRPr="00D012C9">
              <w:t>61</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4BC5A32A" w14:textId="77777777" w:rsidR="00B11FF3" w:rsidRPr="00D012C9" w:rsidRDefault="00B11FF3" w:rsidP="005D3BBD">
            <w:pPr>
              <w:pStyle w:val="11"/>
              <w:spacing w:beforeAutospacing="0" w:afterAutospacing="0" w:line="360" w:lineRule="auto"/>
              <w:jc w:val="center"/>
            </w:pPr>
            <w:r w:rsidRPr="00D012C9">
              <w:t>30</w:t>
            </w:r>
          </w:p>
        </w:tc>
      </w:tr>
      <w:tr w:rsidR="00B11FF3" w:rsidRPr="005B4606" w14:paraId="1FE36C90"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4E27DFB8" w14:textId="77777777" w:rsidR="00B11FF3" w:rsidRPr="00AB6521" w:rsidRDefault="00B11FF3" w:rsidP="005D3BBD">
            <w:pPr>
              <w:pStyle w:val="11"/>
              <w:spacing w:beforeAutospacing="0" w:afterAutospacing="0" w:line="360" w:lineRule="auto"/>
            </w:pPr>
            <w:r w:rsidRPr="00AB6521">
              <w:t>C</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6ABE7394" w14:textId="77777777" w:rsidR="00B11FF3" w:rsidRPr="00AB6521" w:rsidRDefault="000F2499" w:rsidP="005D3BBD">
            <w:pPr>
              <w:pStyle w:val="11"/>
              <w:spacing w:beforeAutospacing="0" w:afterAutospacing="0" w:line="360" w:lineRule="auto"/>
            </w:pPr>
            <w:r>
              <w:t>Гемоглобин &lt;</w:t>
            </w:r>
            <w:r w:rsidR="00B11FF3" w:rsidRPr="00AB6521">
              <w:t xml:space="preserve">100 г/л </w:t>
            </w:r>
            <w:r>
              <w:br/>
            </w:r>
            <w:r w:rsidR="00B11FF3" w:rsidRPr="00AB6521">
              <w:rPr>
                <w:rStyle w:val="a3"/>
              </w:rPr>
              <w:t xml:space="preserve">или </w:t>
            </w:r>
            <w:r>
              <w:rPr>
                <w:rStyle w:val="a3"/>
              </w:rPr>
              <w:br/>
            </w:r>
            <w:r>
              <w:t>уровень тромбоцитов &lt;</w:t>
            </w:r>
            <w:r w:rsidR="00B11FF3" w:rsidRPr="00AB6521">
              <w:t>100</w:t>
            </w:r>
            <w:r w:rsidR="000648CB">
              <w:t xml:space="preserve"> × </w:t>
            </w:r>
            <w:r w:rsidR="00B11FF3" w:rsidRPr="00AB6521">
              <w:t>10</w:t>
            </w:r>
            <w:r w:rsidR="00B11FF3" w:rsidRPr="00AB6521">
              <w:rPr>
                <w:vertAlign w:val="superscript"/>
              </w:rPr>
              <w:t>9</w:t>
            </w:r>
            <w:r w:rsidR="00B11FF3" w:rsidRPr="00AB6521">
              <w:t>/л</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2764D786" w14:textId="77777777" w:rsidR="00B11FF3" w:rsidRPr="00D012C9" w:rsidRDefault="00B11FF3" w:rsidP="005D3BBD">
            <w:pPr>
              <w:pStyle w:val="11"/>
              <w:spacing w:beforeAutospacing="0" w:afterAutospacing="0" w:line="360" w:lineRule="auto"/>
              <w:jc w:val="center"/>
            </w:pPr>
            <w:r w:rsidRPr="00D012C9">
              <w:t>32</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62ACF297" w14:textId="77777777" w:rsidR="00B11FF3" w:rsidRPr="00D012C9" w:rsidRDefault="00B11FF3" w:rsidP="005D3BBD">
            <w:pPr>
              <w:pStyle w:val="11"/>
              <w:spacing w:beforeAutospacing="0" w:afterAutospacing="0" w:line="360" w:lineRule="auto"/>
              <w:jc w:val="center"/>
            </w:pPr>
            <w:r w:rsidRPr="00D012C9">
              <w:t>10</w:t>
            </w:r>
          </w:p>
        </w:tc>
      </w:tr>
    </w:tbl>
    <w:p w14:paraId="72C8A4C1" w14:textId="77777777" w:rsidR="004D7374" w:rsidRDefault="004D7374" w:rsidP="005D3BBD">
      <w:r w:rsidRPr="000F2499">
        <w:rPr>
          <w:spacing w:val="-2"/>
        </w:rPr>
        <w:t>*Лимфатические области:</w:t>
      </w:r>
      <w:r w:rsidR="000F2499" w:rsidRPr="000F2499">
        <w:rPr>
          <w:spacing w:val="-2"/>
        </w:rPr>
        <w:t xml:space="preserve"> </w:t>
      </w:r>
      <w:r w:rsidR="00C20509">
        <w:rPr>
          <w:spacing w:val="-2"/>
        </w:rPr>
        <w:t xml:space="preserve">шейные лимфатические </w:t>
      </w:r>
      <w:r w:rsidRPr="000F2499">
        <w:rPr>
          <w:spacing w:val="-2"/>
        </w:rPr>
        <w:t>узлы</w:t>
      </w:r>
      <w:r w:rsidR="000F2499" w:rsidRPr="000F2499">
        <w:rPr>
          <w:spacing w:val="-2"/>
        </w:rPr>
        <w:t xml:space="preserve">, </w:t>
      </w:r>
      <w:r w:rsidRPr="000F2499">
        <w:rPr>
          <w:spacing w:val="-2"/>
        </w:rPr>
        <w:t xml:space="preserve">подмышечные </w:t>
      </w:r>
      <w:r w:rsidR="00C20509">
        <w:rPr>
          <w:spacing w:val="-2"/>
        </w:rPr>
        <w:t xml:space="preserve">лимфатические </w:t>
      </w:r>
      <w:r w:rsidR="00C20509" w:rsidRPr="000F2499">
        <w:rPr>
          <w:spacing w:val="-2"/>
        </w:rPr>
        <w:t xml:space="preserve">узлы </w:t>
      </w:r>
      <w:r w:rsidRPr="000F2499">
        <w:rPr>
          <w:spacing w:val="-2"/>
        </w:rPr>
        <w:t xml:space="preserve">(c </w:t>
      </w:r>
      <w:r w:rsidR="000F2499" w:rsidRPr="000F2499">
        <w:rPr>
          <w:spacing w:val="-2"/>
        </w:rPr>
        <w:t>1</w:t>
      </w:r>
      <w:r w:rsidRPr="000F2499">
        <w:rPr>
          <w:spacing w:val="-2"/>
        </w:rPr>
        <w:t xml:space="preserve"> или </w:t>
      </w:r>
      <w:r w:rsidR="00F07AA9" w:rsidRPr="000F2499">
        <w:rPr>
          <w:spacing w:val="-2"/>
        </w:rPr>
        <w:t>2</w:t>
      </w:r>
      <w:r w:rsidR="000F2499" w:rsidRPr="000F2499">
        <w:rPr>
          <w:spacing w:val="-2"/>
        </w:rPr>
        <w:t xml:space="preserve"> сторон),</w:t>
      </w:r>
      <w:r w:rsidR="000F2499">
        <w:t xml:space="preserve"> </w:t>
      </w:r>
      <w:r>
        <w:t xml:space="preserve">паховые </w:t>
      </w:r>
      <w:r w:rsidR="00C20509">
        <w:rPr>
          <w:spacing w:val="-2"/>
        </w:rPr>
        <w:t xml:space="preserve">лимфатические </w:t>
      </w:r>
      <w:r w:rsidR="00C20509" w:rsidRPr="000F2499">
        <w:rPr>
          <w:spacing w:val="-2"/>
        </w:rPr>
        <w:t>узлы</w:t>
      </w:r>
      <w:r w:rsidR="00C20509">
        <w:t xml:space="preserve"> </w:t>
      </w:r>
      <w:r>
        <w:t xml:space="preserve">(c </w:t>
      </w:r>
      <w:r w:rsidR="000F2499">
        <w:t>1</w:t>
      </w:r>
      <w:r>
        <w:t xml:space="preserve"> или </w:t>
      </w:r>
      <w:r w:rsidR="00F07AA9">
        <w:t>2</w:t>
      </w:r>
      <w:r w:rsidR="000F2499">
        <w:t xml:space="preserve"> сторон), печень, </w:t>
      </w:r>
      <w:r>
        <w:t>селезенка.</w:t>
      </w:r>
    </w:p>
    <w:p w14:paraId="16657527" w14:textId="77777777" w:rsidR="004D7374" w:rsidRPr="00397360" w:rsidRDefault="004D7374" w:rsidP="005D3BBD">
      <w:pPr>
        <w:pStyle w:val="2"/>
      </w:pPr>
      <w:bookmarkStart w:id="21" w:name="_Toc65068798"/>
      <w:r w:rsidRPr="00397360">
        <w:t>1.5.2</w:t>
      </w:r>
      <w:r w:rsidR="00397360" w:rsidRPr="00397360">
        <w:t>.</w:t>
      </w:r>
      <w:r w:rsidRPr="00397360">
        <w:t xml:space="preserve"> Определение групп риска</w:t>
      </w:r>
      <w:bookmarkEnd w:id="21"/>
    </w:p>
    <w:p w14:paraId="4D4C2884" w14:textId="77777777" w:rsidR="004D7374" w:rsidRDefault="004D7374" w:rsidP="004E3A70">
      <w:pPr>
        <w:ind w:firstLine="709"/>
        <w:contextualSpacing/>
      </w:pPr>
      <w:r>
        <w:t xml:space="preserve">Международный прогностический индекс (МПИ) для ХЛЛ разработан на основании анализа выживаемости 3472 пациентов, включенных в </w:t>
      </w:r>
      <w:r w:rsidR="00371E34">
        <w:t>8</w:t>
      </w:r>
      <w:r w:rsidR="003B3C73">
        <w:t xml:space="preserve"> исследований, которые проведены</w:t>
      </w:r>
      <w:r>
        <w:t xml:space="preserve"> в Европе и США</w:t>
      </w:r>
      <w:r w:rsidR="000E06DC" w:rsidRPr="000E06DC">
        <w:t xml:space="preserve"> </w:t>
      </w:r>
      <w:r w:rsidR="000B0AC3">
        <w:fldChar w:fldCharType="begin" w:fldLock="1"/>
      </w:r>
      <w:r w:rsidR="00B93BE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000E06DC" w:rsidRPr="000E06DC">
        <w:rPr>
          <w:noProof/>
        </w:rPr>
        <w:t>[14]</w:t>
      </w:r>
      <w:r w:rsidR="000B0AC3">
        <w:fldChar w:fldCharType="end"/>
      </w:r>
      <w:r>
        <w:t xml:space="preserve">. Индекс </w:t>
      </w:r>
      <w:r w:rsidR="003B3C73">
        <w:t>учитывает</w:t>
      </w:r>
      <w:r>
        <w:t xml:space="preserve"> </w:t>
      </w:r>
      <w:r w:rsidR="00371E34">
        <w:t>5</w:t>
      </w:r>
      <w:r>
        <w:t xml:space="preserve"> параметр</w:t>
      </w:r>
      <w:r w:rsidR="003B3C73">
        <w:t>ов</w:t>
      </w:r>
      <w:r>
        <w:t xml:space="preserve">: </w:t>
      </w:r>
    </w:p>
    <w:p w14:paraId="7DBB3780" w14:textId="77777777" w:rsidR="004D7374" w:rsidRDefault="004D7374" w:rsidP="00D61785">
      <w:pPr>
        <w:pStyle w:val="a4"/>
        <w:numPr>
          <w:ilvl w:val="0"/>
          <w:numId w:val="20"/>
        </w:numPr>
        <w:spacing w:before="0"/>
        <w:contextualSpacing/>
      </w:pPr>
      <w:r>
        <w:t xml:space="preserve">наличие del(17p) и/или мутаций </w:t>
      </w:r>
      <w:r w:rsidRPr="003B3C73">
        <w:rPr>
          <w:i/>
        </w:rPr>
        <w:t>TP53</w:t>
      </w:r>
      <w:r>
        <w:t>,</w:t>
      </w:r>
    </w:p>
    <w:p w14:paraId="124D2AC1" w14:textId="77777777" w:rsidR="004D7374" w:rsidRDefault="004D7374" w:rsidP="00D61785">
      <w:pPr>
        <w:pStyle w:val="a4"/>
        <w:numPr>
          <w:ilvl w:val="0"/>
          <w:numId w:val="20"/>
        </w:numPr>
        <w:spacing w:before="0"/>
        <w:contextualSpacing/>
      </w:pPr>
      <w:r>
        <w:t>мутационный статус генов вариабельного региона иммуноглобулинов</w:t>
      </w:r>
      <w:r w:rsidR="00CE6AE9" w:rsidRPr="00397360">
        <w:t xml:space="preserve"> (</w:t>
      </w:r>
      <w:r w:rsidR="00CE6AE9">
        <w:rPr>
          <w:lang w:val="en-US"/>
        </w:rPr>
        <w:t>IGHV</w:t>
      </w:r>
      <w:r w:rsidR="00CE6AE9" w:rsidRPr="00397360">
        <w:t>)</w:t>
      </w:r>
      <w:r>
        <w:t>,</w:t>
      </w:r>
    </w:p>
    <w:p w14:paraId="356DEE54" w14:textId="77777777" w:rsidR="004D7374" w:rsidRDefault="004D7374" w:rsidP="00D61785">
      <w:pPr>
        <w:pStyle w:val="a4"/>
        <w:numPr>
          <w:ilvl w:val="0"/>
          <w:numId w:val="20"/>
        </w:numPr>
        <w:spacing w:before="0"/>
        <w:contextualSpacing/>
      </w:pPr>
      <w:r>
        <w:t xml:space="preserve">уровень </w:t>
      </w:r>
      <w:r w:rsidR="003B3C73">
        <w:t>β</w:t>
      </w:r>
      <w:r>
        <w:t>2-микроглобулина,</w:t>
      </w:r>
    </w:p>
    <w:p w14:paraId="555CD98A" w14:textId="77777777" w:rsidR="004D7374" w:rsidRDefault="004D7374" w:rsidP="00D61785">
      <w:pPr>
        <w:pStyle w:val="a4"/>
        <w:numPr>
          <w:ilvl w:val="0"/>
          <w:numId w:val="20"/>
        </w:numPr>
        <w:spacing w:before="0"/>
        <w:contextualSpacing/>
      </w:pPr>
      <w:r>
        <w:t>стади</w:t>
      </w:r>
      <w:r w:rsidR="003B3C73">
        <w:t>ю</w:t>
      </w:r>
      <w:r>
        <w:t>,</w:t>
      </w:r>
    </w:p>
    <w:p w14:paraId="661278D8" w14:textId="77777777" w:rsidR="004D7374" w:rsidRDefault="004D7374" w:rsidP="00D61785">
      <w:pPr>
        <w:pStyle w:val="a4"/>
        <w:numPr>
          <w:ilvl w:val="0"/>
          <w:numId w:val="20"/>
        </w:numPr>
        <w:spacing w:before="0"/>
        <w:contextualSpacing/>
      </w:pPr>
      <w:r>
        <w:t xml:space="preserve">возраст пациентов. </w:t>
      </w:r>
    </w:p>
    <w:p w14:paraId="6DB2DE04" w14:textId="77777777" w:rsidR="004D7374" w:rsidRDefault="004D7374" w:rsidP="00B04401">
      <w:pPr>
        <w:ind w:firstLine="709"/>
        <w:contextualSpacing/>
      </w:pPr>
      <w:r>
        <w:t xml:space="preserve">Каждому из этих </w:t>
      </w:r>
      <w:r w:rsidR="003B3C73">
        <w:t>параметров</w:t>
      </w:r>
      <w:r>
        <w:t xml:space="preserve"> присвоен балл, отражающий отношение рисков </w:t>
      </w:r>
      <w:r w:rsidR="001F4A9B">
        <w:t xml:space="preserve">(ОР) </w:t>
      </w:r>
      <w:r w:rsidR="00912FAC">
        <w:t>прогрессии или смерти (табл.</w:t>
      </w:r>
      <w:r w:rsidR="00AE2EE4">
        <w:t xml:space="preserve"> 2</w:t>
      </w:r>
      <w:r>
        <w:t>). МПИ для ХЛ</w:t>
      </w:r>
      <w:r w:rsidR="003B3C73">
        <w:t>Л позволяет распре</w:t>
      </w:r>
      <w:r>
        <w:t xml:space="preserve">делить пациентов </w:t>
      </w:r>
      <w:r w:rsidR="003B3C73">
        <w:t>по</w:t>
      </w:r>
      <w:r>
        <w:t xml:space="preserve"> </w:t>
      </w:r>
      <w:r w:rsidR="003B3C73">
        <w:t>4 группам</w:t>
      </w:r>
      <w:r>
        <w:t>: с низким риском прогресси</w:t>
      </w:r>
      <w:r w:rsidR="003B3C73">
        <w:t>рования</w:t>
      </w:r>
      <w:r>
        <w:t xml:space="preserve"> (0–1 балл), с промежуточным риском </w:t>
      </w:r>
      <w:r w:rsidR="003B3C73">
        <w:t xml:space="preserve">прогрессирования </w:t>
      </w:r>
      <w:r>
        <w:t xml:space="preserve">(2–3 балла), с высоким риском </w:t>
      </w:r>
      <w:r w:rsidR="003B3C73">
        <w:t xml:space="preserve">прогрессирования </w:t>
      </w:r>
      <w:r>
        <w:t xml:space="preserve">(4–6 баллов) и с очень высоким риском </w:t>
      </w:r>
      <w:r w:rsidR="003B3C73">
        <w:t xml:space="preserve">прогрессирования </w:t>
      </w:r>
      <w:r>
        <w:t>(7–10 баллов). Общая выживаемость (ОВ) в э</w:t>
      </w:r>
      <w:r w:rsidR="00912FAC">
        <w:t xml:space="preserve">тих группах </w:t>
      </w:r>
      <w:r w:rsidR="003B3C73">
        <w:t>приведена</w:t>
      </w:r>
      <w:r w:rsidR="00912FAC">
        <w:t xml:space="preserve"> в</w:t>
      </w:r>
      <w:r w:rsidR="00145A85">
        <w:t xml:space="preserve"> разделе 7.2 данных рекомендаций</w:t>
      </w:r>
      <w:r>
        <w:t xml:space="preserve">. </w:t>
      </w:r>
      <w:r w:rsidR="003B3C73">
        <w:t>Имеются</w:t>
      </w:r>
      <w:r>
        <w:t xml:space="preserve"> данные</w:t>
      </w:r>
      <w:r w:rsidR="003B3C73">
        <w:t xml:space="preserve"> о том</w:t>
      </w:r>
      <w:r>
        <w:t>, что МПИ позволяет стратифицировать пациентов в рецидиве ХЛЛ.</w:t>
      </w:r>
    </w:p>
    <w:p w14:paraId="01FC40B5" w14:textId="77777777" w:rsidR="003B3C73" w:rsidRDefault="003B3C73" w:rsidP="00B04401">
      <w:pPr>
        <w:ind w:firstLine="709"/>
        <w:contextualSpacing/>
      </w:pPr>
    </w:p>
    <w:p w14:paraId="454B1FF8" w14:textId="77777777" w:rsidR="004D7374" w:rsidRPr="00B93B9E" w:rsidRDefault="004D7374" w:rsidP="003F5F47">
      <w:pPr>
        <w:contextualSpacing/>
        <w:rPr>
          <w:b/>
        </w:rPr>
      </w:pPr>
      <w:r w:rsidRPr="00B93B9E">
        <w:rPr>
          <w:b/>
        </w:rPr>
        <w:t>Таблица 2. Международный прогностический индекс</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02"/>
        <w:gridCol w:w="3240"/>
        <w:gridCol w:w="1482"/>
        <w:gridCol w:w="1112"/>
      </w:tblGrid>
      <w:tr w:rsidR="00B033C3" w:rsidRPr="00371E34" w14:paraId="180F86C1" w14:textId="77777777" w:rsidTr="00B033C3">
        <w:trPr>
          <w:trHeight w:val="349"/>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6E163A1F" w14:textId="77777777" w:rsidR="00AE2EE4" w:rsidRPr="00371E34" w:rsidRDefault="00AE2EE4" w:rsidP="005D3BBD">
            <w:pPr>
              <w:contextualSpacing/>
              <w:jc w:val="center"/>
              <w:rPr>
                <w:b/>
              </w:rPr>
            </w:pPr>
            <w:r w:rsidRPr="00371E34">
              <w:rPr>
                <w:rFonts w:eastAsia="MS PGothic"/>
                <w:b/>
                <w:kern w:val="24"/>
              </w:rPr>
              <w:t>Параметр</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65C09D9D" w14:textId="77777777" w:rsidR="00AE2EE4" w:rsidRPr="00371E34" w:rsidRDefault="003B3C73" w:rsidP="005D3BBD">
            <w:pPr>
              <w:contextualSpacing/>
              <w:jc w:val="center"/>
              <w:rPr>
                <w:b/>
              </w:rPr>
            </w:pPr>
            <w:r>
              <w:rPr>
                <w:rFonts w:eastAsia="MS PGothic"/>
                <w:b/>
                <w:kern w:val="24"/>
              </w:rPr>
              <w:t>Отрицательное</w:t>
            </w:r>
            <w:r w:rsidR="00AE2EE4" w:rsidRPr="00371E34">
              <w:rPr>
                <w:rFonts w:eastAsia="MS PGothic"/>
                <w:b/>
                <w:kern w:val="24"/>
              </w:rPr>
              <w:t xml:space="preserve"> значение</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296B6EAC" w14:textId="77777777" w:rsidR="00AE2EE4" w:rsidRPr="00371E34" w:rsidRDefault="00AE2EE4" w:rsidP="005D3BBD">
            <w:pPr>
              <w:contextualSpacing/>
              <w:jc w:val="center"/>
              <w:rPr>
                <w:b/>
              </w:rPr>
            </w:pPr>
            <w:r w:rsidRPr="00371E34">
              <w:rPr>
                <w:rFonts w:eastAsia="MS PGothic"/>
                <w:b/>
                <w:kern w:val="24"/>
              </w:rPr>
              <w:t>О</w:t>
            </w:r>
            <w:r w:rsidR="003B3C73">
              <w:rPr>
                <w:rFonts w:eastAsia="MS PGothic"/>
                <w:b/>
                <w:kern w:val="24"/>
              </w:rPr>
              <w:t>тношение рисков</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19817FC6" w14:textId="77777777" w:rsidR="00AE2EE4" w:rsidRPr="00371E34" w:rsidRDefault="00AE2EE4" w:rsidP="005D3BBD">
            <w:pPr>
              <w:contextualSpacing/>
              <w:jc w:val="center"/>
              <w:rPr>
                <w:b/>
              </w:rPr>
            </w:pPr>
            <w:r w:rsidRPr="00371E34">
              <w:rPr>
                <w:rFonts w:eastAsia="MS PGothic"/>
                <w:b/>
                <w:kern w:val="24"/>
              </w:rPr>
              <w:t>Баллы</w:t>
            </w:r>
          </w:p>
        </w:tc>
      </w:tr>
      <w:tr w:rsidR="00B033C3" w:rsidRPr="005B4606" w14:paraId="795CF799" w14:textId="77777777" w:rsidTr="00B033C3">
        <w:trPr>
          <w:trHeight w:val="288"/>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26B159F4" w14:textId="77777777" w:rsidR="00AE2EE4" w:rsidRPr="00AB6521" w:rsidRDefault="00AE2EE4" w:rsidP="005D3BBD">
            <w:pPr>
              <w:contextualSpacing/>
            </w:pPr>
            <w:r w:rsidRPr="003B3C73">
              <w:rPr>
                <w:rFonts w:eastAsia="MS PGothic"/>
                <w:i/>
                <w:kern w:val="24"/>
              </w:rPr>
              <w:t>TP53</w:t>
            </w:r>
            <w:r w:rsidRPr="00AB6521">
              <w:rPr>
                <w:rFonts w:eastAsia="MS PGothic"/>
                <w:kern w:val="24"/>
              </w:rPr>
              <w:t xml:space="preserve"> (17p)</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CD4B62F" w14:textId="77777777" w:rsidR="00AE2EE4" w:rsidRPr="00AB6521" w:rsidRDefault="00AE2EE4" w:rsidP="005D3BBD">
            <w:pPr>
              <w:contextualSpacing/>
            </w:pPr>
            <w:r w:rsidRPr="00AB6521">
              <w:rPr>
                <w:rFonts w:eastAsia="MS PGothic"/>
                <w:kern w:val="24"/>
              </w:rPr>
              <w:t>Делеция/мутация</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075E3365" w14:textId="77777777" w:rsidR="00AE2EE4" w:rsidRPr="00AB6521" w:rsidRDefault="00AE2EE4" w:rsidP="005D3BBD">
            <w:pPr>
              <w:contextualSpacing/>
              <w:jc w:val="center"/>
            </w:pPr>
            <w:r w:rsidRPr="00AB6521">
              <w:rPr>
                <w:rFonts w:eastAsia="MS PGothic"/>
                <w:kern w:val="24"/>
              </w:rPr>
              <w:t>4,2</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3E66928" w14:textId="77777777" w:rsidR="00AE2EE4" w:rsidRPr="00AB6521" w:rsidRDefault="00AE2EE4" w:rsidP="005D3BBD">
            <w:pPr>
              <w:contextualSpacing/>
              <w:jc w:val="center"/>
            </w:pPr>
            <w:r w:rsidRPr="00AB6521">
              <w:rPr>
                <w:rFonts w:eastAsia="MS PGothic"/>
                <w:kern w:val="24"/>
              </w:rPr>
              <w:t>4</w:t>
            </w:r>
          </w:p>
        </w:tc>
      </w:tr>
      <w:tr w:rsidR="00B033C3" w:rsidRPr="005B4606" w14:paraId="02E6EFC2" w14:textId="77777777" w:rsidTr="00B033C3">
        <w:trPr>
          <w:trHeight w:val="255"/>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E93A123" w14:textId="77777777" w:rsidR="00AE2EE4" w:rsidRPr="00AB6521" w:rsidRDefault="00AE2EE4" w:rsidP="005D3BBD">
            <w:pPr>
              <w:contextualSpacing/>
            </w:pPr>
            <w:r w:rsidRPr="00AB6521">
              <w:rPr>
                <w:rFonts w:eastAsia="MS PGothic"/>
                <w:kern w:val="24"/>
              </w:rPr>
              <w:t xml:space="preserve">Статус </w:t>
            </w:r>
            <w:r w:rsidRPr="00830499">
              <w:rPr>
                <w:rFonts w:eastAsia="MS PGothic"/>
                <w:i/>
                <w:kern w:val="24"/>
              </w:rPr>
              <w:t>IGHV</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0099C5F6" w14:textId="77777777" w:rsidR="00AE2EE4" w:rsidRPr="00AB6521" w:rsidRDefault="00AE2EE4" w:rsidP="005D3BBD">
            <w:pPr>
              <w:contextualSpacing/>
            </w:pPr>
            <w:r w:rsidRPr="00AB6521">
              <w:rPr>
                <w:rFonts w:eastAsia="MS PGothic"/>
                <w:kern w:val="24"/>
              </w:rPr>
              <w:t>Без мутаций</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264C26CA" w14:textId="77777777" w:rsidR="00AE2EE4" w:rsidRPr="00AB6521" w:rsidRDefault="00AE2EE4" w:rsidP="005D3BBD">
            <w:pPr>
              <w:contextualSpacing/>
              <w:jc w:val="center"/>
            </w:pPr>
            <w:r w:rsidRPr="00AB6521">
              <w:rPr>
                <w:rFonts w:eastAsia="MS PGothic"/>
                <w:kern w:val="24"/>
              </w:rPr>
              <w:t>2,6</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278E49B" w14:textId="77777777" w:rsidR="00AE2EE4" w:rsidRPr="00AB6521" w:rsidRDefault="00AE2EE4" w:rsidP="005D3BBD">
            <w:pPr>
              <w:contextualSpacing/>
              <w:jc w:val="center"/>
            </w:pPr>
            <w:r w:rsidRPr="00AB6521">
              <w:rPr>
                <w:rFonts w:eastAsia="MS PGothic"/>
                <w:kern w:val="24"/>
              </w:rPr>
              <w:t>2</w:t>
            </w:r>
          </w:p>
        </w:tc>
      </w:tr>
      <w:tr w:rsidR="00B033C3" w:rsidRPr="005B4606" w14:paraId="05BDB74F" w14:textId="77777777" w:rsidTr="00B033C3">
        <w:trPr>
          <w:trHeight w:val="1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0888E63" w14:textId="77777777" w:rsidR="00AE2EE4" w:rsidRPr="00AB6521" w:rsidRDefault="003B3C73" w:rsidP="005D3BBD">
            <w:pPr>
              <w:contextualSpacing/>
            </w:pPr>
            <w:r>
              <w:rPr>
                <w:rFonts w:eastAsia="MS PGothic"/>
                <w:kern w:val="24"/>
              </w:rPr>
              <w:lastRenderedPageBreak/>
              <w:t xml:space="preserve">Уровень </w:t>
            </w:r>
            <w:r>
              <w:t>β2-микроглобулина</w:t>
            </w:r>
            <w:r w:rsidR="00AE2EE4" w:rsidRPr="00AB6521">
              <w:rPr>
                <w:rFonts w:eastAsia="MS PGothic"/>
                <w:kern w:val="24"/>
              </w:rPr>
              <w:t>, мг/л</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1CB4C8D" w14:textId="77777777" w:rsidR="00AE2EE4" w:rsidRPr="00AB6521" w:rsidRDefault="00AE2EE4" w:rsidP="005D3BBD">
            <w:pPr>
              <w:contextualSpacing/>
            </w:pPr>
            <w:r w:rsidRPr="00AB6521">
              <w:rPr>
                <w:rFonts w:eastAsia="MS PGothic"/>
                <w:kern w:val="24"/>
              </w:rPr>
              <w:t>&gt;3,5</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2F448CDF" w14:textId="77777777" w:rsidR="00AE2EE4" w:rsidRPr="00AB6521" w:rsidRDefault="00AE2EE4" w:rsidP="005D3BBD">
            <w:pPr>
              <w:contextualSpacing/>
              <w:jc w:val="center"/>
            </w:pPr>
            <w:r w:rsidRPr="00AB6521">
              <w:rPr>
                <w:rFonts w:eastAsia="MS PGothic"/>
                <w:kern w:val="24"/>
              </w:rPr>
              <w:t>2,0</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3DD2412" w14:textId="77777777" w:rsidR="00AE2EE4" w:rsidRPr="00AB6521" w:rsidRDefault="00AE2EE4" w:rsidP="005D3BBD">
            <w:pPr>
              <w:contextualSpacing/>
              <w:jc w:val="center"/>
            </w:pPr>
            <w:r w:rsidRPr="00AB6521">
              <w:rPr>
                <w:rFonts w:eastAsia="MS PGothic"/>
                <w:kern w:val="24"/>
              </w:rPr>
              <w:t>2</w:t>
            </w:r>
          </w:p>
        </w:tc>
      </w:tr>
      <w:tr w:rsidR="00B033C3" w:rsidRPr="005B4606" w14:paraId="237B7B8C" w14:textId="77777777" w:rsidTr="00B033C3">
        <w:trPr>
          <w:trHeight w:val="1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A2E1369" w14:textId="77777777" w:rsidR="00AE2EE4" w:rsidRPr="00AB6521" w:rsidRDefault="00AE2EE4" w:rsidP="005D3BBD">
            <w:pPr>
              <w:contextualSpacing/>
            </w:pPr>
            <w:r w:rsidRPr="00AB6521">
              <w:rPr>
                <w:rFonts w:eastAsia="MS PGothic"/>
                <w:kern w:val="24"/>
              </w:rPr>
              <w:t>Стадия</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34AB8873" w14:textId="77777777" w:rsidR="00AE2EE4" w:rsidRPr="003518E9" w:rsidRDefault="00AE2EE4" w:rsidP="005D3BBD">
            <w:pPr>
              <w:contextualSpacing/>
            </w:pPr>
            <w:r w:rsidRPr="00AB6521">
              <w:rPr>
                <w:rFonts w:eastAsia="MS PGothic"/>
                <w:kern w:val="24"/>
              </w:rPr>
              <w:t>B/С</w:t>
            </w:r>
            <w:r w:rsidR="003518E9">
              <w:rPr>
                <w:rFonts w:eastAsia="MS PGothic"/>
                <w:kern w:val="24"/>
              </w:rPr>
              <w:t xml:space="preserve"> по </w:t>
            </w:r>
            <w:r w:rsidR="003518E9">
              <w:rPr>
                <w:rFonts w:eastAsia="MS PGothic"/>
                <w:kern w:val="24"/>
                <w:lang w:val="en-US"/>
              </w:rPr>
              <w:t>Binet</w:t>
            </w:r>
            <w:r w:rsidR="003518E9" w:rsidRPr="003518E9">
              <w:rPr>
                <w:rFonts w:eastAsia="MS PGothic"/>
                <w:kern w:val="24"/>
              </w:rPr>
              <w:t xml:space="preserve"> </w:t>
            </w:r>
            <w:r w:rsidRPr="00AB6521">
              <w:rPr>
                <w:rFonts w:eastAsia="MS PGothic"/>
                <w:kern w:val="24"/>
              </w:rPr>
              <w:t>и</w:t>
            </w:r>
            <w:r w:rsidR="004B53D6">
              <w:rPr>
                <w:rFonts w:eastAsia="MS PGothic"/>
                <w:kern w:val="24"/>
              </w:rPr>
              <w:t xml:space="preserve">ли </w:t>
            </w:r>
            <w:r w:rsidR="003518E9">
              <w:rPr>
                <w:rFonts w:eastAsia="MS PGothic"/>
                <w:kern w:val="24"/>
                <w:lang w:val="en-US"/>
              </w:rPr>
              <w:t>I</w:t>
            </w:r>
            <w:r w:rsidR="003518E9" w:rsidRPr="003518E9">
              <w:rPr>
                <w:rFonts w:eastAsia="MS PGothic"/>
                <w:kern w:val="24"/>
              </w:rPr>
              <w:t>–</w:t>
            </w:r>
            <w:r w:rsidR="003518E9">
              <w:rPr>
                <w:rFonts w:eastAsia="MS PGothic"/>
                <w:kern w:val="24"/>
                <w:lang w:val="en-US"/>
              </w:rPr>
              <w:t>IV</w:t>
            </w:r>
            <w:r w:rsidR="003518E9" w:rsidRPr="003518E9">
              <w:rPr>
                <w:rFonts w:eastAsia="MS PGothic"/>
                <w:kern w:val="24"/>
              </w:rPr>
              <w:t xml:space="preserve"> </w:t>
            </w:r>
            <w:r w:rsidR="003518E9">
              <w:rPr>
                <w:rFonts w:eastAsia="MS PGothic"/>
                <w:kern w:val="24"/>
              </w:rPr>
              <w:t xml:space="preserve">по </w:t>
            </w:r>
            <w:r w:rsidR="003518E9">
              <w:rPr>
                <w:rFonts w:eastAsia="MS PGothic"/>
                <w:kern w:val="24"/>
                <w:lang w:val="en-US"/>
              </w:rPr>
              <w:t>Rai</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339E6D6F" w14:textId="77777777" w:rsidR="00AE2EE4" w:rsidRPr="00AB6521" w:rsidRDefault="00AE2EE4" w:rsidP="005D3BBD">
            <w:pPr>
              <w:contextualSpacing/>
              <w:jc w:val="center"/>
            </w:pPr>
            <w:r w:rsidRPr="00AB6521">
              <w:rPr>
                <w:rFonts w:eastAsia="MS PGothic"/>
                <w:kern w:val="24"/>
              </w:rPr>
              <w:t>1,6</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FD90401" w14:textId="77777777" w:rsidR="00AE2EE4" w:rsidRPr="00AB6521" w:rsidRDefault="00AE2EE4" w:rsidP="005D3BBD">
            <w:pPr>
              <w:contextualSpacing/>
              <w:jc w:val="center"/>
            </w:pPr>
            <w:r w:rsidRPr="00AB6521">
              <w:rPr>
                <w:rFonts w:eastAsia="MS PGothic"/>
                <w:kern w:val="24"/>
              </w:rPr>
              <w:t>1</w:t>
            </w:r>
          </w:p>
        </w:tc>
      </w:tr>
      <w:tr w:rsidR="00B033C3" w:rsidRPr="005B4606" w14:paraId="467A560D" w14:textId="77777777" w:rsidTr="00B033C3">
        <w:trPr>
          <w:trHeight w:val="27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33F73E3" w14:textId="77777777" w:rsidR="00AE2EE4" w:rsidRPr="00AB6521" w:rsidRDefault="00AE2EE4" w:rsidP="005D3BBD">
            <w:pPr>
              <w:contextualSpacing/>
            </w:pPr>
            <w:r w:rsidRPr="00AB6521">
              <w:rPr>
                <w:rFonts w:eastAsia="MS PGothic"/>
                <w:kern w:val="24"/>
              </w:rPr>
              <w:t>Возраст</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44DB6FD" w14:textId="77777777" w:rsidR="00AE2EE4" w:rsidRPr="00AB6521" w:rsidRDefault="00AE2EE4" w:rsidP="005D3BBD">
            <w:pPr>
              <w:contextualSpacing/>
            </w:pPr>
            <w:r w:rsidRPr="00AB6521">
              <w:rPr>
                <w:rFonts w:eastAsia="MS PGothic"/>
                <w:kern w:val="24"/>
              </w:rPr>
              <w:t>&gt;65 лет</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471D47C" w14:textId="77777777" w:rsidR="00AE2EE4" w:rsidRPr="00AB6521" w:rsidRDefault="00AE2EE4" w:rsidP="005D3BBD">
            <w:pPr>
              <w:contextualSpacing/>
              <w:jc w:val="center"/>
            </w:pPr>
            <w:r w:rsidRPr="00AB6521">
              <w:rPr>
                <w:rFonts w:eastAsia="MS PGothic"/>
                <w:kern w:val="24"/>
              </w:rPr>
              <w:t>1,7</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DF18B50" w14:textId="77777777" w:rsidR="00AE2EE4" w:rsidRPr="00AB6521" w:rsidRDefault="00AE2EE4" w:rsidP="005D3BBD">
            <w:pPr>
              <w:contextualSpacing/>
              <w:jc w:val="center"/>
            </w:pPr>
            <w:r w:rsidRPr="00AB6521">
              <w:rPr>
                <w:rFonts w:eastAsia="MS PGothic"/>
                <w:kern w:val="24"/>
              </w:rPr>
              <w:t>1</w:t>
            </w:r>
          </w:p>
        </w:tc>
      </w:tr>
      <w:tr w:rsidR="00B033C3" w:rsidRPr="005B4606" w14:paraId="71AB0184" w14:textId="77777777" w:rsidTr="00B033C3">
        <w:trPr>
          <w:trHeight w:val="214"/>
        </w:trPr>
        <w:tc>
          <w:tcPr>
            <w:tcW w:w="4423" w:type="pct"/>
            <w:gridSpan w:val="3"/>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E441054" w14:textId="77777777" w:rsidR="00AE2EE4" w:rsidRPr="00AB6521" w:rsidRDefault="00AE2EE4" w:rsidP="005D3BBD">
            <w:pPr>
              <w:contextualSpacing/>
            </w:pPr>
            <w:r w:rsidRPr="00AB6521">
              <w:rPr>
                <w:rFonts w:eastAsia="MS PGothic"/>
                <w:b/>
                <w:bCs/>
                <w:kern w:val="24"/>
              </w:rPr>
              <w:t>Возможные значения шкалы</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74335E06" w14:textId="77777777" w:rsidR="00AE2EE4" w:rsidRPr="00AB6521" w:rsidRDefault="00AE2EE4" w:rsidP="005D3BBD">
            <w:pPr>
              <w:contextualSpacing/>
              <w:jc w:val="center"/>
            </w:pPr>
            <w:r w:rsidRPr="00AB6521">
              <w:rPr>
                <w:rFonts w:eastAsia="MS PGothic"/>
                <w:b/>
                <w:bCs/>
                <w:kern w:val="24"/>
              </w:rPr>
              <w:t>0–10</w:t>
            </w:r>
          </w:p>
        </w:tc>
      </w:tr>
    </w:tbl>
    <w:p w14:paraId="4866102D" w14:textId="77777777" w:rsidR="005438C8" w:rsidRDefault="005438C8" w:rsidP="004E3A70">
      <w:bookmarkStart w:id="22" w:name="_Toc531609325"/>
    </w:p>
    <w:p w14:paraId="0E87657E" w14:textId="77777777" w:rsidR="00BE6F76" w:rsidRPr="00F748FB" w:rsidRDefault="00BE6F76" w:rsidP="005D3BBD">
      <w:pPr>
        <w:pStyle w:val="2"/>
      </w:pPr>
      <w:bookmarkStart w:id="23" w:name="_Toc23601718"/>
      <w:bookmarkStart w:id="24" w:name="_Toc65068799"/>
      <w:r w:rsidRPr="004E3A70">
        <w:t>1.6</w:t>
      </w:r>
      <w:r w:rsidR="00397360" w:rsidRPr="004E3A70">
        <w:t>.</w:t>
      </w:r>
      <w:r w:rsidRPr="00F748FB">
        <w:t xml:space="preserve"> Клиническая картина</w:t>
      </w:r>
      <w:bookmarkEnd w:id="22"/>
      <w:r w:rsidR="0030568B" w:rsidRPr="00F748FB">
        <w:t xml:space="preserve"> заболевания или состояния (группы заболеваний или состояний)</w:t>
      </w:r>
      <w:bookmarkEnd w:id="23"/>
      <w:bookmarkEnd w:id="24"/>
    </w:p>
    <w:p w14:paraId="7B4D4FC3" w14:textId="77777777" w:rsidR="00020931" w:rsidRDefault="003322AC" w:rsidP="004E3A70">
      <w:pPr>
        <w:ind w:firstLine="709"/>
        <w:contextualSpacing/>
      </w:pPr>
      <w:r w:rsidRPr="003322AC">
        <w:t xml:space="preserve">Заболевание может протекать бессимптомно или проявляться лимфаденопатией, </w:t>
      </w:r>
      <w:r w:rsidR="00E44215">
        <w:t xml:space="preserve">увеличением миндалин, </w:t>
      </w:r>
      <w:r w:rsidRPr="003322AC">
        <w:t>спленомегалией, гепатомегалией и неспецифическими симптомами, обусловленными анемией (утомляемость, недомогание)</w:t>
      </w:r>
      <w:r w:rsidR="00E44215">
        <w:t xml:space="preserve">, </w:t>
      </w:r>
      <w:r w:rsidRPr="003322AC">
        <w:t>иммуносупрессией (</w:t>
      </w:r>
      <w:r w:rsidR="0015009B">
        <w:t>присоединением инфекционных осложнений</w:t>
      </w:r>
      <w:r w:rsidRPr="003322AC">
        <w:t>)</w:t>
      </w:r>
      <w:r w:rsidR="00E44215">
        <w:t>, интоксикацией (В-симптом</w:t>
      </w:r>
      <w:r w:rsidR="00CE6AE9">
        <w:t>ами</w:t>
      </w:r>
      <w:r w:rsidR="00E44215">
        <w:t xml:space="preserve"> – </w:t>
      </w:r>
      <w:r w:rsidR="00CE6AE9">
        <w:t>температурой тела</w:t>
      </w:r>
      <w:r w:rsidR="00E44215" w:rsidRPr="00E44215">
        <w:t xml:space="preserve"> </w:t>
      </w:r>
      <w:r w:rsidR="00CE6AE9" w:rsidRPr="00397360">
        <w:t>&gt;</w:t>
      </w:r>
      <w:r w:rsidR="00E44215" w:rsidRPr="00964C0B">
        <w:t xml:space="preserve">38°С </w:t>
      </w:r>
      <w:r w:rsidR="004A1FA5">
        <w:t xml:space="preserve">более </w:t>
      </w:r>
      <w:r w:rsidR="00504D96">
        <w:t>2 нед.</w:t>
      </w:r>
      <w:r w:rsidR="004A1FA5">
        <w:t xml:space="preserve"> подряд</w:t>
      </w:r>
      <w:r w:rsidR="00E44215" w:rsidRPr="00E44215">
        <w:t xml:space="preserve"> без признаков воспаления</w:t>
      </w:r>
      <w:r w:rsidR="00242EB0">
        <w:t>,</w:t>
      </w:r>
      <w:r w:rsidR="00E44215" w:rsidRPr="00E44215">
        <w:t xml:space="preserve"> ночны</w:t>
      </w:r>
      <w:r w:rsidR="00242EB0">
        <w:t>ми</w:t>
      </w:r>
      <w:r w:rsidR="00E44215" w:rsidRPr="00E44215">
        <w:t xml:space="preserve"> профузны</w:t>
      </w:r>
      <w:r w:rsidR="00242EB0">
        <w:t>ми</w:t>
      </w:r>
      <w:r w:rsidR="00E44215" w:rsidRPr="00E44215">
        <w:t xml:space="preserve"> пот</w:t>
      </w:r>
      <w:r w:rsidR="00242EB0">
        <w:t>ами,</w:t>
      </w:r>
      <w:r w:rsidR="00E44215" w:rsidRPr="00E44215">
        <w:t xml:space="preserve"> похудание</w:t>
      </w:r>
      <w:r w:rsidR="00242EB0">
        <w:t>м</w:t>
      </w:r>
      <w:r w:rsidR="00E44215" w:rsidRPr="00E44215">
        <w:t xml:space="preserve"> на 10</w:t>
      </w:r>
      <w:r w:rsidR="00DD3D1E">
        <w:t xml:space="preserve"> %</w:t>
      </w:r>
      <w:r w:rsidR="00E44215" w:rsidRPr="00E44215">
        <w:t xml:space="preserve"> массы тела за последние 6 мес</w:t>
      </w:r>
      <w:r w:rsidR="00504D96">
        <w:t>.</w:t>
      </w:r>
      <w:r w:rsidR="00E44215" w:rsidRPr="00E44215">
        <w:t>)</w:t>
      </w:r>
      <w:r w:rsidR="00E44215">
        <w:t>.</w:t>
      </w:r>
    </w:p>
    <w:p w14:paraId="5FF9E67F" w14:textId="77777777" w:rsidR="001A5F7C" w:rsidRPr="00397360" w:rsidRDefault="004D7374" w:rsidP="005D3BBD">
      <w:pPr>
        <w:pStyle w:val="af9"/>
      </w:pPr>
      <w:bookmarkStart w:id="25" w:name="_Toc520213124"/>
      <w:bookmarkStart w:id="26" w:name="_Toc23601719"/>
      <w:bookmarkStart w:id="27" w:name="_Toc65068800"/>
      <w:r w:rsidRPr="00397360">
        <w:t xml:space="preserve">2. </w:t>
      </w:r>
      <w:bookmarkEnd w:id="25"/>
      <w:r w:rsidR="001A5F7C" w:rsidRPr="00397360">
        <w:t xml:space="preserve">Диагностика заболевания или состояния (группы заболеваний </w:t>
      </w:r>
      <w:r w:rsidR="00242EB0" w:rsidRPr="00397360">
        <w:br/>
      </w:r>
      <w:r w:rsidR="001A5F7C" w:rsidRPr="00397360">
        <w:t xml:space="preserve">или состояний), медицинские показания и противопоказания </w:t>
      </w:r>
      <w:r w:rsidR="00242EB0" w:rsidRPr="00397360">
        <w:br/>
      </w:r>
      <w:r w:rsidR="001A5F7C" w:rsidRPr="00397360">
        <w:t>к применению методов диагностики</w:t>
      </w:r>
      <w:bookmarkEnd w:id="26"/>
      <w:bookmarkEnd w:id="27"/>
    </w:p>
    <w:p w14:paraId="110C7D51" w14:textId="77777777" w:rsidR="00B93BEE" w:rsidRPr="00242EB0" w:rsidRDefault="00B93BEE" w:rsidP="004E3A70">
      <w:pPr>
        <w:rPr>
          <w:b/>
          <w:i/>
        </w:rPr>
      </w:pPr>
      <w:r w:rsidRPr="00242EB0">
        <w:rPr>
          <w:b/>
          <w:i/>
        </w:rPr>
        <w:t>Критерии установл</w:t>
      </w:r>
      <w:r w:rsidR="00242EB0">
        <w:rPr>
          <w:b/>
          <w:i/>
        </w:rPr>
        <w:t>ения диагноза/состояния</w:t>
      </w:r>
    </w:p>
    <w:p w14:paraId="27304479" w14:textId="77777777" w:rsidR="00B93BEE" w:rsidRPr="00242EB0" w:rsidRDefault="00B93BEE" w:rsidP="00830EF8">
      <w:pPr>
        <w:ind w:firstLine="709"/>
        <w:rPr>
          <w:i/>
        </w:rPr>
      </w:pPr>
      <w:r w:rsidRPr="00242EB0">
        <w:rPr>
          <w:i/>
        </w:rPr>
        <w:t xml:space="preserve">Для постановки диагноза </w:t>
      </w:r>
      <w:r w:rsidR="000648CB" w:rsidRPr="00242EB0">
        <w:rPr>
          <w:i/>
        </w:rPr>
        <w:t xml:space="preserve">ХЛЛ </w:t>
      </w:r>
      <w:r w:rsidRPr="00242EB0">
        <w:rPr>
          <w:i/>
        </w:rPr>
        <w:t xml:space="preserve">требуются общий анализ крови и иммунофенотипическое исследование с использованием многоцветной проточной цитометрии, которое предпочтительнее выполнять по крови. </w:t>
      </w:r>
    </w:p>
    <w:p w14:paraId="01BFAAB4" w14:textId="3AA57AC3" w:rsidR="00B93BEE" w:rsidRPr="00242EB0" w:rsidRDefault="00B93BEE" w:rsidP="00830EF8">
      <w:pPr>
        <w:ind w:firstLine="709"/>
        <w:rPr>
          <w:i/>
        </w:rPr>
      </w:pPr>
      <w:r w:rsidRPr="00242EB0">
        <w:rPr>
          <w:i/>
        </w:rPr>
        <w:t>Диагностические критерии ХЛЛ (ВОЗ, 2016)</w:t>
      </w:r>
      <w:r w:rsidRPr="00242EB0">
        <w:rPr>
          <w:i/>
          <w:lang w:val="en-US"/>
        </w:rPr>
        <w:t xml:space="preserve"> </w:t>
      </w:r>
      <w:r w:rsidR="000B0AC3" w:rsidRPr="00242EB0">
        <w:rPr>
          <w:i/>
          <w:lang w:val="en-US"/>
        </w:rPr>
        <w:fldChar w:fldCharType="begin" w:fldLock="1"/>
      </w:r>
      <w:r w:rsidR="00362BA7">
        <w:rPr>
          <w:i/>
          <w:lang w:val="en-US"/>
        </w:rPr>
        <w:instrText>ADDIN CSL_CITATION {"citationItems":[{"id":"ITEM-1","itemData":{"DOI":"10.1182/blood-2016-01-643569","ISSN":"15280020","abstract":"A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S.","non-dropping-particle":"","parse-names":false,"suffix":""}],"container-title":"Blood","id":"ITEM-1","issued":{"date-parts":[["2016"]]},"title":"The 2016 revision of the World Health Organization classification of lymphoid neoplasms","type":"article"},"uris":["http://www.mendeley.com/documents/?uuid=2e1bb83c-740d-40bd-94c4-e417b27d8e8e"]}],"mendeley":{"formattedCitation":"[15]","plainTextFormattedCitation":"[15]","previouslyFormattedCitation":"[15]"},"properties":{"noteIndex":0},"schema":"https://github.com/citation-style-language/schema/raw/master/csl-citation.json"}</w:instrText>
      </w:r>
      <w:r w:rsidR="000B0AC3" w:rsidRPr="00242EB0">
        <w:rPr>
          <w:i/>
          <w:lang w:val="en-US"/>
        </w:rPr>
        <w:fldChar w:fldCharType="separate"/>
      </w:r>
      <w:r w:rsidRPr="00242EB0">
        <w:rPr>
          <w:i/>
          <w:noProof/>
          <w:lang w:val="en-US"/>
        </w:rPr>
        <w:t>[15]</w:t>
      </w:r>
      <w:r w:rsidR="000B0AC3" w:rsidRPr="00242EB0">
        <w:rPr>
          <w:i/>
          <w:lang w:val="en-US"/>
        </w:rPr>
        <w:fldChar w:fldCharType="end"/>
      </w:r>
      <w:r w:rsidRPr="00242EB0">
        <w:rPr>
          <w:i/>
        </w:rPr>
        <w:t>:</w:t>
      </w:r>
    </w:p>
    <w:p w14:paraId="31047F94" w14:textId="77777777" w:rsidR="00B93BEE" w:rsidRPr="00242EB0" w:rsidRDefault="000648CB" w:rsidP="00D61785">
      <w:pPr>
        <w:pStyle w:val="a4"/>
        <w:numPr>
          <w:ilvl w:val="0"/>
          <w:numId w:val="15"/>
        </w:numPr>
        <w:spacing w:before="0"/>
        <w:rPr>
          <w:i/>
        </w:rPr>
      </w:pPr>
      <w:r w:rsidRPr="00242EB0">
        <w:rPr>
          <w:i/>
        </w:rPr>
        <w:t xml:space="preserve">МВКЛ </w:t>
      </w:r>
      <w:r w:rsidR="00B93BEE" w:rsidRPr="00242EB0">
        <w:rPr>
          <w:i/>
        </w:rPr>
        <w:t>&gt;5</w:t>
      </w:r>
      <w:r w:rsidR="00B93BEE" w:rsidRPr="00242EB0">
        <w:rPr>
          <w:i/>
          <w:lang w:val="en-US"/>
        </w:rPr>
        <w:t> </w:t>
      </w:r>
      <w:r w:rsidR="00B93BEE" w:rsidRPr="00242EB0">
        <w:rPr>
          <w:i/>
        </w:rPr>
        <w:t>000 в 1 мкл крови</w:t>
      </w:r>
      <w:r w:rsidR="00242EB0">
        <w:rPr>
          <w:i/>
        </w:rPr>
        <w:t>;</w:t>
      </w:r>
    </w:p>
    <w:p w14:paraId="149F0F7C" w14:textId="77777777" w:rsidR="00B93BEE" w:rsidRPr="00242EB0" w:rsidRDefault="00242EB0" w:rsidP="00D61785">
      <w:pPr>
        <w:pStyle w:val="a4"/>
        <w:numPr>
          <w:ilvl w:val="0"/>
          <w:numId w:val="15"/>
        </w:numPr>
        <w:spacing w:before="0"/>
        <w:rPr>
          <w:i/>
          <w:lang w:val="en-US"/>
        </w:rPr>
      </w:pPr>
      <w:r>
        <w:rPr>
          <w:i/>
        </w:rPr>
        <w:t>ф</w:t>
      </w:r>
      <w:r w:rsidR="00B93BEE" w:rsidRPr="00242EB0">
        <w:rPr>
          <w:i/>
        </w:rPr>
        <w:t>енотип</w:t>
      </w:r>
      <w:r w:rsidR="00B93BEE" w:rsidRPr="00242EB0">
        <w:rPr>
          <w:i/>
          <w:lang w:val="en-US"/>
        </w:rPr>
        <w:t xml:space="preserve"> </w:t>
      </w:r>
      <w:r w:rsidR="00B93BEE" w:rsidRPr="00242EB0">
        <w:rPr>
          <w:i/>
        </w:rPr>
        <w:t>С</w:t>
      </w:r>
      <w:r w:rsidR="00B93BEE" w:rsidRPr="00242EB0">
        <w:rPr>
          <w:i/>
          <w:lang w:val="en-US"/>
        </w:rPr>
        <w:t>D19+, CD5+, CD23+, CD79b+dim, CD20+dim, CD22+dim, sIg dim, CD81dim, CD160dim</w:t>
      </w:r>
      <w:r w:rsidRPr="00397360">
        <w:rPr>
          <w:i/>
          <w:lang w:val="en-US"/>
        </w:rPr>
        <w:t>;</w:t>
      </w:r>
    </w:p>
    <w:p w14:paraId="3521D3CD" w14:textId="77777777" w:rsidR="00B93BEE" w:rsidRPr="00242EB0" w:rsidRDefault="00242EB0" w:rsidP="00D61785">
      <w:pPr>
        <w:pStyle w:val="a4"/>
        <w:numPr>
          <w:ilvl w:val="0"/>
          <w:numId w:val="15"/>
        </w:numPr>
        <w:spacing w:before="0"/>
        <w:rPr>
          <w:i/>
        </w:rPr>
      </w:pPr>
      <w:r>
        <w:rPr>
          <w:i/>
        </w:rPr>
        <w:t>р</w:t>
      </w:r>
      <w:r w:rsidR="00B93BEE" w:rsidRPr="00242EB0">
        <w:rPr>
          <w:i/>
        </w:rPr>
        <w:t>естрикция легких цепей (каппа либо лямбда)</w:t>
      </w:r>
      <w:r>
        <w:rPr>
          <w:i/>
        </w:rPr>
        <w:t>;</w:t>
      </w:r>
    </w:p>
    <w:p w14:paraId="6DC72B73" w14:textId="77777777" w:rsidR="00B93BEE" w:rsidRPr="00242EB0" w:rsidRDefault="00242EB0" w:rsidP="00D61785">
      <w:pPr>
        <w:pStyle w:val="a4"/>
        <w:numPr>
          <w:ilvl w:val="0"/>
          <w:numId w:val="15"/>
        </w:numPr>
        <w:spacing w:before="0"/>
        <w:rPr>
          <w:i/>
        </w:rPr>
      </w:pPr>
      <w:r>
        <w:rPr>
          <w:i/>
          <w:lang w:val="en-US"/>
        </w:rPr>
        <w:t>&gt;</w:t>
      </w:r>
      <w:r w:rsidR="00B93BEE" w:rsidRPr="00242EB0">
        <w:rPr>
          <w:i/>
        </w:rPr>
        <w:t>30</w:t>
      </w:r>
      <w:r w:rsidR="00DD3D1E" w:rsidRPr="00242EB0">
        <w:rPr>
          <w:i/>
        </w:rPr>
        <w:t xml:space="preserve"> %</w:t>
      </w:r>
      <w:r w:rsidR="00B93BEE" w:rsidRPr="00242EB0">
        <w:rPr>
          <w:i/>
        </w:rPr>
        <w:t xml:space="preserve"> лимфоцитов в костном мозге</w:t>
      </w:r>
      <w:r>
        <w:rPr>
          <w:i/>
        </w:rPr>
        <w:t>;</w:t>
      </w:r>
    </w:p>
    <w:p w14:paraId="0CDABBAA" w14:textId="77777777" w:rsidR="00B93BEE" w:rsidRPr="00242EB0" w:rsidRDefault="00242EB0" w:rsidP="00D61785">
      <w:pPr>
        <w:pStyle w:val="a4"/>
        <w:numPr>
          <w:ilvl w:val="0"/>
          <w:numId w:val="15"/>
        </w:numPr>
        <w:spacing w:before="0"/>
        <w:rPr>
          <w:i/>
        </w:rPr>
      </w:pPr>
      <w:r>
        <w:rPr>
          <w:i/>
        </w:rPr>
        <w:t>д</w:t>
      </w:r>
      <w:r w:rsidR="00B93BEE" w:rsidRPr="00242EB0">
        <w:rPr>
          <w:i/>
        </w:rPr>
        <w:t>иагноз ХЛЛ не устанавливается при наличии цитопении или связанных с заболеванием симптомов при</w:t>
      </w:r>
      <w:r>
        <w:rPr>
          <w:i/>
        </w:rPr>
        <w:t xml:space="preserve"> количестве</w:t>
      </w:r>
      <w:r w:rsidR="00B93BEE" w:rsidRPr="00242EB0">
        <w:rPr>
          <w:i/>
        </w:rPr>
        <w:t xml:space="preserve"> </w:t>
      </w:r>
      <w:r w:rsidRPr="00242EB0">
        <w:rPr>
          <w:i/>
        </w:rPr>
        <w:t xml:space="preserve">моноклональных В-лимфоцитов </w:t>
      </w:r>
      <w:r w:rsidR="00B93BEE" w:rsidRPr="00242EB0">
        <w:rPr>
          <w:i/>
        </w:rPr>
        <w:t>&lt;5</w:t>
      </w:r>
      <w:r w:rsidR="00B93BEE" w:rsidRPr="00242EB0">
        <w:rPr>
          <w:i/>
          <w:lang w:val="en-US"/>
        </w:rPr>
        <w:t> </w:t>
      </w:r>
      <w:r w:rsidR="00B93BEE" w:rsidRPr="00242EB0">
        <w:rPr>
          <w:i/>
        </w:rPr>
        <w:t>000/мкл</w:t>
      </w:r>
      <w:r>
        <w:rPr>
          <w:i/>
        </w:rPr>
        <w:t>.</w:t>
      </w:r>
    </w:p>
    <w:p w14:paraId="3E5E16FD" w14:textId="77777777" w:rsidR="00B93BEE" w:rsidRPr="00242EB0" w:rsidRDefault="00B93BEE" w:rsidP="003F5F47">
      <w:pPr>
        <w:ind w:firstLine="709"/>
        <w:rPr>
          <w:i/>
        </w:rPr>
      </w:pPr>
      <w:r w:rsidRPr="00242EB0">
        <w:rPr>
          <w:i/>
        </w:rPr>
        <w:t xml:space="preserve">Диагноз устанавливают при выявлении в крови </w:t>
      </w:r>
      <w:r w:rsidR="00242EB0" w:rsidRPr="00397360">
        <w:rPr>
          <w:i/>
        </w:rPr>
        <w:t>&gt;</w:t>
      </w:r>
      <w:r w:rsidRPr="00242EB0">
        <w:rPr>
          <w:i/>
        </w:rPr>
        <w:t>5</w:t>
      </w:r>
      <w:r w:rsidRPr="00242EB0">
        <w:rPr>
          <w:i/>
          <w:lang w:val="en-US"/>
        </w:rPr>
        <w:t> </w:t>
      </w:r>
      <w:r w:rsidRPr="00242EB0">
        <w:rPr>
          <w:i/>
        </w:rPr>
        <w:t>000 В-лимфоцит</w:t>
      </w:r>
      <w:r w:rsidR="00242EB0">
        <w:rPr>
          <w:i/>
        </w:rPr>
        <w:t>ов в 1 мкл периферической крови</w:t>
      </w:r>
      <w:r w:rsidRPr="00242EB0">
        <w:rPr>
          <w:i/>
        </w:rPr>
        <w:t xml:space="preserve"> при условии, что лимфоцитоз сохраняется более 3 мес. </w:t>
      </w:r>
      <w:r w:rsidRPr="00242EB0">
        <w:rPr>
          <w:i/>
        </w:rPr>
        <w:lastRenderedPageBreak/>
        <w:t>Клональность В-лимфоцитов должна быть подтверждена с помощью иммунофено</w:t>
      </w:r>
      <w:r w:rsidR="00242EB0">
        <w:rPr>
          <w:i/>
        </w:rPr>
        <w:softHyphen/>
      </w:r>
      <w:r w:rsidRPr="00242EB0">
        <w:rPr>
          <w:i/>
        </w:rPr>
        <w:t>типирования.</w:t>
      </w:r>
    </w:p>
    <w:p w14:paraId="3AA4C486" w14:textId="77777777" w:rsidR="00B93BEE" w:rsidRPr="00242EB0" w:rsidRDefault="00B93BEE" w:rsidP="003F5F47">
      <w:pPr>
        <w:ind w:firstLine="709"/>
        <w:rPr>
          <w:i/>
          <w:iCs/>
        </w:rPr>
      </w:pPr>
      <w:r w:rsidRPr="00242EB0">
        <w:rPr>
          <w:i/>
          <w:iCs/>
        </w:rPr>
        <w:t>ЛМЛ диагностируется при наличии лимфаденопатии, и/или спленомегалии, и/или цитопении, вызванной поражением костного мозга, при условии, что абсолютное число моноклональных В-лимфоцитов в крови не превышает 5</w:t>
      </w:r>
      <w:r w:rsidRPr="00242EB0">
        <w:rPr>
          <w:i/>
          <w:iCs/>
          <w:lang w:val="en-US"/>
        </w:rPr>
        <w:t> </w:t>
      </w:r>
      <w:r w:rsidRPr="00242EB0">
        <w:rPr>
          <w:i/>
          <w:iCs/>
        </w:rPr>
        <w:t>000 в 1 мкл. Иммуно</w:t>
      </w:r>
      <w:r w:rsidR="00242EB0">
        <w:rPr>
          <w:i/>
          <w:iCs/>
        </w:rPr>
        <w:softHyphen/>
      </w:r>
      <w:r w:rsidRPr="00242EB0">
        <w:rPr>
          <w:i/>
          <w:iCs/>
        </w:rPr>
        <w:t>гистохимический фенотип опухолевых В-лимфоцитов соответствует ХЛЛ. Диагноз должен быть подтвержден биопсией лимфатического узла, костного мозга или пораженного органа.</w:t>
      </w:r>
    </w:p>
    <w:p w14:paraId="5E140FA3" w14:textId="77777777" w:rsidR="004D7374" w:rsidRPr="004E3A70" w:rsidRDefault="00C606B8" w:rsidP="003F5F47">
      <w:pPr>
        <w:pStyle w:val="2"/>
      </w:pPr>
      <w:bookmarkStart w:id="28" w:name="_Toc23601720"/>
      <w:bookmarkStart w:id="29" w:name="_Toc65068801"/>
      <w:r w:rsidRPr="004E3A70">
        <w:t>2.1. Жалобы и анамнез</w:t>
      </w:r>
      <w:bookmarkEnd w:id="28"/>
      <w:bookmarkEnd w:id="29"/>
    </w:p>
    <w:p w14:paraId="42A8BA94" w14:textId="77777777" w:rsidR="004D7374" w:rsidRPr="00B93BEE" w:rsidRDefault="004E6BF1" w:rsidP="00D61785">
      <w:pPr>
        <w:pStyle w:val="a4"/>
        <w:numPr>
          <w:ilvl w:val="0"/>
          <w:numId w:val="50"/>
        </w:numPr>
        <w:spacing w:before="0"/>
      </w:pPr>
      <w:r w:rsidRPr="00504D96">
        <w:t>Всем</w:t>
      </w:r>
      <w:r w:rsidRPr="00B93BEE">
        <w:t xml:space="preserve"> </w:t>
      </w:r>
      <w:r w:rsidR="00B93BEE" w:rsidRPr="00B93BEE">
        <w:t xml:space="preserve">пациентам с подозрением на ХЛЛ, а также всем пациентам с верифицированным ХЛЛ при каждом приеме у гематолога </w:t>
      </w:r>
      <w:r w:rsidR="00B93BEE" w:rsidRPr="00C20509">
        <w:rPr>
          <w:b/>
        </w:rPr>
        <w:t>рекомендуется</w:t>
      </w:r>
      <w:r w:rsidR="00B93BEE" w:rsidRPr="00B93BEE">
        <w:t xml:space="preserve"> сбор анамнеза и жалоб при заболеваниях органов кроветворения и крови для оценки состояния пациента, а также для </w:t>
      </w:r>
      <w:r w:rsidR="00C20509">
        <w:t>выявления</w:t>
      </w:r>
      <w:r w:rsidR="00B93BEE" w:rsidRPr="00B93BEE">
        <w:t xml:space="preserve"> факторов, которые могут оказать влияние на </w:t>
      </w:r>
      <w:r w:rsidR="00C20509">
        <w:t>выбор</w:t>
      </w:r>
      <w:r w:rsidR="00B93BEE" w:rsidRPr="00B93BEE">
        <w:t xml:space="preserve"> лечебной тактики пациента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AE2EE4" w:rsidRPr="00B93BEE">
        <w:t>.</w:t>
      </w:r>
    </w:p>
    <w:p w14:paraId="5E0A9BDA" w14:textId="77777777" w:rsidR="004D7374" w:rsidRPr="00C20509" w:rsidRDefault="005C7FBA" w:rsidP="004E3A70">
      <w:pPr>
        <w:ind w:left="426"/>
        <w:contextualSpacing/>
        <w:rPr>
          <w:b/>
          <w:spacing w:val="-4"/>
        </w:rPr>
      </w:pPr>
      <w:r w:rsidRPr="00C20509">
        <w:rPr>
          <w:b/>
          <w:spacing w:val="-4"/>
        </w:rPr>
        <w:t xml:space="preserve">Уровень убедительности рекомендаций </w:t>
      </w:r>
      <w:r w:rsidR="00C20509" w:rsidRPr="00C20509">
        <w:rPr>
          <w:b/>
          <w:spacing w:val="-4"/>
        </w:rPr>
        <w:t xml:space="preserve">– </w:t>
      </w:r>
      <w:r w:rsidRPr="00C20509">
        <w:rPr>
          <w:b/>
          <w:spacing w:val="-4"/>
        </w:rPr>
        <w:t xml:space="preserve">С (уровень достоверности доказательств </w:t>
      </w:r>
      <w:r w:rsidR="00C20509" w:rsidRPr="00C20509">
        <w:rPr>
          <w:b/>
          <w:spacing w:val="-4"/>
        </w:rPr>
        <w:t xml:space="preserve">– </w:t>
      </w:r>
      <w:r w:rsidRPr="00C20509">
        <w:rPr>
          <w:b/>
          <w:spacing w:val="-4"/>
        </w:rPr>
        <w:t>5).</w:t>
      </w:r>
    </w:p>
    <w:p w14:paraId="5809DD19" w14:textId="77777777" w:rsidR="004D7374" w:rsidRPr="00E01E1F" w:rsidRDefault="004D7374" w:rsidP="00830EF8">
      <w:pPr>
        <w:ind w:firstLine="426"/>
        <w:contextualSpacing/>
        <w:rPr>
          <w:i/>
        </w:rPr>
      </w:pPr>
      <w:r w:rsidRPr="00AE2EE4">
        <w:rPr>
          <w:b/>
        </w:rPr>
        <w:t>Комментарии:</w:t>
      </w:r>
      <w:r w:rsidR="001565DE">
        <w:rPr>
          <w:b/>
        </w:rPr>
        <w:t xml:space="preserve"> </w:t>
      </w:r>
      <w:r w:rsidR="00B93BEE" w:rsidRPr="003147A2">
        <w:rPr>
          <w:i/>
        </w:rPr>
        <w:t xml:space="preserve">при </w:t>
      </w:r>
      <w:r w:rsidR="00E01E1F" w:rsidRPr="003147A2">
        <w:rPr>
          <w:i/>
        </w:rPr>
        <w:t>сборе анамнеза необходимо</w:t>
      </w:r>
      <w:r w:rsidR="001565DE">
        <w:rPr>
          <w:i/>
        </w:rPr>
        <w:t xml:space="preserve"> </w:t>
      </w:r>
      <w:r w:rsidR="009B309C">
        <w:rPr>
          <w:i/>
        </w:rPr>
        <w:t xml:space="preserve">уточнить </w:t>
      </w:r>
      <w:r w:rsidR="00CB2DF7">
        <w:rPr>
          <w:i/>
        </w:rPr>
        <w:t xml:space="preserve">наличие </w:t>
      </w:r>
      <w:r w:rsidR="001565DE">
        <w:rPr>
          <w:i/>
        </w:rPr>
        <w:t xml:space="preserve">в </w:t>
      </w:r>
      <w:r w:rsidR="001565DE" w:rsidRPr="003147A2">
        <w:rPr>
          <w:i/>
        </w:rPr>
        <w:t>семейном</w:t>
      </w:r>
      <w:r w:rsidR="009B309C">
        <w:rPr>
          <w:i/>
        </w:rPr>
        <w:t xml:space="preserve"> анамнезе заболеваний органов кроветворения и крови.</w:t>
      </w:r>
      <w:r w:rsidR="001565DE">
        <w:rPr>
          <w:i/>
        </w:rPr>
        <w:t xml:space="preserve"> </w:t>
      </w:r>
      <w:r w:rsidRPr="00E01E1F">
        <w:rPr>
          <w:i/>
        </w:rPr>
        <w:t>Жалобы могут отсутствовать, и тогда признаки заболевания выявляются при случайном о</w:t>
      </w:r>
      <w:r w:rsidR="00AE2EE4" w:rsidRPr="00E01E1F">
        <w:rPr>
          <w:i/>
        </w:rPr>
        <w:t xml:space="preserve">бследовании. Может </w:t>
      </w:r>
      <w:r w:rsidR="00C20509">
        <w:rPr>
          <w:i/>
        </w:rPr>
        <w:t>быть выявлено</w:t>
      </w:r>
      <w:r w:rsidR="00AE2EE4" w:rsidRPr="00E01E1F">
        <w:rPr>
          <w:i/>
        </w:rPr>
        <w:t xml:space="preserve"> </w:t>
      </w:r>
      <w:r w:rsidRPr="00E01E1F">
        <w:rPr>
          <w:i/>
        </w:rPr>
        <w:t>бессимптомное увеличение лимф</w:t>
      </w:r>
      <w:r w:rsidR="00C20509">
        <w:rPr>
          <w:i/>
        </w:rPr>
        <w:t xml:space="preserve">атических </w:t>
      </w:r>
      <w:r w:rsidR="00AE2EE4" w:rsidRPr="00141F87">
        <w:rPr>
          <w:i/>
        </w:rPr>
        <w:t xml:space="preserve">узлов любой локализации. </w:t>
      </w:r>
      <w:r w:rsidRPr="00155FD9">
        <w:rPr>
          <w:i/>
        </w:rPr>
        <w:t>Могут присутст</w:t>
      </w:r>
      <w:r w:rsidR="00C20509">
        <w:rPr>
          <w:i/>
        </w:rPr>
        <w:softHyphen/>
      </w:r>
      <w:r w:rsidRPr="00155FD9">
        <w:rPr>
          <w:i/>
        </w:rPr>
        <w:t xml:space="preserve">вовать любые жалобы, связанные с </w:t>
      </w:r>
      <w:r w:rsidRPr="00CD4CDC">
        <w:rPr>
          <w:i/>
        </w:rPr>
        <w:t>вовлечением органов и тканей.</w:t>
      </w:r>
      <w:r w:rsidR="00E01E1F" w:rsidRPr="00CD4CDC">
        <w:rPr>
          <w:i/>
        </w:rPr>
        <w:t xml:space="preserve"> При сборе жалоб о</w:t>
      </w:r>
      <w:r w:rsidR="00E01E1F" w:rsidRPr="003147A2">
        <w:rPr>
          <w:i/>
        </w:rPr>
        <w:t>соб</w:t>
      </w:r>
      <w:r w:rsidR="00C20509">
        <w:rPr>
          <w:i/>
        </w:rPr>
        <w:t>ое внимание необходимо</w:t>
      </w:r>
      <w:r w:rsidR="00E01E1F" w:rsidRPr="003147A2">
        <w:rPr>
          <w:i/>
        </w:rPr>
        <w:t xml:space="preserve"> </w:t>
      </w:r>
      <w:r w:rsidR="00C20509">
        <w:rPr>
          <w:i/>
        </w:rPr>
        <w:t xml:space="preserve">уделить выявлению </w:t>
      </w:r>
      <w:r w:rsidR="00E01E1F" w:rsidRPr="003147A2">
        <w:rPr>
          <w:i/>
        </w:rPr>
        <w:t>неспецифически</w:t>
      </w:r>
      <w:r w:rsidR="00C20509">
        <w:rPr>
          <w:i/>
        </w:rPr>
        <w:t>х</w:t>
      </w:r>
      <w:r w:rsidR="00E01E1F" w:rsidRPr="003147A2">
        <w:rPr>
          <w:i/>
        </w:rPr>
        <w:t xml:space="preserve"> симптом</w:t>
      </w:r>
      <w:r w:rsidR="00C20509">
        <w:rPr>
          <w:i/>
        </w:rPr>
        <w:t>ов</w:t>
      </w:r>
      <w:r w:rsidR="00E01E1F" w:rsidRPr="003147A2">
        <w:rPr>
          <w:i/>
        </w:rPr>
        <w:t xml:space="preserve"> интоксикации (</w:t>
      </w:r>
      <w:r w:rsidR="00C20509">
        <w:rPr>
          <w:i/>
        </w:rPr>
        <w:t>температуры тела</w:t>
      </w:r>
      <w:r w:rsidR="00E01E1F" w:rsidRPr="003147A2">
        <w:rPr>
          <w:i/>
        </w:rPr>
        <w:t xml:space="preserve"> </w:t>
      </w:r>
      <w:r w:rsidR="00C20509" w:rsidRPr="00397360">
        <w:rPr>
          <w:i/>
        </w:rPr>
        <w:t>&gt;</w:t>
      </w:r>
      <w:r w:rsidR="00E01E1F" w:rsidRPr="00CB1E71">
        <w:rPr>
          <w:i/>
        </w:rPr>
        <w:t xml:space="preserve">38°С </w:t>
      </w:r>
      <w:r w:rsidR="007F43CF">
        <w:rPr>
          <w:i/>
        </w:rPr>
        <w:t xml:space="preserve">более </w:t>
      </w:r>
      <w:r w:rsidR="00F07AA9">
        <w:rPr>
          <w:i/>
        </w:rPr>
        <w:t>2</w:t>
      </w:r>
      <w:r w:rsidR="007F43CF">
        <w:rPr>
          <w:i/>
        </w:rPr>
        <w:t xml:space="preserve"> </w:t>
      </w:r>
      <w:r w:rsidR="00F07AA9">
        <w:rPr>
          <w:i/>
        </w:rPr>
        <w:t>нед.</w:t>
      </w:r>
      <w:r w:rsidR="009B27D2">
        <w:rPr>
          <w:i/>
        </w:rPr>
        <w:t xml:space="preserve"> подряд</w:t>
      </w:r>
      <w:r w:rsidR="00E01E1F" w:rsidRPr="003147A2">
        <w:rPr>
          <w:i/>
        </w:rPr>
        <w:t xml:space="preserve"> без признаков воспаления</w:t>
      </w:r>
      <w:r w:rsidR="00C20509">
        <w:rPr>
          <w:i/>
        </w:rPr>
        <w:t>,</w:t>
      </w:r>
      <w:r w:rsidR="00E01E1F" w:rsidRPr="003147A2">
        <w:rPr>
          <w:i/>
        </w:rPr>
        <w:t xml:space="preserve"> ночны</w:t>
      </w:r>
      <w:r w:rsidR="00C20509">
        <w:rPr>
          <w:i/>
        </w:rPr>
        <w:t>х</w:t>
      </w:r>
      <w:r w:rsidR="00E01E1F" w:rsidRPr="003147A2">
        <w:rPr>
          <w:i/>
        </w:rPr>
        <w:t xml:space="preserve"> профузны</w:t>
      </w:r>
      <w:r w:rsidR="00C20509">
        <w:rPr>
          <w:i/>
        </w:rPr>
        <w:t>х потов</w:t>
      </w:r>
      <w:r w:rsidR="00E01E1F" w:rsidRPr="003147A2">
        <w:rPr>
          <w:i/>
        </w:rPr>
        <w:t>; похудани</w:t>
      </w:r>
      <w:r w:rsidR="00C20509">
        <w:rPr>
          <w:i/>
        </w:rPr>
        <w:t>я</w:t>
      </w:r>
      <w:r w:rsidR="00E01E1F" w:rsidRPr="003147A2">
        <w:rPr>
          <w:i/>
        </w:rPr>
        <w:t xml:space="preserve"> на 10</w:t>
      </w:r>
      <w:r w:rsidR="00DD3D1E">
        <w:rPr>
          <w:i/>
        </w:rPr>
        <w:t xml:space="preserve"> %</w:t>
      </w:r>
      <w:r w:rsidR="00F07AA9">
        <w:rPr>
          <w:i/>
        </w:rPr>
        <w:t xml:space="preserve"> массы тела за последние 6 мес.</w:t>
      </w:r>
      <w:r w:rsidR="00E01E1F" w:rsidRPr="00C20509">
        <w:rPr>
          <w:i/>
        </w:rPr>
        <w:t>)</w:t>
      </w:r>
      <w:r w:rsidR="00931A0F">
        <w:rPr>
          <w:i/>
        </w:rPr>
        <w:t>.</w:t>
      </w:r>
    </w:p>
    <w:p w14:paraId="0D73FF4C" w14:textId="77777777" w:rsidR="004D7374" w:rsidRPr="004E3A70" w:rsidRDefault="004D7374" w:rsidP="005D3BBD">
      <w:pPr>
        <w:pStyle w:val="2"/>
      </w:pPr>
      <w:bookmarkStart w:id="30" w:name="_Toc23601721"/>
      <w:bookmarkStart w:id="31" w:name="_Toc65068802"/>
      <w:r w:rsidRPr="004E3A70">
        <w:t>2.2. Физикальное обследование</w:t>
      </w:r>
      <w:bookmarkEnd w:id="30"/>
      <w:bookmarkEnd w:id="31"/>
    </w:p>
    <w:p w14:paraId="3615B9B6" w14:textId="77777777" w:rsidR="004D7374" w:rsidRDefault="00C20509" w:rsidP="00D61785">
      <w:pPr>
        <w:pStyle w:val="a4"/>
        <w:numPr>
          <w:ilvl w:val="0"/>
          <w:numId w:val="50"/>
        </w:numPr>
        <w:spacing w:before="0"/>
      </w:pPr>
      <w:r>
        <w:t>В</w:t>
      </w:r>
      <w:r w:rsidR="004D7374">
        <w:t>се</w:t>
      </w:r>
      <w:r>
        <w:t>м</w:t>
      </w:r>
      <w:r w:rsidR="004D7374">
        <w:t xml:space="preserve"> пациент</w:t>
      </w:r>
      <w:r>
        <w:t>ам</w:t>
      </w:r>
      <w:r w:rsidR="004D7374">
        <w:t xml:space="preserve"> с подозрением на ХЛЛ/ЛМЛ или выявленным ХЛЛ/ЛМЛ при первичном или повторном приеме, при контрольных обследованиях и при подозрении на рецидив</w:t>
      </w:r>
      <w:r w:rsidR="000772E3">
        <w:t xml:space="preserve">/прогрессирование </w:t>
      </w:r>
      <w:r w:rsidR="004D7374">
        <w:t xml:space="preserve">заболевания </w:t>
      </w:r>
      <w:r w:rsidR="004D7374" w:rsidRPr="00C20509">
        <w:rPr>
          <w:b/>
        </w:rPr>
        <w:t>рекомендуется</w:t>
      </w:r>
      <w:r w:rsidR="004D7374">
        <w:t xml:space="preserve"> </w:t>
      </w:r>
      <w:bookmarkStart w:id="32" w:name="_Hlk532293045"/>
      <w:r w:rsidR="0089510D">
        <w:t>выполнение</w:t>
      </w:r>
      <w:r w:rsidR="00E14FC2">
        <w:t xml:space="preserve"> визуального </w:t>
      </w:r>
      <w:r>
        <w:t xml:space="preserve">терапевтического </w:t>
      </w:r>
      <w:r w:rsidR="00E14FC2">
        <w:t xml:space="preserve">осмотра, </w:t>
      </w:r>
      <w:r>
        <w:t xml:space="preserve">терапевтической </w:t>
      </w:r>
      <w:r w:rsidR="00E14FC2">
        <w:t xml:space="preserve">пальпации и </w:t>
      </w:r>
      <w:bookmarkEnd w:id="32"/>
      <w:r>
        <w:t xml:space="preserve">терапевтической </w:t>
      </w:r>
      <w:r w:rsidR="000772E3">
        <w:t xml:space="preserve">аускультации </w:t>
      </w:r>
      <w:r w:rsidR="000772E3" w:rsidRPr="00934BAD">
        <w:t>для уточнения распространенности заболевания</w:t>
      </w:r>
      <w:r w:rsidR="004D7374" w:rsidRPr="00934BAD">
        <w:t xml:space="preserve"> </w:t>
      </w:r>
      <w:r w:rsidR="000772E3" w:rsidRPr="00934BAD">
        <w:t>и оценки состояния пациента</w:t>
      </w:r>
      <w:r>
        <w:t>, в том числе отдельных</w:t>
      </w:r>
      <w:r w:rsidR="000772E3" w:rsidRPr="00934BAD">
        <w:t xml:space="preserve"> орган</w:t>
      </w:r>
      <w:r>
        <w:t>ов</w:t>
      </w:r>
      <w:r w:rsidR="000772E3" w:rsidRPr="00934BAD">
        <w:t xml:space="preserve"> и систем</w:t>
      </w:r>
      <w:r w:rsidR="00B93BEE">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0772E3" w:rsidRPr="00934BAD">
        <w:t>.</w:t>
      </w:r>
      <w:r w:rsidR="000772E3" w:rsidRPr="000772E3">
        <w:t xml:space="preserve"> </w:t>
      </w:r>
    </w:p>
    <w:p w14:paraId="7A82504F" w14:textId="77777777" w:rsidR="005C7FBA" w:rsidRPr="008C576B" w:rsidRDefault="005C7FBA" w:rsidP="004E3A70">
      <w:pPr>
        <w:ind w:left="426"/>
        <w:contextualSpacing/>
        <w:rPr>
          <w:b/>
          <w:spacing w:val="-4"/>
        </w:rPr>
      </w:pPr>
      <w:r w:rsidRPr="008C576B">
        <w:rPr>
          <w:b/>
          <w:spacing w:val="-4"/>
        </w:rPr>
        <w:t xml:space="preserve">Уровень убедительности рекомендаций </w:t>
      </w:r>
      <w:r w:rsidR="00C20509" w:rsidRPr="008C576B">
        <w:rPr>
          <w:b/>
          <w:spacing w:val="-4"/>
        </w:rPr>
        <w:t xml:space="preserve">– </w:t>
      </w:r>
      <w:r w:rsidRPr="008C576B">
        <w:rPr>
          <w:b/>
          <w:spacing w:val="-4"/>
        </w:rPr>
        <w:t>С (уровень достоверности доказательств</w:t>
      </w:r>
      <w:r w:rsidR="00C20509" w:rsidRPr="008C576B">
        <w:rPr>
          <w:b/>
          <w:spacing w:val="-4"/>
        </w:rPr>
        <w:t xml:space="preserve"> –</w:t>
      </w:r>
      <w:r w:rsidRPr="008C576B">
        <w:rPr>
          <w:b/>
          <w:spacing w:val="-4"/>
        </w:rPr>
        <w:t xml:space="preserve"> 5).</w:t>
      </w:r>
    </w:p>
    <w:p w14:paraId="744FD4B1" w14:textId="77777777" w:rsidR="00E14FC2" w:rsidRPr="003147A2" w:rsidRDefault="00E14FC2" w:rsidP="005D3BBD">
      <w:pPr>
        <w:ind w:firstLine="709"/>
        <w:contextualSpacing/>
        <w:rPr>
          <w:i/>
        </w:rPr>
      </w:pPr>
      <w:r>
        <w:rPr>
          <w:b/>
        </w:rPr>
        <w:lastRenderedPageBreak/>
        <w:t xml:space="preserve">Комментарий: </w:t>
      </w:r>
      <w:bookmarkStart w:id="33" w:name="_Hlk532293146"/>
      <w:r w:rsidR="00B93BEE">
        <w:rPr>
          <w:i/>
        </w:rPr>
        <w:t xml:space="preserve">при </w:t>
      </w:r>
      <w:r>
        <w:rPr>
          <w:i/>
        </w:rPr>
        <w:t>осмотре необходимо оценить общее состояние пациента по ш</w:t>
      </w:r>
      <w:r w:rsidR="00141F87">
        <w:rPr>
          <w:i/>
        </w:rPr>
        <w:t xml:space="preserve">кале </w:t>
      </w:r>
      <w:r w:rsidR="00141F87">
        <w:rPr>
          <w:i/>
          <w:lang w:val="en-US"/>
        </w:rPr>
        <w:t>ECOG</w:t>
      </w:r>
      <w:r w:rsidR="00141F87">
        <w:rPr>
          <w:i/>
        </w:rPr>
        <w:t xml:space="preserve"> (см. приложение Г</w:t>
      </w:r>
      <w:r w:rsidR="00145A85">
        <w:rPr>
          <w:i/>
        </w:rPr>
        <w:t>1</w:t>
      </w:r>
      <w:r w:rsidR="00141F87">
        <w:rPr>
          <w:i/>
        </w:rPr>
        <w:t>)</w:t>
      </w:r>
      <w:r w:rsidR="00141F87" w:rsidRPr="003147A2">
        <w:rPr>
          <w:i/>
        </w:rPr>
        <w:t xml:space="preserve">, </w:t>
      </w:r>
      <w:r w:rsidR="00141F87">
        <w:rPr>
          <w:i/>
        </w:rPr>
        <w:t>а также осмотреть миндалины и полость рта; пальпация должна включать в себя пальпацию всех доступных групп периферических лимфатических узлов, печени, селезенки.</w:t>
      </w:r>
      <w:bookmarkEnd w:id="33"/>
    </w:p>
    <w:p w14:paraId="359F7D04" w14:textId="77777777" w:rsidR="004D7374" w:rsidRPr="00F748FB" w:rsidRDefault="00BE6A1C" w:rsidP="005D3BBD">
      <w:pPr>
        <w:pStyle w:val="2"/>
      </w:pPr>
      <w:bookmarkStart w:id="34" w:name="_Toc23601722"/>
      <w:bookmarkStart w:id="35" w:name="_Toc65068803"/>
      <w:r w:rsidRPr="004E3A70">
        <w:t xml:space="preserve">2.3. </w:t>
      </w:r>
      <w:r w:rsidR="004D7374" w:rsidRPr="00F748FB">
        <w:t>Лабораторн</w:t>
      </w:r>
      <w:r w:rsidR="00CF20D8" w:rsidRPr="00F748FB">
        <w:t>ые диагностические исследования</w:t>
      </w:r>
      <w:bookmarkEnd w:id="34"/>
      <w:bookmarkEnd w:id="35"/>
    </w:p>
    <w:p w14:paraId="428BDFE4" w14:textId="77777777" w:rsidR="00132B9F" w:rsidRPr="00132B9F" w:rsidRDefault="00132B9F" w:rsidP="005D3BBD">
      <w:pPr>
        <w:pStyle w:val="3"/>
        <w:spacing w:before="0"/>
      </w:pPr>
      <w:r>
        <w:t>2.3.1. Лабораторные исследования для оценки общего состояния пациента</w:t>
      </w:r>
    </w:p>
    <w:p w14:paraId="0B18F4B7" w14:textId="17FF1CF3" w:rsidR="00C3384D" w:rsidRDefault="00132B9F" w:rsidP="00D61785">
      <w:pPr>
        <w:pStyle w:val="a4"/>
        <w:numPr>
          <w:ilvl w:val="0"/>
          <w:numId w:val="50"/>
        </w:numPr>
        <w:spacing w:before="0"/>
      </w:pPr>
      <w:r>
        <w:t xml:space="preserve">Всем </w:t>
      </w:r>
      <w:r w:rsidRPr="00504D96">
        <w:t>пациентам</w:t>
      </w:r>
      <w:r>
        <w:t xml:space="preserve"> с подозрением на ХЛЛ/ЛМЛ или выявленным ХЛЛ/ЛМЛ при первичном или повторном приеме,</w:t>
      </w:r>
      <w:r w:rsidR="00AA7F1F">
        <w:t xml:space="preserve"> перед проведением противоопухолевой терапии, в процессе лечения,</w:t>
      </w:r>
      <w:r>
        <w:t xml:space="preserve"> пр</w:t>
      </w:r>
      <w:r w:rsidR="00F07AA9">
        <w:t xml:space="preserve">и оценке ремиссии </w:t>
      </w:r>
      <w:r>
        <w:t>после завершения терапии, при контрольных обследованиях</w:t>
      </w:r>
      <w:r w:rsidR="00F748FB" w:rsidRPr="005D3BBD">
        <w:t xml:space="preserve"> </w:t>
      </w:r>
      <w:r w:rsidR="00F748FB">
        <w:t>в процессе динамического наблюдения</w:t>
      </w:r>
      <w:r>
        <w:t xml:space="preserve"> и при подозрении на рецидив заболевания</w:t>
      </w:r>
      <w:r w:rsidR="00AA7F1F">
        <w:t xml:space="preserve"> либо на рефрактерное течение на любом этапе заболевания </w:t>
      </w:r>
      <w:r w:rsidRPr="0099679A">
        <w:rPr>
          <w:b/>
        </w:rPr>
        <w:t>рекомендуется</w:t>
      </w:r>
      <w:r>
        <w:rPr>
          <w:b/>
        </w:rPr>
        <w:t xml:space="preserve"> </w:t>
      </w:r>
      <w:r w:rsidR="00C3384D">
        <w:t xml:space="preserve">выполнить развернутый </w:t>
      </w:r>
      <w:r w:rsidR="006C2557">
        <w:t>общий (</w:t>
      </w:r>
      <w:r w:rsidR="00C3384D">
        <w:t>клинический</w:t>
      </w:r>
      <w:r w:rsidR="006C2557">
        <w:t>)</w:t>
      </w:r>
      <w:r w:rsidR="00C3384D">
        <w:t xml:space="preserve"> анализ крови с определением</w:t>
      </w:r>
      <w:r w:rsidR="008C576B">
        <w:t xml:space="preserve"> уровня</w:t>
      </w:r>
      <w:r w:rsidR="00C3384D">
        <w:t xml:space="preserve"> гемоглобина, </w:t>
      </w:r>
      <w:r w:rsidR="00D016A7">
        <w:t xml:space="preserve">количества </w:t>
      </w:r>
      <w:r w:rsidR="00C3384D">
        <w:t xml:space="preserve">эритроцитов, тромбоцитов, лейкоцитов, подсчетом лейкоцитарной формулы и количества ретикулоцитов для верификации диагноза, уточнения активности заболевания, </w:t>
      </w:r>
      <w:r w:rsidR="00D016A7">
        <w:t xml:space="preserve">определения </w:t>
      </w:r>
      <w:r w:rsidR="00C3384D">
        <w:t>возможности проведения терапии и/или (в сл</w:t>
      </w:r>
      <w:r w:rsidR="00D016A7">
        <w:t>учае ранее проведенной терапии) </w:t>
      </w:r>
      <w:r w:rsidR="00C3384D">
        <w:t xml:space="preserve">– развития нежелательных явлений лечения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C3384D">
        <w:t>.</w:t>
      </w:r>
    </w:p>
    <w:p w14:paraId="5770BD83" w14:textId="77777777" w:rsidR="00C3384D" w:rsidRPr="00D016A7" w:rsidRDefault="00C3384D" w:rsidP="005D3BBD">
      <w:pPr>
        <w:ind w:left="426"/>
        <w:contextualSpacing/>
        <w:rPr>
          <w:b/>
          <w:spacing w:val="-4"/>
        </w:rPr>
      </w:pPr>
      <w:r w:rsidRPr="00D016A7">
        <w:rPr>
          <w:b/>
          <w:spacing w:val="-4"/>
        </w:rPr>
        <w:t xml:space="preserve">Уровень убедительности </w:t>
      </w:r>
      <w:r w:rsidR="00C20509" w:rsidRPr="00D016A7">
        <w:rPr>
          <w:b/>
          <w:spacing w:val="-4"/>
        </w:rPr>
        <w:t xml:space="preserve">рекомендаций – </w:t>
      </w:r>
      <w:r w:rsidRPr="00D016A7">
        <w:rPr>
          <w:b/>
          <w:spacing w:val="-4"/>
        </w:rPr>
        <w:t xml:space="preserve">С (уровень достоверности доказательств </w:t>
      </w:r>
      <w:r w:rsidR="00D016A7" w:rsidRPr="00D016A7">
        <w:rPr>
          <w:b/>
          <w:spacing w:val="-4"/>
        </w:rPr>
        <w:t xml:space="preserve">– </w:t>
      </w:r>
      <w:r w:rsidRPr="00D016A7">
        <w:rPr>
          <w:b/>
          <w:spacing w:val="-4"/>
        </w:rPr>
        <w:t>5).</w:t>
      </w:r>
    </w:p>
    <w:p w14:paraId="1B232ACD" w14:textId="77777777" w:rsidR="00C3384D" w:rsidRDefault="00C3384D" w:rsidP="005D3BBD">
      <w:pPr>
        <w:ind w:firstLine="426"/>
        <w:contextualSpacing/>
        <w:rPr>
          <w:i/>
        </w:rPr>
      </w:pPr>
      <w:r w:rsidRPr="0099679A">
        <w:rPr>
          <w:b/>
        </w:rPr>
        <w:t>Комментарии:</w:t>
      </w:r>
      <w:r>
        <w:t xml:space="preserve"> </w:t>
      </w:r>
      <w:r w:rsidR="00D016A7">
        <w:rPr>
          <w:i/>
        </w:rPr>
        <w:t>в</w:t>
      </w:r>
      <w:r w:rsidRPr="0099679A">
        <w:rPr>
          <w:i/>
        </w:rPr>
        <w:t xml:space="preserve"> окрашенных препаратах периферической крови клетки ХЛЛ имеют морфологию малых лимфоцитов с узким ободком цитоплазмы, плотным ядром, глыбчатым хроматином, без отчетливого ядрышка. Реже встречается морфология активированных лимфоцитов – с более широким ободком цитоплазмы синего цвета или краевой базофилией. Среди лимфоцитов около 5</w:t>
      </w:r>
      <w:r w:rsidR="00DD3D1E">
        <w:rPr>
          <w:i/>
        </w:rPr>
        <w:t xml:space="preserve"> %</w:t>
      </w:r>
      <w:r w:rsidRPr="0099679A">
        <w:rPr>
          <w:i/>
        </w:rPr>
        <w:t xml:space="preserve"> могут составлять атипичные клетки (с расщепленными, складчатыми ядрами), а также пролимфоциты – более крупные клетки с неравномерно распределенным хроматином в ядре, 1</w:t>
      </w:r>
      <w:r w:rsidR="00D016A7">
        <w:rPr>
          <w:i/>
        </w:rPr>
        <w:t>–</w:t>
      </w:r>
      <w:r w:rsidRPr="0099679A">
        <w:rPr>
          <w:i/>
        </w:rPr>
        <w:t>2 нуклеолами, что не противоречит диагнозу ХЛЛ. Для ХЛЛ характерно выявление в крови разрушенных клеток – теней Гумпрехта. При выявлении более 55</w:t>
      </w:r>
      <w:r w:rsidR="00DD3D1E">
        <w:rPr>
          <w:i/>
        </w:rPr>
        <w:t xml:space="preserve"> %</w:t>
      </w:r>
      <w:r w:rsidRPr="0099679A">
        <w:rPr>
          <w:i/>
        </w:rPr>
        <w:t xml:space="preserve"> пролимфоцитов в крови диагностируют пролимфоцитарный лейкоз, вариант которого (В- или Т-клеточный) устанавливается при иммунофенотипировании</w:t>
      </w:r>
      <w:r>
        <w:rPr>
          <w:i/>
        </w:rPr>
        <w:t xml:space="preserve"> </w:t>
      </w:r>
      <w:r w:rsidR="000B0AC3" w:rsidRPr="00B93BEE">
        <w:fldChar w:fldCharType="begin" w:fldLock="1"/>
      </w:r>
      <w:r w:rsidR="00256713">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rsidRPr="00B93BEE">
        <w:fldChar w:fldCharType="separate"/>
      </w:r>
      <w:r w:rsidRPr="00C3384D">
        <w:rPr>
          <w:noProof/>
        </w:rPr>
        <w:t>[16]</w:t>
      </w:r>
      <w:r w:rsidR="000B0AC3" w:rsidRPr="00B93BEE">
        <w:fldChar w:fldCharType="end"/>
      </w:r>
      <w:r w:rsidRPr="0099679A">
        <w:rPr>
          <w:i/>
        </w:rPr>
        <w:t>.</w:t>
      </w:r>
    </w:p>
    <w:p w14:paraId="26FB5943" w14:textId="7F9A8AB9" w:rsidR="004E3A70" w:rsidRPr="00256713" w:rsidRDefault="00132B9F" w:rsidP="00D61785">
      <w:pPr>
        <w:pStyle w:val="a4"/>
        <w:numPr>
          <w:ilvl w:val="0"/>
          <w:numId w:val="50"/>
        </w:numPr>
        <w:spacing w:before="0"/>
      </w:pPr>
      <w:r w:rsidRPr="00504D96">
        <w:t>Всем</w:t>
      </w:r>
      <w:r>
        <w:t xml:space="preserve"> пациентам с ХЛЛ/ЛМЛ </w:t>
      </w:r>
      <w:r w:rsidR="009C21AC" w:rsidRPr="005D3BBD">
        <w:t>при первичной диагностике или диагностике рецидива заболевания, при контрольных обследованиях в процессе динамического наблюдения, перед проведением противоопухолевой терапии, в процессе лечения, при оценке эффективности терапии, при рефрактерном течении на любом этапе заболевания</w:t>
      </w:r>
      <w:r w:rsidR="009209D5" w:rsidRPr="005D3BBD">
        <w:t xml:space="preserve"> </w:t>
      </w:r>
      <w:r w:rsidR="009C21AC">
        <w:t xml:space="preserve"> </w:t>
      </w:r>
      <w:r>
        <w:t xml:space="preserve"> </w:t>
      </w:r>
      <w:r w:rsidR="00256713">
        <w:t xml:space="preserve">для </w:t>
      </w:r>
      <w:r w:rsidR="00D016A7">
        <w:lastRenderedPageBreak/>
        <w:t>оценки</w:t>
      </w:r>
      <w:r w:rsidR="00256713">
        <w:t xml:space="preserve"> общего состояния, определения необходимости проведения </w:t>
      </w:r>
      <w:r w:rsidR="004E6BF1">
        <w:t>сопутствующей</w:t>
      </w:r>
      <w:r w:rsidR="00256713">
        <w:t xml:space="preserve"> или сопроводительной терапии или редукции доз препаратов </w:t>
      </w:r>
      <w:r w:rsidR="00D016A7" w:rsidRPr="00830EF8">
        <w:rPr>
          <w:b/>
        </w:rPr>
        <w:t>рекомендуется</w:t>
      </w:r>
      <w:r w:rsidR="00D016A7" w:rsidRPr="005D3BBD">
        <w:t xml:space="preserve"> </w:t>
      </w:r>
      <w:r w:rsidR="00256713">
        <w:t>выполнение следующих лабораторных исследований:</w:t>
      </w:r>
    </w:p>
    <w:p w14:paraId="49179A0F" w14:textId="2969754C" w:rsidR="004E3A70" w:rsidRDefault="00D016A7" w:rsidP="00D61785">
      <w:pPr>
        <w:pStyle w:val="a4"/>
        <w:numPr>
          <w:ilvl w:val="1"/>
          <w:numId w:val="50"/>
        </w:numPr>
        <w:spacing w:before="0"/>
      </w:pPr>
      <w:r>
        <w:t xml:space="preserve">биохимического общетерапевтического </w:t>
      </w:r>
      <w:r w:rsidR="00256713">
        <w:t>анализа крови (</w:t>
      </w:r>
      <w:r>
        <w:t>определ</w:t>
      </w:r>
      <w:r w:rsidR="00C079D2">
        <w:t>яют</w:t>
      </w:r>
      <w:r>
        <w:t xml:space="preserve"> уров</w:t>
      </w:r>
      <w:r w:rsidR="00C079D2">
        <w:t>ень</w:t>
      </w:r>
      <w:r>
        <w:t xml:space="preserve"> </w:t>
      </w:r>
      <w:r w:rsidR="00C079D2">
        <w:t>лактатдегидрогеназы</w:t>
      </w:r>
      <w:r w:rsidR="00256713" w:rsidRPr="00256713">
        <w:t>, мочев</w:t>
      </w:r>
      <w:r w:rsidR="00C079D2">
        <w:t>ой</w:t>
      </w:r>
      <w:r w:rsidR="00256713" w:rsidRPr="00256713">
        <w:t xml:space="preserve"> кислот</w:t>
      </w:r>
      <w:r w:rsidR="00C079D2">
        <w:t>ы</w:t>
      </w:r>
      <w:r w:rsidR="00256713" w:rsidRPr="00256713">
        <w:t>, мочевин</w:t>
      </w:r>
      <w:r w:rsidR="00C079D2">
        <w:t>ы</w:t>
      </w:r>
      <w:r w:rsidR="00256713" w:rsidRPr="00256713">
        <w:t>, креатинин</w:t>
      </w:r>
      <w:r w:rsidR="00C079D2">
        <w:t>а</w:t>
      </w:r>
      <w:r w:rsidR="00256713" w:rsidRPr="00256713">
        <w:t>, общ</w:t>
      </w:r>
      <w:r w:rsidR="00C079D2">
        <w:t>его бел</w:t>
      </w:r>
      <w:r w:rsidR="00256713" w:rsidRPr="00256713">
        <w:t>к</w:t>
      </w:r>
      <w:r w:rsidR="00C079D2">
        <w:t>а</w:t>
      </w:r>
      <w:r w:rsidR="00256713" w:rsidRPr="00256713">
        <w:t>, альбумин</w:t>
      </w:r>
      <w:r w:rsidR="00C079D2">
        <w:t>а</w:t>
      </w:r>
      <w:r w:rsidR="00256713" w:rsidRPr="00256713">
        <w:t>, билирубин</w:t>
      </w:r>
      <w:r w:rsidR="00C079D2">
        <w:t>а</w:t>
      </w:r>
      <w:r w:rsidR="00256713" w:rsidRPr="00256713">
        <w:t xml:space="preserve">, </w:t>
      </w:r>
      <w:r w:rsidR="007629D4" w:rsidRPr="007629D4">
        <w:t>а</w:t>
      </w:r>
      <w:r w:rsidR="007629D4" w:rsidRPr="00475D61">
        <w:t>спартатаминотрансферазы</w:t>
      </w:r>
      <w:r w:rsidR="007629D4" w:rsidRPr="00256713">
        <w:t xml:space="preserve"> </w:t>
      </w:r>
      <w:r w:rsidR="007629D4">
        <w:t>(</w:t>
      </w:r>
      <w:r w:rsidR="00256713" w:rsidRPr="00256713">
        <w:t>АСТ</w:t>
      </w:r>
      <w:r w:rsidR="007629D4">
        <w:t>)</w:t>
      </w:r>
      <w:r w:rsidR="00256713" w:rsidRPr="00256713">
        <w:t xml:space="preserve">, </w:t>
      </w:r>
      <w:r w:rsidR="007629D4" w:rsidRPr="007629D4">
        <w:t>а</w:t>
      </w:r>
      <w:r w:rsidR="007629D4" w:rsidRPr="00475D61">
        <w:t>ланинаминотрансферазы</w:t>
      </w:r>
      <w:r w:rsidR="007629D4" w:rsidRPr="00256713">
        <w:t xml:space="preserve"> </w:t>
      </w:r>
      <w:r w:rsidR="007629D4">
        <w:t>(</w:t>
      </w:r>
      <w:r w:rsidR="00256713" w:rsidRPr="00256713">
        <w:t>АЛТ</w:t>
      </w:r>
      <w:r w:rsidR="007629D4">
        <w:t>)</w:t>
      </w:r>
      <w:r w:rsidR="00256713" w:rsidRPr="00256713">
        <w:t>, щелочн</w:t>
      </w:r>
      <w:r w:rsidR="00C079D2">
        <w:t>ой</w:t>
      </w:r>
      <w:r w:rsidR="00256713" w:rsidRPr="00256713">
        <w:t xml:space="preserve"> фосфатаз</w:t>
      </w:r>
      <w:r w:rsidR="00C079D2">
        <w:t>ы</w:t>
      </w:r>
      <w:r w:rsidR="00256713" w:rsidRPr="00256713">
        <w:t>, кали</w:t>
      </w:r>
      <w:r w:rsidR="00C079D2">
        <w:t>я</w:t>
      </w:r>
      <w:r w:rsidR="00256713" w:rsidRPr="00256713">
        <w:t>, натри</w:t>
      </w:r>
      <w:r w:rsidR="00C079D2">
        <w:t>я</w:t>
      </w:r>
      <w:r w:rsidR="00256713" w:rsidRPr="00256713">
        <w:t>, хлор</w:t>
      </w:r>
      <w:r w:rsidR="00C079D2">
        <w:t>а</w:t>
      </w:r>
      <w:r w:rsidR="00256713" w:rsidRPr="00256713">
        <w:t>, кальци</w:t>
      </w:r>
      <w:r w:rsidR="00C079D2">
        <w:t>я</w:t>
      </w:r>
      <w:r w:rsidR="00256713" w:rsidRPr="00256713">
        <w:t>, β2</w:t>
      </w:r>
      <w:r w:rsidR="00C079D2">
        <w:t>-</w:t>
      </w:r>
      <w:r w:rsidR="00256713" w:rsidRPr="00256713">
        <w:t>микроглобулин</w:t>
      </w:r>
      <w:r w:rsidR="00C079D2">
        <w:t>а</w:t>
      </w:r>
      <w:r w:rsidR="00256713">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256713">
        <w:t>;</w:t>
      </w:r>
    </w:p>
    <w:p w14:paraId="68EDA553" w14:textId="44D09647" w:rsidR="004E3A70" w:rsidRDefault="00256713" w:rsidP="00D61785">
      <w:pPr>
        <w:pStyle w:val="a4"/>
        <w:numPr>
          <w:ilvl w:val="1"/>
          <w:numId w:val="50"/>
        </w:numPr>
        <w:spacing w:before="0"/>
      </w:pPr>
      <w:r>
        <w:t xml:space="preserve">коагулограммы </w:t>
      </w:r>
      <w:r w:rsidR="006C2557">
        <w:t xml:space="preserve">(ориентировочного исследования системы гемостаза) </w:t>
      </w:r>
      <w:r>
        <w:t>(</w:t>
      </w:r>
      <w:r w:rsidR="00C079D2">
        <w:t xml:space="preserve">определяют уровень </w:t>
      </w:r>
      <w:r w:rsidRPr="00256713">
        <w:t>протромбин</w:t>
      </w:r>
      <w:r w:rsidR="00C079D2">
        <w:t>а</w:t>
      </w:r>
      <w:r w:rsidRPr="00256713">
        <w:t xml:space="preserve">, </w:t>
      </w:r>
      <w:r w:rsidR="00C079D2" w:rsidRPr="00256713">
        <w:t>фибриноген</w:t>
      </w:r>
      <w:r w:rsidR="00C079D2">
        <w:t>а,</w:t>
      </w:r>
      <w:r w:rsidR="00C079D2" w:rsidRPr="00256713">
        <w:t xml:space="preserve"> антитромбин</w:t>
      </w:r>
      <w:r w:rsidR="00C079D2">
        <w:t>а</w:t>
      </w:r>
      <w:r w:rsidR="00C079D2" w:rsidRPr="00256713">
        <w:t xml:space="preserve"> III, плазминоген</w:t>
      </w:r>
      <w:r w:rsidR="00C079D2">
        <w:t>а</w:t>
      </w:r>
      <w:r w:rsidR="00C079D2" w:rsidRPr="00256713">
        <w:t>, D-димер</w:t>
      </w:r>
      <w:r w:rsidR="00C079D2">
        <w:t xml:space="preserve">а, </w:t>
      </w:r>
      <w:r w:rsidR="006864B8">
        <w:t>международное нормализованное отношение (</w:t>
      </w:r>
      <w:r w:rsidR="00C079D2">
        <w:t>МНО</w:t>
      </w:r>
      <w:r w:rsidR="006864B8">
        <w:t>)</w:t>
      </w:r>
      <w:r w:rsidR="00C079D2">
        <w:t xml:space="preserve">, </w:t>
      </w:r>
      <w:r w:rsidR="005D6AC4">
        <w:t xml:space="preserve">активированное частичное тромбопластиновое время </w:t>
      </w:r>
      <w:r w:rsidR="006864B8">
        <w:t>(</w:t>
      </w:r>
      <w:r w:rsidR="00C079D2">
        <w:t>АЧТВ</w:t>
      </w:r>
      <w:r w:rsidR="006864B8">
        <w:t>)</w:t>
      </w:r>
      <w:r w:rsidRPr="00256713">
        <w:t>, тромбиновое время</w:t>
      </w:r>
      <w:r>
        <w:t>)</w:t>
      </w:r>
      <w:r w:rsidR="00527D8A" w:rsidRPr="00527D8A">
        <w:t xml:space="preserve"> </w:t>
      </w:r>
      <w:r w:rsidR="00527D8A" w:rsidRPr="00B93BEE">
        <w:fldChar w:fldCharType="begin" w:fldLock="1"/>
      </w:r>
      <w:r w:rsidR="00527D8A">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527D8A" w:rsidRPr="00B93BEE">
        <w:fldChar w:fldCharType="separate"/>
      </w:r>
      <w:r w:rsidR="00527D8A" w:rsidRPr="00015814">
        <w:rPr>
          <w:noProof/>
        </w:rPr>
        <w:t>[12,16]</w:t>
      </w:r>
      <w:r w:rsidR="00527D8A" w:rsidRPr="00B93BEE">
        <w:fldChar w:fldCharType="end"/>
      </w:r>
      <w:r w:rsidR="00527D8A">
        <w:t>;</w:t>
      </w:r>
      <w:r w:rsidR="00C41A30">
        <w:t xml:space="preserve"> </w:t>
      </w:r>
    </w:p>
    <w:p w14:paraId="6B61952C" w14:textId="7CF72413" w:rsidR="004E3A70" w:rsidRDefault="00256713" w:rsidP="00D61785">
      <w:pPr>
        <w:pStyle w:val="a4"/>
        <w:numPr>
          <w:ilvl w:val="1"/>
          <w:numId w:val="50"/>
        </w:numPr>
        <w:spacing w:before="0"/>
      </w:pPr>
      <w:r>
        <w:t>прямого антиглобулинового теста (прямой пробы Кумбса) для уточнения наличия гемолитических осложнений ХЛЛ</w:t>
      </w:r>
      <w:r w:rsidRPr="00256713">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t>;</w:t>
      </w:r>
    </w:p>
    <w:p w14:paraId="33D4D0DE" w14:textId="77777777" w:rsidR="00256713" w:rsidRDefault="00256713" w:rsidP="00D61785">
      <w:pPr>
        <w:pStyle w:val="a4"/>
        <w:numPr>
          <w:ilvl w:val="1"/>
          <w:numId w:val="50"/>
        </w:numPr>
        <w:spacing w:before="0"/>
      </w:pPr>
      <w:r>
        <w:t>о</w:t>
      </w:r>
      <w:r w:rsidRPr="00B5142F">
        <w:t>бщ</w:t>
      </w:r>
      <w:r>
        <w:t>его</w:t>
      </w:r>
      <w:r w:rsidRPr="00B5142F">
        <w:t xml:space="preserve"> (клиническ</w:t>
      </w:r>
      <w:r>
        <w:t>ого</w:t>
      </w:r>
      <w:r w:rsidRPr="00B5142F">
        <w:t>) анализ</w:t>
      </w:r>
      <w:r>
        <w:t>а</w:t>
      </w:r>
      <w:r w:rsidRPr="00B5142F">
        <w:t xml:space="preserve"> мочи</w:t>
      </w:r>
      <w:r>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t>.</w:t>
      </w:r>
    </w:p>
    <w:p w14:paraId="065DADE4" w14:textId="77777777" w:rsidR="00256713" w:rsidRDefault="00256713" w:rsidP="005D3BBD">
      <w:pPr>
        <w:ind w:left="426"/>
        <w:contextualSpacing/>
        <w:rPr>
          <w:b/>
          <w:spacing w:val="-4"/>
        </w:rPr>
      </w:pPr>
      <w:r w:rsidRPr="00C079D2">
        <w:rPr>
          <w:b/>
          <w:spacing w:val="-4"/>
        </w:rPr>
        <w:t xml:space="preserve">Уровень убедительности </w:t>
      </w:r>
      <w:r w:rsidR="00C20509" w:rsidRPr="00C079D2">
        <w:rPr>
          <w:b/>
          <w:spacing w:val="-4"/>
        </w:rPr>
        <w:t xml:space="preserve">рекомендаций – </w:t>
      </w:r>
      <w:r w:rsidRPr="00C079D2">
        <w:rPr>
          <w:b/>
          <w:spacing w:val="-4"/>
        </w:rPr>
        <w:t xml:space="preserve">С (уровень достоверности </w:t>
      </w:r>
      <w:r w:rsidR="00C20509" w:rsidRPr="00C079D2">
        <w:rPr>
          <w:b/>
          <w:spacing w:val="-4"/>
        </w:rPr>
        <w:t xml:space="preserve">доказательств – </w:t>
      </w:r>
      <w:r w:rsidRPr="00C079D2">
        <w:rPr>
          <w:b/>
          <w:spacing w:val="-4"/>
        </w:rPr>
        <w:t>5).</w:t>
      </w:r>
    </w:p>
    <w:p w14:paraId="57AB101D" w14:textId="762B3CED" w:rsidR="00397894" w:rsidRPr="00E92E00" w:rsidRDefault="00A22366" w:rsidP="00D61785">
      <w:pPr>
        <w:pStyle w:val="a4"/>
        <w:numPr>
          <w:ilvl w:val="0"/>
          <w:numId w:val="50"/>
        </w:numPr>
        <w:spacing w:before="0"/>
      </w:pPr>
      <w:r w:rsidRPr="00E92E00">
        <w:t>Всем пациентам с ХЛЛ/ЛМЛ</w:t>
      </w:r>
      <w:r w:rsidR="00830EF8" w:rsidRPr="00E92E00">
        <w:t xml:space="preserve"> или при подозрении на ХЛЛ/ЛМЛ</w:t>
      </w:r>
      <w:r w:rsidRPr="00E92E00">
        <w:t xml:space="preserve"> </w:t>
      </w:r>
      <w:bookmarkStart w:id="36" w:name="OLE_LINK1"/>
      <w:bookmarkStart w:id="37" w:name="OLE_LINK2"/>
      <w:r w:rsidRPr="005D3BBD">
        <w:t xml:space="preserve">при наличии анемии </w:t>
      </w:r>
      <w:bookmarkEnd w:id="36"/>
      <w:bookmarkEnd w:id="37"/>
      <w:r w:rsidRPr="00E92E00">
        <w:rPr>
          <w:b/>
        </w:rPr>
        <w:t>рекомендуется</w:t>
      </w:r>
      <w:r w:rsidR="00830EF8" w:rsidRPr="00E92E00">
        <w:t xml:space="preserve"> с целью дифференциальной диагностики анемии выполение</w:t>
      </w:r>
      <w:r w:rsidR="00B04401">
        <w:t xml:space="preserve"> следующих лабораторных исследований</w:t>
      </w:r>
      <w:r w:rsidR="00830EF8" w:rsidRPr="00E92E00">
        <w:t xml:space="preserve"> </w:t>
      </w:r>
      <w:r w:rsidR="00830EF8" w:rsidRPr="00E92E00">
        <w:fldChar w:fldCharType="begin" w:fldLock="1"/>
      </w:r>
      <w:r w:rsidR="003F5F47">
        <w:instrText>ADDIN CSL_CITATION {"citationItems":[{"id":"ITEM-1","itemData":{"author":[{"dropping-particle":"","family":"Мещерякова","given":"Л.Н.","non-dropping-particle":"","parse-names":false,"suffix":""},{"dropping-particle":"","family":"Левина","given":"А.А.","non-dropping-particle":"","parse-names":false,"suffix":""},{"dropping-particle":"","family":"Цыбульская","given":"М.М.","non-dropping-particle":"","parse-names":false,"suffix":""},{"dropping-particle":"","family":"Соколова","given":"Т.В.","non-dropping-particle":"","parse-names":false,"suffix":""}],"container-title":"Онкогематология","id":"ITEM-1","issue":"2","issued":{"date-parts":[["2015"]]},"page":"46-50","title":"Лабораторные возможности дифференциальной диагностики анемий","type":"article-journal","volume":"10"},"uris":["http://www.mendeley.com/documents/?uuid=5e9a3aa1-94b4-4e2b-a96e-73dffd1dff23"]}],"mendeley":{"formattedCitation":"[17]","plainTextFormattedCitation":"[17]","previouslyFormattedCitation":"[17]"},"properties":{"noteIndex":0},"schema":"https://github.com/citation-style-language/schema/raw/master/csl-citation.json"}</w:instrText>
      </w:r>
      <w:r w:rsidR="00830EF8" w:rsidRPr="00E92E00">
        <w:fldChar w:fldCharType="separate"/>
      </w:r>
      <w:r w:rsidR="00830EF8" w:rsidRPr="00E92E00">
        <w:rPr>
          <w:noProof/>
        </w:rPr>
        <w:t>[17]</w:t>
      </w:r>
      <w:r w:rsidR="00830EF8" w:rsidRPr="00E92E00">
        <w:fldChar w:fldCharType="end"/>
      </w:r>
      <w:r w:rsidRPr="00E92E00">
        <w:t xml:space="preserve">: </w:t>
      </w:r>
    </w:p>
    <w:p w14:paraId="1E6FD673" w14:textId="7967396C" w:rsidR="00A22366" w:rsidRPr="005D3BBD" w:rsidRDefault="00830EF8" w:rsidP="00D61785">
      <w:pPr>
        <w:pStyle w:val="a4"/>
        <w:numPr>
          <w:ilvl w:val="0"/>
          <w:numId w:val="31"/>
        </w:numPr>
        <w:spacing w:before="0"/>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железа сыворотки крови</w:t>
      </w:r>
    </w:p>
    <w:p w14:paraId="57F84811" w14:textId="0812D6E1" w:rsidR="00A22366" w:rsidRPr="005D3BBD" w:rsidRDefault="00830EF8" w:rsidP="00D61785">
      <w:pPr>
        <w:pStyle w:val="a4"/>
        <w:numPr>
          <w:ilvl w:val="0"/>
          <w:numId w:val="31"/>
        </w:numPr>
        <w:spacing w:before="0"/>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ферритина в крови</w:t>
      </w:r>
    </w:p>
    <w:p w14:paraId="42DA8865" w14:textId="55CA25EB" w:rsidR="00A22366" w:rsidRPr="005D3BBD" w:rsidRDefault="00830EF8" w:rsidP="00D61785">
      <w:pPr>
        <w:pStyle w:val="a4"/>
        <w:numPr>
          <w:ilvl w:val="0"/>
          <w:numId w:val="31"/>
        </w:numPr>
        <w:spacing w:before="0"/>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фолиевой кислоты в сыворотке крови</w:t>
      </w:r>
    </w:p>
    <w:p w14:paraId="1B9C6E7D" w14:textId="471D7A58" w:rsidR="00A22366" w:rsidRPr="005D3BBD" w:rsidRDefault="00830EF8" w:rsidP="00D61785">
      <w:pPr>
        <w:pStyle w:val="a4"/>
        <w:numPr>
          <w:ilvl w:val="0"/>
          <w:numId w:val="31"/>
        </w:numPr>
        <w:spacing w:before="0"/>
      </w:pPr>
      <w:r w:rsidRPr="005D3BBD">
        <w:rPr>
          <w:rFonts w:eastAsia="Times New Roman"/>
          <w:color w:val="000000"/>
          <w:lang w:eastAsia="ru-RU"/>
        </w:rPr>
        <w:t xml:space="preserve">определения </w:t>
      </w:r>
      <w:r w:rsidR="00A22366" w:rsidRPr="005D3BBD">
        <w:rPr>
          <w:rFonts w:eastAsia="Times New Roman"/>
          <w:color w:val="000000"/>
          <w:lang w:eastAsia="ru-RU"/>
        </w:rPr>
        <w:t>уровня витамина B12 (цианокобаламин) в крови</w:t>
      </w:r>
    </w:p>
    <w:p w14:paraId="1414C133" w14:textId="50EB50DE" w:rsidR="00A22366" w:rsidRPr="005D3BBD" w:rsidRDefault="00830EF8" w:rsidP="00D61785">
      <w:pPr>
        <w:pStyle w:val="a4"/>
        <w:numPr>
          <w:ilvl w:val="0"/>
          <w:numId w:val="31"/>
        </w:numPr>
        <w:spacing w:before="0"/>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эритропоэтина крови</w:t>
      </w:r>
    </w:p>
    <w:p w14:paraId="056E8375" w14:textId="04A40CD9" w:rsidR="00D153DC" w:rsidRDefault="00D153DC" w:rsidP="005D3BBD">
      <w:pPr>
        <w:ind w:left="426"/>
        <w:contextualSpacing/>
        <w:rPr>
          <w:b/>
          <w:spacing w:val="-4"/>
        </w:rPr>
      </w:pPr>
      <w:r w:rsidRPr="005D3BBD">
        <w:rPr>
          <w:b/>
          <w:spacing w:val="-4"/>
        </w:rPr>
        <w:t>Уровень убедительности рекомендаций – С (уровень достоверности доказательств – 5).</w:t>
      </w:r>
    </w:p>
    <w:p w14:paraId="2AAA9665" w14:textId="77777777" w:rsidR="00397894" w:rsidRPr="00C079D2" w:rsidRDefault="00397894" w:rsidP="004E3A70">
      <w:pPr>
        <w:contextualSpacing/>
        <w:rPr>
          <w:b/>
          <w:spacing w:val="-4"/>
        </w:rPr>
      </w:pPr>
    </w:p>
    <w:p w14:paraId="52E4C41E" w14:textId="77777777" w:rsidR="00256713" w:rsidRPr="00132B9F" w:rsidRDefault="00256713" w:rsidP="005D3BBD">
      <w:pPr>
        <w:pStyle w:val="3"/>
        <w:spacing w:before="0"/>
      </w:pPr>
      <w:r>
        <w:t xml:space="preserve">2.3.2. Лабораторные исследования </w:t>
      </w:r>
      <w:r w:rsidR="009F638D">
        <w:t>для верификации диагноза и оценки прогностических факторов</w:t>
      </w:r>
    </w:p>
    <w:p w14:paraId="2D4486E5" w14:textId="54308720" w:rsidR="00CD1592" w:rsidRPr="0095233F" w:rsidRDefault="00CD1592" w:rsidP="00D61785">
      <w:pPr>
        <w:pStyle w:val="a4"/>
        <w:numPr>
          <w:ilvl w:val="0"/>
          <w:numId w:val="50"/>
        </w:numPr>
        <w:spacing w:before="0"/>
      </w:pPr>
      <w:r>
        <w:t xml:space="preserve">При подозрении на ХЛЛ у пациентов с </w:t>
      </w:r>
      <w:r w:rsidR="00741BEA">
        <w:t>числом В-лимфоцитов ≥</w:t>
      </w:r>
      <w:r>
        <w:t xml:space="preserve">5000 в </w:t>
      </w:r>
      <w:r w:rsidR="00741BEA">
        <w:t xml:space="preserve">1 </w:t>
      </w:r>
      <w:r>
        <w:t xml:space="preserve">мкл </w:t>
      </w:r>
      <w:r w:rsidRPr="00B04401">
        <w:rPr>
          <w:b/>
        </w:rPr>
        <w:t>рекомендуется</w:t>
      </w:r>
      <w:r>
        <w:t xml:space="preserve"> выполнить </w:t>
      </w:r>
      <w:r w:rsidRPr="0095233F">
        <w:t>иммунофенотипи</w:t>
      </w:r>
      <w:r w:rsidR="00B57859" w:rsidRPr="0095233F">
        <w:t>рование</w:t>
      </w:r>
      <w:r w:rsidRPr="0095233F">
        <w:t xml:space="preserve"> лимфоцитов крови методом проточной цитофлуо</w:t>
      </w:r>
      <w:r w:rsidR="00741BEA" w:rsidRPr="0095233F">
        <w:softHyphen/>
      </w:r>
      <w:r w:rsidRPr="0095233F">
        <w:t xml:space="preserve">риметрии с целью верификации диагноза </w:t>
      </w:r>
      <w:r w:rsidR="000B0AC3" w:rsidRPr="00BD0784">
        <w:fldChar w:fldCharType="begin" w:fldLock="1"/>
      </w:r>
      <w:r w:rsidR="003F5F47">
        <w:instrText>ADDIN CSL_CITATION {"citationItems":[{"id":"ITEM-1","itemData":{"DOI":"10.4065/83.7.776","ISSN":"00256196","abstract":"OBJECTIVE: To study the effectiveness of peripheral blood (PB) and bone marrow flow cytometric immunophenotyping (FCIP) in predicting the histologic B-cell lymphoma type. PATIENTS AND METHODS: We studied the FCIP results and tissue histopathology from 252 patients with B-cell lymphoma seen at Mayo Clinic's site in Rochester, MN, between January 1, 1997, and January 1, 2004, who had positive results on PB, bone marrow, or body fluid FCIP and a corresponding diagnostic tissue biopsy specimen. RESULTS: Most of the B-cell lymphomas studied were low grade, with chronic lymphocytic leukemia (CLL)/small lymphocytic lymphoma being most common. Flow cytometric immunophenotyping histogram analysis was more informative than tabulated percentage antigen positivity; surface immunoglobulin and CD20 staining intensity, CD5 and CD23 positivity, CD10 positivity, and the coexpression of CD11c/CD22 and CD103 were the most pertinent markers. Using these FCIP parameters and strict immunophenotypic definitions for CLL, mantle cell lymphoma (MCL), and hairy cell leukemia, we obtained greater than 95% specificity for each diagnosis. However, we encountered the following exceptions to standard paradigms of B-cell lymphoma-associated FCIP: (1) CD5 expression by disorders distinct from CLL and MCL, (2) lack of uniform CD5 positivity in some CLL and MCL cases, (3) absence of CD10 in approximately 50% of follicular lymphomas, and (4) expression of CD103 by occasional marginal zone lymphomas. CONCLUSION: Stringent interpretation of PB and bone marrow FCIP results enables identification of certain B-cell lymphoma types. However, the observed exceptions to accepted immunophenotypic paradigms highlight the occasional phenotypic overlap among diseases and emphasize that a systematic approach to FCIP interpretations is key to providing clinically useful diagnostic information. © 2008 Mayo Foundation for Medical Education and Research.","author":[{"dropping-particle":"","family":"Morice","given":"William G.","non-dropping-particle":"","parse-names":false,"suffix":""},{"dropping-particle":"","family":"Kurtin","given":"Paul J.","non-dropping-particle":"","parse-names":false,"suffix":""},{"dropping-particle":"","family":"Hodnefield","given":"Janice M.","non-dropping-particle":"","parse-names":false,"suffix":""},{"dropping-particle":"","family":"Shanafelt","given":"Tait D.","non-dropping-particle":"","parse-names":false,"suffix":""},{"dropping-particle":"","family":"Hoyer","given":"James D.","non-dropping-particle":"","parse-names":false,"suffix":""},{"dropping-particle":"","family":"Remstein","given":"Ellen D.","non-dropping-particle":"","parse-names":false,"suffix":""},{"dropping-particle":"","family":"Hanson","given":"Curtis A.","non-dropping-particle":"","parse-names":false,"suffix":""}],"container-title":"Mayo Clinic Proceedings","id":"ITEM-1","issue":"7","issued":{"date-parts":[["2008"]]},"page":"776-785","publisher":"Elsevier Ltd","title":"Predictive value of blood and bone marrow flow cytometry in B-cell lymphoma classification: Comparative analysis of flow cytometry and tissue biopsy in 252 patients","type":"article-journal","volume":"83"},"uris":["http://www.mendeley.com/documents/?uuid=d7c6a589-9bd8-30c2-9229-b1d0e11c46db"]}],"mendeley":{"formattedCitation":"[18]","plainTextFormattedCitation":"[18]","previouslyFormattedCitation":"[18]"},"properties":{"noteIndex":0},"schema":"https://github.com/citation-style-language/schema/raw/master/csl-citation.json"}</w:instrText>
      </w:r>
      <w:r w:rsidR="000B0AC3" w:rsidRPr="00BD0784">
        <w:fldChar w:fldCharType="separate"/>
      </w:r>
      <w:r w:rsidR="00830EF8" w:rsidRPr="00830EF8">
        <w:rPr>
          <w:noProof/>
        </w:rPr>
        <w:t>[18]</w:t>
      </w:r>
      <w:r w:rsidR="000B0AC3" w:rsidRPr="00BD0784">
        <w:fldChar w:fldCharType="end"/>
      </w:r>
      <w:r w:rsidR="000B0AC3" w:rsidRPr="00BD0784">
        <w:t>.</w:t>
      </w:r>
    </w:p>
    <w:p w14:paraId="38F7CA6C" w14:textId="77777777" w:rsidR="00CD1592" w:rsidRPr="0095233F" w:rsidRDefault="00CD1592" w:rsidP="005D3BBD">
      <w:pPr>
        <w:ind w:left="426"/>
        <w:contextualSpacing/>
        <w:rPr>
          <w:b/>
          <w:spacing w:val="-4"/>
        </w:rPr>
      </w:pPr>
      <w:r w:rsidRPr="0095233F">
        <w:rPr>
          <w:b/>
          <w:spacing w:val="-4"/>
        </w:rPr>
        <w:lastRenderedPageBreak/>
        <w:t xml:space="preserve">Уровень убедительности </w:t>
      </w:r>
      <w:r w:rsidR="00C20509" w:rsidRPr="0095233F">
        <w:rPr>
          <w:b/>
          <w:spacing w:val="-4"/>
        </w:rPr>
        <w:t xml:space="preserve">рекомендаций – </w:t>
      </w:r>
      <w:r w:rsidRPr="0095233F">
        <w:rPr>
          <w:b/>
          <w:spacing w:val="-4"/>
        </w:rPr>
        <w:t xml:space="preserve">В (уровень достоверности </w:t>
      </w:r>
      <w:r w:rsidR="00C20509" w:rsidRPr="0095233F">
        <w:rPr>
          <w:b/>
          <w:spacing w:val="-4"/>
        </w:rPr>
        <w:t xml:space="preserve">доказательств – </w:t>
      </w:r>
      <w:r w:rsidR="0031704D" w:rsidRPr="0095233F">
        <w:rPr>
          <w:b/>
          <w:spacing w:val="-4"/>
        </w:rPr>
        <w:t>2</w:t>
      </w:r>
      <w:r w:rsidRPr="0095233F">
        <w:rPr>
          <w:b/>
          <w:spacing w:val="-4"/>
        </w:rPr>
        <w:t>).</w:t>
      </w:r>
    </w:p>
    <w:p w14:paraId="151D52CD" w14:textId="3D6357E2" w:rsidR="00CD1592" w:rsidRDefault="00CD1592" w:rsidP="003F5F47">
      <w:pPr>
        <w:ind w:firstLine="426"/>
        <w:contextualSpacing/>
        <w:rPr>
          <w:i/>
        </w:rPr>
      </w:pPr>
      <w:r w:rsidRPr="009D6AF4">
        <w:rPr>
          <w:b/>
        </w:rPr>
        <w:t>Комментарии:</w:t>
      </w:r>
      <w:r w:rsidRPr="00086CF8">
        <w:t xml:space="preserve"> </w:t>
      </w:r>
      <w:r w:rsidR="00741BEA" w:rsidRPr="00F242FD">
        <w:rPr>
          <w:i/>
        </w:rPr>
        <w:t>д</w:t>
      </w:r>
      <w:r w:rsidRPr="007C0380">
        <w:rPr>
          <w:i/>
        </w:rPr>
        <w:t>иагноз</w:t>
      </w:r>
      <w:r w:rsidR="00467947">
        <w:rPr>
          <w:i/>
        </w:rPr>
        <w:t xml:space="preserve"> ХЛЛ устанавливают</w:t>
      </w:r>
      <w:r w:rsidRPr="0099679A">
        <w:rPr>
          <w:i/>
        </w:rPr>
        <w:t xml:space="preserve"> при выявлении </w:t>
      </w:r>
      <w:r w:rsidRPr="009B27D2">
        <w:rPr>
          <w:i/>
        </w:rPr>
        <w:t xml:space="preserve">≥5000 </w:t>
      </w:r>
      <w:r w:rsidRPr="0099679A">
        <w:rPr>
          <w:i/>
        </w:rPr>
        <w:t xml:space="preserve">В-лимфоцитов в 1 мкл периферической крови при условии, что лимфоцитоз </w:t>
      </w:r>
      <w:r w:rsidR="00F07AA9">
        <w:rPr>
          <w:i/>
        </w:rPr>
        <w:t>сохраняется более 3 мес</w:t>
      </w:r>
      <w:r w:rsidRPr="00606068">
        <w:rPr>
          <w:i/>
        </w:rPr>
        <w:t>.</w:t>
      </w:r>
      <w:r w:rsidRPr="0099679A">
        <w:rPr>
          <w:i/>
        </w:rPr>
        <w:t xml:space="preserve"> Клональность В-лимфоцитов должна быть подтверждена с помощью иммуно</w:t>
      </w:r>
      <w:r w:rsidR="00741BEA">
        <w:rPr>
          <w:i/>
        </w:rPr>
        <w:softHyphen/>
      </w:r>
      <w:r w:rsidRPr="0099679A">
        <w:rPr>
          <w:i/>
        </w:rPr>
        <w:t>фенотипировани</w:t>
      </w:r>
      <w:r>
        <w:rPr>
          <w:i/>
        </w:rPr>
        <w:t xml:space="preserve">я. </w:t>
      </w:r>
      <w:r w:rsidRPr="0099679A">
        <w:rPr>
          <w:i/>
        </w:rPr>
        <w:t>Рекомендуемая для диагностики ХЛЛ минимальная диагностическая панель должна включать следующие маркеры: CD19, CD</w:t>
      </w:r>
      <w:r w:rsidR="00741BEA">
        <w:rPr>
          <w:i/>
        </w:rPr>
        <w:t>5, CD23, CD20, каппа, лямбда. В </w:t>
      </w:r>
      <w:r w:rsidRPr="0099679A">
        <w:rPr>
          <w:i/>
        </w:rPr>
        <w:t>качестве дополнительных диагностических маркеров рекомендуется использовать CD43, CD200, CD79b, CD81. Часто рекомендуемые, но необязательные для диагностики и мониторирования опухолевой популяции ХЛЛ</w:t>
      </w:r>
      <w:r w:rsidR="00741BEA">
        <w:rPr>
          <w:i/>
        </w:rPr>
        <w:t xml:space="preserve"> маркеры:</w:t>
      </w:r>
      <w:r w:rsidRPr="0099679A">
        <w:rPr>
          <w:i/>
        </w:rPr>
        <w:t xml:space="preserve"> CD22, FMC7, CD38.</w:t>
      </w:r>
      <w:r>
        <w:rPr>
          <w:i/>
        </w:rPr>
        <w:t xml:space="preserve"> </w:t>
      </w:r>
      <w:r w:rsidRPr="0099679A">
        <w:rPr>
          <w:i/>
        </w:rPr>
        <w:t>Классический фенотип клеток ХЛЛ характеризуется экспрессией В-клеточных антигенов CD19, CD20, CD22, CD79b в сочетании с «Т-клеточным» маркером CD5 и активационным</w:t>
      </w:r>
      <w:r w:rsidR="00741BEA">
        <w:rPr>
          <w:i/>
        </w:rPr>
        <w:t xml:space="preserve"> маркером</w:t>
      </w:r>
      <w:r w:rsidRPr="0099679A">
        <w:rPr>
          <w:i/>
        </w:rPr>
        <w:t xml:space="preserve"> CD23. Опухолевые клетки экспрессируют один тип легкой цепи иммуноглобулинов (каппа или лямбда). Интенсивность экспрессии В-клеточных антигенов (CD20, CD22, CD79b), а также поверхностных иммуноглобулинов на клетках ХЛЛ ниже, чем на нормальных </w:t>
      </w:r>
      <w:r w:rsidR="00741BEA">
        <w:rPr>
          <w:i/>
        </w:rPr>
        <w:t>В-лимфоцитах.</w:t>
      </w:r>
      <w:r w:rsidR="00EC7B91">
        <w:rPr>
          <w:i/>
        </w:rPr>
        <w:t xml:space="preserve"> </w:t>
      </w:r>
      <w:r w:rsidR="00741BEA">
        <w:rPr>
          <w:i/>
        </w:rPr>
        <w:t>Тем не менее</w:t>
      </w:r>
      <w:r w:rsidRPr="0099679A">
        <w:rPr>
          <w:i/>
        </w:rPr>
        <w:t xml:space="preserve"> можно встретить немало случаев, когда фенотип опухолевых клеток не вполне соответствует ХЛЛ.</w:t>
      </w:r>
      <w:r w:rsidR="00DD3D1E">
        <w:rPr>
          <w:i/>
        </w:rPr>
        <w:t xml:space="preserve"> </w:t>
      </w:r>
    </w:p>
    <w:p w14:paraId="20FE337A" w14:textId="7CABA178" w:rsidR="00CD1592" w:rsidRDefault="00CD1592" w:rsidP="00D61785">
      <w:pPr>
        <w:pStyle w:val="a4"/>
        <w:numPr>
          <w:ilvl w:val="0"/>
          <w:numId w:val="50"/>
        </w:numPr>
        <w:spacing w:before="0"/>
      </w:pPr>
      <w:r>
        <w:t>При подозрении на ЛМЛ у пациентов без клинического лимфоцитоза в крови, а также у пациентов</w:t>
      </w:r>
      <w:r w:rsidR="003F5F47">
        <w:t xml:space="preserve"> с</w:t>
      </w:r>
      <w:r>
        <w:t xml:space="preserve"> </w:t>
      </w:r>
      <w:r w:rsidR="009813FB">
        <w:t xml:space="preserve">ХЛЛ/ЛМЛ </w:t>
      </w:r>
      <w:r>
        <w:t xml:space="preserve">с подозрением на трансформацию </w:t>
      </w:r>
      <w:r w:rsidRPr="006F07FF">
        <w:rPr>
          <w:b/>
        </w:rPr>
        <w:t>рекомендуется</w:t>
      </w:r>
      <w:r>
        <w:t xml:space="preserve"> выполнить биопсию лимфатического узла (</w:t>
      </w:r>
      <w:r w:rsidR="009813FB">
        <w:t xml:space="preserve">или иного </w:t>
      </w:r>
      <w:r>
        <w:t>очага поражения</w:t>
      </w:r>
      <w:r w:rsidRPr="003F5F47">
        <w:t>)</w:t>
      </w:r>
      <w:r w:rsidR="004C0497" w:rsidRPr="003F5F47">
        <w:t xml:space="preserve"> и </w:t>
      </w:r>
      <w:r w:rsidR="009813FB" w:rsidRPr="003F5F47">
        <w:t xml:space="preserve">провести </w:t>
      </w:r>
      <w:r w:rsidR="009813FB" w:rsidRPr="005D3BBD">
        <w:t xml:space="preserve">цитологическое исследование биоптатов лимфоузлов </w:t>
      </w:r>
      <w:r w:rsidR="009813FB" w:rsidRPr="003F5F47">
        <w:t>(или иного очага поражения)</w:t>
      </w:r>
      <w:r w:rsidR="009813FB" w:rsidRPr="005D3BBD">
        <w:t>,</w:t>
      </w:r>
      <w:r w:rsidR="009813FB" w:rsidRPr="003F5F47">
        <w:t xml:space="preserve"> </w:t>
      </w:r>
      <w:r w:rsidR="004C0497" w:rsidRPr="003F5F47">
        <w:t xml:space="preserve">патолого-анатомическое исследование биопсийного (операционного) материала </w:t>
      </w:r>
      <w:r w:rsidR="00C20509" w:rsidRPr="005D3BBD">
        <w:t>лимфатического узла</w:t>
      </w:r>
      <w:r w:rsidR="00C20509" w:rsidRPr="003F5F47">
        <w:t xml:space="preserve"> </w:t>
      </w:r>
      <w:r w:rsidR="009813FB" w:rsidRPr="003F5F47">
        <w:t xml:space="preserve">(или иного очага поражения) </w:t>
      </w:r>
      <w:r w:rsidR="004C0497" w:rsidRPr="003F5F47">
        <w:t xml:space="preserve">с применением иммуногистохимических методов </w:t>
      </w:r>
      <w:r w:rsidRPr="003F5F47">
        <w:t>для верификации диагноза</w:t>
      </w:r>
      <w:r w:rsidR="009813FB" w:rsidRPr="003F5F47">
        <w:t xml:space="preserve"> </w:t>
      </w:r>
      <w:r w:rsidR="000B0AC3">
        <w:fldChar w:fldCharType="begin" w:fldLock="1"/>
      </w:r>
      <w:r w:rsidR="003F5F47">
        <w:instrText>ADDIN CSL_CITATION {"citationItems":[{"id":"ITEM-1","itemData":{"DOI":"10.1056/NEJMoa075290","ISSN":"15334406","abstract":"BACKGROUND A diagnosis of chronic lymphocytic leukemia (CLL) requires a count of over 5000 circulating CLL-phenotype cells per cubic millimeter. Asymptomatic persons with fewer CLL-phenotype cells have monoclonal B-cell lymphocytosis (MBL). The goal of this study was to investigate the relation between MBL and CLL. METHODS We investigated 1520 subjects who were 62 to 80 years of age with a normal blood count and 2228 subjects with lymphocytosis (&gt;4000 lymphocytes per cubic millimeter) for the presence of MBL, using flow cytometry. Monoclonal B cells were further characterized by means of cytogenetic and molecular analyses. A representative cohort of 185 subjects with CLL-phenotype MBL and lymphocytosis were monitored for a median of 6.7 years (range, 0.2 to 11.8). RESULTS Monoclonal CLL-phenotype B cells were detected in 5.1% of subjects (78 of 1520) with a normal blood count and 13.9% (309 of 2228) with lymphocytosis. CLL-phenotype MBL had a frequency of 13q14 deletion and trisomy 12 similar to that of CLL and showed a skewed repertoire of the immunoglobulin heavy variable group (IGHV) genes. Among 185 subjects presenting with lymphocytosis, progressive lymphocytosis occurred in 51 (28%), progressive CLL developed in 28 (15%), and chemotherapy was required in 13 (7%). The absolute B-cell count was the only independent prognostic factor associated with progressive lymphocytosis. During follow-up over a median of 6.7 years, 34% of subjects (62 of 185) died, but only 4 of these deaths were due to CLL. Age above 68 years and hemoglobin level below 12.5 g per deciliter were the only independent prognostic factors for death. CONCLUSIONS The CLL-phenotype cells found in the general population and in subjects with lymphocytosis have features in common with CLL cells. CLL requiring treatment develops in subjects with CLL-phenotype MBL and with lymphocytosis at the rate of 1.1% per year.","author":[{"dropping-particle":"","family":"Rawstron","given":"Andy C.","non-dropping-particle":"","parse-names":false,"suffix":""},{"dropping-particle":"","family":"Bennett","given":"Fiona L.","non-dropping-particle":"","parse-names":false,"suffix":""},{"dropping-particle":"","family":"O'Connor","given":"Sheila J.M.","non-dropping-particle":"","parse-names":false,"suffix":""},{"dropping-particle":"","family":"Kwok","given":"Marwan","non-dropping-particle":"","parse-names":false,"suffix":""},{"dropping-particle":"","family":"Fenton","given":"James A.L.","non-dropping-particle":"","parse-names":false,"suffix":""},{"dropping-particle":"","family":"Plummer","given":"Marieth","non-dropping-particle":"","parse-names":false,"suffix":""},{"dropping-particle":"","family":"Tute","given":"Ruth","non-dropping-particle":"De","parse-names":false,"suffix":""},{"dropping-particle":"","family":"Owen","given":"Roger G.","non-dropping-particle":"","parse-names":false,"suffix":""},{"dropping-particle":"","family":"Richards","given":"Stephen J.","non-dropping-particle":"","parse-names":false,"suffix":""},{"dropping-particle":"","family":"Jack","given":"Andrew S.","non-dropping-particle":"","parse-names":false,"suffix":""},{"dropping-particle":"","family":"Hillmen","given":"Peter","non-dropping-particle":"","parse-names":false,"suffix":""}],"container-title":"New England Journal of Medicine","id":"ITEM-1","issue":"6","issued":{"date-parts":[["2008","8","7"]]},"page":"575-583","publisher":"Massachussetts Medical Society","title":"Monoclonal B-cell lymphocytosis and chronic lymphocytic leukemia","type":"article-journal","volume":"359"},"uris":["http://www.mendeley.com/documents/?uuid=671ee34d-ac78-378d-a7ea-ab1420e6af83"]},{"id":"ITEM-2","itemData":{"DOI":"10.1182/blood-2017-09-806398","ISSN":"15280020","abstract":"©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J.","non-dropping-particle":"","parse-names":false,"suffix":""}],"container-title":"Blood","id":"ITEM-2","issue":"25","issued":{"date-parts":[["2018","6","21"]]},"page":"2745-2760","publisher":"American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-3","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Савченко.","id":"ITEM-3","issued":{"date-parts":[["2018"]]},"page":"179-200","title":"Хронический лимфолейкоз.","type":"chapter"},"uris":["http://www.mendeley.com/documents/?uuid=eabb4618-5f05-4132-a8eb-9c136160a929"]}],"mendeley":{"formattedCitation":"[12,16,19]","plainTextFormattedCitation":"[12,16,19]","previouslyFormattedCitation":"[12,16,19]"},"properties":{"noteIndex":0},"schema":"https://github.com/citation-style-language/schema/raw/master/csl-citation.json"}</w:instrText>
      </w:r>
      <w:r w:rsidR="000B0AC3">
        <w:fldChar w:fldCharType="separate"/>
      </w:r>
      <w:r w:rsidR="00830EF8" w:rsidRPr="00830EF8">
        <w:rPr>
          <w:noProof/>
        </w:rPr>
        <w:t>[12,16,19]</w:t>
      </w:r>
      <w:r w:rsidR="000B0AC3">
        <w:fldChar w:fldCharType="end"/>
      </w:r>
      <w:r>
        <w:t>.</w:t>
      </w:r>
    </w:p>
    <w:p w14:paraId="5309A137" w14:textId="77777777" w:rsidR="00CD1592" w:rsidRPr="00741BEA" w:rsidRDefault="00CD1592" w:rsidP="005D3BBD">
      <w:pPr>
        <w:ind w:left="426"/>
        <w:contextualSpacing/>
        <w:rPr>
          <w:b/>
          <w:spacing w:val="-4"/>
        </w:rPr>
      </w:pPr>
      <w:r w:rsidRPr="00741BEA">
        <w:rPr>
          <w:b/>
          <w:spacing w:val="-4"/>
        </w:rPr>
        <w:t xml:space="preserve">Уровень убедительности </w:t>
      </w:r>
      <w:r w:rsidR="00C20509" w:rsidRPr="00741BEA">
        <w:rPr>
          <w:b/>
          <w:spacing w:val="-4"/>
        </w:rPr>
        <w:t xml:space="preserve">рекомендаций – </w:t>
      </w:r>
      <w:r w:rsidR="00B91BC4">
        <w:rPr>
          <w:b/>
          <w:spacing w:val="-4"/>
        </w:rPr>
        <w:t>С</w:t>
      </w:r>
      <w:r w:rsidR="00B91BC4" w:rsidRPr="00741BEA">
        <w:rPr>
          <w:b/>
          <w:spacing w:val="-4"/>
        </w:rPr>
        <w:t xml:space="preserve"> </w:t>
      </w:r>
      <w:r w:rsidRPr="00741BEA">
        <w:rPr>
          <w:b/>
          <w:spacing w:val="-4"/>
        </w:rPr>
        <w:t xml:space="preserve">(уровень достоверности </w:t>
      </w:r>
      <w:r w:rsidR="00C20509" w:rsidRPr="00741BEA">
        <w:rPr>
          <w:b/>
          <w:spacing w:val="-4"/>
        </w:rPr>
        <w:t xml:space="preserve">доказательств – </w:t>
      </w:r>
      <w:r w:rsidR="00B91BC4">
        <w:rPr>
          <w:b/>
          <w:spacing w:val="-4"/>
        </w:rPr>
        <w:t>5</w:t>
      </w:r>
      <w:r w:rsidRPr="00741BEA">
        <w:rPr>
          <w:b/>
          <w:spacing w:val="-4"/>
        </w:rPr>
        <w:t>).</w:t>
      </w:r>
    </w:p>
    <w:p w14:paraId="337AA947" w14:textId="77777777" w:rsidR="00256713" w:rsidRDefault="00CD1592" w:rsidP="005D3BBD">
      <w:pPr>
        <w:tabs>
          <w:tab w:val="left" w:pos="1400"/>
        </w:tabs>
        <w:ind w:firstLine="426"/>
        <w:contextualSpacing/>
        <w:rPr>
          <w:i/>
        </w:rPr>
      </w:pPr>
      <w:r w:rsidRPr="0099679A">
        <w:rPr>
          <w:b/>
        </w:rPr>
        <w:t>Комментарии:</w:t>
      </w:r>
      <w:r>
        <w:t xml:space="preserve"> </w:t>
      </w:r>
      <w:r w:rsidR="00741BEA">
        <w:rPr>
          <w:i/>
        </w:rPr>
        <w:t>в</w:t>
      </w:r>
      <w:r w:rsidRPr="0099679A">
        <w:rPr>
          <w:i/>
        </w:rPr>
        <w:t xml:space="preserve"> гистологических препаратах морфологический субстрат представлен диффузным ростом небольших лимфоидных клеток с округлыми ядрами, комковатым хроматином, без отчетливых ядрышек. В срезах ткани лимфатического узла нередко присутствуют фолликулоподобные структуры – псевдофолликулы, так называемые зоны роста, представленные увеличенным количеством параиммунобластов, клеток с морфологией пролимфоцитов с различимыми ядрышками. Детальное описание</w:t>
      </w:r>
      <w:r w:rsidR="00ED5B4B">
        <w:rPr>
          <w:i/>
        </w:rPr>
        <w:t xml:space="preserve"> морфологической картиныв</w:t>
      </w:r>
      <w:r w:rsidRPr="0099679A">
        <w:rPr>
          <w:i/>
        </w:rPr>
        <w:t xml:space="preserve"> дается в соответствующих разделах рекомендаций. При прогрессии ХЛЛ размер этих псевдофолликулов увеличивается, они могут сливаться.</w:t>
      </w:r>
      <w:r>
        <w:rPr>
          <w:i/>
        </w:rPr>
        <w:t xml:space="preserve"> У 3–5</w:t>
      </w:r>
      <w:r w:rsidR="00DD3D1E">
        <w:rPr>
          <w:i/>
        </w:rPr>
        <w:t xml:space="preserve"> %</w:t>
      </w:r>
      <w:r w:rsidR="00741BEA">
        <w:rPr>
          <w:i/>
        </w:rPr>
        <w:t xml:space="preserve"> пациентов с ХЛЛ и </w:t>
      </w:r>
      <w:r>
        <w:rPr>
          <w:i/>
        </w:rPr>
        <w:t xml:space="preserve">ЛМЛ </w:t>
      </w:r>
      <w:r w:rsidRPr="0099679A">
        <w:rPr>
          <w:i/>
        </w:rPr>
        <w:t xml:space="preserve">развивается диффузная В-крупноклеточная лимфома или </w:t>
      </w:r>
      <w:r w:rsidRPr="0099679A">
        <w:rPr>
          <w:i/>
        </w:rPr>
        <w:lastRenderedPageBreak/>
        <w:t xml:space="preserve">лимфома Ходжкина. Появление крупноклеточной лимфомы на фоне ХЛЛ называется синдромом Рихтера. Появление лимфомы Ходжкина на фоне ХЛЛ называется ходжкинской трансформацией. Во всех случаях локального быстрого увеличения </w:t>
      </w:r>
      <w:r w:rsidR="00C20509" w:rsidRPr="00C20509">
        <w:rPr>
          <w:i/>
          <w:spacing w:val="-2"/>
        </w:rPr>
        <w:t>лимфатически</w:t>
      </w:r>
      <w:r w:rsidR="00C20509">
        <w:rPr>
          <w:i/>
          <w:spacing w:val="-2"/>
        </w:rPr>
        <w:t>х</w:t>
      </w:r>
      <w:r w:rsidR="00C20509" w:rsidRPr="00C20509">
        <w:rPr>
          <w:i/>
          <w:spacing w:val="-2"/>
        </w:rPr>
        <w:t xml:space="preserve"> узл</w:t>
      </w:r>
      <w:r w:rsidR="00C20509">
        <w:rPr>
          <w:i/>
          <w:spacing w:val="-2"/>
        </w:rPr>
        <w:t>ов</w:t>
      </w:r>
      <w:r w:rsidR="00C20509" w:rsidRPr="0099679A">
        <w:rPr>
          <w:i/>
        </w:rPr>
        <w:t xml:space="preserve"> </w:t>
      </w:r>
      <w:r w:rsidRPr="0099679A">
        <w:rPr>
          <w:i/>
        </w:rPr>
        <w:t>или существенного изменения клинической картины болезни (появления В-симптомов – внезапной потери веса, ночной потливости) необходимо выполнить биопсию лимфатического узла, костного мозга или экстранодального очага. Синдром Рихтера констатируется только на основании гистологического исследования.</w:t>
      </w:r>
    </w:p>
    <w:p w14:paraId="67435710" w14:textId="12FABA4A" w:rsidR="00B04401" w:rsidRPr="003F5F47" w:rsidRDefault="00B04401" w:rsidP="00D61785">
      <w:pPr>
        <w:pStyle w:val="a4"/>
        <w:numPr>
          <w:ilvl w:val="0"/>
          <w:numId w:val="50"/>
        </w:numPr>
        <w:spacing w:before="0"/>
      </w:pPr>
      <w:r w:rsidRPr="003F5F47">
        <w:t xml:space="preserve">Всем пациентам с ХЛЛ/ЛМЛ </w:t>
      </w:r>
      <w:r w:rsidR="003F5F47" w:rsidRPr="003F5F47">
        <w:t xml:space="preserve">до </w:t>
      </w:r>
      <w:r w:rsidR="003F5F47" w:rsidRPr="00AB6CFD">
        <w:rPr>
          <w:color w:val="000000" w:themeColor="text1"/>
        </w:rPr>
        <w:t>начала лечения</w:t>
      </w:r>
      <w:r w:rsidR="00CF1FD8">
        <w:rPr>
          <w:color w:val="000000" w:themeColor="text1"/>
        </w:rPr>
        <w:t>,</w:t>
      </w:r>
      <w:r w:rsidR="00714673" w:rsidRPr="00AB6CFD">
        <w:rPr>
          <w:color w:val="000000" w:themeColor="text1"/>
        </w:rPr>
        <w:t xml:space="preserve"> </w:t>
      </w:r>
      <w:r w:rsidRPr="00AB6CFD">
        <w:rPr>
          <w:color w:val="000000" w:themeColor="text1"/>
        </w:rPr>
        <w:t>через 6 мес. после завершения лечения</w:t>
      </w:r>
      <w:r w:rsidR="004B5BAB" w:rsidRPr="009C096B">
        <w:rPr>
          <w:color w:val="000000" w:themeColor="text1"/>
        </w:rPr>
        <w:t>,</w:t>
      </w:r>
      <w:r w:rsidR="004B5BAB" w:rsidRPr="00CF1FD8">
        <w:rPr>
          <w:color w:val="000000" w:themeColor="text1"/>
        </w:rPr>
        <w:t xml:space="preserve"> </w:t>
      </w:r>
      <w:r w:rsidR="00CF1FD8">
        <w:rPr>
          <w:color w:val="000000" w:themeColor="text1"/>
        </w:rPr>
        <w:t xml:space="preserve">а также </w:t>
      </w:r>
      <w:r w:rsidR="00AB6CFD" w:rsidRPr="009C096B">
        <w:rPr>
          <w:color w:val="000000" w:themeColor="text1"/>
        </w:rPr>
        <w:t>при подозрении на трансформацию,</w:t>
      </w:r>
      <w:r w:rsidRPr="00CF1FD8">
        <w:rPr>
          <w:color w:val="000000" w:themeColor="text1"/>
        </w:rPr>
        <w:t>п</w:t>
      </w:r>
      <w:r w:rsidR="003F5F47" w:rsidRPr="00CF1FD8">
        <w:rPr>
          <w:color w:val="000000" w:themeColor="text1"/>
        </w:rPr>
        <w:t xml:space="preserve">ри наличии </w:t>
      </w:r>
      <w:r w:rsidRPr="00CF1FD8">
        <w:rPr>
          <w:color w:val="000000" w:themeColor="text1"/>
        </w:rPr>
        <w:t xml:space="preserve">возможности </w:t>
      </w:r>
      <w:r w:rsidRPr="00CF1FD8">
        <w:rPr>
          <w:b/>
          <w:color w:val="000000" w:themeColor="text1"/>
        </w:rPr>
        <w:t>рекомендуется</w:t>
      </w:r>
      <w:r w:rsidRPr="00CF1FD8">
        <w:rPr>
          <w:color w:val="000000" w:themeColor="text1"/>
        </w:rPr>
        <w:t xml:space="preserve"> иммунофенотипирование биологического материала методом проточной цитофлуориметрии</w:t>
      </w:r>
      <w:r w:rsidR="00714673" w:rsidRPr="009C096B">
        <w:rPr>
          <w:color w:val="000000" w:themeColor="text1"/>
        </w:rPr>
        <w:t>, в том числе,</w:t>
      </w:r>
      <w:r w:rsidRPr="003F5F47">
        <w:t xml:space="preserve"> для выявления маркеров минимальной остаточной болезни (МОБ) при гемобластозах </w:t>
      </w:r>
      <w:r w:rsidRPr="003F5F47">
        <w:fldChar w:fldCharType="begin" w:fldLock="1"/>
      </w:r>
      <w:r w:rsidR="003F5F47" w:rsidRPr="003F5F47">
        <w:instrText>ADDIN CSL_CITATION {"citationItems":[{"id":"ITEM-1","itemData":{"DOI":"10.1016/j.clml.2019.03.014","ISSN":"2152-2669","PMID":"31027992","abstract":"BACKGROUND Patients with chronic lymphocytic leukemia (CLL) who achieve undetectable minimal residual disease (U-MRD) (ie, &lt; 10-4 detectable leukemic cells in peripheral blood or bone marrow) have better outcomes than those with detectable MRD. To assess the magnitude of improvement of progression-free survival (PFS) or overall survival (OS) in patients who achieved U-MRD after upfront chemotherapy (CT) or chemo-immunotherapy (CIT), we conducted a systematic review and meta-analysis. MATERIALS AND METHODS The screening process adhered to the Preferred Reporting Items for Systematic Reviews and Meta-Analyses Guidelines. The search strategy yielded 365 records, including 22 articles assessed for eligibility. RESULTS Eleven studies comprising 2457 patients with CLL treated in upfront with CT or CIT were considered suitable for inclusion in the quantitative meta-analysis. Nine studies (n = 2088) provided data on the impact of MRD on PFS and 6 (n = 1234) on OS. MRD was the main endpoint in only 2 of these studies (n = 213). Tests of heterogeneity revealed significant differences among studies for PFS and OS, which highlights differences across studies. U-MRD status was associated with significantly better PFS overall (P &lt; .001) and in patients who achieved conventional complete remission (P = .01). Regarding OS, U-MRD predicted longer OS globally (P &lt; .001) but not in patients having achieved complete remission (P = .82). CONCLUSIONS U-MRD status after treatment with CT or CIT in newly diagnosed CLL is associated with long-term survival. These findings provide quantitative evidence to support the integration of MRD assessment as an end point in clinical trials of CLL.","author":[{"dropping-particle":"","family":"Molica","given":"Stefano","non-dropping-particle":"","parse-names":false,"suffix":""},{"dropping-particle":"","family":"Giannarelli","given":"Diana","non-dropping-particle":"","parse-names":false,"suffix":""},{"dropping-particle":"","family":"Montserrat","given":"Emili","non-dropping-particle":"","parse-names":false,"suffix":""}],"container-title":"Clinical lymphoma, myeloma &amp; leukemia","id":"ITEM-1","issue":"7","issued":{"date-parts":[["2019","7"]]},"page":"423-430","title":"Minimal Residual Disease and Survival Outcomes in Patients With Chronic Lymphocytic Leukemia: A Systematic Review and Meta-analysis.","type":"article-journal","volume":"19"},"uris":["http://www.mendeley.com/documents/?uuid=ddd30cf9-3037-3038-b08a-d8cbc9e80204"]}],"mendeley":{"formattedCitation":"[20]","plainTextFormattedCitation":"[20]","previouslyFormattedCitation":"[20]"},"properties":{"noteIndex":0},"schema":"https://github.com/citation-style-language/schema/raw/master/csl-citation.json"}</w:instrText>
      </w:r>
      <w:r w:rsidRPr="003F5F47">
        <w:fldChar w:fldCharType="separate"/>
      </w:r>
      <w:r w:rsidRPr="00DF6A3A">
        <w:rPr>
          <w:noProof/>
        </w:rPr>
        <w:t>[20]</w:t>
      </w:r>
      <w:r w:rsidRPr="003F5F47">
        <w:fldChar w:fldCharType="end"/>
      </w:r>
      <w:r w:rsidRPr="003F5F47">
        <w:t>.</w:t>
      </w:r>
    </w:p>
    <w:p w14:paraId="1D6FF088" w14:textId="77777777" w:rsidR="00B04401" w:rsidRPr="00830499" w:rsidRDefault="00B04401" w:rsidP="00B04401">
      <w:pPr>
        <w:ind w:left="426"/>
        <w:contextualSpacing/>
        <w:rPr>
          <w:b/>
          <w:spacing w:val="-4"/>
        </w:rPr>
      </w:pPr>
      <w:r w:rsidRPr="00830499">
        <w:rPr>
          <w:b/>
          <w:spacing w:val="-4"/>
        </w:rPr>
        <w:t xml:space="preserve">Уровень убедительности рекомендаций – А (уровень достоверности доказательств – </w:t>
      </w:r>
      <w:r>
        <w:rPr>
          <w:b/>
          <w:spacing w:val="-4"/>
        </w:rPr>
        <w:t>2</w:t>
      </w:r>
      <w:r w:rsidRPr="00830499">
        <w:rPr>
          <w:b/>
          <w:spacing w:val="-4"/>
        </w:rPr>
        <w:t>).</w:t>
      </w:r>
    </w:p>
    <w:p w14:paraId="6A6B6493" w14:textId="77777777" w:rsidR="00B04401" w:rsidRPr="00FF043E" w:rsidRDefault="00B04401" w:rsidP="005D3BBD">
      <w:pPr>
        <w:ind w:firstLine="426"/>
        <w:contextualSpacing/>
        <w:rPr>
          <w:i/>
        </w:rPr>
      </w:pPr>
      <w:r w:rsidRPr="00BB7621">
        <w:rPr>
          <w:b/>
        </w:rPr>
        <w:t>Комментарии:</w:t>
      </w:r>
      <w:r w:rsidRPr="001D75FE">
        <w:rPr>
          <w:b/>
        </w:rPr>
        <w:t xml:space="preserve"> </w:t>
      </w:r>
      <w:r w:rsidRPr="00FF043E">
        <w:rPr>
          <w:i/>
        </w:rPr>
        <w:t xml:space="preserve">при финальной оценке эффекта после завершения иммунохимиотерапии МОБ позволяет прогнозировать время до рецидива и </w:t>
      </w:r>
      <w:r>
        <w:rPr>
          <w:i/>
        </w:rPr>
        <w:t>ОВ</w:t>
      </w:r>
      <w:r w:rsidRPr="00FF043E">
        <w:rPr>
          <w:i/>
        </w:rPr>
        <w:t xml:space="preserve">. Большинство прогностических схем построено на оценке МОБ в крови, однако исследование костного мозга позволяет достоверно подтвердить МОБ-негативную полную ремиссию. </w:t>
      </w:r>
    </w:p>
    <w:p w14:paraId="34FE4D12" w14:textId="77777777" w:rsidR="00B04401" w:rsidRPr="00FF043E" w:rsidRDefault="00B04401" w:rsidP="00B04401">
      <w:pPr>
        <w:contextualSpacing/>
        <w:rPr>
          <w:i/>
        </w:rPr>
      </w:pPr>
      <w:r w:rsidRPr="00FF043E">
        <w:rPr>
          <w:i/>
        </w:rPr>
        <w:t>Неоднократно показано, что количественная характеристика МОБ в крови по завершении терапии коррелирует с выживаемостью и поэтому может использоваться как руководство к действию. Остаточная популяция клеток ХЛЛ в крови &gt;1</w:t>
      </w:r>
      <w:r>
        <w:rPr>
          <w:i/>
        </w:rPr>
        <w:t xml:space="preserve"> %</w:t>
      </w:r>
      <w:r w:rsidRPr="00FF043E">
        <w:rPr>
          <w:i/>
        </w:rPr>
        <w:t xml:space="preserve"> предвещает ранний рецидив и может служить основанием </w:t>
      </w:r>
      <w:r>
        <w:rPr>
          <w:i/>
        </w:rPr>
        <w:t>для</w:t>
      </w:r>
      <w:r w:rsidRPr="00FF043E">
        <w:rPr>
          <w:i/>
        </w:rPr>
        <w:t xml:space="preserve"> смен</w:t>
      </w:r>
      <w:r>
        <w:rPr>
          <w:i/>
        </w:rPr>
        <w:t>ы</w:t>
      </w:r>
      <w:r w:rsidRPr="00FF043E">
        <w:rPr>
          <w:i/>
        </w:rPr>
        <w:t xml:space="preserve"> терапии. Остаточная популяция клеток ХЛЛ в крови 0,9</w:t>
      </w:r>
      <w:r>
        <w:rPr>
          <w:i/>
        </w:rPr>
        <w:t>0</w:t>
      </w:r>
      <w:r w:rsidRPr="00FF043E">
        <w:rPr>
          <w:i/>
        </w:rPr>
        <w:t>–0,01</w:t>
      </w:r>
      <w:r>
        <w:rPr>
          <w:i/>
        </w:rPr>
        <w:t> %</w:t>
      </w:r>
      <w:r w:rsidRPr="00FF043E">
        <w:rPr>
          <w:i/>
        </w:rPr>
        <w:t xml:space="preserve"> характеризует группу </w:t>
      </w:r>
      <w:r>
        <w:rPr>
          <w:i/>
        </w:rPr>
        <w:t>пациентов</w:t>
      </w:r>
      <w:r w:rsidRPr="00FF043E">
        <w:rPr>
          <w:i/>
        </w:rPr>
        <w:t xml:space="preserve"> с медианой выживаемости без прогрессирования (ВБП) около 3 лет; </w:t>
      </w:r>
      <w:r>
        <w:rPr>
          <w:i/>
        </w:rPr>
        <w:t>у</w:t>
      </w:r>
      <w:r w:rsidRPr="00FF043E">
        <w:rPr>
          <w:i/>
        </w:rPr>
        <w:t xml:space="preserve"> категории пациентов можно рассматривать </w:t>
      </w:r>
      <w:r>
        <w:rPr>
          <w:i/>
        </w:rPr>
        <w:t>возможность поддерживающей</w:t>
      </w:r>
      <w:r w:rsidRPr="00FF043E">
        <w:rPr>
          <w:i/>
        </w:rPr>
        <w:t xml:space="preserve"> терапи</w:t>
      </w:r>
      <w:r>
        <w:rPr>
          <w:i/>
        </w:rPr>
        <w:t>и</w:t>
      </w:r>
      <w:r w:rsidRPr="00FF043E">
        <w:rPr>
          <w:i/>
        </w:rPr>
        <w:t>. Остаточная популяция клеток ХЛЛ в крови &lt;0,01</w:t>
      </w:r>
      <w:r>
        <w:rPr>
          <w:i/>
        </w:rPr>
        <w:t xml:space="preserve"> %</w:t>
      </w:r>
      <w:r w:rsidRPr="00FF043E">
        <w:rPr>
          <w:i/>
        </w:rPr>
        <w:t xml:space="preserve"> свидетельствует о высокой вероятности длительной ремиссии (</w:t>
      </w:r>
      <w:r w:rsidRPr="00397360">
        <w:rPr>
          <w:i/>
        </w:rPr>
        <w:t>&gt;</w:t>
      </w:r>
      <w:r w:rsidRPr="00FF043E">
        <w:rPr>
          <w:i/>
        </w:rPr>
        <w:t xml:space="preserve">5 лет). </w:t>
      </w:r>
    </w:p>
    <w:p w14:paraId="1ADF7412" w14:textId="77777777" w:rsidR="00B04401" w:rsidRPr="001838D7" w:rsidRDefault="00B04401" w:rsidP="00B04401">
      <w:pPr>
        <w:contextualSpacing/>
        <w:rPr>
          <w:b/>
        </w:rPr>
      </w:pPr>
      <w:r w:rsidRPr="00FF043E">
        <w:rPr>
          <w:i/>
        </w:rPr>
        <w:t xml:space="preserve">После трансплантации аллогенных гемопоэтических стволовых клеток </w:t>
      </w:r>
      <w:r>
        <w:rPr>
          <w:i/>
        </w:rPr>
        <w:t>МОБ определяется каждые 3 мес.</w:t>
      </w:r>
      <w:r w:rsidRPr="00FF043E">
        <w:rPr>
          <w:i/>
        </w:rPr>
        <w:t xml:space="preserve"> в течение года или до наступления рецидива.</w:t>
      </w:r>
    </w:p>
    <w:p w14:paraId="03BCCAA9" w14:textId="79DDFD3C" w:rsidR="00914D5A" w:rsidRPr="0095233F" w:rsidRDefault="00914D5A" w:rsidP="00D61785">
      <w:pPr>
        <w:pStyle w:val="a4"/>
        <w:numPr>
          <w:ilvl w:val="0"/>
          <w:numId w:val="50"/>
        </w:numPr>
        <w:spacing w:before="0"/>
      </w:pPr>
      <w:r>
        <w:t>Пациентам с подозрением на ХЛЛ/ЛМЛ</w:t>
      </w:r>
      <w:r w:rsidR="00EA156E">
        <w:t xml:space="preserve"> </w:t>
      </w:r>
      <w:r w:rsidR="00EA156E" w:rsidRPr="00851664">
        <w:t>для оценки объема поражения костного мозга и состояния остальных ростков кроветворения, исключения поражения костного мозга другими опухолями и инфекциями, а также для получения исходного образца костного мозга, необходимого для сравнения с образцом, полученным после проведения терапии</w:t>
      </w:r>
      <w:r w:rsidR="00EA156E">
        <w:t xml:space="preserve"> </w:t>
      </w:r>
      <w:r w:rsidRPr="006F07FF">
        <w:rPr>
          <w:b/>
        </w:rPr>
        <w:t>рекомендуется</w:t>
      </w:r>
      <w:r w:rsidR="00741BEA" w:rsidRPr="006F07FF">
        <w:rPr>
          <w:b/>
        </w:rPr>
        <w:t xml:space="preserve">: </w:t>
      </w:r>
      <w:r w:rsidR="00741BEA" w:rsidRPr="00741BEA">
        <w:t>1)</w:t>
      </w:r>
      <w:r w:rsidRPr="00DC7440">
        <w:t xml:space="preserve"> </w:t>
      </w:r>
      <w:r w:rsidR="00A16F3E" w:rsidRPr="003E42BD">
        <w:t xml:space="preserve">получение цитологического препарата </w:t>
      </w:r>
      <w:r w:rsidR="00741BEA">
        <w:t>костного мозга</w:t>
      </w:r>
      <w:r w:rsidR="00A16F3E">
        <w:t xml:space="preserve"> </w:t>
      </w:r>
      <w:r w:rsidR="00A16F3E" w:rsidRPr="003E42BD">
        <w:t xml:space="preserve">путем </w:t>
      </w:r>
      <w:r w:rsidR="00A16F3E" w:rsidRPr="003E42BD">
        <w:lastRenderedPageBreak/>
        <w:t>пункции</w:t>
      </w:r>
      <w:r w:rsidR="00A16F3E">
        <w:t xml:space="preserve"> (стернальн</w:t>
      </w:r>
      <w:r w:rsidR="00741BEA">
        <w:t>ой</w:t>
      </w:r>
      <w:r w:rsidR="00A16F3E">
        <w:t xml:space="preserve"> пункци</w:t>
      </w:r>
      <w:r w:rsidR="00741BEA">
        <w:t>и</w:t>
      </w:r>
      <w:r w:rsidR="00A16F3E">
        <w:t>),</w:t>
      </w:r>
      <w:r w:rsidR="00A16F3E" w:rsidRPr="00466B8C">
        <w:t xml:space="preserve"> </w:t>
      </w:r>
      <w:r w:rsidR="00A16F3E" w:rsidRPr="00D07EC1">
        <w:t>цитологическое</w:t>
      </w:r>
      <w:r w:rsidR="00A16F3E">
        <w:t xml:space="preserve"> (миелограмма) и иммунофенотипическое (методом проточной цитофлуориметрии) </w:t>
      </w:r>
      <w:r w:rsidR="00A16F3E" w:rsidRPr="00D07EC1">
        <w:t>исследовани</w:t>
      </w:r>
      <w:r w:rsidR="00A16F3E">
        <w:t>е мазка</w:t>
      </w:r>
      <w:r w:rsidR="00A16F3E" w:rsidRPr="00D07EC1">
        <w:t xml:space="preserve"> </w:t>
      </w:r>
      <w:r w:rsidR="00741BEA">
        <w:t>костного мозга</w:t>
      </w:r>
      <w:r w:rsidR="00A16F3E">
        <w:t xml:space="preserve"> либо </w:t>
      </w:r>
      <w:r w:rsidR="00741BEA">
        <w:t xml:space="preserve">2) </w:t>
      </w:r>
      <w:r w:rsidR="00A16F3E" w:rsidRPr="00A16F3E">
        <w:t xml:space="preserve">получение гистологического препарата </w:t>
      </w:r>
      <w:r w:rsidR="00741BEA">
        <w:t>костного мозга</w:t>
      </w:r>
      <w:r w:rsidR="00A16F3E" w:rsidRPr="00A16F3E">
        <w:t xml:space="preserve"> (</w:t>
      </w:r>
      <w:r w:rsidR="00A16F3E" w:rsidRPr="0095233F">
        <w:t>трепанобиопсия)</w:t>
      </w:r>
      <w:r w:rsidR="00741BEA" w:rsidRPr="0095233F">
        <w:t>,</w:t>
      </w:r>
      <w:r w:rsidR="00EA156E" w:rsidRPr="0095233F">
        <w:t xml:space="preserve"> патолого-анатомическое исследование биопсийного (операционного) материала костного мозга с применением иммуногистохимических методов</w:t>
      </w:r>
      <w:r w:rsidR="00A16F3E" w:rsidRPr="0095233F">
        <w:t xml:space="preserve"> </w:t>
      </w:r>
      <w:r w:rsidRPr="0095233F">
        <w:t xml:space="preserve"> в следующих случаях</w:t>
      </w:r>
      <w:r w:rsidR="00EA156E" w:rsidRPr="0095233F">
        <w:t xml:space="preserve"> </w:t>
      </w:r>
      <w:r w:rsidR="000B0AC3" w:rsidRPr="0095233F">
        <w:fldChar w:fldCharType="begin" w:fldLock="1"/>
      </w:r>
      <w:r w:rsidR="003F5F47" w:rsidRPr="006F07FF">
        <w:instrText>ADDIN CSL_CITATION {"citationItems":[{"id":"ITEM-1","itemData":{"DOI":"10.4065/83.7.776","ISSN":"00256196","abstract":"OBJECTIVE: To study the effectiveness of peripheral blood (PB) and bone marrow flow cytometric immunophenotyping (FCIP) in predicting the histologic B-cell lymphoma type. PATIENTS AND METHODS: We studied the FCIP results and tissue histopathology from 252 patients with B-cell lymphoma seen at Mayo Clinic's site in Rochester, MN, between January 1, 1997, and January 1, 2004, who had positive results on PB, bone marrow, or body fluid FCIP and a corresponding diagnostic tissue biopsy specimen. RESULTS: Most of the B-cell lymphomas studied were low grade, with chronic lymphocytic leukemia (CLL)/small lymphocytic lymphoma being most common. Flow cytometric immunophenotyping histogram analysis was more informative than tabulated percentage antigen positivity; surface immunoglobulin and CD20 staining intensity, CD5 and CD23 positivity, CD10 positivity, and the coexpression of CD11c/CD22 and CD103 were the most pertinent markers. Using these FCIP parameters and strict immunophenotypic definitions for CLL, mantle cell lymphoma (MCL), and hairy cell leukemia, we obtained greater than 95% specificity for each diagnosis. However, we encountered the following exceptions to standard paradigms of B-cell lymphoma-associated FCIP: (1) CD5 expression by disorders distinct from CLL and MCL, (2) lack of uniform CD5 positivity in some CLL and MCL cases, (3) absence of CD10 in approximately 50% of follicular lymphomas, and (4) expression of CD103 by occasional marginal zone lymphomas. CONCLUSION: Stringent interpretation of PB and bone marrow FCIP results enables identification of certain B-cell lymphoma types. However, the observed exceptions to accepted immunophenotypic paradigms highlight the occasional phenotypic overlap among diseases and emphasize that a systematic approach to FCIP interpretations is key to providing clinically useful diagnostic information. © 2008 Mayo Foundation for Medical Education and Research.","author":[{"dropping-particle":"","family":"Morice","given":"William G.","non-dropping-particle":"","parse-names":false,"suffix":""},{"dropping-particle":"","family":"Kurtin","given":"Paul J.","non-dropping-particle":"","parse-names":false,"suffix":""},{"dropping-particle":"","family":"Hodnefield","given":"Janice M.","non-dropping-particle":"","parse-names":false,"suffix":""},{"dropping-particle":"","family":"Shanafelt","given":"Tait D.","non-dropping-particle":"","parse-names":false,"suffix":""},{"dropping-particle":"","family":"Hoyer","given":"James D.","non-dropping-particle":"","parse-names":false,"suffix":""},{"dropping-particle":"","family":"Remstein","given":"Ellen D.","non-dropping-particle":"","parse-names":false,"suffix":""},{"dropping-particle":"","family":"Hanson","given":"Curtis A.","non-dropping-particle":"","parse-names":false,"suffix":""}],"container-title":"Mayo Clinic Proceedings","id":"ITEM-1","issue":"7","issued":{"date-parts":[["2008"]]},"page":"776-785","publisher":"Elsevier Ltd","title":"Predictive value of blood and bone marrow flow cytometry in B-cell lymphoma classification: Comparative analysis of flow cytometry and tissue biopsy in 252 patients","type":"article-journal","volume":"83"},"uris":["http://www.mendeley.com/documents/?uuid=d7c6a589-9bd8-30c2-9229-b1d0e11c46db"]}],"mendeley":{"formattedCitation":"[18]","plainTextFormattedCitation":"[18]","previouslyFormattedCitation":"[18]"},"properties":{"noteIndex":0},"schema":"https://github.com/citation-style-language/schema/raw/master/csl-citation.json"}</w:instrText>
      </w:r>
      <w:r w:rsidR="000B0AC3" w:rsidRPr="0095233F">
        <w:fldChar w:fldCharType="separate"/>
      </w:r>
      <w:r w:rsidR="00830EF8" w:rsidRPr="00830EF8">
        <w:rPr>
          <w:noProof/>
        </w:rPr>
        <w:t>[18]</w:t>
      </w:r>
      <w:r w:rsidR="000B0AC3" w:rsidRPr="0095233F">
        <w:fldChar w:fldCharType="end"/>
      </w:r>
      <w:r w:rsidRPr="0095233F">
        <w:t>:</w:t>
      </w:r>
    </w:p>
    <w:p w14:paraId="7CB75BE8" w14:textId="77777777" w:rsidR="00914D5A" w:rsidRPr="0095233F" w:rsidRDefault="00914D5A" w:rsidP="00D61785">
      <w:pPr>
        <w:pStyle w:val="a4"/>
        <w:numPr>
          <w:ilvl w:val="0"/>
          <w:numId w:val="21"/>
        </w:numPr>
        <w:spacing w:before="0"/>
        <w:ind w:hanging="562"/>
      </w:pPr>
      <w:r w:rsidRPr="009D6AF4">
        <w:t>перед начало</w:t>
      </w:r>
      <w:r w:rsidRPr="00086CF8">
        <w:t xml:space="preserve">м терапии </w:t>
      </w:r>
      <w:r w:rsidR="00741BEA" w:rsidRPr="00F242FD">
        <w:t xml:space="preserve">у пациентов, ранее не проходивших ее </w:t>
      </w:r>
      <w:r w:rsidR="00467947">
        <w:t>(необязательно, но желательно);</w:t>
      </w:r>
    </w:p>
    <w:p w14:paraId="214DBB0F" w14:textId="77777777" w:rsidR="00914D5A" w:rsidRPr="0095233F" w:rsidRDefault="00467947" w:rsidP="00D61785">
      <w:pPr>
        <w:pStyle w:val="a4"/>
        <w:numPr>
          <w:ilvl w:val="0"/>
          <w:numId w:val="21"/>
        </w:numPr>
        <w:spacing w:before="0"/>
        <w:ind w:hanging="562"/>
      </w:pPr>
      <w:r>
        <w:t>при подозрении на трансформацию.</w:t>
      </w:r>
    </w:p>
    <w:p w14:paraId="3E0DF7F4" w14:textId="77777777" w:rsidR="00914D5A" w:rsidRPr="00741BEA" w:rsidRDefault="00914D5A" w:rsidP="005D3BBD">
      <w:pPr>
        <w:ind w:left="426"/>
        <w:contextualSpacing/>
        <w:rPr>
          <w:b/>
          <w:spacing w:val="-4"/>
        </w:rPr>
      </w:pPr>
      <w:r w:rsidRPr="00741BEA">
        <w:rPr>
          <w:b/>
          <w:spacing w:val="-4"/>
        </w:rPr>
        <w:t xml:space="preserve">Уровень убедительности </w:t>
      </w:r>
      <w:r w:rsidR="00C20509" w:rsidRPr="00741BEA">
        <w:rPr>
          <w:b/>
          <w:spacing w:val="-4"/>
        </w:rPr>
        <w:t xml:space="preserve">рекомендаций – </w:t>
      </w:r>
      <w:r w:rsidRPr="00741BEA">
        <w:rPr>
          <w:b/>
          <w:spacing w:val="-4"/>
        </w:rPr>
        <w:t xml:space="preserve">В (уровень достоверности </w:t>
      </w:r>
      <w:r w:rsidR="00C20509" w:rsidRPr="00741BEA">
        <w:rPr>
          <w:b/>
          <w:spacing w:val="-4"/>
        </w:rPr>
        <w:t xml:space="preserve">доказательств – </w:t>
      </w:r>
      <w:r w:rsidRPr="00741BEA">
        <w:rPr>
          <w:b/>
          <w:spacing w:val="-4"/>
        </w:rPr>
        <w:t>3).</w:t>
      </w:r>
    </w:p>
    <w:p w14:paraId="38EE2CC0" w14:textId="77777777" w:rsidR="00914D5A" w:rsidRDefault="00914D5A" w:rsidP="005D3BBD">
      <w:pPr>
        <w:ind w:firstLine="426"/>
        <w:contextualSpacing/>
        <w:rPr>
          <w:i/>
        </w:rPr>
      </w:pPr>
      <w:r w:rsidRPr="001838D7">
        <w:rPr>
          <w:b/>
        </w:rPr>
        <w:t>Комментарии:</w:t>
      </w:r>
      <w:r>
        <w:t xml:space="preserve"> </w:t>
      </w:r>
      <w:r w:rsidR="00240C64">
        <w:rPr>
          <w:i/>
        </w:rPr>
        <w:t>г</w:t>
      </w:r>
      <w:r w:rsidRPr="001838D7">
        <w:rPr>
          <w:i/>
        </w:rPr>
        <w:t>истологический диагноз ХЛЛ устанавливается при наличии в костном мозге диффузного лимфоидного пролиферата из мономорфных клеток небольшого размера с округлыми ядрами, комковатым хроматином, в зависимости от условий фиксации –</w:t>
      </w:r>
      <w:r w:rsidR="00240C64">
        <w:rPr>
          <w:i/>
        </w:rPr>
        <w:t xml:space="preserve"> с </w:t>
      </w:r>
      <w:r w:rsidRPr="001838D7">
        <w:rPr>
          <w:i/>
        </w:rPr>
        <w:t>неотчетливыми ядрышками</w:t>
      </w:r>
      <w:r w:rsidR="00240C64">
        <w:rPr>
          <w:i/>
        </w:rPr>
        <w:t xml:space="preserve"> или </w:t>
      </w:r>
      <w:r w:rsidR="00240C64" w:rsidRPr="001838D7">
        <w:rPr>
          <w:i/>
        </w:rPr>
        <w:t>без</w:t>
      </w:r>
      <w:r w:rsidR="00240C64">
        <w:rPr>
          <w:i/>
        </w:rPr>
        <w:t xml:space="preserve"> них</w:t>
      </w:r>
      <w:r w:rsidRPr="001838D7">
        <w:rPr>
          <w:i/>
        </w:rPr>
        <w:t>, с тонкостенными сосудами капиллярного/венулярного типа; обычно разрозненно расположены крупные клетки с морфологией параиммунобластов, иногда присутствуют псевдофолликулы (пролифе</w:t>
      </w:r>
      <w:r w:rsidR="00240C64">
        <w:rPr>
          <w:i/>
        </w:rPr>
        <w:softHyphen/>
      </w:r>
      <w:r w:rsidRPr="001838D7">
        <w:rPr>
          <w:i/>
        </w:rPr>
        <w:t>ративные центры). При иммуногистохимическом исследовании лимфоидный пролиферат характеризуется экспрессией CD20 (гетерогенная по интенсивности, преимущественно слабая мембранная реакция), CD79a, IgM, ядерной экспрессией PAX 5, LEF1 (ядерная реакция), коэкспрессией CD5 (мембранная реакция) и CD23 (мембранная реакция), CD43 при отсутствии экспрессии CD10, BCL-6, Cyclin D1. Экспрессия LEF1 (ядерная экспрессия) более интенсивно выражена в клетках пролиферативных центров, в клетках с морфологией пролимфоцитов. Для клеток пролиферативных центров характерна более интенсивная экспрессия CD20, IgM, LEF1, иногда часть клеток псевдофолликулов (пролиферативных цен</w:t>
      </w:r>
      <w:r w:rsidR="00240C64">
        <w:rPr>
          <w:i/>
        </w:rPr>
        <w:t>тров) экспрессирует cyclin D1 (</w:t>
      </w:r>
      <w:r w:rsidRPr="001838D7">
        <w:rPr>
          <w:i/>
        </w:rPr>
        <w:t>слабая ядерная реакция</w:t>
      </w:r>
      <w:r w:rsidR="00240C64">
        <w:rPr>
          <w:i/>
        </w:rPr>
        <w:t>).</w:t>
      </w:r>
      <w:r w:rsidRPr="001838D7">
        <w:rPr>
          <w:i/>
        </w:rPr>
        <w:t xml:space="preserve"> Индекс пр</w:t>
      </w:r>
      <w:r w:rsidR="00240C64">
        <w:rPr>
          <w:i/>
        </w:rPr>
        <w:t>олиферативной активности Ki-67</w:t>
      </w:r>
      <w:r w:rsidRPr="001838D7">
        <w:rPr>
          <w:i/>
        </w:rPr>
        <w:t xml:space="preserve"> невысокий, обычно составляет 5</w:t>
      </w:r>
      <w:r w:rsidR="00240C64">
        <w:rPr>
          <w:i/>
        </w:rPr>
        <w:t>–</w:t>
      </w:r>
      <w:r w:rsidRPr="001838D7">
        <w:rPr>
          <w:i/>
        </w:rPr>
        <w:t>15</w:t>
      </w:r>
      <w:r w:rsidR="00DD3D1E">
        <w:rPr>
          <w:i/>
        </w:rPr>
        <w:t xml:space="preserve"> %</w:t>
      </w:r>
      <w:r w:rsidRPr="001838D7">
        <w:rPr>
          <w:i/>
        </w:rPr>
        <w:t xml:space="preserve"> позитивных клеток в зонах диффузного мелкоклеточного инфильтрата. При иммуногистохимическом исследовании на парафиновом материале может отсутствовать экспрессия CD5 </w:t>
      </w:r>
      <w:r w:rsidR="00240C64">
        <w:rPr>
          <w:i/>
        </w:rPr>
        <w:br/>
      </w:r>
      <w:r w:rsidRPr="001838D7">
        <w:rPr>
          <w:i/>
        </w:rPr>
        <w:t>(до 20</w:t>
      </w:r>
      <w:r w:rsidR="00240C64">
        <w:rPr>
          <w:i/>
        </w:rPr>
        <w:t>–</w:t>
      </w:r>
      <w:r w:rsidRPr="001838D7">
        <w:rPr>
          <w:i/>
        </w:rPr>
        <w:t>25</w:t>
      </w:r>
      <w:r w:rsidR="00DD3D1E">
        <w:rPr>
          <w:i/>
        </w:rPr>
        <w:t xml:space="preserve"> %</w:t>
      </w:r>
      <w:r w:rsidRPr="001838D7">
        <w:rPr>
          <w:i/>
        </w:rPr>
        <w:t xml:space="preserve"> случаев). Экспрессией BCL-2 характеризуются все варианты мелкоклеточных В-клеточных лимфом, коэкспрессия IgM и IgD характерна для лимфоцитарной лимфомы и лимфомы из клеток мантии. Экспрессия LEF1 характерна для лимфоцитарной лимфомы с трансформацией в диффузную В-клеточную крупноклеточную лимфому (синдром</w:t>
      </w:r>
      <w:r w:rsidR="00240C64">
        <w:rPr>
          <w:i/>
        </w:rPr>
        <w:t>а</w:t>
      </w:r>
      <w:r w:rsidRPr="001838D7">
        <w:rPr>
          <w:i/>
        </w:rPr>
        <w:t xml:space="preserve"> Рихтера) и позволяет провести дифференциальную диагностику с CD5+ диффузной </w:t>
      </w:r>
      <w:r w:rsidR="00240C64">
        <w:rPr>
          <w:i/>
        </w:rPr>
        <w:br/>
      </w:r>
      <w:r w:rsidRPr="001838D7">
        <w:rPr>
          <w:i/>
        </w:rPr>
        <w:t xml:space="preserve">В-клеточной крупноклеточной лимфомой. </w:t>
      </w:r>
    </w:p>
    <w:p w14:paraId="243784D0" w14:textId="77777777" w:rsidR="00914D5A" w:rsidRDefault="00914D5A" w:rsidP="00E92E00">
      <w:pPr>
        <w:contextualSpacing/>
        <w:rPr>
          <w:i/>
        </w:rPr>
      </w:pPr>
      <w:r w:rsidRPr="00E45A5B">
        <w:rPr>
          <w:i/>
        </w:rPr>
        <w:lastRenderedPageBreak/>
        <w:t>Получение гистологического препарата костного мозга (трепанобиопсия костного мозга) не требуется для подтверждения и формулирования диагноза ХЛЛ/ЛМЛ.</w:t>
      </w:r>
    </w:p>
    <w:p w14:paraId="00EEE8D9" w14:textId="77777777" w:rsidR="00914D5A" w:rsidRDefault="00914D5A" w:rsidP="00E92E00">
      <w:pPr>
        <w:contextualSpacing/>
        <w:rPr>
          <w:i/>
        </w:rPr>
      </w:pPr>
      <w:r w:rsidRPr="00E45A5B">
        <w:rPr>
          <w:i/>
        </w:rPr>
        <w:t>Био</w:t>
      </w:r>
      <w:r w:rsidR="00240C64">
        <w:rPr>
          <w:i/>
        </w:rPr>
        <w:t>псия костного мозга является не</w:t>
      </w:r>
      <w:r w:rsidRPr="00E45A5B">
        <w:rPr>
          <w:i/>
        </w:rPr>
        <w:t xml:space="preserve">обязательной, но желательной процедурой перед началом терапии. </w:t>
      </w:r>
      <w:r w:rsidR="000648CB">
        <w:rPr>
          <w:i/>
        </w:rPr>
        <w:t xml:space="preserve">ХЛЛ </w:t>
      </w:r>
      <w:r w:rsidRPr="00E45A5B">
        <w:rPr>
          <w:i/>
        </w:rPr>
        <w:t>нередко сочетается с другими опухолями, которые могут метастазировать в костный мозг</w:t>
      </w:r>
      <w:r w:rsidR="00240C64">
        <w:rPr>
          <w:i/>
        </w:rPr>
        <w:t>,</w:t>
      </w:r>
      <w:r w:rsidRPr="00E45A5B">
        <w:rPr>
          <w:i/>
        </w:rPr>
        <w:t xml:space="preserve"> выявляться только п</w:t>
      </w:r>
      <w:r w:rsidR="00240C64">
        <w:rPr>
          <w:i/>
        </w:rPr>
        <w:t>ри</w:t>
      </w:r>
      <w:r w:rsidRPr="00E45A5B">
        <w:rPr>
          <w:i/>
        </w:rPr>
        <w:t xml:space="preserve"> биопсии и даже быть причиной цитопении. Иммунохимиотерапия </w:t>
      </w:r>
      <w:r w:rsidR="00240C64">
        <w:rPr>
          <w:i/>
        </w:rPr>
        <w:t>в флударабин-содержащем</w:t>
      </w:r>
      <w:r w:rsidRPr="00E45A5B">
        <w:rPr>
          <w:i/>
        </w:rPr>
        <w:t xml:space="preserve"> режим</w:t>
      </w:r>
      <w:r w:rsidR="00240C64">
        <w:rPr>
          <w:i/>
        </w:rPr>
        <w:t>е</w:t>
      </w:r>
      <w:r w:rsidRPr="00E45A5B">
        <w:rPr>
          <w:i/>
        </w:rPr>
        <w:t xml:space="preserve"> нередко осложняется цитопени</w:t>
      </w:r>
      <w:r w:rsidR="00240C64">
        <w:rPr>
          <w:i/>
        </w:rPr>
        <w:t>ей</w:t>
      </w:r>
      <w:r w:rsidRPr="00E45A5B">
        <w:rPr>
          <w:i/>
        </w:rPr>
        <w:t>. Наличие исходного образца костного мозга позволяет дифференцировать прогресси</w:t>
      </w:r>
      <w:r w:rsidR="00240C64">
        <w:rPr>
          <w:i/>
        </w:rPr>
        <w:t>рование</w:t>
      </w:r>
      <w:r w:rsidRPr="00E45A5B">
        <w:rPr>
          <w:i/>
        </w:rPr>
        <w:t xml:space="preserve">, аплазию, развитие миелодиспластического </w:t>
      </w:r>
      <w:r w:rsidRPr="006F07FF">
        <w:rPr>
          <w:i/>
        </w:rPr>
        <w:t>синдрома/</w:t>
      </w:r>
      <w:r w:rsidR="00240C64" w:rsidRPr="006F07FF">
        <w:rPr>
          <w:i/>
        </w:rPr>
        <w:t>острого миелоидного лейкоза, аутоиммун</w:t>
      </w:r>
      <w:r w:rsidRPr="006F07FF">
        <w:rPr>
          <w:i/>
        </w:rPr>
        <w:t>ные цитопении.</w:t>
      </w:r>
    </w:p>
    <w:p w14:paraId="71FCA6FB" w14:textId="1FE03743" w:rsidR="00DF6A3A" w:rsidRDefault="0015137D" w:rsidP="00D61785">
      <w:pPr>
        <w:pStyle w:val="a4"/>
        <w:numPr>
          <w:ilvl w:val="0"/>
          <w:numId w:val="50"/>
        </w:numPr>
        <w:spacing w:before="0"/>
      </w:pPr>
      <w:r w:rsidRPr="00F07AFC">
        <w:t xml:space="preserve">Всем пациентам с ХЛЛ/ЛМЛ перед началом 1-й и всех последующих линий терапии по возможности </w:t>
      </w:r>
      <w:r w:rsidRPr="006F07FF">
        <w:rPr>
          <w:b/>
        </w:rPr>
        <w:t>рекомендуется</w:t>
      </w:r>
      <w:r w:rsidRPr="005D3BBD">
        <w:t xml:space="preserve"> </w:t>
      </w:r>
      <w:r w:rsidRPr="00F07AFC">
        <w:t xml:space="preserve">проведение цитогенетического исследования (кариотип) </w:t>
      </w:r>
      <w:r w:rsidR="00F07AFC" w:rsidRPr="006F07FF">
        <w:t>для исключения комплексного кариотипа</w:t>
      </w:r>
      <w:r w:rsidR="00DF6A3A">
        <w:t xml:space="preserve"> </w:t>
      </w:r>
      <w:r w:rsidR="00DF6A3A">
        <w:fldChar w:fldCharType="begin" w:fldLock="1"/>
      </w:r>
      <w:r w:rsidR="00DB3D2B">
        <w:instrText>ADDIN CSL_CITATION {"citationItems":[{"id":"ITEM-1","itemData":{"DOI":"10.1182/blood-2018-09-873083","ISSN":"15280020","PMID":"30602617","abstract":"Recent evidence suggests that complex karyotype (CK) defined by the presence of ≥3 chromosomal aberrations (structural and/or numerical) identified by using chromosomebanding analysis (CBA) may be relevant for treatment decision-making in chronic lymphocytic leukemia (CLL). However, many challenges toward the routine clinical application of CBA remain. In a retrospective study of 5290 patients with available CBA data, we explored both clinicobiological associations and the clinical impact of CK in CLL. We found that patients with ≥5 abnormalities, defined as high-CK, exhibit uniformly dismal clinical outcomes, independently of clinical stage, TP53 aberrations (deletion of chromosome 17p and/or TP53 mutations [TP53abs]), and the expression of somatically hypermutated (M-CLL) or unmutated immunoglobulin heavy variable genes. Thus, they contrasted with CK cases with 3 or 4 aberrations (low-CK and intermediate-CK, respectively) who followed aggressive disease courses only in the presence of TP53abs. At the other end of the spectrum, patients with CK and +12,+19 displayed an exceptionally indolent profile. Building upon CK, TP53abs, and immunoglobulin heavy variable gene somatic hypermutation status, we propose a novel hierarchical model in which patients with high-CK exhibit the worst prognosis, whereas those with mutated CLL lacking CK or TP53abs, as well as CK with +12,+19, show the longest overall survival. Thus, CK should not be axiomatically considered unfavorable in CLL, representing a heterogeneous group with variable clinical behavior. High-CK with ≥5 chromosomal aberrations emerges as prognostically adverse, independent of other biomarkers. Prospective clinical validation is warranted before ultimately incorporating high-CK in risk stratification of CLL.","author":[{"dropping-particle":"","family":"Baliakas","given":"Panagiotis","non-dropping-particle":"","parse-names":false,"suffix":""},{"dropping-particle":"","family":"Jeromin","given":"Sabine","non-dropping-particle":"","parse-names":false,"suffix":""},{"dropping-particle":"","family":"Iskas","given":"Michalis","non-dropping-particle":"","parse-names":false,"suffix":""},{"dropping-particle":"","family":"Puiggros","given":"Anna","non-dropping-particle":"","parse-names":false,"suffix":""},{"dropping-particle":"","family":"Plevova","given":"Karla","non-dropping-particle":"","parse-names":false,"suffix":""},{"dropping-particle":"","family":"Nguyen-Khac","given":"Florence","non-dropping-particle":"","parse-names":false,"suffix":""},{"dropping-particle":"","family":"Davis","given":"Zadie","non-dropping-particle":"","parse-names":false,"suffix":""},{"dropping-particle":"","family":"Matteo Rigolin","given":"Gian","non-dropping-particle":"","parse-names":false,"suffix":""},{"dropping-particle":"","family":"Visentin","given":"Andrea","non-dropping-particle":"","parse-names":false,"suffix":""},{"dropping-particle":"","family":"Xochelli","given":"Aliki","non-dropping-particle":"","parse-names":false,"suffix":""},{"dropping-particle":"","family":"Delgado","given":"Julio","non-dropping-particle":"","parse-names":false,"suffix":""},{"dropping-particle":"","family":"Baran-Marszak","given":"Fanny","non-dropping-particle":"","parse-names":false,"suffix":""},{"dropping-particle":"","family":"Stalika","given":"Evangelia","non-dropping-particle":"","parse-names":false,"suffix":""},{"dropping-particle":"","family":"Abrisqueta","given":"Pau","non-dropping-particle":"","parse-names":false,"suffix":""},{"dropping-particle":"","family":"Durechova","given":"Kristina","non-dropping-particle":"","parse-names":false,"suffix":""},{"dropping-particle":"","family":"Papaioannou","given":"George","non-dropping-particle":"","parse-names":false,"suffix":""},{"dropping-particle":"","family":"Eclache","given":"Virginie","non-dropping-particle":"","parse-names":false,"suffix":""},{"dropping-particle":"","family":"DImou","given":"Maria","non-dropping-particle":"","parse-names":false,"suffix":""},{"dropping-particle":"","family":"Iliakis","given":"Theodoros","non-dropping-particle":"","parse-names":false,"suffix":""},{"dropping-particle":"","family":"Collado","given":"Rosa","non-dropping-particle":"","parse-names":false,"suffix":""},{"dropping-particle":"","family":"Doubek","given":"Michael","non-dropping-particle":"","parse-names":false,"suffix":""},{"dropping-particle":"","family":"Calasanz","given":"M. Jose","non-dropping-particle":"","parse-names":false,"suffix":""},{"dropping-particle":"","family":"Ruiz-Xiville","given":"Neus","non-dropping-particle":"","parse-names":false,"suffix":""},{"dropping-particle":"","family":"Moreno","given":"Carolina","non-dropping-particle":"","parse-names":false,"suffix":""},{"dropping-particle":"","family":"Jarosova","given":"Marie","non-dropping-particle":"","parse-names":false,"suffix":""},{"dropping-particle":"","family":"Leeksma","given":"Alexander C.","non-dropping-particle":"","parse-names":false,"suffix":""},{"dropping-particle":"","family":"Panayiotidis","given":"Panayiotis","non-dropping-particle":"","parse-names":false,"suffix":""},{"dropping-particle":"","family":"Podgornik","given":"Helena","non-dropping-particle":"","parse-names":false,"suffix":""},{"dropping-particle":"","family":"Cymbalista","given":"Florence","non-dropping-particle":"","parse-names":false,"suffix":""},{"dropping-particle":"","family":"Anagnostopoulos","given":"Achilles","non-dropping-particle":"","parse-names":false,"suffix":""},{"dropping-particle":"","family":"Trentin","given":"Livio","non-dropping-particle":"","parse-names":false,"suffix":""},{"dropping-particle":"","family":"Stavroyianni","given":"Niki","non-dropping-particle":"","parse-names":false,"suffix":""},{"dropping-particle":"","family":"Davi","given":"Fred","non-dropping-particle":"","parse-names":false,"suffix":""},{"dropping-particle":"","family":"Ghia","given":"Paolo","non-dropping-particle":"","parse-names":false,"suffix":""},{"dropping-particle":"","family":"Kater","given":"Arnon P.","non-dropping-particle":"","parse-names":false,"suffix":""},{"dropping-particle":"","family":"Cuneo","given":"Antonio","non-dropping-particle":"","parse-names":false,"suffix":""},{"dropping-particle":"","family":"Pospisilova","given":"Sarka","non-dropping-particle":"","parse-names":false,"suffix":""},{"dropping-particle":"","family":"Espinet","given":"Blanca","non-dropping-particle":"","parse-names":false,"suffix":""},{"dropping-particle":"","family":"Athanasiadou","given":"Anastasia","non-dropping-particle":"","parse-names":false,"suffix":""},{"dropping-particle":"","family":"Oscier","given":"David","non-dropping-particle":"","parse-names":false,"suffix":""},{"dropping-particle":"","family":"Haferlach","given":"Claudia","non-dropping-particle":"","parse-names":false,"suffix":""},{"dropping-particle":"","family":"Stamatopoulos","given":"Kostas","non-dropping-particle":"","parse-names":false,"suffix":""}],"container-title":"Blood","id":"ITEM-1","issue":"11","issued":{"date-parts":[["2019"]]},"page":"1205-1216","publisher":"American Society of Hematology","title":"Cytogenetic complexity in chronic lymphocytic leukemia: Definitions, associations, and clinical impact","type":"article-journal","volume":"133"},"uris":["http://www.mendeley.com/documents/?uuid=402a20d5-2f05-3a4a-bf9c-bf29ca4d9a86"]}],"mendeley":{"formattedCitation":"[21]","plainTextFormattedCitation":"[21]","previouslyFormattedCitation":"[21]"},"properties":{"noteIndex":0},"schema":"https://github.com/citation-style-language/schema/raw/master/csl-citation.json"}</w:instrText>
      </w:r>
      <w:r w:rsidR="00DF6A3A">
        <w:fldChar w:fldCharType="separate"/>
      </w:r>
      <w:r w:rsidR="00DF6A3A" w:rsidRPr="00DF6A3A">
        <w:rPr>
          <w:noProof/>
        </w:rPr>
        <w:t>[21]</w:t>
      </w:r>
      <w:r w:rsidR="00DF6A3A">
        <w:fldChar w:fldCharType="end"/>
      </w:r>
    </w:p>
    <w:p w14:paraId="2128AD8A" w14:textId="77777777" w:rsidR="00DF6A3A" w:rsidRPr="00DF6A3A" w:rsidRDefault="00DF6A3A" w:rsidP="005D3BBD">
      <w:pPr>
        <w:pStyle w:val="a4"/>
        <w:ind w:left="436" w:firstLine="0"/>
        <w:contextualSpacing/>
        <w:rPr>
          <w:b/>
          <w:spacing w:val="-4"/>
        </w:rPr>
      </w:pPr>
      <w:r w:rsidRPr="00DF6A3A">
        <w:rPr>
          <w:b/>
          <w:spacing w:val="-4"/>
        </w:rPr>
        <w:t>Уровень убедительности рекомендаций – В (уровень достоверности доказательств – 3).</w:t>
      </w:r>
    </w:p>
    <w:p w14:paraId="686772AB" w14:textId="32D31882" w:rsidR="00C61327" w:rsidRDefault="00C61327" w:rsidP="00D61785">
      <w:pPr>
        <w:pStyle w:val="a4"/>
        <w:numPr>
          <w:ilvl w:val="0"/>
          <w:numId w:val="50"/>
        </w:numPr>
        <w:spacing w:before="0"/>
      </w:pPr>
      <w:r>
        <w:t>В</w:t>
      </w:r>
      <w:r w:rsidRPr="001A7456">
        <w:t xml:space="preserve">сем пациентам с ХЛЛ/ЛМЛ перед началом </w:t>
      </w:r>
      <w:r w:rsidR="00240C64">
        <w:t>1-</w:t>
      </w:r>
      <w:r w:rsidRPr="001A7456">
        <w:t xml:space="preserve">й и всех </w:t>
      </w:r>
      <w:r w:rsidRPr="00504D96">
        <w:t>последующих</w:t>
      </w:r>
      <w:r w:rsidRPr="001A7456">
        <w:t xml:space="preserve"> линий терапии </w:t>
      </w:r>
      <w:r w:rsidR="0015137D">
        <w:t xml:space="preserve">по возможности </w:t>
      </w:r>
      <w:r w:rsidRPr="00DF6A3A">
        <w:rPr>
          <w:b/>
        </w:rPr>
        <w:t>рекомендуется</w:t>
      </w:r>
      <w:r w:rsidRPr="005D3BBD">
        <w:t xml:space="preserve"> </w:t>
      </w:r>
      <w:r w:rsidRPr="001A7456">
        <w:t xml:space="preserve">проведение </w:t>
      </w:r>
      <w:r w:rsidR="006F4703">
        <w:t>молекулярно-</w:t>
      </w:r>
      <w:r w:rsidRPr="001A7456">
        <w:t>цитогенетического исследов</w:t>
      </w:r>
      <w:r w:rsidR="00830499">
        <w:t xml:space="preserve">ания </w:t>
      </w:r>
      <w:r w:rsidR="000453B0">
        <w:t>с применением метода флуоресцентной гибри</w:t>
      </w:r>
      <w:r w:rsidR="006F4703">
        <w:t>дизации (</w:t>
      </w:r>
      <w:r w:rsidR="00830499">
        <w:t>FISH</w:t>
      </w:r>
      <w:r w:rsidR="006F4703">
        <w:t xml:space="preserve">) </w:t>
      </w:r>
      <w:r w:rsidR="00830499">
        <w:t>на делецию 17</w:t>
      </w:r>
      <w:r w:rsidRPr="001A7456">
        <w:t xml:space="preserve">p и определение мутаций гена </w:t>
      </w:r>
      <w:r w:rsidRPr="005D3BBD">
        <w:t>TP53</w:t>
      </w:r>
      <w:r w:rsidR="00B458D2">
        <w:t xml:space="preserve">, а также (при наличии возможности) на </w:t>
      </w:r>
      <w:r w:rsidR="00B458D2" w:rsidRPr="00B458D2">
        <w:t>+12; del(11q)</w:t>
      </w:r>
      <w:r w:rsidR="00830499">
        <w:t>,</w:t>
      </w:r>
      <w:r w:rsidR="00B458D2" w:rsidRPr="00B458D2">
        <w:t xml:space="preserve"> del(13q)</w:t>
      </w:r>
      <w:r w:rsidR="00830499">
        <w:t>,</w:t>
      </w:r>
      <w:r w:rsidR="00B458D2" w:rsidRPr="00B458D2">
        <w:t xml:space="preserve"> del(17p)</w:t>
      </w:r>
      <w:r w:rsidRPr="00C61327">
        <w:t xml:space="preserve"> </w:t>
      </w:r>
      <w:r>
        <w:t>для определения прогностической группы и выработки тактики лечения</w:t>
      </w:r>
      <w:r w:rsidRPr="00C61327">
        <w:t xml:space="preserve"> </w:t>
      </w:r>
      <w:r w:rsidR="000B0AC3">
        <w:fldChar w:fldCharType="begin" w:fldLock="1"/>
      </w:r>
      <w:r w:rsidR="00FF043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Pr="00C61327">
        <w:rPr>
          <w:noProof/>
        </w:rPr>
        <w:t>[14]</w:t>
      </w:r>
      <w:r w:rsidR="000B0AC3">
        <w:fldChar w:fldCharType="end"/>
      </w:r>
      <w:r w:rsidRPr="001A7456">
        <w:t>.</w:t>
      </w:r>
    </w:p>
    <w:p w14:paraId="63A6FFE8" w14:textId="77777777" w:rsidR="00C61327" w:rsidRPr="00240C64" w:rsidRDefault="00C61327" w:rsidP="005D3BBD">
      <w:pPr>
        <w:ind w:left="426"/>
        <w:contextualSpacing/>
        <w:rPr>
          <w:b/>
          <w:spacing w:val="-4"/>
        </w:rPr>
      </w:pPr>
      <w:r w:rsidRPr="00240C64">
        <w:rPr>
          <w:b/>
          <w:spacing w:val="-4"/>
        </w:rPr>
        <w:t xml:space="preserve">Уровень убедительности </w:t>
      </w:r>
      <w:r w:rsidR="00C20509" w:rsidRPr="00240C64">
        <w:rPr>
          <w:b/>
          <w:spacing w:val="-4"/>
        </w:rPr>
        <w:t xml:space="preserve">рекомендаций – </w:t>
      </w:r>
      <w:r w:rsidRPr="00240C64">
        <w:rPr>
          <w:b/>
          <w:spacing w:val="-4"/>
        </w:rPr>
        <w:t xml:space="preserve">А (уровень достоверности </w:t>
      </w:r>
      <w:r w:rsidR="00C20509" w:rsidRPr="00240C64">
        <w:rPr>
          <w:b/>
          <w:spacing w:val="-4"/>
        </w:rPr>
        <w:t xml:space="preserve">доказательств – </w:t>
      </w:r>
      <w:r w:rsidR="00CF0415">
        <w:rPr>
          <w:b/>
          <w:spacing w:val="-4"/>
        </w:rPr>
        <w:t>2</w:t>
      </w:r>
      <w:r w:rsidRPr="00240C64">
        <w:rPr>
          <w:b/>
          <w:spacing w:val="-4"/>
        </w:rPr>
        <w:t>).</w:t>
      </w:r>
    </w:p>
    <w:p w14:paraId="18B46144" w14:textId="77777777" w:rsidR="00C61327" w:rsidRDefault="00C61327" w:rsidP="00DF6A3A">
      <w:pPr>
        <w:ind w:firstLine="426"/>
        <w:contextualSpacing/>
        <w:rPr>
          <w:i/>
        </w:rPr>
      </w:pPr>
      <w:r>
        <w:rPr>
          <w:b/>
        </w:rPr>
        <w:t>Комментарии</w:t>
      </w:r>
      <w:r w:rsidRPr="001A7456">
        <w:rPr>
          <w:b/>
        </w:rPr>
        <w:t>:</w:t>
      </w:r>
      <w:r>
        <w:rPr>
          <w:b/>
        </w:rPr>
        <w:t xml:space="preserve"> </w:t>
      </w:r>
      <w:r w:rsidR="00240C64">
        <w:rPr>
          <w:i/>
        </w:rPr>
        <w:t>д</w:t>
      </w:r>
      <w:r w:rsidRPr="001A7456">
        <w:rPr>
          <w:i/>
        </w:rPr>
        <w:t xml:space="preserve">елеция </w:t>
      </w:r>
      <w:r w:rsidR="00240C64">
        <w:rPr>
          <w:i/>
        </w:rPr>
        <w:t>17p</w:t>
      </w:r>
      <w:r w:rsidRPr="001A7456">
        <w:rPr>
          <w:i/>
        </w:rPr>
        <w:t xml:space="preserve"> является главным цитогенетическим маркером, непосредственно влияющим на терапевтическую тактику. Рекомендуется проводить скрининг на делецию 17p у всех пациентов, имеющих показания к началу терапии</w:t>
      </w:r>
      <w:r w:rsidR="00830499">
        <w:rPr>
          <w:i/>
        </w:rPr>
        <w:t>,</w:t>
      </w:r>
      <w:r w:rsidRPr="001A7456">
        <w:rPr>
          <w:i/>
        </w:rPr>
        <w:t xml:space="preserve"> и/или при неэффективности стандартной терапии, особенно</w:t>
      </w:r>
      <w:r w:rsidR="00830499">
        <w:rPr>
          <w:i/>
        </w:rPr>
        <w:t xml:space="preserve"> у</w:t>
      </w:r>
      <w:r w:rsidRPr="001A7456">
        <w:rPr>
          <w:i/>
        </w:rPr>
        <w:t xml:space="preserve"> пациент</w:t>
      </w:r>
      <w:r w:rsidR="00830499">
        <w:rPr>
          <w:i/>
        </w:rPr>
        <w:t>ов</w:t>
      </w:r>
      <w:r w:rsidRPr="001A7456">
        <w:rPr>
          <w:i/>
        </w:rPr>
        <w:t xml:space="preserve"> моложе 55 лет, </w:t>
      </w:r>
      <w:r w:rsidR="00830499">
        <w:rPr>
          <w:i/>
        </w:rPr>
        <w:t xml:space="preserve">у </w:t>
      </w:r>
      <w:r w:rsidRPr="001A7456">
        <w:rPr>
          <w:i/>
        </w:rPr>
        <w:t>которы</w:t>
      </w:r>
      <w:r w:rsidR="00830499">
        <w:rPr>
          <w:i/>
        </w:rPr>
        <w:t>х</w:t>
      </w:r>
      <w:r w:rsidRPr="001A7456">
        <w:rPr>
          <w:i/>
        </w:rPr>
        <w:t xml:space="preserve"> может быть проведена аллогенная трансплантация.</w:t>
      </w:r>
    </w:p>
    <w:p w14:paraId="5B043C74" w14:textId="77777777" w:rsidR="00E97E28" w:rsidRDefault="00E97E28" w:rsidP="00830EF8">
      <w:pPr>
        <w:contextualSpacing/>
        <w:rPr>
          <w:i/>
        </w:rPr>
      </w:pPr>
      <w:r w:rsidRPr="003147A2">
        <w:rPr>
          <w:i/>
        </w:rPr>
        <w:t>В настоящее время благодаря методам глубокого секвенирования установлено, что большинство случаев рефрактерности обусловлено утратой TP53 либо за счет делеции в сочетании с мутациями, либо за счет мутаций гена. Поэтому сегодня выполнени</w:t>
      </w:r>
      <w:r w:rsidR="00830499">
        <w:rPr>
          <w:i/>
        </w:rPr>
        <w:t>е FISH на </w:t>
      </w:r>
      <w:r w:rsidRPr="003147A2">
        <w:rPr>
          <w:i/>
        </w:rPr>
        <w:t>делецию 17</w:t>
      </w:r>
      <w:r w:rsidRPr="003147A2">
        <w:rPr>
          <w:i/>
          <w:lang w:val="en-US"/>
        </w:rPr>
        <w:t>p</w:t>
      </w:r>
      <w:r w:rsidR="00830499">
        <w:rPr>
          <w:i/>
        </w:rPr>
        <w:t xml:space="preserve"> недостаточно. Для того</w:t>
      </w:r>
      <w:r w:rsidRPr="003147A2">
        <w:rPr>
          <w:i/>
        </w:rPr>
        <w:t xml:space="preserve"> чтобы идентифицировать наибольшее число </w:t>
      </w:r>
      <w:r>
        <w:rPr>
          <w:i/>
        </w:rPr>
        <w:t>пациентов</w:t>
      </w:r>
      <w:r w:rsidRPr="003147A2">
        <w:rPr>
          <w:i/>
        </w:rPr>
        <w:t xml:space="preserve"> с устойчивостью к иммунохимиотерапии, необходимо также исследовать мутации </w:t>
      </w:r>
      <w:r w:rsidRPr="003147A2">
        <w:rPr>
          <w:i/>
          <w:lang w:val="en-US"/>
        </w:rPr>
        <w:t>TP</w:t>
      </w:r>
      <w:r w:rsidRPr="003147A2">
        <w:rPr>
          <w:i/>
        </w:rPr>
        <w:t>53. Наличие мутации констатируется, если число клеток с мутацией превышает 10</w:t>
      </w:r>
      <w:r w:rsidR="00DD3D1E">
        <w:rPr>
          <w:i/>
        </w:rPr>
        <w:t xml:space="preserve"> %</w:t>
      </w:r>
      <w:r w:rsidRPr="003147A2">
        <w:rPr>
          <w:i/>
        </w:rPr>
        <w:t>.</w:t>
      </w:r>
    </w:p>
    <w:p w14:paraId="4C90044F" w14:textId="0E37E4FB" w:rsidR="00C61327" w:rsidRDefault="00C61327" w:rsidP="00D61785">
      <w:pPr>
        <w:pStyle w:val="a4"/>
        <w:numPr>
          <w:ilvl w:val="0"/>
          <w:numId w:val="50"/>
        </w:numPr>
        <w:spacing w:before="0"/>
      </w:pPr>
      <w:r>
        <w:lastRenderedPageBreak/>
        <w:t>В</w:t>
      </w:r>
      <w:r w:rsidRPr="00BB7621">
        <w:t xml:space="preserve">сем пациентам с ХЛЛ/ЛМЛ </w:t>
      </w:r>
      <w:r>
        <w:t xml:space="preserve">на момент установления диагноза </w:t>
      </w:r>
      <w:r w:rsidR="003A6C60">
        <w:t xml:space="preserve">по возможности </w:t>
      </w:r>
      <w:r w:rsidRPr="006F07FF">
        <w:rPr>
          <w:b/>
        </w:rPr>
        <w:t>рекомендуется</w:t>
      </w:r>
      <w:r w:rsidRPr="00BB7621">
        <w:t xml:space="preserve"> определение мутации </w:t>
      </w:r>
      <w:r w:rsidR="00830499">
        <w:t xml:space="preserve">генов </w:t>
      </w:r>
      <w:r w:rsidRPr="005D3BBD">
        <w:t>IGHV</w:t>
      </w:r>
      <w:r w:rsidRPr="00BB7621">
        <w:t xml:space="preserve"> для уточнения прогноза заболевания</w:t>
      </w:r>
      <w:r w:rsidR="00B458D2">
        <w:t xml:space="preserve"> </w:t>
      </w:r>
      <w:r w:rsidR="000B0AC3">
        <w:fldChar w:fldCharType="begin" w:fldLock="1"/>
      </w:r>
      <w:r w:rsidR="00FF043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00B458D2" w:rsidRPr="00C61327">
        <w:rPr>
          <w:noProof/>
        </w:rPr>
        <w:t>[14]</w:t>
      </w:r>
      <w:r w:rsidR="000B0AC3">
        <w:fldChar w:fldCharType="end"/>
      </w:r>
      <w:r w:rsidRPr="00BB7621">
        <w:t>.</w:t>
      </w:r>
    </w:p>
    <w:p w14:paraId="4C022031" w14:textId="77777777" w:rsidR="00C61327" w:rsidRPr="00830499" w:rsidRDefault="00C61327" w:rsidP="005D3BBD">
      <w:pPr>
        <w:ind w:left="426"/>
        <w:contextualSpacing/>
        <w:rPr>
          <w:b/>
          <w:spacing w:val="-4"/>
        </w:rPr>
      </w:pPr>
      <w:r w:rsidRPr="00830499">
        <w:rPr>
          <w:b/>
          <w:spacing w:val="-4"/>
        </w:rPr>
        <w:t xml:space="preserve">Уровень убедительности </w:t>
      </w:r>
      <w:r w:rsidR="00C20509" w:rsidRPr="00830499">
        <w:rPr>
          <w:b/>
          <w:spacing w:val="-4"/>
        </w:rPr>
        <w:t xml:space="preserve">рекомендаций – </w:t>
      </w:r>
      <w:r w:rsidRPr="00830499">
        <w:rPr>
          <w:b/>
          <w:spacing w:val="-4"/>
        </w:rPr>
        <w:t xml:space="preserve">А (уровень достоверности </w:t>
      </w:r>
      <w:r w:rsidR="00C20509" w:rsidRPr="00830499">
        <w:rPr>
          <w:b/>
          <w:spacing w:val="-4"/>
        </w:rPr>
        <w:t xml:space="preserve">доказательств – </w:t>
      </w:r>
      <w:r w:rsidR="00780F52">
        <w:rPr>
          <w:b/>
          <w:spacing w:val="-4"/>
        </w:rPr>
        <w:t>2</w:t>
      </w:r>
      <w:r w:rsidRPr="00830499">
        <w:rPr>
          <w:b/>
          <w:spacing w:val="-4"/>
        </w:rPr>
        <w:t>).</w:t>
      </w:r>
    </w:p>
    <w:p w14:paraId="0899DB4F" w14:textId="77777777" w:rsidR="00C61327" w:rsidRDefault="00C61327" w:rsidP="00DF6A3A">
      <w:pPr>
        <w:ind w:firstLine="426"/>
        <w:contextualSpacing/>
        <w:rPr>
          <w:i/>
        </w:rPr>
      </w:pPr>
      <w:bookmarkStart w:id="38" w:name="_Hlk18851171"/>
      <w:r w:rsidRPr="00BB7621">
        <w:rPr>
          <w:b/>
        </w:rPr>
        <w:t>Комментарии:</w:t>
      </w:r>
      <w:r w:rsidRPr="001D75FE">
        <w:rPr>
          <w:b/>
        </w:rPr>
        <w:t xml:space="preserve"> </w:t>
      </w:r>
      <w:r w:rsidRPr="00BB7621">
        <w:rPr>
          <w:i/>
        </w:rPr>
        <w:t>мутации генов IGHV имеют</w:t>
      </w:r>
      <w:r w:rsidRPr="00383556">
        <w:rPr>
          <w:i/>
        </w:rPr>
        <w:t xml:space="preserve"> прогностическое значение. В настоящее время прогноз у пациентов с </w:t>
      </w:r>
      <w:bookmarkEnd w:id="38"/>
      <w:r w:rsidRPr="00383556">
        <w:rPr>
          <w:i/>
        </w:rPr>
        <w:t xml:space="preserve">ХЛЛ оценивают по международному прогностическому индексу для ХЛЛ (см. раздел 5.1). Индекс требует оценки </w:t>
      </w:r>
      <w:r w:rsidR="00830499">
        <w:rPr>
          <w:i/>
        </w:rPr>
        <w:t xml:space="preserve">уровня </w:t>
      </w:r>
      <w:r w:rsidRPr="00383556">
        <w:rPr>
          <w:i/>
        </w:rPr>
        <w:t xml:space="preserve">β2-микроглобулина, мутационного статуса IGHV, а также </w:t>
      </w:r>
      <w:r w:rsidRPr="00136052">
        <w:rPr>
          <w:i/>
        </w:rPr>
        <w:t xml:space="preserve">цитогенетического исследования. </w:t>
      </w:r>
      <w:r w:rsidR="00830499">
        <w:rPr>
          <w:i/>
        </w:rPr>
        <w:t>Определение</w:t>
      </w:r>
      <w:r w:rsidRPr="00136052">
        <w:rPr>
          <w:i/>
        </w:rPr>
        <w:t xml:space="preserve"> этих показателей</w:t>
      </w:r>
      <w:r w:rsidR="00830499">
        <w:rPr>
          <w:i/>
        </w:rPr>
        <w:t xml:space="preserve"> желательно</w:t>
      </w:r>
      <w:r w:rsidRPr="00136052">
        <w:rPr>
          <w:i/>
        </w:rPr>
        <w:t xml:space="preserve">. У пациентов с мутациями IGHV без факторов неблагоприятного прогноза, достигших МОБ-негативной ремиссии после 3 циклов, возможно сокращение доз препаратов или числа циклов FCR. При этом ремиссии у данной группы </w:t>
      </w:r>
      <w:r w:rsidR="00573998">
        <w:rPr>
          <w:i/>
        </w:rPr>
        <w:t>пациентов</w:t>
      </w:r>
      <w:r w:rsidR="00573998" w:rsidRPr="00136052">
        <w:rPr>
          <w:i/>
        </w:rPr>
        <w:t xml:space="preserve"> </w:t>
      </w:r>
      <w:r w:rsidRPr="00136052">
        <w:rPr>
          <w:i/>
        </w:rPr>
        <w:t>столь же длительны.</w:t>
      </w:r>
      <w:r w:rsidR="00830499">
        <w:rPr>
          <w:i/>
        </w:rPr>
        <w:t xml:space="preserve"> </w:t>
      </w:r>
      <w:r w:rsidRPr="00136052">
        <w:rPr>
          <w:i/>
        </w:rPr>
        <w:t>С учетом высокой информативной ценности в отношении</w:t>
      </w:r>
      <w:r w:rsidRPr="00383556">
        <w:rPr>
          <w:i/>
        </w:rPr>
        <w:t xml:space="preserve"> времени до терапии, эффективности иммунохимиотерапии, времени до рецидива мутационный статус генов</w:t>
      </w:r>
      <w:r w:rsidR="00830499">
        <w:rPr>
          <w:i/>
        </w:rPr>
        <w:t xml:space="preserve"> </w:t>
      </w:r>
      <w:r w:rsidR="00830499" w:rsidRPr="00BB7621">
        <w:rPr>
          <w:i/>
        </w:rPr>
        <w:t>IGHV</w:t>
      </w:r>
      <w:r w:rsidRPr="00383556">
        <w:rPr>
          <w:i/>
        </w:rPr>
        <w:t xml:space="preserve"> рекомендуется по возможности</w:t>
      </w:r>
      <w:r w:rsidR="00830499">
        <w:rPr>
          <w:i/>
        </w:rPr>
        <w:t xml:space="preserve"> </w:t>
      </w:r>
      <w:r w:rsidR="00830499" w:rsidRPr="00383556">
        <w:rPr>
          <w:i/>
        </w:rPr>
        <w:t>определять</w:t>
      </w:r>
      <w:r w:rsidRPr="00383556">
        <w:rPr>
          <w:i/>
        </w:rPr>
        <w:t>, однако данное исследование не является обязательным вне клинических исследований.</w:t>
      </w:r>
      <w:r w:rsidR="00830499">
        <w:rPr>
          <w:i/>
        </w:rPr>
        <w:t xml:space="preserve"> </w:t>
      </w:r>
    </w:p>
    <w:p w14:paraId="1CD69530" w14:textId="77777777" w:rsidR="00FF043E" w:rsidRPr="00132B9F" w:rsidRDefault="00FF043E" w:rsidP="005D3BBD">
      <w:pPr>
        <w:pStyle w:val="3"/>
        <w:spacing w:before="0"/>
      </w:pPr>
      <w:r>
        <w:t>2.3.2. Другие обязательные лабораторные исследования</w:t>
      </w:r>
    </w:p>
    <w:p w14:paraId="6F261EF0" w14:textId="77777777" w:rsidR="00E44215" w:rsidRDefault="00E44215" w:rsidP="00D61785">
      <w:pPr>
        <w:pStyle w:val="a4"/>
        <w:numPr>
          <w:ilvl w:val="0"/>
          <w:numId w:val="50"/>
        </w:numPr>
        <w:spacing w:before="0"/>
      </w:pPr>
      <w:r>
        <w:t xml:space="preserve">Всем пациентам с ХЛЛ/ЛМЛ перед проведением </w:t>
      </w:r>
      <w:r w:rsidR="00830499">
        <w:t>1-й</w:t>
      </w:r>
      <w:r>
        <w:t xml:space="preserve"> линии </w:t>
      </w:r>
      <w:r w:rsidRPr="00504D96">
        <w:t>противоопухолевой</w:t>
      </w:r>
      <w:r>
        <w:t xml:space="preserve"> терапии </w:t>
      </w:r>
      <w:r w:rsidRPr="00766C8A">
        <w:rPr>
          <w:b/>
        </w:rPr>
        <w:t>рекомендуется</w:t>
      </w:r>
      <w:r w:rsidR="00AA43CB" w:rsidRPr="00766C8A">
        <w:rPr>
          <w:b/>
        </w:rPr>
        <w:t xml:space="preserve"> </w:t>
      </w:r>
      <w:r w:rsidR="00B5142F">
        <w:t>о</w:t>
      </w:r>
      <w:r w:rsidR="00B5142F" w:rsidRPr="00B5142F">
        <w:t>пределение основных групп крови по системе AB0, определение антигена</w:t>
      </w:r>
      <w:r w:rsidR="00830499">
        <w:t> </w:t>
      </w:r>
      <w:r w:rsidR="00B5142F" w:rsidRPr="00B5142F">
        <w:t xml:space="preserve">D системы </w:t>
      </w:r>
      <w:r w:rsidR="005A6B77">
        <w:t>р</w:t>
      </w:r>
      <w:r w:rsidR="00B5142F" w:rsidRPr="00B5142F">
        <w:t>езус (резус-фактор</w:t>
      </w:r>
      <w:r w:rsidR="00B5142F">
        <w:t>а</w:t>
      </w:r>
      <w:r w:rsidR="00B5142F" w:rsidRPr="00B5142F">
        <w:t>)</w:t>
      </w:r>
      <w:r w:rsidR="00AA43CB">
        <w:t xml:space="preserve">, </w:t>
      </w:r>
      <w:r w:rsidR="00AA43CB" w:rsidRPr="003F71E8">
        <w:t>опред</w:t>
      </w:r>
      <w:r w:rsidR="00CA605A" w:rsidRPr="003F71E8">
        <w:t>еление фенотипа антигенов эритроцитов</w:t>
      </w:r>
      <w:r w:rsidR="00AA43CB" w:rsidRPr="003F71E8">
        <w:t xml:space="preserve"> </w:t>
      </w:r>
      <w:r w:rsidR="00B5142F" w:rsidRPr="003F71E8">
        <w:t>дл</w:t>
      </w:r>
      <w:r w:rsidR="00B5142F">
        <w:t>я возможности выполн</w:t>
      </w:r>
      <w:r w:rsidR="00BB58D0">
        <w:t>ен</w:t>
      </w:r>
      <w:r w:rsidR="00B5142F">
        <w:t xml:space="preserve">ия гемотрансфузии при наличии показаний до, </w:t>
      </w:r>
      <w:r w:rsidR="00AA43CB">
        <w:t>во</w:t>
      </w:r>
      <w:r w:rsidR="005A6B77">
        <w:t xml:space="preserve"> </w:t>
      </w:r>
      <w:r w:rsidR="00AA43CB">
        <w:t>время</w:t>
      </w:r>
      <w:r w:rsidR="00B5142F">
        <w:t xml:space="preserve"> или после терапии</w:t>
      </w:r>
      <w:r w:rsidR="00FF043E">
        <w:t xml:space="preserve"> </w:t>
      </w:r>
      <w:r w:rsidR="000B0AC3">
        <w:fldChar w:fldCharType="begin" w:fldLock="1"/>
      </w:r>
      <w:r w:rsidR="00FF043E">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00FF043E" w:rsidRPr="00FF043E">
        <w:rPr>
          <w:noProof/>
        </w:rPr>
        <w:t>[16]</w:t>
      </w:r>
      <w:r w:rsidR="000B0AC3">
        <w:fldChar w:fldCharType="end"/>
      </w:r>
      <w:r w:rsidR="00B5142F">
        <w:t xml:space="preserve">. </w:t>
      </w:r>
    </w:p>
    <w:p w14:paraId="247DC87D" w14:textId="77777777" w:rsidR="00E44215" w:rsidRPr="005A6B77" w:rsidRDefault="00E44215" w:rsidP="005D3BBD">
      <w:pPr>
        <w:ind w:left="426"/>
        <w:contextualSpacing/>
        <w:rPr>
          <w:b/>
          <w:spacing w:val="-4"/>
        </w:rPr>
      </w:pPr>
      <w:r w:rsidRPr="005A6B77">
        <w:rPr>
          <w:b/>
          <w:spacing w:val="-4"/>
        </w:rPr>
        <w:t xml:space="preserve">Уровень убедительности </w:t>
      </w:r>
      <w:r w:rsidR="00C20509" w:rsidRPr="005A6B77">
        <w:rPr>
          <w:b/>
          <w:spacing w:val="-4"/>
        </w:rPr>
        <w:t xml:space="preserve">рекомендаций – </w:t>
      </w:r>
      <w:r w:rsidR="00693699">
        <w:rPr>
          <w:b/>
          <w:spacing w:val="-4"/>
        </w:rPr>
        <w:t>С</w:t>
      </w:r>
      <w:r w:rsidR="00693699" w:rsidRPr="005A6B77">
        <w:rPr>
          <w:b/>
          <w:spacing w:val="-4"/>
        </w:rPr>
        <w:t xml:space="preserve"> </w:t>
      </w:r>
      <w:r w:rsidRPr="005A6B77">
        <w:rPr>
          <w:b/>
          <w:spacing w:val="-4"/>
        </w:rPr>
        <w:t xml:space="preserve">(уровень достоверности </w:t>
      </w:r>
      <w:r w:rsidR="00C20509" w:rsidRPr="005A6B77">
        <w:rPr>
          <w:b/>
          <w:spacing w:val="-4"/>
        </w:rPr>
        <w:t xml:space="preserve">доказательств – </w:t>
      </w:r>
      <w:r w:rsidR="00693699">
        <w:rPr>
          <w:b/>
          <w:spacing w:val="-4"/>
        </w:rPr>
        <w:t>5</w:t>
      </w:r>
      <w:r w:rsidRPr="005A6B77">
        <w:rPr>
          <w:b/>
          <w:spacing w:val="-4"/>
        </w:rPr>
        <w:t>).</w:t>
      </w:r>
    </w:p>
    <w:p w14:paraId="08811B16" w14:textId="53A49CD3" w:rsidR="001838D7" w:rsidRDefault="001838D7" w:rsidP="00D61785">
      <w:pPr>
        <w:pStyle w:val="a4"/>
        <w:numPr>
          <w:ilvl w:val="0"/>
          <w:numId w:val="50"/>
        </w:numPr>
        <w:spacing w:before="0"/>
      </w:pPr>
      <w:r>
        <w:t xml:space="preserve">Всем пациентам </w:t>
      </w:r>
      <w:r w:rsidRPr="003147A2">
        <w:t>с ХЛЛ/</w:t>
      </w:r>
      <w:r w:rsidRPr="0095233F">
        <w:t>ЛМЛ</w:t>
      </w:r>
      <w:r w:rsidR="009C096B">
        <w:t xml:space="preserve"> </w:t>
      </w:r>
      <w:r w:rsidRPr="0095233F">
        <w:t xml:space="preserve">перед проведением терапии антителами </w:t>
      </w:r>
      <w:r w:rsidR="005A6B77" w:rsidRPr="0095233F">
        <w:t xml:space="preserve">к </w:t>
      </w:r>
      <w:r w:rsidR="005A6B77" w:rsidRPr="005D3BBD">
        <w:t>CD</w:t>
      </w:r>
      <w:r w:rsidR="005A6B77" w:rsidRPr="0095233F">
        <w:t xml:space="preserve">20 </w:t>
      </w:r>
      <w:r w:rsidRPr="0095233F">
        <w:t>ил</w:t>
      </w:r>
      <w:r w:rsidR="005A6B77" w:rsidRPr="0095233F">
        <w:t>и ибрутинибом**</w:t>
      </w:r>
      <w:r w:rsidRPr="0095233F">
        <w:t xml:space="preserve"> </w:t>
      </w:r>
      <w:r w:rsidR="009C096B" w:rsidRPr="009C096B">
        <w:rPr>
          <w:color w:val="000000" w:themeColor="text1"/>
        </w:rPr>
        <w:t>и, при наличии показаний, на любом этапе наблюдения, лечения</w:t>
      </w:r>
      <w:r w:rsidR="009C096B" w:rsidRPr="00CF1FD8">
        <w:rPr>
          <w:color w:val="000000" w:themeColor="text1"/>
        </w:rPr>
        <w:t xml:space="preserve"> </w:t>
      </w:r>
      <w:r w:rsidRPr="0095233F">
        <w:t>с целью уточнения риска и в случае необходимости профилактики реактивации вирусного гепатита</w:t>
      </w:r>
      <w:r w:rsidR="00FF043E" w:rsidRPr="0095233F">
        <w:t xml:space="preserve"> </w:t>
      </w:r>
      <w:r w:rsidR="000B0AC3" w:rsidRPr="0095233F">
        <w:fldChar w:fldCharType="begin" w:fldLock="1"/>
      </w:r>
      <w:r w:rsidR="00DB3D2B">
        <w:instrText>ADDIN CSL_CITATION {"citationItems":[{"id":"ITEM-1","itemData":{"DOI":"10.1080/10428190902777673","ISSN":"10428194","abstract":"Recent guidelines emphasise the risk of hepatitis B virus (HBV) reactivation among patients with hematologic malignancies of B lineage, in which HBV has been recently hypothesised to play a pathogenetic role. We aimed to determine the prevalence of occult HBV infection (OBI) of peripheral blood mononuclear cells, defined as detection of sequences from ≥2 HBV genes in subjects lacking hepatitis B surface antigen, among patients with treatment-naive chronic lymphocytic leukemia (CLL). HBV DNA sequences from four HBV genes (S, X, core and pol) were searched for in archival material obtained at diagnosis (N = 173), and from age and sex-matched controls. OBI was observed in 17/173 (10%) patients and 5/173 (3%) controls (OR = 3.6, 95% CI 1.37-9.79, p = 0.014). OBI was not associated with differences on 5-year survival and biological predictors, but patients with CLL with OBI had significantly lower peripheral blood lymphocyte count. After 8 years of observation without treatment, one OBI positive patient with CLL converted into positive HBsAg serology and developed active hepatitis. In conclusion, OBI is significantly more prevalent among patients with CLL than in age and sex-matched controls, and may contribute to the susceptibility of patients with CLL to HBV reactivation, whether exposed or not to biological agents.","author":[{"dropping-particle":"","family":"Rossi","given":"Davide","non-dropping-particle":"","parse-names":false,"suffix":""},{"dropping-particle":"","family":"Sala","given":"Lisa","non-dropping-particle":"","parse-names":false,"suffix":""},{"dropping-particle":"","family":"Minisini","given":"Rosalba","non-dropping-particle":"","parse-names":false,"suffix":""},{"dropping-particle":"","family":"Fabris","given":"Carlo","non-dropping-particle":"","parse-names":false,"suffix":""},{"dropping-particle":"","family":"Falleti","given":"Edmondo","non-dropping-particle":"","parse-names":false,"suffix":""},{"dropping-particle":"","family":"Cerri","given":"Michaela","non-dropping-particle":"","parse-names":false,"suffix":""},{"dropping-particle":"","family":"Burlone","given":"Michela Emma","non-dropping-particle":"","parse-names":false,"suffix":""},{"dropping-particle":"","family":"Toniutto","given":"Pierluigi","non-dropping-particle":"","parse-names":false,"suffix":""},{"dropping-particle":"","family":"Gaidano","given":"Gianluca","non-dropping-particle":"","parse-names":false,"suffix":""},{"dropping-particle":"","family":"Pirisi","given":"Mario","non-dropping-particle":"","parse-names":false,"suffix":""}],"container-title":"Leukemia and Lymphoma","id":"ITEM-1","issue":"4","issued":{"date-parts":[["2009"]]},"page":"604-611","title":"Occult hepatitis B virus infection of peripheral blood mononuclear cells among treatment-naïve patients with chronic lymphocytic leukemia","type":"article-journal","volume":"50"},"uris":["http://www.mendeley.com/documents/?uuid=5f9a6e48-f6f2-39bd-a04b-49455a0cb34d"]}],"mendeley":{"formattedCitation":"[22]","plainTextFormattedCitation":"[22]","previouslyFormattedCitation":"[22]"},"properties":{"noteIndex":0},"schema":"https://github.com/citation-style-language/schema/raw/master/csl-citation.json"}</w:instrText>
      </w:r>
      <w:r w:rsidR="000B0AC3" w:rsidRPr="0095233F">
        <w:fldChar w:fldCharType="separate"/>
      </w:r>
      <w:r w:rsidR="00DF6A3A" w:rsidRPr="00DF6A3A">
        <w:rPr>
          <w:noProof/>
        </w:rPr>
        <w:t>[22]</w:t>
      </w:r>
      <w:r w:rsidR="000B0AC3" w:rsidRPr="0095233F">
        <w:fldChar w:fldCharType="end"/>
      </w:r>
      <w:r w:rsidR="005A6B77" w:rsidRPr="0095233F">
        <w:t xml:space="preserve"> </w:t>
      </w:r>
      <w:r w:rsidR="005A6B77" w:rsidRPr="006F07FF">
        <w:rPr>
          <w:b/>
        </w:rPr>
        <w:t>рекомендуется</w:t>
      </w:r>
      <w:r w:rsidR="005A6B77">
        <w:t xml:space="preserve"> выполнение развернутого вирусологического исследования для выявления маркеров вируса гепатита B</w:t>
      </w:r>
      <w:r>
        <w:t>, которое должно включать</w:t>
      </w:r>
      <w:r w:rsidR="005A6B77">
        <w:t xml:space="preserve"> определение</w:t>
      </w:r>
      <w:r>
        <w:t>:</w:t>
      </w:r>
    </w:p>
    <w:p w14:paraId="5BF8CCE5" w14:textId="77777777" w:rsidR="001838D7" w:rsidRPr="00D012C9" w:rsidRDefault="001838D7" w:rsidP="00D61785">
      <w:pPr>
        <w:pStyle w:val="a4"/>
        <w:numPr>
          <w:ilvl w:val="0"/>
          <w:numId w:val="22"/>
        </w:numPr>
        <w:spacing w:before="0"/>
      </w:pPr>
      <w:r w:rsidRPr="001E4BB1">
        <w:t xml:space="preserve">антигена </w:t>
      </w:r>
      <w:r w:rsidR="005A6B77">
        <w:t xml:space="preserve">(HbsAg) вируса гепатита B </w:t>
      </w:r>
      <w:r w:rsidRPr="00D012C9">
        <w:t>в крови</w:t>
      </w:r>
      <w:r w:rsidR="005A6B77">
        <w:t>;</w:t>
      </w:r>
    </w:p>
    <w:p w14:paraId="72D945FB" w14:textId="77777777" w:rsidR="001838D7" w:rsidRPr="00D012C9" w:rsidRDefault="001838D7" w:rsidP="00D61785">
      <w:pPr>
        <w:pStyle w:val="a4"/>
        <w:numPr>
          <w:ilvl w:val="0"/>
          <w:numId w:val="22"/>
        </w:numPr>
        <w:spacing w:before="0"/>
      </w:pPr>
      <w:r w:rsidRPr="00D012C9">
        <w:t>антител к поверхностному антигену (HBsAg) вируса гепатита B в крови</w:t>
      </w:r>
      <w:r w:rsidR="005A6B77">
        <w:t>;</w:t>
      </w:r>
    </w:p>
    <w:p w14:paraId="145E9164" w14:textId="77777777" w:rsidR="001838D7" w:rsidRPr="00D012C9" w:rsidRDefault="001838D7" w:rsidP="00D61785">
      <w:pPr>
        <w:pStyle w:val="a4"/>
        <w:numPr>
          <w:ilvl w:val="0"/>
          <w:numId w:val="22"/>
        </w:numPr>
        <w:spacing w:before="0"/>
      </w:pPr>
      <w:r w:rsidRPr="00D012C9">
        <w:t>антител к ядерному ант</w:t>
      </w:r>
      <w:r w:rsidR="005A6B77">
        <w:t>игену (HBcAg) вируса гепатита B</w:t>
      </w:r>
      <w:r w:rsidRPr="00D012C9">
        <w:t xml:space="preserve"> в крови</w:t>
      </w:r>
      <w:r w:rsidR="005A6B77">
        <w:t>;</w:t>
      </w:r>
    </w:p>
    <w:p w14:paraId="0AFC6FB0" w14:textId="77777777" w:rsidR="001838D7" w:rsidRPr="00D012C9" w:rsidRDefault="001838D7" w:rsidP="00D61785">
      <w:pPr>
        <w:pStyle w:val="a4"/>
        <w:numPr>
          <w:ilvl w:val="0"/>
          <w:numId w:val="22"/>
        </w:numPr>
        <w:spacing w:before="0"/>
      </w:pPr>
      <w:r w:rsidRPr="00D012C9">
        <w:t xml:space="preserve">ДНК вируса гепатита B в крови методом </w:t>
      </w:r>
      <w:r w:rsidR="005A6B77">
        <w:t>полимеразной цепной реакции</w:t>
      </w:r>
      <w:r w:rsidRPr="00D012C9">
        <w:t xml:space="preserve"> </w:t>
      </w:r>
      <w:r w:rsidR="005A6B77">
        <w:t>(</w:t>
      </w:r>
      <w:r w:rsidRPr="00D012C9">
        <w:t>качественное исследование</w:t>
      </w:r>
      <w:r w:rsidR="005A6B77">
        <w:t>)</w:t>
      </w:r>
      <w:r w:rsidRPr="00D012C9">
        <w:t>.</w:t>
      </w:r>
    </w:p>
    <w:p w14:paraId="11557BEC" w14:textId="1B583511" w:rsidR="001838D7" w:rsidRPr="005A6B77" w:rsidRDefault="001838D7" w:rsidP="005D3BBD">
      <w:pPr>
        <w:ind w:left="426"/>
        <w:contextualSpacing/>
        <w:rPr>
          <w:b/>
          <w:spacing w:val="-4"/>
        </w:rPr>
      </w:pPr>
      <w:r w:rsidRPr="005A6B77">
        <w:rPr>
          <w:b/>
          <w:spacing w:val="-4"/>
        </w:rPr>
        <w:lastRenderedPageBreak/>
        <w:t xml:space="preserve">Уровень убедительности </w:t>
      </w:r>
      <w:r w:rsidR="00C20509" w:rsidRPr="005A6B77">
        <w:rPr>
          <w:b/>
          <w:spacing w:val="-4"/>
        </w:rPr>
        <w:t xml:space="preserve">рекомендаций – </w:t>
      </w:r>
      <w:r w:rsidR="00693699">
        <w:rPr>
          <w:b/>
          <w:spacing w:val="-4"/>
        </w:rPr>
        <w:t>С</w:t>
      </w:r>
      <w:r w:rsidR="00693699" w:rsidRPr="005A6B77">
        <w:rPr>
          <w:b/>
          <w:spacing w:val="-4"/>
        </w:rPr>
        <w:t xml:space="preserve"> </w:t>
      </w:r>
      <w:r w:rsidRPr="005A6B77">
        <w:rPr>
          <w:b/>
          <w:spacing w:val="-4"/>
        </w:rPr>
        <w:t xml:space="preserve">(уровень достоверности </w:t>
      </w:r>
      <w:r w:rsidR="00C20509" w:rsidRPr="005A6B77">
        <w:rPr>
          <w:b/>
          <w:spacing w:val="-4"/>
        </w:rPr>
        <w:t xml:space="preserve">доказательств – </w:t>
      </w:r>
      <w:r w:rsidR="00693699">
        <w:rPr>
          <w:b/>
          <w:spacing w:val="-4"/>
        </w:rPr>
        <w:t>4</w:t>
      </w:r>
      <w:r w:rsidR="00B04401">
        <w:rPr>
          <w:b/>
          <w:spacing w:val="-4"/>
        </w:rPr>
        <w:t>)</w:t>
      </w:r>
      <w:r w:rsidRPr="005A6B77">
        <w:rPr>
          <w:b/>
          <w:spacing w:val="-4"/>
        </w:rPr>
        <w:t>.</w:t>
      </w:r>
    </w:p>
    <w:p w14:paraId="177FBD11" w14:textId="77777777" w:rsidR="001838D7" w:rsidRPr="00BB7621" w:rsidRDefault="00A81638" w:rsidP="005D3BBD">
      <w:pPr>
        <w:ind w:firstLine="426"/>
        <w:contextualSpacing/>
      </w:pPr>
      <w:r>
        <w:rPr>
          <w:b/>
        </w:rPr>
        <w:t>Комментарии</w:t>
      </w:r>
      <w:r w:rsidR="001838D7" w:rsidRPr="00383556">
        <w:rPr>
          <w:b/>
        </w:rPr>
        <w:t>:</w:t>
      </w:r>
      <w:r w:rsidR="00AA43CB">
        <w:rPr>
          <w:b/>
        </w:rPr>
        <w:t xml:space="preserve"> </w:t>
      </w:r>
      <w:r w:rsidR="005A6B77">
        <w:rPr>
          <w:i/>
        </w:rPr>
        <w:t>э</w:t>
      </w:r>
      <w:r w:rsidR="001838D7" w:rsidRPr="00383556">
        <w:rPr>
          <w:i/>
        </w:rPr>
        <w:t xml:space="preserve">тому </w:t>
      </w:r>
      <w:r w:rsidR="001838D7" w:rsidRPr="009B27D2">
        <w:rPr>
          <w:i/>
        </w:rPr>
        <w:t>вопросу при ХЛЛ уделяется особое внимание, поскольку клетки ХЛЛ являются дополнительным резервуаром для вируса гепатита B. Значени</w:t>
      </w:r>
      <w:r w:rsidR="005A6B77">
        <w:rPr>
          <w:i/>
        </w:rPr>
        <w:t>я</w:t>
      </w:r>
      <w:r w:rsidR="001838D7" w:rsidRPr="009B27D2">
        <w:rPr>
          <w:i/>
        </w:rPr>
        <w:t xml:space="preserve"> маркер</w:t>
      </w:r>
      <w:r w:rsidR="001838D7" w:rsidRPr="00BB7621">
        <w:rPr>
          <w:i/>
        </w:rPr>
        <w:t>ов вирусного гепатита В представлен</w:t>
      </w:r>
      <w:r w:rsidR="005A6B77">
        <w:rPr>
          <w:i/>
        </w:rPr>
        <w:t>ы</w:t>
      </w:r>
      <w:r w:rsidR="001838D7" w:rsidRPr="00BB7621">
        <w:rPr>
          <w:i/>
        </w:rPr>
        <w:t xml:space="preserve"> в </w:t>
      </w:r>
      <w:r w:rsidR="005A6B77">
        <w:rPr>
          <w:i/>
        </w:rPr>
        <w:t>п</w:t>
      </w:r>
      <w:r w:rsidR="001838D7" w:rsidRPr="00BB7621">
        <w:rPr>
          <w:i/>
        </w:rPr>
        <w:t xml:space="preserve">риложении </w:t>
      </w:r>
      <w:r w:rsidR="00437AD9">
        <w:rPr>
          <w:i/>
        </w:rPr>
        <w:t>А3.1</w:t>
      </w:r>
      <w:r w:rsidR="001838D7" w:rsidRPr="00BB7621">
        <w:rPr>
          <w:i/>
        </w:rPr>
        <w:t>.</w:t>
      </w:r>
    </w:p>
    <w:p w14:paraId="1A84EEB9" w14:textId="6E6ECB52" w:rsidR="00E44215" w:rsidRDefault="00E44215" w:rsidP="00D61785">
      <w:pPr>
        <w:pStyle w:val="a4"/>
        <w:numPr>
          <w:ilvl w:val="0"/>
          <w:numId w:val="50"/>
        </w:numPr>
        <w:spacing w:before="0"/>
      </w:pPr>
      <w:r>
        <w:t xml:space="preserve">Всем </w:t>
      </w:r>
      <w:r w:rsidRPr="00766C8A">
        <w:t xml:space="preserve">пациентам с ХЛЛ/ЛМЛ </w:t>
      </w:r>
      <w:r w:rsidR="00527D8A">
        <w:t>на этапе диагностики и</w:t>
      </w:r>
      <w:r w:rsidR="00766C8A" w:rsidRPr="005D3BBD">
        <w:t>,</w:t>
      </w:r>
      <w:r w:rsidR="00527D8A">
        <w:t xml:space="preserve"> при наличии показаний</w:t>
      </w:r>
      <w:r w:rsidR="00766C8A" w:rsidRPr="005D3BBD">
        <w:t>,</w:t>
      </w:r>
      <w:r w:rsidR="00527D8A">
        <w:t xml:space="preserve"> на любом этапе наблюдения</w:t>
      </w:r>
      <w:r w:rsidR="00766C8A" w:rsidRPr="005D3BBD">
        <w:t xml:space="preserve"> </w:t>
      </w:r>
      <w:r w:rsidR="00766C8A">
        <w:t>или</w:t>
      </w:r>
      <w:r w:rsidR="00527D8A">
        <w:t xml:space="preserve"> лечения</w:t>
      </w:r>
      <w:r w:rsidRPr="00766C8A">
        <w:t xml:space="preserve"> </w:t>
      </w:r>
      <w:r w:rsidRPr="00766C8A">
        <w:rPr>
          <w:b/>
          <w:szCs w:val="24"/>
        </w:rPr>
        <w:t>рекомендуется</w:t>
      </w:r>
      <w:r w:rsidR="002E3794" w:rsidRPr="00766C8A">
        <w:t xml:space="preserve"> молекулярно-биологическое исследование крови </w:t>
      </w:r>
      <w:r w:rsidR="00492BAB" w:rsidRPr="00766C8A">
        <w:t>на наличие вируса иммунодефицита человека (</w:t>
      </w:r>
      <w:r w:rsidR="00766C8A" w:rsidRPr="005D3BBD">
        <w:t xml:space="preserve">исследование </w:t>
      </w:r>
      <w:r w:rsidR="00527D8A" w:rsidRPr="005D3BBD">
        <w:t>уровня антител классов M, G (IgM, IgG) к вирусу иммунодефицита человека ВИЧ-1/2 и антигена p24 (Human immunodeficiency virus HIV 1/2 + Agp24) в крови</w:t>
      </w:r>
      <w:r w:rsidR="00492BAB" w:rsidRPr="00766C8A">
        <w:t xml:space="preserve">) </w:t>
      </w:r>
      <w:r w:rsidRPr="00766C8A">
        <w:t>для</w:t>
      </w:r>
      <w:r w:rsidR="002E3794" w:rsidRPr="00766C8A">
        <w:t xml:space="preserve"> уточнения </w:t>
      </w:r>
      <w:r w:rsidR="00443B36" w:rsidRPr="00766C8A">
        <w:t xml:space="preserve">коморбидности и </w:t>
      </w:r>
      <w:r w:rsidR="002E3794" w:rsidRPr="00766C8A">
        <w:t xml:space="preserve">необходимости </w:t>
      </w:r>
      <w:r w:rsidR="00345B05" w:rsidRPr="00766C8A">
        <w:t>проведения противоопухолевой и антиретровирусной тера</w:t>
      </w:r>
      <w:r w:rsidR="00345B05">
        <w:t>пии</w:t>
      </w:r>
      <w:r w:rsidR="00FF043E" w:rsidRPr="00FF043E">
        <w:t xml:space="preserve"> </w:t>
      </w:r>
      <w:r w:rsidR="000B0AC3">
        <w:fldChar w:fldCharType="begin" w:fldLock="1"/>
      </w:r>
      <w:r w:rsidR="00B21719">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00FF043E" w:rsidRPr="00FF043E">
        <w:rPr>
          <w:noProof/>
        </w:rPr>
        <w:t>[16]</w:t>
      </w:r>
      <w:r w:rsidR="000B0AC3">
        <w:fldChar w:fldCharType="end"/>
      </w:r>
      <w:r w:rsidR="00345B05">
        <w:t>.</w:t>
      </w:r>
    </w:p>
    <w:p w14:paraId="78C6F5DC" w14:textId="77777777" w:rsidR="001E3D61" w:rsidRPr="005A6B77" w:rsidRDefault="001E3D61" w:rsidP="005D3BBD">
      <w:pPr>
        <w:ind w:left="426"/>
        <w:contextualSpacing/>
        <w:rPr>
          <w:b/>
          <w:spacing w:val="-4"/>
        </w:rPr>
      </w:pPr>
      <w:r w:rsidRPr="005A6B77">
        <w:rPr>
          <w:b/>
          <w:spacing w:val="-4"/>
        </w:rPr>
        <w:t xml:space="preserve">Уровень убедительности </w:t>
      </w:r>
      <w:r w:rsidR="00C20509" w:rsidRPr="005A6B77">
        <w:rPr>
          <w:b/>
          <w:spacing w:val="-4"/>
        </w:rPr>
        <w:t xml:space="preserve">рекомендаций – </w:t>
      </w:r>
      <w:r w:rsidRPr="005A6B77">
        <w:rPr>
          <w:b/>
          <w:spacing w:val="-4"/>
        </w:rPr>
        <w:t xml:space="preserve">С (уровень достоверности </w:t>
      </w:r>
      <w:r w:rsidR="00C20509" w:rsidRPr="005A6B77">
        <w:rPr>
          <w:b/>
          <w:spacing w:val="-4"/>
        </w:rPr>
        <w:t xml:space="preserve">доказательств – </w:t>
      </w:r>
      <w:r w:rsidRPr="005A6B77">
        <w:rPr>
          <w:b/>
          <w:spacing w:val="-4"/>
        </w:rPr>
        <w:t>5).</w:t>
      </w:r>
    </w:p>
    <w:p w14:paraId="03D30425" w14:textId="0E4315A5" w:rsidR="001838D7" w:rsidRPr="003147A2" w:rsidRDefault="004D6541" w:rsidP="00D61785">
      <w:pPr>
        <w:pStyle w:val="a4"/>
        <w:numPr>
          <w:ilvl w:val="0"/>
          <w:numId w:val="50"/>
        </w:numPr>
        <w:spacing w:before="0"/>
      </w:pPr>
      <w:r w:rsidRPr="00504D96">
        <w:t>В</w:t>
      </w:r>
      <w:r w:rsidR="001838D7" w:rsidRPr="00504D96">
        <w:t>сем</w:t>
      </w:r>
      <w:r w:rsidR="001838D7" w:rsidRPr="006D0598">
        <w:t xml:space="preserve"> пациентам с ХЛЛ/ЛМЛ </w:t>
      </w:r>
      <w:r w:rsidR="00E45A5B" w:rsidRPr="006D0598">
        <w:t>на момент установления диагноза, после каждой иммуносупрессивной терапии и после каждой тяжелой бактериальной инфекции</w:t>
      </w:r>
      <w:r w:rsidR="00AA43CB" w:rsidRPr="006D0598">
        <w:t xml:space="preserve"> </w:t>
      </w:r>
      <w:r w:rsidR="00527D8A">
        <w:t xml:space="preserve">по возможности </w:t>
      </w:r>
      <w:r w:rsidR="001838D7" w:rsidRPr="00766C8A">
        <w:rPr>
          <w:b/>
        </w:rPr>
        <w:t>рекомендуется</w:t>
      </w:r>
      <w:r w:rsidR="00AA43CB" w:rsidRPr="00766C8A">
        <w:rPr>
          <w:b/>
        </w:rPr>
        <w:t xml:space="preserve"> </w:t>
      </w:r>
      <w:r w:rsidR="00B63BF6" w:rsidRPr="004B0584">
        <w:t>определение</w:t>
      </w:r>
      <w:r w:rsidR="004B0584">
        <w:t xml:space="preserve"> уро</w:t>
      </w:r>
      <w:r w:rsidR="003E3C13">
        <w:t>в</w:t>
      </w:r>
      <w:r w:rsidR="004B0584">
        <w:t>ня иммуноглобулинов</w:t>
      </w:r>
      <w:r w:rsidR="00B21719">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rsidR="001838D7" w:rsidRPr="00544312">
        <w:t>.</w:t>
      </w:r>
    </w:p>
    <w:p w14:paraId="51529F6F" w14:textId="6A99F7B3" w:rsidR="00D72B88" w:rsidRDefault="001E3D61" w:rsidP="005D3BBD">
      <w:pPr>
        <w:ind w:left="426"/>
        <w:contextualSpacing/>
        <w:rPr>
          <w:b/>
          <w:spacing w:val="-4"/>
        </w:rPr>
      </w:pPr>
      <w:r w:rsidRPr="005A6B77">
        <w:rPr>
          <w:b/>
          <w:spacing w:val="-4"/>
        </w:rPr>
        <w:t xml:space="preserve">Уровень убедительности </w:t>
      </w:r>
      <w:r w:rsidR="00C20509" w:rsidRPr="005A6B77">
        <w:rPr>
          <w:b/>
          <w:spacing w:val="-4"/>
        </w:rPr>
        <w:t xml:space="preserve">рекомендаций – </w:t>
      </w:r>
      <w:r w:rsidRPr="005A6B77">
        <w:rPr>
          <w:b/>
          <w:spacing w:val="-4"/>
        </w:rPr>
        <w:t xml:space="preserve">С (уровень достоверности </w:t>
      </w:r>
      <w:r w:rsidR="00C20509" w:rsidRPr="005A6B77">
        <w:rPr>
          <w:b/>
          <w:spacing w:val="-4"/>
        </w:rPr>
        <w:t xml:space="preserve">доказательств – </w:t>
      </w:r>
      <w:r w:rsidRPr="005A6B77">
        <w:rPr>
          <w:b/>
          <w:spacing w:val="-4"/>
        </w:rPr>
        <w:t>5).</w:t>
      </w:r>
    </w:p>
    <w:p w14:paraId="27B4F2FE" w14:textId="044FDCD5" w:rsidR="00DE5B93" w:rsidRDefault="00DE5B93" w:rsidP="00CF1FD8">
      <w:pPr>
        <w:pStyle w:val="a4"/>
        <w:numPr>
          <w:ilvl w:val="0"/>
          <w:numId w:val="50"/>
        </w:numPr>
        <w:spacing w:before="0"/>
      </w:pPr>
      <w:r>
        <w:t xml:space="preserve">Всем пациентам с ХЛЛ/ЛМЛ с </w:t>
      </w:r>
      <w:r w:rsidRPr="00CF1FD8">
        <w:t xml:space="preserve">подозрением на </w:t>
      </w:r>
      <w:r w:rsidR="008A4B4B" w:rsidRPr="00CF1FD8">
        <w:t xml:space="preserve">инфекционное осложнение </w:t>
      </w:r>
      <w:r w:rsidRPr="00CF1FD8">
        <w:t>перед проведением противоопухолевой терапии</w:t>
      </w:r>
      <w:r w:rsidR="00714673" w:rsidRPr="00CF1FD8">
        <w:t>,</w:t>
      </w:r>
      <w:r w:rsidRPr="00CF1FD8">
        <w:t xml:space="preserve"> </w:t>
      </w:r>
      <w:r w:rsidR="00714673" w:rsidRPr="00CF1FD8">
        <w:t xml:space="preserve">а также после каждой иммуносупрессивной терапии и после каждой тяжелой бактериальной инфекции по возможности </w:t>
      </w:r>
      <w:r w:rsidR="00714673" w:rsidRPr="00CF1FD8">
        <w:rPr>
          <w:b/>
          <w:bCs/>
        </w:rPr>
        <w:t>рекомендуется</w:t>
      </w:r>
      <w:r w:rsidR="00714673" w:rsidRPr="00CF1FD8">
        <w:t xml:space="preserve"> определение уровня иммуноглобулинов </w:t>
      </w:r>
      <w:r>
        <w:fldChar w:fldCharType="begin" w:fldLock="1"/>
      </w:r>
      <w:r>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fldChar w:fldCharType="separate"/>
      </w:r>
      <w:r w:rsidRPr="00FF043E">
        <w:rPr>
          <w:noProof/>
        </w:rPr>
        <w:t>[16]</w:t>
      </w:r>
      <w:r>
        <w:fldChar w:fldCharType="end"/>
      </w:r>
      <w:r>
        <w:t xml:space="preserve">. </w:t>
      </w:r>
    </w:p>
    <w:p w14:paraId="63DACF64" w14:textId="77777777" w:rsidR="00DE5B93" w:rsidRPr="005A6B77" w:rsidRDefault="00DE5B93" w:rsidP="00DE5B93">
      <w:pPr>
        <w:ind w:left="426"/>
        <w:contextualSpacing/>
        <w:rPr>
          <w:b/>
          <w:spacing w:val="-4"/>
        </w:rPr>
      </w:pPr>
      <w:r w:rsidRPr="005A6B77">
        <w:rPr>
          <w:b/>
          <w:spacing w:val="-4"/>
        </w:rPr>
        <w:t xml:space="preserve">Уровень убедительности рекомендаций – </w:t>
      </w:r>
      <w:r>
        <w:rPr>
          <w:b/>
          <w:spacing w:val="-4"/>
        </w:rPr>
        <w:t>С</w:t>
      </w:r>
      <w:r w:rsidRPr="005A6B77">
        <w:rPr>
          <w:b/>
          <w:spacing w:val="-4"/>
        </w:rPr>
        <w:t xml:space="preserve"> (уровень достоверности доказательств – </w:t>
      </w:r>
      <w:r>
        <w:rPr>
          <w:b/>
          <w:spacing w:val="-4"/>
        </w:rPr>
        <w:t>5</w:t>
      </w:r>
      <w:r w:rsidRPr="005A6B77">
        <w:rPr>
          <w:b/>
          <w:spacing w:val="-4"/>
        </w:rPr>
        <w:t>).</w:t>
      </w:r>
    </w:p>
    <w:p w14:paraId="2FC079A0" w14:textId="498FB59A" w:rsidR="00DE5B93" w:rsidRDefault="00DE5B93" w:rsidP="005D3BBD">
      <w:pPr>
        <w:ind w:left="426"/>
        <w:contextualSpacing/>
        <w:rPr>
          <w:b/>
          <w:spacing w:val="-4"/>
        </w:rPr>
      </w:pPr>
    </w:p>
    <w:p w14:paraId="69BB54AA" w14:textId="77777777" w:rsidR="004D7374" w:rsidRDefault="004D7374" w:rsidP="005D3BBD">
      <w:pPr>
        <w:pStyle w:val="2"/>
        <w:spacing w:before="0"/>
        <w:contextualSpacing/>
      </w:pPr>
      <w:bookmarkStart w:id="39" w:name="_Toc23601723"/>
      <w:bookmarkStart w:id="40" w:name="_Toc65068804"/>
      <w:r>
        <w:t>2.4. Инструментальн</w:t>
      </w:r>
      <w:r w:rsidR="00CF20D8">
        <w:t>ые диагностические исследования</w:t>
      </w:r>
      <w:bookmarkEnd w:id="39"/>
      <w:bookmarkEnd w:id="40"/>
    </w:p>
    <w:p w14:paraId="0D0F3340" w14:textId="77777777" w:rsidR="00B04401" w:rsidRDefault="004D7374" w:rsidP="00D61785">
      <w:pPr>
        <w:pStyle w:val="a4"/>
        <w:numPr>
          <w:ilvl w:val="0"/>
          <w:numId w:val="50"/>
        </w:numPr>
        <w:spacing w:before="0"/>
      </w:pPr>
      <w:r w:rsidRPr="009B27D2">
        <w:t xml:space="preserve">Всем пациентам </w:t>
      </w:r>
      <w:r w:rsidR="00777862">
        <w:t xml:space="preserve">на этапе диагностики, </w:t>
      </w:r>
      <w:r w:rsidR="00E45A5B" w:rsidRPr="009B27D2">
        <w:t>перед началом терапии</w:t>
      </w:r>
      <w:r w:rsidRPr="009B27D2">
        <w:t xml:space="preserve"> ХЛЛ/ЛМЛ, при оценке ремиссии через 2 мес</w:t>
      </w:r>
      <w:r w:rsidR="00F07AA9">
        <w:t>.</w:t>
      </w:r>
      <w:r w:rsidRPr="009B27D2">
        <w:t xml:space="preserve"> после завершения терапии</w:t>
      </w:r>
      <w:r w:rsidR="00E45A5B" w:rsidRPr="009B27D2">
        <w:t xml:space="preserve"> </w:t>
      </w:r>
      <w:r w:rsidR="00E45A5B" w:rsidRPr="005554E5">
        <w:t xml:space="preserve">(если </w:t>
      </w:r>
      <w:r w:rsidR="004B0584" w:rsidRPr="005554E5">
        <w:t>имелось поражение лимфатических узлов области средостения и/или легочной ткани</w:t>
      </w:r>
      <w:r w:rsidR="006F547D" w:rsidRPr="005554E5">
        <w:t>)</w:t>
      </w:r>
      <w:r w:rsidRPr="009B27D2">
        <w:t>, а также при подозрении на рецидив</w:t>
      </w:r>
      <w:r w:rsidR="004B0584">
        <w:t xml:space="preserve">/прогрессирование </w:t>
      </w:r>
      <w:r w:rsidRPr="009B27D2">
        <w:t xml:space="preserve">заболевания </w:t>
      </w:r>
      <w:r w:rsidRPr="00766C8A">
        <w:rPr>
          <w:b/>
        </w:rPr>
        <w:t>рекомендуется</w:t>
      </w:r>
      <w:r w:rsidR="004B0584" w:rsidRPr="00766C8A">
        <w:rPr>
          <w:b/>
        </w:rPr>
        <w:t xml:space="preserve"> </w:t>
      </w:r>
      <w:r w:rsidR="00B04401" w:rsidRPr="009B27D2">
        <w:t>для уточнения наличия и распространенности лимфаденопатии</w:t>
      </w:r>
      <w:r w:rsidR="00B04401">
        <w:t xml:space="preserve"> или оценки противоопухолевого эффекта, если исследование выполнено в динамике</w:t>
      </w:r>
      <w:r w:rsidR="00B04401" w:rsidRPr="00B04401">
        <w:t xml:space="preserve"> </w:t>
      </w:r>
      <w:r w:rsidR="004B0584" w:rsidRPr="00B04401">
        <w:t>выполнение</w:t>
      </w:r>
      <w:r w:rsidR="00B04401" w:rsidRPr="00B04401">
        <w:t xml:space="preserve"> следующих диагностических исследованиий</w:t>
      </w:r>
      <w:r w:rsidR="004B0584" w:rsidRPr="005D3BBD">
        <w:t xml:space="preserve"> </w:t>
      </w:r>
      <w:r w:rsidR="00B04401">
        <w:fldChar w:fldCharType="begin" w:fldLock="1"/>
      </w:r>
      <w:r w:rsidR="00B04401">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B04401">
        <w:fldChar w:fldCharType="separate"/>
      </w:r>
      <w:r w:rsidR="00B04401" w:rsidRPr="00015814">
        <w:rPr>
          <w:noProof/>
        </w:rPr>
        <w:t>[12,16]</w:t>
      </w:r>
      <w:r w:rsidR="00B04401">
        <w:fldChar w:fldCharType="end"/>
      </w:r>
      <w:r w:rsidR="00B04401">
        <w:t>:</w:t>
      </w:r>
    </w:p>
    <w:p w14:paraId="47D0BE5F" w14:textId="3C671FD3" w:rsidR="00B04401" w:rsidRDefault="004D7374" w:rsidP="00D61785">
      <w:pPr>
        <w:pStyle w:val="a4"/>
        <w:numPr>
          <w:ilvl w:val="1"/>
          <w:numId w:val="50"/>
        </w:numPr>
        <w:spacing w:before="0"/>
      </w:pPr>
      <w:r w:rsidRPr="009B27D2">
        <w:lastRenderedPageBreak/>
        <w:t xml:space="preserve">КТ </w:t>
      </w:r>
      <w:r w:rsidR="00777862">
        <w:t xml:space="preserve">органов </w:t>
      </w:r>
      <w:r w:rsidRPr="009B27D2">
        <w:t>грудной</w:t>
      </w:r>
      <w:r w:rsidR="00777862">
        <w:t xml:space="preserve"> </w:t>
      </w:r>
      <w:r w:rsidR="00B04401">
        <w:t>клетки</w:t>
      </w:r>
      <w:r w:rsidRPr="009B27D2">
        <w:t xml:space="preserve">, </w:t>
      </w:r>
      <w:r w:rsidR="00777862">
        <w:t xml:space="preserve">КТ </w:t>
      </w:r>
      <w:r w:rsidRPr="009B27D2">
        <w:t xml:space="preserve">органов брюшной полости и </w:t>
      </w:r>
      <w:r w:rsidR="00777862">
        <w:t xml:space="preserve">КТ органов </w:t>
      </w:r>
      <w:r w:rsidRPr="009B27D2">
        <w:t>малого таза (с контрастированием)</w:t>
      </w:r>
      <w:r w:rsidR="004B0584">
        <w:t xml:space="preserve"> </w:t>
      </w:r>
    </w:p>
    <w:p w14:paraId="6485D4DB" w14:textId="207B286A" w:rsidR="00B04401" w:rsidRDefault="00B04401" w:rsidP="00D61785">
      <w:pPr>
        <w:pStyle w:val="a4"/>
        <w:numPr>
          <w:ilvl w:val="1"/>
          <w:numId w:val="50"/>
        </w:numPr>
        <w:spacing w:before="0"/>
      </w:pPr>
      <w:r w:rsidRPr="003147A2">
        <w:t xml:space="preserve">рентгенографию органов грудной клетки в </w:t>
      </w:r>
      <w:r>
        <w:t>2</w:t>
      </w:r>
      <w:r w:rsidRPr="003147A2">
        <w:t xml:space="preserve"> проекциях</w:t>
      </w:r>
      <w:r>
        <w:t xml:space="preserve"> (при отсутствии КТ органов грудной клетки);</w:t>
      </w:r>
    </w:p>
    <w:p w14:paraId="52ABFAD0" w14:textId="574CD615" w:rsidR="004D7374" w:rsidRPr="009B27D2" w:rsidRDefault="00B04401" w:rsidP="00D61785">
      <w:pPr>
        <w:pStyle w:val="a4"/>
        <w:numPr>
          <w:ilvl w:val="1"/>
          <w:numId w:val="50"/>
        </w:numPr>
        <w:spacing w:before="0"/>
      </w:pPr>
      <w:r>
        <w:t xml:space="preserve">УЗИ </w:t>
      </w:r>
      <w:r w:rsidRPr="003147A2">
        <w:t>лимфатических узлов</w:t>
      </w:r>
      <w:r>
        <w:t xml:space="preserve"> (</w:t>
      </w:r>
      <w:r w:rsidRPr="00B21719">
        <w:t>периферически</w:t>
      </w:r>
      <w:r>
        <w:t>х</w:t>
      </w:r>
      <w:r w:rsidRPr="00B21719">
        <w:t>, внутрибрюшны</w:t>
      </w:r>
      <w:r>
        <w:t xml:space="preserve">х и </w:t>
      </w:r>
      <w:r w:rsidRPr="00B21719">
        <w:t>забрюшинны</w:t>
      </w:r>
      <w:r>
        <w:t>х)</w:t>
      </w:r>
      <w:r w:rsidRPr="00B21719">
        <w:t xml:space="preserve"> </w:t>
      </w:r>
      <w:r w:rsidRPr="003147A2">
        <w:t>и внутренних органов</w:t>
      </w:r>
      <w:r>
        <w:t xml:space="preserve"> (УЗИ органов брюшной полости (комплексное) и УЗИ малого таза)</w:t>
      </w:r>
      <w:r w:rsidR="00B21719">
        <w:t>.</w:t>
      </w:r>
    </w:p>
    <w:p w14:paraId="2AC1DD79" w14:textId="77777777" w:rsidR="001E3D61" w:rsidRPr="00F66BB8" w:rsidRDefault="001E3D61" w:rsidP="005D3BBD">
      <w:pPr>
        <w:ind w:left="426"/>
        <w:contextualSpacing/>
        <w:rPr>
          <w:b/>
          <w:spacing w:val="-4"/>
        </w:rPr>
      </w:pPr>
      <w:r w:rsidRPr="00F66BB8">
        <w:rPr>
          <w:b/>
          <w:spacing w:val="-4"/>
        </w:rPr>
        <w:t xml:space="preserve">Уровень убедительности </w:t>
      </w:r>
      <w:r w:rsidR="00C20509" w:rsidRPr="00F66BB8">
        <w:rPr>
          <w:b/>
          <w:spacing w:val="-4"/>
        </w:rPr>
        <w:t xml:space="preserve">рекомендаций – </w:t>
      </w:r>
      <w:r w:rsidRPr="00F66BB8">
        <w:rPr>
          <w:b/>
          <w:spacing w:val="-4"/>
        </w:rPr>
        <w:t xml:space="preserve">С (уровень достоверности </w:t>
      </w:r>
      <w:r w:rsidR="00C20509" w:rsidRPr="00F66BB8">
        <w:rPr>
          <w:b/>
          <w:spacing w:val="-4"/>
        </w:rPr>
        <w:t xml:space="preserve">доказательств – </w:t>
      </w:r>
      <w:r w:rsidRPr="00F66BB8">
        <w:rPr>
          <w:b/>
          <w:spacing w:val="-4"/>
        </w:rPr>
        <w:t>5).</w:t>
      </w:r>
    </w:p>
    <w:p w14:paraId="445D2EC8" w14:textId="326E281A" w:rsidR="000565F5" w:rsidRPr="0095233F" w:rsidRDefault="0014361E" w:rsidP="00D61785">
      <w:pPr>
        <w:pStyle w:val="a4"/>
        <w:numPr>
          <w:ilvl w:val="0"/>
          <w:numId w:val="50"/>
        </w:numPr>
        <w:spacing w:before="0"/>
      </w:pPr>
      <w:r w:rsidRPr="003147A2">
        <w:t xml:space="preserve">Пациентам с подозрением на ХЛЛ/ЛМЛ либо с установленным </w:t>
      </w:r>
      <w:r w:rsidRPr="00504D96">
        <w:t>диагнозом</w:t>
      </w:r>
      <w:r w:rsidRPr="003147A2">
        <w:t xml:space="preserve"> ХЛЛ/ЛМЛ, </w:t>
      </w:r>
      <w:r w:rsidR="006F547D" w:rsidRPr="006F547D">
        <w:t>у которых имеются клинические признаки синдрома Рихтера</w:t>
      </w:r>
      <w:r w:rsidR="001D75FE">
        <w:t xml:space="preserve"> или </w:t>
      </w:r>
      <w:r w:rsidR="00F66BB8">
        <w:t>х</w:t>
      </w:r>
      <w:r w:rsidR="001D75FE">
        <w:t>оджкинской трансформации</w:t>
      </w:r>
      <w:r w:rsidR="006F547D" w:rsidRPr="006F547D">
        <w:t xml:space="preserve"> (прогрессирующий рост </w:t>
      </w:r>
      <w:r w:rsidR="00C20509" w:rsidRPr="005D3BBD">
        <w:t>лимфатических узлов</w:t>
      </w:r>
      <w:r w:rsidR="006F547D" w:rsidRPr="006F547D">
        <w:t>, потеря веса, персис</w:t>
      </w:r>
      <w:r w:rsidR="00F66BB8">
        <w:softHyphen/>
      </w:r>
      <w:r w:rsidR="006F547D" w:rsidRPr="006F547D">
        <w:t xml:space="preserve">тирующая лихорадка без признаков инфекции, высокий уровень </w:t>
      </w:r>
      <w:r w:rsidR="00C079D2">
        <w:t>лактатдегидрогеназы</w:t>
      </w:r>
      <w:r w:rsidR="006F547D" w:rsidRPr="006F547D">
        <w:t>, гиперкальциемия)</w:t>
      </w:r>
      <w:r w:rsidR="006F547D">
        <w:t>,</w:t>
      </w:r>
      <w:r w:rsidR="006322EB">
        <w:t xml:space="preserve"> </w:t>
      </w:r>
      <w:r w:rsidR="000565F5" w:rsidRPr="00766C8A">
        <w:rPr>
          <w:b/>
        </w:rPr>
        <w:t>рекомендуется</w:t>
      </w:r>
      <w:r w:rsidR="000565F5" w:rsidRPr="0095233F">
        <w:t xml:space="preserve"> выполнить </w:t>
      </w:r>
      <w:r w:rsidR="001A7456" w:rsidRPr="0095233F">
        <w:t xml:space="preserve">позитронную эмиссионную томографию с </w:t>
      </w:r>
      <w:r w:rsidR="00F66BB8" w:rsidRPr="0095233F">
        <w:t xml:space="preserve">применением </w:t>
      </w:r>
      <w:r w:rsidR="001A7456" w:rsidRPr="0095233F">
        <w:t>туморотропны</w:t>
      </w:r>
      <w:r w:rsidR="00F66BB8" w:rsidRPr="0095233F">
        <w:t>х</w:t>
      </w:r>
      <w:r w:rsidR="001A7456" w:rsidRPr="0095233F">
        <w:t xml:space="preserve"> </w:t>
      </w:r>
      <w:r w:rsidR="00AA4B03" w:rsidRPr="0095233F">
        <w:t>радиофармпрепарат</w:t>
      </w:r>
      <w:r w:rsidR="00F66BB8" w:rsidRPr="0095233F">
        <w:t>ов</w:t>
      </w:r>
      <w:r w:rsidR="00AA4B03" w:rsidRPr="0095233F">
        <w:t xml:space="preserve"> </w:t>
      </w:r>
      <w:r w:rsidR="001A7456" w:rsidRPr="0095233F">
        <w:t>для исключения трансформации либо для выявления зон с вероятной трансформацией</w:t>
      </w:r>
      <w:r w:rsidR="0043716B" w:rsidRPr="0095233F">
        <w:t xml:space="preserve"> </w:t>
      </w:r>
      <w:r w:rsidR="000B0AC3" w:rsidRPr="0095233F">
        <w:fldChar w:fldCharType="begin" w:fldLock="1"/>
      </w:r>
      <w:r w:rsidR="00DB3D2B">
        <w:instrText>ADDIN CSL_CITATION {"citationItems":[{"id":"ITEM-1","itemData":{"DOI":"10.3109/10428194.2013.869801","ISSN":"10292403","abstract":"Chronic lymphocytic leukemia/small lymphocytic lymphoma (CLL) cells typically have low 2-deoxy-2-[18F]fluoro-d-glucose (FDG) avidity, and patients with CLL have an increased risk of developing FDG-avid aggressive lymphomas, second malignancies and infections. We hypothesized that FDG positron emission tomography-computed tomography (PET-CT) of the trunk is a sensitive method of detecting these complications in patients with CLL. Of the of 2299 patients with CLL seen in the Division of Hematology at Mayo Clinic Rochester between 1 January 2006 and 31 December 2011, 272 (11.8%) had 526 PET-CT scans and 472 (89.7%) of these were reported as abnormal. Among the 293 (55.7%) PET-CT scans used for routine evaluation of CLL, the PET component was of clinical value in only one instance. In contrast, in 83 (30.5%) patients, PET-CT scans used to evaluate new clinical complications localized high FDG-avidity lesions for biopsies. This resulted in clinically relevant new diagnoses in 32 patients, including those with more aggressive lymphoma (n = 16), non-hematological malignancies (n = 8) and opportunistic infections (n = 3). Twenty-seven patients had high FDG-avidity CLL, which was associated with prominent lymph node proliferation centers, an increased frequency of poor prognostic factors (17p13 deletion, unmutated immunoglobulin heavy chain variable gene [IGHV], expression of ZAP-70 and CD38) and a shorter overall survival. We conclude that FDG PET scans should not be used for routine surveillance of patients with CLL. However PET-CT scans are sensitive, but not specific, for detection of aggressive lymphomas, other cancers and systemic infections in patients with CLL. © 2014 Informa UK, Ltd.","author":[{"dropping-particle":"","family":"Conte","given":"Michael J.","non-dropping-particle":"","parse-names":false,"suffix":""},{"dropping-particle":"","family":"Bowen","given":"Deborah A.","non-dropping-particle":"","parse-names":false,"suffix":""},{"dropping-particle":"","family":"Wiseman","given":"Gregory A.","non-dropping-particle":"","parse-names":false,"suffix":""},{"dropping-particle":"","family":"Rabe","given":"Kari G.","non-dropping-particle":"","parse-names":false,"suffix":""},{"dropping-particle":"","family":"Slager","given":"Susan L.","non-dropping-particle":"","parse-names":false,"suffix":""},{"dropping-particle":"","family":"Schwager","given":"Susan M.","non-dropping-particle":"","parse-names":false,"suffix":""},{"dropping-particle":"","family":"Call","given":"Timothy G.","non-dropping-particle":"","parse-names":false,"suffix":""},{"dropping-particle":"","family":"Viswanatha","given":"David S.","non-dropping-particle":"","parse-names":false,"suffix":""},{"dropping-particle":"","family":"Zent","given":"Clive S.","non-dropping-particle":"","parse-names":false,"suffix":""}],"container-title":"Leukemia and Lymphoma","id":"ITEM-1","issue":"9","issued":{"date-parts":[["2014"]]},"page":"2079-2084","publisher":"Informa Healthcare","title":"Use of positron emission tomography-computed tomography in the management of patients with chronic lymphocytic leukemia/small lymphocytic lymphoma","type":"article-journal","volume":"55"},"uris":["http://www.mendeley.com/documents/?uuid=d05c9517-2d98-3a93-a687-92cfe95ee578"]}],"mendeley":{"formattedCitation":"[23]","plainTextFormattedCitation":"[23]","previouslyFormattedCitation":"[23]"},"properties":{"noteIndex":0},"schema":"https://github.com/citation-style-language/schema/raw/master/csl-citation.json"}</w:instrText>
      </w:r>
      <w:r w:rsidR="000B0AC3" w:rsidRPr="0095233F">
        <w:fldChar w:fldCharType="separate"/>
      </w:r>
      <w:r w:rsidR="00DF6A3A" w:rsidRPr="00DF6A3A">
        <w:rPr>
          <w:noProof/>
        </w:rPr>
        <w:t>[23]</w:t>
      </w:r>
      <w:r w:rsidR="000B0AC3" w:rsidRPr="0095233F">
        <w:fldChar w:fldCharType="end"/>
      </w:r>
      <w:r w:rsidR="000565F5" w:rsidRPr="0095233F">
        <w:t>.</w:t>
      </w:r>
    </w:p>
    <w:p w14:paraId="45D88DD1" w14:textId="77777777" w:rsidR="000565F5" w:rsidRPr="0095233F" w:rsidRDefault="000565F5" w:rsidP="00766C8A">
      <w:pPr>
        <w:ind w:firstLine="426"/>
        <w:contextualSpacing/>
        <w:rPr>
          <w:b/>
          <w:spacing w:val="-4"/>
        </w:rPr>
      </w:pPr>
      <w:r w:rsidRPr="0095233F">
        <w:rPr>
          <w:b/>
          <w:spacing w:val="-4"/>
        </w:rPr>
        <w:t xml:space="preserve">Уровень убедительности </w:t>
      </w:r>
      <w:r w:rsidR="00C20509" w:rsidRPr="0095233F">
        <w:rPr>
          <w:b/>
          <w:spacing w:val="-4"/>
        </w:rPr>
        <w:t xml:space="preserve">рекомендаций – </w:t>
      </w:r>
      <w:r w:rsidR="001E3D61" w:rsidRPr="0095233F">
        <w:rPr>
          <w:b/>
          <w:spacing w:val="-4"/>
        </w:rPr>
        <w:t>В</w:t>
      </w:r>
      <w:r w:rsidRPr="0095233F">
        <w:rPr>
          <w:b/>
          <w:spacing w:val="-4"/>
        </w:rPr>
        <w:t xml:space="preserve"> (уровень достоверности </w:t>
      </w:r>
      <w:r w:rsidR="00C20509" w:rsidRPr="0095233F">
        <w:rPr>
          <w:b/>
          <w:spacing w:val="-4"/>
        </w:rPr>
        <w:t xml:space="preserve">доказательств – </w:t>
      </w:r>
      <w:r w:rsidR="001E3D61" w:rsidRPr="0095233F">
        <w:rPr>
          <w:b/>
          <w:spacing w:val="-4"/>
        </w:rPr>
        <w:t>3</w:t>
      </w:r>
      <w:r w:rsidRPr="0095233F">
        <w:rPr>
          <w:b/>
          <w:spacing w:val="-4"/>
        </w:rPr>
        <w:t>).</w:t>
      </w:r>
    </w:p>
    <w:p w14:paraId="1FC558A1" w14:textId="7ED90CEC" w:rsidR="000565F5" w:rsidRDefault="000565F5" w:rsidP="00766C8A">
      <w:pPr>
        <w:ind w:firstLine="426"/>
        <w:contextualSpacing/>
        <w:rPr>
          <w:i/>
        </w:rPr>
      </w:pPr>
      <w:r w:rsidRPr="0095233F">
        <w:rPr>
          <w:b/>
        </w:rPr>
        <w:t>Комментарии:</w:t>
      </w:r>
      <w:r w:rsidR="006322EB" w:rsidRPr="0095233F">
        <w:rPr>
          <w:b/>
        </w:rPr>
        <w:t xml:space="preserve"> </w:t>
      </w:r>
      <w:r w:rsidR="00F66BB8" w:rsidRPr="0095233F">
        <w:rPr>
          <w:i/>
        </w:rPr>
        <w:t>при значениях SUV &lt;</w:t>
      </w:r>
      <w:r w:rsidR="002F2298" w:rsidRPr="0095233F">
        <w:rPr>
          <w:i/>
        </w:rPr>
        <w:t>5 вероятность синдрома Рихтера составляет около 3</w:t>
      </w:r>
      <w:r w:rsidR="00F66BB8" w:rsidRPr="0095233F">
        <w:rPr>
          <w:i/>
        </w:rPr>
        <w:t> </w:t>
      </w:r>
      <w:r w:rsidR="00DD3D1E" w:rsidRPr="0095233F">
        <w:rPr>
          <w:i/>
        </w:rPr>
        <w:t>%</w:t>
      </w:r>
      <w:r w:rsidR="00B21719" w:rsidRPr="0095233F">
        <w:rPr>
          <w:i/>
        </w:rPr>
        <w:t xml:space="preserve"> </w:t>
      </w:r>
      <w:r w:rsidR="000B0AC3" w:rsidRPr="0095233F">
        <w:rPr>
          <w:i/>
        </w:rPr>
        <w:fldChar w:fldCharType="begin" w:fldLock="1"/>
      </w:r>
      <w:r w:rsidR="00DB3D2B">
        <w:rPr>
          <w:i/>
        </w:rPr>
        <w:instrText>ADDIN CSL_CITATION {"citationItems":[{"id":"ITEM-1","itemData":{"DOI":"10.1182/blood-2013-11-516229","ISSN":"1528-0020","PMID":"24421328","abstract":"Richter syndrome (RS) is defined as the transformation of chronic lymphocytic leukemia (CLL) into an aggressive lymphoma, most commonly diffuse large B-cell lymphoma (DLBCL). RS occurs in approximately 2% to 10% of CLL patients during the course of their disease, with a transformation rate of 0.5% to 1% per year. A combination of germline genetic characteristics, clinical features (eg, advanced Rai stage), biologic (ζ-associated protein-70(+), CD38(+), CD49d(+)) and somatic genetic (del17p13.1 or del11q23.1) characteristics of CLL B cells, and certain CLL therapies are associated with higher risk of RS. Recent studies have also identified the crucial role of CDKN2A loss, TP53 disruption, C-MYC activation, and NOTCH1 mutations in the transformation from CLL to RS. An excisional lymph node biopsy is considered the gold standard for diagnosis of RS; a (18)F-fluorodeoxyglucose positron emission tomography scan can help inform the optimal site for biopsy. Approximately 80% of DLBCL cases in patients with CLL are clonally related to the underlying CLL, and the median survival for these patients is approximately 1 year. In contrast, the remaining 20% of patients have a clonally unrelated DLBCL and have a prognosis similar to that of de novo DLBCL. For patients with clonally related DLBCL, induction therapy with either an anthracycline- or platinum-based regimen is the standard approach. Postremission stem cell transplantation should be considered for appropriate patients. This article summarizes our approach to the clinical management of CLL patients who develop RS.","author":[{"dropping-particle":"","family":"Parikh","given":"Sameer A","non-dropping-particle":"","parse-names":false,"suffix":""},{"dropping-particle":"","family":"Kay","given":"Neil E","non-dropping-particle":"","parse-names":false,"suffix":""},{"dropping-particle":"","family":"Shanafelt","given":"Tait D","non-dropping-particle":"","parse-names":false,"suffix":""}],"container-title":"Blood","id":"ITEM-1","issue":"11","issued":{"date-parts":[["2014","3","13"]]},"page":"1647-57","title":"How we treat Richter syndrome.","type":"article-journal","volume":"123"},"uris":["http://www.mendeley.com/documents/?uuid=56ea1336-4bd5-324f-82d0-e12a770d4083"]}],"mendeley":{"formattedCitation":"[24]","plainTextFormattedCitation":"[24]","previouslyFormattedCitation":"[24]"},"properties":{"noteIndex":0},"schema":"https://github.com/citation-style-language/schema/raw/master/csl-citation.json"}</w:instrText>
      </w:r>
      <w:r w:rsidR="000B0AC3" w:rsidRPr="0095233F">
        <w:rPr>
          <w:i/>
        </w:rPr>
        <w:fldChar w:fldCharType="separate"/>
      </w:r>
      <w:r w:rsidR="00DF6A3A" w:rsidRPr="00DF6A3A">
        <w:rPr>
          <w:noProof/>
        </w:rPr>
        <w:t>[24]</w:t>
      </w:r>
      <w:r w:rsidR="000B0AC3" w:rsidRPr="0095233F">
        <w:rPr>
          <w:i/>
        </w:rPr>
        <w:fldChar w:fldCharType="end"/>
      </w:r>
      <w:r w:rsidR="002F2298" w:rsidRPr="0095233F">
        <w:rPr>
          <w:i/>
        </w:rPr>
        <w:t xml:space="preserve">. </w:t>
      </w:r>
      <w:r w:rsidR="00F66BB8" w:rsidRPr="0095233F">
        <w:rPr>
          <w:i/>
        </w:rPr>
        <w:t>Д</w:t>
      </w:r>
      <w:r w:rsidR="002F2298" w:rsidRPr="0095233F">
        <w:rPr>
          <w:i/>
        </w:rPr>
        <w:t xml:space="preserve">ля синдрома Рихтера </w:t>
      </w:r>
      <w:r w:rsidR="00F66BB8" w:rsidRPr="0095233F">
        <w:rPr>
          <w:i/>
        </w:rPr>
        <w:t xml:space="preserve">типичны </w:t>
      </w:r>
      <w:r w:rsidR="002F2298" w:rsidRPr="0095233F">
        <w:rPr>
          <w:i/>
        </w:rPr>
        <w:t>значения SUV &gt;15</w:t>
      </w:r>
      <w:r w:rsidR="00F66BB8" w:rsidRPr="0095233F">
        <w:rPr>
          <w:i/>
        </w:rPr>
        <w:t> %</w:t>
      </w:r>
      <w:r w:rsidR="002F2298" w:rsidRPr="0095233F">
        <w:rPr>
          <w:i/>
        </w:rPr>
        <w:t>. Если интенсивность накопления препарата отчетливо различается</w:t>
      </w:r>
      <w:r w:rsidR="002F2298" w:rsidRPr="00741B6B">
        <w:rPr>
          <w:i/>
        </w:rPr>
        <w:t xml:space="preserve"> в разных зонах, необходимо выполнение биопсии наиболее активного </w:t>
      </w:r>
      <w:r w:rsidR="002F2298">
        <w:rPr>
          <w:i/>
        </w:rPr>
        <w:t xml:space="preserve">узла или </w:t>
      </w:r>
      <w:r w:rsidR="002F2298" w:rsidRPr="00741B6B">
        <w:rPr>
          <w:i/>
        </w:rPr>
        <w:t>очага</w:t>
      </w:r>
      <w:r w:rsidRPr="00741B6B">
        <w:rPr>
          <w:i/>
        </w:rPr>
        <w:t>.</w:t>
      </w:r>
    </w:p>
    <w:p w14:paraId="70E5D9D3" w14:textId="1CD1595F" w:rsidR="00B21719" w:rsidRDefault="00B21719" w:rsidP="00D61785">
      <w:pPr>
        <w:pStyle w:val="a4"/>
        <w:numPr>
          <w:ilvl w:val="0"/>
          <w:numId w:val="50"/>
        </w:numPr>
        <w:spacing w:before="0"/>
      </w:pPr>
      <w:r>
        <w:t xml:space="preserve">Всем пациентам с верифицированным ХЛЛ/ЛМЛ </w:t>
      </w:r>
      <w:r w:rsidR="009209D5" w:rsidRPr="005D3BBD">
        <w:t>при первичной диагностике или диагностике рецидива заболевания, при контрольных обследованиях в процессе динамического наблюдения, перед проведением противоопухолевой терапии, в процессе лечения, при оценке эффективности терапии, при рефрактерном течении на любом этапе заболевания</w:t>
      </w:r>
      <w:r>
        <w:t xml:space="preserve"> для своевременного выявления сопутствующей</w:t>
      </w:r>
      <w:r w:rsidRPr="008045CA">
        <w:t xml:space="preserve"> </w:t>
      </w:r>
      <w:r>
        <w:t>патологии со стороны сердечно-сосудистой, дыхательной и пищеварительной систем</w:t>
      </w:r>
      <w:r w:rsidR="00F66BB8">
        <w:t xml:space="preserve"> и для</w:t>
      </w:r>
      <w:r w:rsidRPr="005C444A">
        <w:t xml:space="preserve"> </w:t>
      </w:r>
      <w:r>
        <w:t xml:space="preserve">определения необходимости </w:t>
      </w:r>
      <w:r w:rsidR="00F66BB8">
        <w:t xml:space="preserve">их </w:t>
      </w:r>
      <w:r>
        <w:t xml:space="preserve">профилактики или лечения </w:t>
      </w:r>
      <w:r w:rsidR="00F66BB8" w:rsidRPr="00BE4C96">
        <w:rPr>
          <w:b/>
          <w:bCs/>
        </w:rPr>
        <w:t xml:space="preserve">рекомендуется </w:t>
      </w:r>
      <w:r>
        <w:t xml:space="preserve">выполнить следующие исследования </w:t>
      </w:r>
      <w:r w:rsidR="000B0AC3">
        <w:fldChar w:fldCharType="begin" w:fldLock="1"/>
      </w:r>
      <w:r w:rsidR="00E97E28">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Pr="00B21719">
        <w:rPr>
          <w:noProof/>
        </w:rPr>
        <w:t>[16]</w:t>
      </w:r>
      <w:r w:rsidR="000B0AC3">
        <w:fldChar w:fldCharType="end"/>
      </w:r>
      <w:r>
        <w:t>:</w:t>
      </w:r>
    </w:p>
    <w:p w14:paraId="3CE25C7A" w14:textId="0D38452B" w:rsidR="00B21719" w:rsidRPr="00BE4C96" w:rsidRDefault="00BE4C96" w:rsidP="00D61785">
      <w:pPr>
        <w:pStyle w:val="a4"/>
        <w:numPr>
          <w:ilvl w:val="0"/>
          <w:numId w:val="23"/>
        </w:numPr>
        <w:spacing w:before="0"/>
      </w:pPr>
      <w:r w:rsidRPr="00BE4C96">
        <w:rPr>
          <w:rFonts w:eastAsia="Times New Roman"/>
          <w:color w:val="000000"/>
          <w:lang w:eastAsia="ru-RU"/>
        </w:rPr>
        <w:t xml:space="preserve">регистрация </w:t>
      </w:r>
      <w:r w:rsidR="009209D5" w:rsidRPr="005D3BBD">
        <w:rPr>
          <w:rFonts w:eastAsia="Times New Roman"/>
          <w:color w:val="000000"/>
          <w:lang w:eastAsia="ru-RU"/>
        </w:rPr>
        <w:t>электрокардиограммы</w:t>
      </w:r>
      <w:r w:rsidR="009209D5" w:rsidRPr="00BE4C96">
        <w:t xml:space="preserve"> (всем)</w:t>
      </w:r>
      <w:r w:rsidR="00B21719" w:rsidRPr="00BE4C96">
        <w:t>;</w:t>
      </w:r>
    </w:p>
    <w:p w14:paraId="530292A7" w14:textId="42C22CA8" w:rsidR="00B21719" w:rsidRPr="00BE4C96" w:rsidRDefault="009209D5" w:rsidP="00D61785">
      <w:pPr>
        <w:pStyle w:val="a4"/>
        <w:numPr>
          <w:ilvl w:val="0"/>
          <w:numId w:val="23"/>
        </w:numPr>
        <w:spacing w:before="0"/>
      </w:pPr>
      <w:r w:rsidRPr="00BE4C96">
        <w:t xml:space="preserve"> эхокардиография (по показаниям)</w:t>
      </w:r>
      <w:r w:rsidR="00B21719" w:rsidRPr="00BE4C96">
        <w:t>;</w:t>
      </w:r>
    </w:p>
    <w:p w14:paraId="24C104CF" w14:textId="0147588B" w:rsidR="00B21719" w:rsidRPr="00BE4C96" w:rsidRDefault="00BE4C96" w:rsidP="00D61785">
      <w:pPr>
        <w:pStyle w:val="a4"/>
        <w:numPr>
          <w:ilvl w:val="0"/>
          <w:numId w:val="23"/>
        </w:numPr>
        <w:spacing w:before="0"/>
      </w:pPr>
      <w:r w:rsidRPr="00BE4C96">
        <w:t xml:space="preserve">ультразвуковая </w:t>
      </w:r>
      <w:r w:rsidR="009209D5" w:rsidRPr="00BE4C96">
        <w:t xml:space="preserve">допплерография </w:t>
      </w:r>
      <w:r w:rsidR="00B21719" w:rsidRPr="00BE4C96">
        <w:t>сосудов (артерий и вен) нижних конечностей</w:t>
      </w:r>
      <w:r w:rsidR="009209D5" w:rsidRPr="00BE4C96">
        <w:t xml:space="preserve"> (по показаниям)</w:t>
      </w:r>
      <w:r>
        <w:t>;</w:t>
      </w:r>
    </w:p>
    <w:p w14:paraId="7A025603" w14:textId="291C879E" w:rsidR="009209D5" w:rsidRPr="005D3BBD" w:rsidRDefault="00BE4C96" w:rsidP="00D61785">
      <w:pPr>
        <w:pStyle w:val="a4"/>
        <w:numPr>
          <w:ilvl w:val="0"/>
          <w:numId w:val="23"/>
        </w:numPr>
        <w:spacing w:before="0"/>
      </w:pPr>
      <w:r w:rsidRPr="00BE4C96">
        <w:rPr>
          <w:rFonts w:eastAsia="Times New Roman"/>
          <w:color w:val="000000"/>
          <w:lang w:eastAsia="ru-RU"/>
        </w:rPr>
        <w:t xml:space="preserve">рентгенография </w:t>
      </w:r>
      <w:r w:rsidR="009209D5" w:rsidRPr="005D3BBD">
        <w:rPr>
          <w:rFonts w:eastAsia="Times New Roman"/>
          <w:color w:val="000000"/>
          <w:lang w:eastAsia="ru-RU"/>
        </w:rPr>
        <w:t xml:space="preserve">легких </w:t>
      </w:r>
      <w:r w:rsidR="009209D5" w:rsidRPr="00BE4C96">
        <w:t>(по показаниям)</w:t>
      </w:r>
      <w:r>
        <w:t>;</w:t>
      </w:r>
    </w:p>
    <w:p w14:paraId="375C7741" w14:textId="468B77F0" w:rsidR="009209D5" w:rsidRPr="005D3BBD" w:rsidRDefault="00BE4C96" w:rsidP="00D61785">
      <w:pPr>
        <w:numPr>
          <w:ilvl w:val="0"/>
          <w:numId w:val="23"/>
        </w:numPr>
        <w:rPr>
          <w:rFonts w:eastAsia="Times New Roman"/>
          <w:color w:val="000000"/>
          <w:lang w:eastAsia="ru-RU"/>
        </w:rPr>
      </w:pPr>
      <w:r w:rsidRPr="00BE4C96">
        <w:rPr>
          <w:rFonts w:eastAsia="Times New Roman"/>
          <w:color w:val="000000"/>
          <w:lang w:eastAsia="ru-RU"/>
        </w:rPr>
        <w:lastRenderedPageBreak/>
        <w:t xml:space="preserve">компьютерная </w:t>
      </w:r>
      <w:r w:rsidR="009209D5" w:rsidRPr="005D3BBD">
        <w:rPr>
          <w:rFonts w:eastAsia="Times New Roman"/>
          <w:color w:val="000000"/>
          <w:lang w:eastAsia="ru-RU"/>
        </w:rPr>
        <w:t xml:space="preserve">томография органов </w:t>
      </w:r>
      <w:r w:rsidR="009209D5" w:rsidRPr="00BE4C96">
        <w:t>грудной полости (по показаниям)</w:t>
      </w:r>
      <w:r>
        <w:t>;</w:t>
      </w:r>
    </w:p>
    <w:p w14:paraId="7D1631D1" w14:textId="5CAEA8F3" w:rsidR="00777862" w:rsidRPr="005D3BBD" w:rsidRDefault="00BE4C96" w:rsidP="00D61785">
      <w:pPr>
        <w:numPr>
          <w:ilvl w:val="0"/>
          <w:numId w:val="23"/>
        </w:numPr>
        <w:rPr>
          <w:rFonts w:eastAsia="Times New Roman"/>
          <w:color w:val="000000"/>
          <w:lang w:eastAsia="ru-RU"/>
        </w:rPr>
      </w:pPr>
      <w:r w:rsidRPr="00BE4C96">
        <w:rPr>
          <w:rFonts w:eastAsia="Times New Roman"/>
          <w:color w:val="000000"/>
          <w:lang w:eastAsia="ru-RU"/>
        </w:rPr>
        <w:t xml:space="preserve">ультразвуковое </w:t>
      </w:r>
      <w:r w:rsidR="00777862" w:rsidRPr="005D3BBD">
        <w:rPr>
          <w:rFonts w:eastAsia="Times New Roman"/>
          <w:color w:val="000000"/>
          <w:lang w:eastAsia="ru-RU"/>
        </w:rPr>
        <w:t>исследование органов брюшной полости (комплексное) (по показаниям)</w:t>
      </w:r>
      <w:r>
        <w:rPr>
          <w:rFonts w:eastAsia="Times New Roman"/>
          <w:color w:val="000000"/>
          <w:lang w:eastAsia="ru-RU"/>
        </w:rPr>
        <w:t>;</w:t>
      </w:r>
    </w:p>
    <w:p w14:paraId="0C3CEC46" w14:textId="6F8518B9" w:rsidR="009209D5" w:rsidRPr="005D3BBD" w:rsidRDefault="00BE4C96" w:rsidP="00D61785">
      <w:pPr>
        <w:numPr>
          <w:ilvl w:val="0"/>
          <w:numId w:val="23"/>
        </w:numPr>
        <w:rPr>
          <w:rFonts w:eastAsia="Times New Roman"/>
          <w:color w:val="000000"/>
          <w:lang w:eastAsia="ru-RU"/>
        </w:rPr>
      </w:pPr>
      <w:r w:rsidRPr="00BE4C96">
        <w:rPr>
          <w:rFonts w:eastAsia="Times New Roman"/>
          <w:color w:val="000000"/>
          <w:lang w:eastAsia="ru-RU"/>
        </w:rPr>
        <w:t xml:space="preserve">компьютерная </w:t>
      </w:r>
      <w:r w:rsidR="009209D5" w:rsidRPr="005D3BBD">
        <w:rPr>
          <w:rFonts w:eastAsia="Times New Roman"/>
          <w:color w:val="000000"/>
          <w:lang w:eastAsia="ru-RU"/>
        </w:rPr>
        <w:t xml:space="preserve">томография органов брюшной полости </w:t>
      </w:r>
      <w:r w:rsidR="009209D5" w:rsidRPr="00BE4C96">
        <w:t>(по показаниям)</w:t>
      </w:r>
      <w:r>
        <w:t>;</w:t>
      </w:r>
    </w:p>
    <w:p w14:paraId="0C37468F" w14:textId="61DB8657" w:rsidR="009209D5" w:rsidRPr="005D3BBD" w:rsidRDefault="00BE4C96" w:rsidP="00D61785">
      <w:pPr>
        <w:pStyle w:val="a4"/>
        <w:numPr>
          <w:ilvl w:val="0"/>
          <w:numId w:val="23"/>
        </w:numPr>
        <w:spacing w:before="0"/>
      </w:pPr>
      <w:r>
        <w:rPr>
          <w:rFonts w:eastAsia="Times New Roman"/>
          <w:color w:val="000000"/>
          <w:lang w:eastAsia="ru-RU"/>
        </w:rPr>
        <w:t>э</w:t>
      </w:r>
      <w:r w:rsidR="009209D5" w:rsidRPr="005D3BBD">
        <w:rPr>
          <w:rFonts w:eastAsia="Times New Roman"/>
          <w:color w:val="000000"/>
          <w:lang w:eastAsia="ru-RU"/>
        </w:rPr>
        <w:t xml:space="preserve">зофагогастродуоденоскопия </w:t>
      </w:r>
      <w:r w:rsidR="009209D5" w:rsidRPr="00BE4C96">
        <w:t>(по показаниям)</w:t>
      </w:r>
      <w:r>
        <w:t>;</w:t>
      </w:r>
    </w:p>
    <w:p w14:paraId="1F3F56B1" w14:textId="3DBD9438" w:rsidR="009209D5" w:rsidRPr="005D3BBD" w:rsidRDefault="00BE4C96" w:rsidP="00D61785">
      <w:pPr>
        <w:pStyle w:val="a4"/>
        <w:numPr>
          <w:ilvl w:val="0"/>
          <w:numId w:val="23"/>
        </w:numPr>
        <w:spacing w:before="0"/>
      </w:pPr>
      <w:r w:rsidRPr="00BE4C96">
        <w:rPr>
          <w:rFonts w:eastAsia="Times New Roman"/>
          <w:color w:val="000000"/>
          <w:lang w:eastAsia="ru-RU"/>
        </w:rPr>
        <w:t xml:space="preserve">колоноскопия </w:t>
      </w:r>
      <w:r w:rsidR="009209D5" w:rsidRPr="00BE4C96">
        <w:t>(по показаниям)</w:t>
      </w:r>
      <w:r>
        <w:t>;</w:t>
      </w:r>
    </w:p>
    <w:p w14:paraId="51D31558" w14:textId="573328E5" w:rsidR="00181217" w:rsidRPr="00BE4C96" w:rsidRDefault="00BE4C96" w:rsidP="00D61785">
      <w:pPr>
        <w:pStyle w:val="a4"/>
        <w:numPr>
          <w:ilvl w:val="0"/>
          <w:numId w:val="23"/>
        </w:numPr>
        <w:spacing w:before="0"/>
      </w:pPr>
      <w:r w:rsidRPr="00BE4C96">
        <w:rPr>
          <w:rFonts w:eastAsia="Times New Roman"/>
          <w:color w:val="000000"/>
          <w:lang w:eastAsia="ru-RU"/>
        </w:rPr>
        <w:t xml:space="preserve">ректороманоскопия </w:t>
      </w:r>
      <w:r w:rsidR="009209D5" w:rsidRPr="00BE4C96">
        <w:t>(по показаниям).</w:t>
      </w:r>
    </w:p>
    <w:p w14:paraId="1BE24182" w14:textId="77777777" w:rsidR="00B21719" w:rsidRPr="00C403C8" w:rsidRDefault="00B21719" w:rsidP="00DB3D2B">
      <w:pPr>
        <w:ind w:firstLine="426"/>
        <w:rPr>
          <w:b/>
          <w:spacing w:val="-4"/>
        </w:rPr>
      </w:pPr>
      <w:r w:rsidRPr="00C403C8">
        <w:rPr>
          <w:b/>
          <w:spacing w:val="-4"/>
        </w:rPr>
        <w:t xml:space="preserve">Уровень убедительности </w:t>
      </w:r>
      <w:r w:rsidR="00C20509" w:rsidRPr="00C403C8">
        <w:rPr>
          <w:b/>
          <w:spacing w:val="-4"/>
        </w:rPr>
        <w:t xml:space="preserve">рекомендаций – </w:t>
      </w:r>
      <w:r w:rsidRPr="00C403C8">
        <w:rPr>
          <w:b/>
          <w:spacing w:val="-4"/>
        </w:rPr>
        <w:t xml:space="preserve">С (уровень достоверности </w:t>
      </w:r>
      <w:r w:rsidR="00C20509" w:rsidRPr="00C403C8">
        <w:rPr>
          <w:b/>
          <w:spacing w:val="-4"/>
        </w:rPr>
        <w:t xml:space="preserve">доказательств – </w:t>
      </w:r>
      <w:r w:rsidRPr="00C403C8">
        <w:rPr>
          <w:b/>
          <w:spacing w:val="-4"/>
        </w:rPr>
        <w:t>5).</w:t>
      </w:r>
    </w:p>
    <w:p w14:paraId="51F7D691" w14:textId="77777777" w:rsidR="004D7374" w:rsidRPr="005D3BBD" w:rsidRDefault="00AE6C08" w:rsidP="005D3BBD">
      <w:pPr>
        <w:pStyle w:val="2"/>
        <w:spacing w:before="0"/>
        <w:contextualSpacing/>
      </w:pPr>
      <w:bookmarkStart w:id="41" w:name="_Toc23601724"/>
      <w:bookmarkStart w:id="42" w:name="_Toc65068805"/>
      <w:r>
        <w:t xml:space="preserve">2.5. </w:t>
      </w:r>
      <w:bookmarkEnd w:id="41"/>
      <w:r w:rsidR="00CF20D8">
        <w:t>Иные диагностические исследования</w:t>
      </w:r>
      <w:bookmarkEnd w:id="42"/>
    </w:p>
    <w:p w14:paraId="2BEF5750" w14:textId="54549EB1" w:rsidR="00B21719" w:rsidRPr="005D3BBD" w:rsidRDefault="00B21719" w:rsidP="00D61785">
      <w:pPr>
        <w:pStyle w:val="a4"/>
        <w:numPr>
          <w:ilvl w:val="0"/>
          <w:numId w:val="50"/>
        </w:numPr>
        <w:spacing w:before="0"/>
      </w:pPr>
      <w:r w:rsidRPr="00504D96">
        <w:t>Всем</w:t>
      </w:r>
      <w:r>
        <w:t xml:space="preserve"> пациентам с ХЛЛ/ЛМЛ с коморбидностью, которая может повлиять на выбор программы противоопухолевого лечения, перед началом терапии </w:t>
      </w:r>
      <w:r w:rsidRPr="00DB3D2B">
        <w:rPr>
          <w:b/>
        </w:rPr>
        <w:t>рекомендуется</w:t>
      </w:r>
      <w:r w:rsidRPr="005D3BBD">
        <w:t xml:space="preserve"> </w:t>
      </w:r>
      <w:r>
        <w:t>консультация соответствующего врача-специалиста (</w:t>
      </w:r>
      <w:r w:rsidR="0015137D" w:rsidRPr="005D3BBD">
        <w:t xml:space="preserve">врача акушера-гинеколога, </w:t>
      </w:r>
      <w:r w:rsidR="004E6BF1">
        <w:t>врача-</w:t>
      </w:r>
      <w:r>
        <w:t xml:space="preserve">кардиолога, </w:t>
      </w:r>
      <w:r w:rsidR="004E6BF1">
        <w:t>врача-</w:t>
      </w:r>
      <w:r w:rsidRPr="002538FD">
        <w:t>невролога,</w:t>
      </w:r>
      <w:r>
        <w:t xml:space="preserve"> </w:t>
      </w:r>
      <w:r w:rsidR="004E6BF1">
        <w:t>врача-</w:t>
      </w:r>
      <w:r>
        <w:t>оториноларинолога</w:t>
      </w:r>
      <w:r w:rsidR="0015137D">
        <w:t>, врача-уролога, врача-колопроктолога, врача-эндокринолога, врача-пульмонолога, вреча-фтизиатра, врача-инфекциониста</w:t>
      </w:r>
      <w:r w:rsidRPr="002538FD">
        <w:t xml:space="preserve"> и др</w:t>
      </w:r>
      <w:r>
        <w:t xml:space="preserve">.) </w:t>
      </w:r>
      <w:r w:rsidR="000B0AC3">
        <w:fldChar w:fldCharType="begin" w:fldLock="1"/>
      </w:r>
      <w:r w:rsidR="00E97E28">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Pr="00B21719">
        <w:rPr>
          <w:noProof/>
        </w:rPr>
        <w:t>[16]</w:t>
      </w:r>
      <w:r w:rsidR="000B0AC3">
        <w:fldChar w:fldCharType="end"/>
      </w:r>
      <w:r>
        <w:t>.</w:t>
      </w:r>
    </w:p>
    <w:p w14:paraId="17F55B5A" w14:textId="77777777" w:rsidR="006322EB" w:rsidRDefault="00B21719" w:rsidP="005D3BBD">
      <w:pPr>
        <w:pStyle w:val="11"/>
        <w:spacing w:beforeAutospacing="0" w:afterAutospacing="0" w:line="360" w:lineRule="auto"/>
        <w:ind w:firstLine="426"/>
        <w:rPr>
          <w:b/>
          <w:spacing w:val="-4"/>
        </w:rPr>
      </w:pPr>
      <w:r w:rsidRPr="00C403C8">
        <w:rPr>
          <w:b/>
          <w:spacing w:val="-4"/>
        </w:rPr>
        <w:t xml:space="preserve">Уровень убедительности </w:t>
      </w:r>
      <w:r w:rsidR="00C20509" w:rsidRPr="00C403C8">
        <w:rPr>
          <w:b/>
          <w:spacing w:val="-4"/>
        </w:rPr>
        <w:t xml:space="preserve">рекомендаций – </w:t>
      </w:r>
      <w:r w:rsidRPr="00C403C8">
        <w:rPr>
          <w:b/>
          <w:spacing w:val="-4"/>
        </w:rPr>
        <w:t xml:space="preserve">С (уровень достоверности </w:t>
      </w:r>
      <w:r w:rsidR="00C20509" w:rsidRPr="00C403C8">
        <w:rPr>
          <w:b/>
          <w:spacing w:val="-4"/>
        </w:rPr>
        <w:t xml:space="preserve">доказательств – </w:t>
      </w:r>
      <w:r w:rsidR="00C403C8">
        <w:rPr>
          <w:b/>
          <w:spacing w:val="-4"/>
        </w:rPr>
        <w:t>5).</w:t>
      </w:r>
    </w:p>
    <w:p w14:paraId="593B0FC2" w14:textId="401537D6" w:rsidR="006C2054" w:rsidRPr="00DB3D2B" w:rsidRDefault="006C2054" w:rsidP="00D61785">
      <w:pPr>
        <w:pStyle w:val="a4"/>
        <w:numPr>
          <w:ilvl w:val="0"/>
          <w:numId w:val="50"/>
        </w:numPr>
        <w:spacing w:before="0"/>
      </w:pPr>
      <w:r w:rsidRPr="00504D96">
        <w:t>Всем</w:t>
      </w:r>
      <w:r>
        <w:t xml:space="preserve"> пациентам с ХЛЛ/ЛМЛ </w:t>
      </w:r>
      <w:r w:rsidR="00B60FE9">
        <w:t>на любом этапе диагностики, наблюдени</w:t>
      </w:r>
      <w:r w:rsidR="00181217">
        <w:t>я</w:t>
      </w:r>
      <w:r w:rsidR="00B60FE9">
        <w:t xml:space="preserve">, лечения, при подозрении на </w:t>
      </w:r>
      <w:r w:rsidR="00181217">
        <w:t xml:space="preserve">развитие </w:t>
      </w:r>
      <w:r w:rsidR="00B60FE9">
        <w:t>инфекционно</w:t>
      </w:r>
      <w:r w:rsidR="00181217">
        <w:t>го</w:t>
      </w:r>
      <w:r w:rsidR="00B60FE9">
        <w:t xml:space="preserve"> </w:t>
      </w:r>
      <w:r w:rsidR="00181217">
        <w:t xml:space="preserve">осложнения </w:t>
      </w:r>
      <w:r w:rsidR="00181217" w:rsidRPr="005D3BBD">
        <w:rPr>
          <w:b/>
        </w:rPr>
        <w:t>рекомендуется</w:t>
      </w:r>
      <w:r w:rsidR="00181217">
        <w:t xml:space="preserve"> выполнение диагностических исследований для уточнения локализации инфекции, типа возбудителя инфекции, динамического контроля в процессе лечения</w:t>
      </w:r>
      <w:r w:rsidR="00DB3D2B" w:rsidRPr="005D3BBD">
        <w:t xml:space="preserve"> </w:t>
      </w:r>
      <w:r w:rsidR="00DB3D2B" w:rsidRPr="00BA36AE">
        <w:t>(</w:t>
      </w:r>
      <w:r w:rsidR="008A4B4B" w:rsidRPr="00BA36AE">
        <w:t>см. раздел</w:t>
      </w:r>
      <w:r w:rsidR="00BA36AE" w:rsidRPr="00BA36AE">
        <w:t>ы</w:t>
      </w:r>
      <w:r w:rsidR="008A4B4B" w:rsidRPr="00BA36AE">
        <w:t xml:space="preserve"> 7.4</w:t>
      </w:r>
      <w:r w:rsidR="00BA36AE" w:rsidRPr="00BA36AE">
        <w:t>-7.6</w:t>
      </w:r>
      <w:r w:rsidR="00DB3D2B" w:rsidRPr="00BA36AE">
        <w:t>)</w:t>
      </w:r>
      <w:r w:rsidR="00042DD2" w:rsidRPr="005D3BBD">
        <w:t xml:space="preserve"> </w:t>
      </w:r>
      <w:r w:rsidR="00DB3D2B" w:rsidRPr="005D3BBD">
        <w:fldChar w:fldCharType="begin" w:fldLock="1"/>
      </w:r>
      <w:r w:rsidR="00BA7FFC">
        <w:instrText>ADDIN CSL_CITATION {"citationItems":[{"id":"ITEM-1","itemData":{"DOI":"10.1007/978-1-59259-412-2_19","author":[{"dropping-particle":"","family":"Bodey","given":"Gerald P.","non-dropping-particle":"","parse-names":false,"suffix":""},{"dropping-particle":"","family":"Kontoyiannis","given":"Dimitrios","non-dropping-particle":"","parse-names":false,"suffix":""},{"dropping-particle":"","family":"Keating","given":"Michael J.","non-dropping-particle":"","parse-names":false,"suffix":""}],"container-title":"Chronic Lymphocytic Leukemia","id":"ITEM-1","issued":{"date-parts":[["2004"]]},"page":"343-359","publisher":"Humana Press","publisher-place":"Totowa, NJ","title":"Infections in Patients With Chronic Lymphocytic Leukemia","type":"chapter"},"uris":["http://www.mendeley.com/documents/?uuid=77e6771b-1953-38d2-91fe-e920123f5f4e"]},{"id":"ITEM-2","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трансфузиология","id":"ITEM-2","issue":"1","issued":{"date-parts":[["2007"]]},"page":"11-18","title":"Возбудители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[25,26]","plainTextFormattedCitation":"[25,26]","previouslyFormattedCitation":"[25,26]"},"properties":{"noteIndex":0},"schema":"https://github.com/citation-style-language/schema/raw/master/csl-citation.json"}</w:instrText>
      </w:r>
      <w:r w:rsidR="00DB3D2B" w:rsidRPr="005D3BBD">
        <w:fldChar w:fldCharType="separate"/>
      </w:r>
      <w:r w:rsidR="00225D7F" w:rsidRPr="00225D7F">
        <w:rPr>
          <w:noProof/>
        </w:rPr>
        <w:t>[25,26]</w:t>
      </w:r>
      <w:r w:rsidR="00DB3D2B" w:rsidRPr="005D3BBD">
        <w:fldChar w:fldCharType="end"/>
      </w:r>
      <w:r w:rsidR="00181217">
        <w:t xml:space="preserve">. </w:t>
      </w:r>
    </w:p>
    <w:p w14:paraId="3265B711" w14:textId="113D5782" w:rsidR="00181217" w:rsidRDefault="00181217" w:rsidP="005D3BBD">
      <w:pPr>
        <w:pStyle w:val="11"/>
        <w:spacing w:beforeAutospacing="0" w:afterAutospacing="0" w:line="360" w:lineRule="auto"/>
        <w:ind w:firstLine="567"/>
        <w:jc w:val="both"/>
        <w:rPr>
          <w:b/>
          <w:spacing w:val="-4"/>
        </w:rPr>
      </w:pPr>
      <w:r w:rsidRPr="00C403C8">
        <w:rPr>
          <w:b/>
          <w:spacing w:val="-4"/>
        </w:rPr>
        <w:t xml:space="preserve">Уровень убедительности рекомендаций – С (уровень достоверности доказательств – </w:t>
      </w:r>
      <w:r>
        <w:rPr>
          <w:b/>
          <w:spacing w:val="-4"/>
        </w:rPr>
        <w:t>5).</w:t>
      </w:r>
    </w:p>
    <w:p w14:paraId="768701C7" w14:textId="20075B54" w:rsidR="00F01AF7" w:rsidRPr="00520553" w:rsidRDefault="00F01AF7" w:rsidP="00520553">
      <w:pPr>
        <w:pStyle w:val="11"/>
        <w:spacing w:beforeAutospacing="0" w:afterAutospacing="0" w:line="360" w:lineRule="auto"/>
        <w:ind w:firstLine="709"/>
        <w:jc w:val="both"/>
        <w:rPr>
          <w:iCs/>
          <w:color w:val="000000" w:themeColor="text1"/>
          <w:spacing w:val="-4"/>
        </w:rPr>
      </w:pPr>
      <w:bookmarkStart w:id="43" w:name="_Hlk59568547"/>
      <w:r w:rsidRPr="00520553">
        <w:rPr>
          <w:b/>
          <w:color w:val="000000" w:themeColor="text1"/>
        </w:rPr>
        <w:t xml:space="preserve">Комментарии: </w:t>
      </w:r>
      <w:r w:rsidRPr="00520553">
        <w:rPr>
          <w:i/>
          <w:color w:val="000000" w:themeColor="text1"/>
        </w:rPr>
        <w:t xml:space="preserve">инфекции являются главной причиной смерти у 10–15 % пациентов с ХЛЛ. В связи с иммунодефицитным состоянием пациентов, при ХЛЛЛМЛ могут развиваться различные вирусные, бактериальные, грибковые инфекционные осложнения, в том числе, оппортунистические инфекции. Своевременная диагностика и лечение инфекционных состояний является важнейшим компонентом успешного лечения пациентов с ХЛЛ/ЛМЛ. Диагностические исследования включают необходимые исследования лучевой диагностики (КТ и магнитно-резонансная томография вовлеченнных областей, в том числе, по показаниям - компьютерная томография головного мозга); эндоскопические, пункционные и биопсийные исследования (в том числе, по показаниям - бронхо-альвеолярный лаваж, пункция плевральной полости, спинномозговая пункция); </w:t>
      </w:r>
      <w:r w:rsidRPr="00520553">
        <w:rPr>
          <w:i/>
          <w:color w:val="000000" w:themeColor="text1"/>
        </w:rPr>
        <w:lastRenderedPageBreak/>
        <w:t>лабораторные исследования (в том числе, по показаниям - исследование кислотно-основного состояния и газов крови, исследование уровня прокальцитонина в крови), посевы и другие микробиологические (культуральные) я, молекулярно-биологические, микроскопические и иные бактериологические исследования на аэробные и факультативно-анаэробные микроорганизмы (в том числе, аэробные и факультативно-анаэробные условно-патогенные микроорганизмы), пнвмоцисты, микоплазму, легионеллу, микобактерии туберкулеза, грибы (дрожжевые и мицелильные), клостридии, и другие.</w:t>
      </w:r>
    </w:p>
    <w:p w14:paraId="3ABE4384" w14:textId="77777777" w:rsidR="00F94109" w:rsidRPr="00397360" w:rsidRDefault="004D7374" w:rsidP="005D3BBD">
      <w:pPr>
        <w:pStyle w:val="af9"/>
        <w:rPr>
          <w:sz w:val="24"/>
          <w:szCs w:val="24"/>
        </w:rPr>
      </w:pPr>
      <w:bookmarkStart w:id="44" w:name="_Toc520213125"/>
      <w:bookmarkStart w:id="45" w:name="_Toc23601725"/>
      <w:bookmarkStart w:id="46" w:name="_Toc65068806"/>
      <w:bookmarkEnd w:id="43"/>
      <w:r w:rsidRPr="00397360">
        <w:rPr>
          <w:sz w:val="24"/>
          <w:szCs w:val="24"/>
        </w:rPr>
        <w:t xml:space="preserve">3. </w:t>
      </w:r>
      <w:bookmarkEnd w:id="44"/>
      <w:r w:rsidR="00F94109" w:rsidRPr="00397360">
        <w:rPr>
          <w:sz w:val="24"/>
          <w:szCs w:val="24"/>
        </w:rPr>
        <w:t xml:space="preserve">Лечение, включая медикаментозную и немедикаментозную терапии, диетотерапию, обезболивание, медицинские показания </w:t>
      </w:r>
      <w:r w:rsidR="00C403C8" w:rsidRPr="00397360">
        <w:rPr>
          <w:sz w:val="24"/>
          <w:szCs w:val="24"/>
        </w:rPr>
        <w:br/>
      </w:r>
      <w:r w:rsidR="00F94109" w:rsidRPr="00397360">
        <w:rPr>
          <w:sz w:val="24"/>
          <w:szCs w:val="24"/>
        </w:rPr>
        <w:t>и противопоказания к применению методов лечения</w:t>
      </w:r>
      <w:bookmarkEnd w:id="45"/>
      <w:bookmarkEnd w:id="46"/>
    </w:p>
    <w:p w14:paraId="30310528" w14:textId="77777777" w:rsidR="004D7374" w:rsidRDefault="004D7374" w:rsidP="005D3BBD">
      <w:pPr>
        <w:pStyle w:val="2"/>
        <w:spacing w:before="0"/>
        <w:contextualSpacing/>
      </w:pPr>
      <w:bookmarkStart w:id="47" w:name="_Toc23601726"/>
      <w:bookmarkStart w:id="48" w:name="_Toc65068807"/>
      <w:r w:rsidRPr="0080011C">
        <w:t>3.1</w:t>
      </w:r>
      <w:r w:rsidR="00397360" w:rsidRPr="0080011C">
        <w:t>.</w:t>
      </w:r>
      <w:r w:rsidRPr="0080011C">
        <w:t xml:space="preserve"> Показания к началу терапии В-клеточного </w:t>
      </w:r>
      <w:r w:rsidR="00BE6A1C" w:rsidRPr="0080011C">
        <w:t>ХЛЛ</w:t>
      </w:r>
      <w:bookmarkEnd w:id="47"/>
      <w:bookmarkEnd w:id="48"/>
    </w:p>
    <w:p w14:paraId="639FA014" w14:textId="77777777" w:rsidR="004D7374" w:rsidRDefault="004D7374" w:rsidP="00D61785">
      <w:pPr>
        <w:pStyle w:val="a4"/>
        <w:numPr>
          <w:ilvl w:val="0"/>
          <w:numId w:val="50"/>
        </w:numPr>
        <w:spacing w:before="0"/>
      </w:pPr>
      <w:r w:rsidRPr="00504D96">
        <w:t>Всем</w:t>
      </w:r>
      <w:r>
        <w:t xml:space="preserve"> пациентам с верифицированным ХЛЛ/ЛМЛ </w:t>
      </w:r>
      <w:r w:rsidRPr="0080011C">
        <w:rPr>
          <w:b/>
        </w:rPr>
        <w:t>рекоменд</w:t>
      </w:r>
      <w:r w:rsidR="008E45D6" w:rsidRPr="0080011C">
        <w:rPr>
          <w:b/>
        </w:rPr>
        <w:t>уется</w:t>
      </w:r>
      <w:r>
        <w:t xml:space="preserve"> начало специфической терапии только при наличии показаний в соответствии с крит</w:t>
      </w:r>
      <w:r w:rsidR="00383556">
        <w:t xml:space="preserve">ериями </w:t>
      </w:r>
      <w:r w:rsidR="008502F5">
        <w:t>IWCLL</w:t>
      </w:r>
      <w:r w:rsidR="00383556">
        <w:t xml:space="preserve"> 2018 (</w:t>
      </w:r>
      <w:r w:rsidR="00C403C8">
        <w:t>см. </w:t>
      </w:r>
      <w:r w:rsidR="00383556">
        <w:t xml:space="preserve">приложение </w:t>
      </w:r>
      <w:r w:rsidR="00437AD9">
        <w:t>А3.2</w:t>
      </w:r>
      <w:r>
        <w:t>)</w:t>
      </w:r>
      <w:r w:rsidR="00E97E28">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t>.</w:t>
      </w:r>
    </w:p>
    <w:p w14:paraId="7DCD0337" w14:textId="77777777" w:rsidR="004D7374" w:rsidRPr="00C403C8" w:rsidRDefault="004D7374" w:rsidP="0080011C">
      <w:pPr>
        <w:ind w:left="426"/>
        <w:contextualSpacing/>
        <w:rPr>
          <w:b/>
          <w:spacing w:val="-4"/>
        </w:rPr>
      </w:pPr>
      <w:r w:rsidRPr="00C403C8">
        <w:rPr>
          <w:b/>
          <w:spacing w:val="-4"/>
        </w:rPr>
        <w:t xml:space="preserve">Уровень убедительности </w:t>
      </w:r>
      <w:r w:rsidR="00C20509" w:rsidRPr="00C403C8">
        <w:rPr>
          <w:b/>
          <w:spacing w:val="-4"/>
        </w:rPr>
        <w:t xml:space="preserve">рекомендаций – </w:t>
      </w:r>
      <w:r w:rsidR="005C6207" w:rsidRPr="00C403C8">
        <w:rPr>
          <w:b/>
          <w:spacing w:val="-4"/>
        </w:rPr>
        <w:t>С</w:t>
      </w:r>
      <w:r w:rsidR="000E3DE6" w:rsidRPr="00C403C8">
        <w:rPr>
          <w:b/>
          <w:spacing w:val="-4"/>
        </w:rPr>
        <w:t xml:space="preserve"> </w:t>
      </w:r>
      <w:r w:rsidRPr="00C403C8">
        <w:rPr>
          <w:b/>
          <w:spacing w:val="-4"/>
        </w:rPr>
        <w:t>(урове</w:t>
      </w:r>
      <w:r w:rsidR="001E3D61" w:rsidRPr="00C403C8">
        <w:rPr>
          <w:b/>
          <w:spacing w:val="-4"/>
        </w:rPr>
        <w:t xml:space="preserve">нь достоверности </w:t>
      </w:r>
      <w:r w:rsidR="00C20509" w:rsidRPr="00C403C8">
        <w:rPr>
          <w:b/>
          <w:spacing w:val="-4"/>
        </w:rPr>
        <w:t xml:space="preserve">доказательств – </w:t>
      </w:r>
      <w:r w:rsidR="005C6207" w:rsidRPr="00C403C8">
        <w:rPr>
          <w:b/>
          <w:spacing w:val="-4"/>
        </w:rPr>
        <w:t>5</w:t>
      </w:r>
      <w:r w:rsidRPr="00C403C8">
        <w:rPr>
          <w:b/>
          <w:spacing w:val="-4"/>
        </w:rPr>
        <w:t>)</w:t>
      </w:r>
      <w:r w:rsidR="00383556" w:rsidRPr="00C403C8">
        <w:rPr>
          <w:b/>
          <w:spacing w:val="-4"/>
        </w:rPr>
        <w:t>.</w:t>
      </w:r>
    </w:p>
    <w:p w14:paraId="3D016106" w14:textId="77777777" w:rsidR="004D7374" w:rsidRPr="00383556" w:rsidRDefault="00A81638" w:rsidP="0080011C">
      <w:pPr>
        <w:ind w:firstLine="426"/>
        <w:contextualSpacing/>
        <w:rPr>
          <w:i/>
        </w:rPr>
      </w:pPr>
      <w:r>
        <w:rPr>
          <w:b/>
        </w:rPr>
        <w:t>Комментарии</w:t>
      </w:r>
      <w:r w:rsidR="004D7374" w:rsidRPr="00383556">
        <w:rPr>
          <w:b/>
        </w:rPr>
        <w:t>:</w:t>
      </w:r>
      <w:r w:rsidR="00572E8D">
        <w:rPr>
          <w:b/>
        </w:rPr>
        <w:t xml:space="preserve"> </w:t>
      </w:r>
      <w:r w:rsidR="00E97E28" w:rsidRPr="00383556">
        <w:rPr>
          <w:i/>
        </w:rPr>
        <w:t xml:space="preserve">около </w:t>
      </w:r>
      <w:r w:rsidR="004D7374" w:rsidRPr="00383556">
        <w:rPr>
          <w:i/>
        </w:rPr>
        <w:t>30</w:t>
      </w:r>
      <w:r w:rsidR="00DD3D1E">
        <w:rPr>
          <w:i/>
        </w:rPr>
        <w:t xml:space="preserve"> %</w:t>
      </w:r>
      <w:r w:rsidR="004D7374" w:rsidRPr="00383556">
        <w:rPr>
          <w:i/>
        </w:rPr>
        <w:t xml:space="preserve"> пациентов имеют медленно прогрессирующее течение ХЛЛ, причем продолжительность их жизни близка к общепопуляционной. Наличие такой группы </w:t>
      </w:r>
      <w:r w:rsidR="008E45D6">
        <w:rPr>
          <w:i/>
        </w:rPr>
        <w:t>пациентов</w:t>
      </w:r>
      <w:r w:rsidR="004D7374" w:rsidRPr="00383556">
        <w:rPr>
          <w:i/>
        </w:rPr>
        <w:t xml:space="preserve"> делает обоснованной тактику выжидательного наблюдения до появления показаний к терапии. </w:t>
      </w:r>
      <w:r w:rsidR="00E97E28" w:rsidRPr="00E97E28">
        <w:rPr>
          <w:i/>
        </w:rPr>
        <w:t>Т</w:t>
      </w:r>
      <w:r w:rsidR="004D7374" w:rsidRPr="00383556">
        <w:rPr>
          <w:i/>
        </w:rPr>
        <w:t xml:space="preserve">ерапия ХЛЛ должна начинаться при наличии показаний по критериям </w:t>
      </w:r>
      <w:r w:rsidR="008502F5" w:rsidRPr="00383556">
        <w:rPr>
          <w:i/>
        </w:rPr>
        <w:t xml:space="preserve">IWCLL </w:t>
      </w:r>
      <w:r w:rsidR="004D7374" w:rsidRPr="00383556">
        <w:rPr>
          <w:i/>
        </w:rPr>
        <w:t>2018.</w:t>
      </w:r>
      <w:r w:rsidR="00C52C85">
        <w:rPr>
          <w:i/>
        </w:rPr>
        <w:t xml:space="preserve"> </w:t>
      </w:r>
      <w:r w:rsidR="004D7374" w:rsidRPr="00383556">
        <w:rPr>
          <w:i/>
        </w:rPr>
        <w:t xml:space="preserve">Пациенты в стадии А с </w:t>
      </w:r>
      <w:r w:rsidR="00AA4B03" w:rsidRPr="00AA4B03">
        <w:rPr>
          <w:i/>
        </w:rPr>
        <w:t>аутоиммунн</w:t>
      </w:r>
      <w:r w:rsidR="00C403C8">
        <w:rPr>
          <w:i/>
        </w:rPr>
        <w:t>ой гемолитической</w:t>
      </w:r>
      <w:r w:rsidR="00AA4B03" w:rsidRPr="00AA4B03">
        <w:rPr>
          <w:i/>
        </w:rPr>
        <w:t xml:space="preserve"> анеми</w:t>
      </w:r>
      <w:r w:rsidR="00C403C8">
        <w:rPr>
          <w:i/>
        </w:rPr>
        <w:t>ей</w:t>
      </w:r>
      <w:r w:rsidR="004D7374" w:rsidRPr="00383556">
        <w:rPr>
          <w:i/>
        </w:rPr>
        <w:t xml:space="preserve"> или </w:t>
      </w:r>
      <w:r w:rsidR="00AA4B03" w:rsidRPr="00AA4B03">
        <w:rPr>
          <w:i/>
        </w:rPr>
        <w:t>идиопатическ</w:t>
      </w:r>
      <w:r w:rsidR="00C403C8">
        <w:rPr>
          <w:i/>
        </w:rPr>
        <w:t>ой</w:t>
      </w:r>
      <w:r w:rsidR="00AA4B03" w:rsidRPr="00AA4B03">
        <w:rPr>
          <w:i/>
        </w:rPr>
        <w:t xml:space="preserve"> тромбоцитопеническ</w:t>
      </w:r>
      <w:r w:rsidR="00C403C8">
        <w:rPr>
          <w:i/>
        </w:rPr>
        <w:t>ой пурпурой</w:t>
      </w:r>
      <w:r w:rsidR="004D7374" w:rsidRPr="00383556">
        <w:rPr>
          <w:i/>
        </w:rPr>
        <w:t xml:space="preserve"> должны получать лечение по поводу этих</w:t>
      </w:r>
      <w:r w:rsidR="00C52C85">
        <w:rPr>
          <w:i/>
        </w:rPr>
        <w:t xml:space="preserve"> осложнений.</w:t>
      </w:r>
      <w:r w:rsidR="004D7374" w:rsidRPr="00383556">
        <w:rPr>
          <w:i/>
        </w:rPr>
        <w:t xml:space="preserve"> Если аутоиммунное осложнение плохо отвечает на терапию </w:t>
      </w:r>
      <w:r w:rsidR="00804814" w:rsidRPr="00804814">
        <w:rPr>
          <w:bCs/>
          <w:i/>
          <w:szCs w:val="24"/>
          <w:shd w:val="clear" w:color="auto" w:fill="FFFFFF"/>
        </w:rPr>
        <w:t>кортикостероидами для системного использования</w:t>
      </w:r>
      <w:r w:rsidR="004D7374" w:rsidRPr="00383556">
        <w:rPr>
          <w:i/>
        </w:rPr>
        <w:t>, возможно применение направленной на ХЛЛ иммунохимиотерапии. Бессимптомная гипогаммаглобулинемия и наличие моноклональной секреции сами по себе не являются показаниями к лечению.</w:t>
      </w:r>
      <w:r w:rsidR="00572E8D">
        <w:rPr>
          <w:i/>
        </w:rPr>
        <w:t xml:space="preserve"> </w:t>
      </w:r>
      <w:r w:rsidR="004D7374" w:rsidRPr="00383556">
        <w:rPr>
          <w:i/>
        </w:rPr>
        <w:t xml:space="preserve">Выявление маркеров отрицательного прогноза, в том числе делеции 17p </w:t>
      </w:r>
      <w:r w:rsidR="00C403C8">
        <w:rPr>
          <w:i/>
        </w:rPr>
        <w:t>не</w:t>
      </w:r>
      <w:r w:rsidR="004D7374" w:rsidRPr="00383556">
        <w:rPr>
          <w:i/>
        </w:rPr>
        <w:t xml:space="preserve"> является показанием к началу терапии. </w:t>
      </w:r>
    </w:p>
    <w:p w14:paraId="78F3E962" w14:textId="77777777" w:rsidR="004D7374" w:rsidRDefault="004D7374" w:rsidP="005D3BBD">
      <w:pPr>
        <w:pStyle w:val="2"/>
        <w:spacing w:before="0"/>
        <w:contextualSpacing/>
      </w:pPr>
      <w:bookmarkStart w:id="49" w:name="_Toc23601727"/>
      <w:bookmarkStart w:id="50" w:name="_Toc65068808"/>
      <w:r>
        <w:t>3.2</w:t>
      </w:r>
      <w:r w:rsidR="00397360" w:rsidRPr="00907D07">
        <w:t>.</w:t>
      </w:r>
      <w:r>
        <w:t xml:space="preserve"> Первая линия лечения ХЛЛ</w:t>
      </w:r>
      <w:bookmarkEnd w:id="49"/>
      <w:bookmarkEnd w:id="50"/>
    </w:p>
    <w:p w14:paraId="404D5C5F" w14:textId="77777777" w:rsidR="007B5AE5" w:rsidRDefault="007B5AE5" w:rsidP="004E3A70">
      <w:pPr>
        <w:ind w:firstLine="709"/>
        <w:contextualSpacing/>
        <w:rPr>
          <w:i/>
        </w:rPr>
      </w:pPr>
      <w:r w:rsidRPr="003147A2">
        <w:rPr>
          <w:i/>
        </w:rPr>
        <w:t xml:space="preserve">Цели лечения в первую очередь определяются возрастом, а также числом и тяжестью сопутствующих заболеваний (табл. </w:t>
      </w:r>
      <w:r w:rsidR="00C403C8">
        <w:rPr>
          <w:i/>
        </w:rPr>
        <w:t>3</w:t>
      </w:r>
      <w:r w:rsidRPr="003147A2">
        <w:rPr>
          <w:i/>
        </w:rPr>
        <w:t>).</w:t>
      </w:r>
    </w:p>
    <w:p w14:paraId="72DD8771" w14:textId="77777777" w:rsidR="00C403C8" w:rsidRPr="003147A2" w:rsidRDefault="00C403C8" w:rsidP="00830EF8">
      <w:pPr>
        <w:ind w:firstLine="709"/>
        <w:contextualSpacing/>
        <w:rPr>
          <w:i/>
        </w:rPr>
      </w:pPr>
    </w:p>
    <w:p w14:paraId="37A1FF93" w14:textId="77777777" w:rsidR="00C403C8" w:rsidRPr="00504D96" w:rsidRDefault="007B5AE5" w:rsidP="00830EF8">
      <w:pPr>
        <w:contextualSpacing/>
        <w:jc w:val="left"/>
        <w:rPr>
          <w:b/>
          <w:i/>
        </w:rPr>
      </w:pPr>
      <w:r w:rsidRPr="00504D96">
        <w:rPr>
          <w:b/>
          <w:i/>
        </w:rPr>
        <w:t xml:space="preserve">Таблица </w:t>
      </w:r>
      <w:r w:rsidR="00C403C8">
        <w:rPr>
          <w:b/>
          <w:i/>
        </w:rPr>
        <w:t>3</w:t>
      </w:r>
      <w:r w:rsidR="00504D96">
        <w:rPr>
          <w:b/>
          <w:i/>
        </w:rPr>
        <w:t xml:space="preserve">. </w:t>
      </w:r>
      <w:r w:rsidRPr="00504D96">
        <w:rPr>
          <w:b/>
          <w:i/>
        </w:rPr>
        <w:t xml:space="preserve">Подразделение на группы пациентов с </w:t>
      </w:r>
      <w:r w:rsidR="00C403C8" w:rsidRPr="00C403C8">
        <w:rPr>
          <w:b/>
          <w:i/>
        </w:rPr>
        <w:t>хроническ</w:t>
      </w:r>
      <w:r w:rsidR="00C403C8">
        <w:rPr>
          <w:b/>
          <w:i/>
        </w:rPr>
        <w:t>им</w:t>
      </w:r>
      <w:r w:rsidR="00C403C8" w:rsidRPr="00C403C8">
        <w:rPr>
          <w:b/>
          <w:i/>
        </w:rPr>
        <w:t xml:space="preserve"> лимфоцитарн</w:t>
      </w:r>
      <w:r w:rsidR="00C403C8">
        <w:rPr>
          <w:b/>
          <w:i/>
        </w:rPr>
        <w:t>ым лейкозом</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9"/>
        <w:gridCol w:w="2402"/>
        <w:gridCol w:w="2510"/>
        <w:gridCol w:w="2410"/>
      </w:tblGrid>
      <w:tr w:rsidR="007B5AE5" w:rsidRPr="005B4606" w14:paraId="0CE49C47" w14:textId="77777777" w:rsidTr="00C403C8">
        <w:trPr>
          <w:trHeight w:hRule="exact" w:val="937"/>
        </w:trPr>
        <w:tc>
          <w:tcPr>
            <w:tcW w:w="2029" w:type="dxa"/>
            <w:tcMar>
              <w:left w:w="57" w:type="dxa"/>
            </w:tcMar>
            <w:vAlign w:val="center"/>
          </w:tcPr>
          <w:p w14:paraId="5CD67840" w14:textId="77777777" w:rsidR="007B5AE5" w:rsidRPr="003147A2" w:rsidRDefault="007B5AE5" w:rsidP="005D3BBD">
            <w:pPr>
              <w:pStyle w:val="TableParagraph"/>
              <w:spacing w:line="360" w:lineRule="auto"/>
              <w:ind w:left="0" w:firstLine="6"/>
              <w:rPr>
                <w:rFonts w:ascii="Times New Roman" w:hAnsi="Times New Roman" w:cs="Times New Roman"/>
                <w:b/>
                <w:i/>
                <w:lang w:val="ru-RU"/>
              </w:rPr>
            </w:pPr>
            <w:r w:rsidRPr="003147A2">
              <w:rPr>
                <w:rFonts w:ascii="Times New Roman" w:hAnsi="Times New Roman" w:cs="Times New Roman"/>
                <w:b/>
                <w:i/>
                <w:lang w:val="ru-RU"/>
              </w:rPr>
              <w:lastRenderedPageBreak/>
              <w:t>Коморбидность, возраст</w:t>
            </w:r>
          </w:p>
        </w:tc>
        <w:tc>
          <w:tcPr>
            <w:tcW w:w="2402" w:type="dxa"/>
            <w:tcMar>
              <w:left w:w="57" w:type="dxa"/>
            </w:tcMar>
            <w:vAlign w:val="center"/>
          </w:tcPr>
          <w:p w14:paraId="2AD024E4"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Нет значимой</w:t>
            </w:r>
            <w:r w:rsidRPr="003147A2">
              <w:rPr>
                <w:rFonts w:ascii="Times New Roman" w:hAnsi="Times New Roman" w:cs="Times New Roman"/>
                <w:i/>
              </w:rPr>
              <w:t xml:space="preserve"> коморбидности</w:t>
            </w:r>
          </w:p>
        </w:tc>
        <w:tc>
          <w:tcPr>
            <w:tcW w:w="2510" w:type="dxa"/>
            <w:tcMar>
              <w:left w:w="57" w:type="dxa"/>
            </w:tcMar>
            <w:vAlign w:val="center"/>
          </w:tcPr>
          <w:p w14:paraId="0E23F90D"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Значимая</w:t>
            </w:r>
            <w:r w:rsidR="00E97E28">
              <w:rPr>
                <w:rFonts w:ascii="Times New Roman" w:hAnsi="Times New Roman" w:cs="Times New Roman"/>
                <w:i/>
                <w:lang w:val="ru-RU"/>
              </w:rPr>
              <w:t xml:space="preserve"> </w:t>
            </w:r>
            <w:r w:rsidRPr="003147A2">
              <w:rPr>
                <w:rFonts w:ascii="Times New Roman" w:hAnsi="Times New Roman" w:cs="Times New Roman"/>
                <w:i/>
              </w:rPr>
              <w:t>коморбидность</w:t>
            </w:r>
          </w:p>
        </w:tc>
        <w:tc>
          <w:tcPr>
            <w:tcW w:w="2410" w:type="dxa"/>
            <w:tcMar>
              <w:left w:w="57" w:type="dxa"/>
            </w:tcMar>
            <w:vAlign w:val="center"/>
          </w:tcPr>
          <w:p w14:paraId="1516205F"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Старческий возраст</w:t>
            </w:r>
            <w:r w:rsidRPr="003147A2">
              <w:rPr>
                <w:rFonts w:ascii="Times New Roman" w:hAnsi="Times New Roman" w:cs="Times New Roman"/>
                <w:i/>
              </w:rPr>
              <w:t>,</w:t>
            </w:r>
            <w:r w:rsidR="00E97E28">
              <w:rPr>
                <w:rFonts w:ascii="Times New Roman" w:hAnsi="Times New Roman" w:cs="Times New Roman"/>
                <w:i/>
                <w:lang w:val="ru-RU"/>
              </w:rPr>
              <w:t xml:space="preserve"> </w:t>
            </w:r>
            <w:r w:rsidRPr="00D012C9">
              <w:rPr>
                <w:rFonts w:ascii="Times New Roman" w:hAnsi="Times New Roman" w:cs="Times New Roman"/>
                <w:i/>
                <w:lang w:val="ru-RU"/>
              </w:rPr>
              <w:t>органные</w:t>
            </w:r>
            <w:r w:rsidR="00E97E28">
              <w:rPr>
                <w:rFonts w:ascii="Times New Roman" w:hAnsi="Times New Roman" w:cs="Times New Roman"/>
                <w:i/>
                <w:lang w:val="ru-RU"/>
              </w:rPr>
              <w:t xml:space="preserve"> </w:t>
            </w:r>
            <w:r w:rsidRPr="00D012C9">
              <w:rPr>
                <w:rFonts w:ascii="Times New Roman" w:hAnsi="Times New Roman" w:cs="Times New Roman"/>
                <w:i/>
                <w:lang w:val="ru-RU"/>
              </w:rPr>
              <w:t>патологии</w:t>
            </w:r>
          </w:p>
        </w:tc>
      </w:tr>
      <w:tr w:rsidR="007B5AE5" w:rsidRPr="005B4606" w14:paraId="232BEAE3" w14:textId="77777777" w:rsidTr="00C403C8">
        <w:trPr>
          <w:trHeight w:hRule="exact" w:val="922"/>
        </w:trPr>
        <w:tc>
          <w:tcPr>
            <w:tcW w:w="2029" w:type="dxa"/>
            <w:tcMar>
              <w:left w:w="57" w:type="dxa"/>
            </w:tcMar>
            <w:vAlign w:val="center"/>
          </w:tcPr>
          <w:p w14:paraId="394C1960" w14:textId="77777777" w:rsidR="007B5AE5" w:rsidRPr="003147A2" w:rsidRDefault="007B5AE5" w:rsidP="005D3BBD">
            <w:pPr>
              <w:pStyle w:val="TableParagraph"/>
              <w:spacing w:line="360" w:lineRule="auto"/>
              <w:ind w:left="0" w:firstLine="6"/>
              <w:rPr>
                <w:rFonts w:ascii="Times New Roman" w:hAnsi="Times New Roman" w:cs="Times New Roman"/>
                <w:b/>
                <w:i/>
              </w:rPr>
            </w:pPr>
            <w:r w:rsidRPr="003147A2">
              <w:rPr>
                <w:rFonts w:ascii="Times New Roman" w:hAnsi="Times New Roman" w:cs="Times New Roman"/>
                <w:b/>
                <w:i/>
                <w:lang w:val="ru-RU"/>
              </w:rPr>
              <w:t>Цель терапии</w:t>
            </w:r>
          </w:p>
        </w:tc>
        <w:tc>
          <w:tcPr>
            <w:tcW w:w="2402" w:type="dxa"/>
            <w:tcMar>
              <w:left w:w="57" w:type="dxa"/>
            </w:tcMar>
            <w:vAlign w:val="center"/>
          </w:tcPr>
          <w:p w14:paraId="37763997"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Долгосрочная ремиссия</w:t>
            </w:r>
            <w:r w:rsidRPr="003147A2">
              <w:rPr>
                <w:rFonts w:ascii="Times New Roman" w:hAnsi="Times New Roman" w:cs="Times New Roman"/>
                <w:i/>
              </w:rPr>
              <w:t xml:space="preserve">, </w:t>
            </w:r>
            <w:r w:rsidRPr="003147A2">
              <w:rPr>
                <w:rFonts w:ascii="Times New Roman" w:hAnsi="Times New Roman" w:cs="Times New Roman"/>
                <w:i/>
                <w:lang w:val="ru-RU"/>
              </w:rPr>
              <w:t>эрадикация МОБ</w:t>
            </w:r>
          </w:p>
        </w:tc>
        <w:tc>
          <w:tcPr>
            <w:tcW w:w="2510" w:type="dxa"/>
            <w:tcMar>
              <w:left w:w="57" w:type="dxa"/>
            </w:tcMar>
            <w:vAlign w:val="center"/>
          </w:tcPr>
          <w:p w14:paraId="4D8C14CB"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 xml:space="preserve">Контроль над болезнью, </w:t>
            </w:r>
            <w:r w:rsidR="00C403C8">
              <w:rPr>
                <w:rFonts w:ascii="Times New Roman" w:hAnsi="Times New Roman" w:cs="Times New Roman"/>
                <w:i/>
                <w:lang w:val="ru-RU"/>
              </w:rPr>
              <w:br/>
            </w:r>
            <w:r w:rsidRPr="003147A2">
              <w:rPr>
                <w:rFonts w:ascii="Times New Roman" w:hAnsi="Times New Roman" w:cs="Times New Roman"/>
                <w:i/>
                <w:lang w:val="ru-RU"/>
              </w:rPr>
              <w:t>низкая токсичность</w:t>
            </w:r>
          </w:p>
        </w:tc>
        <w:tc>
          <w:tcPr>
            <w:tcW w:w="2410" w:type="dxa"/>
            <w:tcMar>
              <w:left w:w="57" w:type="dxa"/>
            </w:tcMar>
            <w:vAlign w:val="center"/>
          </w:tcPr>
          <w:p w14:paraId="12069FC4"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3147A2">
              <w:rPr>
                <w:rFonts w:ascii="Times New Roman" w:hAnsi="Times New Roman" w:cs="Times New Roman"/>
                <w:i/>
                <w:lang w:val="ru-RU"/>
              </w:rPr>
              <w:t>Паллиативная</w:t>
            </w:r>
          </w:p>
        </w:tc>
      </w:tr>
    </w:tbl>
    <w:p w14:paraId="66DEC148" w14:textId="77777777" w:rsidR="00C403C8" w:rsidRDefault="00C403C8" w:rsidP="004E3A70">
      <w:pPr>
        <w:ind w:firstLine="709"/>
        <w:contextualSpacing/>
        <w:rPr>
          <w:i/>
        </w:rPr>
      </w:pPr>
    </w:p>
    <w:p w14:paraId="0AA9D78D" w14:textId="77777777" w:rsidR="007B5AE5" w:rsidRPr="004C0968" w:rsidRDefault="007B5AE5" w:rsidP="00830EF8">
      <w:pPr>
        <w:ind w:firstLine="709"/>
        <w:contextualSpacing/>
        <w:rPr>
          <w:i/>
        </w:rPr>
      </w:pPr>
      <w:r w:rsidRPr="004C0968">
        <w:rPr>
          <w:i/>
        </w:rPr>
        <w:t>Существует объективная шкала оценки числа и тяжести сопутствующих заболеваний (коморбидн</w:t>
      </w:r>
      <w:r w:rsidR="005163D3">
        <w:rPr>
          <w:i/>
        </w:rPr>
        <w:t>о</w:t>
      </w:r>
      <w:r w:rsidRPr="004C0968">
        <w:rPr>
          <w:i/>
        </w:rPr>
        <w:t>сти) – CIRS (</w:t>
      </w:r>
      <w:r w:rsidRPr="004C0968">
        <w:rPr>
          <w:i/>
          <w:lang w:val="en-US"/>
        </w:rPr>
        <w:t>Cumulative</w:t>
      </w:r>
      <w:r w:rsidR="00F0422A">
        <w:rPr>
          <w:i/>
        </w:rPr>
        <w:t xml:space="preserve"> </w:t>
      </w:r>
      <w:r w:rsidRPr="004C0968">
        <w:rPr>
          <w:i/>
          <w:lang w:val="en-US"/>
        </w:rPr>
        <w:t>Illness</w:t>
      </w:r>
      <w:r w:rsidR="00F0422A">
        <w:rPr>
          <w:i/>
        </w:rPr>
        <w:t xml:space="preserve"> </w:t>
      </w:r>
      <w:r w:rsidRPr="004C0968">
        <w:rPr>
          <w:i/>
          <w:lang w:val="en-US"/>
        </w:rPr>
        <w:t>Rating</w:t>
      </w:r>
      <w:r w:rsidR="00F0422A">
        <w:rPr>
          <w:i/>
        </w:rPr>
        <w:t xml:space="preserve"> </w:t>
      </w:r>
      <w:r w:rsidRPr="004C0968">
        <w:rPr>
          <w:i/>
          <w:lang w:val="en-US"/>
        </w:rPr>
        <w:t>Score</w:t>
      </w:r>
      <w:r w:rsidRPr="004C0968">
        <w:rPr>
          <w:i/>
        </w:rPr>
        <w:t>)</w:t>
      </w:r>
      <w:r w:rsidR="000B0AC3" w:rsidRPr="0008146B">
        <w:rPr>
          <w:i/>
        </w:rPr>
        <w:t xml:space="preserve"> (</w:t>
      </w:r>
      <w:r w:rsidR="007C0380">
        <w:rPr>
          <w:i/>
        </w:rPr>
        <w:t>см. приложение Г2)</w:t>
      </w:r>
      <w:r w:rsidRPr="004C0968">
        <w:rPr>
          <w:i/>
        </w:rPr>
        <w:t xml:space="preserve">. В реальной клинической практике оценка кумулятивного индекса коморбидности не требуется. В настоящее время понятие «значимая коморбидность» не может быть объективно и воспроизводимо определено. В связи с этим распределение пациентов на терапевтические группы </w:t>
      </w:r>
      <w:r w:rsidR="00C403C8">
        <w:rPr>
          <w:i/>
        </w:rPr>
        <w:t>проводится по решению</w:t>
      </w:r>
      <w:r w:rsidRPr="004C0968">
        <w:rPr>
          <w:i/>
        </w:rPr>
        <w:t xml:space="preserve"> врача. </w:t>
      </w:r>
    </w:p>
    <w:p w14:paraId="30BF0162" w14:textId="77777777" w:rsidR="007B5AE5" w:rsidRPr="003147A2" w:rsidRDefault="007B5AE5" w:rsidP="00830EF8">
      <w:pPr>
        <w:ind w:firstLine="709"/>
        <w:contextualSpacing/>
        <w:rPr>
          <w:i/>
        </w:rPr>
      </w:pPr>
      <w:r w:rsidRPr="003147A2">
        <w:rPr>
          <w:i/>
        </w:rPr>
        <w:t>Результаты крупных клинических исследований 2000</w:t>
      </w:r>
      <w:r w:rsidR="00C403C8">
        <w:rPr>
          <w:i/>
        </w:rPr>
        <w:t>-х</w:t>
      </w:r>
      <w:r w:rsidRPr="003147A2">
        <w:rPr>
          <w:i/>
        </w:rPr>
        <w:t xml:space="preserve"> </w:t>
      </w:r>
      <w:r w:rsidR="00C403C8">
        <w:rPr>
          <w:i/>
        </w:rPr>
        <w:t>гг.</w:t>
      </w:r>
      <w:r w:rsidRPr="003147A2">
        <w:rPr>
          <w:i/>
        </w:rPr>
        <w:t xml:space="preserve"> убедительно свидетельствуют о низкой эффективности иммунохимиотерапии у пациентов с делецией 17</w:t>
      </w:r>
      <w:r w:rsidRPr="003147A2">
        <w:rPr>
          <w:i/>
          <w:lang w:val="en-US"/>
        </w:rPr>
        <w:t>p</w:t>
      </w:r>
      <w:r w:rsidRPr="003147A2">
        <w:rPr>
          <w:i/>
        </w:rPr>
        <w:t xml:space="preserve">. Однако это цитогенетическое нарушение выявляется до </w:t>
      </w:r>
      <w:r w:rsidR="00C403C8">
        <w:rPr>
          <w:i/>
        </w:rPr>
        <w:t xml:space="preserve">начала </w:t>
      </w:r>
      <w:r w:rsidRPr="003147A2">
        <w:rPr>
          <w:i/>
        </w:rPr>
        <w:t xml:space="preserve">терапии </w:t>
      </w:r>
      <w:r w:rsidR="00C403C8">
        <w:rPr>
          <w:i/>
        </w:rPr>
        <w:t>1-й линии только у</w:t>
      </w:r>
      <w:r w:rsidR="007C0380">
        <w:rPr>
          <w:i/>
        </w:rPr>
        <w:t xml:space="preserve"> </w:t>
      </w:r>
      <w:r w:rsidRPr="003147A2">
        <w:rPr>
          <w:i/>
        </w:rPr>
        <w:t>7</w:t>
      </w:r>
      <w:r w:rsidR="007C0380">
        <w:rPr>
          <w:i/>
        </w:rPr>
        <w:t xml:space="preserve"> </w:t>
      </w:r>
      <w:r w:rsidR="00DD3D1E">
        <w:rPr>
          <w:i/>
        </w:rPr>
        <w:t>%</w:t>
      </w:r>
      <w:r w:rsidR="00DD5F69">
        <w:rPr>
          <w:i/>
        </w:rPr>
        <w:t xml:space="preserve"> пациентов</w:t>
      </w:r>
      <w:r w:rsidRPr="003147A2">
        <w:rPr>
          <w:i/>
        </w:rPr>
        <w:t>. Число пациентов с клинической рефрактерностью (прогресси</w:t>
      </w:r>
      <w:r w:rsidR="00C403C8">
        <w:rPr>
          <w:i/>
        </w:rPr>
        <w:t>рованием</w:t>
      </w:r>
      <w:r w:rsidRPr="003147A2">
        <w:rPr>
          <w:i/>
        </w:rPr>
        <w:t xml:space="preserve"> на фоне лечения или быстры</w:t>
      </w:r>
      <w:r w:rsidR="00C403C8">
        <w:rPr>
          <w:i/>
        </w:rPr>
        <w:t>м</w:t>
      </w:r>
      <w:r w:rsidRPr="003147A2">
        <w:rPr>
          <w:i/>
        </w:rPr>
        <w:t xml:space="preserve"> рецидив</w:t>
      </w:r>
      <w:r w:rsidR="00C403C8">
        <w:rPr>
          <w:i/>
        </w:rPr>
        <w:t>ом</w:t>
      </w:r>
      <w:r w:rsidRPr="003147A2">
        <w:rPr>
          <w:i/>
        </w:rPr>
        <w:t xml:space="preserve">) приблизительно </w:t>
      </w:r>
      <w:r w:rsidR="00C403C8">
        <w:rPr>
          <w:i/>
        </w:rPr>
        <w:t>в 2 раза</w:t>
      </w:r>
      <w:r w:rsidRPr="003147A2">
        <w:rPr>
          <w:i/>
        </w:rPr>
        <w:t xml:space="preserve"> больше. Эти наблюдения легли в основу понятия </w:t>
      </w:r>
      <w:r w:rsidR="00C403C8">
        <w:rPr>
          <w:i/>
        </w:rPr>
        <w:t xml:space="preserve">ХЛЛ </w:t>
      </w:r>
      <w:r w:rsidRPr="003147A2">
        <w:rPr>
          <w:i/>
        </w:rPr>
        <w:t xml:space="preserve">высокого риска. </w:t>
      </w:r>
    </w:p>
    <w:p w14:paraId="2AA4D92E" w14:textId="77777777" w:rsidR="007B5AE5" w:rsidRPr="003147A2" w:rsidRDefault="007B5AE5" w:rsidP="00E92E00">
      <w:pPr>
        <w:ind w:firstLine="709"/>
        <w:contextualSpacing/>
        <w:rPr>
          <w:i/>
        </w:rPr>
      </w:pPr>
      <w:r w:rsidRPr="003147A2">
        <w:rPr>
          <w:i/>
        </w:rPr>
        <w:t xml:space="preserve">Таким образом, при проведении терапии </w:t>
      </w:r>
      <w:r w:rsidR="00C403C8">
        <w:rPr>
          <w:i/>
        </w:rPr>
        <w:t>1-й</w:t>
      </w:r>
      <w:r w:rsidRPr="003147A2">
        <w:rPr>
          <w:i/>
        </w:rPr>
        <w:t xml:space="preserve"> линии пациенты могут быть распределены на </w:t>
      </w:r>
      <w:r w:rsidR="00504D96">
        <w:rPr>
          <w:i/>
        </w:rPr>
        <w:t>3</w:t>
      </w:r>
      <w:r w:rsidRPr="003147A2">
        <w:rPr>
          <w:i/>
        </w:rPr>
        <w:t xml:space="preserve"> группы. </w:t>
      </w:r>
    </w:p>
    <w:p w14:paraId="112C859E" w14:textId="48CCBBC9" w:rsidR="007B5AE5" w:rsidRPr="00C403C8" w:rsidRDefault="007B5AE5" w:rsidP="00D61785">
      <w:pPr>
        <w:pStyle w:val="a4"/>
        <w:numPr>
          <w:ilvl w:val="0"/>
          <w:numId w:val="18"/>
        </w:numPr>
        <w:spacing w:before="0"/>
        <w:rPr>
          <w:i/>
        </w:rPr>
      </w:pPr>
      <w:r w:rsidRPr="00C403C8">
        <w:rPr>
          <w:i/>
        </w:rPr>
        <w:t xml:space="preserve">К </w:t>
      </w:r>
      <w:r w:rsidR="00C403C8">
        <w:rPr>
          <w:i/>
        </w:rPr>
        <w:t>1-й</w:t>
      </w:r>
      <w:r w:rsidRPr="00C403C8">
        <w:rPr>
          <w:i/>
        </w:rPr>
        <w:t xml:space="preserve"> группе относятся </w:t>
      </w:r>
      <w:r w:rsidR="00B3535C" w:rsidRPr="00C403C8">
        <w:rPr>
          <w:i/>
        </w:rPr>
        <w:t xml:space="preserve">молодые </w:t>
      </w:r>
      <w:r w:rsidRPr="00C403C8">
        <w:rPr>
          <w:i/>
        </w:rPr>
        <w:t xml:space="preserve">пациенты </w:t>
      </w:r>
      <w:r w:rsidR="00B3535C" w:rsidRPr="00C403C8">
        <w:rPr>
          <w:i/>
        </w:rPr>
        <w:t xml:space="preserve">(менее 65 лет) </w:t>
      </w:r>
      <w:r w:rsidRPr="00C403C8">
        <w:rPr>
          <w:i/>
        </w:rPr>
        <w:t xml:space="preserve">без делеции 17p и/или мутации TP53 с хорошим соматическим статусом без сопутствующих заболеваний. В этой группе необходимо стремиться к достижению полной ремиссии, по возможности с эрадикацией МОБ, поскольку только такая тактика может привести к реальному увеличению продолжительности жизни. </w:t>
      </w:r>
      <w:r w:rsidR="006F547D" w:rsidRPr="00C403C8">
        <w:rPr>
          <w:i/>
        </w:rPr>
        <w:t>Основ</w:t>
      </w:r>
      <w:r w:rsidR="00C403C8">
        <w:rPr>
          <w:i/>
        </w:rPr>
        <w:t>а</w:t>
      </w:r>
      <w:r w:rsidR="006F547D" w:rsidRPr="00C403C8">
        <w:rPr>
          <w:i/>
        </w:rPr>
        <w:t xml:space="preserve"> лечения пациентов этой группы </w:t>
      </w:r>
      <w:r w:rsidR="00C403C8">
        <w:rPr>
          <w:i/>
        </w:rPr>
        <w:t>–</w:t>
      </w:r>
      <w:r w:rsidR="006F547D" w:rsidRPr="00C403C8">
        <w:rPr>
          <w:i/>
        </w:rPr>
        <w:t xml:space="preserve"> курсовая иммунохимиотерапия. В подгруппе пациентов без мутаций генов </w:t>
      </w:r>
      <w:r w:rsidR="00C403C8">
        <w:rPr>
          <w:i/>
          <w:lang w:val="en-US"/>
        </w:rPr>
        <w:t>IGHV</w:t>
      </w:r>
      <w:r w:rsidR="00C403C8" w:rsidRPr="00397360">
        <w:rPr>
          <w:i/>
        </w:rPr>
        <w:t xml:space="preserve"> </w:t>
      </w:r>
      <w:r w:rsidR="006F547D" w:rsidRPr="00C403C8">
        <w:rPr>
          <w:i/>
        </w:rPr>
        <w:t>комбинация ибрутиниба</w:t>
      </w:r>
      <w:r w:rsidR="001F4A9B" w:rsidRPr="00397360">
        <w:rPr>
          <w:i/>
        </w:rPr>
        <w:t>**</w:t>
      </w:r>
      <w:r w:rsidR="006F547D" w:rsidRPr="00C403C8">
        <w:rPr>
          <w:i/>
        </w:rPr>
        <w:t xml:space="preserve"> и ритуксимаба</w:t>
      </w:r>
      <w:r w:rsidR="001F4A9B" w:rsidRPr="00397360">
        <w:rPr>
          <w:i/>
        </w:rPr>
        <w:t>**</w:t>
      </w:r>
      <w:r w:rsidR="006F547D" w:rsidRPr="00C403C8">
        <w:rPr>
          <w:i/>
        </w:rPr>
        <w:t xml:space="preserve"> оказалась значительно более эффективной и менее токсичной по сравнению с режимом FCR. У пациентов без мутаций генов</w:t>
      </w:r>
      <w:r w:rsidR="001F4A9B" w:rsidRPr="001F4A9B">
        <w:rPr>
          <w:i/>
        </w:rPr>
        <w:t xml:space="preserve"> </w:t>
      </w:r>
      <w:r w:rsidR="001F4A9B">
        <w:rPr>
          <w:i/>
          <w:lang w:val="en-US"/>
        </w:rPr>
        <w:t>IG</w:t>
      </w:r>
      <w:r w:rsidR="001F4A9B">
        <w:rPr>
          <w:i/>
        </w:rPr>
        <w:t>H</w:t>
      </w:r>
      <w:r w:rsidR="001F4A9B">
        <w:rPr>
          <w:i/>
          <w:lang w:val="en-US"/>
        </w:rPr>
        <w:t>V</w:t>
      </w:r>
      <w:r w:rsidR="006F547D" w:rsidRPr="00C403C8">
        <w:rPr>
          <w:i/>
        </w:rPr>
        <w:t xml:space="preserve"> может рассматриваться </w:t>
      </w:r>
      <w:r w:rsidR="001F4A9B">
        <w:rPr>
          <w:i/>
        </w:rPr>
        <w:t xml:space="preserve">возможность </w:t>
      </w:r>
      <w:r w:rsidR="006F547D" w:rsidRPr="00C403C8">
        <w:rPr>
          <w:i/>
        </w:rPr>
        <w:t>терапи</w:t>
      </w:r>
      <w:r w:rsidR="001F4A9B">
        <w:rPr>
          <w:i/>
        </w:rPr>
        <w:t>и</w:t>
      </w:r>
      <w:r w:rsidR="006F547D" w:rsidRPr="00C403C8">
        <w:rPr>
          <w:i/>
        </w:rPr>
        <w:t xml:space="preserve"> ибру</w:t>
      </w:r>
      <w:r w:rsidR="001F4A9B">
        <w:rPr>
          <w:i/>
        </w:rPr>
        <w:softHyphen/>
      </w:r>
      <w:r w:rsidR="006F547D" w:rsidRPr="00C403C8">
        <w:rPr>
          <w:i/>
        </w:rPr>
        <w:t>тинибом</w:t>
      </w:r>
      <w:r w:rsidR="001F4A9B" w:rsidRPr="00397360">
        <w:rPr>
          <w:i/>
        </w:rPr>
        <w:t>**</w:t>
      </w:r>
      <w:r w:rsidR="00BE4F49">
        <w:rPr>
          <w:i/>
        </w:rPr>
        <w:t xml:space="preserve"> или акалабрутинибом</w:t>
      </w:r>
      <w:r w:rsidR="006F547D" w:rsidRPr="00C403C8">
        <w:rPr>
          <w:i/>
        </w:rPr>
        <w:t xml:space="preserve">. </w:t>
      </w:r>
    </w:p>
    <w:p w14:paraId="740EB1F2" w14:textId="77777777" w:rsidR="007B5AE5" w:rsidRPr="00C403C8" w:rsidRDefault="007B5AE5" w:rsidP="00D61785">
      <w:pPr>
        <w:pStyle w:val="a4"/>
        <w:numPr>
          <w:ilvl w:val="0"/>
          <w:numId w:val="18"/>
        </w:numPr>
        <w:spacing w:before="0"/>
        <w:rPr>
          <w:i/>
        </w:rPr>
      </w:pPr>
      <w:r w:rsidRPr="00C403C8">
        <w:rPr>
          <w:i/>
        </w:rPr>
        <w:t xml:space="preserve">Ко </w:t>
      </w:r>
      <w:r w:rsidR="001F4A9B">
        <w:rPr>
          <w:i/>
        </w:rPr>
        <w:t>2-й</w:t>
      </w:r>
      <w:r w:rsidRPr="00C403C8">
        <w:rPr>
          <w:i/>
        </w:rPr>
        <w:t xml:space="preserve"> группе относятся пациенты преклонного возраста</w:t>
      </w:r>
      <w:r w:rsidR="005C6207" w:rsidRPr="00C403C8">
        <w:rPr>
          <w:i/>
        </w:rPr>
        <w:t xml:space="preserve"> (старше 65 лет)</w:t>
      </w:r>
      <w:r w:rsidR="00B3535C" w:rsidRPr="00C403C8">
        <w:rPr>
          <w:i/>
        </w:rPr>
        <w:t xml:space="preserve">, а также молодые </w:t>
      </w:r>
      <w:r w:rsidR="00573998">
        <w:rPr>
          <w:i/>
        </w:rPr>
        <w:t>пациенты</w:t>
      </w:r>
      <w:r w:rsidR="00573998" w:rsidRPr="00C403C8">
        <w:rPr>
          <w:i/>
        </w:rPr>
        <w:t xml:space="preserve"> </w:t>
      </w:r>
      <w:r w:rsidRPr="00C403C8">
        <w:rPr>
          <w:i/>
        </w:rPr>
        <w:t>со множеством сопутствующих заболеваний. В этой группе нужно стремиться к достижению эффективного контроля над опухолью, избегая неоправданной токсичности. Аналоги пуринов в этой группе лучше не использовать или применять в редуцированном виде.</w:t>
      </w:r>
    </w:p>
    <w:p w14:paraId="72CD8FEA" w14:textId="09C1867F" w:rsidR="007B5AE5" w:rsidRPr="00C403C8" w:rsidRDefault="007B5AE5" w:rsidP="00D61785">
      <w:pPr>
        <w:pStyle w:val="a4"/>
        <w:numPr>
          <w:ilvl w:val="0"/>
          <w:numId w:val="18"/>
        </w:numPr>
        <w:spacing w:before="0"/>
        <w:rPr>
          <w:i/>
        </w:rPr>
      </w:pPr>
      <w:r w:rsidRPr="00C403C8">
        <w:rPr>
          <w:i/>
        </w:rPr>
        <w:lastRenderedPageBreak/>
        <w:t xml:space="preserve">К </w:t>
      </w:r>
      <w:r w:rsidR="001F4A9B">
        <w:rPr>
          <w:i/>
        </w:rPr>
        <w:t>3-й</w:t>
      </w:r>
      <w:r w:rsidRPr="00C403C8">
        <w:rPr>
          <w:i/>
        </w:rPr>
        <w:t xml:space="preserve"> группе относятся </w:t>
      </w:r>
      <w:r w:rsidR="008E45D6" w:rsidRPr="00C403C8">
        <w:rPr>
          <w:i/>
        </w:rPr>
        <w:t>пациенты</w:t>
      </w:r>
      <w:r w:rsidRPr="00C403C8">
        <w:rPr>
          <w:i/>
        </w:rPr>
        <w:t xml:space="preserve"> с делецией 17p и/или мутацией TP53 независимо от возраста и коморбидности. </w:t>
      </w:r>
      <w:r w:rsidR="001F4A9B">
        <w:rPr>
          <w:i/>
        </w:rPr>
        <w:t>Т</w:t>
      </w:r>
      <w:r w:rsidRPr="00C403C8">
        <w:rPr>
          <w:i/>
        </w:rPr>
        <w:t>ерапи</w:t>
      </w:r>
      <w:r w:rsidR="001F4A9B">
        <w:rPr>
          <w:i/>
        </w:rPr>
        <w:t>ей выбора</w:t>
      </w:r>
      <w:r w:rsidRPr="00C403C8">
        <w:rPr>
          <w:i/>
        </w:rPr>
        <w:t xml:space="preserve"> у этих пациентов является </w:t>
      </w:r>
      <w:r w:rsidR="001F4A9B">
        <w:rPr>
          <w:i/>
        </w:rPr>
        <w:t xml:space="preserve">применение </w:t>
      </w:r>
      <w:r w:rsidR="00BE4F49" w:rsidRPr="00C403C8">
        <w:rPr>
          <w:i/>
        </w:rPr>
        <w:t>ибрутиниб</w:t>
      </w:r>
      <w:r w:rsidR="00BE4F49">
        <w:rPr>
          <w:i/>
        </w:rPr>
        <w:t>а</w:t>
      </w:r>
      <w:r w:rsidR="00BE4F49" w:rsidRPr="00C403C8">
        <w:rPr>
          <w:i/>
        </w:rPr>
        <w:t>** в монорежиме</w:t>
      </w:r>
      <w:r w:rsidR="00BE4F49">
        <w:rPr>
          <w:i/>
        </w:rPr>
        <w:t xml:space="preserve"> или </w:t>
      </w:r>
      <w:r w:rsidR="00984A81">
        <w:rPr>
          <w:i/>
        </w:rPr>
        <w:t xml:space="preserve">акалабрутиниба </w:t>
      </w:r>
      <w:r w:rsidR="004E3769">
        <w:rPr>
          <w:i/>
        </w:rPr>
        <w:t>монорежиме</w:t>
      </w:r>
      <w:r w:rsidR="006009B5">
        <w:rPr>
          <w:i/>
        </w:rPr>
        <w:t xml:space="preserve"> или</w:t>
      </w:r>
      <w:r w:rsidR="004E3769">
        <w:rPr>
          <w:i/>
        </w:rPr>
        <w:t xml:space="preserve"> в комбинации с обинуту</w:t>
      </w:r>
      <w:r w:rsidR="006009B5">
        <w:rPr>
          <w:i/>
        </w:rPr>
        <w:t>зумабом</w:t>
      </w:r>
      <w:r w:rsidR="00716BBE" w:rsidRPr="00397360">
        <w:rPr>
          <w:i/>
        </w:rPr>
        <w:t>**</w:t>
      </w:r>
      <w:r w:rsidRPr="00C403C8">
        <w:rPr>
          <w:i/>
        </w:rPr>
        <w:t xml:space="preserve">. У молодых пациентов при возможности терапия </w:t>
      </w:r>
      <w:r w:rsidR="00984A81">
        <w:rPr>
          <w:i/>
        </w:rPr>
        <w:t xml:space="preserve">ингибиторами тирозинкиназы Брутона </w:t>
      </w:r>
      <w:r w:rsidR="00BE4F49">
        <w:rPr>
          <w:i/>
        </w:rPr>
        <w:t>(ибрутиниб</w:t>
      </w:r>
      <w:r w:rsidR="00BE4F49" w:rsidRPr="00984A81">
        <w:rPr>
          <w:i/>
        </w:rPr>
        <w:t>**</w:t>
      </w:r>
      <w:r w:rsidR="00BE4F49">
        <w:rPr>
          <w:i/>
        </w:rPr>
        <w:t xml:space="preserve">, </w:t>
      </w:r>
      <w:r w:rsidR="00984A81">
        <w:rPr>
          <w:i/>
        </w:rPr>
        <w:t>акалабрутиниб)</w:t>
      </w:r>
      <w:r w:rsidRPr="00C403C8">
        <w:rPr>
          <w:i/>
        </w:rPr>
        <w:t xml:space="preserve"> должна служить подготовкой к трансплантации аллогенных стволовых клеток.</w:t>
      </w:r>
    </w:p>
    <w:p w14:paraId="5316FFB7" w14:textId="77777777" w:rsidR="007B5AE5" w:rsidRPr="00E47D53" w:rsidRDefault="007B5AE5" w:rsidP="00B04401">
      <w:pPr>
        <w:ind w:firstLine="709"/>
        <w:contextualSpacing/>
      </w:pPr>
      <w:r w:rsidRPr="00136052">
        <w:rPr>
          <w:i/>
        </w:rPr>
        <w:t>У пациентов старческого возраста с органн</w:t>
      </w:r>
      <w:r w:rsidR="001F4A9B">
        <w:rPr>
          <w:i/>
        </w:rPr>
        <w:t>ой</w:t>
      </w:r>
      <w:r w:rsidRPr="00136052">
        <w:rPr>
          <w:i/>
        </w:rPr>
        <w:t xml:space="preserve"> недостаточност</w:t>
      </w:r>
      <w:r w:rsidR="001F4A9B">
        <w:rPr>
          <w:i/>
        </w:rPr>
        <w:t>ью</w:t>
      </w:r>
      <w:r w:rsidRPr="00136052">
        <w:rPr>
          <w:i/>
        </w:rPr>
        <w:t xml:space="preserve"> цель лечения</w:t>
      </w:r>
      <w:r w:rsidRPr="003147A2">
        <w:rPr>
          <w:i/>
        </w:rPr>
        <w:t xml:space="preserve"> паллиативная.</w:t>
      </w:r>
    </w:p>
    <w:p w14:paraId="345CE520" w14:textId="77777777" w:rsidR="004D7374" w:rsidRPr="00A04E7F" w:rsidRDefault="004D7374" w:rsidP="005D3BBD">
      <w:pPr>
        <w:pStyle w:val="3"/>
        <w:spacing w:before="0"/>
        <w:jc w:val="both"/>
      </w:pPr>
      <w:r w:rsidRPr="00A04E7F">
        <w:t>3.2.1</w:t>
      </w:r>
      <w:r w:rsidR="00397360" w:rsidRPr="00397360">
        <w:t>.</w:t>
      </w:r>
      <w:r w:rsidRPr="00A04E7F">
        <w:t xml:space="preserve"> Первая линия лечения ХЛЛ</w:t>
      </w:r>
      <w:r w:rsidR="00704341" w:rsidRPr="00A04E7F">
        <w:t>/ЛМЛ</w:t>
      </w:r>
      <w:r w:rsidRPr="00A04E7F">
        <w:t xml:space="preserve"> у пациентов</w:t>
      </w:r>
      <w:r w:rsidR="001838D7">
        <w:t xml:space="preserve"> моложе 65 лет</w:t>
      </w:r>
      <w:r w:rsidR="00397360" w:rsidRPr="00397360">
        <w:t xml:space="preserve"> </w:t>
      </w:r>
      <w:r w:rsidRPr="00A04E7F">
        <w:t xml:space="preserve">с хорошим соматическим статусом без выявленной делеции 17p или мутации </w:t>
      </w:r>
      <w:r w:rsidRPr="001F4A9B">
        <w:rPr>
          <w:i/>
        </w:rPr>
        <w:t>TP53</w:t>
      </w:r>
    </w:p>
    <w:p w14:paraId="6ACEC7B3" w14:textId="6A5DB996" w:rsidR="004D7374" w:rsidRPr="0095233F" w:rsidRDefault="00704341" w:rsidP="00D61785">
      <w:pPr>
        <w:pStyle w:val="a4"/>
        <w:numPr>
          <w:ilvl w:val="0"/>
          <w:numId w:val="50"/>
        </w:numPr>
        <w:spacing w:before="0"/>
      </w:pPr>
      <w:r>
        <w:t>Пациентам с верифицированным ХЛЛ/ЛМЛ моложе 65 лет</w:t>
      </w:r>
      <w:r w:rsidR="004D7374">
        <w:t xml:space="preserve"> без значимой коморбидности</w:t>
      </w:r>
      <w:r w:rsidR="00D961CE">
        <w:t xml:space="preserve"> (физически активны</w:t>
      </w:r>
      <w:r w:rsidR="001F4A9B">
        <w:t>м</w:t>
      </w:r>
      <w:r w:rsidR="00D961CE">
        <w:t xml:space="preserve">, </w:t>
      </w:r>
      <w:r w:rsidR="001F4A9B">
        <w:t>без</w:t>
      </w:r>
      <w:r w:rsidR="00D961CE">
        <w:t xml:space="preserve"> тяжелых сопутствующих заболеваний, </w:t>
      </w:r>
      <w:r w:rsidR="001F4A9B">
        <w:t xml:space="preserve">с </w:t>
      </w:r>
      <w:r w:rsidR="00D961CE">
        <w:t>нормальн</w:t>
      </w:r>
      <w:r w:rsidR="001F4A9B">
        <w:t>ой</w:t>
      </w:r>
      <w:r w:rsidR="00D961CE">
        <w:t xml:space="preserve"> функци</w:t>
      </w:r>
      <w:r w:rsidR="001F4A9B">
        <w:t>ей</w:t>
      </w:r>
      <w:r w:rsidR="00D961CE">
        <w:t xml:space="preserve"> почек)</w:t>
      </w:r>
      <w:r w:rsidR="004D7374">
        <w:t xml:space="preserve"> без делеции 17p или мутации </w:t>
      </w:r>
      <w:r w:rsidR="004D7374" w:rsidRPr="0080011C">
        <w:rPr>
          <w:i/>
        </w:rPr>
        <w:t>TP53</w:t>
      </w:r>
      <w:r w:rsidR="005C6207">
        <w:t xml:space="preserve"> в качестве </w:t>
      </w:r>
      <w:r w:rsidR="001F4A9B">
        <w:t>1-й</w:t>
      </w:r>
      <w:r w:rsidR="005C6207">
        <w:t xml:space="preserve"> линии лечения</w:t>
      </w:r>
      <w:r w:rsidR="00B3535C">
        <w:t xml:space="preserve"> </w:t>
      </w:r>
      <w:r w:rsidR="004D7374" w:rsidRPr="0080011C">
        <w:rPr>
          <w:b/>
        </w:rPr>
        <w:t>рекоменд</w:t>
      </w:r>
      <w:r w:rsidR="008E45D6" w:rsidRPr="0080011C">
        <w:rPr>
          <w:b/>
        </w:rPr>
        <w:t>уется</w:t>
      </w:r>
      <w:r w:rsidR="004D7374">
        <w:t xml:space="preserve"> </w:t>
      </w:r>
      <w:r w:rsidR="00451C55">
        <w:t xml:space="preserve">для достижения ремиссии </w:t>
      </w:r>
      <w:r w:rsidR="004D7374">
        <w:t>проведение иммунохимиотерапии по схеме FCR</w:t>
      </w:r>
      <w:r w:rsidR="000A2B89">
        <w:t>: (</w:t>
      </w:r>
      <w:r w:rsidR="000A2B89" w:rsidRPr="005D3BBD">
        <w:t>Ритуксимаб** – 1 цикл: 375 мг/м</w:t>
      </w:r>
      <w:r w:rsidR="000A2B89" w:rsidRPr="0080011C">
        <w:rPr>
          <w:rFonts w:eastAsia="Times New Roman"/>
          <w:vertAlign w:val="superscript"/>
          <w:lang w:eastAsia="ru-RU"/>
        </w:rPr>
        <w:t>2</w:t>
      </w:r>
      <w:r w:rsidR="000A2B89" w:rsidRPr="005D3BBD">
        <w:t xml:space="preserve"> в/в кап., день 1, последующие циклы: 500 мг/м</w:t>
      </w:r>
      <w:r w:rsidR="000A2B89" w:rsidRPr="0080011C">
        <w:rPr>
          <w:rFonts w:eastAsia="Times New Roman"/>
          <w:vertAlign w:val="superscript"/>
          <w:lang w:eastAsia="ru-RU"/>
        </w:rPr>
        <w:t>2</w:t>
      </w:r>
      <w:r w:rsidR="000A2B89" w:rsidRPr="005D3BBD">
        <w:t xml:space="preserve"> в/в кап. или </w:t>
      </w:r>
      <w:r w:rsidR="00492BEA" w:rsidRPr="005D3BBD">
        <w:t xml:space="preserve">1600 </w:t>
      </w:r>
      <w:r w:rsidR="00EA3851" w:rsidRPr="005D3BBD">
        <w:t>мг п/к</w:t>
      </w:r>
      <w:r w:rsidR="000A2B89" w:rsidRPr="005D3BBD">
        <w:t xml:space="preserve">, день 1; </w:t>
      </w:r>
      <w:r w:rsidR="005A463A" w:rsidRPr="005D3BBD">
        <w:t>#</w:t>
      </w:r>
      <w:r w:rsidR="000A2B89" w:rsidRPr="005D3BBD">
        <w:t>Флударабин** – 25 мг/м</w:t>
      </w:r>
      <w:r w:rsidR="000A2B89" w:rsidRPr="0080011C">
        <w:rPr>
          <w:rFonts w:eastAsia="Times New Roman"/>
          <w:vertAlign w:val="superscript"/>
          <w:lang w:eastAsia="ru-RU"/>
        </w:rPr>
        <w:t>2</w:t>
      </w:r>
      <w:r w:rsidR="000A2B89" w:rsidRPr="005D3BBD">
        <w:t xml:space="preserve"> в/в кап., дни 1–3; </w:t>
      </w:r>
      <w:r w:rsidR="005A463A" w:rsidRPr="005D3BBD">
        <w:t>#</w:t>
      </w:r>
      <w:r w:rsidR="000A2B89" w:rsidRPr="005D3BBD">
        <w:t>Циклофосфамид** – 250 мг/м</w:t>
      </w:r>
      <w:r w:rsidR="000A2B89" w:rsidRPr="0080011C">
        <w:rPr>
          <w:rFonts w:eastAsia="Times New Roman"/>
          <w:vertAlign w:val="superscript"/>
          <w:lang w:eastAsia="ru-RU"/>
        </w:rPr>
        <w:t>2</w:t>
      </w:r>
      <w:r w:rsidR="000A2B89" w:rsidRPr="005D3BBD">
        <w:t xml:space="preserve"> в/в кап., дни 1–3). </w:t>
      </w:r>
      <w:r w:rsidR="00BC258D">
        <w:t>(</w:t>
      </w:r>
      <w:r w:rsidR="00AA4B03">
        <w:t xml:space="preserve">схемы режимов лечения см. в приложении </w:t>
      </w:r>
      <w:r w:rsidR="00437AD9" w:rsidRPr="0095233F">
        <w:t>А3.3)</w:t>
      </w:r>
      <w:r w:rsidR="00E97E28" w:rsidRPr="0095233F">
        <w:t xml:space="preserve"> </w:t>
      </w:r>
      <w:r w:rsidR="000B0AC3" w:rsidRPr="0095233F">
        <w:fldChar w:fldCharType="begin" w:fldLock="1"/>
      </w:r>
      <w:r w:rsidR="00BA7FFC">
        <w:instrText>ADDIN CSL_CITATION {"citationItems":[{"id":"ITEM-1","itemData":{"DOI":"10.1016/S0140-6736(10)61381-5","ISSN":"01406736","abstract":"Background On the basis of promising results that were reported in several phase 2 trials, we investigated whether the addition of the monoclonal antibody rituximab to first-line chemotherapy with fludarabine and cyclophosphamide would improve the outcome of patients with chronic lymphocytic leukaemia. Methods Treatment-naive, physically fit patients (aged 30-81 years) with CD20-positive chronic lymphocytic leukaemia were randomly assigned in a one-to-one ratio to receive six courses of intravenous fludarabine (25 mg/m&lt;sup&gt;2&lt;/sup&gt; per day) and cyclophosphamide (250 mg/m&lt;sup&gt;2&lt;/sup&gt; per day) for the first 3 days of each 28-day treatment course with or without rituximab (375 mg/m&lt;sup&gt;2&lt;/sup&gt; on day 0 of first course, and 500 mg/m&lt;sup&gt;2&lt;/sup&gt; on day 1 of second to sixth courses) in 190 centres in 11 countries. Investigators and patients were not masked to the computer-generated treatment assignment. The primary endpoint was progression-free survival (PFS). Analysis was by intention to treat. This study is registered with ClinicalTrials.gov, number NCT00281918. Findings 408 patients were assigned to fludarabine, cyclophosphamide, and rituximab (chemoimmunotherapy group) and 409 to fludarabine and cyclophosphamide (chemotherapy group); all patients were analysed. At 3 years after randomisation, 65 of patients in the chemoimmunotherapy group were free of progression compared with 45 in the chemotherapy group (hazard ratio 0·56 [95 CI 0·46-0·69], p&lt;0·0001); 87 were alive versus 83, respectively (0·67 [0·48-0·92]; p=0·01). Chemoimmunotherapy was more frequently associated with grade 3 and 4 neutropenia (136 [34] of 404 vs 83 [21] of 396; p&lt;0·0001) and leucocytopenia (97 [24] vs 48 [12]; p&lt;0·0001). Other side-effects, including severe infections, were not increased. There were eight (2) treatment-related deaths in the chemoimmunotherapy group compared with ten (3) in the chemotherapy group. Interpretation Chemoimmunotherapy with fludarabine, cyclophosphamide, and rituximab improves progression-free survival and overall survival in patients with chronic lymphocytic leukaemia. Moreover, the results suggest that the choice of a specific first-line treatment changes the natural course of chronic lymphocytic leukaemia. Funding F Hoffmann-La Roche. © 2010 Elsevier Ltd.","author":[{"dropping-particle":"","family":"Hallek","given":"M.","non-dropping-particle":"","parse-names":false,"suffix":""},{"dropping-particle":"","family":"Fischer","given":"K.","non-dropping-particle":"","parse-names":false,"suffix":""},{"dropping-particle":"","family":"Fingerle-Rowson","given":"G.","non-dropping-particle":"","parse-names":false,"suffix":""},{"dropping-particle":"","family":"Fink","given":"A. M.","non-dropping-particle":"","parse-names":false,"suffix":""},{"dropping-particle":"","family":"Busch","given":"R.","non-dropping-particle":"","parse-names":false,"suffix":""},{"dropping-particle":"","family":"Mayer","given":"J.","non-dropping-particle":"","parse-names":false,"suffix":""},{"dropping-particle":"","family":"Hensel","given":"M.","non-dropping-particle":"","parse-names":false,"suffix":""},{"dropping-particle":"","family":"Hopfinger","given":"G.","non-dropping-particle":"","parse-names":false,"suffix":""},{"dropping-particle":"","family":"Hess","given":"G.","non-dropping-particle":"","parse-names":false,"suffix":""},{"dropping-particle":"","family":"Grünhagen","given":"U.","non-dropping-particle":"Von","parse-names":false,"suffix":""},{"dropping-particle":"","family":"Bergmann","given":"M.","non-dropping-particle":"","parse-names":false,"suffix":""},{"dropping-particle":"","family":"Catalano","given":"J.","non-dropping-particle":"","parse-names":false,"suffix":""},{"dropping-particle":"","family":"Zinzani","given":"P. L.","non-dropping-particle":"","parse-names":false,"suffix":""},{"dropping-particle":"","family":"Caligaris-Cappio","given":"F.","non-dropping-particle":"","parse-names":false,"suffix":""},{"dropping-particle":"","family":"Seymour","given":"J. F.","non-dropping-particle":"","parse-names":false,"suffix":""},{"dropping-particle":"","family":"Berrebi","given":"A.","non-dropping-particle":"","parse-names":false,"suffix":""},{"dropping-particle":"","family":"Jäger","given":"U.","non-dropping-particle":"","parse-names":false,"suffix":""},{"dropping-particle":"","family":"Cazin","given":"B.","non-dropping-particle":"","parse-names":false,"suffix":""},{"dropping-particle":"","family":"Trneny","given":"M.","non-dropping-particle":"","parse-names":false,"suffix":""},{"dropping-particle":"","family":"Westermann","given":"A.","non-dropping-particle":"","parse-names":false,"suffix":""},{"dropping-particle":"","family":"Wendtner","given":"C. M.","non-dropping-particle":"","parse-names":false,"suffix":""},{"dropping-particle":"","family":"Eichhorst","given":"B. F.","non-dropping-particle":"","parse-names":false,"suffix":""},{"dropping-particle":"","family":"Staib","given":"P.","non-dropping-particle":"","parse-names":false,"suffix":""},{"dropping-particle":"","family":"Bühler","given":"A.","non-dropping-particle":"","parse-names":false,"suffix":""},{"dropping-particle":"","family":"Winkler","given":"D.","non-dropping-particle":"","parse-names":false,"suffix":""},{"dropping-particle":"","family":"Zenz","given":"T.","non-dropping-particle":"","parse-names":false,"suffix":""},{"dropping-particle":"","family":"Böttcher","given":"S.","non-dropping-particle":"","parse-names":false,"suffix":""},{"dropping-particle":"","family":"Ritgen","given":"M.","non-dropping-particle":"","parse-names":false,"suffix":""},{"dropping-particle":"","family":"Mendila","given":"M.","non-dropping-particle":"","parse-names":false,"suffix":""},{"dropping-particle":"","family":"Kneba","given":"M.","non-dropping-particle":"","parse-names":false,"suffix":""},{"dropping-particle":"","family":"Döhner","given":"H.","non-dropping-particle":"","parse-names":false,"suffix":""},{"dropping-particle":"","family":"Stilgenbauer","given":"S.","non-dropping-particle":"","parse-names":false,"suffix":""}],"container-title":"The Lancet","id":"ITEM-1","issue":"9747","issued":{"date-parts":[["2010","10","2"]]},"page":"1164-1174","publisher":"Lancet Publishing Group","title":"Addition of rituximab to fludarabine and cyclophosphamide in patients with chronic lymphocytic leukaemia: A randomised, open-label, phase 3 trial","type":"article-journal","volume":"376"},"uris":["http://www.mendeley.com/documents/?uuid=ed0e68e1-18a3-3844-97e2-66b47634f6c0"]},{"id":"ITEM-2","itemData":{"DOI":"10.1182/blood-2015-06-651125","ISSN":"15280020","abstract":"Despite promising results with targeted drugs, chemoimmunotherapy with fludarabine, cyclophosphamide (FC), and rituximab (R) remains the standard therapy for fit patients with untreated chronic lymphocytic leukemia (CLL). Herein, we present the long-term follow-up of the randomized CLL8 trial reporting safety and efficacy of FC and FCR treatment of 817 treatment-naïve patients with CLL. The primary end point was progression-free survival (PFS). With a median follow-up of 5.9 years, median PFS were 56.8 and 32.9 months for the FCR and FC group (hazard ratio [HR], 0.59; 95% confidence interval [CI], 0.50-0.69, P &lt; .001). Median overall survival (OS) was not reached for the FCR group and was 86.0 months for the FC group (HR, 0.68; 95% CI, 0.54-0.89, P = .001). In patients with mutated IGHV (IGHV MUT), FCR improved PFS and OS compared with FC (PFS: HR, 0.47; 95% CI, 0.33-0.68, P &lt; .001; OS: HR, 0.62; 95% CI, 0.34-1.11, P = .1). This improvement remained applicable for all cytogenetic subgroups other than del(17p). Long-term safety analyses showed that FCR had a higher rate of prolonged neutropenia during the first year after treatment (16.6% vs 8.8%; P = .007). Secondary malignancies including Richter's transformation occurred in 13.1% in the FCR group and in 17.4% in the FC group (P = .1). First-line chemoimmunotherapy with FCR induces long-term remissions and highly relevant improvement in OS in specific genetic subgroups of fit patients with CLL, in particular those with IGHV MUT. This trial was registered at www.clinicaltrials.gov as #NCT00281918.","author":[{"dropping-particle":"","family":"Fischer","given":"Kirsten","non-dropping-particle":"","parse-names":false,"suffix":""},{"dropping-particle":"","family":"Bahlo","given":"Jasmin","non-dropping-particle":"","parse-names":false,"suffix":""},{"dropping-particle":"","family":"Fink","given":"Anna Maria","non-dropping-particle":"","parse-names":false,"suffix":""},{"dropping-particle":"","family":"Goede","given":"Valentin","non-dropping-particle":"","parse-names":false,"suffix":""},{"dropping-particle":"","family":"Herling","given":"Carmen Diana","non-dropping-particle":"","parse-names":false,"suffix":""},{"dropping-particle":"","family":"Cramer","given":"Paula","non-dropping-particle":"","parse-names":false,"suffix":""},{"dropping-particle":"","family":"Langerbeins","given":"Petra","non-dropping-particle":"","parse-names":false,"suffix":""},{"dropping-particle":"","family":"Tresckow","given":"Julia","non-dropping-particle":"Von","parse-names":false,"suffix":""},{"dropping-particle":"","family":"Engelke","given":"Anja","non-dropping-particle":"","parse-names":false,"suffix":""},{"dropping-particle":"","family":"Maurer","given":"Christian","non-dropping-particle":"","parse-names":false,"suffix":""},{"dropping-particle":"","family":"Kovacs","given":"Gabor","non-dropping-particle":"","parse-names":false,"suffix":""},{"dropping-particle":"","family":"Herling","given":"Marco","non-dropping-particle":"","parse-names":false,"suffix":""},{"dropping-particle":"","family":"Tausch","given":"Eugen","non-dropping-particle":"","parse-names":false,"suffix":""},{"dropping-particle":"","family":"Kreuzer","given":"Karl Anton","non-dropping-particle":"","parse-names":false,"suffix":""},{"dropping-particle":"","family":"Eichhorst","given":"Barbara","non-dropping-particle":"","parse-names":false,"suffix":""},{"dropping-particle":"","family":"Böttcher","given":"Sebastian","non-dropping-particle":"","parse-names":false,"suffix":""},{"dropping-particle":"","family":"Seymour","given":"John F.","non-dropping-particle":"","parse-names":false,"suffix":""},{"dropping-particle":"","family":"Ghia","given":"Paolo","non-dropping-particle":"","parse-names":false,"suffix":""},{"dropping-particle":"","family":"Marlton","given":"Paula","non-dropping-particle":"","parse-names":false,"suffix":""},{"dropping-particle":"","family":"Kneba","given":"Michael","non-dropping-particle":"","parse-names":false,"suffix":""},{"dropping-particle":"","family":"Wendtner","given":"Clemens Martin","non-dropping-particle":"","parse-names":false,"suffix":""},{"dropping-particle":"","family":"Döhner","given":"Hartmut","non-dropping-particle":"","parse-names":false,"suffix":""},{"dropping-particle":"","family":"Stilgenbauer","given":"Stephan","non-dropping-particle":"","parse-names":false,"suffix":""},{"dropping-particle":"","family":"Hallek","given":"Michael","non-dropping-particle":"","parse-names":false,"suffix":""}],"container-title":"Blood","id":"ITEM-2","issue":"2","issued":{"date-parts":[["2016","1","14"]]},"page":"208-215","publisher":"American Society of Hematology","title":"Long-term remissions after FCR chemoimmunotherapy in previously untreated patients with CLL: Updated results of the CLL8 trial","type":"paper-conference","volume":"127"},"uris":["http://www.mendeley.com/documents/?uuid=014b82e4-c3af-3660-a225-e9e7495ffc40"]}],"mendeley":{"formattedCitation":"[27,28]","plainTextFormattedCitation":"[27,28]","previouslyFormattedCitation":"[27,28]"},"properties":{"noteIndex":0},"schema":"https://github.com/citation-style-language/schema/raw/master/csl-citation.json"}</w:instrText>
      </w:r>
      <w:r w:rsidR="000B0AC3" w:rsidRPr="0095233F">
        <w:fldChar w:fldCharType="separate"/>
      </w:r>
      <w:r w:rsidR="00225D7F" w:rsidRPr="00225D7F">
        <w:rPr>
          <w:noProof/>
        </w:rPr>
        <w:t>[27,28]</w:t>
      </w:r>
      <w:r w:rsidR="000B0AC3" w:rsidRPr="0095233F">
        <w:fldChar w:fldCharType="end"/>
      </w:r>
      <w:r w:rsidR="004D6541" w:rsidRPr="0095233F">
        <w:t>.</w:t>
      </w:r>
    </w:p>
    <w:p w14:paraId="19D01E62" w14:textId="77777777" w:rsidR="004D7374" w:rsidRPr="001F4A9B" w:rsidRDefault="004D7374" w:rsidP="0080011C">
      <w:pPr>
        <w:ind w:left="426"/>
        <w:contextualSpacing/>
        <w:rPr>
          <w:b/>
          <w:spacing w:val="-4"/>
        </w:rPr>
      </w:pPr>
      <w:r w:rsidRPr="0095233F">
        <w:rPr>
          <w:b/>
          <w:spacing w:val="-4"/>
        </w:rPr>
        <w:t xml:space="preserve">Уровень убедительности </w:t>
      </w:r>
      <w:r w:rsidR="00C20509" w:rsidRPr="0095233F">
        <w:rPr>
          <w:b/>
          <w:spacing w:val="-4"/>
        </w:rPr>
        <w:t xml:space="preserve">рекомендаций – </w:t>
      </w:r>
      <w:r w:rsidR="001E3D61" w:rsidRPr="0095233F">
        <w:rPr>
          <w:b/>
          <w:spacing w:val="-4"/>
        </w:rPr>
        <w:t>А</w:t>
      </w:r>
      <w:r w:rsidRPr="0095233F">
        <w:rPr>
          <w:b/>
          <w:spacing w:val="-4"/>
        </w:rPr>
        <w:t xml:space="preserve"> (урове</w:t>
      </w:r>
      <w:r w:rsidR="001E3D61" w:rsidRPr="0095233F">
        <w:rPr>
          <w:b/>
          <w:spacing w:val="-4"/>
        </w:rPr>
        <w:t xml:space="preserve">нь достоверности </w:t>
      </w:r>
      <w:r w:rsidR="00C20509" w:rsidRPr="0095233F">
        <w:rPr>
          <w:b/>
          <w:spacing w:val="-4"/>
        </w:rPr>
        <w:t>доказательств</w:t>
      </w:r>
      <w:r w:rsidR="00C20509" w:rsidRPr="001F4A9B">
        <w:rPr>
          <w:b/>
          <w:spacing w:val="-4"/>
        </w:rPr>
        <w:t xml:space="preserve"> – </w:t>
      </w:r>
      <w:r w:rsidR="001E3D61" w:rsidRPr="001F4A9B">
        <w:rPr>
          <w:b/>
          <w:spacing w:val="-4"/>
        </w:rPr>
        <w:t>2</w:t>
      </w:r>
      <w:r w:rsidRPr="001F4A9B">
        <w:rPr>
          <w:b/>
          <w:spacing w:val="-4"/>
        </w:rPr>
        <w:t>)</w:t>
      </w:r>
      <w:r w:rsidR="00D25605" w:rsidRPr="001F4A9B">
        <w:rPr>
          <w:b/>
          <w:spacing w:val="-4"/>
        </w:rPr>
        <w:t>.</w:t>
      </w:r>
    </w:p>
    <w:p w14:paraId="602A4EEC" w14:textId="5AD7883A" w:rsidR="004D7374" w:rsidRDefault="00A81638" w:rsidP="005D3BBD">
      <w:pPr>
        <w:ind w:firstLine="426"/>
        <w:contextualSpacing/>
      </w:pPr>
      <w:r>
        <w:rPr>
          <w:b/>
        </w:rPr>
        <w:t>Комментарии</w:t>
      </w:r>
      <w:r w:rsidR="004D7374" w:rsidRPr="00D25605">
        <w:rPr>
          <w:b/>
        </w:rPr>
        <w:t xml:space="preserve">: </w:t>
      </w:r>
      <w:r w:rsidR="00E97E28" w:rsidRPr="00D25605">
        <w:rPr>
          <w:i/>
        </w:rPr>
        <w:t xml:space="preserve">стандартом </w:t>
      </w:r>
      <w:r w:rsidR="004D7374" w:rsidRPr="00D25605">
        <w:rPr>
          <w:i/>
        </w:rPr>
        <w:t xml:space="preserve">терапии </w:t>
      </w:r>
      <w:r w:rsidR="001F4A9B">
        <w:rPr>
          <w:i/>
        </w:rPr>
        <w:t>1-й</w:t>
      </w:r>
      <w:r w:rsidR="004D7374" w:rsidRPr="00D25605">
        <w:rPr>
          <w:i/>
        </w:rPr>
        <w:t xml:space="preserve"> линии у молодых пациентов c хорошим соматическим статусом (кроме пациентов с del(17p) и/или мутацией TP53) является режим FCR (флударабин</w:t>
      </w:r>
      <w:r w:rsidR="00122E4B">
        <w:rPr>
          <w:i/>
        </w:rPr>
        <w:t>**</w:t>
      </w:r>
      <w:r w:rsidR="004D7374" w:rsidRPr="00D25605">
        <w:rPr>
          <w:i/>
        </w:rPr>
        <w:t>, циклофосфамид</w:t>
      </w:r>
      <w:r w:rsidR="00122E4B">
        <w:rPr>
          <w:i/>
        </w:rPr>
        <w:t>**</w:t>
      </w:r>
      <w:r w:rsidR="004D7374" w:rsidRPr="00D25605">
        <w:rPr>
          <w:i/>
        </w:rPr>
        <w:t>, ритуксимаб</w:t>
      </w:r>
      <w:r w:rsidR="00122E4B">
        <w:rPr>
          <w:i/>
        </w:rPr>
        <w:t>**</w:t>
      </w:r>
      <w:r w:rsidR="004D7374" w:rsidRPr="00D25605">
        <w:rPr>
          <w:i/>
        </w:rPr>
        <w:t>). Обновленные в 2016 г</w:t>
      </w:r>
      <w:r w:rsidR="001F4A9B">
        <w:rPr>
          <w:i/>
        </w:rPr>
        <w:t>.</w:t>
      </w:r>
      <w:r w:rsidR="004D7374" w:rsidRPr="00D25605">
        <w:rPr>
          <w:i/>
        </w:rPr>
        <w:t xml:space="preserve"> результаты исследования CLL8 показали</w:t>
      </w:r>
      <w:r w:rsidR="001F4A9B">
        <w:rPr>
          <w:i/>
        </w:rPr>
        <w:t>,</w:t>
      </w:r>
      <w:r w:rsidR="00E97E28" w:rsidRPr="00E97E28">
        <w:rPr>
          <w:i/>
        </w:rPr>
        <w:t xml:space="preserve"> </w:t>
      </w:r>
      <w:r w:rsidR="004D7374" w:rsidRPr="00D25605">
        <w:rPr>
          <w:i/>
        </w:rPr>
        <w:t xml:space="preserve">что в группе FCR число выживших при медиане наблюдения, равной </w:t>
      </w:r>
      <w:r w:rsidR="005C6207">
        <w:rPr>
          <w:i/>
        </w:rPr>
        <w:t>5</w:t>
      </w:r>
      <w:r w:rsidR="004D7374" w:rsidRPr="00D25605">
        <w:rPr>
          <w:i/>
        </w:rPr>
        <w:t xml:space="preserve">,9 </w:t>
      </w:r>
      <w:r w:rsidR="001F4A9B">
        <w:rPr>
          <w:i/>
        </w:rPr>
        <w:t>года</w:t>
      </w:r>
      <w:r w:rsidR="004D7374" w:rsidRPr="00D25605">
        <w:rPr>
          <w:i/>
        </w:rPr>
        <w:t xml:space="preserve">, составило </w:t>
      </w:r>
      <w:r w:rsidR="005C6207">
        <w:rPr>
          <w:i/>
        </w:rPr>
        <w:t>78</w:t>
      </w:r>
      <w:r w:rsidR="004D7374" w:rsidRPr="00D25605">
        <w:rPr>
          <w:i/>
        </w:rPr>
        <w:t>,</w:t>
      </w:r>
      <w:r w:rsidR="005C6207">
        <w:rPr>
          <w:i/>
        </w:rPr>
        <w:t>7</w:t>
      </w:r>
      <w:r w:rsidR="00DD3D1E">
        <w:rPr>
          <w:i/>
        </w:rPr>
        <w:t xml:space="preserve"> %</w:t>
      </w:r>
      <w:r w:rsidR="004D7374" w:rsidRPr="00D25605">
        <w:rPr>
          <w:i/>
        </w:rPr>
        <w:t xml:space="preserve"> по сравнению с </w:t>
      </w:r>
      <w:r w:rsidR="005C6207">
        <w:rPr>
          <w:i/>
        </w:rPr>
        <w:t>66,9</w:t>
      </w:r>
      <w:r w:rsidR="00DD3D1E">
        <w:rPr>
          <w:i/>
        </w:rPr>
        <w:t xml:space="preserve"> %</w:t>
      </w:r>
      <w:r w:rsidR="004D7374" w:rsidRPr="00D25605">
        <w:rPr>
          <w:i/>
        </w:rPr>
        <w:t xml:space="preserve"> в группе FC (</w:t>
      </w:r>
      <w:r w:rsidR="001F4A9B">
        <w:rPr>
          <w:i/>
        </w:rPr>
        <w:t xml:space="preserve">ОР </w:t>
      </w:r>
      <w:r w:rsidR="004D7374" w:rsidRPr="00D25605">
        <w:rPr>
          <w:i/>
        </w:rPr>
        <w:t>0,68, 95</w:t>
      </w:r>
      <w:r w:rsidR="00DD3D1E">
        <w:rPr>
          <w:i/>
        </w:rPr>
        <w:t xml:space="preserve"> %</w:t>
      </w:r>
      <w:r w:rsidR="004D7374" w:rsidRPr="00D25605">
        <w:rPr>
          <w:i/>
        </w:rPr>
        <w:t xml:space="preserve"> доверительный интервал (ДИ) 0,535−0,858, p = 0,001). Медиана ВБП у </w:t>
      </w:r>
      <w:r w:rsidR="00DD5F69">
        <w:rPr>
          <w:i/>
        </w:rPr>
        <w:t>пациентов</w:t>
      </w:r>
      <w:r w:rsidR="004D7374" w:rsidRPr="00D25605">
        <w:rPr>
          <w:i/>
        </w:rPr>
        <w:t xml:space="preserve"> с мутациями</w:t>
      </w:r>
      <w:r w:rsidR="001F4A9B">
        <w:rPr>
          <w:i/>
        </w:rPr>
        <w:t xml:space="preserve"> генов</w:t>
      </w:r>
      <w:r w:rsidR="004D7374" w:rsidRPr="00D25605">
        <w:rPr>
          <w:i/>
        </w:rPr>
        <w:t xml:space="preserve"> IGHV, получавших лечение по схеме FCR, не достигнута</w:t>
      </w:r>
      <w:r w:rsidR="001F4A9B">
        <w:rPr>
          <w:i/>
        </w:rPr>
        <w:t xml:space="preserve"> </w:t>
      </w:r>
      <w:r w:rsidR="000B0AC3">
        <w:fldChar w:fldCharType="begin" w:fldLock="1"/>
      </w:r>
      <w:r w:rsidR="00BA7FFC">
        <w:instrText>ADDIN CSL_CITATION {"citationItems":[{"id":"ITEM-1","itemData":{"DOI":"10.1182/blood-2015-06-651125","ISSN":"15280020","abstract":"Despite promising results with targeted drugs, chemoimmunotherapy with fludarabine, cyclophosphamide (FC), and rituximab (R) remains the standard therapy for fit patients with untreated chronic lymphocytic leukemia (CLL). Herein, we present the long-term follow-up of the randomized CLL8 trial reporting safety and efficacy of FC and FCR treatment of 817 treatment-naïve patients with CLL. The primary end point was progression-free survival (PFS). With a median follow-up of 5.9 years, median PFS were 56.8 and 32.9 months for the FCR and FC group (hazard ratio [HR], 0.59; 95% confidence interval [CI], 0.50-0.69, P &lt; .001). Median overall survival (OS) was not reached for the FCR group and was 86.0 months for the FC group (HR, 0.68; 95% CI, 0.54-0.89, P = .001). In patients with mutated IGHV (IGHV MUT), FCR improved PFS and OS compared with FC (PFS: HR, 0.47; 95% CI, 0.33-0.68, P &lt; .001; OS: HR, 0.62; 95% CI, 0.34-1.11, P = .1). This improvement remained applicable for all cytogenetic subgroups other than del(17p). Long-term safety analyses showed that FCR had a higher rate of prolonged neutropenia during the first year after treatment (16.6% vs 8.8%; P = .007). Secondary malignancies including Richter's transformation occurred in 13.1% in the FCR group and in 17.4% in the FC group (P = .1). First-line chemoimmunotherapy with FCR induces long-term remissions and highly relevant improvement in OS in specific genetic subgroups of fit patients with CLL, in particular those with IGHV MUT. This trial was registered at www.clinicaltrials.gov as #NCT00281918.","author":[{"dropping-particle":"","family":"Fischer","given":"Kirsten","non-dropping-particle":"","parse-names":false,"suffix":""},{"dropping-particle":"","family":"Bahlo","given":"Jasmin","non-dropping-particle":"","parse-names":false,"suffix":""},{"dropping-particle":"","family":"Fink","given":"Anna Maria","non-dropping-particle":"","parse-names":false,"suffix":""},{"dropping-particle":"","family":"Goede","given":"Valentin","non-dropping-particle":"","parse-names":false,"suffix":""},{"dropping-particle":"","family":"Herling","given":"Carmen Diana","non-dropping-particle":"","parse-names":false,"suffix":""},{"dropping-particle":"","family":"Cramer","given":"Paula","non-dropping-particle":"","parse-names":false,"suffix":""},{"dropping-particle":"","family":"Langerbeins","given":"Petra","non-dropping-particle":"","parse-names":false,"suffix":""},{"dropping-particle":"","family":"Tresckow","given":"Julia","non-dropping-particle":"Von","parse-names":false,"suffix":""},{"dropping-particle":"","family":"Engelke","given":"Anja","non-dropping-particle":"","parse-names":false,"suffix":""},{"dropping-particle":"","family":"Maurer","given":"Christian","non-dropping-particle":"","parse-names":false,"suffix":""},{"dropping-particle":"","family":"Kovacs","given":"Gabor","non-dropping-particle":"","parse-names":false,"suffix":""},{"dropping-particle":"","family":"Herling","given":"Marco","non-dropping-particle":"","parse-names":false,"suffix":""},{"dropping-particle":"","family":"Tausch","given":"Eugen","non-dropping-particle":"","parse-names":false,"suffix":""},{"dropping-particle":"","family":"Kreuzer","given":"Karl Anton","non-dropping-particle":"","parse-names":false,"suffix":""},{"dropping-particle":"","family":"Eichhorst","given":"Barbara","non-dropping-particle":"","parse-names":false,"suffix":""},{"dropping-particle":"","family":"Böttcher","given":"Sebastian","non-dropping-particle":"","parse-names":false,"suffix":""},{"dropping-particle":"","family":"Seymour","given":"John F.","non-dropping-particle":"","parse-names":false,"suffix":""},{"dropping-particle":"","family":"Ghia","given":"Paolo","non-dropping-particle":"","parse-names":false,"suffix":""},{"dropping-particle":"","family":"Marlton","given":"Paula","non-dropping-particle":"","parse-names":false,"suffix":""},{"dropping-particle":"","family":"Kneba","given":"Michael","non-dropping-particle":"","parse-names":false,"suffix":""},{"dropping-particle":"","family":"Wendtner","given":"Clemens Martin","non-dropping-particle":"","parse-names":false,"suffix":""},{"dropping-particle":"","family":"Döhner","given":"Hartmut","non-dropping-particle":"","parse-names":false,"suffix":""},{"dropping-particle":"","family":"Stilgenbauer","given":"Stephan","non-dropping-particle":"","parse-names":false,"suffix":""},{"dropping-particle":"","family":"Hallek","given":"Michael","non-dropping-particle":"","parse-names":false,"suffix":""}],"container-title":"Blood","id":"ITEM-1","issue":"2","issued":{"date-parts":[["2016","1","14"]]},"page":"208-215","publisher":"American Society of Hematology","title":"Long-term remissions after FCR chemoimmunotherapy in previously untreated patients with CLL: Updated results of the CLL8 trial","type":"paper-conference","volume":"127"},"uris":["http://www.mendeley.com/documents/?uuid=014b82e4-c3af-3660-a225-e9e7495ffc40"]}],"mendeley":{"formattedCitation":"[28]","plainTextFormattedCitation":"[28]","previouslyFormattedCitation":"[28]"},"properties":{"noteIndex":0},"schema":"https://github.com/citation-style-language/schema/raw/master/csl-citation.json"}</w:instrText>
      </w:r>
      <w:r w:rsidR="000B0AC3">
        <w:fldChar w:fldCharType="separate"/>
      </w:r>
      <w:r w:rsidR="00225D7F" w:rsidRPr="00225D7F">
        <w:rPr>
          <w:noProof/>
        </w:rPr>
        <w:t>[28]</w:t>
      </w:r>
      <w:r w:rsidR="000B0AC3">
        <w:fldChar w:fldCharType="end"/>
      </w:r>
      <w:r w:rsidR="004D7374" w:rsidRPr="00D25605">
        <w:rPr>
          <w:i/>
        </w:rPr>
        <w:t xml:space="preserve">. </w:t>
      </w:r>
      <w:r w:rsidR="005C6207">
        <w:rPr>
          <w:i/>
        </w:rPr>
        <w:t>П</w:t>
      </w:r>
      <w:r w:rsidR="004D7374" w:rsidRPr="00D25605">
        <w:rPr>
          <w:i/>
        </w:rPr>
        <w:t xml:space="preserve">ри этом режим FCR ассоциируется с высокой частотой развития нежелательных явлений, особенно цитопении и инфекционных осложнений. </w:t>
      </w:r>
      <w:r w:rsidR="005802F3">
        <w:rPr>
          <w:i/>
        </w:rPr>
        <w:t>Л</w:t>
      </w:r>
      <w:r w:rsidR="004D7374" w:rsidRPr="00D25605">
        <w:rPr>
          <w:i/>
        </w:rPr>
        <w:t>ейкопения и нейтропения 3–4</w:t>
      </w:r>
      <w:r w:rsidR="00416F68">
        <w:rPr>
          <w:i/>
        </w:rPr>
        <w:t>-й</w:t>
      </w:r>
      <w:r w:rsidR="004D7374" w:rsidRPr="00D25605">
        <w:rPr>
          <w:i/>
        </w:rPr>
        <w:t xml:space="preserve"> </w:t>
      </w:r>
      <w:r w:rsidR="004D7374" w:rsidRPr="001F4A9B">
        <w:rPr>
          <w:i/>
          <w:spacing w:val="-4"/>
        </w:rPr>
        <w:t>степени тяжести согласно общим критериям токсичности (СТС) наблюдались у 24</w:t>
      </w:r>
      <w:r w:rsidR="00DD3D1E" w:rsidRPr="001F4A9B">
        <w:rPr>
          <w:i/>
          <w:spacing w:val="-4"/>
        </w:rPr>
        <w:t xml:space="preserve"> </w:t>
      </w:r>
      <w:r w:rsidR="004D7374" w:rsidRPr="001F4A9B">
        <w:rPr>
          <w:i/>
          <w:spacing w:val="-4"/>
        </w:rPr>
        <w:t>и 34</w:t>
      </w:r>
      <w:r w:rsidR="00DD3D1E" w:rsidRPr="001F4A9B">
        <w:rPr>
          <w:i/>
          <w:spacing w:val="-4"/>
        </w:rPr>
        <w:t xml:space="preserve"> %</w:t>
      </w:r>
      <w:r w:rsidR="004D7374" w:rsidRPr="00D25605">
        <w:rPr>
          <w:i/>
        </w:rPr>
        <w:t xml:space="preserve"> пациентов, получавших FCR, у 25</w:t>
      </w:r>
      <w:r w:rsidR="00DD3D1E">
        <w:rPr>
          <w:i/>
        </w:rPr>
        <w:t xml:space="preserve"> %</w:t>
      </w:r>
      <w:r w:rsidR="004D7374" w:rsidRPr="00D25605">
        <w:rPr>
          <w:i/>
        </w:rPr>
        <w:t xml:space="preserve"> зафиксировано развитие инфекций 3–4</w:t>
      </w:r>
      <w:r w:rsidR="00416F68">
        <w:rPr>
          <w:i/>
        </w:rPr>
        <w:t>-й</w:t>
      </w:r>
      <w:r w:rsidR="004D7374" w:rsidRPr="00D25605">
        <w:rPr>
          <w:i/>
        </w:rPr>
        <w:t xml:space="preserve"> степени тяжести.</w:t>
      </w:r>
    </w:p>
    <w:p w14:paraId="52228BD9" w14:textId="2C15D89C" w:rsidR="004D7374" w:rsidRPr="0095233F" w:rsidRDefault="00D961CE" w:rsidP="00D61785">
      <w:pPr>
        <w:pStyle w:val="a4"/>
        <w:numPr>
          <w:ilvl w:val="0"/>
          <w:numId w:val="50"/>
        </w:numPr>
        <w:spacing w:before="0"/>
      </w:pPr>
      <w:r>
        <w:t>Пациентам с вер</w:t>
      </w:r>
      <w:r w:rsidR="00416F68">
        <w:t>ифицированным ХЛЛ/ЛМЛ моложе 65–</w:t>
      </w:r>
      <w:r>
        <w:t>70 лет без значимой коморбидности (физически активны</w:t>
      </w:r>
      <w:r w:rsidR="00416F68">
        <w:t>м</w:t>
      </w:r>
      <w:r>
        <w:t xml:space="preserve">, </w:t>
      </w:r>
      <w:r w:rsidR="00416F68">
        <w:t>без</w:t>
      </w:r>
      <w:r>
        <w:t xml:space="preserve"> тяжелых сопутствующих заболеваний, </w:t>
      </w:r>
      <w:r w:rsidR="00416F68">
        <w:t xml:space="preserve">с </w:t>
      </w:r>
      <w:r>
        <w:t>нормальн</w:t>
      </w:r>
      <w:r w:rsidR="00416F68">
        <w:t>ой</w:t>
      </w:r>
      <w:r>
        <w:t xml:space="preserve"> функци</w:t>
      </w:r>
      <w:r w:rsidR="00416F68">
        <w:t>ей</w:t>
      </w:r>
      <w:r>
        <w:t xml:space="preserve"> почек) без делеции 17p или мутации </w:t>
      </w:r>
      <w:r w:rsidRPr="0080011C">
        <w:rPr>
          <w:i/>
        </w:rPr>
        <w:t>TP53</w:t>
      </w:r>
      <w:r w:rsidR="004D7374">
        <w:t xml:space="preserve">, </w:t>
      </w:r>
      <w:r w:rsidR="00416F68">
        <w:t xml:space="preserve">у </w:t>
      </w:r>
      <w:r w:rsidR="004D7374">
        <w:t>которы</w:t>
      </w:r>
      <w:r w:rsidR="00416F68">
        <w:t>х</w:t>
      </w:r>
      <w:r w:rsidR="004D7374">
        <w:t xml:space="preserve"> не может </w:t>
      </w:r>
      <w:r w:rsidR="004D7374">
        <w:lastRenderedPageBreak/>
        <w:t>быть проведен режим FCR</w:t>
      </w:r>
      <w:r w:rsidR="00B3535C">
        <w:t xml:space="preserve"> </w:t>
      </w:r>
      <w:r w:rsidR="00BC258D">
        <w:t>(</w:t>
      </w:r>
      <w:r w:rsidR="00AA4B03">
        <w:t xml:space="preserve">схемы режимов лечения см. в приложении </w:t>
      </w:r>
      <w:r w:rsidR="00437AD9">
        <w:t>А3.3</w:t>
      </w:r>
      <w:r w:rsidR="00BC258D">
        <w:t>)</w:t>
      </w:r>
      <w:r w:rsidR="004D7374">
        <w:t xml:space="preserve">, </w:t>
      </w:r>
      <w:r w:rsidR="005C6207">
        <w:t xml:space="preserve">в качестве </w:t>
      </w:r>
      <w:r w:rsidR="00416F68">
        <w:t>1-й</w:t>
      </w:r>
      <w:r w:rsidR="005C6207">
        <w:t xml:space="preserve"> линии </w:t>
      </w:r>
      <w:r w:rsidR="004D7374" w:rsidRPr="0080011C">
        <w:rPr>
          <w:b/>
        </w:rPr>
        <w:t>рекоменд</w:t>
      </w:r>
      <w:r w:rsidR="009666FC" w:rsidRPr="0080011C">
        <w:rPr>
          <w:b/>
        </w:rPr>
        <w:t>уется</w:t>
      </w:r>
      <w:r w:rsidR="004D7374">
        <w:t xml:space="preserve"> проведение иммунохимиотерапии </w:t>
      </w:r>
      <w:r w:rsidR="004D7374" w:rsidRPr="0095233F">
        <w:t>по схеме R</w:t>
      </w:r>
      <w:r w:rsidR="00CA6A6D" w:rsidRPr="0095233F">
        <w:t>B</w:t>
      </w:r>
      <w:r w:rsidR="00B3535C" w:rsidRPr="0095233F">
        <w:t xml:space="preserve"> </w:t>
      </w:r>
      <w:r w:rsidR="000A2B89" w:rsidRPr="0095233F">
        <w:t>(</w:t>
      </w:r>
      <w:r w:rsidR="00900404" w:rsidRPr="005D3BBD">
        <w:t>ритуксимаб</w:t>
      </w:r>
      <w:r w:rsidR="000A2B89" w:rsidRPr="005D3BBD">
        <w:t>** – 1 цикл: 375 мг/м</w:t>
      </w:r>
      <w:r w:rsidR="000A2B89" w:rsidRPr="0080011C">
        <w:rPr>
          <w:rFonts w:eastAsia="Times New Roman"/>
          <w:vertAlign w:val="superscript"/>
          <w:lang w:eastAsia="ru-RU"/>
        </w:rPr>
        <w:t>2</w:t>
      </w:r>
      <w:r w:rsidR="000A2B89" w:rsidRPr="005D3BBD">
        <w:t xml:space="preserve"> в/в кап., день 1, последующие циклы: 500 мг/м</w:t>
      </w:r>
      <w:r w:rsidR="000A2B89" w:rsidRPr="0080011C">
        <w:rPr>
          <w:rFonts w:eastAsia="Times New Roman"/>
          <w:vertAlign w:val="superscript"/>
          <w:lang w:eastAsia="ru-RU"/>
        </w:rPr>
        <w:t>2</w:t>
      </w:r>
      <w:r w:rsidR="000A2B89" w:rsidRPr="005D3BBD">
        <w:t xml:space="preserve"> в/в кап. или </w:t>
      </w:r>
      <w:r w:rsidR="00492BEA" w:rsidRPr="005D3BBD">
        <w:t xml:space="preserve">1600 </w:t>
      </w:r>
      <w:r w:rsidR="00EA3851" w:rsidRPr="005D3BBD">
        <w:t>мг п/к</w:t>
      </w:r>
      <w:r w:rsidR="000A2B89" w:rsidRPr="005D3BBD">
        <w:t xml:space="preserve">, день 1; </w:t>
      </w:r>
      <w:r w:rsidR="00900404" w:rsidRPr="005D3BBD">
        <w:t>#бендамустин</w:t>
      </w:r>
      <w:r w:rsidR="000A2B89" w:rsidRPr="005D3BBD">
        <w:t>** – 90 мг/м</w:t>
      </w:r>
      <w:r w:rsidR="000A2B89" w:rsidRPr="0080011C">
        <w:rPr>
          <w:rFonts w:eastAsia="Times New Roman"/>
          <w:vertAlign w:val="superscript"/>
          <w:lang w:eastAsia="ru-RU"/>
        </w:rPr>
        <w:t>2</w:t>
      </w:r>
      <w:r w:rsidR="000A2B89" w:rsidRPr="005D3BBD">
        <w:t xml:space="preserve"> в/в кап., дни 1, 2) </w:t>
      </w:r>
      <w:r w:rsidR="00451C55" w:rsidRPr="005D3BBD">
        <w:t xml:space="preserve">для достижения ремиссии </w:t>
      </w:r>
      <w:r w:rsidR="00BC258D" w:rsidRPr="0095233F">
        <w:t>(</w:t>
      </w:r>
      <w:r w:rsidR="00AA4B03" w:rsidRPr="0095233F">
        <w:t xml:space="preserve">схемы режимов лечения см. в приложении </w:t>
      </w:r>
      <w:r w:rsidR="00437AD9" w:rsidRPr="0095233F">
        <w:t>А3.3</w:t>
      </w:r>
      <w:r w:rsidR="00BC258D" w:rsidRPr="0095233F">
        <w:t>)</w:t>
      </w:r>
      <w:r w:rsidR="00E97E28" w:rsidRPr="0095233F">
        <w:t xml:space="preserve"> </w:t>
      </w:r>
      <w:r w:rsidR="000B0AC3" w:rsidRPr="0095233F">
        <w:fldChar w:fldCharType="begin" w:fldLock="1"/>
      </w:r>
      <w:r w:rsidR="00BA7FFC">
        <w:instrText>ADDIN CSL_CITATION {"citationItems":[{"id":"ITEM-1","itemData":{"DOI":"10.1200/JCO.2011.39.2688","ISSN":"0732183X","abstract":"Purpose: We investigated the safety and efficacy of bendamustine and rituximab (BR) in previously untreated patients with chronic lymphocytic leukemia (CLL). Patients and Methods: In all, 117 patients, age 34 to 78 years, 46.2% of patients at Binet stage C, and 25.6% of patients age 70 years or older received BR chemoimmunotherapy for first-line treatment of CLL. Bendamustine was administered at a dose of 90 mg/m2 on days 1 and 2 combined with 375 mg/m2 rituximab on day 0 of the first course and 500 mg/m 2 on day 1 during subsequent courses for up to six courses. Results: Overall response rate was 88.0% (95% CI, 80.7% to 100.0%) with a complete response rate of 23.1% and a partial response rate of 64.9%. Ninety percent of patients with del(11q), 94.7% with trisomy 12, 37.5% with del(17p), and 89.4% with unmutated IGHV status responded to treatment. After a median observation time of 27.0 months, median event-free survival was 33.9 months, and 90.5% of patients were alive. Grade 3 or 4 severe infections occurred in 7.7% of patients. Grade 3 or 4 adverse events for neutropenia, thrombocytopenia, and anemia were documented in 19.7%, 22.2%, and 19.7% of patients, respectively. Conclusion: Chemoimmunotherapy with BR is effective and safe in patients with previously untreated CLL. © 2012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Boẗtcher","given":"Sebastian","non-dropping-particle":"","parse-names":false,"suffix":""},{"dropping-particle":"","family":"Bahlo","given":"Jasmin","non-dropping-particle":"","parse-names":false,"suffix":""},{"dropping-particle":"","family":"Schubert","given":"Jöerg","non-dropping-particle":"","parse-names":false,"suffix":""},{"dropping-particle":"","family":"Pflüger","given":"Karl H.","non-dropping-particle":"","parse-names":false,"suffix":""},{"dropping-particle":"","family":"Schott","given":"Silke","non-dropping-particle":"","parse-names":false,"suffix":""},{"dropping-particle":"","family":"Goede","given":"Valentin","non-dropping-particle":"","parse-names":false,"suffix":""},{"dropping-particle":"","family":"Isfort","given":"Susanne","non-dropping-particle":"","parse-names":false,"suffix":""},{"dropping-particle":"","family":"Tresckow","given":"Julia","non-dropping-particle":"Von","parse-names":false,"suffix":""},{"dropping-particle":"","family":"Fink","given":"Anna Maria","non-dropping-particle":"","parse-names":false,"suffix":""},{"dropping-particle":"","family":"Buḧler","given":"Andreas","non-dropping-particle":"","parse-names":false,"suffix":""},{"dropping-particle":"","family":"Winkler","given":"Dirk","non-dropping-particle":"","parse-names":false,"suffix":""},{"dropping-particle":"","family":"Kreuzer","given":"Karl Anton","non-dropping-particle":"","parse-names":false,"suffix":""},{"dropping-particle":"","family":"Staib","given":"Peter","non-dropping-particle":"","parse-names":false,"suffix":""},{"dropping-particle":"","family":"Ritgen","given":"Matthias","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Stilgenbauer","given":"Stephan","non-dropping-particle":"","parse-names":false,"suffix":""},{"dropping-particle":"","family":"Wendtner","given":"Clemens Martin","non-dropping-particle":"","parse-names":false,"suffix":""}],"container-title":"Journal of Clinical Oncology","id":"ITEM-1","issue":"26","issued":{"date-parts":[["2012","9","10"]]},"page":"3209-3216","title":"Bendamustine in combination with rituximab for previously untreated patients with chronic lymphocytic leukemia: A multicenter phase II trial of the German Chronic Lymphocytic Leukemia Study Group","type":"article-journal","volume":"30"},"uris":["http://www.mendeley.com/documents/?uuid=96e4e282-7aea-335b-b74f-247742467e9e"]},{"id":"ITEM-2","itemData":{"DOI":"10.1016/S1470-2045(16)30051-1","ISSN":"14745488","abstract":"Background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Oncology","id":"ITEM-2","issue":"7","issued":{"date-parts":[["2016","7","1"]]},"page":"928-942","publisher":"Lancet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mendeley":{"formattedCitation":"[29,30]","plainTextFormattedCitation":"[29,30]","previouslyFormattedCitation":"[29,30]"},"properties":{"noteIndex":0},"schema":"https://github.com/citation-style-language/schema/raw/master/csl-citation.json"}</w:instrText>
      </w:r>
      <w:r w:rsidR="000B0AC3" w:rsidRPr="0095233F">
        <w:fldChar w:fldCharType="separate"/>
      </w:r>
      <w:r w:rsidR="00225D7F" w:rsidRPr="00225D7F">
        <w:rPr>
          <w:noProof/>
        </w:rPr>
        <w:t>[29,30]</w:t>
      </w:r>
      <w:r w:rsidR="000B0AC3" w:rsidRPr="0095233F">
        <w:fldChar w:fldCharType="end"/>
      </w:r>
      <w:r w:rsidR="00D25605" w:rsidRPr="0095233F">
        <w:t>.</w:t>
      </w:r>
    </w:p>
    <w:p w14:paraId="125BF50D" w14:textId="77777777" w:rsidR="004D7374" w:rsidRPr="00416F68" w:rsidRDefault="004D7374" w:rsidP="0080011C">
      <w:pPr>
        <w:ind w:left="426"/>
        <w:contextualSpacing/>
        <w:rPr>
          <w:b/>
          <w:spacing w:val="-4"/>
        </w:rPr>
      </w:pPr>
      <w:r w:rsidRPr="00416F68">
        <w:rPr>
          <w:b/>
          <w:spacing w:val="-4"/>
        </w:rPr>
        <w:t xml:space="preserve">Уровень убедительности </w:t>
      </w:r>
      <w:r w:rsidR="00C20509" w:rsidRPr="00416F68">
        <w:rPr>
          <w:b/>
          <w:spacing w:val="-4"/>
        </w:rPr>
        <w:t xml:space="preserve">рекомендаций – </w:t>
      </w:r>
      <w:r w:rsidR="001E3D61" w:rsidRPr="00416F68">
        <w:rPr>
          <w:b/>
          <w:spacing w:val="-4"/>
        </w:rPr>
        <w:t>А</w:t>
      </w:r>
      <w:r w:rsidRPr="00416F68">
        <w:rPr>
          <w:b/>
          <w:spacing w:val="-4"/>
        </w:rPr>
        <w:t xml:space="preserve"> (урове</w:t>
      </w:r>
      <w:r w:rsidR="001E3D61" w:rsidRPr="00416F68">
        <w:rPr>
          <w:b/>
          <w:spacing w:val="-4"/>
        </w:rPr>
        <w:t xml:space="preserve">нь достоверности </w:t>
      </w:r>
      <w:r w:rsidR="00C20509" w:rsidRPr="00416F68">
        <w:rPr>
          <w:b/>
          <w:spacing w:val="-4"/>
        </w:rPr>
        <w:t xml:space="preserve">доказательств – </w:t>
      </w:r>
      <w:r w:rsidR="001E3D61" w:rsidRPr="00416F68">
        <w:rPr>
          <w:b/>
          <w:spacing w:val="-4"/>
        </w:rPr>
        <w:t>2</w:t>
      </w:r>
      <w:r w:rsidRPr="00416F68">
        <w:rPr>
          <w:b/>
          <w:spacing w:val="-4"/>
        </w:rPr>
        <w:t>)</w:t>
      </w:r>
      <w:r w:rsidR="00D25605" w:rsidRPr="00416F68">
        <w:rPr>
          <w:b/>
          <w:spacing w:val="-4"/>
        </w:rPr>
        <w:t>.</w:t>
      </w:r>
    </w:p>
    <w:p w14:paraId="6CD4B8CE" w14:textId="7B443FA7" w:rsidR="004D7374" w:rsidRDefault="00D25605" w:rsidP="0080011C">
      <w:pPr>
        <w:ind w:firstLine="426"/>
        <w:contextualSpacing/>
        <w:rPr>
          <w:i/>
        </w:rPr>
      </w:pPr>
      <w:r w:rsidRPr="00D25605">
        <w:rPr>
          <w:b/>
        </w:rPr>
        <w:t>Коммен</w:t>
      </w:r>
      <w:r w:rsidR="00A81638">
        <w:rPr>
          <w:b/>
        </w:rPr>
        <w:t>тарии</w:t>
      </w:r>
      <w:r w:rsidRPr="00D25605">
        <w:rPr>
          <w:b/>
        </w:rPr>
        <w:t>:</w:t>
      </w:r>
      <w:r w:rsidR="00E97E28" w:rsidRPr="00E97E28">
        <w:rPr>
          <w:b/>
        </w:rPr>
        <w:t xml:space="preserve"> </w:t>
      </w:r>
      <w:r w:rsidR="00E97E28" w:rsidRPr="00D25605">
        <w:rPr>
          <w:i/>
        </w:rPr>
        <w:t xml:space="preserve">при </w:t>
      </w:r>
      <w:r w:rsidR="004D7374" w:rsidRPr="00D25605">
        <w:rPr>
          <w:i/>
        </w:rPr>
        <w:t xml:space="preserve">невозможности проведения режима FCR альтернативным вариантом </w:t>
      </w:r>
      <w:r w:rsidR="00416F68">
        <w:rPr>
          <w:i/>
        </w:rPr>
        <w:t>1-й</w:t>
      </w:r>
      <w:r w:rsidR="004D7374" w:rsidRPr="00D25605">
        <w:rPr>
          <w:i/>
        </w:rPr>
        <w:t xml:space="preserve"> линии терапии может быть комбинация бендамустина</w:t>
      </w:r>
      <w:r w:rsidR="00122E4B">
        <w:rPr>
          <w:i/>
        </w:rPr>
        <w:t>**</w:t>
      </w:r>
      <w:r w:rsidR="004D7374" w:rsidRPr="00D25605">
        <w:rPr>
          <w:i/>
        </w:rPr>
        <w:t xml:space="preserve"> и ритуксимаба</w:t>
      </w:r>
      <w:r w:rsidR="00122E4B">
        <w:rPr>
          <w:i/>
        </w:rPr>
        <w:t>**</w:t>
      </w:r>
      <w:r w:rsidR="004D7374" w:rsidRPr="00D25605">
        <w:rPr>
          <w:i/>
        </w:rPr>
        <w:t xml:space="preserve"> (BR). В</w:t>
      </w:r>
      <w:r w:rsidR="00416F68">
        <w:rPr>
          <w:i/>
        </w:rPr>
        <w:t> </w:t>
      </w:r>
      <w:r w:rsidR="004D7374" w:rsidRPr="00D25605">
        <w:rPr>
          <w:i/>
        </w:rPr>
        <w:t>исследовании CLL10</w:t>
      </w:r>
      <w:r w:rsidR="00E97E28" w:rsidRPr="00E97E28">
        <w:rPr>
          <w:i/>
        </w:rPr>
        <w:t xml:space="preserve"> </w:t>
      </w:r>
      <w:r w:rsidR="004D7374" w:rsidRPr="00D25605">
        <w:rPr>
          <w:i/>
        </w:rPr>
        <w:t>показано, что режим BR менее токсичен по сравнению с режимом FCR, хотя и менее эффективен. Частота общего ответа в обеих группах</w:t>
      </w:r>
      <w:r w:rsidR="0080011C" w:rsidRPr="005D3BBD">
        <w:rPr>
          <w:i/>
        </w:rPr>
        <w:t xml:space="preserve"> </w:t>
      </w:r>
      <w:r w:rsidR="004D7374" w:rsidRPr="00D25605">
        <w:rPr>
          <w:i/>
        </w:rPr>
        <w:t xml:space="preserve">составила </w:t>
      </w:r>
      <w:r w:rsidR="005802F3">
        <w:rPr>
          <w:i/>
        </w:rPr>
        <w:t>95</w:t>
      </w:r>
      <w:r w:rsidR="00416F68">
        <w:rPr>
          <w:i/>
        </w:rPr>
        <w:t>–</w:t>
      </w:r>
      <w:r w:rsidR="005802F3">
        <w:rPr>
          <w:i/>
        </w:rPr>
        <w:t>96</w:t>
      </w:r>
      <w:r w:rsidR="00DD3D1E">
        <w:rPr>
          <w:i/>
        </w:rPr>
        <w:t xml:space="preserve"> %</w:t>
      </w:r>
      <w:r w:rsidR="004D7374" w:rsidRPr="00D25605">
        <w:rPr>
          <w:i/>
        </w:rPr>
        <w:t>. Медиана ВБП также оказалась больше в группе FCR (</w:t>
      </w:r>
      <w:r w:rsidR="005802F3" w:rsidRPr="00D25605">
        <w:rPr>
          <w:i/>
        </w:rPr>
        <w:t>5</w:t>
      </w:r>
      <w:r w:rsidR="005802F3">
        <w:rPr>
          <w:i/>
        </w:rPr>
        <w:t>5</w:t>
      </w:r>
      <w:r w:rsidR="004D7374" w:rsidRPr="00D25605">
        <w:rPr>
          <w:i/>
        </w:rPr>
        <w:t>,</w:t>
      </w:r>
      <w:r w:rsidR="005802F3">
        <w:rPr>
          <w:i/>
        </w:rPr>
        <w:t>2</w:t>
      </w:r>
      <w:r w:rsidR="00E97E28" w:rsidRPr="00E97E28">
        <w:rPr>
          <w:i/>
        </w:rPr>
        <w:t xml:space="preserve"> </w:t>
      </w:r>
      <w:r w:rsidR="004D7374" w:rsidRPr="00D25605">
        <w:rPr>
          <w:i/>
        </w:rPr>
        <w:t>мес</w:t>
      </w:r>
      <w:r w:rsidR="00F07AA9">
        <w:rPr>
          <w:i/>
        </w:rPr>
        <w:t>.</w:t>
      </w:r>
      <w:r w:rsidR="004D7374" w:rsidRPr="00D25605">
        <w:rPr>
          <w:i/>
        </w:rPr>
        <w:t xml:space="preserve"> против </w:t>
      </w:r>
      <w:r w:rsidR="005802F3" w:rsidRPr="00D25605">
        <w:rPr>
          <w:i/>
        </w:rPr>
        <w:t>4</w:t>
      </w:r>
      <w:r w:rsidR="005802F3">
        <w:rPr>
          <w:i/>
        </w:rPr>
        <w:t>1</w:t>
      </w:r>
      <w:r w:rsidR="004D7374" w:rsidRPr="00D25605">
        <w:rPr>
          <w:i/>
        </w:rPr>
        <w:t>,</w:t>
      </w:r>
      <w:r w:rsidR="005802F3">
        <w:rPr>
          <w:i/>
        </w:rPr>
        <w:t>7</w:t>
      </w:r>
      <w:r w:rsidR="00416F68">
        <w:rPr>
          <w:i/>
        </w:rPr>
        <w:t xml:space="preserve"> мес.</w:t>
      </w:r>
      <w:r w:rsidR="004D7374" w:rsidRPr="00D25605">
        <w:rPr>
          <w:i/>
        </w:rPr>
        <w:t xml:space="preserve">, </w:t>
      </w:r>
      <w:r w:rsidR="001F4A9B">
        <w:rPr>
          <w:i/>
        </w:rPr>
        <w:t>ОР</w:t>
      </w:r>
      <w:r w:rsidR="004D7374" w:rsidRPr="00D25605">
        <w:rPr>
          <w:i/>
        </w:rPr>
        <w:t xml:space="preserve"> 1,</w:t>
      </w:r>
      <w:r w:rsidR="005802F3">
        <w:rPr>
          <w:i/>
        </w:rPr>
        <w:t>643</w:t>
      </w:r>
      <w:r w:rsidR="004D7374" w:rsidRPr="00D25605">
        <w:rPr>
          <w:i/>
        </w:rPr>
        <w:t>, 95</w:t>
      </w:r>
      <w:r w:rsidR="00DD3D1E">
        <w:rPr>
          <w:i/>
        </w:rPr>
        <w:t xml:space="preserve"> %</w:t>
      </w:r>
      <w:r w:rsidR="004D7374" w:rsidRPr="00D25605">
        <w:rPr>
          <w:i/>
        </w:rPr>
        <w:t xml:space="preserve"> ДИ 1,</w:t>
      </w:r>
      <w:r w:rsidR="005802F3">
        <w:rPr>
          <w:i/>
        </w:rPr>
        <w:t>308</w:t>
      </w:r>
      <w:r w:rsidR="004D7374" w:rsidRPr="00D25605">
        <w:rPr>
          <w:i/>
        </w:rPr>
        <w:t>–2,</w:t>
      </w:r>
      <w:r w:rsidR="005802F3" w:rsidRPr="00D25605">
        <w:rPr>
          <w:i/>
        </w:rPr>
        <w:t>0</w:t>
      </w:r>
      <w:r w:rsidR="005802F3">
        <w:rPr>
          <w:i/>
        </w:rPr>
        <w:t>64</w:t>
      </w:r>
      <w:r w:rsidR="004D7374" w:rsidRPr="00D25605">
        <w:rPr>
          <w:i/>
        </w:rPr>
        <w:t>, p = 0,00</w:t>
      </w:r>
      <w:r w:rsidR="005802F3">
        <w:rPr>
          <w:i/>
        </w:rPr>
        <w:t>03</w:t>
      </w:r>
      <w:r w:rsidR="004D7374" w:rsidRPr="00D25605">
        <w:rPr>
          <w:i/>
        </w:rPr>
        <w:t>). Нейтропения и инфекционные осложнения 3–4-й степени тяжести по СТС значительно чаще регистрировались в группе FCR (87,7</w:t>
      </w:r>
      <w:r w:rsidR="00DD3D1E">
        <w:rPr>
          <w:i/>
        </w:rPr>
        <w:t xml:space="preserve"> %</w:t>
      </w:r>
      <w:r w:rsidR="004D7374" w:rsidRPr="00D25605">
        <w:rPr>
          <w:i/>
        </w:rPr>
        <w:t xml:space="preserve"> против 67,8</w:t>
      </w:r>
      <w:r w:rsidR="00DD3D1E">
        <w:rPr>
          <w:i/>
        </w:rPr>
        <w:t xml:space="preserve"> %</w:t>
      </w:r>
      <w:r w:rsidR="004D7374" w:rsidRPr="00D25605">
        <w:rPr>
          <w:i/>
        </w:rPr>
        <w:t>, р &lt;</w:t>
      </w:r>
      <w:r w:rsidR="00416F68">
        <w:rPr>
          <w:i/>
        </w:rPr>
        <w:t xml:space="preserve"> 0,001</w:t>
      </w:r>
      <w:r w:rsidR="004D7374" w:rsidRPr="00D25605">
        <w:rPr>
          <w:i/>
        </w:rPr>
        <w:t xml:space="preserve"> и 39,8</w:t>
      </w:r>
      <w:r w:rsidR="00DD3D1E">
        <w:rPr>
          <w:i/>
        </w:rPr>
        <w:t xml:space="preserve"> %</w:t>
      </w:r>
      <w:r w:rsidR="004D7374" w:rsidRPr="00D25605">
        <w:rPr>
          <w:i/>
        </w:rPr>
        <w:t xml:space="preserve"> против 25,4</w:t>
      </w:r>
      <w:r w:rsidR="00DD3D1E">
        <w:rPr>
          <w:i/>
        </w:rPr>
        <w:t xml:space="preserve"> %</w:t>
      </w:r>
      <w:r w:rsidR="004D7374" w:rsidRPr="00D25605">
        <w:rPr>
          <w:i/>
        </w:rPr>
        <w:t>, р = 0,001), особенно у пациентов старше 65 лет (48,4</w:t>
      </w:r>
      <w:r w:rsidR="00DD3D1E">
        <w:rPr>
          <w:i/>
        </w:rPr>
        <w:t xml:space="preserve"> %</w:t>
      </w:r>
      <w:r w:rsidR="004D7374" w:rsidRPr="00D25605">
        <w:rPr>
          <w:i/>
        </w:rPr>
        <w:t xml:space="preserve"> против 26,8</w:t>
      </w:r>
      <w:r w:rsidR="00DD3D1E">
        <w:rPr>
          <w:i/>
        </w:rPr>
        <w:t xml:space="preserve"> %</w:t>
      </w:r>
      <w:r w:rsidR="004D7374" w:rsidRPr="00D25605">
        <w:rPr>
          <w:i/>
        </w:rPr>
        <w:t xml:space="preserve">, p = 0,001). </w:t>
      </w:r>
      <w:r w:rsidR="00416F68">
        <w:rPr>
          <w:i/>
        </w:rPr>
        <w:t>По частоте</w:t>
      </w:r>
      <w:r w:rsidR="004D7374" w:rsidRPr="00D25605">
        <w:rPr>
          <w:i/>
        </w:rPr>
        <w:t xml:space="preserve"> развития анемии и тромбоцитопении, а также случаев смерти, связанной с лечением, групп</w:t>
      </w:r>
      <w:r w:rsidR="00416F68">
        <w:rPr>
          <w:i/>
        </w:rPr>
        <w:t>ы</w:t>
      </w:r>
      <w:r w:rsidR="004D7374" w:rsidRPr="00D25605">
        <w:rPr>
          <w:i/>
        </w:rPr>
        <w:t xml:space="preserve"> статистически </w:t>
      </w:r>
      <w:r w:rsidR="00416F68">
        <w:rPr>
          <w:i/>
        </w:rPr>
        <w:t>значимо</w:t>
      </w:r>
      <w:r w:rsidR="004D7374" w:rsidRPr="00D25605">
        <w:rPr>
          <w:i/>
        </w:rPr>
        <w:t xml:space="preserve"> не </w:t>
      </w:r>
      <w:r w:rsidR="00416F68">
        <w:rPr>
          <w:i/>
        </w:rPr>
        <w:t>раз</w:t>
      </w:r>
      <w:r w:rsidR="004D7374" w:rsidRPr="00D25605">
        <w:rPr>
          <w:i/>
        </w:rPr>
        <w:t>личал</w:t>
      </w:r>
      <w:r w:rsidR="00416F68">
        <w:rPr>
          <w:i/>
        </w:rPr>
        <w:t>и</w:t>
      </w:r>
      <w:r w:rsidR="004D7374" w:rsidRPr="00D25605">
        <w:rPr>
          <w:i/>
        </w:rPr>
        <w:t>сь (3,9</w:t>
      </w:r>
      <w:r w:rsidR="00DD3D1E">
        <w:rPr>
          <w:i/>
        </w:rPr>
        <w:t xml:space="preserve"> %</w:t>
      </w:r>
      <w:r w:rsidR="004D7374" w:rsidRPr="00D25605">
        <w:rPr>
          <w:i/>
        </w:rPr>
        <w:t xml:space="preserve"> против 2,1</w:t>
      </w:r>
      <w:r w:rsidR="00DD3D1E">
        <w:rPr>
          <w:i/>
        </w:rPr>
        <w:t xml:space="preserve"> %</w:t>
      </w:r>
      <w:r w:rsidR="004D7374" w:rsidRPr="00D25605">
        <w:rPr>
          <w:i/>
        </w:rPr>
        <w:t xml:space="preserve">). </w:t>
      </w:r>
      <w:r w:rsidR="006B35E5">
        <w:rPr>
          <w:i/>
        </w:rPr>
        <w:t>В</w:t>
      </w:r>
      <w:r w:rsidR="004D7374" w:rsidRPr="00D25605">
        <w:rPr>
          <w:i/>
        </w:rPr>
        <w:t xml:space="preserve"> исследовании CLL10 показано, что эффективность режимов BR и FCR у пациентов старше 65 лет </w:t>
      </w:r>
      <w:r w:rsidR="004D7374" w:rsidRPr="00CD5B95">
        <w:rPr>
          <w:i/>
        </w:rPr>
        <w:t>сопоставима</w:t>
      </w:r>
      <w:r w:rsidR="00416F68" w:rsidRPr="00CD5B95">
        <w:rPr>
          <w:i/>
        </w:rPr>
        <w:t xml:space="preserve"> </w:t>
      </w:r>
      <w:r w:rsidR="000B0AC3" w:rsidRPr="00CD5B95">
        <w:rPr>
          <w:i/>
        </w:rPr>
        <w:fldChar w:fldCharType="begin" w:fldLock="1"/>
      </w:r>
      <w:r w:rsidR="00BA7FFC">
        <w:rPr>
          <w:i/>
        </w:rPr>
        <w:instrText>ADDIN CSL_CITATION {"citationItems":[{"id":"ITEM-1","itemData":{"DOI":"10.1016/S1470-2045(16)30051-1","ISSN":"14745488","abstract":"Background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Oncology","id":"ITEM-1","issue":"7","issued":{"date-parts":[["2016","7","1"]]},"page":"928-942","publisher":"Lancet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mendeley":{"formattedCitation":"[30]","plainTextFormattedCitation":"[30]","previouslyFormattedCitation":"[30]"},"properties":{"noteIndex":0},"schema":"https://github.com/citation-style-language/schema/raw/master/csl-citation.json"}</w:instrText>
      </w:r>
      <w:r w:rsidR="000B0AC3" w:rsidRPr="00CD5B95">
        <w:rPr>
          <w:i/>
        </w:rPr>
        <w:fldChar w:fldCharType="separate"/>
      </w:r>
      <w:r w:rsidR="00225D7F" w:rsidRPr="00225D7F">
        <w:rPr>
          <w:noProof/>
        </w:rPr>
        <w:t>[30]</w:t>
      </w:r>
      <w:r w:rsidR="000B0AC3" w:rsidRPr="00CD5B95">
        <w:rPr>
          <w:i/>
        </w:rPr>
        <w:fldChar w:fldCharType="end"/>
      </w:r>
      <w:r w:rsidR="00416F68" w:rsidRPr="00CD5B95">
        <w:rPr>
          <w:i/>
        </w:rPr>
        <w:t>.</w:t>
      </w:r>
      <w:r w:rsidR="00416F68">
        <w:rPr>
          <w:i/>
        </w:rPr>
        <w:t xml:space="preserve"> В </w:t>
      </w:r>
      <w:r w:rsidR="004D7374" w:rsidRPr="00D25605">
        <w:rPr>
          <w:i/>
        </w:rPr>
        <w:t xml:space="preserve">многоцентровом российском исследовании показано, что режим BR разумно безопасен и высокоэффективен в терапии </w:t>
      </w:r>
      <w:r w:rsidR="00416F68">
        <w:rPr>
          <w:i/>
        </w:rPr>
        <w:t>1-й</w:t>
      </w:r>
      <w:r w:rsidR="004D7374" w:rsidRPr="00D25605">
        <w:rPr>
          <w:i/>
        </w:rPr>
        <w:t xml:space="preserve"> линии у пациентов с ХЛЛ при назначении </w:t>
      </w:r>
      <w:r w:rsidR="00900404" w:rsidRPr="00900404">
        <w:rPr>
          <w:i/>
        </w:rPr>
        <w:t>#</w:t>
      </w:r>
      <w:r w:rsidR="004D7374" w:rsidRPr="00D25605">
        <w:rPr>
          <w:i/>
        </w:rPr>
        <w:t>бендамустина</w:t>
      </w:r>
      <w:r w:rsidR="005163D3">
        <w:rPr>
          <w:i/>
        </w:rPr>
        <w:t>**</w:t>
      </w:r>
      <w:r w:rsidR="004D7374" w:rsidRPr="00D25605">
        <w:rPr>
          <w:i/>
        </w:rPr>
        <w:t xml:space="preserve"> </w:t>
      </w:r>
      <w:r w:rsidR="004D7374" w:rsidRPr="00C7670B">
        <w:rPr>
          <w:i/>
        </w:rPr>
        <w:t>в дозе 90 мг/м</w:t>
      </w:r>
      <w:r w:rsidR="004D7374" w:rsidRPr="00C7670B">
        <w:rPr>
          <w:i/>
          <w:vertAlign w:val="superscript"/>
        </w:rPr>
        <w:t>2</w:t>
      </w:r>
      <w:r w:rsidR="004D7374" w:rsidRPr="00D25605">
        <w:rPr>
          <w:i/>
        </w:rPr>
        <w:t xml:space="preserve"> </w:t>
      </w:r>
      <w:r w:rsidR="00416F68">
        <w:rPr>
          <w:i/>
        </w:rPr>
        <w:t>в</w:t>
      </w:r>
      <w:r w:rsidR="004D7374" w:rsidRPr="00D25605">
        <w:rPr>
          <w:i/>
        </w:rPr>
        <w:t xml:space="preserve"> комбинации</w:t>
      </w:r>
      <w:r w:rsidR="00416F68">
        <w:rPr>
          <w:i/>
        </w:rPr>
        <w:t xml:space="preserve"> с</w:t>
      </w:r>
      <w:r w:rsidR="004D7374" w:rsidRPr="00D25605">
        <w:rPr>
          <w:i/>
        </w:rPr>
        <w:t xml:space="preserve"> ритуксимабом</w:t>
      </w:r>
      <w:r w:rsidR="005163D3">
        <w:rPr>
          <w:i/>
        </w:rPr>
        <w:t>**</w:t>
      </w:r>
      <w:r w:rsidR="004D7374" w:rsidRPr="00D25605">
        <w:rPr>
          <w:i/>
        </w:rPr>
        <w:t xml:space="preserve"> в дозе 375 мг/м</w:t>
      </w:r>
      <w:r w:rsidR="004D7374" w:rsidRPr="00D25605">
        <w:rPr>
          <w:i/>
          <w:vertAlign w:val="superscript"/>
        </w:rPr>
        <w:t>2</w:t>
      </w:r>
      <w:r w:rsidR="004D7374" w:rsidRPr="00D25605">
        <w:rPr>
          <w:i/>
        </w:rPr>
        <w:t xml:space="preserve"> в 1</w:t>
      </w:r>
      <w:r w:rsidR="00416F68">
        <w:rPr>
          <w:i/>
        </w:rPr>
        <w:t>-м</w:t>
      </w:r>
      <w:r w:rsidR="004D7374" w:rsidRPr="00D25605">
        <w:rPr>
          <w:i/>
        </w:rPr>
        <w:t xml:space="preserve"> цикле и 500 мг/м</w:t>
      </w:r>
      <w:r w:rsidR="004D7374" w:rsidRPr="00D25605">
        <w:rPr>
          <w:i/>
          <w:vertAlign w:val="superscript"/>
        </w:rPr>
        <w:t>2</w:t>
      </w:r>
      <w:r w:rsidR="004D7374" w:rsidRPr="00D25605">
        <w:rPr>
          <w:i/>
        </w:rPr>
        <w:t xml:space="preserve"> в</w:t>
      </w:r>
      <w:r w:rsidR="00416F68">
        <w:rPr>
          <w:i/>
        </w:rPr>
        <w:t>о 2–6-м циклах</w:t>
      </w:r>
      <w:r w:rsidR="004D7374" w:rsidRPr="00D25605">
        <w:rPr>
          <w:i/>
        </w:rPr>
        <w:t>.</w:t>
      </w:r>
    </w:p>
    <w:p w14:paraId="4DD82134" w14:textId="18A9BE67" w:rsidR="00F36C1B" w:rsidRDefault="00F36C1B" w:rsidP="00D61785">
      <w:pPr>
        <w:pStyle w:val="a4"/>
        <w:numPr>
          <w:ilvl w:val="0"/>
          <w:numId w:val="50"/>
        </w:numPr>
        <w:spacing w:before="0"/>
      </w:pPr>
      <w:r w:rsidRPr="00F36C1B">
        <w:t xml:space="preserve">Пациентам с верифицированным ХЛЛ/ЛМЛ моложе 65–70 лет без значимой коморбидности без мутаций генов </w:t>
      </w:r>
      <w:r w:rsidRPr="005D3BBD">
        <w:rPr>
          <w:i/>
        </w:rPr>
        <w:t>IGHV</w:t>
      </w:r>
      <w:r w:rsidRPr="00F36C1B">
        <w:t xml:space="preserve"> при наличии возможности в качестве одной из опций 1-й линии терапии может быть </w:t>
      </w:r>
      <w:r w:rsidRPr="005D3BBD">
        <w:rPr>
          <w:b/>
        </w:rPr>
        <w:t>рекомендована</w:t>
      </w:r>
      <w:r w:rsidRPr="00F36C1B">
        <w:t xml:space="preserve"> для достижения ремиссии терапия акалабрутинибом в монорежиме</w:t>
      </w:r>
      <w:r w:rsidR="007C1EA1">
        <w:t xml:space="preserve"> 100 мг</w:t>
      </w:r>
      <w:r w:rsidRPr="00F36C1B">
        <w:t xml:space="preserve"> </w:t>
      </w:r>
      <w:r w:rsidR="007C1EA1">
        <w:t>(</w:t>
      </w:r>
      <w:r w:rsidRPr="00F36C1B">
        <w:t>1 капсул</w:t>
      </w:r>
      <w:r w:rsidR="007C1EA1">
        <w:t>а)</w:t>
      </w:r>
      <w:r w:rsidRPr="00F36C1B">
        <w:t xml:space="preserve"> 2 раза в день до прогрессирования или </w:t>
      </w:r>
      <w:r>
        <w:t>р</w:t>
      </w:r>
      <w:r w:rsidRPr="00F36C1B">
        <w:t xml:space="preserve">азвития непереносимой токсичности или в комбинации с </w:t>
      </w:r>
      <w:r w:rsidR="006C2557" w:rsidRPr="006C2557">
        <w:t>#</w:t>
      </w:r>
      <w:r>
        <w:t>обинутузумабом</w:t>
      </w:r>
      <w:r w:rsidR="00716BBE" w:rsidRPr="005D3BBD">
        <w:t>**</w:t>
      </w:r>
      <w:r w:rsidR="00CA4B94">
        <w:t xml:space="preserve"> (</w:t>
      </w:r>
      <w:r w:rsidR="00CA4B94" w:rsidRPr="00CA4B94">
        <w:t>обинутузумаб** 1000 мг в/в, день 1 (100 мг в течение 4 часов), 2 (900 мг), 8, 15 (цикл 1), день 1 (циклы 2–6)</w:t>
      </w:r>
      <w:r>
        <w:t xml:space="preserve"> </w:t>
      </w:r>
      <w:r w:rsidRPr="00F36C1B">
        <w:t>(схемы режимов лечения см. в приложении А3.3)</w:t>
      </w:r>
      <w:r w:rsidR="00362BA7" w:rsidRPr="007C1EA1">
        <w:t xml:space="preserve"> </w:t>
      </w:r>
      <w:r w:rsidR="00362BA7">
        <w:fldChar w:fldCharType="begin" w:fldLock="1"/>
      </w:r>
      <w:r w:rsidR="00BA7FFC">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[31]","plainTextFormattedCitation":"[31]","previouslyFormattedCitation":"[31]"},"properties":{"noteIndex":0},"schema":"https://github.com/citation-style-language/schema/raw/master/csl-citation.json"}</w:instrText>
      </w:r>
      <w:r w:rsidR="00362BA7">
        <w:fldChar w:fldCharType="separate"/>
      </w:r>
      <w:r w:rsidR="00225D7F" w:rsidRPr="00225D7F">
        <w:rPr>
          <w:noProof/>
        </w:rPr>
        <w:t>[31]</w:t>
      </w:r>
      <w:r w:rsidR="00362BA7">
        <w:fldChar w:fldCharType="end"/>
      </w:r>
      <w:r w:rsidRPr="00F36C1B">
        <w:t>.</w:t>
      </w:r>
    </w:p>
    <w:p w14:paraId="397D7BFB" w14:textId="1ADA34BF" w:rsidR="00067D08" w:rsidRPr="007C1EA1" w:rsidRDefault="00067D08" w:rsidP="0080011C">
      <w:pPr>
        <w:ind w:left="426"/>
        <w:contextualSpacing/>
        <w:rPr>
          <w:b/>
          <w:spacing w:val="-4"/>
        </w:rPr>
      </w:pPr>
      <w:r w:rsidRPr="007C1EA1">
        <w:rPr>
          <w:b/>
          <w:spacing w:val="-4"/>
        </w:rPr>
        <w:t>Уровень убедительности рекомендаций – A (уровень достоверности доказательств – 2).</w:t>
      </w:r>
    </w:p>
    <w:p w14:paraId="37C2A2CF" w14:textId="3DDC085B" w:rsidR="003010EA" w:rsidRPr="009D6AF4" w:rsidRDefault="003010EA" w:rsidP="00D61785">
      <w:pPr>
        <w:pStyle w:val="a4"/>
        <w:numPr>
          <w:ilvl w:val="0"/>
          <w:numId w:val="50"/>
        </w:numPr>
        <w:spacing w:before="0"/>
      </w:pPr>
      <w:r w:rsidRPr="006B609E">
        <w:t>Пациентам с верифицированным ХЛЛ/ЛМЛ моложе 65</w:t>
      </w:r>
      <w:r w:rsidR="00416F68">
        <w:t>–</w:t>
      </w:r>
      <w:r w:rsidRPr="006B609E">
        <w:t xml:space="preserve">70 лет без значимой </w:t>
      </w:r>
      <w:r w:rsidRPr="005A463A">
        <w:t>коморбидности</w:t>
      </w:r>
      <w:r w:rsidRPr="006B609E">
        <w:t xml:space="preserve"> </w:t>
      </w:r>
      <w:r w:rsidR="00FB441E" w:rsidRPr="006B609E">
        <w:t>без мутаций генов</w:t>
      </w:r>
      <w:r w:rsidR="00416F68" w:rsidRPr="00397360">
        <w:t xml:space="preserve"> </w:t>
      </w:r>
      <w:r w:rsidR="00416F68" w:rsidRPr="0080011C">
        <w:rPr>
          <w:i/>
          <w:lang w:val="en-US"/>
        </w:rPr>
        <w:t>IGHV</w:t>
      </w:r>
      <w:r w:rsidRPr="006B609E">
        <w:t xml:space="preserve"> </w:t>
      </w:r>
      <w:r w:rsidR="00FB441E" w:rsidRPr="006B609E">
        <w:t xml:space="preserve">при наличии возможности </w:t>
      </w:r>
      <w:r w:rsidRPr="006B609E">
        <w:t>в качестве</w:t>
      </w:r>
      <w:r w:rsidR="00FB441E" w:rsidRPr="006B609E">
        <w:t xml:space="preserve"> одной из </w:t>
      </w:r>
      <w:r w:rsidR="00FB441E" w:rsidRPr="006B609E">
        <w:lastRenderedPageBreak/>
        <w:t>опций</w:t>
      </w:r>
      <w:r w:rsidRPr="006B609E">
        <w:t xml:space="preserve"> </w:t>
      </w:r>
      <w:r w:rsidR="00416F68">
        <w:t>1-й</w:t>
      </w:r>
      <w:r w:rsidRPr="006B609E">
        <w:t xml:space="preserve"> линии</w:t>
      </w:r>
      <w:r w:rsidR="00FB441E" w:rsidRPr="006B609E">
        <w:t xml:space="preserve"> терапии </w:t>
      </w:r>
      <w:r w:rsidR="00FB441E" w:rsidRPr="00136052">
        <w:t>может быть</w:t>
      </w:r>
      <w:r w:rsidR="00B3535C">
        <w:t xml:space="preserve"> </w:t>
      </w:r>
      <w:r w:rsidRPr="0080011C">
        <w:rPr>
          <w:b/>
        </w:rPr>
        <w:t>рекоменд</w:t>
      </w:r>
      <w:r w:rsidR="00FB441E" w:rsidRPr="0080011C">
        <w:rPr>
          <w:b/>
        </w:rPr>
        <w:t>ована</w:t>
      </w:r>
      <w:r w:rsidR="00B3535C" w:rsidRPr="0080011C">
        <w:rPr>
          <w:b/>
        </w:rPr>
        <w:t xml:space="preserve"> </w:t>
      </w:r>
      <w:r w:rsidR="00451C55" w:rsidRPr="00B33976">
        <w:t xml:space="preserve">для достижения ремиссии </w:t>
      </w:r>
      <w:r w:rsidR="00FB441E" w:rsidRPr="006B609E">
        <w:t>терапия ибрутинибом</w:t>
      </w:r>
      <w:r w:rsidR="00213502" w:rsidRPr="006B609E">
        <w:t>**</w:t>
      </w:r>
      <w:r w:rsidR="004B19FE" w:rsidRPr="006B609E">
        <w:t xml:space="preserve"> в монорежиме </w:t>
      </w:r>
      <w:r w:rsidR="00CE0696">
        <w:t xml:space="preserve">в дозе </w:t>
      </w:r>
      <w:r w:rsidR="00CE0696" w:rsidRPr="009600FA">
        <w:t>420 мг/сут (</w:t>
      </w:r>
      <w:r w:rsidR="00CE0696">
        <w:t>3</w:t>
      </w:r>
      <w:r w:rsidR="00CE0696" w:rsidRPr="009600FA">
        <w:t xml:space="preserve"> капсулы) внутрь 1 раз в день до прогрессирования или </w:t>
      </w:r>
      <w:r w:rsidR="00CE0696">
        <w:t xml:space="preserve">развития </w:t>
      </w:r>
      <w:r w:rsidR="00CE0696" w:rsidRPr="009600FA">
        <w:t>непереносимой токсичности</w:t>
      </w:r>
      <w:r w:rsidR="00CE0696" w:rsidRPr="006B609E">
        <w:t xml:space="preserve"> </w:t>
      </w:r>
      <w:r w:rsidR="004B19FE" w:rsidRPr="006B609E">
        <w:t>или в комбинации с ритуксимабом</w:t>
      </w:r>
      <w:r w:rsidR="00213502" w:rsidRPr="006B609E">
        <w:t>**</w:t>
      </w:r>
      <w:r w:rsidR="00CE0696">
        <w:t xml:space="preserve"> (</w:t>
      </w:r>
      <w:r w:rsidR="00900404" w:rsidRPr="009D6AF4">
        <w:t>ибрутиниб</w:t>
      </w:r>
      <w:r w:rsidR="00CE0696" w:rsidRPr="009D6AF4">
        <w:t xml:space="preserve">** – 420 мг/сут (3 капсулы) внутрь 1 раз в день, ежедневно; </w:t>
      </w:r>
      <w:r w:rsidR="00900404" w:rsidRPr="009D6AF4">
        <w:t>#</w:t>
      </w:r>
      <w:r w:rsidR="00900404" w:rsidRPr="005D3BBD">
        <w:t>ритуксимаб</w:t>
      </w:r>
      <w:r w:rsidR="00CE0696" w:rsidRPr="005D3BBD">
        <w:t>** – 50 мг/м</w:t>
      </w:r>
      <w:r w:rsidR="00CE0696" w:rsidRPr="0080011C">
        <w:rPr>
          <w:rFonts w:eastAsia="Times New Roman"/>
          <w:vertAlign w:val="superscript"/>
          <w:lang w:eastAsia="ru-RU"/>
        </w:rPr>
        <w:t>2</w:t>
      </w:r>
      <w:r w:rsidR="00CE0696" w:rsidRPr="005D3BBD">
        <w:t xml:space="preserve"> в/в кап., день 1 цикла 2; 375 мг/м</w:t>
      </w:r>
      <w:r w:rsidR="00CE0696" w:rsidRPr="0080011C">
        <w:rPr>
          <w:rFonts w:eastAsia="Times New Roman"/>
          <w:vertAlign w:val="superscript"/>
          <w:lang w:eastAsia="ru-RU"/>
        </w:rPr>
        <w:t>2</w:t>
      </w:r>
      <w:r w:rsidR="00CE0696" w:rsidRPr="005D3BBD">
        <w:t xml:space="preserve"> в/в кап., день 2 цикла 2; 500 мг/м</w:t>
      </w:r>
      <w:r w:rsidR="00CE0696" w:rsidRPr="0080011C">
        <w:rPr>
          <w:rFonts w:eastAsia="Times New Roman"/>
          <w:vertAlign w:val="superscript"/>
          <w:lang w:eastAsia="ru-RU"/>
        </w:rPr>
        <w:t>2</w:t>
      </w:r>
      <w:r w:rsidR="00CE0696" w:rsidRPr="005D3BBD">
        <w:t xml:space="preserve"> в/в кап. или </w:t>
      </w:r>
      <w:r w:rsidR="00492BEA" w:rsidRPr="005D3BBD">
        <w:t xml:space="preserve">1600 </w:t>
      </w:r>
      <w:r w:rsidR="00EA3851" w:rsidRPr="005D3BBD">
        <w:t>мг п/к</w:t>
      </w:r>
      <w:r w:rsidR="00CE0696" w:rsidRPr="005D3BBD">
        <w:t>, день 1 циклов 3–7</w:t>
      </w:r>
      <w:r w:rsidR="00237E10" w:rsidRPr="005D3BBD">
        <w:t>, л</w:t>
      </w:r>
      <w:r w:rsidR="00CE0696" w:rsidRPr="005D3BBD">
        <w:t>ечение возобновляется на 29-й день, всего 7 циклов</w:t>
      </w:r>
      <w:r w:rsidR="00237E10" w:rsidRPr="005D3BBD">
        <w:t>)</w:t>
      </w:r>
      <w:r w:rsidR="00416F68" w:rsidRPr="009D6AF4">
        <w:t xml:space="preserve"> </w:t>
      </w:r>
      <w:r w:rsidRPr="009D6AF4">
        <w:t>(</w:t>
      </w:r>
      <w:r w:rsidR="00AA4B03" w:rsidRPr="009D6AF4">
        <w:t xml:space="preserve">схемы режимов лечения см. в приложении </w:t>
      </w:r>
      <w:r w:rsidR="00437AD9" w:rsidRPr="009D6AF4">
        <w:t>А3.3</w:t>
      </w:r>
      <w:r w:rsidRPr="009D6AF4">
        <w:t>)</w:t>
      </w:r>
      <w:r w:rsidR="00E97E28" w:rsidRPr="009D6AF4">
        <w:t xml:space="preserve"> </w:t>
      </w:r>
      <w:r w:rsidR="000B0AC3" w:rsidRPr="009D6AF4">
        <w:fldChar w:fldCharType="begin" w:fldLock="1"/>
      </w:r>
      <w:r w:rsidR="00BA7FFC">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","type":"paper-conference"},"uris":["http://www.mendeley.com/documents/?uuid=343a64bb-afbf-49db-a70a-bc5830d354d4"]},{"id":"ITEM-2","itemData":{"DOI":"10.1182/blood-2018-10-879429","ISSN":"1528-0020","PMID":"30530801","abstract":"Ibrutinib, an oral covalent inhibitor of Bruton's tyrosine kinase, is an effective therapy for patients with chronic lymphocytic leukemia (CLL). To determine whether rituximab provides added benefit to ibrutinib, we conducted a randomized single-center trial of ibrutinib vs ibrutinib plus rituximab. Patients with CLL requiring therapy were randomized to receive 28-day cycles of once-daily ibrutinib 420 mg, either as a single agent (n = 104), or together with rituximab (375 mg/m2; n = 104), given weekly during cycle 1, then once per cycle until cycle 6. The primary end point was progression-free survival (PFS) in the intention-to-treat population. We enrolled 208 patients with CLL, 181 with relapsed CLL and 27 treatment-naive patients with high-risk disease (17p deletion or TP53 mutation). After a median follow-up of 36 months, the Kaplan-Meier estimates of PFS were 86% (95% confidence interval [CI], 76.6-91.9) for patients receiving ibrutinib, and 86.9% (95% CI, 77.3-92.6) for patients receiving ibrutinib plus rituximab. Similarly, response rates were the same in both arms (overall response rate, 92%). However, time to normalization of peripheral blood lymphocyte counts and time to complete remission were shorter, and residual disease levels in the bone marrow were lower, in patients receiving ibrutinib plus rituximab. We conclude that the addition of rituximab to ibrutinib in relapsed and treatment-naive high-risk patients with CLL failed to show improvement in PFS. However, patients treated with ibrutinib plus rituximab reached their remissions faster and achieved significantly lower residual disease levels. Given these results, ibrutinib as single-agent therapy remains current standard-of-care treatment in CLL. This trial was registered at www.clinicaltrials.gov as #NCT02007044.","author":[{"dropping-particle":"","family":"Burger","given":"Jan A","non-dropping-particle":"","parse-names":false,"suffix":""},{"dropping-particle":"","family":"Sivina","given":"Mariela","non-dropping-particle":"","parse-names":false,"suffix":""},{"dropping-particle":"","family":"Jain","given":"Nitin","non-dropping-particle":"","parse-names":false,"suffix":""},{"dropping-particle":"","family":"Kim","given":"Ekaterina","non-dropping-particle":"","parse-names":false,"suffix":""},{"dropping-particle":"","family":"Kadia","given":"Tapan","non-dropping-particle":"","parse-names":false,"suffix":""},{"dropping-particle":"","family":"Estrov","given":"Zeev","non-dropping-particle":"","parse-names":false,"suffix":""},{"dropping-particle":"","family":"Nogueras-Gonzalez","given":"Graciela M","non-dropping-particle":"","parse-names":false,"suffix":""},{"dropping-particle":"","family":"Huang","given":"Xuelin","non-dropping-particle":"","parse-names":false,"suffix":""},{"dropping-particle":"","family":"Jorgensen","given":"Jeffrey","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Ohanian","given":"Maro","non-dropping-particle":"","parse-names":false,"suffix":""},{"dropping-particle":"","family":"Andreeff","given":"Michael","non-dropping-particle":"","parse-names":false,"suffix":""},{"dropping-particle":"","family":"Mathew","given":"Thomas","non-dropping-particle":"","parse-names":false,"suffix":""},{"dropping-particle":"","family":"Thompson","given":"Philip","non-dropping-particle":"","parse-names":false,"suffix":""},{"dropping-particle":"","family":"Kantarjian","given":"Hagop","non-dropping-particle":"","parse-names":false,"suffix":""},{"dropping-particle":"","family":"O'Brien","given":"Susan","non-dropping-particle":"","parse-names":false,"suffix":""},{"dropping-particle":"","family":"Wierda","given":"William G","non-dropping-particle":"","parse-names":false,"suffix":""},{"dropping-particle":"","family":"Ferrajoli","given":"Alessandra","non-dropping-particle":"","parse-names":false,"suffix":""},{"dropping-particle":"","family":"Keating","given":"Michael J","non-dropping-particle":"","parse-names":false,"suffix":""}],"container-title":"Blood","id":"ITEM-2","issue":"10","issued":{"date-parts":[["2019","3","7"]]},"page":"1011-1019","title":"Randomized trial of ibrutinib vs ibrutinib plus rituximab in patients with chronic lymphocytic leukemia.","type":"article-journal","volume":"133"},"uris":["http://www.mendeley.com/documents/?uuid=8a1a5209-94b7-3891-b347-681b646aa118"]}],"mendeley":{"formattedCitation":"[32,33]","plainTextFormattedCitation":"[32,33]","previouslyFormattedCitation":"[32,33]"},"properties":{"noteIndex":0},"schema":"https://github.com/citation-style-language/schema/raw/master/csl-citation.json"}</w:instrText>
      </w:r>
      <w:r w:rsidR="000B0AC3" w:rsidRPr="009D6AF4">
        <w:fldChar w:fldCharType="separate"/>
      </w:r>
      <w:r w:rsidR="00225D7F" w:rsidRPr="00225D7F">
        <w:rPr>
          <w:noProof/>
        </w:rPr>
        <w:t>[32,33]</w:t>
      </w:r>
      <w:r w:rsidR="000B0AC3" w:rsidRPr="009D6AF4">
        <w:fldChar w:fldCharType="end"/>
      </w:r>
      <w:r w:rsidRPr="009D6AF4">
        <w:t>.</w:t>
      </w:r>
    </w:p>
    <w:p w14:paraId="40ECAF4C" w14:textId="77777777" w:rsidR="003010EA" w:rsidRPr="00416F68" w:rsidRDefault="003010EA" w:rsidP="0080011C">
      <w:pPr>
        <w:ind w:left="426"/>
        <w:contextualSpacing/>
        <w:rPr>
          <w:b/>
          <w:spacing w:val="-4"/>
        </w:rPr>
      </w:pPr>
      <w:r w:rsidRPr="009D6AF4">
        <w:rPr>
          <w:b/>
          <w:spacing w:val="-4"/>
        </w:rPr>
        <w:t xml:space="preserve">Уровень убедительности </w:t>
      </w:r>
      <w:r w:rsidR="00C20509" w:rsidRPr="009D6AF4">
        <w:rPr>
          <w:b/>
          <w:spacing w:val="-4"/>
        </w:rPr>
        <w:t xml:space="preserve">рекомендаций – </w:t>
      </w:r>
      <w:r w:rsidR="0071737F" w:rsidRPr="009D6AF4">
        <w:rPr>
          <w:b/>
          <w:spacing w:val="-4"/>
          <w:lang w:val="en-US"/>
        </w:rPr>
        <w:t>A</w:t>
      </w:r>
      <w:r w:rsidRPr="009D6AF4">
        <w:rPr>
          <w:b/>
          <w:spacing w:val="-4"/>
        </w:rPr>
        <w:t xml:space="preserve"> (уровень достоверности </w:t>
      </w:r>
      <w:r w:rsidR="00C20509" w:rsidRPr="009D6AF4">
        <w:rPr>
          <w:b/>
          <w:spacing w:val="-4"/>
        </w:rPr>
        <w:t>доказательств</w:t>
      </w:r>
      <w:r w:rsidR="00C20509" w:rsidRPr="00416F68">
        <w:rPr>
          <w:b/>
          <w:spacing w:val="-4"/>
        </w:rPr>
        <w:t xml:space="preserve"> – </w:t>
      </w:r>
      <w:r w:rsidRPr="00416F68">
        <w:rPr>
          <w:b/>
          <w:spacing w:val="-4"/>
        </w:rPr>
        <w:t>2).</w:t>
      </w:r>
    </w:p>
    <w:p w14:paraId="530DD71E" w14:textId="150C7C45" w:rsidR="003010EA" w:rsidRPr="009D6AF4" w:rsidRDefault="003010EA" w:rsidP="0080011C">
      <w:pPr>
        <w:ind w:firstLine="426"/>
        <w:contextualSpacing/>
        <w:rPr>
          <w:i/>
        </w:rPr>
      </w:pPr>
      <w:r w:rsidRPr="006B609E">
        <w:rPr>
          <w:b/>
        </w:rPr>
        <w:t>Комментарии:</w:t>
      </w:r>
      <w:r w:rsidR="00646FFF">
        <w:rPr>
          <w:b/>
        </w:rPr>
        <w:t xml:space="preserve"> </w:t>
      </w:r>
      <w:r w:rsidR="00E97E28" w:rsidRPr="006B609E">
        <w:rPr>
          <w:i/>
        </w:rPr>
        <w:t xml:space="preserve">в </w:t>
      </w:r>
      <w:r w:rsidR="00FB441E" w:rsidRPr="006B609E">
        <w:rPr>
          <w:i/>
        </w:rPr>
        <w:t xml:space="preserve">исследовании E1912 пациенты моложе 70 лет без делеции 17p рандомизировались на 2 </w:t>
      </w:r>
      <w:r w:rsidR="00416F68">
        <w:rPr>
          <w:i/>
        </w:rPr>
        <w:t>группы</w:t>
      </w:r>
      <w:r w:rsidR="00FB441E" w:rsidRPr="006B609E">
        <w:rPr>
          <w:i/>
        </w:rPr>
        <w:t xml:space="preserve">: </w:t>
      </w:r>
      <w:r w:rsidR="00416F68">
        <w:rPr>
          <w:i/>
        </w:rPr>
        <w:t xml:space="preserve">получавшие </w:t>
      </w:r>
      <w:r w:rsidR="00FB441E" w:rsidRPr="006B609E">
        <w:rPr>
          <w:i/>
        </w:rPr>
        <w:t>ибрутиниб</w:t>
      </w:r>
      <w:r w:rsidR="00213502" w:rsidRPr="006B609E">
        <w:rPr>
          <w:i/>
        </w:rPr>
        <w:t>**</w:t>
      </w:r>
      <w:r w:rsidR="00FB441E" w:rsidRPr="006B609E">
        <w:rPr>
          <w:i/>
        </w:rPr>
        <w:t xml:space="preserve"> в комбинации с ритуксимабом</w:t>
      </w:r>
      <w:r w:rsidR="00213502" w:rsidRPr="006B609E">
        <w:rPr>
          <w:i/>
        </w:rPr>
        <w:t>**</w:t>
      </w:r>
      <w:r w:rsidR="00FB441E" w:rsidRPr="006B609E">
        <w:rPr>
          <w:i/>
        </w:rPr>
        <w:t xml:space="preserve"> и </w:t>
      </w:r>
      <w:r w:rsidR="00416F68">
        <w:rPr>
          <w:i/>
        </w:rPr>
        <w:t xml:space="preserve">проходившие терапию в </w:t>
      </w:r>
      <w:r w:rsidR="00FB441E" w:rsidRPr="006B609E">
        <w:rPr>
          <w:i/>
        </w:rPr>
        <w:t>режим</w:t>
      </w:r>
      <w:r w:rsidR="00416F68">
        <w:rPr>
          <w:i/>
        </w:rPr>
        <w:t>е</w:t>
      </w:r>
      <w:r w:rsidR="00FB441E" w:rsidRPr="006B609E">
        <w:rPr>
          <w:i/>
        </w:rPr>
        <w:t xml:space="preserve"> FCR.</w:t>
      </w:r>
      <w:r w:rsidR="00DD3D1E">
        <w:rPr>
          <w:i/>
        </w:rPr>
        <w:t xml:space="preserve"> </w:t>
      </w:r>
      <w:r w:rsidR="00FB441E" w:rsidRPr="006B609E">
        <w:rPr>
          <w:i/>
        </w:rPr>
        <w:t>В исследование</w:t>
      </w:r>
      <w:r w:rsidR="00416F68">
        <w:rPr>
          <w:i/>
        </w:rPr>
        <w:t xml:space="preserve"> было</w:t>
      </w:r>
      <w:r w:rsidR="00FB441E" w:rsidRPr="006B609E">
        <w:rPr>
          <w:i/>
        </w:rPr>
        <w:t xml:space="preserve"> включено 529 </w:t>
      </w:r>
      <w:r w:rsidR="00573998">
        <w:rPr>
          <w:i/>
        </w:rPr>
        <w:t>пациентов</w:t>
      </w:r>
      <w:r w:rsidR="00FB441E" w:rsidRPr="006B609E">
        <w:rPr>
          <w:i/>
        </w:rPr>
        <w:t>. Комбинация ибрутиниба</w:t>
      </w:r>
      <w:r w:rsidR="00213502" w:rsidRPr="006B609E">
        <w:rPr>
          <w:i/>
        </w:rPr>
        <w:t>**</w:t>
      </w:r>
      <w:r w:rsidR="00FB441E" w:rsidRPr="006B609E">
        <w:rPr>
          <w:i/>
        </w:rPr>
        <w:t xml:space="preserve"> и ритуксимаба</w:t>
      </w:r>
      <w:r w:rsidR="00213502" w:rsidRPr="006B609E">
        <w:rPr>
          <w:i/>
        </w:rPr>
        <w:t>**</w:t>
      </w:r>
      <w:r w:rsidR="00FB441E" w:rsidRPr="006B609E">
        <w:rPr>
          <w:i/>
        </w:rPr>
        <w:t xml:space="preserve"> значительно превзошла FCR по эффективности и безопасности. Наблюдалось значительное улучшение как </w:t>
      </w:r>
      <w:r w:rsidR="00416F68">
        <w:rPr>
          <w:i/>
        </w:rPr>
        <w:t>ВБП</w:t>
      </w:r>
      <w:r w:rsidR="00FB441E" w:rsidRPr="006B609E">
        <w:rPr>
          <w:i/>
        </w:rPr>
        <w:t xml:space="preserve"> (ОР 0,352; 95</w:t>
      </w:r>
      <w:r w:rsidR="00DD3D1E">
        <w:rPr>
          <w:i/>
        </w:rPr>
        <w:t xml:space="preserve"> %</w:t>
      </w:r>
      <w:r w:rsidR="00355F0B">
        <w:rPr>
          <w:i/>
        </w:rPr>
        <w:t xml:space="preserve"> ДИ</w:t>
      </w:r>
      <w:r w:rsidR="00FB441E" w:rsidRPr="006B609E">
        <w:rPr>
          <w:i/>
        </w:rPr>
        <w:t xml:space="preserve"> 0,223–0,558; p &lt; 0,0001), так и </w:t>
      </w:r>
      <w:r w:rsidR="00AA4B03">
        <w:rPr>
          <w:i/>
        </w:rPr>
        <w:t>ОВ</w:t>
      </w:r>
      <w:r w:rsidR="00FB441E" w:rsidRPr="006B609E">
        <w:rPr>
          <w:i/>
        </w:rPr>
        <w:t xml:space="preserve"> (ОР 0,168; 95</w:t>
      </w:r>
      <w:r w:rsidR="00DD3D1E">
        <w:rPr>
          <w:i/>
        </w:rPr>
        <w:t xml:space="preserve"> %</w:t>
      </w:r>
      <w:r w:rsidR="00FB441E" w:rsidRPr="006B609E">
        <w:rPr>
          <w:i/>
        </w:rPr>
        <w:t xml:space="preserve"> ДИ 0,053–0,538; </w:t>
      </w:r>
      <w:r w:rsidR="00504D96">
        <w:rPr>
          <w:i/>
        </w:rPr>
        <w:br/>
      </w:r>
      <w:r w:rsidR="00FB441E" w:rsidRPr="006B609E">
        <w:rPr>
          <w:i/>
        </w:rPr>
        <w:t>p = 0,0003). Режим FCR чаще вызывал нейтропению 3</w:t>
      </w:r>
      <w:r w:rsidR="00504D96">
        <w:rPr>
          <w:i/>
        </w:rPr>
        <w:t>–</w:t>
      </w:r>
      <w:r w:rsidR="00FB441E" w:rsidRPr="006B609E">
        <w:rPr>
          <w:i/>
        </w:rPr>
        <w:t>4</w:t>
      </w:r>
      <w:r w:rsidR="00416F68">
        <w:rPr>
          <w:i/>
        </w:rPr>
        <w:t>-й</w:t>
      </w:r>
      <w:r w:rsidR="00FB441E" w:rsidRPr="006B609E">
        <w:rPr>
          <w:i/>
        </w:rPr>
        <w:t xml:space="preserve"> степени (44</w:t>
      </w:r>
      <w:r w:rsidR="00DD3D1E">
        <w:rPr>
          <w:i/>
        </w:rPr>
        <w:t xml:space="preserve"> %</w:t>
      </w:r>
      <w:r w:rsidR="00FB441E" w:rsidRPr="006B609E">
        <w:rPr>
          <w:i/>
        </w:rPr>
        <w:t xml:space="preserve"> против 23</w:t>
      </w:r>
      <w:r w:rsidR="00DD3D1E">
        <w:rPr>
          <w:i/>
        </w:rPr>
        <w:t xml:space="preserve"> %</w:t>
      </w:r>
      <w:r w:rsidR="00FB441E" w:rsidRPr="006B609E">
        <w:rPr>
          <w:i/>
        </w:rPr>
        <w:t xml:space="preserve">; </w:t>
      </w:r>
      <w:r w:rsidR="00504D96">
        <w:rPr>
          <w:i/>
        </w:rPr>
        <w:br/>
      </w:r>
      <w:r w:rsidR="00FB441E" w:rsidRPr="006B609E">
        <w:rPr>
          <w:i/>
        </w:rPr>
        <w:t>p &lt; 0,0001), а также инфекционные осложнения (17,7</w:t>
      </w:r>
      <w:r w:rsidR="00DD3D1E">
        <w:rPr>
          <w:i/>
        </w:rPr>
        <w:t xml:space="preserve"> </w:t>
      </w:r>
      <w:r w:rsidR="00DD3D1E" w:rsidRPr="009D6AF4">
        <w:rPr>
          <w:i/>
        </w:rPr>
        <w:t>%</w:t>
      </w:r>
      <w:r w:rsidR="00FB441E" w:rsidRPr="009D6AF4">
        <w:rPr>
          <w:i/>
        </w:rPr>
        <w:t xml:space="preserve"> против 7,1</w:t>
      </w:r>
      <w:r w:rsidR="00DD3D1E" w:rsidRPr="009D6AF4">
        <w:rPr>
          <w:i/>
        </w:rPr>
        <w:t xml:space="preserve"> %</w:t>
      </w:r>
      <w:r w:rsidR="00FB441E" w:rsidRPr="009D6AF4">
        <w:rPr>
          <w:i/>
        </w:rPr>
        <w:t>; p &lt; 0,0001)</w:t>
      </w:r>
      <w:r w:rsidR="00E97E28" w:rsidRPr="009D6AF4">
        <w:rPr>
          <w:i/>
        </w:rPr>
        <w:t xml:space="preserve"> </w:t>
      </w:r>
      <w:r w:rsidR="000B0AC3" w:rsidRPr="009D6AF4">
        <w:rPr>
          <w:i/>
        </w:rPr>
        <w:fldChar w:fldCharType="begin" w:fldLock="1"/>
      </w:r>
      <w:r w:rsidR="00BA7FFC">
        <w:rPr>
          <w:i/>
        </w:rPr>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mendeley":{"formattedCitation":"[32]","plainTextFormattedCitation":"[32]","previouslyFormattedCitation":"[32]"},"properties":{"noteIndex":0},"schema":"https://github.com/citation-style-language/schema/raw/master/csl-citation.json"}</w:instrText>
      </w:r>
      <w:r w:rsidR="000B0AC3" w:rsidRPr="009D6AF4">
        <w:rPr>
          <w:i/>
        </w:rPr>
        <w:fldChar w:fldCharType="separate"/>
      </w:r>
      <w:r w:rsidR="00225D7F" w:rsidRPr="00225D7F">
        <w:rPr>
          <w:noProof/>
        </w:rPr>
        <w:t>[32]</w:t>
      </w:r>
      <w:r w:rsidR="000B0AC3" w:rsidRPr="009D6AF4">
        <w:rPr>
          <w:i/>
        </w:rPr>
        <w:fldChar w:fldCharType="end"/>
      </w:r>
      <w:r w:rsidR="00FB441E" w:rsidRPr="009D6AF4">
        <w:rPr>
          <w:i/>
        </w:rPr>
        <w:t>. Наибо</w:t>
      </w:r>
      <w:r w:rsidR="00355F0B" w:rsidRPr="009D6AF4">
        <w:rPr>
          <w:i/>
        </w:rPr>
        <w:t>лее существенное превосходство в уровне</w:t>
      </w:r>
      <w:r w:rsidR="00FB441E" w:rsidRPr="009D6AF4">
        <w:rPr>
          <w:i/>
        </w:rPr>
        <w:t xml:space="preserve"> </w:t>
      </w:r>
      <w:r w:rsidR="000F6931" w:rsidRPr="009D6AF4">
        <w:rPr>
          <w:i/>
        </w:rPr>
        <w:t>ВБП</w:t>
      </w:r>
      <w:r w:rsidR="00FB441E" w:rsidRPr="009D6AF4">
        <w:rPr>
          <w:i/>
        </w:rPr>
        <w:t xml:space="preserve"> и ОВ пол</w:t>
      </w:r>
      <w:r w:rsidR="00355F0B" w:rsidRPr="009D6AF4">
        <w:rPr>
          <w:i/>
        </w:rPr>
        <w:t xml:space="preserve">учено у пациентов без мутаций </w:t>
      </w:r>
      <w:r w:rsidR="00FB441E" w:rsidRPr="009D6AF4">
        <w:rPr>
          <w:i/>
        </w:rPr>
        <w:t xml:space="preserve">генов </w:t>
      </w:r>
      <w:r w:rsidR="00355F0B" w:rsidRPr="009D6AF4">
        <w:rPr>
          <w:i/>
          <w:lang w:val="en-US"/>
        </w:rPr>
        <w:t>IGHV</w:t>
      </w:r>
      <w:r w:rsidR="00355F0B" w:rsidRPr="009D6AF4">
        <w:rPr>
          <w:i/>
        </w:rPr>
        <w:t xml:space="preserve"> </w:t>
      </w:r>
      <w:r w:rsidR="00FB441E" w:rsidRPr="009D6AF4">
        <w:rPr>
          <w:i/>
        </w:rPr>
        <w:t>(ОР 0,262; 95</w:t>
      </w:r>
      <w:r w:rsidR="00DD3D1E" w:rsidRPr="009D6AF4">
        <w:rPr>
          <w:i/>
        </w:rPr>
        <w:t xml:space="preserve"> %</w:t>
      </w:r>
      <w:r w:rsidR="00FB441E" w:rsidRPr="009D6AF4">
        <w:rPr>
          <w:i/>
        </w:rPr>
        <w:t xml:space="preserve"> ДИ 0,137–0,498; p &lt; 0,0001). На основании полученных данных ибрутиниб</w:t>
      </w:r>
      <w:r w:rsidR="00213502" w:rsidRPr="009D6AF4">
        <w:rPr>
          <w:i/>
        </w:rPr>
        <w:t>**</w:t>
      </w:r>
      <w:r w:rsidR="00FB441E" w:rsidRPr="009D6AF4">
        <w:rPr>
          <w:i/>
        </w:rPr>
        <w:t xml:space="preserve"> в настоящее время рекомендуется </w:t>
      </w:r>
      <w:r w:rsidR="00355F0B" w:rsidRPr="009D6AF4">
        <w:rPr>
          <w:i/>
        </w:rPr>
        <w:t>National Comprehensive Cancer Network</w:t>
      </w:r>
      <w:r w:rsidR="00FB441E" w:rsidRPr="009D6AF4">
        <w:rPr>
          <w:i/>
        </w:rPr>
        <w:t xml:space="preserve"> как терапия </w:t>
      </w:r>
      <w:r w:rsidR="00355F0B" w:rsidRPr="009D6AF4">
        <w:rPr>
          <w:i/>
        </w:rPr>
        <w:t>1-й</w:t>
      </w:r>
      <w:r w:rsidR="00FB441E" w:rsidRPr="009D6AF4">
        <w:rPr>
          <w:i/>
        </w:rPr>
        <w:t xml:space="preserve"> линии у первичных </w:t>
      </w:r>
      <w:r w:rsidR="00573998" w:rsidRPr="009D6AF4">
        <w:rPr>
          <w:i/>
        </w:rPr>
        <w:t xml:space="preserve">пациентов </w:t>
      </w:r>
      <w:r w:rsidR="00FB441E" w:rsidRPr="009D6AF4">
        <w:rPr>
          <w:i/>
        </w:rPr>
        <w:t>ХЛЛ без мутаций генов</w:t>
      </w:r>
      <w:r w:rsidR="00355F0B" w:rsidRPr="009D6AF4">
        <w:rPr>
          <w:i/>
        </w:rPr>
        <w:t xml:space="preserve"> </w:t>
      </w:r>
      <w:r w:rsidR="00355F0B" w:rsidRPr="009D6AF4">
        <w:rPr>
          <w:i/>
          <w:lang w:val="en-US"/>
        </w:rPr>
        <w:t>IGHV</w:t>
      </w:r>
      <w:r w:rsidR="00B6655F" w:rsidRPr="009D6AF4">
        <w:rPr>
          <w:i/>
        </w:rPr>
        <w:t xml:space="preserve"> </w:t>
      </w:r>
      <w:r w:rsidR="000B0AC3" w:rsidRPr="009D6AF4">
        <w:rPr>
          <w:i/>
        </w:rPr>
        <w:fldChar w:fldCharType="begin" w:fldLock="1"/>
      </w:r>
      <w:r w:rsidR="00BA7FFC">
        <w:rPr>
          <w:i/>
        </w:rPr>
        <w:instrText>ADDIN CSL_CITATION {"citationItems":[{"id":"ITEM-1","itemData":{"id":"ITEM-1","issued":{"date-parts":[["2019"]]},"title":"National Comprehensive Cancer Network. NCCN Practice Guidelines in Oncology. Chronic Lymphocytic Leukemia/Small Lymphocytic Lymphoma","type":"article"},"uris":["http://www.mendeley.com/documents/?uuid=a70d8e98-908f-4c8c-be39-a397e9ab7a92"]}],"mendeley":{"formattedCitation":"[34]","plainTextFormattedCitation":"[34]","previouslyFormattedCitation":"[34]"},"properties":{"noteIndex":0},"schema":"https://github.com/citation-style-language/schema/raw/master/csl-citation.json"}</w:instrText>
      </w:r>
      <w:r w:rsidR="000B0AC3" w:rsidRPr="009D6AF4">
        <w:rPr>
          <w:i/>
        </w:rPr>
        <w:fldChar w:fldCharType="separate"/>
      </w:r>
      <w:r w:rsidR="00225D7F" w:rsidRPr="00225D7F">
        <w:rPr>
          <w:noProof/>
        </w:rPr>
        <w:t>[34]</w:t>
      </w:r>
      <w:r w:rsidR="000B0AC3" w:rsidRPr="009D6AF4">
        <w:rPr>
          <w:i/>
        </w:rPr>
        <w:fldChar w:fldCharType="end"/>
      </w:r>
      <w:r w:rsidR="00355F0B" w:rsidRPr="009D6AF4">
        <w:rPr>
          <w:i/>
        </w:rPr>
        <w:t xml:space="preserve">. У пациентов с мутациями </w:t>
      </w:r>
      <w:r w:rsidR="00FB441E" w:rsidRPr="009D6AF4">
        <w:rPr>
          <w:i/>
        </w:rPr>
        <w:t>генов</w:t>
      </w:r>
      <w:r w:rsidR="00355F0B" w:rsidRPr="009D6AF4">
        <w:rPr>
          <w:i/>
        </w:rPr>
        <w:t xml:space="preserve"> </w:t>
      </w:r>
      <w:r w:rsidR="00355F0B" w:rsidRPr="009D6AF4">
        <w:rPr>
          <w:i/>
          <w:lang w:val="en-US"/>
        </w:rPr>
        <w:t>IGHV</w:t>
      </w:r>
      <w:r w:rsidR="00FB441E" w:rsidRPr="009D6AF4">
        <w:rPr>
          <w:i/>
        </w:rPr>
        <w:t xml:space="preserve"> FCR вызывает длительные ремиссии. В этой группе </w:t>
      </w:r>
      <w:r w:rsidR="00573998" w:rsidRPr="009D6AF4">
        <w:rPr>
          <w:i/>
        </w:rPr>
        <w:t xml:space="preserve">пациентов </w:t>
      </w:r>
      <w:r w:rsidR="00FB441E" w:rsidRPr="009D6AF4">
        <w:rPr>
          <w:i/>
        </w:rPr>
        <w:t>ибрутиниб</w:t>
      </w:r>
      <w:r w:rsidR="00667887" w:rsidRPr="009D6AF4">
        <w:rPr>
          <w:i/>
        </w:rPr>
        <w:t>**</w:t>
      </w:r>
      <w:r w:rsidR="00FB441E" w:rsidRPr="009D6AF4">
        <w:rPr>
          <w:i/>
        </w:rPr>
        <w:t xml:space="preserve"> не имеет значительного преимущества.</w:t>
      </w:r>
    </w:p>
    <w:p w14:paraId="550271F0" w14:textId="589EC8D7" w:rsidR="006D1E7B" w:rsidRPr="009D6AF4" w:rsidRDefault="006D1E7B" w:rsidP="00D61785">
      <w:pPr>
        <w:pStyle w:val="a4"/>
        <w:numPr>
          <w:ilvl w:val="0"/>
          <w:numId w:val="50"/>
        </w:numPr>
        <w:spacing w:before="0"/>
      </w:pPr>
      <w:r w:rsidRPr="009D6AF4">
        <w:t>Пациентам</w:t>
      </w:r>
      <w:r w:rsidR="00E02ECB" w:rsidRPr="009D6AF4">
        <w:t>,</w:t>
      </w:r>
      <w:r w:rsidRPr="009D6AF4">
        <w:t xml:space="preserve"> </w:t>
      </w:r>
      <w:r w:rsidR="00355F0B" w:rsidRPr="009D6AF4">
        <w:t>получающим</w:t>
      </w:r>
      <w:r w:rsidR="00E02ECB" w:rsidRPr="009D6AF4">
        <w:t xml:space="preserve"> ритуксимаб**</w:t>
      </w:r>
      <w:r w:rsidR="00C848DD" w:rsidRPr="009D6AF4">
        <w:t xml:space="preserve"> </w:t>
      </w:r>
      <w:r w:rsidR="00355F0B" w:rsidRPr="009D6AF4">
        <w:t>в 1-</w:t>
      </w:r>
      <w:r w:rsidR="00C848DD" w:rsidRPr="009D6AF4">
        <w:t>й линии лечения</w:t>
      </w:r>
      <w:r w:rsidR="00E02ECB" w:rsidRPr="009D6AF4">
        <w:t xml:space="preserve"> </w:t>
      </w:r>
      <w:r w:rsidRPr="009D6AF4">
        <w:t xml:space="preserve">ХЛЛ/ЛМЛ, </w:t>
      </w:r>
      <w:r w:rsidR="00E02ECB" w:rsidRPr="009D6AF4">
        <w:t xml:space="preserve">при </w:t>
      </w:r>
      <w:r w:rsidR="00355F0B" w:rsidRPr="009D6AF4">
        <w:t>сложности осуществления</w:t>
      </w:r>
      <w:r w:rsidR="00E02ECB" w:rsidRPr="009D6AF4">
        <w:t xml:space="preserve"> венозного доступа начиная со </w:t>
      </w:r>
      <w:r w:rsidR="00355F0B" w:rsidRPr="009D6AF4">
        <w:t>2-й</w:t>
      </w:r>
      <w:r w:rsidR="00E02ECB" w:rsidRPr="009D6AF4">
        <w:t xml:space="preserve"> дозы </w:t>
      </w:r>
      <w:r w:rsidRPr="009D6AF4">
        <w:t xml:space="preserve">может быть </w:t>
      </w:r>
      <w:r w:rsidRPr="0080011C">
        <w:rPr>
          <w:b/>
        </w:rPr>
        <w:t>рекомендован</w:t>
      </w:r>
      <w:r w:rsidR="00D44A1A" w:rsidRPr="0080011C">
        <w:rPr>
          <w:b/>
        </w:rPr>
        <w:t>о</w:t>
      </w:r>
      <w:r w:rsidRPr="0080011C">
        <w:rPr>
          <w:b/>
        </w:rPr>
        <w:t xml:space="preserve"> </w:t>
      </w:r>
      <w:r w:rsidR="00D44A1A" w:rsidRPr="0080011C">
        <w:t xml:space="preserve">применение подкожной формы </w:t>
      </w:r>
      <w:r w:rsidR="00E02ECB" w:rsidRPr="009D6AF4">
        <w:t>ритуксимаб</w:t>
      </w:r>
      <w:r w:rsidR="00D44A1A" w:rsidRPr="009D6AF4">
        <w:t>а</w:t>
      </w:r>
      <w:r w:rsidRPr="009D6AF4">
        <w:t xml:space="preserve">** </w:t>
      </w:r>
      <w:r w:rsidR="00E02ECB" w:rsidRPr="009D6AF4">
        <w:t>в фиксированной дозе 1600</w:t>
      </w:r>
      <w:r w:rsidR="00504D96" w:rsidRPr="009D6AF4">
        <w:t> </w:t>
      </w:r>
      <w:r w:rsidR="00E02ECB" w:rsidRPr="009D6AF4">
        <w:t xml:space="preserve">мг </w:t>
      </w:r>
      <w:r w:rsidRPr="009D6AF4">
        <w:t>(</w:t>
      </w:r>
      <w:r w:rsidR="00AA4B03" w:rsidRPr="009D6AF4">
        <w:t xml:space="preserve">схемы режимов лечения см. в приложении </w:t>
      </w:r>
      <w:r w:rsidRPr="009D6AF4">
        <w:t xml:space="preserve">А3.3) </w:t>
      </w:r>
      <w:r w:rsidR="000B0AC3" w:rsidRPr="009D6AF4">
        <w:fldChar w:fldCharType="begin" w:fldLock="1"/>
      </w:r>
      <w:r w:rsidR="00BA7FFC">
        <w:instrText>ADDIN CSL_CITATION {"citationItems":[{"id":"ITEM-1","itemData":{"DOI":"10.1016/S2352-3026(16)00004-1","ISSN":"2352-3026","PMID":"26947201","abstract":"BACKGROUND Part one of the two-part SAWYER study predicted that subcutaneous rituximab 1600 mg would achieve trough serum concentrations that were non-inferior to those achieved with intravenous rituximab 500 mg/m(2) in patients with chronic lymphocytic leukaemia. In part two of the study, we aimed to confirm the pharmacokinetic non-inferiority of subcutaneous rituximab, and investigate its safety and efficacy. METHODS We did this phase 1b, open-label, randomised controlled non-inferiority study at 68 centres in 19 countries in Europe, North America, South America, and Australasia. Patients aged 18 years or older with untreated chronic lymphocytic leukaemia were randomly assigned, via an interactive voice-response system with a permuted block randomisation scheme (block size of ten), to receive subcutaneous rituximab 1600 mg or intravenous rituximab 500 mg/m(2) plus fludarabine and cyclophosphamide every 4 weeks for up to six cycles. In cycle one, all patients received intravenous rituximab 375 mg/m(2). Randomisation was stratified by Binet stage and fludarabine and cyclophosphamide administration route (oral vs intravenous). Study investigators and patients were not masked to group allocation, but allocation was concealed from the statistician, clinical scientist, and clinical pharmacologist. The primary endpoint was trough serum concentration at cycle five, with a non-inferiority margin of 0·8 for the adjusted geometric mean ratio of the subcutaneous to the intravenous dose. We did the primary analysis in patients in the intention-to-treat population with complete pharmacokinetic data (pharmacokinetic population). This trial is registered with ClinicalTrials.gov, number NCT01292603, and is ongoing, although the treatment stage is now complete. FINDINGS Between Aug 20, 2012, and June 17, 2013, we randomly assigned 176 patients to receive subcutaneous rituximab (n=88) or intravenous rituximab (n=88); 134 (76%) patients comprised the pharmacokinetic population. As of May 7, 2014, median follow-up was 13·9 months (IQR 11·9-16·0) for patients in the subcutaneous group and 14·1 months (11·6-16·5) for patients in the intravenous group. At cycle five, the geometric mean trough serum concentration in patients given subcutaneous rituximab was non-inferior to that in patients given intravenous rituximab (97·5 μg/mL vs 61·5 μg/mL), with an adjusted geometric mean ratio of 1·53 (90% CI 1·27-1·85). In the safety analysis, the proportion of patients reporting advers…","author":[{"dropping-particle":"","family":"Assouline","given":"Sarit","non-dropping-particle":"","parse-names":false,"suffix":""},{"dropping-particle":"","family":"Buccheri","given":"Valeria","non-dropping-particle":"","parse-names":false,"suffix":""},{"dropping-particle":"","family":"Delmer","given":"Alain","non-dropping-particle":"","parse-names":false,"suffix":""},{"dropping-particle":"","family":"Gaidano","given":"Gianluca","non-dropping-particle":"","parse-names":false,"suffix":""},{"dropping-particle":"","family":"Trneny","given":"Marek","non-dropping-particle":"","parse-names":false,"suffix":""},{"dropping-particle":"","family":"Berthillon","given":"Natalia","non-dropping-particle":"","parse-names":false,"suffix":""},{"dropping-particle":"","family":"Brewster","given":"Michael","non-dropping-particle":"","parse-names":false,"suffix":""},{"dropping-particle":"","family":"Catalani","given":"Olivier","non-dropping-particle":"","parse-names":false,"suffix":""},{"dropping-particle":"","family":"Li","given":"Sai","non-dropping-particle":"","parse-names":false,"suffix":""},{"dropping-particle":"","family":"McIntyre","given":"Christine","non-dropping-particle":"","parse-names":false,"suffix":""},{"dropping-particle":"","family":"Sayyed","given":"Pakeeza","non-dropping-particle":"","parse-names":false,"suffix":""},{"dropping-particle":"","family":"Badoux","given":"Xavier","non-dropping-particle":"","parse-names":false,"suffix":""}],"container-title":"The Lancet. Haematology","id":"ITEM-1","issue":"3","issued":{"date-parts":[["2016","3"]]},"page":"e128-38","title":"Pharmacokinetics, safety, and efficacy of subcutaneous versus intravenous rituximab plus chemotherapy as treatment for chronic lymphocytic leukaemia (SAWYER): a phase 1b, open-label, randomised controlled non-inferiority trial.","type":"article-journal","volume":"3"},"uris":["http://www.mendeley.com/documents/?uuid=d00e06e5-d76b-3fef-9560-4c28df0b4a9c"]}],"mendeley":{"formattedCitation":"[35]","plainTextFormattedCitation":"[35]","previouslyFormattedCitation":"[35]"},"properties":{"noteIndex":0},"schema":"https://github.com/citation-style-language/schema/raw/master/csl-citation.json"}</w:instrText>
      </w:r>
      <w:r w:rsidR="000B0AC3" w:rsidRPr="009D6AF4">
        <w:fldChar w:fldCharType="separate"/>
      </w:r>
      <w:r w:rsidR="00225D7F" w:rsidRPr="00225D7F">
        <w:rPr>
          <w:noProof/>
        </w:rPr>
        <w:t>[35]</w:t>
      </w:r>
      <w:r w:rsidR="000B0AC3" w:rsidRPr="009D6AF4">
        <w:fldChar w:fldCharType="end"/>
      </w:r>
      <w:r w:rsidRPr="009D6AF4">
        <w:t>.</w:t>
      </w:r>
    </w:p>
    <w:p w14:paraId="59D9EE6F" w14:textId="77777777" w:rsidR="006D1E7B" w:rsidRPr="00355F0B" w:rsidRDefault="006D1E7B" w:rsidP="005D3BBD">
      <w:pPr>
        <w:ind w:left="426"/>
        <w:contextualSpacing/>
        <w:rPr>
          <w:b/>
          <w:spacing w:val="-4"/>
        </w:rPr>
      </w:pPr>
      <w:r w:rsidRPr="00355F0B">
        <w:rPr>
          <w:b/>
          <w:spacing w:val="-4"/>
        </w:rPr>
        <w:t xml:space="preserve">Уровень убедительности </w:t>
      </w:r>
      <w:r w:rsidR="00C20509" w:rsidRPr="00355F0B">
        <w:rPr>
          <w:b/>
          <w:spacing w:val="-4"/>
        </w:rPr>
        <w:t xml:space="preserve">рекомендаций – </w:t>
      </w:r>
      <w:r w:rsidRPr="00355F0B">
        <w:rPr>
          <w:b/>
          <w:spacing w:val="-4"/>
          <w:lang w:val="en-US"/>
        </w:rPr>
        <w:t>A</w:t>
      </w:r>
      <w:r w:rsidRPr="00355F0B">
        <w:rPr>
          <w:b/>
          <w:spacing w:val="-4"/>
        </w:rPr>
        <w:t xml:space="preserve"> (уровень достоверности </w:t>
      </w:r>
      <w:r w:rsidR="00C20509" w:rsidRPr="00355F0B">
        <w:rPr>
          <w:b/>
          <w:spacing w:val="-4"/>
        </w:rPr>
        <w:t xml:space="preserve">доказательств – </w:t>
      </w:r>
      <w:r w:rsidRPr="00355F0B">
        <w:rPr>
          <w:b/>
          <w:spacing w:val="-4"/>
        </w:rPr>
        <w:t>2).</w:t>
      </w:r>
    </w:p>
    <w:p w14:paraId="189D07E5" w14:textId="77777777" w:rsidR="004D7374" w:rsidRPr="006B609E" w:rsidRDefault="004D7374" w:rsidP="005D3BBD">
      <w:pPr>
        <w:pStyle w:val="3"/>
        <w:spacing w:before="0"/>
        <w:jc w:val="both"/>
      </w:pPr>
      <w:r w:rsidRPr="006B609E">
        <w:t>3.2.2</w:t>
      </w:r>
      <w:r w:rsidR="00397360" w:rsidRPr="00397360">
        <w:t>.</w:t>
      </w:r>
      <w:r w:rsidRPr="006B609E">
        <w:t xml:space="preserve"> Первая линия лечения ХЛЛ у пожилых пациентов и пациентов </w:t>
      </w:r>
      <w:r w:rsidR="00504D96">
        <w:br/>
      </w:r>
      <w:r w:rsidRPr="006B609E">
        <w:t xml:space="preserve">с коморбидностью без выявленной делеции 17p или мутации </w:t>
      </w:r>
      <w:r w:rsidRPr="00CD5B95">
        <w:rPr>
          <w:i/>
        </w:rPr>
        <w:t>TP53</w:t>
      </w:r>
    </w:p>
    <w:p w14:paraId="5B44A16C" w14:textId="77777777" w:rsidR="0016133E" w:rsidRPr="009D6AF4" w:rsidRDefault="00B41E37" w:rsidP="00D61785">
      <w:pPr>
        <w:pStyle w:val="a4"/>
        <w:numPr>
          <w:ilvl w:val="0"/>
          <w:numId w:val="50"/>
        </w:numPr>
        <w:spacing w:before="0"/>
      </w:pPr>
      <w:r w:rsidRPr="006B609E">
        <w:t>Пациентам с вер</w:t>
      </w:r>
      <w:r w:rsidR="00CD5B95">
        <w:t>ифицированным ХЛЛ/ЛМЛ старше 65–</w:t>
      </w:r>
      <w:r w:rsidRPr="006B609E">
        <w:t xml:space="preserve">70 лет и </w:t>
      </w:r>
      <w:r w:rsidR="004D7374" w:rsidRPr="006B609E">
        <w:t>пациентам с</w:t>
      </w:r>
      <w:r w:rsidRPr="006B609E">
        <w:t xml:space="preserve"> тяжелыми соп</w:t>
      </w:r>
      <w:r w:rsidR="00CD5B95">
        <w:t xml:space="preserve">утствующими заболеваниями или </w:t>
      </w:r>
      <w:r w:rsidRPr="006B609E">
        <w:t xml:space="preserve">угнетением почечной функции </w:t>
      </w:r>
      <w:r w:rsidR="004D7374" w:rsidRPr="006B609E">
        <w:t xml:space="preserve">без делеции 17p или мутации </w:t>
      </w:r>
      <w:r w:rsidR="004D7374" w:rsidRPr="0080011C">
        <w:rPr>
          <w:i/>
        </w:rPr>
        <w:t>TP53</w:t>
      </w:r>
      <w:r w:rsidR="004D7374" w:rsidRPr="006B609E">
        <w:t xml:space="preserve"> </w:t>
      </w:r>
      <w:r w:rsidR="004D7374" w:rsidRPr="0080011C">
        <w:rPr>
          <w:b/>
        </w:rPr>
        <w:t>рекоменд</w:t>
      </w:r>
      <w:r w:rsidR="009666FC" w:rsidRPr="0080011C">
        <w:rPr>
          <w:b/>
        </w:rPr>
        <w:t xml:space="preserve">уется </w:t>
      </w:r>
      <w:r w:rsidR="00451C55" w:rsidRPr="00B33976">
        <w:t>для достижения ремиссии</w:t>
      </w:r>
      <w:r w:rsidR="00451C55" w:rsidRPr="005D3BBD">
        <w:t xml:space="preserve"> </w:t>
      </w:r>
      <w:r w:rsidR="004D7374" w:rsidRPr="006B609E">
        <w:t xml:space="preserve">проведение </w:t>
      </w:r>
      <w:r w:rsidR="00CD5B95">
        <w:t>1-й</w:t>
      </w:r>
      <w:r w:rsidR="004D7374" w:rsidRPr="006B609E">
        <w:t xml:space="preserve"> линии терапии по одной из следующих схем</w:t>
      </w:r>
      <w:r w:rsidR="00FD132B" w:rsidRPr="006B609E">
        <w:t xml:space="preserve"> </w:t>
      </w:r>
      <w:r w:rsidR="004D7374" w:rsidRPr="006B609E">
        <w:t xml:space="preserve">в зависимости от предпочтений и опыта </w:t>
      </w:r>
      <w:r w:rsidR="00CD5B95">
        <w:lastRenderedPageBreak/>
        <w:t xml:space="preserve">медицинского </w:t>
      </w:r>
      <w:r w:rsidR="004D7374" w:rsidRPr="006B609E">
        <w:t>центра и лечащего врача</w:t>
      </w:r>
      <w:r w:rsidR="00FD132B" w:rsidRPr="006B609E">
        <w:t xml:space="preserve"> (</w:t>
      </w:r>
      <w:r w:rsidR="00AA4B03">
        <w:t xml:space="preserve">схемы режимов </w:t>
      </w:r>
      <w:r w:rsidR="00AA4B03" w:rsidRPr="009D6AF4">
        <w:t xml:space="preserve">лечения см. в приложении </w:t>
      </w:r>
      <w:r w:rsidR="00437AD9" w:rsidRPr="009D6AF4">
        <w:t>А3.3</w:t>
      </w:r>
      <w:r w:rsidR="00FD132B" w:rsidRPr="009D6AF4">
        <w:t>)</w:t>
      </w:r>
      <w:r w:rsidR="004D7374" w:rsidRPr="009D6AF4">
        <w:t>:</w:t>
      </w:r>
    </w:p>
    <w:p w14:paraId="72F1A624" w14:textId="7BEAA6D2" w:rsidR="0016133E" w:rsidRPr="009D6AF4" w:rsidRDefault="005163D3" w:rsidP="00D61785">
      <w:pPr>
        <w:pStyle w:val="a4"/>
        <w:numPr>
          <w:ilvl w:val="0"/>
          <w:numId w:val="2"/>
        </w:numPr>
        <w:spacing w:before="0"/>
        <w:ind w:left="993"/>
      </w:pPr>
      <w:r w:rsidRPr="009D6AF4">
        <w:t>Х</w:t>
      </w:r>
      <w:r w:rsidR="004D7374" w:rsidRPr="009D6AF4">
        <w:t>лорамбуцил</w:t>
      </w:r>
      <w:r w:rsidRPr="009D6AF4">
        <w:t>**</w:t>
      </w:r>
      <w:r w:rsidR="00E005AA" w:rsidRPr="009D6AF4">
        <w:t xml:space="preserve"> </w:t>
      </w:r>
      <w:r w:rsidR="00E005AA" w:rsidRPr="009D6AF4">
        <w:rPr>
          <w:lang w:eastAsia="ru-RU"/>
        </w:rPr>
        <w:t>0,5 мг/кг внутрь, дни 1, 15</w:t>
      </w:r>
      <w:r w:rsidR="004D7374" w:rsidRPr="009D6AF4">
        <w:t xml:space="preserve"> + обинутузумаб</w:t>
      </w:r>
      <w:r w:rsidR="00122E4B" w:rsidRPr="009D6AF4">
        <w:t>**</w:t>
      </w:r>
      <w:r w:rsidR="00E005AA" w:rsidRPr="009D6AF4">
        <w:t xml:space="preserve"> </w:t>
      </w:r>
      <w:r w:rsidR="00E005AA" w:rsidRPr="009D6AF4">
        <w:rPr>
          <w:lang w:eastAsia="ru-RU"/>
        </w:rPr>
        <w:t xml:space="preserve">1000 мг в/в, день 1 (100 мг в течение 4 часов), 2 (900 мг), 8, 15 (цикл 1), день 1 (циклы 2–6). </w:t>
      </w:r>
      <w:r w:rsidR="00E005AA" w:rsidRPr="009D6AF4">
        <w:rPr>
          <w:rFonts w:eastAsia="Times New Roman"/>
          <w:lang w:eastAsia="ru-RU"/>
        </w:rPr>
        <w:t>Лечение возобновляется на 29-й день</w:t>
      </w:r>
      <w:r w:rsidR="00B41E37" w:rsidRPr="009D6AF4">
        <w:t xml:space="preserve"> </w:t>
      </w:r>
      <w:r w:rsidR="000B0AC3" w:rsidRPr="009D6AF4">
        <w:rPr>
          <w:lang w:val="en-US"/>
        </w:rPr>
        <w:fldChar w:fldCharType="begin" w:fldLock="1"/>
      </w:r>
      <w:r w:rsidR="00BA7FFC">
        <w:rPr>
          <w:lang w:val="en-US"/>
        </w:rPr>
        <w:instrText>ADDIN CSL_CITATION {"citationItems":[{"id":"ITEM-1","itemData":{"DOI":"10.1056/NEJMoa1313984","ISSN":"15334406","abstract":"BACKGROUND The monoclonal anti-CD20 antibody rituximab, combined with chemotherapeutic agents, has been shown to prolong overall survival in physically fit patients with previously untreated chronic lymphocytic leukemia (CLL) but not in those with coexisting conditions. We investigated the benefit of the type 2, glycoengineered antibody obinutuzumab (also known as GA101) as compared with that of rituximab, each combined with chlorambucil, in patients with previously untreated CLL and coexisting conditions. METHODS We randomly assigned 781 patients with previously untreated CLL and a score higher than 6 on the Cumulative Illness Rating Scale (CIRS) (range, 0 to 56, with higher scores indicating worse health status) or an estimated creatinine clearance of 30 to 69 ml per minute to receive chlorambucil, obinutuzumab plus chlorambucil, or rituximab plus chlorambucil. The primary end point was investigator-assessed progression-free survival. RESULTS The patients had a median age of 73 years, creatinine clearance of 62 ml per minute, and CIRS score of 8 at baseline. Treatment with obinutuzumab-chlorambucil or rituximab-chlorambucil, as compared with chlorambucil monotherapy, increased response rates and prolonged progression-free survival (median progression-free survival, 26.7 months with obinutuzumab-chlorambucil vs. 11.1 months with chlorambucil alone; hazard ratio for progression or death, 0.18; 95% confidence interval [CI], 0.13 to 0.24; P&lt;0.001; and 16.3 months with rituximab-chlorambucil vs. 11.1 months with chlorambucil alone; hazard ratio, 0.44; 95% CI, 0.34 to 0.57; P&lt;0.001). Treatment with obinutuzumab-chlorambucil, as compared with chlorambucil alone, prolonged overall survival (hazard ratio for death, 0.41; 95% CI, 0.23 to 0.74; P=0.002). Treatment with obinutuzumab-chlorambucil, as compared with rituximab-chlorambucil, resulted in prolongation of progression-free survival (hazard ratio, 0.39; 95% CI, 0.31 to 0.49; P&lt;0.001) and higher rates of complete response (20.7% vs. 7.0%) and molecular response. Infusion-related reactions and neutropenia were more common with obinutuzumab-chlorambucil than with rituximab-chlorambucil, but the risk of infection was not increased. CONCLUSIONS Combining an anti-CD20 antibody with chemotherapy improved outcomes in patients with CLL and coexisting conditions. In this patient population, obinutuzumab was superior to rituximab when each was combined with chlorambucil. (Funded by F. Hoffmann-La Roche; ClinicalTrial…","author":[{"dropping-particle":"","family":"Goede","given":"Valentin","non-dropping-particle":"","parse-names":false,"suffix":""},{"dropping-particle":"","family":"Fischer","given":"Kirsten","non-dropping-particle":"","parse-names":false,"suffix":""},{"dropping-particle":"","family":"Busch","given":"Raymonde","non-dropping-particle":"","parse-names":false,"suffix":""},{"dropping-particle":"","family":"Engelke","given":"Anja","non-dropping-particle":"","parse-names":false,"suffix":""},{"dropping-particle":"","family":"Eichhorst","given":"Barbara","non-dropping-particle":"","parse-names":false,"suffix":""},{"dropping-particle":"","family":"Wendtner","given":"Clemens M.","non-dropping-particle":"","parse-names":false,"suffix":""},{"dropping-particle":"","family":"Chagorova","given":"Tatiana","non-dropping-particle":"","parse-names":false,"suffix":""},{"dropping-particle":"","family":"La Serna","given":"Javier","non-dropping-particle":"De","parse-names":false,"suffix":""},{"dropping-particle":"","family":"Dilhuydy","given":"Marie Sarah","non-dropping-particle":"","parse-names":false,"suffix":""},{"dropping-particle":"","family":"Illmer","given":"Thomas","non-dropping-particle":"","parse-names":false,"suffix":""},{"dropping-particle":"","family":"Opat","given":"Stephen","non-dropping-particle":"","parse-names":false,"suffix":""},{"dropping-particle":"","family":"Owen","given":"Carolyn J.","non-dropping-particle":"","parse-names":false,"suffix":""},{"dropping-particle":"","family":"Samoylova","given":"Olga","non-dropping-particle":"","parse-names":false,"suffix":""},{"dropping-particle":"","family":"Kreuzer","given":"Karl Anton","non-dropping-particle":"","parse-names":false,"suffix":""},{"dropping-particle":"","family":"Stilgenbauer","given":"Stephan","non-dropping-particle":"","parse-names":false,"suffix":""},{"dropping-particle":"","family":"Doḧner","given":"Hartmut","non-dropping-particle":"","parse-names":false,"suffix":""},{"dropping-particle":"","family":"Langerak","given":"Anton W.","non-dropping-particle":"","parse-names":false,"suffix":""},{"dropping-particle":"","family":"Ritgen","given":"Matthias","non-dropping-particle":"","parse-names":false,"suffix":""},{"dropping-particle":"","family":"Kneba","given":"Michael","non-dropping-particle":"","parse-names":false,"suffix":""},{"dropping-particle":"","family":"Asikanius","given":"Elina","non-dropping-particle":"","parse-names":false,"suffix":""},{"dropping-particle":"","family":"Humphrey","given":"Kathryn","non-dropping-particle":"","parse-names":false,"suffix":""},{"dropping-particle":"","family":"Wenger","given":"Michael","non-dropping-particle":"","parse-names":false,"suffix":""},{"dropping-particle":"","family":"Hallek","given":"Michael","non-dropping-particle":"","parse-names":false,"suffix":""}],"container-title":"New England Journal of Medicine","id":"ITEM-1","issue":"12","issued":{"date-parts":[["2014"]]},"page":"1101-1110","publisher":"Massachussetts Medical Society","title":"Obinutuzumab plus chlorambucil in patients with CLL and coexisting conditions","type":"article-journal","volume":"370"},"uris":["http://www.mendeley.com/documents/?uuid=0da1839f-ad27-3a2d-9d3c-bf1c9e703e53"]}],"mendeley":{"formattedCitation":"[36]","plainTextFormattedCitation":"[36]","previouslyFormattedCitation":"[36]"},"properties":{"noteIndex":0},"schema":"https://github.com/citation-style-language/schema/raw/master/csl-citation.json"}</w:instrText>
      </w:r>
      <w:r w:rsidR="000B0AC3" w:rsidRPr="009D6AF4">
        <w:rPr>
          <w:lang w:val="en-US"/>
        </w:rPr>
        <w:fldChar w:fldCharType="separate"/>
      </w:r>
      <w:r w:rsidR="00225D7F" w:rsidRPr="00225D7F">
        <w:rPr>
          <w:noProof/>
        </w:rPr>
        <w:t>[36]</w:t>
      </w:r>
      <w:r w:rsidR="000B0AC3" w:rsidRPr="009D6AF4">
        <w:rPr>
          <w:lang w:val="en-US"/>
        </w:rPr>
        <w:fldChar w:fldCharType="end"/>
      </w:r>
      <w:r w:rsidR="00CD5B95" w:rsidRPr="009D6AF4">
        <w:t>.</w:t>
      </w:r>
    </w:p>
    <w:p w14:paraId="3B7FA139" w14:textId="42717A56" w:rsidR="00FD0C0E" w:rsidRDefault="00900404" w:rsidP="00D61785">
      <w:pPr>
        <w:pStyle w:val="a4"/>
        <w:numPr>
          <w:ilvl w:val="0"/>
          <w:numId w:val="2"/>
        </w:numPr>
        <w:spacing w:before="0"/>
        <w:ind w:left="993"/>
      </w:pPr>
      <w:r w:rsidRPr="009D6AF4">
        <w:t>#</w:t>
      </w:r>
      <w:r w:rsidR="004D7283" w:rsidRPr="009D6AF4">
        <w:t>Б</w:t>
      </w:r>
      <w:r w:rsidR="004D7374" w:rsidRPr="009D6AF4">
        <w:t>ендамустин</w:t>
      </w:r>
      <w:r w:rsidR="00122E4B" w:rsidRPr="009D6AF4">
        <w:t>**</w:t>
      </w:r>
      <w:r w:rsidR="00E005AA" w:rsidRPr="009D6AF4">
        <w:t xml:space="preserve"> </w:t>
      </w:r>
      <w:r w:rsidR="00E005AA" w:rsidRPr="009D6AF4">
        <w:rPr>
          <w:rFonts w:eastAsia="Times New Roman"/>
          <w:lang w:eastAsia="ru-RU"/>
        </w:rPr>
        <w:t>90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дни 1, 2</w:t>
      </w:r>
      <w:r w:rsidR="004D7374" w:rsidRPr="009D6AF4">
        <w:t xml:space="preserve"> </w:t>
      </w:r>
      <w:r w:rsidR="00CD5B95" w:rsidRPr="009D6AF4">
        <w:t>±</w:t>
      </w:r>
      <w:r w:rsidR="004D7374" w:rsidRPr="009D6AF4">
        <w:t xml:space="preserve"> ритуксимаб</w:t>
      </w:r>
      <w:r w:rsidR="00122E4B" w:rsidRPr="009D6AF4">
        <w:t>**</w:t>
      </w:r>
      <w:r w:rsidR="00E005AA" w:rsidRPr="009D6AF4">
        <w:t xml:space="preserve"> </w:t>
      </w:r>
      <w:r w:rsidR="00E005AA" w:rsidRPr="009D6AF4">
        <w:rPr>
          <w:rFonts w:eastAsia="Times New Roman"/>
          <w:lang w:eastAsia="ru-RU"/>
        </w:rPr>
        <w:t>1 цикл: 375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1, последующие циклы: 500 мг/м</w:t>
      </w:r>
      <w:r w:rsidR="00E005AA" w:rsidRPr="009D6AF4">
        <w:rPr>
          <w:rFonts w:eastAsia="Times New Roman"/>
          <w:vertAlign w:val="superscript"/>
          <w:lang w:eastAsia="ru-RU"/>
        </w:rPr>
        <w:t>2</w:t>
      </w:r>
      <w:r w:rsidR="00E005AA" w:rsidRPr="009D6AF4">
        <w:rPr>
          <w:rFonts w:eastAsia="Times New Roman"/>
          <w:lang w:eastAsia="ru-RU"/>
        </w:rPr>
        <w:t xml:space="preserve"> в/в кап. или </w:t>
      </w:r>
      <w:r w:rsidR="00492BEA">
        <w:rPr>
          <w:rFonts w:eastAsia="Times New Roman"/>
          <w:lang w:eastAsia="ru-RU"/>
        </w:rPr>
        <w:t xml:space="preserve">1600 </w:t>
      </w:r>
      <w:r w:rsidR="00EA3851">
        <w:rPr>
          <w:rFonts w:eastAsia="Times New Roman"/>
          <w:lang w:eastAsia="ru-RU"/>
        </w:rPr>
        <w:t>мг п/к</w:t>
      </w:r>
      <w:r w:rsidR="00E005AA" w:rsidRPr="009D6AF4">
        <w:rPr>
          <w:rFonts w:eastAsia="Times New Roman"/>
          <w:lang w:eastAsia="ru-RU"/>
        </w:rPr>
        <w:t>, день 1. Лечение возобновляется на 29-й день</w:t>
      </w:r>
      <w:r w:rsidR="00B41E37" w:rsidRPr="009D6AF4">
        <w:t xml:space="preserve"> </w:t>
      </w:r>
      <w:r w:rsidR="000B0AC3" w:rsidRPr="009D6AF4">
        <w:fldChar w:fldCharType="begin" w:fldLock="1"/>
      </w:r>
      <w:r w:rsidR="00BA7FFC">
        <w:instrText>ADDIN CSL_CITATION {"citationItems":[{"id":"ITEM-1","itemData":{"DOI":"10.1200/JCO.2011.39.2688","ISSN":"0732183X","abstract":"Purpose: We investigated the safety and efficacy of bendamustine and rituximab (BR) in previously untreated patients with chronic lymphocytic leukemia (CLL). Patients and Methods: In all, 117 patients, age 34 to 78 years, 46.2% of patients at Binet stage C, and 25.6% of patients age 70 years or older received BR chemoimmunotherapy for first-line treatment of CLL. Bendamustine was administered at a dose of 90 mg/m2 on days 1 and 2 combined with 375 mg/m2 rituximab on day 0 of the first course and 500 mg/m 2 on day 1 during subsequent courses for up to six courses. Results: Overall response rate was 88.0% (95% CI, 80.7% to 100.0%) with a complete response rate of 23.1% and a partial response rate of 64.9%. Ninety percent of patients with del(11q), 94.7% with trisomy 12, 37.5% with del(17p), and 89.4% with unmutated IGHV status responded to treatment. After a median observation time of 27.0 months, median event-free survival was 33.9 months, and 90.5% of patients were alive. Grade 3 or 4 severe infections occurred in 7.7% of patients. Grade 3 or 4 adverse events for neutropenia, thrombocytopenia, and anemia were documented in 19.7%, 22.2%, and 19.7% of patients, respectively. Conclusion: Chemoimmunotherapy with BR is effective and safe in patients with previously untreated CLL. © 2012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Boẗtcher","given":"Sebastian","non-dropping-particle":"","parse-names":false,"suffix":""},{"dropping-particle":"","family":"Bahlo","given":"Jasmin","non-dropping-particle":"","parse-names":false,"suffix":""},{"dropping-particle":"","family":"Schubert","given":"Jöerg","non-dropping-particle":"","parse-names":false,"suffix":""},{"dropping-particle":"","family":"Pflüger","given":"Karl H.","non-dropping-particle":"","parse-names":false,"suffix":""},{"dropping-particle":"","family":"Schott","given":"Silke","non-dropping-particle":"","parse-names":false,"suffix":""},{"dropping-particle":"","family":"Goede","given":"Valentin","non-dropping-particle":"","parse-names":false,"suffix":""},{"dropping-particle":"","family":"Isfort","given":"Susanne","non-dropping-particle":"","parse-names":false,"suffix":""},{"dropping-particle":"","family":"Tresckow","given":"Julia","non-dropping-particle":"Von","parse-names":false,"suffix":""},{"dropping-particle":"","family":"Fink","given":"Anna Maria","non-dropping-particle":"","parse-names":false,"suffix":""},{"dropping-particle":"","family":"Buḧler","given":"Andreas","non-dropping-particle":"","parse-names":false,"suffix":""},{"dropping-particle":"","family":"Winkler","given":"Dirk","non-dropping-particle":"","parse-names":false,"suffix":""},{"dropping-particle":"","family":"Kreuzer","given":"Karl Anton","non-dropping-particle":"","parse-names":false,"suffix":""},{"dropping-particle":"","family":"Staib","given":"Peter","non-dropping-particle":"","parse-names":false,"suffix":""},{"dropping-particle":"","family":"Ritgen","given":"Matthias","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Stilgenbauer","given":"Stephan","non-dropping-particle":"","parse-names":false,"suffix":""},{"dropping-particle":"","family":"Wendtner","given":"Clemens Martin","non-dropping-particle":"","parse-names":false,"suffix":""}],"container-title":"Journal of Clinical Oncology","id":"ITEM-1","issue":"26","issued":{"date-parts":[["2012","9","10"]]},"page":"3209-3216","title":"Bendamustine in combination with rituximab for previously untreated patients with chronic lymphocytic leukemia: A multicenter phase II trial of the German Chronic Lymphocytic Leukemia Study Group","type":"article-journal","volume":"30"},"uris":["http://www.mendeley.com/documents/?uuid=96e4e282-7aea-335b-b74f-247742467e9e"]},{"id":"ITEM-2","itemData":{"DOI":"10.1016/S1470-2045(16)30051-1","ISSN":"14745488","abstract":"Background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Oncology","id":"ITEM-2","issue":"7","issued":{"date-parts":[["2016","7","1"]]},"page":"928-942","publisher":"Lancet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trial","type":"article-journal","volume":"17"},"uris":["http://www.mendeley.com/documents/?uuid=fc0ae7be-9495-395f-85b3-71003e5d4ed2"]},{"id":"ITEM-3","itemData":{"DOI":"10.3324/haematol.2017.170480","ISSN":"15928721","abstract":"© 2018 Ferrata Storti Foundation. MABLE investigated the efficacy and safety of rituximab plus bendamustine or rituximab plus chlorambucil in fludarabine-ineligible patients with chronic lymphocytic leukemia. Patients received rituximab plus bendamustine or rituximab plus chlorambucil every four weeks for six cycles. Rituximab plus chlorambucil-treated patients without a complete response after Cycle 6 received chlorambucil monotherapy for at least six additional cycles or until complete response. The primary endpoint was complete response rate (confirmed by bone marrow biopsy) after Cycle 6 in first-line patients. Secondary endpoints included progression-free survival, overall survival, minimal residual disease, and safety. Overall, 357 patients were randomized (rituximab plus bendamustine, n=178; rituximab plus chlorambucil, n=179; intent-to-treat population), including 241 first-line patients (n=121 and n=120, respectively); 355 patients received treatment (n=177 and n=178, respectively; safety population). In first-line patients, complete response rate after Cycle 6 (rituximab plus bendamustine, 24%; rituximab plus chlorambucil, 9%; P=0.002) and median progression-free survival (rituximab plus bendamustine, 40 months; rituximab plus chlorambucil, 30 months; P=0.003) were higher with rituximab plus bendamustine than rituximab plus chlorambucil. Overall response rate and overall survival were not different. In first-line patients with a complete response, minimal residual disease-negativity was higher with rituximab plus bendamustine than rituximab plus chlorambucil (66% vs. 36%). Overall adverse event incidence was similar (rituximab plus bendamustine, 98%; rituximab plus chlorambucil, 97%). Rituximab plus bendamustine may be a valuable first-line option for fludarabine-ineligible patients with chronic lymphocytic leukemia.","author":[{"dropping-particle":"","family":"Michallet","given":"Anne Sophie","non-dropping-particle":"","parse-names":false,"suffix":""},{"dropping-particle":"","family":"Aktan","given":"Melih","non-dropping-particle":"","parse-names":false,"suffix":""},{"dropping-particle":"","family":"Hiddemann","given":"Wolfgang","non-dropping-particle":"","parse-names":false,"suffix":""},{"dropping-particle":"","family":"Ilhan","given":"Osman","non-dropping-particle":"","parse-names":false,"suffix":""},{"dropping-particle":"","family":"Johansson","given":"Peter","non-dropping-particle":"","parse-names":false,"suffix":""},{"dropping-particle":"","family":"Laribi","given":"Kamel","non-dropping-particle":"","parse-names":false,"suffix":""},{"dropping-particle":"","family":"Meddeb","given":"Balkis","non-dropping-particle":"","parse-names":false,"suffix":""},{"dropping-particle":"","family":"Moreno","given":"Carol","non-dropping-particle":"","parse-names":false,"suffix":""},{"dropping-particle":"","family":"Raposo","given":"João","non-dropping-particle":"","parse-names":false,"suffix":""},{"dropping-particle":"","family":"Schuh","given":"Anna","non-dropping-particle":"","parse-names":false,"suffix":""},{"dropping-particle":"","family":"Ünal","given":"Ali","non-dropping-particle":"","parse-names":false,"suffix":""},{"dropping-particle":"","family":"Widenius","given":"Tom","non-dropping-particle":"","parse-names":false,"suffix":""},{"dropping-particle":"","family":"Bernhardt","given":"Alf","non-dropping-particle":"","parse-names":false,"suffix":""},{"dropping-particle":"","family":"Kellershohn","given":"Kerstin","non-dropping-particle":"","parse-names":false,"suffix":""},{"dropping-particle":"","family":"Messeri","given":"Dimitri","non-dropping-particle":"","parse-names":false,"suffix":""},{"dropping-particle":"","family":"Osborne","given":"Stuart","non-dropping-particle":"","parse-names":false,"suffix":""},{"dropping-particle":"","family":"Leblond","given":"Véronique","non-dropping-particle":"","parse-names":false,"suffix":""}],"container-title":"Haematologica","id":"ITEM-3","issue":"4","issued":{"date-parts":[["2018","3","23"]]},"page":"698-706","publisher":"Ferrata Storti Foundation","title":"Rituximab plus bendamustine or chlorambucil for chronic lymphocytic leukemia: Primary analysis of the randomized, open-label mable study","type":"article-journal","volume":"103"},"uris":["http://www.mendeley.com/documents/?uuid=859c3ee1-8c0d-385f-8630-d5411f4572af"]}],"mendeley":{"formattedCitation":"[29,30,37]","plainTextFormattedCitation":"[29,30,37]","previouslyFormattedCitation":"[29,30,37]"},"properties":{"noteIndex":0},"schema":"https://github.com/citation-style-language/schema/raw/master/csl-citation.json"}</w:instrText>
      </w:r>
      <w:r w:rsidR="000B0AC3" w:rsidRPr="009D6AF4">
        <w:fldChar w:fldCharType="separate"/>
      </w:r>
      <w:r w:rsidR="00225D7F" w:rsidRPr="00225D7F">
        <w:rPr>
          <w:noProof/>
        </w:rPr>
        <w:t>[29,30,37]</w:t>
      </w:r>
      <w:r w:rsidR="000B0AC3" w:rsidRPr="009D6AF4">
        <w:fldChar w:fldCharType="end"/>
      </w:r>
      <w:r w:rsidR="00CD5B95" w:rsidRPr="009D6AF4">
        <w:t>.</w:t>
      </w:r>
    </w:p>
    <w:p w14:paraId="2EE8887F" w14:textId="62E06DE7" w:rsidR="0016133E" w:rsidRPr="009D6AF4" w:rsidRDefault="00924BCE" w:rsidP="00D61785">
      <w:pPr>
        <w:pStyle w:val="a4"/>
        <w:numPr>
          <w:ilvl w:val="0"/>
          <w:numId w:val="2"/>
        </w:numPr>
        <w:spacing w:before="0"/>
        <w:ind w:left="993"/>
      </w:pPr>
      <w:r w:rsidRPr="009D6AF4">
        <w:t>И</w:t>
      </w:r>
      <w:r w:rsidR="004D7374" w:rsidRPr="009D6AF4">
        <w:t>брутиниб</w:t>
      </w:r>
      <w:r w:rsidR="00667887" w:rsidRPr="009D6AF4">
        <w:t>**</w:t>
      </w:r>
      <w:r w:rsidR="00E005AA" w:rsidRPr="009D6AF4">
        <w:t xml:space="preserve"> </w:t>
      </w:r>
      <w:r w:rsidR="00E005AA" w:rsidRPr="009D6AF4">
        <w:rPr>
          <w:lang w:eastAsia="ru-RU"/>
        </w:rPr>
        <w:t>420 мг/сут (3 капсулы) внутрь 1 раз в день, ежедневно</w:t>
      </w:r>
      <w:r w:rsidRPr="009D6AF4">
        <w:t xml:space="preserve"> </w:t>
      </w:r>
      <w:r w:rsidR="00CD5B95" w:rsidRPr="009D6AF4">
        <w:t>±</w:t>
      </w:r>
      <w:r w:rsidRPr="009D6AF4">
        <w:t xml:space="preserve"> </w:t>
      </w:r>
      <w:r w:rsidR="00674EB1" w:rsidRPr="005A5605">
        <w:t>#</w:t>
      </w:r>
      <w:r w:rsidRPr="009D6AF4">
        <w:t>ритуксимаб**</w:t>
      </w:r>
      <w:r w:rsidR="00E005AA" w:rsidRPr="009D6AF4">
        <w:t xml:space="preserve"> </w:t>
      </w:r>
      <w:r w:rsidR="00E005AA" w:rsidRPr="009D6AF4">
        <w:rPr>
          <w:rFonts w:eastAsia="Times New Roman"/>
          <w:lang w:eastAsia="ru-RU"/>
        </w:rPr>
        <w:t>50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1 цикла 2; 375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2 цикла 2; 500 мг/м</w:t>
      </w:r>
      <w:r w:rsidR="00E005AA" w:rsidRPr="009D6AF4">
        <w:rPr>
          <w:rFonts w:eastAsia="Times New Roman"/>
          <w:vertAlign w:val="superscript"/>
          <w:lang w:eastAsia="ru-RU"/>
        </w:rPr>
        <w:t>2</w:t>
      </w:r>
      <w:r w:rsidR="00E005AA" w:rsidRPr="009D6AF4">
        <w:rPr>
          <w:rFonts w:eastAsia="Times New Roman"/>
          <w:lang w:eastAsia="ru-RU"/>
        </w:rPr>
        <w:t xml:space="preserve"> в/в кап. или </w:t>
      </w:r>
      <w:r w:rsidR="00492BEA">
        <w:rPr>
          <w:rFonts w:eastAsia="Times New Roman"/>
          <w:lang w:eastAsia="ru-RU"/>
        </w:rPr>
        <w:t xml:space="preserve">1600 </w:t>
      </w:r>
      <w:r w:rsidR="00EA3851">
        <w:rPr>
          <w:rFonts w:eastAsia="Times New Roman"/>
          <w:lang w:eastAsia="ru-RU"/>
        </w:rPr>
        <w:t>мг п/к</w:t>
      </w:r>
      <w:r w:rsidR="00E005AA" w:rsidRPr="009D6AF4">
        <w:rPr>
          <w:rFonts w:eastAsia="Times New Roman"/>
          <w:lang w:eastAsia="ru-RU"/>
        </w:rPr>
        <w:t>, день 1 циклов 3–7, лечение возобновляется на 29-й день</w:t>
      </w:r>
      <w:r w:rsidR="00E005AA" w:rsidRPr="009D6AF4">
        <w:t xml:space="preserve"> </w:t>
      </w:r>
      <w:r w:rsidR="000B0AC3" w:rsidRPr="009D6AF4">
        <w:fldChar w:fldCharType="begin" w:fldLock="1"/>
      </w:r>
      <w:r w:rsidR="00BA7FFC">
        <w:instrText>ADDIN CSL_CITATION {"citationItems":[{"id":"ITEM-1","itemData":{"DOI":"10.1056/NEJMoa1509388","ISSN":"15334406","abstract":"Copyright © 2015 Massachusetts Medical Society. All rights reserved. Background Chronic lymphocytic leukemia (CLL) primarily affects older persons who often have coexisting conditions in addition to disease-related immunosuppression and myelosuppression. We conducted an international, open-label, randomized phase 3 trial to compare two oral agents, ibrutinib and chlorambucil, in previously untreated older patients with CLL or small lymphocytic lymphoma. METHODS We randomly assigned 269 previously untreated patients who were 65 years of age or older and had CLL or small lymphocytic lymphoma to receive ibrutinib or chlorambucil. The primary end point was progression-free survival as assessed by an independent review committee. RESULTS The median age of the patients was 73 years. During a median follow-up period of 18.4 months, ibrutinib resulted in significantly longer progression-free survival than did chlorambucil (median, not reached vs. 18.9 months), with a risk of progression or death that was 84% lower with ibrutinib than that with chlorambucil (hazard ratio, 0.16; P&lt;0.001). Ibrutinib significantly prolonged overall survival; the estimated survival rate at 24 months was 98% with ibrutinib versus 85% with chlorambucil, with a relative risk of death that was 84% lower in the ibrutinib group than in the chlorambucil group (hazard ratio, 0.16; P = 0.001). The overall response rate was higher with ibrutinib than with chlorambucil (86% vs. 35%, P&lt;0.001). The rates of sustained increases from baseline values in the hemoglobin and platelet levels were higher with ibrutinib. Adverse events of any grade that occurred in at least 20% of the patients receiving ibrutinib included diarrhea, fatigue, cough, and nausea; adverse events occurring in at least 20% of those receiving chlorambucil included nausea, fatigue, neutropenia, anemia, and vomiting. In the ibrutinib group, four patients had a grade 3 hemorrhage and one had a grade 4 hemorrhage. A total of 87% of the patients in the ibrutinib group are continuing to take ibrutinib. CONCLUSIONS Ibrutinib was superior to chlorambucil in previously untreated patients with CLL or small lymphocytic lymphoma, as assessed by progression-free survival, overall survival, response rate, and improvement in hematologic variables.","author":[{"dropping-particle":"","family":"Burger","given":"J. A.","non-dropping-particle":"","parse-names":false,"suffix":""},{"dropping-particle":"","family":"Tedeschi","given":"A.","non-dropping-particle":"","parse-names":false,"suffix":""},{"dropping-particle":"","family":"Barr","given":"P.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Bairey","given":"O.","non-dropping-particle":"","parse-names":false,"suffix":""},{"dropping-particle":"","family":"Hillmen","given":"P.","non-dropping-particle":"","parse-names":false,"suffix":""},{"dropping-particle":"","family":"Bartlett","given":"N. L.","non-dropping-particle":"","parse-names":false,"suffix":""},{"dropping-particle":"","family":"Li","given":"J.","non-dropping-particle":"","parse-names":false,"suffix":""},{"dropping-particle":"","family":"Simpson","given":"D.","non-dropping-particle":"","parse-names":false,"suffix":""},{"dropping-particle":"","family":"Grosicki","given":"S.","non-dropping-particle":"","parse-names":false,"suffix":""},{"dropping-particle":"","family":"Devereux","given":"S.","non-dropping-particle":"","parse-names":false,"suffix":""},{"dropping-particle":"","family":"McCarthy","given":"H.","non-dropping-particle":"","parse-names":false,"suffix":""},{"dropping-particle":"","family":"Coutre","given":"S.","non-dropping-particle":"","parse-names":false,"suffix":""},{"dropping-particle":"","family":"Quach","given":"H.","non-dropping-particle":"","parse-names":false,"suffix":""},{"dropping-particle":"","family":"Gaidano","given":"G.","non-dropping-particle":"","parse-names":false,"suffix":""},{"dropping-particle":"","family":"Maslyak","given":"Z.","non-dropping-particle":"","parse-names":false,"suffix":""},{"dropping-particle":"","family":"Stevens","given":"D. A.","non-dropping-particle":"","parse-names":false,"suffix":""},{"dropping-particle":"","family":"Janssens","given":"A.","non-dropping-particle":"","parse-names":false,"suffix":""},{"dropping-particle":"","family":"Offner","given":"F.","non-dropping-particle":"","parse-names":false,"suffix":""},{"dropping-particle":"","family":"Mayer","given":"J.","non-dropping-particle":"","parse-names":false,"suffix":""},{"dropping-particle":"","family":"O'Dwyer","given":"M.","non-dropping-particle":"","parse-names":false,"suffix":""},{"dropping-particle":"","family":"Hellmann","given":"A.","non-dropping-particle":"","parse-names":false,"suffix":""},{"dropping-particle":"","family":"Schuh","given":"A.","non-dropping-particle":"","parse-names":false,"suffix":""},{"dropping-particle":"","family":"Siddiqi","given":"T.","non-dropping-particle":"","parse-names":false,"suffix":""},{"dropping-particle":"","family":"Polliack","given":"A.","non-dropping-particle":"","parse-names":false,"suffix":""},{"dropping-particle":"","family":"Tam","given":"C. S.","non-dropping-particle":"","parse-names":false,"suffix":""},{"dropping-particle":"","family":"Suri","given":"D.","non-dropping-particle":"","parse-names":false,"suffix":""},{"dropping-particle":"","family":"Cheng","given":"M.","non-dropping-particle":"","parse-names":false,"suffix":""},{"dropping-particle":"","family":"Clow","given":"F.","non-dropping-particle":"","parse-names":false,"suffix":""},{"dropping-particle":"","family":"Styles","given":"L.","non-dropping-particle":"","parse-names":false,"suffix":""},{"dropping-particle":"","family":"James","given":"D. F.","non-dropping-particle":"","parse-names":false,"suffix":""},{"dropping-particle":"","family":"Kipps","given":"T. J.","non-dropping-particle":"","parse-names":false,"suffix":""}],"container-title":"New England Journal of Medicine","id":"ITEM-1","issue":"25","issued":{"date-parts":[["2015","12","17"]]},"page":"2425-2437","publisher":"Massachussetts Medical Society","title":"Ibrutinib as initial therapy for patients with chronic lymphocytic leukemia","type":"article-journal","volume":"373"},"uris":["http://www.mendeley.com/documents/?uuid=b01c404b-e988-3c42-b782-5080b7873fdd"]},{"id":"ITEM-2","itemData":{"author":[{"dropping-particle":"","family":"Burger","given":"J.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Proceedings","id":"ITEM-2","issued":{"date-parts":[["2018"]]},"page":"Abstract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Study","type":"paper-conference"},"uris":["http://www.mendeley.com/documents/?uuid=389d0e9a-2ec2-4a92-bba9-2ecfa09ba91e"]},{"id":"ITEM-3","itemData":{"DOI":"10.1056/NEJMoa1812836","ISSN":"1533-4406","PMID":"30501481","abstract":"BACKGROUND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medicine","id":"ITEM-3","issue":"26","issued":{"date-parts":[["2018"]]},"page":"2517-2528","title":"Ibrutinib Regimens versus Chemoimmunotherapy in Older Patients with Untreated CLL.","type":"article-journal","volume":"379"},"uris":["http://www.mendeley.com/documents/?uuid=2dad136c-8d53-3f5e-8a11-7445e6ee5cdf"]}],"mendeley":{"formattedCitation":"[38–40]","plainTextFormattedCitation":"[38–40]","previouslyFormattedCitation":"[38–40]"},"properties":{"noteIndex":0},"schema":"https://github.com/citation-style-language/schema/raw/master/csl-citation.json"}</w:instrText>
      </w:r>
      <w:r w:rsidR="000B0AC3" w:rsidRPr="009D6AF4">
        <w:fldChar w:fldCharType="separate"/>
      </w:r>
      <w:r w:rsidR="00225D7F" w:rsidRPr="00225D7F">
        <w:rPr>
          <w:noProof/>
        </w:rPr>
        <w:t>[38–40]</w:t>
      </w:r>
      <w:r w:rsidR="000B0AC3" w:rsidRPr="009D6AF4">
        <w:fldChar w:fldCharType="end"/>
      </w:r>
      <w:r w:rsidR="00CD5B95" w:rsidRPr="009D6AF4">
        <w:t>.</w:t>
      </w:r>
    </w:p>
    <w:p w14:paraId="16D5A32F" w14:textId="048A00C0" w:rsidR="007C1EA1" w:rsidRPr="009D6AF4" w:rsidRDefault="007C1EA1" w:rsidP="00D61785">
      <w:pPr>
        <w:pStyle w:val="a4"/>
        <w:numPr>
          <w:ilvl w:val="0"/>
          <w:numId w:val="2"/>
        </w:numPr>
        <w:spacing w:before="0"/>
        <w:ind w:left="993"/>
      </w:pPr>
      <w:r>
        <w:t>А</w:t>
      </w:r>
      <w:r w:rsidRPr="00E80103">
        <w:t>калабрутиниб в монорежиме в дозе 100 мг (1 капсула) 2 раза в день независимо от приема пищи ежедневно</w:t>
      </w:r>
      <w:r>
        <w:t xml:space="preserve"> в монотерапии</w:t>
      </w:r>
      <w:r w:rsidRPr="00E80103">
        <w:t xml:space="preserve"> </w:t>
      </w:r>
      <w:r>
        <w:t xml:space="preserve">или в комбинации с </w:t>
      </w:r>
      <w:r w:rsidR="00052BBF" w:rsidRPr="00851861">
        <w:t>#</w:t>
      </w:r>
      <w:r>
        <w:t>обинутузумабом</w:t>
      </w:r>
      <w:r w:rsidRPr="00397360">
        <w:rPr>
          <w:i/>
        </w:rPr>
        <w:t>**</w:t>
      </w:r>
      <w:r w:rsidRPr="005661EF">
        <w:t xml:space="preserve"> </w:t>
      </w:r>
      <w:r>
        <w:fldChar w:fldCharType="begin" w:fldLock="1"/>
      </w:r>
      <w:r w:rsidR="00BA7FFC">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[31]","plainTextFormattedCitation":"[31]","previouslyFormattedCitation":"[31]"},"properties":{"noteIndex":0},"schema":"https://github.com/citation-style-language/schema/raw/master/csl-citation.json"}</w:instrText>
      </w:r>
      <w:r>
        <w:fldChar w:fldCharType="separate"/>
      </w:r>
      <w:r w:rsidR="00225D7F" w:rsidRPr="00225D7F">
        <w:rPr>
          <w:noProof/>
        </w:rPr>
        <w:t>[31]</w:t>
      </w:r>
      <w:r>
        <w:fldChar w:fldCharType="end"/>
      </w:r>
      <w:r w:rsidRPr="005661EF">
        <w:t>.</w:t>
      </w:r>
    </w:p>
    <w:p w14:paraId="29C94EEC" w14:textId="4C4A4FDA" w:rsidR="00924BCE" w:rsidRPr="00055701" w:rsidRDefault="004D7283" w:rsidP="00D61785">
      <w:pPr>
        <w:numPr>
          <w:ilvl w:val="0"/>
          <w:numId w:val="2"/>
        </w:numPr>
        <w:ind w:left="993"/>
        <w:contextualSpacing/>
      </w:pPr>
      <w:r w:rsidRPr="009D6AF4">
        <w:t>Р</w:t>
      </w:r>
      <w:r w:rsidR="004D7374" w:rsidRPr="009D6AF4">
        <w:t>ежим FCR-Lite</w:t>
      </w:r>
      <w:r w:rsidR="00E005AA" w:rsidRPr="009D6AF4">
        <w:t xml:space="preserve"> (</w:t>
      </w:r>
      <w:r w:rsidR="00674EB1" w:rsidRPr="005A5605">
        <w:t>#</w:t>
      </w:r>
      <w:r w:rsidR="00AC39FB" w:rsidRPr="009D6AF4">
        <w:rPr>
          <w:rFonts w:eastAsia="Times New Roman"/>
          <w:lang w:eastAsia="ru-RU"/>
        </w:rPr>
        <w:t>ритуксимаб</w:t>
      </w:r>
      <w:r w:rsidR="00E005AA" w:rsidRPr="009D6AF4">
        <w:rPr>
          <w:rFonts w:eastAsia="Times New Roman"/>
          <w:lang w:eastAsia="ru-RU"/>
        </w:rPr>
        <w:t>** – 1 цикл: 375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1, последующие циклы: 500 мг/м</w:t>
      </w:r>
      <w:r w:rsidR="00E005AA" w:rsidRPr="009D6AF4">
        <w:rPr>
          <w:rFonts w:eastAsia="Times New Roman"/>
          <w:vertAlign w:val="superscript"/>
          <w:lang w:eastAsia="ru-RU"/>
        </w:rPr>
        <w:t>2</w:t>
      </w:r>
      <w:r w:rsidR="00E005AA" w:rsidRPr="009D6AF4">
        <w:rPr>
          <w:rFonts w:eastAsia="Times New Roman"/>
          <w:lang w:eastAsia="ru-RU"/>
        </w:rPr>
        <w:t xml:space="preserve"> в/в кап. или </w:t>
      </w:r>
      <w:r w:rsidR="00492BEA">
        <w:rPr>
          <w:rFonts w:eastAsia="Times New Roman"/>
          <w:lang w:eastAsia="ru-RU"/>
        </w:rPr>
        <w:t>1600</w:t>
      </w:r>
      <w:r w:rsidR="00492BEA" w:rsidRPr="009D6AF4">
        <w:rPr>
          <w:rFonts w:eastAsia="Times New Roman"/>
          <w:lang w:eastAsia="ru-RU"/>
        </w:rPr>
        <w:t xml:space="preserve"> </w:t>
      </w:r>
      <w:r w:rsidR="00E005AA" w:rsidRPr="009D6AF4">
        <w:rPr>
          <w:rFonts w:eastAsia="Times New Roman"/>
          <w:lang w:eastAsia="ru-RU"/>
        </w:rPr>
        <w:t xml:space="preserve">мг п/к, </w:t>
      </w:r>
      <w:r w:rsidR="009D6AF4" w:rsidRPr="009D6AF4">
        <w:rPr>
          <w:rFonts w:eastAsia="Times New Roman"/>
          <w:lang w:eastAsia="ru-RU"/>
        </w:rPr>
        <w:t>день 1</w:t>
      </w:r>
      <w:r w:rsidR="00E005AA" w:rsidRPr="009D6AF4">
        <w:rPr>
          <w:rFonts w:eastAsia="Times New Roman"/>
          <w:lang w:eastAsia="ru-RU"/>
        </w:rPr>
        <w:t xml:space="preserve">; </w:t>
      </w:r>
      <w:r w:rsidR="00AC39FB" w:rsidRPr="009D6AF4">
        <w:rPr>
          <w:rFonts w:eastAsia="Times New Roman"/>
          <w:lang w:eastAsia="ru-RU"/>
        </w:rPr>
        <w:t>флударабин</w:t>
      </w:r>
      <w:r w:rsidR="00E005AA" w:rsidRPr="009D6AF4">
        <w:rPr>
          <w:rFonts w:eastAsia="Times New Roman"/>
          <w:lang w:eastAsia="ru-RU"/>
        </w:rPr>
        <w:t>** – 20 мг/м</w:t>
      </w:r>
      <w:r w:rsidR="00E005AA" w:rsidRPr="009D6AF4">
        <w:rPr>
          <w:rFonts w:eastAsia="Times New Roman"/>
          <w:vertAlign w:val="superscript"/>
          <w:lang w:eastAsia="ru-RU"/>
        </w:rPr>
        <w:t>2</w:t>
      </w:r>
      <w:r w:rsidR="00E005AA" w:rsidRPr="009D6AF4">
        <w:rPr>
          <w:rFonts w:eastAsia="Times New Roman"/>
          <w:lang w:eastAsia="ru-RU"/>
        </w:rPr>
        <w:t xml:space="preserve"> внутрь, дни 1–3; </w:t>
      </w:r>
      <w:r w:rsidR="00674EB1" w:rsidRPr="005A5605">
        <w:rPr>
          <w:rFonts w:eastAsia="Times New Roman"/>
          <w:lang w:eastAsia="ru-RU"/>
        </w:rPr>
        <w:t>#</w:t>
      </w:r>
      <w:r w:rsidR="00AC39FB" w:rsidRPr="00055701">
        <w:rPr>
          <w:rFonts w:eastAsia="Times New Roman"/>
          <w:lang w:eastAsia="ru-RU"/>
        </w:rPr>
        <w:t>циклофосфамид</w:t>
      </w:r>
      <w:r w:rsidR="00E005AA" w:rsidRPr="00055701">
        <w:rPr>
          <w:rFonts w:eastAsia="Times New Roman"/>
          <w:lang w:eastAsia="ru-RU"/>
        </w:rPr>
        <w:t>** – 150 мг/м</w:t>
      </w:r>
      <w:r w:rsidR="00E005AA" w:rsidRPr="00055701">
        <w:rPr>
          <w:rFonts w:eastAsia="Times New Roman"/>
          <w:vertAlign w:val="superscript"/>
          <w:lang w:eastAsia="ru-RU"/>
        </w:rPr>
        <w:t>2</w:t>
      </w:r>
      <w:r w:rsidR="00E005AA" w:rsidRPr="00055701">
        <w:rPr>
          <w:rFonts w:eastAsia="Times New Roman"/>
          <w:lang w:eastAsia="ru-RU"/>
        </w:rPr>
        <w:t xml:space="preserve"> внутрь, дни 1–3. Лечение возобновляется на 29-й день) </w:t>
      </w:r>
      <w:r w:rsidR="004D7374" w:rsidRPr="00055701">
        <w:t xml:space="preserve"> </w:t>
      </w:r>
      <w:r w:rsidR="000B0AC3" w:rsidRPr="00055701">
        <w:fldChar w:fldCharType="begin" w:fldLock="1"/>
      </w:r>
      <w:r w:rsidR="00BA7FFC">
        <w:instrText>ADDIN CSL_CITATION {"citationItems":[{"id":"ITEM-1","itemData":{"author":[{"dropping-particle":"","family":"Nikitin","given":"E.","non-dropping-particle":"","parse-names":false,"suffix":""}],"container-title":"EHA 18 Proceedings","id":"ITEM-1","issued":{"date-parts":[["2013"]]},"page":"Abstract NS1147","title":"Randomised Comparison Of FCR-Lite And ClbR (Chlorambucil Plus Rituximab) Regimens In Elderly Patients With Chronic Lymphocytic Leukemia","type":"paper-conference"},"uris":["http://www.mendeley.com/documents/?uuid=9c736ecf-97c9-47f2-a014-13ebb1759d42"]}],"mendeley":{"formattedCitation":"[41]","plainTextFormattedCitation":"[41]","previouslyFormattedCitation":"[41]"},"properties":{"noteIndex":0},"schema":"https://github.com/citation-style-language/schema/raw/master/csl-citation.json"}</w:instrText>
      </w:r>
      <w:r w:rsidR="000B0AC3" w:rsidRPr="00055701">
        <w:fldChar w:fldCharType="separate"/>
      </w:r>
      <w:r w:rsidR="00225D7F" w:rsidRPr="00225D7F">
        <w:rPr>
          <w:noProof/>
        </w:rPr>
        <w:t>[41]</w:t>
      </w:r>
      <w:r w:rsidR="000B0AC3" w:rsidRPr="00055701">
        <w:fldChar w:fldCharType="end"/>
      </w:r>
      <w:r w:rsidR="00CD5B95" w:rsidRPr="00055701">
        <w:t>.</w:t>
      </w:r>
    </w:p>
    <w:p w14:paraId="2AE584F5" w14:textId="189B1141" w:rsidR="004D7374" w:rsidRPr="00C348F4" w:rsidRDefault="00674EB1" w:rsidP="00D61785">
      <w:pPr>
        <w:pStyle w:val="a4"/>
        <w:numPr>
          <w:ilvl w:val="0"/>
          <w:numId w:val="2"/>
        </w:numPr>
        <w:spacing w:before="0"/>
        <w:ind w:left="993"/>
      </w:pPr>
      <w:r w:rsidRPr="005A5605">
        <w:t>#</w:t>
      </w:r>
      <w:r w:rsidR="0058595A" w:rsidRPr="00055701">
        <w:t>Хлорамбуцил**</w:t>
      </w:r>
      <w:r w:rsidR="00451C55" w:rsidRPr="00055701">
        <w:t xml:space="preserve"> </w:t>
      </w:r>
      <w:r w:rsidR="00451C55" w:rsidRPr="009600FA">
        <w:rPr>
          <w:rFonts w:eastAsia="Times New Roman"/>
          <w:lang w:eastAsia="ru-RU"/>
        </w:rPr>
        <w:t>10 мг/м</w:t>
      </w:r>
      <w:r w:rsidR="00451C55" w:rsidRPr="009600FA">
        <w:rPr>
          <w:rFonts w:eastAsia="Times New Roman"/>
          <w:vertAlign w:val="superscript"/>
          <w:lang w:eastAsia="ru-RU"/>
        </w:rPr>
        <w:t>2</w:t>
      </w:r>
      <w:r w:rsidR="00451C55">
        <w:rPr>
          <w:rFonts w:eastAsia="Times New Roman"/>
          <w:lang w:eastAsia="ru-RU"/>
        </w:rPr>
        <w:t xml:space="preserve"> внутрь, дни 1–</w:t>
      </w:r>
      <w:r w:rsidR="00451C55" w:rsidRPr="009600FA">
        <w:rPr>
          <w:rFonts w:eastAsia="Times New Roman"/>
          <w:lang w:eastAsia="ru-RU"/>
        </w:rPr>
        <w:t>7</w:t>
      </w:r>
      <w:r w:rsidR="0058595A" w:rsidRPr="005C7FBA">
        <w:t xml:space="preserve"> + ритуксимаб**</w:t>
      </w:r>
      <w:r w:rsidR="00451C55">
        <w:t xml:space="preserve"> </w:t>
      </w:r>
      <w:r w:rsidR="00451C55" w:rsidRPr="009600FA">
        <w:rPr>
          <w:rFonts w:eastAsia="Times New Roman"/>
          <w:lang w:eastAsia="ru-RU"/>
        </w:rPr>
        <w:t>1 цикл</w:t>
      </w:r>
      <w:r w:rsidR="00451C55">
        <w:rPr>
          <w:rFonts w:eastAsia="Times New Roman"/>
          <w:lang w:eastAsia="ru-RU"/>
        </w:rPr>
        <w:t>:</w:t>
      </w:r>
      <w:r w:rsidR="00451C55" w:rsidRPr="009600FA">
        <w:rPr>
          <w:rFonts w:eastAsia="Times New Roman"/>
          <w:lang w:eastAsia="ru-RU"/>
        </w:rPr>
        <w:t xml:space="preserve"> 375 мг/м</w:t>
      </w:r>
      <w:r w:rsidR="00451C55" w:rsidRPr="009600FA">
        <w:rPr>
          <w:rFonts w:eastAsia="Times New Roman"/>
          <w:vertAlign w:val="superscript"/>
          <w:lang w:eastAsia="ru-RU"/>
        </w:rPr>
        <w:t>2</w:t>
      </w:r>
      <w:r w:rsidR="00451C55" w:rsidRPr="009600FA">
        <w:rPr>
          <w:rFonts w:eastAsia="Times New Roman"/>
          <w:lang w:eastAsia="ru-RU"/>
        </w:rPr>
        <w:t xml:space="preserve"> в/в кап., день 1, последующие циклы</w:t>
      </w:r>
      <w:r w:rsidR="00451C55">
        <w:rPr>
          <w:rFonts w:eastAsia="Times New Roman"/>
          <w:lang w:eastAsia="ru-RU"/>
        </w:rPr>
        <w:t>:</w:t>
      </w:r>
      <w:r w:rsidR="00451C55" w:rsidRPr="009600FA">
        <w:rPr>
          <w:rFonts w:eastAsia="Times New Roman"/>
          <w:lang w:eastAsia="ru-RU"/>
        </w:rPr>
        <w:t xml:space="preserve"> 500 мг/м</w:t>
      </w:r>
      <w:r w:rsidR="00451C55" w:rsidRPr="009600FA">
        <w:rPr>
          <w:rFonts w:eastAsia="Times New Roman"/>
          <w:vertAlign w:val="superscript"/>
          <w:lang w:eastAsia="ru-RU"/>
        </w:rPr>
        <w:t>2</w:t>
      </w:r>
      <w:r w:rsidR="00451C55" w:rsidRPr="009600FA">
        <w:rPr>
          <w:rFonts w:eastAsia="Times New Roman"/>
          <w:lang w:eastAsia="ru-RU"/>
        </w:rPr>
        <w:t xml:space="preserve"> в/в </w:t>
      </w:r>
      <w:r w:rsidR="00451C55" w:rsidRPr="00C348F4">
        <w:rPr>
          <w:rFonts w:eastAsia="Times New Roman"/>
          <w:lang w:eastAsia="ru-RU"/>
        </w:rPr>
        <w:t xml:space="preserve">кап. или </w:t>
      </w:r>
      <w:r w:rsidR="00492BEA">
        <w:rPr>
          <w:rFonts w:eastAsia="Times New Roman"/>
          <w:lang w:eastAsia="ru-RU"/>
        </w:rPr>
        <w:t xml:space="preserve">1600 </w:t>
      </w:r>
      <w:r w:rsidR="00EA3851">
        <w:rPr>
          <w:rFonts w:eastAsia="Times New Roman"/>
          <w:lang w:eastAsia="ru-RU"/>
        </w:rPr>
        <w:t>мг п/к</w:t>
      </w:r>
      <w:r w:rsidR="00451C55" w:rsidRPr="00C348F4">
        <w:rPr>
          <w:rFonts w:eastAsia="Times New Roman"/>
          <w:lang w:eastAsia="ru-RU"/>
        </w:rPr>
        <w:t>, день 1. Лечение возобновляется на 29-й день</w:t>
      </w:r>
      <w:r w:rsidR="0058595A" w:rsidRPr="00C348F4">
        <w:t xml:space="preserve"> </w:t>
      </w:r>
      <w:r w:rsidR="000B0AC3" w:rsidRPr="00C348F4">
        <w:fldChar w:fldCharType="begin" w:fldLock="1"/>
      </w:r>
      <w:r w:rsidR="00BA7FFC">
        <w:instrText>ADDIN CSL_CITATION {"citationItems":[{"id":"ITEM-1","itemData":{"DOI":"10.1002/ajh.23668","ISSN":"10968652","abstract":"In a phase II trial, we evaluated chlorambucil and rituximab (CLB-R) as first-line induction treatment with or without R as maintenance for elderly chronic lymphocytic leukemia (CLL) patients. Treatment consisted of eight 28-day cycles of CLB (8 mg/m2/day, days 1-7) and R (day 1 of cycle 3, 375 mg/m2; cycles 4-8, 500 mg/m2). Responders were randomized to 12 8-week doses of R (375 mg/m2) or observation. As per intention-to-treat analysis, 82.4% (95% CI, 74.25-90.46%) of 85 patients achieved an overall response (OR), 16.5% a complete response (CR), 2.4% a CR with incomplete bone marrow recovery. The OR was similar across Binet stages (A 86.4%, B 81.6%, and C 78.6%) and age categories (60-64 years, 92.3%; 65-69, 85.2%; 70-74, 75.0%; ≥75, 81.0%). CLB-R was well tolerated. After a median follow-up of 34.2 months, the median progression-free survival (PFS) was 34.7 months (95% CI, 33.1-39.5). TP53 abnormalities, complex karyotype, and low CD20 gene expression predicted lack of response; SF3B1 mutation and BIRC3 disruption low CR rates. IGHV mutations significantly predicted PFS. R maintenance tended towards a better PFS than observation and was safe and most beneficial for patients in partial response and for unmutated IGHV cases. CLB-R represents a promising option for elderly CLL patients. © 2014 Wiley Periodicals, Inc.","author":[{"dropping-particle":"","family":"Foà","given":"Robin","non-dropping-particle":"","parse-names":false,"suffix":""},{"dropping-particle":"","family":"Giudice","given":"Ilaria","non-dropping-particle":"Del","parse-names":false,"suffix":""},{"dropping-particle":"","family":"Cuneo","given":"Antonio","non-dropping-particle":"","parse-names":false,"suffix":""},{"dropping-particle":"","family":"Poeta","given":"Giovanni","non-dropping-particle":"Del","parse-names":false,"suffix":""},{"dropping-particle":"","family":"Ciolli","given":"Stefania","non-dropping-particle":"","parse-names":false,"suffix":""},{"dropping-particle":"","family":"Raimondo","given":"Francesco","non-dropping-particle":"Di","parse-names":false,"suffix":""},{"dropping-particle":"","family":"Lauria","given":"Francesco","non-dropping-particle":"","parse-names":false,"suffix":""},{"dropping-particle":"","family":"Cencini","given":"Emanuele","non-dropping-particle":"","parse-names":false,"suffix":""},{"dropping-particle":"","family":"Rigolin","given":"Gian Matteo","non-dropping-particle":"","parse-names":false,"suffix":""},{"dropping-particle":"","family":"Cortelezzi","given":"Agostino","non-dropping-particle":"","parse-names":false,"suffix":""},{"dropping-particle":"","family":"Nobile","given":"Francesco","non-dropping-particle":"","parse-names":false,"suffix":""},{"dropping-particle":"","family":"Callea","given":"Vincenzo","non-dropping-particle":"","parse-names":false,"suffix":""},{"dropping-particle":"","family":"Brugiatelli","given":"Maura","non-dropping-particle":"","parse-names":false,"suffix":""},{"dropping-particle":"","family":"Massaia","given":"Massimo","non-dropping-particle":"","parse-names":false,"suffix":""},{"dropping-particle":"","family":"Molica","given":"Stefano","non-dropping-particle":"","parse-names":false,"suffix":""},{"dropping-particle":"","family":"Trentin","given":"Livio","non-dropping-particle":"","parse-names":false,"suffix":""},{"dropping-particle":"","family":"Rizzi","given":"Rita","non-dropping-particle":"","parse-names":false,"suffix":""},{"dropping-particle":"","family":"Specchia","given":"Giorgina","non-dropping-particle":"","parse-names":false,"suffix":""},{"dropping-particle":"","family":"Serio","given":"Francesca","non-dropping-particle":"Di","parse-names":false,"suffix":""},{"dropping-particle":"","family":"Orsucci","given":"Lorella","non-dropping-particle":"","parse-names":false,"suffix":""},{"dropping-particle":"","family":"Ambrosetti","given":"Achille","non-dropping-particle":"","parse-names":false,"suffix":""},{"dropping-particle":"","family":"Montillo","given":"Marco","non-dropping-particle":"","parse-names":false,"suffix":""},{"dropping-particle":"","family":"Zinzani","given":"Pier Luigi","non-dropping-particle":"","parse-names":false,"suffix":""},{"dropping-particle":"","family":"Ferrara","given":"Felicetto","non-dropping-particle":"","parse-names":false,"suffix":""},{"dropping-particle":"","family":"Morabito","given":"Fortunato","non-dropping-particle":"","parse-names":false,"suffix":""},{"dropping-particle":"","family":"Mura","given":"Maria Angela","non-dropping-particle":"","parse-names":false,"suffix":""},{"dropping-particle":"","family":"Soriani","given":"Silvia","non-dropping-particle":"","parse-names":false,"suffix":""},{"dropping-particle":"","family":"Peragine","given":"Nadia","non-dropping-particle":"","parse-names":false,"suffix":""},{"dropping-particle":"","family":"Tavolaro","given":"Simona","non-dropping-particle":"","parse-names":false,"suffix":""},{"dropping-particle":"","family":"Bonina","given":"Silvia","non-dropping-particle":"","parse-names":false,"suffix":""},{"dropping-particle":"","family":"Marinelli","given":"Marilisa","non-dropping-particle":"","parse-names":false,"suffix":""},{"dropping-particle":"","family":"Propris","given":"Maria Stefania","non-dropping-particle":"De","parse-names":false,"suffix":""},{"dropping-particle":"Della","family":"Starza","given":"Irene","non-dropping-particle":"","parse-names":false,"suffix":""},{"dropping-particle":"","family":"Piciocchi","given":"Alfonso","non-dropping-particle":"","parse-names":false,"suffix":""},{"dropping-particle":"","family":"Alietti","given":"Alessandra","non-dropping-particle":"","parse-names":false,"suffix":""},{"dropping-particle":"","family":"Runggaldier","given":"Eva Josephine","non-dropping-particle":"","parse-names":false,"suffix":""},{"dropping-particle":"","family":"Gamba","given":"Enrica","non-dropping-particle":"","parse-names":false,"suffix":""},{"dropping-particle":"","family":"Mauro","given":"Francesca Romana","non-dropping-particle":"","parse-names":false,"suffix":""},{"dropping-particle":"","family":"Chiaretti","given":"Sabina","non-dropping-particle":"","parse-names":false,"suffix":""},{"dropping-particle":"","family":"Guarini","given":"Anna","non-dropping-particle":"","parse-names":false,"suffix":""}],"container-title":"American Journal of Hematology","id":"ITEM-1","issue":"5","issued":{"date-parts":[["2014"]]},"page":"480-486","publisher":"Wiley-Liss Inc.","title":"Chlorambucil plus rituximab with or without maintenance rituximab as first-line treatment for elderly chronic lymphocytic leukemia patients","type":"article-journal","volume":"89"},"uris":["http://www.mendeley.com/documents/?uuid=862108c3-56b0-35c8-b867-3539bca5cf9a"]},{"id":"ITEM-2","itemData":{"DOI":"10.1200/JCO.2013.49.6547","ISSN":"15277755","abstract":"Purpose Most patients with chronic lymphocytic leukemia (CLL) are elderly and/or have comorbidities that may make them ineligible for fludarabine-based treatment. For this population, chlorambucil monotherapy is an appropriate therapeutic option; however, response rates with chlorambucil are low, and more effective treatments are needed. This trial was designed to assess how the addition of rituximab to chlorambucil (R-chlorambucil) would affect safety and efficacy in patients with CLL.Patients and Methods Patients with first-line CLL were treated with rituximab (375 mg/m2 on day 1, cycle one, and 500 mg/m2 thereafter) plus chlorambucil (10 mg/m2/d all cycles; day 1 through 7) for six 28-day cycles. For patients not achieving complete response (CR), six additional cycles of chlorambucil alone could be administered. The primary end point of the study was safety.Results A total of 100 patients were treated with R-chlorambucil, with a median follow-up of 30 months. Median age of patients was 70 years (range, 43 to 86 years), with patients having a median of seven comorbidities. Hematologic toxicities accounted for most grade 3/4 adverse events reported, with neutropenia and lymphopenia both occurring in 41% of patients and leukopenia in 23%. Overall response rates were 84%, with CR achieved in 10% of patients. Median progression-free survival was 23.5 months; median overall survival was not reached.Conclusion These results compare favorably with previously published results for chlorambucil monotherapy, suggesting that the addition of rituximab to chlorambucil may improve efficacy with no unexpected adverse events. R-chlorambucil may improve outcome for patients who are ineligible for fludarabine-based treatments.","author":[{"dropping-particle":"","family":"Hillmen","given":"Peter","non-dropping-particle":"","parse-names":false,"suffix":""},{"dropping-particle":"","family":"Gribben","given":"John G.","non-dropping-particle":"","parse-names":false,"suffix":""},{"dropping-particle":"","family":"Follows","given":"George A.","non-dropping-particle":"","parse-names":false,"suffix":""},{"dropping-particle":"","family":"Milligan","given":"Donald","non-dropping-particle":"","parse-names":false,"suffix":""},{"dropping-particle":"","family":"Sayala","given":"Hazem A.","non-dropping-particle":"","parse-names":false,"suffix":""},{"dropping-particle":"","family":"Moreton","given":"Paul","non-dropping-particle":"","parse-names":false,"suffix":""},{"dropping-particle":"","family":"Oscier","given":"David G.","non-dropping-particle":"","parse-names":false,"suffix":""},{"dropping-particle":"","family":"Dearden","given":"Claire E.","non-dropping-particle":"","parse-names":false,"suffix":""},{"dropping-particle":"","family":"Kennedy","given":"Daniel B.","non-dropping-particle":"","parse-names":false,"suffix":""},{"dropping-particle":"","family":"Pettitt","given":"Andrew R.","non-dropping-particle":"","parse-names":false,"suffix":""},{"dropping-particle":"","family":"Nathwani","given":"Amit","non-dropping-particle":"","parse-names":false,"suffix":""},{"dropping-particle":"","family":"Varghese","given":"Abraham","non-dropping-particle":"","parse-names":false,"suffix":""},{"dropping-particle":"","family":"Cohen","given":"Dena","non-dropping-particle":"","parse-names":false,"suffix":""},{"dropping-particle":"","family":"Rawstron","given":"Andy","non-dropping-particle":"","parse-names":false,"suffix":""},{"dropping-particle":"","family":"Oertel","given":"Stephan","non-dropping-particle":"","parse-names":false,"suffix":""},{"dropping-particle":"","family":"Pocock","given":"Christopher F E","non-dropping-particle":"","parse-names":false,"suffix":""}],"container-title":"Journal of Clinical Oncology","id":"ITEM-2","issue":"12","issued":{"date-parts":[["2014","4","20"]]},"page":"1236-1241","publisher":"American Society of Clinical Oncology","title":"Rituximab plus chlorambucil as first-line treatment for chronic lymphocytic leukemia: Final analysis of an open-label phase II study","type":"article-journal","volume":"32"},"uris":["http://www.mendeley.com/documents/?uuid=590b0f66-c88b-3951-a495-fe23ae67efb0"]}],"mendeley":{"formattedCitation":"[42,43]","plainTextFormattedCitation":"[42,43]","previouslyFormattedCitation":"[42,43]"},"properties":{"noteIndex":0},"schema":"https://github.com/citation-style-language/schema/raw/master/csl-citation.json"}</w:instrText>
      </w:r>
      <w:r w:rsidR="000B0AC3" w:rsidRPr="00C348F4">
        <w:fldChar w:fldCharType="separate"/>
      </w:r>
      <w:r w:rsidR="00225D7F" w:rsidRPr="00225D7F">
        <w:rPr>
          <w:noProof/>
        </w:rPr>
        <w:t>[42,43]</w:t>
      </w:r>
      <w:r w:rsidR="000B0AC3" w:rsidRPr="00C348F4">
        <w:fldChar w:fldCharType="end"/>
      </w:r>
      <w:r w:rsidR="00CD5B95" w:rsidRPr="00C348F4">
        <w:t>.</w:t>
      </w:r>
    </w:p>
    <w:p w14:paraId="422A80F2" w14:textId="76987B18" w:rsidR="00B549A0" w:rsidRPr="00C348F4" w:rsidRDefault="00AC39FB" w:rsidP="00D61785">
      <w:pPr>
        <w:pStyle w:val="a4"/>
        <w:numPr>
          <w:ilvl w:val="0"/>
          <w:numId w:val="2"/>
        </w:numPr>
        <w:spacing w:before="0"/>
        <w:ind w:left="993"/>
      </w:pPr>
      <w:bookmarkStart w:id="51" w:name="_Hlk16594357"/>
      <w:r w:rsidRPr="00C348F4">
        <w:t>#В</w:t>
      </w:r>
      <w:r w:rsidR="00B549A0" w:rsidRPr="00C348F4">
        <w:t>енетоклакс</w:t>
      </w:r>
      <w:r w:rsidR="00E0050E" w:rsidRPr="00F6725A">
        <w:t>**</w:t>
      </w:r>
      <w:r w:rsidR="00B549A0" w:rsidRPr="00C348F4">
        <w:t xml:space="preserve"> </w:t>
      </w:r>
      <w:r w:rsidR="00451C55" w:rsidRPr="00C348F4">
        <w:rPr>
          <w:lang w:eastAsia="ru-RU"/>
        </w:rPr>
        <w:t xml:space="preserve">20 мг/сут, дни 22–28 цикла 1; 50 мг/сут дни 1–7 цикла 2; 100 мг/сут дни 8–14 цикла 2; 200 мг/сут дни 15–21 цикла 2; 400 мг/сут дни 22–28 цикла 2, далее 400 мг/сут в течение 12 </w:t>
      </w:r>
      <w:r w:rsidR="00451C55" w:rsidRPr="00C348F4">
        <w:rPr>
          <w:szCs w:val="24"/>
        </w:rPr>
        <w:t>мес</w:t>
      </w:r>
      <w:r w:rsidR="00451C55" w:rsidRPr="00C348F4">
        <w:t xml:space="preserve"> </w:t>
      </w:r>
      <w:r w:rsidR="00B549A0" w:rsidRPr="00C348F4">
        <w:t>+ обинутузумаб</w:t>
      </w:r>
      <w:r w:rsidR="005C7FBA" w:rsidRPr="00C348F4">
        <w:t>**</w:t>
      </w:r>
      <w:bookmarkEnd w:id="51"/>
      <w:r w:rsidR="00451C55" w:rsidRPr="00C348F4">
        <w:t xml:space="preserve"> </w:t>
      </w:r>
      <w:r w:rsidR="00451C55" w:rsidRPr="00C348F4">
        <w:rPr>
          <w:lang w:eastAsia="ru-RU"/>
        </w:rPr>
        <w:t xml:space="preserve">100 мг, день 1 цикла 1; 900 мг день 2 цикла 1; 1000 мг день 8 цикла 1; 1000 мг день 15 цикла 1; 1000 мг день 1 цикла 2; 1000 мг день 1 циклов 3–6 </w:t>
      </w:r>
      <w:r w:rsidR="000B0AC3" w:rsidRPr="00C348F4">
        <w:fldChar w:fldCharType="begin" w:fldLock="1"/>
      </w:r>
      <w:r w:rsidR="00BA7FFC">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[44]","plainTextFormattedCitation":"[44]","previouslyFormattedCitation":"[44]"},"properties":{"noteIndex":0},"schema":"https://github.com/citation-style-language/schema/raw/master/csl-citation.json"}</w:instrText>
      </w:r>
      <w:r w:rsidR="000B0AC3" w:rsidRPr="00C348F4">
        <w:fldChar w:fldCharType="separate"/>
      </w:r>
      <w:r w:rsidR="00225D7F" w:rsidRPr="00225D7F">
        <w:rPr>
          <w:noProof/>
        </w:rPr>
        <w:t>[44]</w:t>
      </w:r>
      <w:r w:rsidR="000B0AC3" w:rsidRPr="00C348F4">
        <w:fldChar w:fldCharType="end"/>
      </w:r>
      <w:r w:rsidR="00CD5B95" w:rsidRPr="00C348F4">
        <w:t>.</w:t>
      </w:r>
    </w:p>
    <w:p w14:paraId="73A1AADD" w14:textId="2A1BDDDF" w:rsidR="00EC5A18" w:rsidRPr="00C348F4" w:rsidRDefault="00AC39FB" w:rsidP="00D61785">
      <w:pPr>
        <w:pStyle w:val="a4"/>
        <w:numPr>
          <w:ilvl w:val="0"/>
          <w:numId w:val="2"/>
        </w:numPr>
        <w:spacing w:before="0"/>
        <w:ind w:left="993"/>
      </w:pPr>
      <w:r w:rsidRPr="00C348F4">
        <w:t>В</w:t>
      </w:r>
      <w:r w:rsidR="00EC5A18" w:rsidRPr="00C348F4">
        <w:t>енетоклакс</w:t>
      </w:r>
      <w:r w:rsidR="00E0050E" w:rsidRPr="00932BCF">
        <w:t>**</w:t>
      </w:r>
      <w:r w:rsidR="00F0422A" w:rsidRPr="00C348F4">
        <w:t xml:space="preserve"> </w:t>
      </w:r>
      <w:r w:rsidR="00CD5B95" w:rsidRPr="00C348F4">
        <w:t xml:space="preserve">в режиме </w:t>
      </w:r>
      <w:r w:rsidR="0048027B" w:rsidRPr="00C348F4">
        <w:t>монотерапи</w:t>
      </w:r>
      <w:r w:rsidR="00CD5B95" w:rsidRPr="00C348F4">
        <w:t xml:space="preserve">и </w:t>
      </w:r>
      <w:r w:rsidR="00451C55" w:rsidRPr="00C348F4">
        <w:rPr>
          <w:lang w:eastAsia="ru-RU"/>
        </w:rPr>
        <w:t>20 мг/сут (нед. 1), 50 мг/сут (нед. 2), 100 мг/сут (нед. 3), 200 мг/сут (нед. 4), 400 мг/сут (нед. 5 и далее), до прогрессирования или развития непереносимой токсичности</w:t>
      </w:r>
      <w:r w:rsidR="00451C55" w:rsidRPr="00C348F4">
        <w:t xml:space="preserve"> </w:t>
      </w:r>
      <w:r w:rsidR="00577F69" w:rsidRPr="00C348F4">
        <w:t>–</w:t>
      </w:r>
      <w:r w:rsidR="00BC77DD" w:rsidRPr="00C348F4">
        <w:t xml:space="preserve"> пациентам,</w:t>
      </w:r>
      <w:r w:rsidR="00646FFF" w:rsidRPr="00C348F4">
        <w:t xml:space="preserve"> </w:t>
      </w:r>
      <w:r w:rsidR="00BC77DD" w:rsidRPr="00C348F4">
        <w:t xml:space="preserve">которым лечение ибрутинибом** не может быть назначено </w:t>
      </w:r>
      <w:r w:rsidR="000B0AC3" w:rsidRPr="00C348F4">
        <w:fldChar w:fldCharType="begin" w:fldLock="1"/>
      </w:r>
      <w:r w:rsidR="00BA7FFC">
        <w:instrText>ADDIN CSL_CITATION {"citationItems":[{"id":"ITEM-1","itemData":{"DOI":"10.1016/S1470-2045(17)30909-9","ISSN":"14745488","PMID":"29246803","abstract":"Background Therapy targeting Bruton's tyrosine kinase (BTK) with ibrutinib has transformed the treatment of chronic lymphocytic leukaemia. However, patients who are refractory to or relapse after ibrutinib therapy have poor outcomes. Venetoclax is a selective, orally bioavailable inhibitor of BCL-2 active in previously treated patients with relapsed or refractory chronic lymphocytic leukaemia. In this study, we assessed the activity and safety of venetoclax in patients with chronic lymphocytic leukaemia who are refractory to or relapse during or after ibrutinib therapy. Methods In this interim analysis of a multicentre, open-label, non-randomised, phase 2 trial, we enrolled patients aged 18 years or older with a documented diagnosis of chronic lymphocytic leukaemia according to the 2008 International Workshop on Chronic Lymphocytic Leukemia (IWCLL) criteria and an Eastern Cooperative Oncology Group performance score of 2 or lower. All patients had relapsed or refractory disease after previous treatment with a BCR signalling pathway inhibitor. All patients were screened for Richter's transformation and cases confirmed by biopsy were excluded. Eligible patients received oral venetoclax, starting at 20 mg per day with stepwise dose ramp-up over 5 weeks to 400 mg per day. Patients with rapidly progressing disease received an accelerated dosing schedule (to 400 mg per day by week 3). The primary endpoint was overall response, defined as the proportion of patients with an overall response per investigator's assessment according to IWCLL criteria. All patients who received at least one dose of venetoclax were included in the activity and safety analyses. This study is ongoing; data for this interim analysis were collected per regulatory agencies' request as of June 30, 2017. This trial is registered with ClinicalTrials.gov, number NCT02141282. Findings Between September, 2014, and November, 2016, 127 previously treated patients with relapsed or refractory chronic lymphocytic leukaemia were enrolled from 15 sites across the USA. 91 patients had received ibrutinib as the last BCR inhibitor therapy before enrolment, 43 of whom were enrolled in the main cohort and 48 in the expansion cohort recruited later after a protocol amendment. At the time of analysis, the median follow-up was 14 months (IQR 8–18) for all 91 patients, 19 months (9–27) for the main cohort, and 12 months (8–15) for the expansion cohort. 59 (65%, 95% CI 53–74) of 91 patients had an overall resp…","author":[{"dropping-particle":"","family":"Jones","given":"Jeffrey A.","non-dropping-particle":"","parse-names":false,"suffix":""},{"dropping-particle":"","family":"Mato","given":"Anthony R.","non-dropping-particle":"","parse-names":false,"suffix":""},{"dropping-particle":"","family":"Wierda","given":"William G.","non-dropping-particle":"","parse-names":false,"suffix":""},{"dropping-particle":"","family":"Davids","given":"Matthew S.","non-dropping-particle":"","parse-names":false,"suffix":""},{"dropping-particle":"","family":"Choi","given":"Michael","non-dropping-particle":"","parse-names":false,"suffix":""},{"dropping-particle":"","family":"Cheson","given":"Bruce D.","non-dropping-particle":"","parse-names":false,"suffix":""},{"dropping-particle":"","family":"Furman","given":"Richard R.","non-dropping-particle":"","parse-names":false,"suffix":""},{"dropping-particle":"","family":"Lamanna","given":"Nicole","non-dropping-particle":"","parse-names":false,"suffix":""},{"dropping-particle":"","family":"Barr","given":"Paul M.","non-dropping-particle":"","parse-names":false,"suffix":""},{"dropping-particle":"","family":"Zhou","given":"Lang","non-dropping-particle":"","parse-names":false,"suffix":""},{"dropping-particle":"","family":"Chyla","given":"Brenda","non-dropping-particle":"","parse-names":false,"suffix":""},{"dropping-particle":"","family":"Salem","given":"Ahmed Hamed","non-dropping-particle":"","parse-names":false,"suffix":""},{"dropping-particle":"","family":"Verdugo","given":"Maria","non-dropping-particle":"","parse-names":false,"suffix":""},{"dropping-particle":"","family":"Humerickhouse","given":"Rod A.","non-dropping-particle":"","parse-names":false,"suffix":""},{"dropping-particle":"","family":"Potluri","given":"Jalaja","non-dropping-particle":"","parse-names":false,"suffix":""},{"dropping-particle":"","family":"Coutre","given":"Steven","non-dropping-particle":"","parse-names":false,"suffix":""},{"dropping-particle":"","family":"Woyach","given":"Jennifer","non-dropping-particle":"","parse-names":false,"suffix":""},{"dropping-particle":"","family":"Byrd","given":"John C.","non-dropping-particle":"","parse-names":false,"suffix":""}],"container-title":"The Lancet Oncology","id":"ITEM-1","issue":"1","issued":{"date-parts":[["2018","1","1"]]},"page":"65-75","publisher":"Lancet Publishing Group","title":"Venetoclax for chronic lymphocytic leukaemia progressing after ibrutinib: an interim analysis of a multicentre, open-label, phase 2 trial","type":"article-journal","volume":"19"},"uris":["http://www.mendeley.com/documents/?uuid=aa27c99a-3994-4445-9b9b-93c0cae2813c"]}],"mendeley":{"formattedCitation":"[45]","plainTextFormattedCitation":"[45]","previouslyFormattedCitation":"[45]"},"properties":{"noteIndex":0},"schema":"https://github.com/citation-style-language/schema/raw/master/csl-citation.json"}</w:instrText>
      </w:r>
      <w:r w:rsidR="000B0AC3" w:rsidRPr="00C348F4">
        <w:fldChar w:fldCharType="separate"/>
      </w:r>
      <w:r w:rsidR="00225D7F" w:rsidRPr="00225D7F">
        <w:rPr>
          <w:noProof/>
        </w:rPr>
        <w:t>[45]</w:t>
      </w:r>
      <w:r w:rsidR="000B0AC3" w:rsidRPr="00C348F4">
        <w:fldChar w:fldCharType="end"/>
      </w:r>
      <w:r w:rsidR="006D1E7B" w:rsidRPr="00C348F4">
        <w:rPr>
          <w:lang w:val="en-US"/>
        </w:rPr>
        <w:t>.</w:t>
      </w:r>
    </w:p>
    <w:p w14:paraId="1C24D028" w14:textId="77777777" w:rsidR="004D7374" w:rsidRPr="00CD5B95" w:rsidRDefault="004D7374" w:rsidP="0080011C">
      <w:pPr>
        <w:ind w:left="426"/>
        <w:contextualSpacing/>
        <w:rPr>
          <w:b/>
          <w:spacing w:val="-4"/>
        </w:rPr>
      </w:pPr>
      <w:r w:rsidRPr="00CD5B95">
        <w:rPr>
          <w:b/>
          <w:spacing w:val="-4"/>
        </w:rPr>
        <w:t xml:space="preserve">Уровень убедительности </w:t>
      </w:r>
      <w:r w:rsidR="00C20509" w:rsidRPr="00CD5B95">
        <w:rPr>
          <w:b/>
          <w:spacing w:val="-4"/>
        </w:rPr>
        <w:t xml:space="preserve">рекомендаций – </w:t>
      </w:r>
      <w:r w:rsidR="00451C55">
        <w:rPr>
          <w:b/>
          <w:spacing w:val="-4"/>
        </w:rPr>
        <w:t>В</w:t>
      </w:r>
      <w:r w:rsidR="00451C55" w:rsidRPr="00CD5B95">
        <w:rPr>
          <w:b/>
          <w:spacing w:val="-4"/>
        </w:rPr>
        <w:t xml:space="preserve"> </w:t>
      </w:r>
      <w:r w:rsidRPr="00CD5B95">
        <w:rPr>
          <w:b/>
          <w:spacing w:val="-4"/>
        </w:rPr>
        <w:t>(урове</w:t>
      </w:r>
      <w:r w:rsidR="001E3D61" w:rsidRPr="00CD5B95">
        <w:rPr>
          <w:b/>
          <w:spacing w:val="-4"/>
        </w:rPr>
        <w:t xml:space="preserve">нь достоверности </w:t>
      </w:r>
      <w:r w:rsidR="00C20509" w:rsidRPr="00CD5B95">
        <w:rPr>
          <w:b/>
          <w:spacing w:val="-4"/>
        </w:rPr>
        <w:t xml:space="preserve">доказательств – </w:t>
      </w:r>
      <w:r w:rsidR="00451C55">
        <w:rPr>
          <w:b/>
          <w:spacing w:val="-4"/>
        </w:rPr>
        <w:t>3</w:t>
      </w:r>
      <w:r w:rsidRPr="00CD5B95">
        <w:rPr>
          <w:b/>
          <w:spacing w:val="-4"/>
        </w:rPr>
        <w:t>)</w:t>
      </w:r>
      <w:r w:rsidR="00912FAC" w:rsidRPr="00CD5B95">
        <w:rPr>
          <w:b/>
          <w:spacing w:val="-4"/>
        </w:rPr>
        <w:t>.</w:t>
      </w:r>
    </w:p>
    <w:p w14:paraId="4B524959" w14:textId="77777777" w:rsidR="00FD132B" w:rsidRDefault="00A81638" w:rsidP="005D3BBD">
      <w:pPr>
        <w:ind w:firstLine="426"/>
        <w:contextualSpacing/>
        <w:rPr>
          <w:i/>
        </w:rPr>
      </w:pPr>
      <w:r>
        <w:rPr>
          <w:b/>
        </w:rPr>
        <w:t>Комментарии</w:t>
      </w:r>
      <w:r w:rsidR="004D7374" w:rsidRPr="00912FAC">
        <w:rPr>
          <w:b/>
        </w:rPr>
        <w:t xml:space="preserve">: </w:t>
      </w:r>
      <w:r w:rsidR="00B6655F" w:rsidRPr="00FD132B">
        <w:rPr>
          <w:i/>
        </w:rPr>
        <w:t>у</w:t>
      </w:r>
      <w:r w:rsidR="00B6655F">
        <w:rPr>
          <w:i/>
        </w:rPr>
        <w:t xml:space="preserve"> </w:t>
      </w:r>
      <w:r w:rsidR="00FD132B">
        <w:rPr>
          <w:i/>
        </w:rPr>
        <w:t>пожилых пациентов могут применяться менее интенсивные режимы</w:t>
      </w:r>
      <w:r w:rsidR="00CD5B95" w:rsidRPr="00CD5B95">
        <w:rPr>
          <w:i/>
        </w:rPr>
        <w:t xml:space="preserve"> </w:t>
      </w:r>
      <w:r w:rsidR="00CD5B95">
        <w:rPr>
          <w:i/>
        </w:rPr>
        <w:t>иммунохимиотерапии</w:t>
      </w:r>
      <w:r w:rsidR="00FD132B">
        <w:rPr>
          <w:i/>
        </w:rPr>
        <w:t xml:space="preserve">, терапия таргетными препаратами. </w:t>
      </w:r>
    </w:p>
    <w:p w14:paraId="2ED4CBBA" w14:textId="56E32E48" w:rsidR="00FD132B" w:rsidRPr="00C348F4" w:rsidRDefault="00FD132B" w:rsidP="003F5F47">
      <w:pPr>
        <w:contextualSpacing/>
        <w:rPr>
          <w:i/>
        </w:rPr>
      </w:pPr>
      <w:r w:rsidRPr="00912FAC">
        <w:rPr>
          <w:i/>
        </w:rPr>
        <w:lastRenderedPageBreak/>
        <w:t xml:space="preserve">В исследовании MABLE </w:t>
      </w:r>
      <w:r w:rsidR="00CD5B95">
        <w:rPr>
          <w:i/>
        </w:rPr>
        <w:t>сопоставлены</w:t>
      </w:r>
      <w:r w:rsidRPr="00912FAC">
        <w:rPr>
          <w:i/>
        </w:rPr>
        <w:t xml:space="preserve"> режимы BR и Clb-R у пожилых пациентов</w:t>
      </w:r>
      <w:r>
        <w:rPr>
          <w:i/>
        </w:rPr>
        <w:t xml:space="preserve"> и </w:t>
      </w:r>
      <w:r w:rsidRPr="00912FAC">
        <w:rPr>
          <w:i/>
        </w:rPr>
        <w:t xml:space="preserve">показана более высокая частота полных ремиссий в группе BR, а также увеличение ВБП (39,6 </w:t>
      </w:r>
      <w:r w:rsidR="00F07AA9">
        <w:rPr>
          <w:i/>
        </w:rPr>
        <w:t>мес.</w:t>
      </w:r>
      <w:r w:rsidRPr="00912FAC">
        <w:rPr>
          <w:i/>
        </w:rPr>
        <w:t xml:space="preserve"> против 29,9</w:t>
      </w:r>
      <w:r w:rsidR="000F6931">
        <w:rPr>
          <w:i/>
        </w:rPr>
        <w:t xml:space="preserve"> мес.</w:t>
      </w:r>
      <w:r w:rsidRPr="00912FAC">
        <w:rPr>
          <w:i/>
        </w:rPr>
        <w:t xml:space="preserve"> соответственно, p = 0,003)</w:t>
      </w:r>
      <w:r w:rsidR="00CD5B95">
        <w:rPr>
          <w:i/>
        </w:rPr>
        <w:t xml:space="preserve"> </w:t>
      </w:r>
      <w:r w:rsidR="000B0AC3" w:rsidRPr="00CD5B95">
        <w:rPr>
          <w:i/>
        </w:rPr>
        <w:fldChar w:fldCharType="begin" w:fldLock="1"/>
      </w:r>
      <w:r w:rsidR="00BA7FFC">
        <w:rPr>
          <w:i/>
        </w:rPr>
        <w:instrText>ADDIN CSL_CITATION {"citationItems":[{"id":"ITEM-1","itemData":{"DOI":"10.3324/haematol.2017.170480","ISSN":"15928721","abstract":"© 2018 Ferrata Storti Foundation. MABLE investigated the efficacy and safety of rituximab plus bendamustine or rituximab plus chlorambucil in fludarabine-ineligible patients with chronic lymphocytic leukemia. Patients received rituximab plus bendamustine or rituximab plus chlorambucil every four weeks for six cycles. Rituximab plus chlorambucil-treated patients without a complete response after Cycle 6 received chlorambucil monotherapy for at least six additional cycles or until complete response. The primary endpoint was complete response rate (confirmed by bone marrow biopsy) after Cycle 6 in first-line patients. Secondary endpoints included progression-free survival, overall survival, minimal residual disease, and safety. Overall, 357 patients were randomized (rituximab plus bendamustine, n=178; rituximab plus chlorambucil, n=179; intent-to-treat population), including 241 first-line patients (n=121 and n=120, respectively); 355 patients received treatment (n=177 and n=178, respectively; safety population). In first-line patients, complete response rate after Cycle 6 (rituximab plus bendamustine, 24%; rituximab plus chlorambucil, 9%; P=0.002) and median progression-free survival (rituximab plus bendamustine, 40 months; rituximab plus chlorambucil, 30 months; P=0.003) were higher with rituximab plus bendamustine than rituximab plus chlorambucil. Overall response rate and overall survival were not different. In first-line patients with a complete response, minimal residual disease-negativity was higher with rituximab plus bendamustine than rituximab plus chlorambucil (66% vs. 36%). Overall adverse event incidence was similar (rituximab plus bendamustine, 98%; rituximab plus chlorambucil, 97%). Rituximab plus bendamustine may be a valuable first-line option for fludarabine-ineligible patients with chronic lymphocytic leukemia.","author":[{"dropping-particle":"","family":"Michallet","given":"Anne Sophie","non-dropping-particle":"","parse-names":false,"suffix":""},{"dropping-particle":"","family":"Aktan","given":"Melih","non-dropping-particle":"","parse-names":false,"suffix":""},{"dropping-particle":"","family":"Hiddemann","given":"Wolfgang","non-dropping-particle":"","parse-names":false,"suffix":""},{"dropping-particle":"","family":"Ilhan","given":"Osman","non-dropping-particle":"","parse-names":false,"suffix":""},{"dropping-particle":"","family":"Johansson","given":"Peter","non-dropping-particle":"","parse-names":false,"suffix":""},{"dropping-particle":"","family":"Laribi","given":"Kamel","non-dropping-particle":"","parse-names":false,"suffix":""},{"dropping-particle":"","family":"Meddeb","given":"Balkis","non-dropping-particle":"","parse-names":false,"suffix":""},{"dropping-particle":"","family":"Moreno","given":"Carol","non-dropping-particle":"","parse-names":false,"suffix":""},{"dropping-particle":"","family":"Raposo","given":"João","non-dropping-particle":"","parse-names":false,"suffix":""},{"dropping-particle":"","family":"Schuh","given":"Anna","non-dropping-particle":"","parse-names":false,"suffix":""},{"dropping-particle":"","family":"Ünal","given":"Ali","non-dropping-particle":"","parse-names":false,"suffix":""},{"dropping-particle":"","family":"Widenius","given":"Tom","non-dropping-particle":"","parse-names":false,"suffix":""},{"dropping-particle":"","family":"Bernhardt","given":"Alf","non-dropping-particle":"","parse-names":false,"suffix":""},{"dropping-particle":"","family":"Kellershohn","given":"Kerstin","non-dropping-particle":"","parse-names":false,"suffix":""},{"dropping-particle":"","family":"Messeri","given":"Dimitri","non-dropping-particle":"","parse-names":false,"suffix":""},{"dropping-particle":"","family":"Osborne","given":"Stuart","non-dropping-particle":"","parse-names":false,"suffix":""},{"dropping-particle":"","family":"Leblond","given":"Véronique","non-dropping-particle":"","parse-names":false,"suffix":""}],"container-title":"Haematologica","id":"ITEM-1","issue":"4","issued":{"date-parts":[["2018","3","23"]]},"page":"698-706","publisher":"Ferrata Storti Foundation","title":"Rituximab plus bendamustine or chlorambucil for chronic lymphocytic leukemia: Primary analysis of the randomized, open-label mable study","type":"article-journal","volume":"103"},"uris":["http://www.mendeley.com/documents/?uuid=859c3ee1-8c0d-385f-8630-d5411f4572af"]}],"mendeley":{"formattedCitation":"[37]","plainTextFormattedCitation":"[37]","previouslyFormattedCitation":"[37]"},"properties":{"noteIndex":0},"schema":"https://github.com/citation-style-language/schema/raw/master/csl-citation.json"}</w:instrText>
      </w:r>
      <w:r w:rsidR="000B0AC3" w:rsidRPr="00CD5B95">
        <w:rPr>
          <w:i/>
        </w:rPr>
        <w:fldChar w:fldCharType="separate"/>
      </w:r>
      <w:r w:rsidR="00225D7F" w:rsidRPr="00225D7F">
        <w:rPr>
          <w:noProof/>
        </w:rPr>
        <w:t>[37]</w:t>
      </w:r>
      <w:r w:rsidR="000B0AC3" w:rsidRPr="00CD5B95">
        <w:rPr>
          <w:i/>
        </w:rPr>
        <w:fldChar w:fldCharType="end"/>
      </w:r>
      <w:r w:rsidRPr="00CD5B95">
        <w:rPr>
          <w:i/>
        </w:rPr>
        <w:t>.</w:t>
      </w:r>
      <w:r>
        <w:rPr>
          <w:i/>
        </w:rPr>
        <w:t xml:space="preserve"> </w:t>
      </w:r>
      <w:r w:rsidRPr="00912FAC">
        <w:rPr>
          <w:i/>
        </w:rPr>
        <w:t xml:space="preserve">По данным российского рандомизированного исследования, </w:t>
      </w:r>
      <w:r w:rsidRPr="00C348F4">
        <w:rPr>
          <w:i/>
        </w:rPr>
        <w:t>применение режима FCR-Lite позволило увеличить медиану ВБП пожилых пациентов</w:t>
      </w:r>
      <w:r w:rsidR="000F6931" w:rsidRPr="00C348F4">
        <w:rPr>
          <w:i/>
        </w:rPr>
        <w:t xml:space="preserve"> с</w:t>
      </w:r>
      <w:r w:rsidRPr="00C348F4">
        <w:rPr>
          <w:i/>
        </w:rPr>
        <w:t xml:space="preserve"> ХЛЛ до 37,1 </w:t>
      </w:r>
      <w:r w:rsidR="00F07AA9" w:rsidRPr="00C348F4">
        <w:rPr>
          <w:i/>
        </w:rPr>
        <w:t>мес.</w:t>
      </w:r>
      <w:r w:rsidRPr="00C348F4">
        <w:rPr>
          <w:i/>
        </w:rPr>
        <w:t xml:space="preserve"> (по сравнению с 26 мес</w:t>
      </w:r>
      <w:r w:rsidR="00F07AA9" w:rsidRPr="00C348F4">
        <w:rPr>
          <w:i/>
        </w:rPr>
        <w:t>.</w:t>
      </w:r>
      <w:r w:rsidRPr="00C348F4">
        <w:rPr>
          <w:i/>
        </w:rPr>
        <w:t xml:space="preserve"> при применении режима Clb-R)</w:t>
      </w:r>
      <w:r w:rsidR="00AB3D75" w:rsidRPr="00C348F4">
        <w:rPr>
          <w:i/>
        </w:rPr>
        <w:t xml:space="preserve"> </w:t>
      </w:r>
      <w:r w:rsidR="000B0AC3" w:rsidRPr="00C348F4">
        <w:rPr>
          <w:i/>
        </w:rPr>
        <w:fldChar w:fldCharType="begin" w:fldLock="1"/>
      </w:r>
      <w:r w:rsidR="00BA7FFC">
        <w:rPr>
          <w:i/>
        </w:rPr>
        <w:instrText>ADDIN CSL_CITATION {"citationItems":[{"id":"ITEM-1","itemData":{"author":[{"dropping-particle":"","family":"Nikitin","given":"E.","non-dropping-particle":"","parse-names":false,"suffix":""}],"container-title":"EHA 18 Proceedings","id":"ITEM-1","issued":{"date-parts":[["2013"]]},"page":"Abstract NS1147","title":"Randomised Comparison Of FCR-Lite And ClbR (Chlorambucil Plus Rituximab) Regimens In Elderly Patients With Chronic Lymphocytic Leukemia","type":"paper-conference"},"uris":["http://www.mendeley.com/documents/?uuid=9c736ecf-97c9-47f2-a014-13ebb1759d42"]}],"mendeley":{"formattedCitation":"[41]","plainTextFormattedCitation":"[41]","previouslyFormattedCitation":"[41]"},"properties":{"noteIndex":0},"schema":"https://github.com/citation-style-language/schema/raw/master/csl-citation.json"}</w:instrText>
      </w:r>
      <w:r w:rsidR="000B0AC3" w:rsidRPr="00C348F4">
        <w:rPr>
          <w:i/>
        </w:rPr>
        <w:fldChar w:fldCharType="separate"/>
      </w:r>
      <w:r w:rsidR="00225D7F" w:rsidRPr="00225D7F">
        <w:rPr>
          <w:noProof/>
        </w:rPr>
        <w:t>[41]</w:t>
      </w:r>
      <w:r w:rsidR="000B0AC3" w:rsidRPr="00C348F4">
        <w:rPr>
          <w:i/>
        </w:rPr>
        <w:fldChar w:fldCharType="end"/>
      </w:r>
      <w:r w:rsidRPr="00C348F4">
        <w:rPr>
          <w:i/>
        </w:rPr>
        <w:t>.</w:t>
      </w:r>
    </w:p>
    <w:p w14:paraId="349863BB" w14:textId="4D990EB6" w:rsidR="00FD132B" w:rsidRPr="00912FAC" w:rsidRDefault="00FD132B" w:rsidP="003F5F47">
      <w:pPr>
        <w:contextualSpacing/>
        <w:rPr>
          <w:i/>
        </w:rPr>
      </w:pPr>
      <w:r w:rsidRPr="00C348F4">
        <w:rPr>
          <w:i/>
        </w:rPr>
        <w:t>В исследовании немецкой группы по изучению ХЛЛ CLL11 сравнивал</w:t>
      </w:r>
      <w:r w:rsidR="000F6931" w:rsidRPr="00C348F4">
        <w:rPr>
          <w:i/>
        </w:rPr>
        <w:t>и</w:t>
      </w:r>
      <w:r w:rsidRPr="00C348F4">
        <w:rPr>
          <w:i/>
        </w:rPr>
        <w:t>сь монотерапия</w:t>
      </w:r>
      <w:r w:rsidR="000F6931" w:rsidRPr="00C348F4">
        <w:rPr>
          <w:i/>
        </w:rPr>
        <w:t xml:space="preserve"> </w:t>
      </w:r>
      <w:r w:rsidRPr="00C348F4">
        <w:rPr>
          <w:i/>
        </w:rPr>
        <w:t xml:space="preserve">хлорамбуцилом** (Clb), </w:t>
      </w:r>
      <w:r w:rsidR="000F6931" w:rsidRPr="00C348F4">
        <w:rPr>
          <w:i/>
        </w:rPr>
        <w:t xml:space="preserve">терапия </w:t>
      </w:r>
      <w:r w:rsidRPr="00C348F4">
        <w:rPr>
          <w:i/>
        </w:rPr>
        <w:t>комбинаци</w:t>
      </w:r>
      <w:r w:rsidR="000F6931" w:rsidRPr="00C348F4">
        <w:rPr>
          <w:i/>
        </w:rPr>
        <w:t>ей</w:t>
      </w:r>
      <w:r w:rsidRPr="00C348F4">
        <w:rPr>
          <w:i/>
        </w:rPr>
        <w:t xml:space="preserve"> хлорамбуцила** с ритуксимабом** (R-Clb) и комбинаци</w:t>
      </w:r>
      <w:r w:rsidR="000F6931" w:rsidRPr="00C348F4">
        <w:rPr>
          <w:i/>
        </w:rPr>
        <w:t>ей</w:t>
      </w:r>
      <w:r w:rsidRPr="00C348F4">
        <w:rPr>
          <w:i/>
        </w:rPr>
        <w:t xml:space="preserve"> хлорамбуцила** с обинутузумабом** (G-Clb)</w:t>
      </w:r>
      <w:r w:rsidR="000F6931" w:rsidRPr="00C348F4">
        <w:rPr>
          <w:i/>
        </w:rPr>
        <w:t xml:space="preserve"> </w:t>
      </w:r>
      <w:r w:rsidR="000B0AC3" w:rsidRPr="00C348F4">
        <w:rPr>
          <w:i/>
        </w:rPr>
        <w:fldChar w:fldCharType="begin" w:fldLock="1"/>
      </w:r>
      <w:r w:rsidR="00BA7FFC">
        <w:rPr>
          <w:i/>
        </w:rPr>
        <w:instrText>ADDIN CSL_CITATION {"citationItems":[{"id":"ITEM-1","itemData":{"DOI":"10.1056/NEJMoa1313984","ISSN":"15334406","abstract":"BACKGROUND The monoclonal anti-CD20 antibody rituximab, combined with chemotherapeutic agents, has been shown to prolong overall survival in physically fit patients with previously untreated chronic lymphocytic leukemia (CLL) but not in those with coexisting conditions. We investigated the benefit of the type 2, glycoengineered antibody obinutuzumab (also known as GA101) as compared with that of rituximab, each combined with chlorambucil, in patients with previously untreated CLL and coexisting conditions. METHODS We randomly assigned 781 patients with previously untreated CLL and a score higher than 6 on the Cumulative Illness Rating Scale (CIRS) (range, 0 to 56, with higher scores indicating worse health status) or an estimated creatinine clearance of 30 to 69 ml per minute to receive chlorambucil, obinutuzumab plus chlorambucil, or rituximab plus chlorambucil. The primary end point was investigator-assessed progression-free survival. RESULTS The patients had a median age of 73 years, creatinine clearance of 62 ml per minute, and CIRS score of 8 at baseline. Treatment with obinutuzumab-chlorambucil or rituximab-chlorambucil, as compared with chlorambucil monotherapy, increased response rates and prolonged progression-free survival (median progression-free survival, 26.7 months with obinutuzumab-chlorambucil vs. 11.1 months with chlorambucil alone; hazard ratio for progression or death, 0.18; 95% confidence interval [CI], 0.13 to 0.24; P&lt;0.001; and 16.3 months with rituximab-chlorambucil vs. 11.1 months with chlorambucil alone; hazard ratio, 0.44; 95% CI, 0.34 to 0.57; P&lt;0.001). Treatment with obinutuzumab-chlorambucil, as compared with chlorambucil alone, prolonged overall survival (hazard ratio for death, 0.41; 95% CI, 0.23 to 0.74; P=0.002). Treatment with obinutuzumab-chlorambucil, as compared with rituximab-chlorambucil, resulted in prolongation of progression-free survival (hazard ratio, 0.39; 95% CI, 0.31 to 0.49; P&lt;0.001) and higher rates of complete response (20.7% vs. 7.0%) and molecular response. Infusion-related reactions and neutropenia were more common with obinutuzumab-chlorambucil than with rituximab-chlorambucil, but the risk of infection was not increased. CONCLUSIONS Combining an anti-CD20 antibody with chemotherapy improved outcomes in patients with CLL and coexisting conditions. In this patient population, obinutuzumab was superior to rituximab when each was combined with chlorambucil. (Funded by F. Hoffmann-La Roche; ClinicalTrial…","author":[{"dropping-particle":"","family":"Goede","given":"Valentin","non-dropping-particle":"","parse-names":false,"suffix":""},{"dropping-particle":"","family":"Fischer","given":"Kirsten","non-dropping-particle":"","parse-names":false,"suffix":""},{"dropping-particle":"","family":"Busch","given":"Raymonde","non-dropping-particle":"","parse-names":false,"suffix":""},{"dropping-particle":"","family":"Engelke","given":"Anja","non-dropping-particle":"","parse-names":false,"suffix":""},{"dropping-particle":"","family":"Eichhorst","given":"Barbara","non-dropping-particle":"","parse-names":false,"suffix":""},{"dropping-particle":"","family":"Wendtner","given":"Clemens M.","non-dropping-particle":"","parse-names":false,"suffix":""},{"dropping-particle":"","family":"Chagorova","given":"Tatiana","non-dropping-particle":"","parse-names":false,"suffix":""},{"dropping-particle":"","family":"La Serna","given":"Javier","non-dropping-particle":"De","parse-names":false,"suffix":""},{"dropping-particle":"","family":"Dilhuydy","given":"Marie Sarah","non-dropping-particle":"","parse-names":false,"suffix":""},{"dropping-particle":"","family":"Illmer","given":"Thomas","non-dropping-particle":"","parse-names":false,"suffix":""},{"dropping-particle":"","family":"Opat","given":"Stephen","non-dropping-particle":"","parse-names":false,"suffix":""},{"dropping-particle":"","family":"Owen","given":"Carolyn J.","non-dropping-particle":"","parse-names":false,"suffix":""},{"dropping-particle":"","family":"Samoylova","given":"Olga","non-dropping-particle":"","parse-names":false,"suffix":""},{"dropping-particle":"","family":"Kreuzer","given":"Karl Anton","non-dropping-particle":"","parse-names":false,"suffix":""},{"dropping-particle":"","family":"Stilgenbauer","given":"Stephan","non-dropping-particle":"","parse-names":false,"suffix":""},{"dropping-particle":"","family":"Doḧner","given":"Hartmut","non-dropping-particle":"","parse-names":false,"suffix":""},{"dropping-particle":"","family":"Langerak","given":"Anton W.","non-dropping-particle":"","parse-names":false,"suffix":""},{"dropping-particle":"","family":"Ritgen","given":"Matthias","non-dropping-particle":"","parse-names":false,"suffix":""},{"dropping-particle":"","family":"Kneba","given":"Michael","non-dropping-particle":"","parse-names":false,"suffix":""},{"dropping-particle":"","family":"Asikanius","given":"Elina","non-dropping-particle":"","parse-names":false,"suffix":""},{"dropping-particle":"","family":"Humphrey","given":"Kathryn","non-dropping-particle":"","parse-names":false,"suffix":""},{"dropping-particle":"","family":"Wenger","given":"Michael","non-dropping-particle":"","parse-names":false,"suffix":""},{"dropping-particle":"","family":"Hallek","given":"Michael","non-dropping-particle":"","parse-names":false,"suffix":""}],"container-title":"New England Journal of Medicine","id":"ITEM-1","issue":"12","issued":{"date-parts":[["2014"]]},"page":"1101-1110","publisher":"Massachussetts Medical Society","title":"Obinutuzumab plus chlorambucil in patients with CLL and coexisting conditions","type":"article-journal","volume":"370"},"uris":["http://www.mendeley.com/documents/?uuid=0da1839f-ad27-3a2d-9d3c-bf1c9e703e53"]}],"mendeley":{"formattedCitation":"[36]","plainTextFormattedCitation":"[36]","previouslyFormattedCitation":"[36]"},"properties":{"noteIndex":0},"schema":"https://github.com/citation-style-language/schema/raw/master/csl-citation.json"}</w:instrText>
      </w:r>
      <w:r w:rsidR="000B0AC3" w:rsidRPr="00C348F4">
        <w:rPr>
          <w:i/>
        </w:rPr>
        <w:fldChar w:fldCharType="separate"/>
      </w:r>
      <w:r w:rsidR="00225D7F" w:rsidRPr="00225D7F">
        <w:rPr>
          <w:noProof/>
        </w:rPr>
        <w:t>[36]</w:t>
      </w:r>
      <w:r w:rsidR="000B0AC3" w:rsidRPr="00C348F4">
        <w:rPr>
          <w:i/>
        </w:rPr>
        <w:fldChar w:fldCharType="end"/>
      </w:r>
      <w:r w:rsidRPr="00C348F4">
        <w:rPr>
          <w:i/>
        </w:rPr>
        <w:t xml:space="preserve">. Наибольшая частота </w:t>
      </w:r>
      <w:r w:rsidR="00416F68" w:rsidRPr="00C348F4">
        <w:rPr>
          <w:i/>
        </w:rPr>
        <w:t xml:space="preserve">общего </w:t>
      </w:r>
      <w:r w:rsidRPr="00C348F4">
        <w:rPr>
          <w:i/>
        </w:rPr>
        <w:t xml:space="preserve">ответа </w:t>
      </w:r>
      <w:r w:rsidR="00416F68" w:rsidRPr="00C348F4">
        <w:rPr>
          <w:i/>
        </w:rPr>
        <w:t xml:space="preserve">(77,3 %) </w:t>
      </w:r>
      <w:r w:rsidRPr="00C348F4">
        <w:rPr>
          <w:i/>
        </w:rPr>
        <w:t>и полных ремиссий (22,3</w:t>
      </w:r>
      <w:r w:rsidR="00DD3D1E" w:rsidRPr="00C348F4">
        <w:rPr>
          <w:i/>
        </w:rPr>
        <w:t xml:space="preserve"> %</w:t>
      </w:r>
      <w:r w:rsidRPr="00C348F4">
        <w:rPr>
          <w:i/>
        </w:rPr>
        <w:t>)</w:t>
      </w:r>
      <w:r w:rsidR="00416F68" w:rsidRPr="00C348F4">
        <w:rPr>
          <w:i/>
        </w:rPr>
        <w:t xml:space="preserve"> </w:t>
      </w:r>
      <w:r w:rsidR="000F6931" w:rsidRPr="00C348F4">
        <w:rPr>
          <w:i/>
        </w:rPr>
        <w:t>наблюдалась</w:t>
      </w:r>
      <w:r w:rsidR="00416F68" w:rsidRPr="00C348F4">
        <w:rPr>
          <w:i/>
        </w:rPr>
        <w:t xml:space="preserve"> в группе</w:t>
      </w:r>
      <w:r w:rsidR="00416F68" w:rsidRPr="00912FAC">
        <w:rPr>
          <w:i/>
        </w:rPr>
        <w:t xml:space="preserve"> G-Clb</w:t>
      </w:r>
      <w:r w:rsidRPr="00912FAC">
        <w:rPr>
          <w:i/>
        </w:rPr>
        <w:t>. Режим G-Clb позволяет добиться эрадикации МОБ в периферической крови и костном мозге у 37,6 и 19,5</w:t>
      </w:r>
      <w:r w:rsidR="00DD3D1E">
        <w:rPr>
          <w:i/>
        </w:rPr>
        <w:t xml:space="preserve"> %</w:t>
      </w:r>
      <w:r w:rsidRPr="00912FAC">
        <w:rPr>
          <w:i/>
        </w:rPr>
        <w:t xml:space="preserve"> пациентов соответственно. Обинутузумаб</w:t>
      </w:r>
      <w:r w:rsidR="00716BBE" w:rsidRPr="00397360">
        <w:rPr>
          <w:i/>
        </w:rPr>
        <w:t>**</w:t>
      </w:r>
      <w:r w:rsidRPr="00912FAC">
        <w:rPr>
          <w:i/>
        </w:rPr>
        <w:t xml:space="preserve"> в сочетании с хлорамбуцилом</w:t>
      </w:r>
      <w:r>
        <w:rPr>
          <w:i/>
        </w:rPr>
        <w:t>**</w:t>
      </w:r>
      <w:r w:rsidRPr="00912FAC">
        <w:rPr>
          <w:i/>
        </w:rPr>
        <w:t xml:space="preserve"> позволяет увеличить ВБП до 2</w:t>
      </w:r>
      <w:r>
        <w:rPr>
          <w:i/>
        </w:rPr>
        <w:t>6</w:t>
      </w:r>
      <w:r w:rsidRPr="00912FAC">
        <w:rPr>
          <w:i/>
        </w:rPr>
        <w:t xml:space="preserve">,7 </w:t>
      </w:r>
      <w:r w:rsidR="00F07AA9">
        <w:rPr>
          <w:i/>
        </w:rPr>
        <w:t>мес.</w:t>
      </w:r>
      <w:r w:rsidRPr="00912FAC">
        <w:rPr>
          <w:i/>
        </w:rPr>
        <w:t xml:space="preserve"> (р &lt;</w:t>
      </w:r>
      <w:r w:rsidR="000F6931">
        <w:rPr>
          <w:i/>
        </w:rPr>
        <w:t xml:space="preserve"> </w:t>
      </w:r>
      <w:r w:rsidRPr="00912FAC">
        <w:rPr>
          <w:i/>
        </w:rPr>
        <w:t xml:space="preserve">0,0001 в сравнении с </w:t>
      </w:r>
      <w:r w:rsidR="000F6931">
        <w:rPr>
          <w:i/>
        </w:rPr>
        <w:t xml:space="preserve">терапией </w:t>
      </w:r>
      <w:r w:rsidRPr="00912FAC">
        <w:rPr>
          <w:i/>
        </w:rPr>
        <w:t>R-Clb и хлорамбуцилом</w:t>
      </w:r>
      <w:r>
        <w:rPr>
          <w:i/>
        </w:rPr>
        <w:t xml:space="preserve">**). </w:t>
      </w:r>
      <w:r w:rsidRPr="00912FAC">
        <w:rPr>
          <w:i/>
        </w:rPr>
        <w:t xml:space="preserve">Инфузии </w:t>
      </w:r>
      <w:r>
        <w:rPr>
          <w:i/>
        </w:rPr>
        <w:t xml:space="preserve">обинутузумаба** </w:t>
      </w:r>
      <w:r w:rsidRPr="00912FAC">
        <w:rPr>
          <w:i/>
        </w:rPr>
        <w:t>следует проводить при наличии доступа к средствам экстренной медицинской помощи с адекватным мониторингом. У пациентов с большой массой опухоли оправдан</w:t>
      </w:r>
      <w:r w:rsidR="000F6931">
        <w:rPr>
          <w:i/>
        </w:rPr>
        <w:t>н</w:t>
      </w:r>
      <w:r w:rsidRPr="00912FAC">
        <w:rPr>
          <w:i/>
        </w:rPr>
        <w:t>а предфаза в виде 1</w:t>
      </w:r>
      <w:r w:rsidR="000F6931">
        <w:rPr>
          <w:i/>
        </w:rPr>
        <w:t>–</w:t>
      </w:r>
      <w:r w:rsidRPr="00912FAC">
        <w:rPr>
          <w:i/>
        </w:rPr>
        <w:t>2 курсов монотерапии</w:t>
      </w:r>
      <w:r w:rsidR="00F0422A">
        <w:rPr>
          <w:i/>
        </w:rPr>
        <w:t xml:space="preserve"> </w:t>
      </w:r>
      <w:r w:rsidRPr="00912FAC">
        <w:rPr>
          <w:i/>
        </w:rPr>
        <w:t>хлорамбуцилом</w:t>
      </w:r>
      <w:r>
        <w:rPr>
          <w:i/>
        </w:rPr>
        <w:t>**</w:t>
      </w:r>
      <w:r w:rsidRPr="00912FAC">
        <w:rPr>
          <w:i/>
        </w:rPr>
        <w:t xml:space="preserve">, направленной на уменьшение массы опухоли. Адекватная профилактика инфузионных реакций (премедикация антигистаминными препаратами и </w:t>
      </w:r>
      <w:r w:rsidR="000F6931" w:rsidRPr="00912FAC">
        <w:rPr>
          <w:i/>
        </w:rPr>
        <w:t>в/в</w:t>
      </w:r>
      <w:r w:rsidR="000F6931">
        <w:rPr>
          <w:i/>
        </w:rPr>
        <w:t xml:space="preserve"> введением</w:t>
      </w:r>
      <w:r w:rsidR="000F6931" w:rsidRPr="00912FAC">
        <w:rPr>
          <w:i/>
        </w:rPr>
        <w:t xml:space="preserve"> </w:t>
      </w:r>
      <w:r w:rsidRPr="00912FAC">
        <w:rPr>
          <w:i/>
        </w:rPr>
        <w:t>дексаметазон</w:t>
      </w:r>
      <w:r w:rsidR="000F6931">
        <w:rPr>
          <w:i/>
        </w:rPr>
        <w:t>а</w:t>
      </w:r>
      <w:r>
        <w:rPr>
          <w:i/>
        </w:rPr>
        <w:t>**</w:t>
      </w:r>
      <w:r w:rsidRPr="00912FAC">
        <w:rPr>
          <w:i/>
        </w:rPr>
        <w:t xml:space="preserve">, введение </w:t>
      </w:r>
      <w:r w:rsidR="000F6931">
        <w:rPr>
          <w:i/>
        </w:rPr>
        <w:t>1-й</w:t>
      </w:r>
      <w:r w:rsidRPr="00912FAC">
        <w:rPr>
          <w:i/>
        </w:rPr>
        <w:t xml:space="preserve"> дозы в </w:t>
      </w:r>
      <w:r w:rsidR="000F6931">
        <w:rPr>
          <w:i/>
        </w:rPr>
        <w:t>2</w:t>
      </w:r>
      <w:r w:rsidRPr="00912FAC">
        <w:rPr>
          <w:i/>
        </w:rPr>
        <w:t xml:space="preserve"> этапа, профилактический отказ от анти</w:t>
      </w:r>
      <w:r w:rsidR="000F6931">
        <w:rPr>
          <w:i/>
        </w:rPr>
        <w:softHyphen/>
      </w:r>
      <w:r w:rsidRPr="00912FAC">
        <w:rPr>
          <w:i/>
        </w:rPr>
        <w:t xml:space="preserve">гипертензивных препаратов) позволяет справляться с инфузионными реакциями. В большинстве случаев они возникают только при </w:t>
      </w:r>
      <w:r w:rsidR="000F6931">
        <w:rPr>
          <w:i/>
        </w:rPr>
        <w:t>1-й</w:t>
      </w:r>
      <w:r w:rsidRPr="00912FAC">
        <w:rPr>
          <w:i/>
        </w:rPr>
        <w:t xml:space="preserve"> инфузии обинутузумаба</w:t>
      </w:r>
      <w:r>
        <w:rPr>
          <w:i/>
        </w:rPr>
        <w:t>**</w:t>
      </w:r>
      <w:r w:rsidRPr="00912FAC">
        <w:rPr>
          <w:i/>
        </w:rPr>
        <w:t xml:space="preserve">, так как гиперлимфоцитоз обычно полностью разрешается за </w:t>
      </w:r>
      <w:r w:rsidR="00F07AA9">
        <w:rPr>
          <w:i/>
        </w:rPr>
        <w:t>1 нед</w:t>
      </w:r>
      <w:r w:rsidRPr="00912FAC">
        <w:rPr>
          <w:i/>
        </w:rPr>
        <w:t>.</w:t>
      </w:r>
    </w:p>
    <w:p w14:paraId="5536C982" w14:textId="49F260AB" w:rsidR="004D7374" w:rsidRPr="00C348F4" w:rsidRDefault="004D7374" w:rsidP="003F5F47">
      <w:pPr>
        <w:contextualSpacing/>
        <w:rPr>
          <w:i/>
        </w:rPr>
      </w:pPr>
      <w:r w:rsidRPr="00912FAC">
        <w:rPr>
          <w:i/>
        </w:rPr>
        <w:t xml:space="preserve">В 2018 г. были </w:t>
      </w:r>
      <w:r w:rsidRPr="00C348F4">
        <w:rPr>
          <w:i/>
        </w:rPr>
        <w:t>представлены результаты 4-летнего наблюдения</w:t>
      </w:r>
      <w:r w:rsidR="000F6931" w:rsidRPr="00C348F4">
        <w:rPr>
          <w:i/>
        </w:rPr>
        <w:t xml:space="preserve"> в рамках</w:t>
      </w:r>
      <w:r w:rsidR="0009076E" w:rsidRPr="00C348F4">
        <w:rPr>
          <w:i/>
        </w:rPr>
        <w:t xml:space="preserve"> исследования Resonate-2, в котором сравнивались монотерапия</w:t>
      </w:r>
      <w:r w:rsidR="00646FFF" w:rsidRPr="00C348F4">
        <w:rPr>
          <w:i/>
        </w:rPr>
        <w:t xml:space="preserve"> </w:t>
      </w:r>
      <w:r w:rsidR="0009076E" w:rsidRPr="00C348F4">
        <w:rPr>
          <w:i/>
        </w:rPr>
        <w:t>ибрутинибом</w:t>
      </w:r>
      <w:r w:rsidR="005163D3" w:rsidRPr="00C348F4">
        <w:rPr>
          <w:i/>
        </w:rPr>
        <w:t>**</w:t>
      </w:r>
      <w:r w:rsidR="0009076E" w:rsidRPr="00C348F4">
        <w:rPr>
          <w:i/>
        </w:rPr>
        <w:t xml:space="preserve"> и хлорамбуцилом</w:t>
      </w:r>
      <w:r w:rsidR="005163D3" w:rsidRPr="00C348F4">
        <w:rPr>
          <w:i/>
        </w:rPr>
        <w:t>**</w:t>
      </w:r>
      <w:r w:rsidR="0009076E" w:rsidRPr="00C348F4">
        <w:rPr>
          <w:i/>
        </w:rPr>
        <w:t xml:space="preserve"> </w:t>
      </w:r>
      <w:r w:rsidR="000F6931" w:rsidRPr="00C348F4">
        <w:rPr>
          <w:i/>
        </w:rPr>
        <w:br/>
      </w:r>
      <w:r w:rsidR="0009076E" w:rsidRPr="00C348F4">
        <w:rPr>
          <w:i/>
        </w:rPr>
        <w:t xml:space="preserve">в </w:t>
      </w:r>
      <w:r w:rsidR="000F6931" w:rsidRPr="00C348F4">
        <w:rPr>
          <w:i/>
        </w:rPr>
        <w:t>1-й</w:t>
      </w:r>
      <w:r w:rsidR="0009076E" w:rsidRPr="00C348F4">
        <w:rPr>
          <w:i/>
        </w:rPr>
        <w:t xml:space="preserve"> линии терапии ХЛЛ у пожилых пациентов</w:t>
      </w:r>
      <w:r w:rsidR="00B6655F" w:rsidRPr="00C348F4">
        <w:rPr>
          <w:i/>
        </w:rPr>
        <w:t xml:space="preserve"> </w:t>
      </w:r>
      <w:r w:rsidR="000B0AC3" w:rsidRPr="00C348F4">
        <w:rPr>
          <w:i/>
        </w:rPr>
        <w:fldChar w:fldCharType="begin" w:fldLock="1"/>
      </w:r>
      <w:r w:rsidR="00BA7FFC">
        <w:rPr>
          <w:i/>
        </w:rPr>
        <w:instrText>ADDIN CSL_CITATION {"citationItems":[{"id":"ITEM-1","itemData":{"DOI":"10.1056/NEJMoa1509388","ISSN":"15334406","abstract":"Copyright © 2015 Massachusetts Medical Society. All rights reserved. Background Chronic lymphocytic leukemia (CLL) primarily affects older persons who often have coexisting conditions in addition to disease-related immunosuppression and myelosuppression. We conducted an international, open-label, randomized phase 3 trial to compare two oral agents, ibrutinib and chlorambucil, in previously untreated older patients with CLL or small lymphocytic lymphoma. METHODS We randomly assigned 269 previously untreated patients who were 65 years of age or older and had CLL or small lymphocytic lymphoma to receive ibrutinib or chlorambucil. The primary end point was progression-free survival as assessed by an independent review committee. RESULTS The median age of the patients was 73 years. During a median follow-up period of 18.4 months, ibrutinib resulted in significantly longer progression-free survival than did chlorambucil (median, not reached vs. 18.9 months), with a risk of progression or death that was 84% lower with ibrutinib than that with chlorambucil (hazard ratio, 0.16; P&lt;0.001). Ibrutinib significantly prolonged overall survival; the estimated survival rate at 24 months was 98% with ibrutinib versus 85% with chlorambucil, with a relative risk of death that was 84% lower in the ibrutinib group than in the chlorambucil group (hazard ratio, 0.16; P = 0.001). The overall response rate was higher with ibrutinib than with chlorambucil (86% vs. 35%, P&lt;0.001). The rates of sustained increases from baseline values in the hemoglobin and platelet levels were higher with ibrutinib. Adverse events of any grade that occurred in at least 20% of the patients receiving ibrutinib included diarrhea, fatigue, cough, and nausea; adverse events occurring in at least 20% of those receiving chlorambucil included nausea, fatigue, neutropenia, anemia, and vomiting. In the ibrutinib group, four patients had a grade 3 hemorrhage and one had a grade 4 hemorrhage. A total of 87% of the patients in the ibrutinib group are continuing to take ibrutinib. CONCLUSIONS Ibrutinib was superior to chlorambucil in previously untreated patients with CLL or small lymphocytic lymphoma, as assessed by progression-free survival, overall survival, response rate, and improvement in hematologic variables.","author":[{"dropping-particle":"","family":"Burger","given":"J. A.","non-dropping-particle":"","parse-names":false,"suffix":""},{"dropping-particle":"","family":"Tedeschi","given":"A.","non-dropping-particle":"","parse-names":false,"suffix":""},{"dropping-particle":"","family":"Barr","given":"P.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Bairey","given":"O.","non-dropping-particle":"","parse-names":false,"suffix":""},{"dropping-particle":"","family":"Hillmen","given":"P.","non-dropping-particle":"","parse-names":false,"suffix":""},{"dropping-particle":"","family":"Bartlett","given":"N. L.","non-dropping-particle":"","parse-names":false,"suffix":""},{"dropping-particle":"","family":"Li","given":"J.","non-dropping-particle":"","parse-names":false,"suffix":""},{"dropping-particle":"","family":"Simpson","given":"D.","non-dropping-particle":"","parse-names":false,"suffix":""},{"dropping-particle":"","family":"Grosicki","given":"S.","non-dropping-particle":"","parse-names":false,"suffix":""},{"dropping-particle":"","family":"Devereux","given":"S.","non-dropping-particle":"","parse-names":false,"suffix":""},{"dropping-particle":"","family":"McCarthy","given":"H.","non-dropping-particle":"","parse-names":false,"suffix":""},{"dropping-particle":"","family":"Coutre","given":"S.","non-dropping-particle":"","parse-names":false,"suffix":""},{"dropping-particle":"","family":"Quach","given":"H.","non-dropping-particle":"","parse-names":false,"suffix":""},{"dropping-particle":"","family":"Gaidano","given":"G.","non-dropping-particle":"","parse-names":false,"suffix":""},{"dropping-particle":"","family":"Maslyak","given":"Z.","non-dropping-particle":"","parse-names":false,"suffix":""},{"dropping-particle":"","family":"Stevens","given":"D. A.","non-dropping-particle":"","parse-names":false,"suffix":""},{"dropping-particle":"","family":"Janssens","given":"A.","non-dropping-particle":"","parse-names":false,"suffix":""},{"dropping-particle":"","family":"Offner","given":"F.","non-dropping-particle":"","parse-names":false,"suffix":""},{"dropping-particle":"","family":"Mayer","given":"J.","non-dropping-particle":"","parse-names":false,"suffix":""},{"dropping-particle":"","family":"O'Dwyer","given":"M.","non-dropping-particle":"","parse-names":false,"suffix":""},{"dropping-particle":"","family":"Hellmann","given":"A.","non-dropping-particle":"","parse-names":false,"suffix":""},{"dropping-particle":"","family":"Schuh","given":"A.","non-dropping-particle":"","parse-names":false,"suffix":""},{"dropping-particle":"","family":"Siddiqi","given":"T.","non-dropping-particle":"","parse-names":false,"suffix":""},{"dropping-particle":"","family":"Polliack","given":"A.","non-dropping-particle":"","parse-names":false,"suffix":""},{"dropping-particle":"","family":"Tam","given":"C. S.","non-dropping-particle":"","parse-names":false,"suffix":""},{"dropping-particle":"","family":"Suri","given":"D.","non-dropping-particle":"","parse-names":false,"suffix":""},{"dropping-particle":"","family":"Cheng","given":"M.","non-dropping-particle":"","parse-names":false,"suffix":""},{"dropping-particle":"","family":"Clow","given":"F.","non-dropping-particle":"","parse-names":false,"suffix":""},{"dropping-particle":"","family":"Styles","given":"L.","non-dropping-particle":"","parse-names":false,"suffix":""},{"dropping-particle":"","family":"James","given":"D. F.","non-dropping-particle":"","parse-names":false,"suffix":""},{"dropping-particle":"","family":"Kipps","given":"T. J.","non-dropping-particle":"","parse-names":false,"suffix":""}],"container-title":"New England Journal of Medicine","id":"ITEM-1","issue":"25","issued":{"date-parts":[["2015","12","17"]]},"page":"2425-2437","publisher":"Massachussetts Medical Society","title":"Ibrutinib as initial therapy for patients with chronic lymphocytic leukemia","type":"article-journal","volume":"373"},"uris":["http://www.mendeley.com/documents/?uuid=b01c404b-e988-3c42-b782-5080b7873fdd"]},{"id":"ITEM-2","itemData":{"author":[{"dropping-particle":"","family":"Burger","given":"J.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Proceedings","id":"ITEM-2","issued":{"date-parts":[["2018"]]},"page":"Abstract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mendeley":{"formattedCitation":"[38,39]","plainTextFormattedCitation":"[38,39]","previouslyFormattedCitation":"[38,39]"},"properties":{"noteIndex":0},"schema":"https://github.com/citation-style-language/schema/raw/master/csl-citation.json"}</w:instrText>
      </w:r>
      <w:r w:rsidR="000B0AC3" w:rsidRPr="00C348F4">
        <w:rPr>
          <w:i/>
        </w:rPr>
        <w:fldChar w:fldCharType="separate"/>
      </w:r>
      <w:r w:rsidR="00225D7F" w:rsidRPr="00225D7F">
        <w:rPr>
          <w:noProof/>
        </w:rPr>
        <w:t>[38,39]</w:t>
      </w:r>
      <w:r w:rsidR="000B0AC3" w:rsidRPr="00C348F4">
        <w:rPr>
          <w:i/>
        </w:rPr>
        <w:fldChar w:fldCharType="end"/>
      </w:r>
      <w:r w:rsidRPr="00C348F4">
        <w:rPr>
          <w:i/>
        </w:rPr>
        <w:t>. В исследовании продемонстрировано значительное превосходство ибрутиниба</w:t>
      </w:r>
      <w:r w:rsidR="005163D3" w:rsidRPr="00C348F4">
        <w:rPr>
          <w:i/>
        </w:rPr>
        <w:t>**</w:t>
      </w:r>
      <w:r w:rsidRPr="00C348F4">
        <w:rPr>
          <w:i/>
        </w:rPr>
        <w:t xml:space="preserve"> </w:t>
      </w:r>
      <w:r w:rsidR="000F6931" w:rsidRPr="00C348F4">
        <w:rPr>
          <w:i/>
        </w:rPr>
        <w:t>над</w:t>
      </w:r>
      <w:r w:rsidRPr="00C348F4">
        <w:rPr>
          <w:i/>
        </w:rPr>
        <w:t xml:space="preserve"> хлорамбуцилом</w:t>
      </w:r>
      <w:r w:rsidR="005163D3" w:rsidRPr="00C348F4">
        <w:rPr>
          <w:i/>
        </w:rPr>
        <w:t>**</w:t>
      </w:r>
      <w:r w:rsidRPr="00C348F4">
        <w:rPr>
          <w:i/>
        </w:rPr>
        <w:t xml:space="preserve">, </w:t>
      </w:r>
      <w:r w:rsidR="000F6931" w:rsidRPr="00C348F4">
        <w:rPr>
          <w:i/>
        </w:rPr>
        <w:br/>
      </w:r>
      <w:r w:rsidRPr="00C348F4">
        <w:rPr>
          <w:i/>
        </w:rPr>
        <w:t xml:space="preserve">в том числе по </w:t>
      </w:r>
      <w:r w:rsidR="000F6931" w:rsidRPr="00C348F4">
        <w:rPr>
          <w:i/>
        </w:rPr>
        <w:t>уровню ОВ. Медиана ВБ</w:t>
      </w:r>
      <w:r w:rsidRPr="00C348F4">
        <w:rPr>
          <w:i/>
        </w:rPr>
        <w:t>П в группе ибрутиниба</w:t>
      </w:r>
      <w:r w:rsidR="005163D3" w:rsidRPr="00C348F4">
        <w:rPr>
          <w:i/>
        </w:rPr>
        <w:t>**</w:t>
      </w:r>
      <w:r w:rsidRPr="00C348F4">
        <w:rPr>
          <w:i/>
        </w:rPr>
        <w:t xml:space="preserve"> не достигнута при медиане продолжительности наблюдения в 48 мес. </w:t>
      </w:r>
      <w:r w:rsidR="000F6931" w:rsidRPr="00C348F4">
        <w:rPr>
          <w:i/>
        </w:rPr>
        <w:t>ВБП</w:t>
      </w:r>
      <w:r w:rsidRPr="00C348F4">
        <w:rPr>
          <w:i/>
        </w:rPr>
        <w:t xml:space="preserve"> была значительно выше при применении ибрутиниба</w:t>
      </w:r>
      <w:r w:rsidR="005163D3" w:rsidRPr="00C348F4">
        <w:rPr>
          <w:i/>
        </w:rPr>
        <w:t>**</w:t>
      </w:r>
      <w:r w:rsidRPr="00C348F4">
        <w:rPr>
          <w:i/>
        </w:rPr>
        <w:t xml:space="preserve"> во всех </w:t>
      </w:r>
      <w:r w:rsidR="000F6931" w:rsidRPr="00C348F4">
        <w:rPr>
          <w:i/>
        </w:rPr>
        <w:t>г</w:t>
      </w:r>
      <w:r w:rsidRPr="00C348F4">
        <w:rPr>
          <w:i/>
        </w:rPr>
        <w:t xml:space="preserve">руппах пациентов, в том числе у пациентов с неблагоприятными генетическими факторами. </w:t>
      </w:r>
      <w:r w:rsidR="00AA4B03" w:rsidRPr="00C348F4">
        <w:rPr>
          <w:i/>
        </w:rPr>
        <w:t xml:space="preserve">ОВ </w:t>
      </w:r>
      <w:r w:rsidRPr="00C348F4">
        <w:rPr>
          <w:i/>
        </w:rPr>
        <w:t>была значительно выше в группе ибрутиниба</w:t>
      </w:r>
      <w:r w:rsidR="005163D3" w:rsidRPr="00C348F4">
        <w:rPr>
          <w:i/>
        </w:rPr>
        <w:t>**</w:t>
      </w:r>
      <w:r w:rsidR="000F6931" w:rsidRPr="00C348F4">
        <w:rPr>
          <w:i/>
        </w:rPr>
        <w:t>,</w:t>
      </w:r>
      <w:r w:rsidRPr="00C348F4">
        <w:rPr>
          <w:i/>
        </w:rPr>
        <w:t xml:space="preserve"> </w:t>
      </w:r>
      <w:r w:rsidR="000F6931" w:rsidRPr="00C348F4">
        <w:rPr>
          <w:i/>
        </w:rPr>
        <w:t xml:space="preserve">чем в группе </w:t>
      </w:r>
      <w:r w:rsidRPr="00C348F4">
        <w:rPr>
          <w:i/>
        </w:rPr>
        <w:t>хлорамбуцил</w:t>
      </w:r>
      <w:r w:rsidR="000F6931" w:rsidRPr="00C348F4">
        <w:rPr>
          <w:i/>
        </w:rPr>
        <w:t>а</w:t>
      </w:r>
      <w:r w:rsidR="005163D3" w:rsidRPr="00C348F4">
        <w:rPr>
          <w:i/>
        </w:rPr>
        <w:t>**</w:t>
      </w:r>
      <w:r w:rsidRPr="00C348F4">
        <w:rPr>
          <w:i/>
        </w:rPr>
        <w:t xml:space="preserve">. Общий ответ составил </w:t>
      </w:r>
      <w:r w:rsidR="005802F3" w:rsidRPr="00C348F4">
        <w:rPr>
          <w:i/>
        </w:rPr>
        <w:t>86</w:t>
      </w:r>
      <w:r w:rsidR="00DD3D1E" w:rsidRPr="00C348F4">
        <w:rPr>
          <w:i/>
        </w:rPr>
        <w:t xml:space="preserve"> %</w:t>
      </w:r>
      <w:r w:rsidRPr="00C348F4">
        <w:rPr>
          <w:i/>
        </w:rPr>
        <w:t xml:space="preserve"> в группе пациентов, получавших ибрутиниб</w:t>
      </w:r>
      <w:r w:rsidR="001F4A9B" w:rsidRPr="00C348F4">
        <w:rPr>
          <w:i/>
        </w:rPr>
        <w:t>**</w:t>
      </w:r>
      <w:r w:rsidRPr="00C348F4">
        <w:rPr>
          <w:i/>
        </w:rPr>
        <w:t xml:space="preserve">, и </w:t>
      </w:r>
      <w:r w:rsidR="005802F3" w:rsidRPr="00C348F4">
        <w:rPr>
          <w:i/>
        </w:rPr>
        <w:t>35</w:t>
      </w:r>
      <w:r w:rsidR="00DD3D1E" w:rsidRPr="00C348F4">
        <w:rPr>
          <w:i/>
        </w:rPr>
        <w:t xml:space="preserve"> %</w:t>
      </w:r>
      <w:r w:rsidR="004E268D" w:rsidRPr="00C348F4">
        <w:rPr>
          <w:i/>
        </w:rPr>
        <w:t xml:space="preserve"> –</w:t>
      </w:r>
      <w:r w:rsidRPr="00C348F4">
        <w:rPr>
          <w:i/>
        </w:rPr>
        <w:t xml:space="preserve"> в группе пациентов, получавших хлорамбуцил</w:t>
      </w:r>
      <w:r w:rsidR="005163D3" w:rsidRPr="00C348F4">
        <w:rPr>
          <w:i/>
        </w:rPr>
        <w:t>**</w:t>
      </w:r>
      <w:r w:rsidRPr="00C348F4">
        <w:rPr>
          <w:i/>
        </w:rPr>
        <w:t>, с</w:t>
      </w:r>
      <w:r w:rsidR="004E268D" w:rsidRPr="00C348F4">
        <w:rPr>
          <w:i/>
        </w:rPr>
        <w:t>о статистически</w:t>
      </w:r>
      <w:r w:rsidRPr="00C348F4">
        <w:rPr>
          <w:i/>
        </w:rPr>
        <w:t xml:space="preserve"> </w:t>
      </w:r>
      <w:r w:rsidR="004E268D" w:rsidRPr="00C348F4">
        <w:rPr>
          <w:i/>
        </w:rPr>
        <w:t xml:space="preserve">значимой </w:t>
      </w:r>
      <w:r w:rsidRPr="00C348F4">
        <w:rPr>
          <w:i/>
        </w:rPr>
        <w:t>разницей (p&lt;</w:t>
      </w:r>
      <w:r w:rsidR="00504D96" w:rsidRPr="00C348F4">
        <w:rPr>
          <w:i/>
        </w:rPr>
        <w:t xml:space="preserve"> </w:t>
      </w:r>
      <w:r w:rsidRPr="00C348F4">
        <w:rPr>
          <w:i/>
        </w:rPr>
        <w:t>0,0001). Терапия ибрутинибом</w:t>
      </w:r>
      <w:r w:rsidR="005163D3" w:rsidRPr="00C348F4">
        <w:rPr>
          <w:i/>
        </w:rPr>
        <w:t>**</w:t>
      </w:r>
      <w:r w:rsidRPr="00C348F4">
        <w:rPr>
          <w:i/>
        </w:rPr>
        <w:t xml:space="preserve"> в </w:t>
      </w:r>
      <w:r w:rsidR="004E268D" w:rsidRPr="00C348F4">
        <w:rPr>
          <w:i/>
        </w:rPr>
        <w:t>1-й</w:t>
      </w:r>
      <w:r w:rsidRPr="00C348F4">
        <w:rPr>
          <w:i/>
        </w:rPr>
        <w:t xml:space="preserve"> линии не сопровождалась значительным повышением </w:t>
      </w:r>
      <w:r w:rsidR="004E268D" w:rsidRPr="00C348F4">
        <w:rPr>
          <w:i/>
        </w:rPr>
        <w:t xml:space="preserve">частоты </w:t>
      </w:r>
      <w:r w:rsidRPr="00C348F4">
        <w:rPr>
          <w:i/>
        </w:rPr>
        <w:t xml:space="preserve">нежелательных явлений и не требовала пребывания пациентов в стационаре. </w:t>
      </w:r>
    </w:p>
    <w:p w14:paraId="31DD727E" w14:textId="35918D29" w:rsidR="00EF739D" w:rsidRDefault="00EF739D" w:rsidP="005D3BBD">
      <w:pPr>
        <w:contextualSpacing/>
        <w:rPr>
          <w:i/>
        </w:rPr>
      </w:pPr>
      <w:r w:rsidRPr="00C348F4">
        <w:rPr>
          <w:i/>
        </w:rPr>
        <w:lastRenderedPageBreak/>
        <w:t xml:space="preserve">В исследовании Alliance первичные пациенты старше 65 лет рандомизировались на </w:t>
      </w:r>
      <w:r w:rsidR="004E268D" w:rsidRPr="00C348F4">
        <w:rPr>
          <w:i/>
        </w:rPr>
        <w:br/>
      </w:r>
      <w:r w:rsidRPr="00C348F4">
        <w:rPr>
          <w:i/>
        </w:rPr>
        <w:t xml:space="preserve">3 </w:t>
      </w:r>
      <w:r w:rsidR="004E268D" w:rsidRPr="00C348F4">
        <w:rPr>
          <w:i/>
        </w:rPr>
        <w:t>группы</w:t>
      </w:r>
      <w:r w:rsidRPr="00C348F4">
        <w:rPr>
          <w:i/>
        </w:rPr>
        <w:t xml:space="preserve">: </w:t>
      </w:r>
      <w:r w:rsidR="004E268D" w:rsidRPr="00C348F4">
        <w:rPr>
          <w:i/>
        </w:rPr>
        <w:t xml:space="preserve">получавшие терапию в </w:t>
      </w:r>
      <w:r w:rsidRPr="00C348F4">
        <w:rPr>
          <w:i/>
        </w:rPr>
        <w:t>режим</w:t>
      </w:r>
      <w:r w:rsidR="004E268D" w:rsidRPr="00C348F4">
        <w:rPr>
          <w:i/>
        </w:rPr>
        <w:t>е</w:t>
      </w:r>
      <w:r w:rsidRPr="00C348F4">
        <w:rPr>
          <w:i/>
        </w:rPr>
        <w:t xml:space="preserve"> BR, комбинацию ибрутиниба</w:t>
      </w:r>
      <w:r w:rsidR="000E4A49" w:rsidRPr="00C348F4">
        <w:rPr>
          <w:i/>
        </w:rPr>
        <w:t>**</w:t>
      </w:r>
      <w:r w:rsidRPr="00C348F4">
        <w:rPr>
          <w:i/>
        </w:rPr>
        <w:t xml:space="preserve"> и ритуксимаба</w:t>
      </w:r>
      <w:r w:rsidR="000E4A49" w:rsidRPr="00C348F4">
        <w:rPr>
          <w:i/>
        </w:rPr>
        <w:t>**</w:t>
      </w:r>
      <w:r w:rsidRPr="00C348F4">
        <w:rPr>
          <w:i/>
        </w:rPr>
        <w:t xml:space="preserve"> и монотерапию</w:t>
      </w:r>
      <w:r w:rsidR="000E4A49" w:rsidRPr="00C348F4">
        <w:rPr>
          <w:i/>
        </w:rPr>
        <w:t xml:space="preserve"> </w:t>
      </w:r>
      <w:r w:rsidRPr="00C348F4">
        <w:rPr>
          <w:i/>
        </w:rPr>
        <w:t>ибрутинибом</w:t>
      </w:r>
      <w:r w:rsidR="000E4A49" w:rsidRPr="00C348F4">
        <w:rPr>
          <w:i/>
        </w:rPr>
        <w:t xml:space="preserve">** </w:t>
      </w:r>
      <w:r w:rsidR="000B0AC3" w:rsidRPr="00C348F4">
        <w:rPr>
          <w:i/>
        </w:rPr>
        <w:fldChar w:fldCharType="begin" w:fldLock="1"/>
      </w:r>
      <w:r w:rsidR="00BA7FFC">
        <w:rPr>
          <w:i/>
        </w:rPr>
        <w:instrText>ADDIN CSL_CITATION {"citationItems":[{"id":"ITEM-1","itemData":{"DOI":"10.1056/NEJMoa1812836","ISSN":"1533-4406","PMID":"30501481","abstract":"BACKGROUND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medicine","id":"ITEM-1","issue":"26","issued":{"date-parts":[["2018"]]},"page":"2517-2528","title":"Ibrutinib Regimens versus Chemoimmunotherapy in Older Patients with Untreated CLL.","type":"article-journal","volume":"379"},"uris":["http://www.mendeley.com/documents/?uuid=2dad136c-8d53-3f5e-8a11-7445e6ee5cdf"]}],"mendeley":{"formattedCitation":"[40]","plainTextFormattedCitation":"[40]","previouslyFormattedCitation":"[40]"},"properties":{"noteIndex":0},"schema":"https://github.com/citation-style-language/schema/raw/master/csl-citation.json"}</w:instrText>
      </w:r>
      <w:r w:rsidR="000B0AC3" w:rsidRPr="00C348F4">
        <w:rPr>
          <w:i/>
        </w:rPr>
        <w:fldChar w:fldCharType="separate"/>
      </w:r>
      <w:r w:rsidR="00225D7F" w:rsidRPr="00225D7F">
        <w:rPr>
          <w:noProof/>
        </w:rPr>
        <w:t>[40]</w:t>
      </w:r>
      <w:r w:rsidR="000B0AC3" w:rsidRPr="00C348F4">
        <w:rPr>
          <w:i/>
        </w:rPr>
        <w:fldChar w:fldCharType="end"/>
      </w:r>
      <w:r w:rsidRPr="00C348F4">
        <w:rPr>
          <w:i/>
        </w:rPr>
        <w:t xml:space="preserve">. Двухлетняя </w:t>
      </w:r>
      <w:r w:rsidR="000F6931" w:rsidRPr="00C348F4">
        <w:rPr>
          <w:i/>
        </w:rPr>
        <w:t>ВБП</w:t>
      </w:r>
      <w:r w:rsidRPr="00C348F4">
        <w:rPr>
          <w:i/>
        </w:rPr>
        <w:t xml:space="preserve"> в группе бендамустин</w:t>
      </w:r>
      <w:r w:rsidR="000E4A49" w:rsidRPr="00C348F4">
        <w:rPr>
          <w:i/>
        </w:rPr>
        <w:t>**</w:t>
      </w:r>
      <w:r w:rsidRPr="00C348F4">
        <w:rPr>
          <w:i/>
        </w:rPr>
        <w:t xml:space="preserve"> + ритуксимаб</w:t>
      </w:r>
      <w:r w:rsidR="000E4A49" w:rsidRPr="00C348F4">
        <w:rPr>
          <w:i/>
        </w:rPr>
        <w:t>**</w:t>
      </w:r>
      <w:r w:rsidRPr="00C348F4">
        <w:rPr>
          <w:i/>
        </w:rPr>
        <w:t xml:space="preserve"> составила 74</w:t>
      </w:r>
      <w:r w:rsidR="00DD3D1E" w:rsidRPr="00C348F4">
        <w:rPr>
          <w:i/>
        </w:rPr>
        <w:t xml:space="preserve"> %</w:t>
      </w:r>
      <w:r w:rsidRPr="00C348F4">
        <w:rPr>
          <w:i/>
        </w:rPr>
        <w:t>, в группе</w:t>
      </w:r>
      <w:r w:rsidRPr="006B609E">
        <w:rPr>
          <w:i/>
        </w:rPr>
        <w:t xml:space="preserve"> ибрутиниба</w:t>
      </w:r>
      <w:r w:rsidR="000E4A49" w:rsidRPr="000E4A49">
        <w:rPr>
          <w:i/>
        </w:rPr>
        <w:t>**</w:t>
      </w:r>
      <w:r w:rsidRPr="006B609E">
        <w:rPr>
          <w:i/>
        </w:rPr>
        <w:t xml:space="preserve"> </w:t>
      </w:r>
      <w:r w:rsidR="004E268D">
        <w:rPr>
          <w:i/>
        </w:rPr>
        <w:t xml:space="preserve">– </w:t>
      </w:r>
      <w:r w:rsidRPr="006B609E">
        <w:rPr>
          <w:i/>
        </w:rPr>
        <w:t>87</w:t>
      </w:r>
      <w:r w:rsidR="00DD3D1E">
        <w:rPr>
          <w:i/>
        </w:rPr>
        <w:t xml:space="preserve"> %</w:t>
      </w:r>
      <w:r w:rsidRPr="006B609E">
        <w:rPr>
          <w:i/>
        </w:rPr>
        <w:t xml:space="preserve">, в группе </w:t>
      </w:r>
      <w:r w:rsidR="004E268D">
        <w:rPr>
          <w:i/>
        </w:rPr>
        <w:t xml:space="preserve">комбинации </w:t>
      </w:r>
      <w:r w:rsidRPr="006B609E">
        <w:rPr>
          <w:i/>
        </w:rPr>
        <w:t>ибрутиниб</w:t>
      </w:r>
      <w:r w:rsidR="004E268D">
        <w:rPr>
          <w:i/>
        </w:rPr>
        <w:t>а</w:t>
      </w:r>
      <w:r w:rsidR="000E4A49" w:rsidRPr="000E4A49">
        <w:rPr>
          <w:i/>
        </w:rPr>
        <w:t>**</w:t>
      </w:r>
      <w:r w:rsidRPr="006B609E">
        <w:rPr>
          <w:i/>
        </w:rPr>
        <w:t xml:space="preserve"> </w:t>
      </w:r>
      <w:r w:rsidR="004E268D">
        <w:rPr>
          <w:i/>
        </w:rPr>
        <w:t>и</w:t>
      </w:r>
      <w:r w:rsidRPr="006B609E">
        <w:rPr>
          <w:i/>
        </w:rPr>
        <w:t xml:space="preserve"> ритуксимаб</w:t>
      </w:r>
      <w:r w:rsidR="004E268D">
        <w:rPr>
          <w:i/>
        </w:rPr>
        <w:t>а</w:t>
      </w:r>
      <w:r w:rsidR="000E4A49" w:rsidRPr="000E4A49">
        <w:rPr>
          <w:i/>
        </w:rPr>
        <w:t>**</w:t>
      </w:r>
      <w:r w:rsidRPr="006B609E">
        <w:rPr>
          <w:i/>
        </w:rPr>
        <w:t xml:space="preserve"> </w:t>
      </w:r>
      <w:r w:rsidR="00504D96">
        <w:rPr>
          <w:i/>
        </w:rPr>
        <w:t>–</w:t>
      </w:r>
      <w:r w:rsidRPr="006B609E">
        <w:rPr>
          <w:i/>
        </w:rPr>
        <w:t xml:space="preserve"> 88</w:t>
      </w:r>
      <w:r w:rsidR="00DD3D1E">
        <w:rPr>
          <w:i/>
        </w:rPr>
        <w:t xml:space="preserve"> %</w:t>
      </w:r>
      <w:r w:rsidRPr="006B609E">
        <w:rPr>
          <w:i/>
        </w:rPr>
        <w:t>. Частота гематологических нежелательных явлений 3, 4 или 5</w:t>
      </w:r>
      <w:r w:rsidR="004E268D">
        <w:rPr>
          <w:i/>
        </w:rPr>
        <w:t>-й</w:t>
      </w:r>
      <w:r w:rsidRPr="006B609E">
        <w:rPr>
          <w:i/>
        </w:rPr>
        <w:t xml:space="preserve"> степени была выше в группе </w:t>
      </w:r>
      <w:r w:rsidR="004E268D">
        <w:rPr>
          <w:i/>
        </w:rPr>
        <w:t xml:space="preserve">комбинации </w:t>
      </w:r>
      <w:r w:rsidRPr="006B609E">
        <w:rPr>
          <w:i/>
        </w:rPr>
        <w:t>бендамустина</w:t>
      </w:r>
      <w:r w:rsidR="000E4A49" w:rsidRPr="000E4A49">
        <w:rPr>
          <w:i/>
        </w:rPr>
        <w:t>**</w:t>
      </w:r>
      <w:r w:rsidRPr="006B609E">
        <w:rPr>
          <w:i/>
        </w:rPr>
        <w:t xml:space="preserve"> с ритуксимабом</w:t>
      </w:r>
      <w:r w:rsidR="000E4A49" w:rsidRPr="000E4A49">
        <w:rPr>
          <w:i/>
        </w:rPr>
        <w:t>**</w:t>
      </w:r>
      <w:r w:rsidRPr="006B609E">
        <w:rPr>
          <w:i/>
        </w:rPr>
        <w:t xml:space="preserve"> (61</w:t>
      </w:r>
      <w:r w:rsidR="00DD3D1E">
        <w:rPr>
          <w:i/>
        </w:rPr>
        <w:t xml:space="preserve"> %</w:t>
      </w:r>
      <w:r w:rsidRPr="006B609E">
        <w:rPr>
          <w:i/>
        </w:rPr>
        <w:t>)</w:t>
      </w:r>
      <w:r w:rsidR="004E268D">
        <w:rPr>
          <w:i/>
        </w:rPr>
        <w:t>, чем в группе</w:t>
      </w:r>
      <w:r w:rsidRPr="006B609E">
        <w:rPr>
          <w:i/>
        </w:rPr>
        <w:t xml:space="preserve"> ибрутиниб</w:t>
      </w:r>
      <w:r w:rsidR="004E268D">
        <w:rPr>
          <w:i/>
        </w:rPr>
        <w:t>а</w:t>
      </w:r>
      <w:r w:rsidR="000E4A49" w:rsidRPr="000E4A49">
        <w:rPr>
          <w:i/>
        </w:rPr>
        <w:t>**</w:t>
      </w:r>
      <w:r w:rsidRPr="006B609E">
        <w:rPr>
          <w:i/>
        </w:rPr>
        <w:t xml:space="preserve"> в </w:t>
      </w:r>
      <w:r w:rsidR="004E268D">
        <w:rPr>
          <w:i/>
        </w:rPr>
        <w:t xml:space="preserve">режиме </w:t>
      </w:r>
      <w:r w:rsidRPr="006B609E">
        <w:rPr>
          <w:i/>
        </w:rPr>
        <w:t>монотерапии (41</w:t>
      </w:r>
      <w:r w:rsidR="00DD3D1E">
        <w:rPr>
          <w:i/>
        </w:rPr>
        <w:t xml:space="preserve"> %</w:t>
      </w:r>
      <w:r w:rsidRPr="006B609E">
        <w:rPr>
          <w:i/>
        </w:rPr>
        <w:t>) и</w:t>
      </w:r>
      <w:r w:rsidR="004E268D">
        <w:rPr>
          <w:i/>
        </w:rPr>
        <w:t xml:space="preserve"> в группе</w:t>
      </w:r>
      <w:r w:rsidRPr="006B609E">
        <w:rPr>
          <w:i/>
        </w:rPr>
        <w:t xml:space="preserve"> ибрутиниба</w:t>
      </w:r>
      <w:r w:rsidR="000E4A49" w:rsidRPr="000E4A49">
        <w:rPr>
          <w:i/>
        </w:rPr>
        <w:t>**</w:t>
      </w:r>
      <w:r w:rsidRPr="006B609E">
        <w:rPr>
          <w:i/>
        </w:rPr>
        <w:t xml:space="preserve"> в комбинации с ритуксимабом</w:t>
      </w:r>
      <w:r w:rsidR="000E4A49" w:rsidRPr="000E4A49">
        <w:rPr>
          <w:i/>
        </w:rPr>
        <w:t>**</w:t>
      </w:r>
      <w:r w:rsidRPr="006B609E">
        <w:rPr>
          <w:i/>
        </w:rPr>
        <w:t xml:space="preserve"> (39</w:t>
      </w:r>
      <w:r w:rsidR="00DD3D1E">
        <w:rPr>
          <w:i/>
        </w:rPr>
        <w:t xml:space="preserve"> %</w:t>
      </w:r>
      <w:r w:rsidRPr="006B609E">
        <w:rPr>
          <w:i/>
        </w:rPr>
        <w:t>).</w:t>
      </w:r>
    </w:p>
    <w:p w14:paraId="177E25B1" w14:textId="59322B79" w:rsidR="00C103E3" w:rsidRDefault="00C103E3" w:rsidP="005D3BBD">
      <w:pPr>
        <w:contextualSpacing/>
        <w:rPr>
          <w:i/>
        </w:rPr>
      </w:pPr>
      <w:r w:rsidRPr="00912FAC">
        <w:rPr>
          <w:i/>
        </w:rPr>
        <w:t xml:space="preserve">Добавление </w:t>
      </w:r>
      <w:r w:rsidR="004E268D" w:rsidRPr="00912FAC">
        <w:rPr>
          <w:i/>
        </w:rPr>
        <w:t>к хлорамбуцилу</w:t>
      </w:r>
      <w:r w:rsidR="004E268D">
        <w:rPr>
          <w:i/>
        </w:rPr>
        <w:t>**</w:t>
      </w:r>
      <w:r w:rsidR="004E268D" w:rsidRPr="00912FAC">
        <w:rPr>
          <w:i/>
        </w:rPr>
        <w:t xml:space="preserve"> </w:t>
      </w:r>
      <w:r w:rsidRPr="00912FAC">
        <w:rPr>
          <w:i/>
        </w:rPr>
        <w:t xml:space="preserve">моноклонального антитела </w:t>
      </w:r>
      <w:r w:rsidR="004E268D">
        <w:rPr>
          <w:i/>
        </w:rPr>
        <w:t>к</w:t>
      </w:r>
      <w:r w:rsidRPr="00912FAC">
        <w:rPr>
          <w:i/>
        </w:rPr>
        <w:t xml:space="preserve"> CD20 улучшает результаты лечения при приемлемой токсичности. В </w:t>
      </w:r>
      <w:r w:rsidR="00F07AA9">
        <w:rPr>
          <w:i/>
        </w:rPr>
        <w:t>2</w:t>
      </w:r>
      <w:r w:rsidRPr="00912FAC">
        <w:rPr>
          <w:i/>
        </w:rPr>
        <w:t xml:space="preserve"> нерандомизированных </w:t>
      </w:r>
      <w:r w:rsidRPr="004E268D">
        <w:rPr>
          <w:i/>
        </w:rPr>
        <w:t>исследованиях</w:t>
      </w:r>
      <w:r w:rsidR="000E4A49" w:rsidRPr="004E268D">
        <w:rPr>
          <w:i/>
        </w:rPr>
        <w:t xml:space="preserve"> </w:t>
      </w:r>
      <w:r w:rsidR="000B0AC3" w:rsidRPr="004E268D">
        <w:rPr>
          <w:i/>
        </w:rPr>
        <w:fldChar w:fldCharType="begin" w:fldLock="1"/>
      </w:r>
      <w:r w:rsidR="00BA7FFC">
        <w:rPr>
          <w:i/>
        </w:rPr>
        <w:instrText>ADDIN CSL_CITATION {"citationItems":[{"id":"ITEM-1","itemData":{"DOI":"10.1002/ajh.23668","ISSN":"10968652","abstract":"In a phase II trial, we evaluated chlorambucil and rituximab (CLB-R) as first-line induction treatment with or without R as maintenance for elderly chronic lymphocytic leukemia (CLL) patients. Treatment consisted of eight 28-day cycles of CLB (8 mg/m2/day, days 1-7) and R (day 1 of cycle 3, 375 mg/m2; cycles 4-8, 500 mg/m2). Responders were randomized to 12 8-week doses of R (375 mg/m2) or observation. As per intention-to-treat analysis, 82.4% (95% CI, 74.25-90.46%) of 85 patients achieved an overall response (OR), 16.5% a complete response (CR), 2.4% a CR with incomplete bone marrow recovery. The OR was similar across Binet stages (A 86.4%, B 81.6%, and C 78.6%) and age categories (60-64 years, 92.3%; 65-69, 85.2%; 70-74, 75.0%; ≥75, 81.0%). CLB-R was well tolerated. After a median follow-up of 34.2 months, the median progression-free survival (PFS) was 34.7 months (95% CI, 33.1-39.5). TP53 abnormalities, complex karyotype, and low CD20 gene expression predicted lack of response; SF3B1 mutation and BIRC3 disruption low CR rates. IGHV mutations significantly predicted PFS. R maintenance tended towards a better PFS than observation and was safe and most beneficial for patients in partial response and for unmutated IGHV cases. CLB-R represents a promising option for elderly CLL patients. © 2014 Wiley Periodicals, Inc.","author":[{"dropping-particle":"","family":"Foà","given":"Robin","non-dropping-particle":"","parse-names":false,"suffix":""},{"dropping-particle":"","family":"Giudice","given":"Ilaria","non-dropping-particle":"Del","parse-names":false,"suffix":""},{"dropping-particle":"","family":"Cuneo","given":"Antonio","non-dropping-particle":"","parse-names":false,"suffix":""},{"dropping-particle":"","family":"Poeta","given":"Giovanni","non-dropping-particle":"Del","parse-names":false,"suffix":""},{"dropping-particle":"","family":"Ciolli","given":"Stefania","non-dropping-particle":"","parse-names":false,"suffix":""},{"dropping-particle":"","family":"Raimondo","given":"Francesco","non-dropping-particle":"Di","parse-names":false,"suffix":""},{"dropping-particle":"","family":"Lauria","given":"Francesco","non-dropping-particle":"","parse-names":false,"suffix":""},{"dropping-particle":"","family":"Cencini","given":"Emanuele","non-dropping-particle":"","parse-names":false,"suffix":""},{"dropping-particle":"","family":"Rigolin","given":"Gian Matteo","non-dropping-particle":"","parse-names":false,"suffix":""},{"dropping-particle":"","family":"Cortelezzi","given":"Agostino","non-dropping-particle":"","parse-names":false,"suffix":""},{"dropping-particle":"","family":"Nobile","given":"Francesco","non-dropping-particle":"","parse-names":false,"suffix":""},{"dropping-particle":"","family":"Callea","given":"Vincenzo","non-dropping-particle":"","parse-names":false,"suffix":""},{"dropping-particle":"","family":"Brugiatelli","given":"Maura","non-dropping-particle":"","parse-names":false,"suffix":""},{"dropping-particle":"","family":"Massaia","given":"Massimo","non-dropping-particle":"","parse-names":false,"suffix":""},{"dropping-particle":"","family":"Molica","given":"Stefano","non-dropping-particle":"","parse-names":false,"suffix":""},{"dropping-particle":"","family":"Trentin","given":"Livio","non-dropping-particle":"","parse-names":false,"suffix":""},{"dropping-particle":"","family":"Rizzi","given":"Rita","non-dropping-particle":"","parse-names":false,"suffix":""},{"dropping-particle":"","family":"Specchia","given":"Giorgina","non-dropping-particle":"","parse-names":false,"suffix":""},{"dropping-particle":"","family":"Serio","given":"Francesca","non-dropping-particle":"Di","parse-names":false,"suffix":""},{"dropping-particle":"","family":"Orsucci","given":"Lorella","non-dropping-particle":"","parse-names":false,"suffix":""},{"dropping-particle":"","family":"Ambrosetti","given":"Achille","non-dropping-particle":"","parse-names":false,"suffix":""},{"dropping-particle":"","family":"Montillo","given":"Marco","non-dropping-particle":"","parse-names":false,"suffix":""},{"dropping-particle":"","family":"Zinzani","given":"Pier Luigi","non-dropping-particle":"","parse-names":false,"suffix":""},{"dropping-particle":"","family":"Ferrara","given":"Felicetto","non-dropping-particle":"","parse-names":false,"suffix":""},{"dropping-particle":"","family":"Morabito","given":"Fortunato","non-dropping-particle":"","parse-names":false,"suffix":""},{"dropping-particle":"","family":"Mura","given":"Maria Angela","non-dropping-particle":"","parse-names":false,"suffix":""},{"dropping-particle":"","family":"Soriani","given":"Silvia","non-dropping-particle":"","parse-names":false,"suffix":""},{"dropping-particle":"","family":"Peragine","given":"Nadia","non-dropping-particle":"","parse-names":false,"suffix":""},{"dropping-particle":"","family":"Tavolaro","given":"Simona","non-dropping-particle":"","parse-names":false,"suffix":""},{"dropping-particle":"","family":"Bonina","given":"Silvia","non-dropping-particle":"","parse-names":false,"suffix":""},{"dropping-particle":"","family":"Marinelli","given":"Marilisa","non-dropping-particle":"","parse-names":false,"suffix":""},{"dropping-particle":"","family":"Propris","given":"Maria Stefania","non-dropping-particle":"De","parse-names":false,"suffix":""},{"dropping-particle":"Della","family":"Starza","given":"Irene","non-dropping-particle":"","parse-names":false,"suffix":""},{"dropping-particle":"","family":"Piciocchi","given":"Alfonso","non-dropping-particle":"","parse-names":false,"suffix":""},{"dropping-particle":"","family":"Alietti","given":"Alessandra","non-dropping-particle":"","parse-names":false,"suffix":""},{"dropping-particle":"","family":"Runggaldier","given":"Eva Josephine","non-dropping-particle":"","parse-names":false,"suffix":""},{"dropping-particle":"","family":"Gamba","given":"Enrica","non-dropping-particle":"","parse-names":false,"suffix":""},{"dropping-particle":"","family":"Mauro","given":"Francesca Romana","non-dropping-particle":"","parse-names":false,"suffix":""},{"dropping-particle":"","family":"Chiaretti","given":"Sabina","non-dropping-particle":"","parse-names":false,"suffix":""},{"dropping-particle":"","family":"Guarini","given":"Anna","non-dropping-particle":"","parse-names":false,"suffix":""}],"container-title":"American Journal of Hematology","id":"ITEM-1","issue":"5","issued":{"date-parts":[["2014"]]},"page":"480-486","publisher":"Wiley-Liss Inc.","title":"Chlorambucil plus rituximab with or without maintenance rituximab as first-line treatment for elderly chronic lymphocytic leukemia patients","type":"article-journal","volume":"89"},"uris":["http://www.mendeley.com/documents/?uuid=862108c3-56b0-35c8-b867-3539bca5cf9a"]},{"id":"ITEM-2","itemData":{"DOI":"10.1200/JCO.2013.49.6547","ISSN":"15277755","abstract":"Purpose Most patients with chronic lymphocytic leukemia (CLL) are elderly and/or have comorbidities that may make them ineligible for fludarabine-based treatment. For this population, chlorambucil monotherapy is an appropriate therapeutic option; however, response rates with chlorambucil are low, and more effective treatments are needed. This trial was designed to assess how the addition of rituximab to chlorambucil (R-chlorambucil) would affect safety and efficacy in patients with CLL.Patients and Methods Patients with first-line CLL were treated with rituximab (375 mg/m2 on day 1, cycle one, and 500 mg/m2 thereafter) plus chlorambucil (10 mg/m2/d all cycles; day 1 through 7) for six 28-day cycles. For patients not achieving complete response (CR), six additional cycles of chlorambucil alone could be administered. The primary end point of the study was safety.Results A total of 100 patients were treated with R-chlorambucil, with a median follow-up of 30 months. Median age of patients was 70 years (range, 43 to 86 years), with patients having a median of seven comorbidities. Hematologic toxicities accounted for most grade 3/4 adverse events reported, with neutropenia and lymphopenia both occurring in 41% of patients and leukopenia in 23%. Overall response rates were 84%, with CR achieved in 10% of patients. Median progression-free survival was 23.5 months; median overall survival was not reached.Conclusion These results compare favorably with previously published results for chlorambucil monotherapy, suggesting that the addition of rituximab to chlorambucil may improve efficacy with no unexpected adverse events. R-chlorambucil may improve outcome for patients who are ineligible for fludarabine-based treatments.","author":[{"dropping-particle":"","family":"Hillmen","given":"Peter","non-dropping-particle":"","parse-names":false,"suffix":""},{"dropping-particle":"","family":"Gribben","given":"John G.","non-dropping-particle":"","parse-names":false,"suffix":""},{"dropping-particle":"","family":"Follows","given":"George A.","non-dropping-particle":"","parse-names":false,"suffix":""},{"dropping-particle":"","family":"Milligan","given":"Donald","non-dropping-particle":"","parse-names":false,"suffix":""},{"dropping-particle":"","family":"Sayala","given":"Hazem A.","non-dropping-particle":"","parse-names":false,"suffix":""},{"dropping-particle":"","family":"Moreton","given":"Paul","non-dropping-particle":"","parse-names":false,"suffix":""},{"dropping-particle":"","family":"Oscier","given":"David G.","non-dropping-particle":"","parse-names":false,"suffix":""},{"dropping-particle":"","family":"Dearden","given":"Claire E.","non-dropping-particle":"","parse-names":false,"suffix":""},{"dropping-particle":"","family":"Kennedy","given":"Daniel B.","non-dropping-particle":"","parse-names":false,"suffix":""},{"dropping-particle":"","family":"Pettitt","given":"Andrew R.","non-dropping-particle":"","parse-names":false,"suffix":""},{"dropping-particle":"","family":"Nathwani","given":"Amit","non-dropping-particle":"","parse-names":false,"suffix":""},{"dropping-particle":"","family":"Varghese","given":"Abraham","non-dropping-particle":"","parse-names":false,"suffix":""},{"dropping-particle":"","family":"Cohen","given":"Dena","non-dropping-particle":"","parse-names":false,"suffix":""},{"dropping-particle":"","family":"Rawstron","given":"Andy","non-dropping-particle":"","parse-names":false,"suffix":""},{"dropping-particle":"","family":"Oertel","given":"Stephan","non-dropping-particle":"","parse-names":false,"suffix":""},{"dropping-particle":"","family":"Pocock","given":"Christopher F E","non-dropping-particle":"","parse-names":false,"suffix":""}],"container-title":"Journal of Clinical Oncology","id":"ITEM-2","issue":"12","issued":{"date-parts":[["2014","4","20"]]},"page":"1236-1241","publisher":"American Society of Clinical Oncology","title":"Rituximab plus chlorambucil as first-line treatment for chronic lymphocytic leukemia: Final analysis of an open-label phase II study","type":"article-journal","volume":"32"},"uris":["http://www.mendeley.com/documents/?uuid=590b0f66-c88b-3951-a495-fe23ae67efb0"]}],"mendeley":{"formattedCitation":"[42,43]","plainTextFormattedCitation":"[42,43]","previouslyFormattedCitation":"[42,43]"},"properties":{"noteIndex":0},"schema":"https://github.com/citation-style-language/schema/raw/master/csl-citation.json"}</w:instrText>
      </w:r>
      <w:r w:rsidR="000B0AC3" w:rsidRPr="004E268D">
        <w:rPr>
          <w:i/>
        </w:rPr>
        <w:fldChar w:fldCharType="separate"/>
      </w:r>
      <w:r w:rsidR="00225D7F" w:rsidRPr="00225D7F">
        <w:rPr>
          <w:noProof/>
        </w:rPr>
        <w:t>[42,43]</w:t>
      </w:r>
      <w:r w:rsidR="000B0AC3" w:rsidRPr="004E268D">
        <w:rPr>
          <w:i/>
        </w:rPr>
        <w:fldChar w:fldCharType="end"/>
      </w:r>
      <w:r w:rsidRPr="004E268D">
        <w:rPr>
          <w:i/>
        </w:rPr>
        <w:t>,</w:t>
      </w:r>
      <w:r w:rsidRPr="00912FAC">
        <w:rPr>
          <w:i/>
        </w:rPr>
        <w:t xml:space="preserve"> выборки </w:t>
      </w:r>
      <w:r w:rsidR="00573998">
        <w:rPr>
          <w:i/>
        </w:rPr>
        <w:t>пациентов</w:t>
      </w:r>
      <w:r w:rsidR="00573998" w:rsidRPr="00912FAC">
        <w:rPr>
          <w:i/>
        </w:rPr>
        <w:t xml:space="preserve"> </w:t>
      </w:r>
      <w:r w:rsidRPr="00912FAC">
        <w:rPr>
          <w:i/>
        </w:rPr>
        <w:t>в которых различались по коморбидности, показано, что добавление ритуксимаба</w:t>
      </w:r>
      <w:r w:rsidR="00F16D99">
        <w:rPr>
          <w:i/>
        </w:rPr>
        <w:t>**</w:t>
      </w:r>
      <w:r w:rsidRPr="00912FAC">
        <w:rPr>
          <w:i/>
        </w:rPr>
        <w:t xml:space="preserve"> к хлорамбуцилу</w:t>
      </w:r>
      <w:r w:rsidR="005163D3">
        <w:rPr>
          <w:i/>
        </w:rPr>
        <w:t>**</w:t>
      </w:r>
      <w:r w:rsidR="004E268D">
        <w:rPr>
          <w:i/>
        </w:rPr>
        <w:t xml:space="preserve"> увеличивает медиану ВБП c 18 </w:t>
      </w:r>
      <w:r w:rsidRPr="00912FAC">
        <w:rPr>
          <w:i/>
        </w:rPr>
        <w:t>до 24 мес</w:t>
      </w:r>
      <w:r w:rsidR="00504D96">
        <w:rPr>
          <w:i/>
        </w:rPr>
        <w:t>.</w:t>
      </w:r>
      <w:r w:rsidRPr="00912FAC">
        <w:rPr>
          <w:i/>
        </w:rPr>
        <w:t>, кроме пациентов с del11q, у которых ВБП составила 12 мес. Комбинация хлорамбуцила</w:t>
      </w:r>
      <w:r w:rsidR="005163D3">
        <w:rPr>
          <w:i/>
        </w:rPr>
        <w:t>**</w:t>
      </w:r>
      <w:r w:rsidRPr="00912FAC">
        <w:rPr>
          <w:i/>
        </w:rPr>
        <w:t xml:space="preserve"> с ритуксимабом</w:t>
      </w:r>
      <w:r w:rsidR="00F16D99">
        <w:rPr>
          <w:i/>
        </w:rPr>
        <w:t>**</w:t>
      </w:r>
      <w:r w:rsidRPr="00912FAC">
        <w:rPr>
          <w:i/>
        </w:rPr>
        <w:t xml:space="preserve"> значительно уступает по эффективности всем остальным вариантам лечения по</w:t>
      </w:r>
      <w:r w:rsidR="004E268D">
        <w:rPr>
          <w:i/>
        </w:rPr>
        <w:t>жилых пациентов. П</w:t>
      </w:r>
      <w:r w:rsidRPr="00912FAC">
        <w:rPr>
          <w:i/>
        </w:rPr>
        <w:t>редпочтительн</w:t>
      </w:r>
      <w:r w:rsidR="004E268D">
        <w:rPr>
          <w:i/>
        </w:rPr>
        <w:t>ы</w:t>
      </w:r>
      <w:r w:rsidRPr="00912FAC">
        <w:rPr>
          <w:i/>
        </w:rPr>
        <w:t xml:space="preserve"> другие варианты лечения. </w:t>
      </w:r>
    </w:p>
    <w:p w14:paraId="5D78A994" w14:textId="1159B8C7" w:rsidR="006B1011" w:rsidRPr="007C1EA1" w:rsidRDefault="006B1011" w:rsidP="005D3BBD">
      <w:pPr>
        <w:rPr>
          <w:i/>
        </w:rPr>
      </w:pPr>
      <w:r w:rsidRPr="00DA5232">
        <w:rPr>
          <w:i/>
        </w:rPr>
        <w:t>В исследовани</w:t>
      </w:r>
      <w:r w:rsidR="004E268D">
        <w:rPr>
          <w:i/>
        </w:rPr>
        <w:t>е</w:t>
      </w:r>
      <w:r w:rsidRPr="00DA5232">
        <w:rPr>
          <w:i/>
        </w:rPr>
        <w:t xml:space="preserve"> </w:t>
      </w:r>
      <w:r w:rsidRPr="00DA5232">
        <w:rPr>
          <w:i/>
          <w:lang w:val="en-US"/>
        </w:rPr>
        <w:t>CLL</w:t>
      </w:r>
      <w:r w:rsidRPr="00DA5232">
        <w:rPr>
          <w:i/>
        </w:rPr>
        <w:t xml:space="preserve"> 14 было включено 432 пациента (средний возраст 72 года, С</w:t>
      </w:r>
      <w:r w:rsidRPr="00DA5232">
        <w:rPr>
          <w:i/>
          <w:lang w:val="en-US"/>
        </w:rPr>
        <w:t>IRS</w:t>
      </w:r>
      <w:r w:rsidRPr="00DA5232">
        <w:rPr>
          <w:i/>
        </w:rPr>
        <w:t xml:space="preserve"> </w:t>
      </w:r>
      <w:r w:rsidR="004E268D">
        <w:rPr>
          <w:i/>
        </w:rPr>
        <w:br/>
      </w:r>
      <w:r w:rsidRPr="00DA5232">
        <w:rPr>
          <w:i/>
        </w:rPr>
        <w:t>8 баллов, клиренс кре</w:t>
      </w:r>
      <w:r w:rsidR="004E268D">
        <w:rPr>
          <w:i/>
        </w:rPr>
        <w:t>а</w:t>
      </w:r>
      <w:r w:rsidRPr="00DA5232">
        <w:rPr>
          <w:i/>
        </w:rPr>
        <w:t>тинина 66,4 мл/мин). Пациенты были рандомизированы на группы, получавшие комбинацию венетоклакса</w:t>
      </w:r>
      <w:r w:rsidR="00E0050E" w:rsidRPr="00932BCF">
        <w:t>**</w:t>
      </w:r>
      <w:r w:rsidRPr="00DA5232">
        <w:rPr>
          <w:i/>
        </w:rPr>
        <w:t xml:space="preserve"> и обинутузумаба</w:t>
      </w:r>
      <w:r w:rsidR="00716BBE" w:rsidRPr="00397360">
        <w:rPr>
          <w:i/>
        </w:rPr>
        <w:t>**</w:t>
      </w:r>
      <w:r w:rsidRPr="00DA5232">
        <w:rPr>
          <w:i/>
        </w:rPr>
        <w:t xml:space="preserve"> и</w:t>
      </w:r>
      <w:r w:rsidR="004E268D">
        <w:rPr>
          <w:i/>
        </w:rPr>
        <w:t xml:space="preserve"> получавшие комбинацию</w:t>
      </w:r>
      <w:r w:rsidRPr="00DA5232">
        <w:rPr>
          <w:i/>
        </w:rPr>
        <w:t xml:space="preserve"> хлорамбуцила</w:t>
      </w:r>
      <w:r w:rsidR="000E4A49" w:rsidRPr="000E4A49">
        <w:rPr>
          <w:i/>
        </w:rPr>
        <w:t>**</w:t>
      </w:r>
      <w:r w:rsidRPr="00DA5232">
        <w:rPr>
          <w:i/>
        </w:rPr>
        <w:t xml:space="preserve"> и обинутузумаба</w:t>
      </w:r>
      <w:r w:rsidR="00716BBE" w:rsidRPr="00397360">
        <w:rPr>
          <w:i/>
        </w:rPr>
        <w:t>**</w:t>
      </w:r>
      <w:r w:rsidRPr="00DA5232">
        <w:rPr>
          <w:i/>
        </w:rPr>
        <w:t xml:space="preserve"> (216 пациентов в каждой группе). </w:t>
      </w:r>
      <w:r w:rsidR="004E268D">
        <w:rPr>
          <w:i/>
        </w:rPr>
        <w:t>Т</w:t>
      </w:r>
      <w:r w:rsidRPr="00DA5232">
        <w:rPr>
          <w:i/>
        </w:rPr>
        <w:t>ерапи</w:t>
      </w:r>
      <w:r w:rsidR="004E268D">
        <w:rPr>
          <w:i/>
        </w:rPr>
        <w:t>я проводилась</w:t>
      </w:r>
      <w:r w:rsidRPr="00DA5232">
        <w:rPr>
          <w:i/>
        </w:rPr>
        <w:t xml:space="preserve"> фиксированным курсом</w:t>
      </w:r>
      <w:r w:rsidR="004E268D">
        <w:rPr>
          <w:i/>
        </w:rPr>
        <w:t xml:space="preserve"> длительностью</w:t>
      </w:r>
      <w:r w:rsidRPr="00DA5232">
        <w:rPr>
          <w:i/>
        </w:rPr>
        <w:t xml:space="preserve"> 12 мес.</w:t>
      </w:r>
      <w:r w:rsidR="00DD3D1E">
        <w:rPr>
          <w:i/>
        </w:rPr>
        <w:t xml:space="preserve"> </w:t>
      </w:r>
      <w:r w:rsidRPr="00DA5232">
        <w:rPr>
          <w:i/>
        </w:rPr>
        <w:t>Через 24 мес</w:t>
      </w:r>
      <w:r w:rsidR="00504D96">
        <w:rPr>
          <w:i/>
        </w:rPr>
        <w:t>.</w:t>
      </w:r>
      <w:r w:rsidRPr="00DA5232">
        <w:rPr>
          <w:i/>
        </w:rPr>
        <w:t xml:space="preserve"> </w:t>
      </w:r>
      <w:r w:rsidR="00B57859">
        <w:rPr>
          <w:i/>
        </w:rPr>
        <w:t xml:space="preserve">ВБП </w:t>
      </w:r>
      <w:r w:rsidRPr="00DA5232">
        <w:rPr>
          <w:i/>
        </w:rPr>
        <w:t xml:space="preserve">была достоверно выше </w:t>
      </w:r>
      <w:r w:rsidR="004E268D">
        <w:rPr>
          <w:i/>
        </w:rPr>
        <w:t>в группе</w:t>
      </w:r>
      <w:r w:rsidRPr="00DA5232">
        <w:rPr>
          <w:i/>
        </w:rPr>
        <w:t xml:space="preserve"> венетоклакс</w:t>
      </w:r>
      <w:r w:rsidR="004E268D">
        <w:rPr>
          <w:i/>
        </w:rPr>
        <w:t>а</w:t>
      </w:r>
      <w:r w:rsidR="00E0050E" w:rsidRPr="00932BCF">
        <w:t>**</w:t>
      </w:r>
      <w:r w:rsidR="004E268D">
        <w:rPr>
          <w:i/>
        </w:rPr>
        <w:t xml:space="preserve"> и обинутузумаба</w:t>
      </w:r>
      <w:r w:rsidR="00716BBE" w:rsidRPr="00397360">
        <w:rPr>
          <w:i/>
        </w:rPr>
        <w:t>**</w:t>
      </w:r>
      <w:r w:rsidR="00DA5232">
        <w:rPr>
          <w:i/>
        </w:rPr>
        <w:t xml:space="preserve">, </w:t>
      </w:r>
      <w:r w:rsidR="004E268D">
        <w:rPr>
          <w:i/>
        </w:rPr>
        <w:t>чем в группе</w:t>
      </w:r>
      <w:r w:rsidRPr="00DA5232">
        <w:rPr>
          <w:i/>
        </w:rPr>
        <w:t xml:space="preserve"> хлорамбуцил</w:t>
      </w:r>
      <w:r w:rsidR="004E268D">
        <w:rPr>
          <w:i/>
        </w:rPr>
        <w:t>а</w:t>
      </w:r>
      <w:r w:rsidR="000E4A49" w:rsidRPr="000E4A49">
        <w:rPr>
          <w:i/>
        </w:rPr>
        <w:t>**</w:t>
      </w:r>
      <w:r w:rsidRPr="00DA5232">
        <w:rPr>
          <w:i/>
        </w:rPr>
        <w:t xml:space="preserve"> и обинутузумаб</w:t>
      </w:r>
      <w:r w:rsidR="004E268D">
        <w:rPr>
          <w:i/>
        </w:rPr>
        <w:t>а</w:t>
      </w:r>
      <w:r w:rsidR="00716BBE" w:rsidRPr="00397360">
        <w:rPr>
          <w:i/>
        </w:rPr>
        <w:t>**</w:t>
      </w:r>
      <w:r w:rsidRPr="00DA5232">
        <w:rPr>
          <w:i/>
        </w:rPr>
        <w:t xml:space="preserve"> </w:t>
      </w:r>
      <w:r w:rsidR="004E268D">
        <w:rPr>
          <w:i/>
        </w:rPr>
        <w:t>(</w:t>
      </w:r>
      <w:r w:rsidRPr="00DA5232">
        <w:rPr>
          <w:i/>
        </w:rPr>
        <w:t>88</w:t>
      </w:r>
      <w:r w:rsidR="004E268D">
        <w:rPr>
          <w:i/>
        </w:rPr>
        <w:t>,</w:t>
      </w:r>
      <w:r w:rsidRPr="00DA5232">
        <w:rPr>
          <w:i/>
        </w:rPr>
        <w:t>2 и 64</w:t>
      </w:r>
      <w:r w:rsidR="004E268D">
        <w:rPr>
          <w:i/>
        </w:rPr>
        <w:t>,</w:t>
      </w:r>
      <w:r w:rsidRPr="00DA5232">
        <w:rPr>
          <w:i/>
        </w:rPr>
        <w:t>1</w:t>
      </w:r>
      <w:r w:rsidR="00DD3D1E">
        <w:rPr>
          <w:i/>
        </w:rPr>
        <w:t xml:space="preserve"> %</w:t>
      </w:r>
      <w:r w:rsidRPr="00DA5232">
        <w:rPr>
          <w:i/>
        </w:rPr>
        <w:t xml:space="preserve"> соответственно</w:t>
      </w:r>
      <w:r w:rsidR="004E268D">
        <w:rPr>
          <w:i/>
        </w:rPr>
        <w:t>)</w:t>
      </w:r>
      <w:r w:rsidRPr="00DA5232">
        <w:rPr>
          <w:i/>
        </w:rPr>
        <w:t>. Данное преимущество отмечалось</w:t>
      </w:r>
      <w:r w:rsidR="00DD3D1E">
        <w:rPr>
          <w:i/>
        </w:rPr>
        <w:t xml:space="preserve"> </w:t>
      </w:r>
      <w:r w:rsidR="004E268D">
        <w:rPr>
          <w:i/>
        </w:rPr>
        <w:t>у</w:t>
      </w:r>
      <w:r w:rsidRPr="00DA5232">
        <w:rPr>
          <w:i/>
        </w:rPr>
        <w:t xml:space="preserve"> пациентов </w:t>
      </w:r>
      <w:r w:rsidR="004E268D" w:rsidRPr="00DA5232">
        <w:rPr>
          <w:i/>
        </w:rPr>
        <w:t xml:space="preserve">с </w:t>
      </w:r>
      <w:r w:rsidR="004E268D">
        <w:rPr>
          <w:i/>
        </w:rPr>
        <w:t>наличием и отсутствием</w:t>
      </w:r>
      <w:r w:rsidRPr="00DA5232">
        <w:rPr>
          <w:i/>
        </w:rPr>
        <w:t xml:space="preserve"> делеци</w:t>
      </w:r>
      <w:r w:rsidR="004E268D">
        <w:rPr>
          <w:i/>
        </w:rPr>
        <w:t>и</w:t>
      </w:r>
      <w:r w:rsidRPr="00DA5232">
        <w:rPr>
          <w:i/>
        </w:rPr>
        <w:t xml:space="preserve"> </w:t>
      </w:r>
      <w:r w:rsidR="004E268D" w:rsidRPr="00DA5232">
        <w:rPr>
          <w:i/>
        </w:rPr>
        <w:t xml:space="preserve">17р </w:t>
      </w:r>
      <w:r w:rsidRPr="00DA5232">
        <w:rPr>
          <w:i/>
        </w:rPr>
        <w:t>и мутаци</w:t>
      </w:r>
      <w:r w:rsidR="004E268D">
        <w:rPr>
          <w:i/>
        </w:rPr>
        <w:t>и</w:t>
      </w:r>
      <w:r w:rsidRPr="00DA5232">
        <w:rPr>
          <w:i/>
        </w:rPr>
        <w:t xml:space="preserve"> </w:t>
      </w:r>
      <w:r w:rsidR="004E268D" w:rsidRPr="00DA5232">
        <w:rPr>
          <w:i/>
        </w:rPr>
        <w:t>ТР53</w:t>
      </w:r>
      <w:r w:rsidR="004E268D">
        <w:rPr>
          <w:i/>
        </w:rPr>
        <w:t>,</w:t>
      </w:r>
      <w:r w:rsidRPr="00DA5232">
        <w:rPr>
          <w:i/>
        </w:rPr>
        <w:t xml:space="preserve"> с </w:t>
      </w:r>
      <w:r w:rsidR="004E268D">
        <w:rPr>
          <w:i/>
        </w:rPr>
        <w:t xml:space="preserve">наличием и отсутствием мутации генов </w:t>
      </w:r>
      <w:r w:rsidRPr="00C348F4">
        <w:rPr>
          <w:i/>
          <w:lang w:val="en-US"/>
        </w:rPr>
        <w:t>IGHV</w:t>
      </w:r>
      <w:r w:rsidRPr="00C348F4">
        <w:rPr>
          <w:i/>
        </w:rPr>
        <w:t>.</w:t>
      </w:r>
      <w:r w:rsidR="00DD3D1E" w:rsidRPr="00C348F4">
        <w:rPr>
          <w:i/>
        </w:rPr>
        <w:t xml:space="preserve"> </w:t>
      </w:r>
      <w:r w:rsidRPr="00C348F4">
        <w:rPr>
          <w:i/>
        </w:rPr>
        <w:t>Частота общего ответа составила 84,7</w:t>
      </w:r>
      <w:r w:rsidR="00DD3D1E" w:rsidRPr="00C348F4">
        <w:rPr>
          <w:i/>
        </w:rPr>
        <w:t xml:space="preserve"> %</w:t>
      </w:r>
      <w:r w:rsidRPr="00C348F4">
        <w:rPr>
          <w:i/>
        </w:rPr>
        <w:t xml:space="preserve"> </w:t>
      </w:r>
      <w:r w:rsidR="004E268D" w:rsidRPr="00C348F4">
        <w:rPr>
          <w:i/>
        </w:rPr>
        <w:t>в группе</w:t>
      </w:r>
      <w:r w:rsidRPr="00C348F4">
        <w:rPr>
          <w:i/>
        </w:rPr>
        <w:t xml:space="preserve"> венетоклакс</w:t>
      </w:r>
      <w:r w:rsidR="004E268D" w:rsidRPr="00C348F4">
        <w:rPr>
          <w:i/>
        </w:rPr>
        <w:t>а</w:t>
      </w:r>
      <w:r w:rsidR="00E0050E" w:rsidRPr="00932BCF">
        <w:t>**</w:t>
      </w:r>
      <w:r w:rsidR="00E0050E" w:rsidRPr="00D3326D">
        <w:t xml:space="preserve"> </w:t>
      </w:r>
      <w:r w:rsidRPr="00C348F4">
        <w:rPr>
          <w:i/>
        </w:rPr>
        <w:t>(</w:t>
      </w:r>
      <w:r w:rsidR="004E268D" w:rsidRPr="00C348F4">
        <w:rPr>
          <w:i/>
        </w:rPr>
        <w:t>в</w:t>
      </w:r>
      <w:r w:rsidR="00E0050E" w:rsidRPr="00D3326D">
        <w:rPr>
          <w:i/>
        </w:rPr>
        <w:t xml:space="preserve"> </w:t>
      </w:r>
      <w:r w:rsidRPr="00C348F4">
        <w:rPr>
          <w:i/>
        </w:rPr>
        <w:t>49,5</w:t>
      </w:r>
      <w:r w:rsidR="00E0050E" w:rsidRPr="00D3326D">
        <w:rPr>
          <w:i/>
        </w:rPr>
        <w:t xml:space="preserve"> </w:t>
      </w:r>
      <w:r w:rsidR="00DD3D1E" w:rsidRPr="00C348F4">
        <w:rPr>
          <w:i/>
        </w:rPr>
        <w:t>%</w:t>
      </w:r>
      <w:r w:rsidRPr="00C348F4">
        <w:rPr>
          <w:i/>
        </w:rPr>
        <w:t xml:space="preserve"> </w:t>
      </w:r>
      <w:r w:rsidR="004E268D" w:rsidRPr="00C348F4">
        <w:rPr>
          <w:i/>
        </w:rPr>
        <w:t>случаев –</w:t>
      </w:r>
      <w:r w:rsidRPr="00C348F4">
        <w:rPr>
          <w:i/>
        </w:rPr>
        <w:t xml:space="preserve"> полная ремиссия</w:t>
      </w:r>
      <w:r w:rsidR="004E268D" w:rsidRPr="00C348F4">
        <w:rPr>
          <w:i/>
        </w:rPr>
        <w:t>, в</w:t>
      </w:r>
      <w:r w:rsidRPr="00C348F4">
        <w:rPr>
          <w:i/>
        </w:rPr>
        <w:t xml:space="preserve"> 35,2</w:t>
      </w:r>
      <w:r w:rsidR="004E268D" w:rsidRPr="00C348F4">
        <w:rPr>
          <w:i/>
        </w:rPr>
        <w:t xml:space="preserve"> %</w:t>
      </w:r>
      <w:r w:rsidRPr="00C348F4">
        <w:rPr>
          <w:i/>
        </w:rPr>
        <w:t xml:space="preserve"> – частичная) и 71,2</w:t>
      </w:r>
      <w:r w:rsidR="00DD3D1E" w:rsidRPr="00C348F4">
        <w:rPr>
          <w:i/>
        </w:rPr>
        <w:t xml:space="preserve"> %</w:t>
      </w:r>
      <w:r w:rsidRPr="00C348F4">
        <w:rPr>
          <w:i/>
        </w:rPr>
        <w:t xml:space="preserve"> </w:t>
      </w:r>
      <w:r w:rsidR="004E268D" w:rsidRPr="00C348F4">
        <w:rPr>
          <w:i/>
        </w:rPr>
        <w:t>в группе</w:t>
      </w:r>
      <w:r w:rsidRPr="00C348F4">
        <w:rPr>
          <w:i/>
        </w:rPr>
        <w:t xml:space="preserve"> хлорамбуцил</w:t>
      </w:r>
      <w:r w:rsidR="004E268D" w:rsidRPr="00C348F4">
        <w:rPr>
          <w:i/>
        </w:rPr>
        <w:t>а</w:t>
      </w:r>
      <w:r w:rsidRPr="00C348F4">
        <w:rPr>
          <w:i/>
        </w:rPr>
        <w:t xml:space="preserve"> и обинутузумаб</w:t>
      </w:r>
      <w:r w:rsidR="004E268D" w:rsidRPr="00C348F4">
        <w:rPr>
          <w:i/>
        </w:rPr>
        <w:t>а</w:t>
      </w:r>
      <w:r w:rsidR="00716BBE" w:rsidRPr="00397360">
        <w:rPr>
          <w:i/>
        </w:rPr>
        <w:t>**</w:t>
      </w:r>
      <w:r w:rsidRPr="00C348F4">
        <w:rPr>
          <w:i/>
        </w:rPr>
        <w:t xml:space="preserve"> (</w:t>
      </w:r>
      <w:r w:rsidR="004E268D" w:rsidRPr="00C348F4">
        <w:rPr>
          <w:i/>
        </w:rPr>
        <w:t xml:space="preserve">в </w:t>
      </w:r>
      <w:r w:rsidRPr="00C348F4">
        <w:rPr>
          <w:i/>
        </w:rPr>
        <w:t>23,1</w:t>
      </w:r>
      <w:r w:rsidR="00DD3D1E" w:rsidRPr="00C348F4">
        <w:rPr>
          <w:i/>
        </w:rPr>
        <w:t xml:space="preserve"> %</w:t>
      </w:r>
      <w:r w:rsidR="00560CBA" w:rsidRPr="00C348F4">
        <w:rPr>
          <w:i/>
        </w:rPr>
        <w:t xml:space="preserve"> –</w:t>
      </w:r>
      <w:r w:rsidRPr="00C348F4">
        <w:rPr>
          <w:i/>
        </w:rPr>
        <w:t xml:space="preserve"> полная ремиссия</w:t>
      </w:r>
      <w:r w:rsidR="004E268D" w:rsidRPr="00C348F4">
        <w:rPr>
          <w:i/>
        </w:rPr>
        <w:t>, в</w:t>
      </w:r>
      <w:r w:rsidRPr="00C348F4">
        <w:rPr>
          <w:i/>
        </w:rPr>
        <w:t xml:space="preserve"> 48,1</w:t>
      </w:r>
      <w:r w:rsidR="00DD3D1E" w:rsidRPr="00C348F4">
        <w:rPr>
          <w:i/>
        </w:rPr>
        <w:t xml:space="preserve"> %</w:t>
      </w:r>
      <w:r w:rsidR="00F07AA9" w:rsidRPr="00C348F4">
        <w:rPr>
          <w:i/>
        </w:rPr>
        <w:t xml:space="preserve"> </w:t>
      </w:r>
      <w:r w:rsidRPr="00C348F4">
        <w:rPr>
          <w:i/>
        </w:rPr>
        <w:t>– частичная) (</w:t>
      </w:r>
      <w:r w:rsidRPr="00C348F4">
        <w:rPr>
          <w:i/>
          <w:lang w:val="en-US"/>
        </w:rPr>
        <w:t>p</w:t>
      </w:r>
      <w:r w:rsidR="00560CBA" w:rsidRPr="00C348F4">
        <w:rPr>
          <w:i/>
        </w:rPr>
        <w:t xml:space="preserve"> </w:t>
      </w:r>
      <w:r w:rsidRPr="00C348F4">
        <w:rPr>
          <w:i/>
        </w:rPr>
        <w:t>&lt;</w:t>
      </w:r>
      <w:r w:rsidR="00560CBA" w:rsidRPr="00C348F4">
        <w:rPr>
          <w:i/>
        </w:rPr>
        <w:t xml:space="preserve"> </w:t>
      </w:r>
      <w:r w:rsidRPr="00C348F4">
        <w:rPr>
          <w:i/>
        </w:rPr>
        <w:t>0,001)</w:t>
      </w:r>
      <w:r w:rsidR="000E4A49" w:rsidRPr="00C348F4">
        <w:rPr>
          <w:i/>
        </w:rPr>
        <w:t xml:space="preserve"> </w:t>
      </w:r>
      <w:r w:rsidR="000B0AC3" w:rsidRPr="00C348F4">
        <w:rPr>
          <w:i/>
        </w:rPr>
        <w:fldChar w:fldCharType="begin" w:fldLock="1"/>
      </w:r>
      <w:r w:rsidR="00BA7FFC">
        <w:rPr>
          <w:i/>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[44]","plainTextFormattedCitation":"[44]","previouslyFormattedCitation":"[44]"},"properties":{"noteIndex":0},"schema":"https://github.com/citation-style-language/schema/raw/master/csl-citation.json"}</w:instrText>
      </w:r>
      <w:r w:rsidR="000B0AC3" w:rsidRPr="00C348F4">
        <w:rPr>
          <w:i/>
        </w:rPr>
        <w:fldChar w:fldCharType="separate"/>
      </w:r>
      <w:r w:rsidR="00225D7F" w:rsidRPr="00225D7F">
        <w:rPr>
          <w:noProof/>
        </w:rPr>
        <w:t>[44]</w:t>
      </w:r>
      <w:r w:rsidR="000B0AC3" w:rsidRPr="00C348F4">
        <w:rPr>
          <w:i/>
        </w:rPr>
        <w:fldChar w:fldCharType="end"/>
      </w:r>
      <w:r w:rsidR="000E4A49" w:rsidRPr="007C1EA1">
        <w:rPr>
          <w:i/>
        </w:rPr>
        <w:t>.</w:t>
      </w:r>
    </w:p>
    <w:p w14:paraId="7F0ECD0A" w14:textId="48A827C2" w:rsidR="00362BA7" w:rsidRPr="007C1EA1" w:rsidRDefault="00E80103" w:rsidP="005D3BBD">
      <w:pPr>
        <w:rPr>
          <w:i/>
          <w:sz w:val="22"/>
        </w:rPr>
      </w:pPr>
      <w:bookmarkStart w:id="52" w:name="_Hlk49343654"/>
      <w:r>
        <w:rPr>
          <w:i/>
        </w:rPr>
        <w:t>В исследовани</w:t>
      </w:r>
      <w:r w:rsidR="00405BB6">
        <w:rPr>
          <w:i/>
        </w:rPr>
        <w:t xml:space="preserve">е </w:t>
      </w:r>
      <w:r>
        <w:rPr>
          <w:i/>
          <w:lang w:val="en-US"/>
        </w:rPr>
        <w:t>ELEVATE</w:t>
      </w:r>
      <w:r w:rsidRPr="007C1EA1">
        <w:rPr>
          <w:i/>
        </w:rPr>
        <w:t>-</w:t>
      </w:r>
      <w:r>
        <w:rPr>
          <w:i/>
          <w:lang w:val="en-US"/>
        </w:rPr>
        <w:t>TN</w:t>
      </w:r>
      <w:r w:rsidR="00F95327" w:rsidRPr="007C1EA1">
        <w:rPr>
          <w:i/>
        </w:rPr>
        <w:t xml:space="preserve"> </w:t>
      </w:r>
      <w:r w:rsidR="00F95327">
        <w:rPr>
          <w:i/>
        </w:rPr>
        <w:t xml:space="preserve">было включено 535 пациентов </w:t>
      </w:r>
      <w:r w:rsidR="007B0221">
        <w:rPr>
          <w:i/>
          <w:lang w:val="en-US"/>
        </w:rPr>
        <w:t>c</w:t>
      </w:r>
      <w:r w:rsidR="007B0221" w:rsidRPr="007C1EA1">
        <w:rPr>
          <w:i/>
        </w:rPr>
        <w:t xml:space="preserve"> </w:t>
      </w:r>
      <w:r w:rsidR="007B0221">
        <w:rPr>
          <w:i/>
        </w:rPr>
        <w:t>ХЛЛ, ранее не получавших терапию. Пациенты были рандомизированы в 3 группы: монотерапии акалабрутинибом, акалабрутиниб в комбинации с обинутузумабом</w:t>
      </w:r>
      <w:r w:rsidR="006009B5" w:rsidRPr="00932BCF">
        <w:rPr>
          <w:i/>
        </w:rPr>
        <w:t>**</w:t>
      </w:r>
      <w:r w:rsidR="007B0221">
        <w:rPr>
          <w:i/>
        </w:rPr>
        <w:t xml:space="preserve"> и хлорамбуцил</w:t>
      </w:r>
      <w:r w:rsidR="006009B5" w:rsidRPr="00D3326D">
        <w:rPr>
          <w:i/>
        </w:rPr>
        <w:t>**</w:t>
      </w:r>
      <w:r w:rsidR="007B0221">
        <w:rPr>
          <w:i/>
        </w:rPr>
        <w:t xml:space="preserve"> в комбинации с обинутузумабом</w:t>
      </w:r>
      <w:r w:rsidR="006009B5" w:rsidRPr="00932BCF">
        <w:rPr>
          <w:i/>
        </w:rPr>
        <w:t>**</w:t>
      </w:r>
      <w:r w:rsidR="007B0221">
        <w:rPr>
          <w:i/>
        </w:rPr>
        <w:t xml:space="preserve">. </w:t>
      </w:r>
      <w:r w:rsidR="00235F8B">
        <w:rPr>
          <w:i/>
        </w:rPr>
        <w:t>Частота общего ответа</w:t>
      </w:r>
      <w:r w:rsidR="00235F8B" w:rsidRPr="00235F8B">
        <w:rPr>
          <w:i/>
        </w:rPr>
        <w:t xml:space="preserve"> была выше в группах акалабрутиниба в монотерапии</w:t>
      </w:r>
      <w:r w:rsidR="006009B5">
        <w:rPr>
          <w:i/>
        </w:rPr>
        <w:t xml:space="preserve"> –</w:t>
      </w:r>
      <w:r w:rsidR="00235F8B" w:rsidRPr="00235F8B">
        <w:rPr>
          <w:i/>
        </w:rPr>
        <w:t xml:space="preserve"> 85%</w:t>
      </w:r>
      <w:r w:rsidR="00235F8B">
        <w:rPr>
          <w:i/>
        </w:rPr>
        <w:t xml:space="preserve"> и комбинации</w:t>
      </w:r>
      <w:r w:rsidR="00235F8B" w:rsidRPr="00235F8B">
        <w:rPr>
          <w:i/>
        </w:rPr>
        <w:t xml:space="preserve"> акалабрутиниба </w:t>
      </w:r>
      <w:r w:rsidR="00235F8B">
        <w:rPr>
          <w:i/>
        </w:rPr>
        <w:t>с</w:t>
      </w:r>
      <w:r w:rsidR="00235F8B" w:rsidRPr="00235F8B">
        <w:rPr>
          <w:i/>
        </w:rPr>
        <w:t xml:space="preserve"> обинутузумаб</w:t>
      </w:r>
      <w:r w:rsidR="00235F8B">
        <w:rPr>
          <w:i/>
        </w:rPr>
        <w:t>ом</w:t>
      </w:r>
      <w:r w:rsidR="006009B5" w:rsidRPr="00932BCF">
        <w:rPr>
          <w:i/>
        </w:rPr>
        <w:t>**</w:t>
      </w:r>
      <w:r w:rsidR="00235F8B" w:rsidRPr="00235F8B">
        <w:rPr>
          <w:i/>
        </w:rPr>
        <w:t xml:space="preserve"> 94% в сравнении с режимом обинутузумаб</w:t>
      </w:r>
      <w:r w:rsidR="006009B5">
        <w:rPr>
          <w:i/>
        </w:rPr>
        <w:t>а</w:t>
      </w:r>
      <w:r w:rsidR="006009B5" w:rsidRPr="00932BCF">
        <w:rPr>
          <w:i/>
        </w:rPr>
        <w:t>**</w:t>
      </w:r>
      <w:r w:rsidR="00235F8B">
        <w:rPr>
          <w:i/>
        </w:rPr>
        <w:t xml:space="preserve"> с </w:t>
      </w:r>
      <w:r w:rsidR="00235F8B" w:rsidRPr="00235F8B">
        <w:rPr>
          <w:i/>
        </w:rPr>
        <w:t>хлорамбуцил</w:t>
      </w:r>
      <w:r w:rsidR="00235F8B">
        <w:rPr>
          <w:i/>
        </w:rPr>
        <w:t>ом</w:t>
      </w:r>
      <w:r w:rsidR="006009B5" w:rsidRPr="00932BCF">
        <w:rPr>
          <w:i/>
        </w:rPr>
        <w:t>**</w:t>
      </w:r>
      <w:r w:rsidR="00235F8B" w:rsidRPr="00235F8B">
        <w:rPr>
          <w:i/>
        </w:rPr>
        <w:t xml:space="preserve"> – 79%</w:t>
      </w:r>
      <w:r w:rsidR="00235F8B">
        <w:rPr>
          <w:i/>
        </w:rPr>
        <w:t>.</w:t>
      </w:r>
      <w:r w:rsidR="00235F8B" w:rsidRPr="00235F8B">
        <w:rPr>
          <w:i/>
        </w:rPr>
        <w:t xml:space="preserve"> </w:t>
      </w:r>
      <w:r w:rsidR="00F95327">
        <w:rPr>
          <w:i/>
        </w:rPr>
        <w:t xml:space="preserve"> </w:t>
      </w:r>
      <w:r w:rsidR="00F95327" w:rsidRPr="00F95327">
        <w:rPr>
          <w:i/>
        </w:rPr>
        <w:t>По данным исследования ELEVATE-TN акалабрутиниб как в комбинации с обинутузумабом</w:t>
      </w:r>
      <w:r w:rsidR="00346F4C" w:rsidRPr="00932BCF">
        <w:rPr>
          <w:i/>
        </w:rPr>
        <w:t>**</w:t>
      </w:r>
      <w:r w:rsidR="00F95327" w:rsidRPr="00F95327">
        <w:rPr>
          <w:i/>
        </w:rPr>
        <w:t xml:space="preserve">, так и в монотерапии,  продемонстрировал более высокую клиническую эффективность в первой линии терапии </w:t>
      </w:r>
      <w:r w:rsidR="00F95327" w:rsidRPr="00F95327">
        <w:rPr>
          <w:i/>
        </w:rPr>
        <w:lastRenderedPageBreak/>
        <w:t>ХЛЛ в сравнении с комбинацией обинутузумаба</w:t>
      </w:r>
      <w:r w:rsidR="00346F4C" w:rsidRPr="00932BCF">
        <w:rPr>
          <w:i/>
        </w:rPr>
        <w:t>**</w:t>
      </w:r>
      <w:r w:rsidR="00F95327" w:rsidRPr="00F95327">
        <w:rPr>
          <w:i/>
        </w:rPr>
        <w:t xml:space="preserve"> с хлорамбуцилом</w:t>
      </w:r>
      <w:r w:rsidR="00346F4C" w:rsidRPr="00932BCF">
        <w:rPr>
          <w:i/>
        </w:rPr>
        <w:t>**</w:t>
      </w:r>
      <w:r w:rsidR="00F95327" w:rsidRPr="00F95327">
        <w:rPr>
          <w:i/>
        </w:rPr>
        <w:t>, снижение риска прогрессирования заболевания или смерти составила 90% и 80% в двух группах соответственно, медианы ВБП не достигнуты</w:t>
      </w:r>
      <w:r w:rsidR="0067152D">
        <w:rPr>
          <w:i/>
        </w:rPr>
        <w:t>.</w:t>
      </w:r>
      <w:r w:rsidR="0067152D" w:rsidRPr="0067152D">
        <w:t xml:space="preserve"> </w:t>
      </w:r>
      <w:r w:rsidR="0067152D" w:rsidRPr="0067152D">
        <w:rPr>
          <w:i/>
        </w:rPr>
        <w:t>Расчетная медиана ВБП через 24 месяца была выше в группе акалабрутиниба–обинутузумаба</w:t>
      </w:r>
      <w:r w:rsidR="00346F4C" w:rsidRPr="00932BCF">
        <w:rPr>
          <w:i/>
        </w:rPr>
        <w:t>**</w:t>
      </w:r>
      <w:r w:rsidR="0067152D" w:rsidRPr="0067152D">
        <w:rPr>
          <w:i/>
        </w:rPr>
        <w:t xml:space="preserve"> по сравнению с группой обинутузумаба</w:t>
      </w:r>
      <w:r w:rsidR="00346F4C" w:rsidRPr="00932BCF">
        <w:rPr>
          <w:i/>
        </w:rPr>
        <w:t>**</w:t>
      </w:r>
      <w:r w:rsidR="0067152D" w:rsidRPr="0067152D">
        <w:rPr>
          <w:i/>
        </w:rPr>
        <w:t>–хлорамбуцила у пациентов с немутированным статусом  IGHV (акалабрутиниб–обинутузумаб</w:t>
      </w:r>
      <w:r w:rsidR="00346F4C" w:rsidRPr="00932BCF">
        <w:rPr>
          <w:i/>
        </w:rPr>
        <w:t>**</w:t>
      </w:r>
      <w:r w:rsidR="0067152D" w:rsidRPr="0067152D">
        <w:rPr>
          <w:i/>
        </w:rPr>
        <w:t xml:space="preserve"> 91%, 95%-ный ДИ 83–95%-ный; против обинутузумаб</w:t>
      </w:r>
      <w:r w:rsidR="00346F4C" w:rsidRPr="00932BCF">
        <w:rPr>
          <w:i/>
        </w:rPr>
        <w:t>**</w:t>
      </w:r>
      <w:r w:rsidR="0067152D" w:rsidRPr="0067152D">
        <w:rPr>
          <w:i/>
        </w:rPr>
        <w:t>–хлорамбуцил</w:t>
      </w:r>
      <w:r w:rsidR="00346F4C" w:rsidRPr="00932BCF">
        <w:rPr>
          <w:i/>
        </w:rPr>
        <w:t>**</w:t>
      </w:r>
      <w:r w:rsidR="0067152D" w:rsidRPr="0067152D">
        <w:rPr>
          <w:i/>
        </w:rPr>
        <w:t xml:space="preserve"> 31%, 22–40%); у пациентов с del(17)(p13,1) (акалабрутиниб–обинутузумаб</w:t>
      </w:r>
      <w:r w:rsidR="00346F4C" w:rsidRPr="00932BCF">
        <w:rPr>
          <w:i/>
        </w:rPr>
        <w:t>**</w:t>
      </w:r>
      <w:r w:rsidR="0067152D" w:rsidRPr="0067152D">
        <w:rPr>
          <w:i/>
        </w:rPr>
        <w:t xml:space="preserve"> 88%, 61–97%; обинутузумаб</w:t>
      </w:r>
      <w:r w:rsidR="00346F4C" w:rsidRPr="00932BCF">
        <w:rPr>
          <w:i/>
        </w:rPr>
        <w:t>**</w:t>
      </w:r>
      <w:r w:rsidR="0067152D" w:rsidRPr="0067152D">
        <w:rPr>
          <w:i/>
        </w:rPr>
        <w:t>–хлорамбуцил</w:t>
      </w:r>
      <w:r w:rsidR="00346F4C" w:rsidRPr="00932BCF">
        <w:rPr>
          <w:i/>
        </w:rPr>
        <w:t>**</w:t>
      </w:r>
      <w:r w:rsidR="0067152D" w:rsidRPr="0067152D">
        <w:rPr>
          <w:i/>
        </w:rPr>
        <w:t xml:space="preserve"> 22%, 5–45%)</w:t>
      </w:r>
      <w:r w:rsidR="00362BA7" w:rsidRPr="007C1EA1">
        <w:rPr>
          <w:i/>
        </w:rPr>
        <w:t xml:space="preserve"> </w:t>
      </w:r>
      <w:r w:rsidR="00362BA7">
        <w:fldChar w:fldCharType="begin" w:fldLock="1"/>
      </w:r>
      <w:r w:rsidR="00BA7FFC">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[31]","plainTextFormattedCitation":"[31]","previouslyFormattedCitation":"[31]"},"properties":{"noteIndex":0},"schema":"https://github.com/citation-style-language/schema/raw/master/csl-citation.json"}</w:instrText>
      </w:r>
      <w:r w:rsidR="00362BA7">
        <w:fldChar w:fldCharType="separate"/>
      </w:r>
      <w:r w:rsidR="00225D7F" w:rsidRPr="00225D7F">
        <w:rPr>
          <w:noProof/>
        </w:rPr>
        <w:t>[31]</w:t>
      </w:r>
      <w:r w:rsidR="00362BA7">
        <w:fldChar w:fldCharType="end"/>
      </w:r>
      <w:r w:rsidR="0067152D">
        <w:t>.</w:t>
      </w:r>
    </w:p>
    <w:bookmarkEnd w:id="52"/>
    <w:p w14:paraId="38B9EFDF" w14:textId="77777777" w:rsidR="00386423" w:rsidRPr="00C348F4" w:rsidRDefault="00C740F1" w:rsidP="00D61785">
      <w:pPr>
        <w:pStyle w:val="a4"/>
        <w:numPr>
          <w:ilvl w:val="0"/>
          <w:numId w:val="50"/>
        </w:numPr>
        <w:spacing w:before="0"/>
      </w:pPr>
      <w:r w:rsidRPr="00C348F4">
        <w:t>Пациентам</w:t>
      </w:r>
      <w:r w:rsidR="006D567B" w:rsidRPr="00C348F4">
        <w:t xml:space="preserve"> </w:t>
      </w:r>
      <w:r w:rsidR="004E268D" w:rsidRPr="00C348F4">
        <w:t>старше 75–</w:t>
      </w:r>
      <w:r w:rsidR="001838D7" w:rsidRPr="00C348F4">
        <w:t>80 лет</w:t>
      </w:r>
      <w:r w:rsidR="004D7374" w:rsidRPr="00C348F4">
        <w:t xml:space="preserve"> </w:t>
      </w:r>
      <w:r w:rsidR="004E268D" w:rsidRPr="00C348F4">
        <w:t>с верифицированным ХЛЛ/ЛМЛ и</w:t>
      </w:r>
      <w:r w:rsidR="004D7374" w:rsidRPr="00C348F4">
        <w:t xml:space="preserve"> невысокой ожидаемой продолжительностью жизни, обусловленной возрастом, органной недостаточностью</w:t>
      </w:r>
      <w:r w:rsidR="00A04E7F" w:rsidRPr="00C348F4">
        <w:t>, тяжелыми сопутствующими</w:t>
      </w:r>
      <w:r w:rsidR="005163D3" w:rsidRPr="00C348F4">
        <w:t xml:space="preserve"> заболе</w:t>
      </w:r>
      <w:r w:rsidR="004D7374" w:rsidRPr="00C348F4">
        <w:t xml:space="preserve">ваниями, </w:t>
      </w:r>
      <w:r w:rsidR="004D7374" w:rsidRPr="0080011C">
        <w:rPr>
          <w:b/>
        </w:rPr>
        <w:t>рекомендован</w:t>
      </w:r>
      <w:r w:rsidR="004E268D" w:rsidRPr="0080011C">
        <w:rPr>
          <w:b/>
        </w:rPr>
        <w:t>ы</w:t>
      </w:r>
      <w:r w:rsidR="004D7374" w:rsidRPr="00C348F4">
        <w:t xml:space="preserve"> наименее токсичные варианты терапии</w:t>
      </w:r>
      <w:r w:rsidR="00386423" w:rsidRPr="00C348F4">
        <w:t>:</w:t>
      </w:r>
    </w:p>
    <w:p w14:paraId="50340651" w14:textId="1B8B6B26" w:rsidR="00386423" w:rsidRPr="00C348F4" w:rsidRDefault="00646FFF" w:rsidP="00D61785">
      <w:pPr>
        <w:pStyle w:val="a4"/>
        <w:numPr>
          <w:ilvl w:val="0"/>
          <w:numId w:val="24"/>
        </w:numPr>
        <w:tabs>
          <w:tab w:val="left" w:pos="1134"/>
        </w:tabs>
        <w:spacing w:before="0"/>
      </w:pPr>
      <w:r w:rsidRPr="00C348F4">
        <w:t>М</w:t>
      </w:r>
      <w:r w:rsidR="004D7374" w:rsidRPr="00C348F4">
        <w:t>онотерапи</w:t>
      </w:r>
      <w:r w:rsidRPr="00C348F4">
        <w:t xml:space="preserve">я </w:t>
      </w:r>
      <w:r w:rsidR="00674EB1" w:rsidRPr="005A5605">
        <w:t>#</w:t>
      </w:r>
      <w:r w:rsidR="004D7374" w:rsidRPr="00C348F4">
        <w:t>хлорамбуцилом</w:t>
      </w:r>
      <w:r w:rsidR="005163D3" w:rsidRPr="00C348F4">
        <w:t>**</w:t>
      </w:r>
      <w:r w:rsidR="002F0C58" w:rsidRPr="00C348F4">
        <w:t xml:space="preserve"> </w:t>
      </w:r>
      <w:r w:rsidR="002F0C58" w:rsidRPr="00C348F4">
        <w:rPr>
          <w:rFonts w:eastAsia="Times New Roman"/>
          <w:lang w:eastAsia="ru-RU"/>
        </w:rPr>
        <w:t>0,07–0,20 мг/кг внутрь ежедневно в течение 2–4 нед. с последующим подбором дозы.</w:t>
      </w:r>
      <w:r w:rsidR="00607358" w:rsidRPr="00C348F4">
        <w:t xml:space="preserve"> </w:t>
      </w:r>
      <w:r w:rsidR="000B0AC3" w:rsidRPr="00C348F4">
        <w:fldChar w:fldCharType="begin" w:fldLock="1"/>
      </w:r>
      <w:r w:rsidR="00BA7FFC">
        <w:instrText>ADDIN CSL_CITATION {"citationItems":[{"id":"ITEM-1","itemData":{"DOI":"10.1016/j.clml.2011.02.006","ISSN":"21522669","abstract":"Although chlorambucil has been used in the management of chronic lymphocytic leukemia (CLL) for 55 years, the optimal dose and treatment duration have not been established. We summarized data from 4 UK randomized CLL trials over the past 30 years in which chlorambucil, as a single agent, was one of the study arms. Overall response rates (ORR) ranged from 57% to 75% when using doses of 60-70 mg/m2 per 28-day cycle. This compares favorably with an ORR of 31% to 55% in other studies that used lower doses. Response rates improved when patients received 6 or more courses. Studies that used chlorambucil as a comparator, at lower doses or with fewer courses, resulted in consistently lower ORR. Comparisons with single-agent fludarabine in 2 randomized trials (LRF CLL4 and German CLL5) showed similar progression-free survival. Chlorambucil compares favorably with fludarabine and bendamustine with respect to myelotoxicity, neutropenia, and fever, even at 70 mg/m2 per cycle and in the elderly. Resistance to chlorambucil does not preclude a good response to newer treatments used as second-line treatment, which explains the good survival after progression observed in patients randomized to chlorambucil in LRF CLL4. Chlorambucil is currently being combined with anti-CD20 monoclonal antibodies in several phase II and III trials. It remains a useful drug for patients unfit to receive more intensive combinations. However, both the dose and duration of treatment are important. © 2011 Published by Elsevier Inc.","author":[{"dropping-particle":"","family":"Catovsky","given":"Daniel","non-dropping-particle":"","parse-names":false,"suffix":""},{"dropping-particle":"","family":"Else","given":"Monica","non-dropping-particle":"","parse-names":false,"suffix":""},{"dropping-particle":"","family":"Richards","given":"Sue","non-dropping-particle":"","parse-names":false,"suffix":""}],"container-title":"Clinical Lymphoma, Myeloma and Leukemia","id":"ITEM-1","issue":"SUPPL.1","issued":{"date-parts":[["2011"]]},"page":"S2","publisher":"Elsevier Inc.","title":"Chlorambucil-still not bad: A reappraisal","type":"paper-conference","volume":"11"},"uris":["http://www.mendeley.com/documents/?uuid=4f3024a5-57ed-3655-a327-6312bad1b8af"]}],"mendeley":{"formattedCitation":"[46]","plainTextFormattedCitation":"[46]","previouslyFormattedCitation":"[46]"},"properties":{"noteIndex":0},"schema":"https://github.com/citation-style-language/schema/raw/master/csl-citation.json"}</w:instrText>
      </w:r>
      <w:r w:rsidR="000B0AC3" w:rsidRPr="00C348F4">
        <w:fldChar w:fldCharType="separate"/>
      </w:r>
      <w:r w:rsidR="00225D7F" w:rsidRPr="00225D7F">
        <w:rPr>
          <w:noProof/>
        </w:rPr>
        <w:t>[46]</w:t>
      </w:r>
      <w:r w:rsidR="000B0AC3" w:rsidRPr="00C348F4">
        <w:fldChar w:fldCharType="end"/>
      </w:r>
      <w:r w:rsidR="004E268D" w:rsidRPr="00C348F4">
        <w:t>.</w:t>
      </w:r>
    </w:p>
    <w:p w14:paraId="76E33620" w14:textId="2F29D877" w:rsidR="0058595A" w:rsidRDefault="00646FFF" w:rsidP="00D61785">
      <w:pPr>
        <w:pStyle w:val="a4"/>
        <w:numPr>
          <w:ilvl w:val="0"/>
          <w:numId w:val="24"/>
        </w:numPr>
        <w:tabs>
          <w:tab w:val="left" w:pos="1134"/>
        </w:tabs>
        <w:spacing w:before="0"/>
      </w:pPr>
      <w:r w:rsidRPr="00C348F4">
        <w:t>М</w:t>
      </w:r>
      <w:r w:rsidR="00386423" w:rsidRPr="00C348F4">
        <w:t>онотерапи</w:t>
      </w:r>
      <w:r w:rsidRPr="00C348F4">
        <w:t xml:space="preserve">я </w:t>
      </w:r>
      <w:r w:rsidR="004D7374" w:rsidRPr="00C348F4">
        <w:t>моноклональными антителами</w:t>
      </w:r>
      <w:r w:rsidR="004E268D" w:rsidRPr="00C348F4">
        <w:t xml:space="preserve"> к </w:t>
      </w:r>
      <w:r w:rsidR="004E268D" w:rsidRPr="00C348F4">
        <w:rPr>
          <w:lang w:val="en-US"/>
        </w:rPr>
        <w:t>CD</w:t>
      </w:r>
      <w:r w:rsidR="004E268D" w:rsidRPr="00C348F4">
        <w:t>20</w:t>
      </w:r>
      <w:r w:rsidR="00386423" w:rsidRPr="00C348F4">
        <w:t xml:space="preserve"> </w:t>
      </w:r>
      <w:r w:rsidR="00DD7EA6" w:rsidRPr="00C348F4">
        <w:t>- ритуксимаб**</w:t>
      </w:r>
      <w:r w:rsidR="00AC39FB" w:rsidRPr="00C348F4">
        <w:t xml:space="preserve"> или обинутузумаб**</w:t>
      </w:r>
      <w:r w:rsidR="00DD7EA6" w:rsidRPr="00C348F4">
        <w:t xml:space="preserve"> в соответствующей зарегистрированной инструкции дозировке </w:t>
      </w:r>
      <w:r w:rsidR="000B0AC3" w:rsidRPr="00C348F4">
        <w:fldChar w:fldCharType="begin" w:fldLock="1"/>
      </w:r>
      <w:r w:rsidR="00BA7FFC">
        <w:instrText>ADDIN CSL_CITATION {"citationItems":[{"id":"ITEM-1","itemData":{"DOI":"10.1200/JCO.2003.09.027","ISSN":"0732183X","abstract":"PURPOSE: To assess the efficacy and toxicity of first-line single-agent rituximab, followed by re-treatment with rituximab at 6-month intervals, in previously untreated patients with chronic lymphocytic leukemia (CLL) or small lymphocytic lymphoma (SLL). PATIENTS AND METHODS: Forty-four previously untreated patients with CLL/SLL received rituximab 375 mg/m2 weekly for 4 consecutive weeks. All patients were required to have one or more indications for treatment. Patients with objective response or stable disease continued to receive identical 4-week rituximab courses at 6-month intervals, for a total of four courses. RESULTS: The objective response rate after the first course of rituximab was 51% (4% complete responses). Twenty-eight patients received one or more additional courses of rituximab. At present, the overall response rate is 58%, with 9% complete responses. After a median follow-up of 20 months, the median progression-free survival (PFS) time was 18.6 months, and the 1- and 2-year PFS rates were 62% and 49%, respectively. Treatment was well tolerated, with only two episodes of grade 3 to 4 infusion-related toxicity. No cumulative toxicity or opportunistic infections occurred. CONCLUSION: Single-agent rituximab, used at a standard dose and schedule, is active in the first-line treatment of patients with CLL/SLL, producing substantially higher response rates than previously reported in relapsed or refractory patients (51% v 13%, respectively). Re-treatment with rituximab at 6-month intervals is well tolerated. The PFS time of 18.6 months in patients with CLL/SLL seems shorter than the 36- to 40-month median PFSs previously reported with first-line plus maintenance rituximab in patients with follicular lymphoma. Additional follow-up is required to fully assess the impact of this treatment strategy.","author":[{"dropping-particle":"","family":"Hainsworth","given":"John D.","non-dropping-particle":"","parse-names":false,"suffix":""},{"dropping-particle":"","family":"Litchy","given":"Sharlene","non-dropping-particle":"","parse-names":false,"suffix":""},{"dropping-particle":"","family":"Barton","given":"John H.","non-dropping-particle":"","parse-names":false,"suffix":""},{"dropping-particle":"","family":"Houston","given":"Gerry Ann","non-dropping-particle":"","parse-names":false,"suffix":""},{"dropping-particle":"","family":"Hermann","given":"Robert C.","non-dropping-particle":"","parse-names":false,"suffix":""},{"dropping-particle":"","family":"Bradof","given":"James E.","non-dropping-particle":"","parse-names":false,"suffix":""},{"dropping-particle":"","family":"Greco","given":"F. Anthony","non-dropping-particle":"","parse-names":false,"suffix":""}],"container-title":"Journal of Clinical Oncology","id":"ITEM-1","issue":"9","issued":{"date-parts":[["2003","5","1"]]},"page":"1746-1751","title":"Single-agent rituximab as first-line and maintenance treatment for patients with chronic lymphocytic leukemia or small lymphocytic lymphoma: A phase II trial of the Minnie Pearl Cancer Research Network","type":"article-journal","volume":"21"},"uris":["http://www.mendeley.com/documents/?uuid=c3e93034-59b4-38ff-9161-4731c42c4080"]}],"mendeley":{"formattedCitation":"[47]","plainTextFormattedCitation":"[47]","previouslyFormattedCitation":"[47]"},"properties":{"noteIndex":0},"schema":"https://github.com/citation-style-language/schema/raw/master/csl-citation.json"}</w:instrText>
      </w:r>
      <w:r w:rsidR="000B0AC3" w:rsidRPr="00C348F4">
        <w:fldChar w:fldCharType="separate"/>
      </w:r>
      <w:r w:rsidR="00225D7F" w:rsidRPr="00225D7F">
        <w:rPr>
          <w:noProof/>
        </w:rPr>
        <w:t>[47]</w:t>
      </w:r>
      <w:r w:rsidR="000B0AC3" w:rsidRPr="00C348F4">
        <w:fldChar w:fldCharType="end"/>
      </w:r>
      <w:r w:rsidR="004E268D" w:rsidRPr="00C348F4">
        <w:t>.</w:t>
      </w:r>
    </w:p>
    <w:p w14:paraId="05A06EA0" w14:textId="3DED259C" w:rsidR="003A4F83" w:rsidRPr="00C348F4" w:rsidRDefault="003A4F83" w:rsidP="00D61785">
      <w:pPr>
        <w:pStyle w:val="a4"/>
        <w:numPr>
          <w:ilvl w:val="0"/>
          <w:numId w:val="24"/>
        </w:numPr>
        <w:tabs>
          <w:tab w:val="left" w:pos="1134"/>
        </w:tabs>
        <w:spacing w:before="0"/>
      </w:pPr>
      <w:r>
        <w:t>Монотерапия акалабрутинибом 100 мг (1 капсула) 2 раза в день ежедневно</w:t>
      </w:r>
      <w:r w:rsidR="007C1EA1">
        <w:t xml:space="preserve"> </w:t>
      </w:r>
      <w:r w:rsidR="00362BA7">
        <w:fldChar w:fldCharType="begin" w:fldLock="1"/>
      </w:r>
      <w:r w:rsidR="00BA7FFC">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trial","type":"article-journal","volume":"395"},"uris":["http://www.mendeley.com/documents/?uuid=7128778c-1e22-3196-b09a-6b502def4e39"]},{"id":"ITEM-2","itemData":{"DOI":"10.1177/2040620720912990","ISSN":"2040-6207","abstract":"&lt;p&gt;Older patients account for the majority of patients with chronic lymphocytic leukemia (CLL), and so strategies for managing CLL in this population is of upmost importance. Inhibition of Bruton’s tyrosine kinase (BTK) has been a successful therapeutic strategy in CLL, and the first-generation BTK inhibitor ibrutinib has been shown to be superior to standard chemoimmunotherapy in multiple studies specifically targeting older patients. A second-generation BTK inhibitor, acalabrutinib, has also been studied in CLL, and has recently been granted breakthrough designation by the United States Food and Drug Administration. One ongoing question is whether the addition of anti-CD20 monoclonal antibodies improve response or response durability with BTK inhibitors. In this review, we will discuss clinical trials of ibrutinib and acalabrutinib in older patients with CLL, and the possible contributions of anti-CD20 antibodies to these therapies.&lt;/p&gt;","author":[{"dropping-particle":"","family":"Rogers","given":"Andrew","non-dropping-particle":"","parse-names":false,"suffix":""},{"dropping-particle":"","family":"Woyach","given":"Jennifer A.","non-dropping-particle":"","parse-names":false,"suffix":""}],"container-title":"Therapeutic Advances in Hematology","id":"ITEM-2","issued":{"date-parts":[["2020","1","23"]]},"page":"204062072091299","publisher":"SAGE Publications","title":"BTK inhibitors and anti-CD20 monoclonal antibodies for treatment-naïve elderly patients with CLL","type":"article-journal","volume":"11"},"uris":["http://www.mendeley.com/documents/?uuid=16e532c1-287f-32e7-8d01-57e91642efb2"]}],"mendeley":{"formattedCitation":"[31,48]","plainTextFormattedCitation":"[31,48]","previouslyFormattedCitation":"[31,48]"},"properties":{"noteIndex":0},"schema":"https://github.com/citation-style-language/schema/raw/master/csl-citation.json"}</w:instrText>
      </w:r>
      <w:r w:rsidR="00362BA7">
        <w:fldChar w:fldCharType="separate"/>
      </w:r>
      <w:r w:rsidR="00225D7F" w:rsidRPr="00225D7F">
        <w:rPr>
          <w:noProof/>
        </w:rPr>
        <w:t>[31,48]</w:t>
      </w:r>
      <w:r w:rsidR="00362BA7">
        <w:fldChar w:fldCharType="end"/>
      </w:r>
      <w:r w:rsidR="002C3D83" w:rsidRPr="00D3326D">
        <w:t>.</w:t>
      </w:r>
    </w:p>
    <w:p w14:paraId="76C0B37C" w14:textId="6BE78947" w:rsidR="004D7374" w:rsidRPr="00C348F4" w:rsidRDefault="00646FFF" w:rsidP="00D61785">
      <w:pPr>
        <w:pStyle w:val="a4"/>
        <w:numPr>
          <w:ilvl w:val="0"/>
          <w:numId w:val="24"/>
        </w:numPr>
        <w:tabs>
          <w:tab w:val="left" w:pos="1134"/>
        </w:tabs>
        <w:spacing w:before="0"/>
      </w:pPr>
      <w:r w:rsidRPr="00C348F4">
        <w:t xml:space="preserve">Монотерапия </w:t>
      </w:r>
      <w:r w:rsidR="0058595A" w:rsidRPr="00C348F4">
        <w:t>ибрутинибом</w:t>
      </w:r>
      <w:r w:rsidR="00BE7488" w:rsidRPr="00C348F4">
        <w:t>**</w:t>
      </w:r>
      <w:r w:rsidR="0058595A" w:rsidRPr="00C348F4">
        <w:t xml:space="preserve"> в малых дозах</w:t>
      </w:r>
      <w:r w:rsidR="00DD7EA6" w:rsidRPr="00C348F4">
        <w:t>, соответственно зарегистрированной инструкции</w:t>
      </w:r>
      <w:r w:rsidR="0028354C" w:rsidRPr="00C348F4">
        <w:t xml:space="preserve"> </w:t>
      </w:r>
      <w:r w:rsidR="000B0AC3" w:rsidRPr="00C348F4">
        <w:fldChar w:fldCharType="begin" w:fldLock="1"/>
      </w:r>
      <w:r w:rsidR="00BA7FFC">
        <w:instrText>ADDIN CSL_CITATION {"citationItems":[{"id":"ITEM-1","itemData":{"DOI":"10.1002/ajh.24715","ISSN":"1096-8652","PMID":"28295510","author":[{"dropping-particle":"","family":"Michallet","given":"Anne-Sophie","non-dropping-particle":"","parse-names":false,"suffix":""},{"dropping-particle":"","family":"Campidelli","given":"Arnaud","non-dropping-particle":"","parse-names":false,"suffix":""},{"dropping-particle":"","family":"Lequeu","given":"Helene","non-dropping-particle":"","parse-names":false,"suffix":""},{"dropping-particle":"","family":"Dilhuydy","given":"Marie-Sarah","non-dropping-particle":"","parse-names":false,"suffix":""},{"dropping-particle":"","family":"Tournilhac","given":"Olivier","non-dropping-particle":"","parse-names":false,"suffix":""},{"dropping-particle":"","family":"Fornecker","given":"Luc-Matthieu","non-dropping-particle":"","parse-names":false,"suffix":""},{"dropping-particle":"","family":"Dupuis","given":"Jehan","non-dropping-particle":"","parse-names":false,"suffix":""},{"dropping-particle":"","family":"Cymbalista","given":"Florence","non-dropping-particle":"","parse-names":false,"suffix":""},{"dropping-particle":"","family":"Guibert","given":"Sophie","non-dropping-particle":"De","parse-names":false,"suffix":""},{"dropping-particle":"","family":"Delmer","given":"Alain","non-dropping-particle":"","parse-names":false,"suffix":""},{"dropping-particle":"","family":"Vilque","given":"Jean-Pierre","non-dropping-particle":"","parse-names":false,"suffix":""},{"dropping-particle":"","family":"Ghez","given":"David","non-dropping-particle":"","parse-names":false,"suffix":""},{"dropping-particle":"","family":"Leblond","given":"Veronique","non-dropping-particle":"","parse-names":false,"suffix":""},{"dropping-particle":"","family":"Subtil","given":"Fabien","non-dropping-particle":"","parse-names":false,"suffix":""},{"dropping-particle":"","family":"Feugier","given":"Pierre","non-dropping-particle":"","parse-names":false,"suffix":""},{"dropping-particle":"","family":"Ysebaert","given":"Loic","non-dropping-particle":"","parse-names":false,"suffix":""}],"container-title":"American journal of hematology","id":"ITEM-1","issue":"6","issued":{"date-parts":[["2017"]]},"page":"E105-E107","title":"Ibrutinib in very elderly patients with relapsed/refractory chronic lymphocytic leukemia: A real-world experience of 71 patients treated in France: A study from the French Innovative Leukemia Organization (FILO) group.","type":"article-journal","volume":"92"},"uris":["http://www.mendeley.com/documents/?uuid=d4001174-dd6d-37c9-9837-ef271d543d75"]}],"mendeley":{"formattedCitation":"[49]","plainTextFormattedCitation":"[49]","previouslyFormattedCitation":"[49]"},"properties":{"noteIndex":0},"schema":"https://github.com/citation-style-language/schema/raw/master/csl-citation.json"}</w:instrText>
      </w:r>
      <w:r w:rsidR="000B0AC3" w:rsidRPr="00C348F4">
        <w:fldChar w:fldCharType="separate"/>
      </w:r>
      <w:r w:rsidR="00225D7F" w:rsidRPr="00225D7F">
        <w:rPr>
          <w:noProof/>
        </w:rPr>
        <w:t>[49]</w:t>
      </w:r>
      <w:r w:rsidR="000B0AC3" w:rsidRPr="00C348F4">
        <w:fldChar w:fldCharType="end"/>
      </w:r>
      <w:r w:rsidR="00386423" w:rsidRPr="00C348F4">
        <w:t>.</w:t>
      </w:r>
    </w:p>
    <w:p w14:paraId="59B28133" w14:textId="77777777" w:rsidR="004D7374" w:rsidRPr="00C348F4" w:rsidRDefault="004D7374" w:rsidP="005D3BBD">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BF0125" w:rsidRPr="00C348F4">
        <w:rPr>
          <w:b/>
          <w:spacing w:val="-4"/>
        </w:rPr>
        <w:t xml:space="preserve">С </w:t>
      </w:r>
      <w:r w:rsidRPr="00C348F4">
        <w:rPr>
          <w:b/>
          <w:spacing w:val="-4"/>
        </w:rPr>
        <w:t xml:space="preserve">(уровень достоверности </w:t>
      </w:r>
      <w:r w:rsidR="00C20509" w:rsidRPr="00C348F4">
        <w:rPr>
          <w:b/>
          <w:spacing w:val="-4"/>
        </w:rPr>
        <w:t xml:space="preserve">доказательств – </w:t>
      </w:r>
      <w:r w:rsidR="00DD7EA6" w:rsidRPr="00C348F4">
        <w:rPr>
          <w:b/>
          <w:spacing w:val="-4"/>
        </w:rPr>
        <w:t>4</w:t>
      </w:r>
      <w:r w:rsidRPr="00C348F4">
        <w:rPr>
          <w:b/>
          <w:spacing w:val="-4"/>
        </w:rPr>
        <w:t>)</w:t>
      </w:r>
      <w:r w:rsidR="00912FAC" w:rsidRPr="00C348F4">
        <w:rPr>
          <w:b/>
          <w:spacing w:val="-4"/>
        </w:rPr>
        <w:t>.</w:t>
      </w:r>
    </w:p>
    <w:p w14:paraId="301363C2" w14:textId="77777777" w:rsidR="004D7374" w:rsidRPr="00C348F4" w:rsidRDefault="004D7374" w:rsidP="005D3BBD">
      <w:pPr>
        <w:pStyle w:val="3"/>
        <w:spacing w:before="0"/>
      </w:pPr>
      <w:r w:rsidRPr="00C348F4">
        <w:t>3.2.3</w:t>
      </w:r>
      <w:r w:rsidR="00397360" w:rsidRPr="00C348F4">
        <w:t>.</w:t>
      </w:r>
      <w:r w:rsidRPr="00C348F4">
        <w:t xml:space="preserve"> Первая линия лечения ХЛЛ у пациентов с делецией 17p или мутацией TP53</w:t>
      </w:r>
    </w:p>
    <w:p w14:paraId="0DCC8B39" w14:textId="439CD5E3" w:rsidR="004D7374" w:rsidRPr="00C348F4" w:rsidRDefault="00C740F1" w:rsidP="00D61785">
      <w:pPr>
        <w:pStyle w:val="a4"/>
        <w:numPr>
          <w:ilvl w:val="0"/>
          <w:numId w:val="50"/>
        </w:numPr>
        <w:spacing w:before="0"/>
      </w:pPr>
      <w:bookmarkStart w:id="53" w:name="_Hlk49332713"/>
      <w:r w:rsidRPr="00C348F4">
        <w:t>Пациентам</w:t>
      </w:r>
      <w:r w:rsidR="00646FFF" w:rsidRPr="00C348F4">
        <w:t xml:space="preserve"> </w:t>
      </w:r>
      <w:r w:rsidR="006D567B" w:rsidRPr="00C348F4">
        <w:t>с верифицированным ХЛЛ/ЛМ</w:t>
      </w:r>
      <w:r w:rsidR="00646FFF" w:rsidRPr="00C348F4">
        <w:t xml:space="preserve"> </w:t>
      </w:r>
      <w:r w:rsidR="004D7374" w:rsidRPr="00C348F4">
        <w:t xml:space="preserve">из группы высокого риска (с del(17p) и/или мутацией </w:t>
      </w:r>
      <w:r w:rsidR="004D7374" w:rsidRPr="0080011C">
        <w:rPr>
          <w:i/>
        </w:rPr>
        <w:t>TP53</w:t>
      </w:r>
      <w:r w:rsidR="004D7374" w:rsidRPr="00C348F4">
        <w:t>)</w:t>
      </w:r>
      <w:r w:rsidR="008A183B" w:rsidRPr="00C348F4">
        <w:t xml:space="preserve"> </w:t>
      </w:r>
      <w:r w:rsidR="00DD7EA6" w:rsidRPr="00C348F4">
        <w:t xml:space="preserve">для достижения ремиссии </w:t>
      </w:r>
      <w:r w:rsidR="008A183B" w:rsidRPr="00C348F4">
        <w:t>при наличии возможности</w:t>
      </w:r>
      <w:r w:rsidR="00030520" w:rsidRPr="00C348F4">
        <w:t xml:space="preserve"> </w:t>
      </w:r>
      <w:r w:rsidR="004D7374" w:rsidRPr="0080011C">
        <w:rPr>
          <w:b/>
        </w:rPr>
        <w:t>рекомендована</w:t>
      </w:r>
      <w:r w:rsidR="004D7374" w:rsidRPr="00C348F4">
        <w:t xml:space="preserve"> терапия </w:t>
      </w:r>
      <w:bookmarkEnd w:id="53"/>
      <w:r w:rsidR="004D7374" w:rsidRPr="00C348F4">
        <w:t>ибрутинибом</w:t>
      </w:r>
      <w:r w:rsidR="00F16D99" w:rsidRPr="00C348F4">
        <w:t>**</w:t>
      </w:r>
      <w:r w:rsidR="004D7374" w:rsidRPr="00C348F4">
        <w:t xml:space="preserve"> до прогресси</w:t>
      </w:r>
      <w:r w:rsidR="0086213E" w:rsidRPr="00C348F4">
        <w:t>рования</w:t>
      </w:r>
      <w:r w:rsidR="004D7374" w:rsidRPr="00C348F4">
        <w:t xml:space="preserve"> или </w:t>
      </w:r>
      <w:r w:rsidR="0086213E" w:rsidRPr="00C348F4">
        <w:t xml:space="preserve">развития </w:t>
      </w:r>
      <w:r w:rsidR="004D7374" w:rsidRPr="00C348F4">
        <w:t>непереносимой токсичности. Ибрутиниб</w:t>
      </w:r>
      <w:r w:rsidR="00F16D99" w:rsidRPr="00C348F4">
        <w:t>**</w:t>
      </w:r>
      <w:r w:rsidR="004D7374" w:rsidRPr="00C348F4">
        <w:t xml:space="preserve"> может применяться как в монорежиме, так и в комбинации с иммунохимио</w:t>
      </w:r>
      <w:r w:rsidR="0086213E" w:rsidRPr="00C348F4">
        <w:t>препаратами</w:t>
      </w:r>
      <w:r w:rsidR="00437AD9" w:rsidRPr="00C348F4">
        <w:t xml:space="preserve"> </w:t>
      </w:r>
      <w:r w:rsidR="00DD7EA6" w:rsidRPr="00C348F4">
        <w:t>(бендамустин**, ритуксимаб**)</w:t>
      </w:r>
      <w:r w:rsidR="00AC39FB" w:rsidRPr="00C348F4">
        <w:t xml:space="preserve"> </w:t>
      </w:r>
      <w:r w:rsidR="00437AD9" w:rsidRPr="00C348F4">
        <w:t>(</w:t>
      </w:r>
      <w:r w:rsidR="00AA4B03" w:rsidRPr="00C348F4">
        <w:t xml:space="preserve">схемы режимов лечения см. в приложении </w:t>
      </w:r>
      <w:r w:rsidR="00437AD9" w:rsidRPr="00C348F4">
        <w:t>А3.3)</w:t>
      </w:r>
      <w:r w:rsidR="00D702C2" w:rsidRPr="00C348F4">
        <w:t xml:space="preserve"> </w:t>
      </w:r>
      <w:r w:rsidR="000B0AC3" w:rsidRPr="00C348F4">
        <w:fldChar w:fldCharType="begin" w:fldLock="1"/>
      </w:r>
      <w:r w:rsidR="00BA7FFC">
        <w:instrText>ADDIN CSL_CITATION {"citationItems":[{"id":"ITEM-1","itemData":{"DOI":"10.1056/NEJMoa1509388","ISSN":"15334406","abstract":"Copyright © 2015 Massachusetts Medical Society. All rights reserved. Background Chronic lymphocytic leukemia (CLL) primarily affects older persons who often have coexisting conditions in addition to disease-related immunosuppression and myelosuppression. We conducted an international, open-label, randomized phase 3 trial to compare two oral agents, ibrutinib and chlorambucil, in previously untreated older patients with CLL or small lymphocytic lymphoma. METHODS We randomly assigned 269 previously untreated patients who were 65 years of age or older and had CLL or small lymphocytic lymphoma to receive ibrutinib or chlorambucil. The primary end point was progression-free survival as assessed by an independent review committee. RESULTS The median age of the patients was 73 years. During a median follow-up period of 18.4 months, ibrutinib resulted in significantly longer progression-free survival than did chlorambucil (median, not reached vs. 18.9 months), with a risk of progression or death that was 84% lower with ibrutinib than that with chlorambucil (hazard ratio, 0.16; P&lt;0.001). Ibrutinib significantly prolonged overall survival; the estimated survival rate at 24 months was 98% with ibrutinib versus 85% with chlorambucil, with a relative risk of death that was 84% lower in the ibrutinib group than in the chlorambucil group (hazard ratio, 0.16; P = 0.001). The overall response rate was higher with ibrutinib than with chlorambucil (86% vs. 35%, P&lt;0.001). The rates of sustained increases from baseline values in the hemoglobin and platelet levels were higher with ibrutinib. Adverse events of any grade that occurred in at least 20% of the patients receiving ibrutinib included diarrhea, fatigue, cough, and nausea; adverse events occurring in at least 20% of those receiving chlorambucil included nausea, fatigue, neutropenia, anemia, and vomiting. In the ibrutinib group, four patients had a grade 3 hemorrhage and one had a grade 4 hemorrhage. A total of 87% of the patients in the ibrutinib group are continuing to take ibrutinib. CONCLUSIONS Ibrutinib was superior to chlorambucil in previously untreated patients with CLL or small lymphocytic lymphoma, as assessed by progression-free survival, overall survival, response rate, and improvement in hematologic variables.","author":[{"dropping-particle":"","family":"Burger","given":"J. A.","non-dropping-particle":"","parse-names":false,"suffix":""},{"dropping-particle":"","family":"Tedeschi","given":"A.","non-dropping-particle":"","parse-names":false,"suffix":""},{"dropping-particle":"","family":"Barr","given":"P.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Bairey","given":"O.","non-dropping-particle":"","parse-names":false,"suffix":""},{"dropping-particle":"","family":"Hillmen","given":"P.","non-dropping-particle":"","parse-names":false,"suffix":""},{"dropping-particle":"","family":"Bartlett","given":"N. L.","non-dropping-particle":"","parse-names":false,"suffix":""},{"dropping-particle":"","family":"Li","given":"J.","non-dropping-particle":"","parse-names":false,"suffix":""},{"dropping-particle":"","family":"Simpson","given":"D.","non-dropping-particle":"","parse-names":false,"suffix":""},{"dropping-particle":"","family":"Grosicki","given":"S.","non-dropping-particle":"","parse-names":false,"suffix":""},{"dropping-particle":"","family":"Devereux","given":"S.","non-dropping-particle":"","parse-names":false,"suffix":""},{"dropping-particle":"","family":"McCarthy","given":"H.","non-dropping-particle":"","parse-names":false,"suffix":""},{"dropping-particle":"","family":"Coutre","given":"S.","non-dropping-particle":"","parse-names":false,"suffix":""},{"dropping-particle":"","family":"Quach","given":"H.","non-dropping-particle":"","parse-names":false,"suffix":""},{"dropping-particle":"","family":"Gaidano","given":"G.","non-dropping-particle":"","parse-names":false,"suffix":""},{"dropping-particle":"","family":"Maslyak","given":"Z.","non-dropping-particle":"","parse-names":false,"suffix":""},{"dropping-particle":"","family":"Stevens","given":"D. A.","non-dropping-particle":"","parse-names":false,"suffix":""},{"dropping-particle":"","family":"Janssens","given":"A.","non-dropping-particle":"","parse-names":false,"suffix":""},{"dropping-particle":"","family":"Offner","given":"F.","non-dropping-particle":"","parse-names":false,"suffix":""},{"dropping-particle":"","family":"Mayer","given":"J.","non-dropping-particle":"","parse-names":false,"suffix":""},{"dropping-particle":"","family":"O'Dwyer","given":"M.","non-dropping-particle":"","parse-names":false,"suffix":""},{"dropping-particle":"","family":"Hellmann","given":"A.","non-dropping-particle":"","parse-names":false,"suffix":""},{"dropping-particle":"","family":"Schuh","given":"A.","non-dropping-particle":"","parse-names":false,"suffix":""},{"dropping-particle":"","family":"Siddiqi","given":"T.","non-dropping-particle":"","parse-names":false,"suffix":""},{"dropping-particle":"","family":"Polliack","given":"A.","non-dropping-particle":"","parse-names":false,"suffix":""},{"dropping-particle":"","family":"Tam","given":"C. S.","non-dropping-particle":"","parse-names":false,"suffix":""},{"dropping-particle":"","family":"Suri","given":"D.","non-dropping-particle":"","parse-names":false,"suffix":""},{"dropping-particle":"","family":"Cheng","given":"M.","non-dropping-particle":"","parse-names":false,"suffix":""},{"dropping-particle":"","family":"Clow","given":"F.","non-dropping-particle":"","parse-names":false,"suffix":""},{"dropping-particle":"","family":"Styles","given":"L.","non-dropping-particle":"","parse-names":false,"suffix":""},{"dropping-particle":"","family":"James","given":"D. F.","non-dropping-particle":"","parse-names":false,"suffix":""},{"dropping-particle":"","family":"Kipps","given":"T. J.","non-dropping-particle":"","parse-names":false,"suffix":""}],"container-title":"New England Journal of Medicine","id":"ITEM-1","issue":"25","issued":{"date-parts":[["2015","12","17"]]},"page":"2425-2437","publisher":"Massachussetts Medical Society","title":"Ibrutinib as initial therapy for patients with chronic lymphocytic leukemia","type":"article-journal","volume":"373"},"uris":["http://www.mendeley.com/documents/?uuid=b01c404b-e988-3c42-b782-5080b7873fdd"]},{"id":"ITEM-2","itemData":{"DOI":"10.1016/S1470-2045(14)70335-3","ISSN":"14745488","abstract":"Background: Ibrutinib, an orally administered covalent inhibitor of Bruton's tyrosine kinase (BTK), is an effective treatment for relapsed chronic lymphocytic leukaemia (CLL). We investigated the activity and safety of the combination of ibrutinib with the monoclonal antibody rituximab in patients with high-risk CLL. Methods: In this single-arm phase 2 study, we enrolled adult patients with high-risk CLL at the MD Anderson Cancer Center (Houston, TX, USA). All enrolled participants had high-risk cytogenetic abnormalities (deletion 17p, TP53 mutation, or deletion 11q) or a short progression-free survival (PFS &lt;36 months) after previous first-line chemoimmunotherapy. Patients with symptomatic disease requiring therapy received 28-day cycles of once-daily ibrutinib 420 mg together with rituximab (375 mg/m2, intravenously, every week during cycle 1, then once per cycle until cycle 6), followed by continuous daily single-agent ibrutinib 420 mg until disease progression or until toxicities or complications precluded further treatment. The primary endpoint was progression-free survival in the intention-to-treat population. This study is registered with ClinicalTrials.gov number NCT01520519, and is no longer accruing patients. Findings: Between Feb 28, 2012, and Sept 11, 2012, we enrolled 40 patients with CLL with high-risk disease features, 20 of whom had deletion 17p (del[17p]) or TP53 mutations (16 previously treated, four untreated), 13 had relapsed CLL with deletion 11q (del[11q]), and seven a PFS less than 36 months after first-line chemoimmunotherapy. 18-month PFS in all patients was 78·0% (95% CI 60·6-88·5), whereas in those with a del(17p) or TP53 mutation it was 72·4% (45·6-87·6) Toxicity was mainly mild to moderate in severity (grade 1-2). Diarrhoea occurred in ten (25%) patients (grade 1 in nine patients and grade 2 in one), bleeding events in 14 (33%) patients (eight grade 1 and five grade 2), nausea or vomiting in 15 patients (38%) (ten grade 1 and five grade 2), and fatigue in seven (18%) patients (four grade 1 and three grade 2). Five patients (13%) had grade 3 infections (two lung infections, one upper respiratory tract infection, one sepsis, and one mucositis), and no grade 4 or 5 infections occurred. One patient had grade 4 neutropenia. Interpretation: The encouraging safety and activity of ibrutinib and rituximab in this population of patients with high-risk CLL merits further investigation of this combination. Funding: Pharmacyclics Inc, Ca…","author":[{"dropping-particle":"","family":"Burger","given":"Jan A.","non-dropping-particle":"","parse-names":false,"suffix":""},{"dropping-particle":"","family":"Keating","given":"Michael J.","non-dropping-particle":"","parse-names":false,"suffix":""},{"dropping-particle":"","family":"Wierda","given":"William G.","non-dropping-particle":"","parse-names":false,"suffix":""},{"dropping-particle":"","family":"Hartmann","given":"Elena","non-dropping-particle":"","parse-names":false,"suffix":""},{"dropping-particle":"","family":"Hoellenriegel","given":"Julia","non-dropping-particle":"","parse-names":false,"suffix":""},{"dropping-particle":"","family":"Rosin","given":"Nathalie Y.","non-dropping-particle":"","parse-names":false,"suffix":""},{"dropping-particle":"","family":"Weerdt","given":"Iris","non-dropping-particle":"de","parse-names":false,"suffix":""},{"dropping-particle":"","family":"Jeyakumar","given":"Ghayathri","non-dropping-particle":"","parse-names":false,"suffix":""},{"dropping-particle":"","family":"Ferrajoli","given":"Alessandra","non-dropping-particle":"","parse-names":false,"suffix":""},{"dropping-particle":"","family":"Cardenas-Turanzas","given":"Marylou","non-dropping-particle":"","parse-names":false,"suffix":""},{"dropping-particle":"","family":"Lerner","given":"Susan","non-dropping-particle":"","parse-names":false,"suffix":""},{"dropping-particle":"","family":"Jorgensen","given":"Jeffrey L.","non-dropping-particle":"","parse-names":false,"suffix":""},{"dropping-particle":"","family":"Nogueras-González","given":"Graciela M.","non-dropping-particle":"","parse-names":false,"suffix":""},{"dropping-particle":"","family":"Zacharian","given":"Gracy","non-dropping-particle":"","parse-names":false,"suffix":""},{"dropping-particle":"","family":"Huang","given":"Xuelin","non-dropping-particle":"","parse-names":false,"suffix":""},{"dropping-particle":"","family":"Kantarjian","given":"Hagop","non-dropping-particle":"","parse-names":false,"suffix":""},{"dropping-particle":"","family":"Garg","given":"Naveen","non-dropping-particle":"","parse-names":false,"suffix":""},{"dropping-particle":"","family":"Rosenwald","given":"Andreas","non-dropping-particle":"","parse-names":false,"suffix":""},{"dropping-particle":"","family":"O'Brien","given":"Susan","non-dropping-particle":"","parse-names":false,"suffix":""}],"container-title":"The Lancet Oncology","id":"ITEM-2","issue":"10","issued":{"date-parts":[["2014"]]},"page":"1090-1099","publisher":"Lancet Publishing Group","title":"Safety and activity of ibrutinib plus rituximab for patients with high-risk chronic lymphocytic leukaemia: A single-arm, phase 2 study","type":"article-journal","volume":"15"},"uris":["http://www.mendeley.com/documents/?uuid=49dade21-0b80-3708-89da-2d850e7f9130"]}],"mendeley":{"formattedCitation":"[38,50]","plainTextFormattedCitation":"[38,50]","previouslyFormattedCitation":"[38,50]"},"properties":{"noteIndex":0},"schema":"https://github.com/citation-style-language/schema/raw/master/csl-citation.json"}</w:instrText>
      </w:r>
      <w:r w:rsidR="000B0AC3" w:rsidRPr="00C348F4">
        <w:fldChar w:fldCharType="separate"/>
      </w:r>
      <w:r w:rsidR="00225D7F" w:rsidRPr="00225D7F">
        <w:rPr>
          <w:noProof/>
        </w:rPr>
        <w:t>[38,50]</w:t>
      </w:r>
      <w:r w:rsidR="000B0AC3" w:rsidRPr="00C348F4">
        <w:fldChar w:fldCharType="end"/>
      </w:r>
      <w:r w:rsidR="004D7374" w:rsidRPr="00C348F4">
        <w:t xml:space="preserve">. </w:t>
      </w:r>
    </w:p>
    <w:p w14:paraId="7B05D1A3" w14:textId="1DB5551E" w:rsidR="004D7374" w:rsidRDefault="004D7374" w:rsidP="0080011C">
      <w:pPr>
        <w:ind w:left="426"/>
        <w:contextualSpacing/>
        <w:rPr>
          <w:b/>
          <w:spacing w:val="-4"/>
        </w:rPr>
      </w:pPr>
      <w:r w:rsidRPr="0086213E">
        <w:rPr>
          <w:b/>
          <w:spacing w:val="-4"/>
        </w:rPr>
        <w:t xml:space="preserve">Уровень убедительности </w:t>
      </w:r>
      <w:r w:rsidR="00C20509" w:rsidRPr="0086213E">
        <w:rPr>
          <w:b/>
          <w:spacing w:val="-4"/>
        </w:rPr>
        <w:t xml:space="preserve">рекомендаций – </w:t>
      </w:r>
      <w:r w:rsidR="00DD7EA6">
        <w:rPr>
          <w:b/>
          <w:spacing w:val="-4"/>
        </w:rPr>
        <w:t>С</w:t>
      </w:r>
      <w:r w:rsidR="00DD7EA6" w:rsidRPr="0086213E">
        <w:rPr>
          <w:b/>
          <w:spacing w:val="-4"/>
        </w:rPr>
        <w:t xml:space="preserve"> </w:t>
      </w:r>
      <w:r w:rsidRPr="0086213E">
        <w:rPr>
          <w:b/>
          <w:spacing w:val="-4"/>
        </w:rPr>
        <w:t xml:space="preserve">(уровень достоверности </w:t>
      </w:r>
      <w:r w:rsidR="00C20509" w:rsidRPr="0086213E">
        <w:rPr>
          <w:b/>
          <w:spacing w:val="-4"/>
        </w:rPr>
        <w:t xml:space="preserve">доказательств – </w:t>
      </w:r>
      <w:r w:rsidR="00DD7EA6">
        <w:rPr>
          <w:b/>
          <w:spacing w:val="-4"/>
        </w:rPr>
        <w:t>3</w:t>
      </w:r>
      <w:r w:rsidRPr="0086213E">
        <w:rPr>
          <w:b/>
          <w:spacing w:val="-4"/>
        </w:rPr>
        <w:t>)</w:t>
      </w:r>
      <w:r w:rsidR="00B63BF6" w:rsidRPr="0086213E">
        <w:rPr>
          <w:b/>
          <w:spacing w:val="-4"/>
        </w:rPr>
        <w:t>.</w:t>
      </w:r>
    </w:p>
    <w:p w14:paraId="7AB4AD3B" w14:textId="1FE9B845" w:rsidR="007C1EA1" w:rsidRDefault="007C1EA1" w:rsidP="00D61785">
      <w:pPr>
        <w:pStyle w:val="a4"/>
        <w:numPr>
          <w:ilvl w:val="0"/>
          <w:numId w:val="50"/>
        </w:numPr>
        <w:spacing w:before="0"/>
      </w:pPr>
      <w:r w:rsidRPr="003A4F83">
        <w:t>Пациентам с верифицированным ХЛЛ/ЛМ</w:t>
      </w:r>
      <w:r>
        <w:t>Л</w:t>
      </w:r>
      <w:r w:rsidRPr="003A4F83">
        <w:t xml:space="preserve"> из группы высокого риска (с del(17p) и/или мутацией TP53) для достижения ремиссии при наличии возможности </w:t>
      </w:r>
      <w:r w:rsidRPr="005D3BBD">
        <w:rPr>
          <w:b/>
        </w:rPr>
        <w:lastRenderedPageBreak/>
        <w:t>рекомендована</w:t>
      </w:r>
      <w:r w:rsidRPr="003A4F83">
        <w:t xml:space="preserve"> терапия терапия акалабрутинибом в монотерапии или в комбинации с </w:t>
      </w:r>
      <w:r w:rsidR="00052BBF" w:rsidRPr="00851861">
        <w:t>#</w:t>
      </w:r>
      <w:r w:rsidRPr="003A4F83">
        <w:t>обинутузумабом</w:t>
      </w:r>
      <w:r w:rsidRPr="005D3BBD">
        <w:t>**</w:t>
      </w:r>
      <w:r>
        <w:t xml:space="preserve"> </w:t>
      </w:r>
      <w:r w:rsidRPr="003A4F83">
        <w:t>до прогрессирования или развития непереносимой токсичности) (схемы режимов лечения см. в приложении А3.3)</w:t>
      </w:r>
      <w:r w:rsidR="00D4525C">
        <w:t xml:space="preserve"> </w:t>
      </w:r>
      <w:r w:rsidR="00D4525C">
        <w:fldChar w:fldCharType="begin" w:fldLock="1"/>
      </w:r>
      <w:r w:rsidR="00BA7FFC">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[31]","plainTextFormattedCitation":"[31]","previouslyFormattedCitation":"[31]"},"properties":{"noteIndex":0},"schema":"https://github.com/citation-style-language/schema/raw/master/csl-citation.json"}</w:instrText>
      </w:r>
      <w:r w:rsidR="00D4525C">
        <w:fldChar w:fldCharType="separate"/>
      </w:r>
      <w:r w:rsidR="00225D7F" w:rsidRPr="00225D7F">
        <w:rPr>
          <w:noProof/>
        </w:rPr>
        <w:t>[31]</w:t>
      </w:r>
      <w:r w:rsidR="00D4525C">
        <w:fldChar w:fldCharType="end"/>
      </w:r>
      <w:r w:rsidRPr="003A4F83">
        <w:t xml:space="preserve">. </w:t>
      </w:r>
    </w:p>
    <w:p w14:paraId="508F2D4C" w14:textId="3AAE08B8" w:rsidR="007C1EA1" w:rsidRPr="0086213E" w:rsidRDefault="007C1EA1" w:rsidP="005D3BBD">
      <w:pPr>
        <w:ind w:left="426"/>
        <w:contextualSpacing/>
        <w:rPr>
          <w:b/>
          <w:spacing w:val="-4"/>
        </w:rPr>
      </w:pPr>
      <w:r w:rsidRPr="000E4DA6">
        <w:rPr>
          <w:b/>
          <w:spacing w:val="-4"/>
        </w:rPr>
        <w:t>Уровень убедительности рекомендаций – А (уровень достоверности доказательств –2).</w:t>
      </w:r>
    </w:p>
    <w:p w14:paraId="29484271" w14:textId="7F5214D8" w:rsidR="00577F69" w:rsidRPr="00C348F4" w:rsidRDefault="00BF0941" w:rsidP="00D61785">
      <w:pPr>
        <w:pStyle w:val="a4"/>
        <w:numPr>
          <w:ilvl w:val="0"/>
          <w:numId w:val="50"/>
        </w:numPr>
        <w:spacing w:before="0"/>
      </w:pPr>
      <w:r w:rsidRPr="00DA5232">
        <w:t xml:space="preserve">Пациентам с верифицированным ХЛЛ/ЛМЛ из группы высокого риска (с del(17p) и/или мутацией </w:t>
      </w:r>
      <w:r w:rsidRPr="0080011C">
        <w:rPr>
          <w:i/>
        </w:rPr>
        <w:t>TP53</w:t>
      </w:r>
      <w:r w:rsidRPr="00DA5232">
        <w:t xml:space="preserve">) </w:t>
      </w:r>
      <w:r w:rsidRPr="00055701">
        <w:t xml:space="preserve">при наличии возможности </w:t>
      </w:r>
      <w:r w:rsidRPr="0080011C">
        <w:rPr>
          <w:b/>
        </w:rPr>
        <w:t>рекомендована</w:t>
      </w:r>
      <w:r w:rsidRPr="00055701">
        <w:t xml:space="preserve"> терапия комбинацией </w:t>
      </w:r>
      <w:r w:rsidR="00674EB1" w:rsidRPr="005A5605">
        <w:t>#</w:t>
      </w:r>
      <w:r w:rsidRPr="00055701">
        <w:t>венетоклакса</w:t>
      </w:r>
      <w:r w:rsidR="00E0050E" w:rsidRPr="00932BCF">
        <w:t>**</w:t>
      </w:r>
      <w:r w:rsidRPr="00055701">
        <w:t xml:space="preserve"> </w:t>
      </w:r>
      <w:r w:rsidR="00AE69C4" w:rsidRPr="00055701">
        <w:t>20 мг/сут,</w:t>
      </w:r>
      <w:r w:rsidR="00AE69C4" w:rsidRPr="00F21A6F">
        <w:t xml:space="preserve"> </w:t>
      </w:r>
      <w:r w:rsidR="00AE69C4">
        <w:t>дни 22–</w:t>
      </w:r>
      <w:r w:rsidR="00AE69C4" w:rsidRPr="00822273">
        <w:t>28 цикла 1</w:t>
      </w:r>
      <w:r w:rsidR="00AE69C4">
        <w:t>;</w:t>
      </w:r>
      <w:r w:rsidR="00AE69C4" w:rsidRPr="001D54F2">
        <w:t xml:space="preserve"> 50 мг/сут</w:t>
      </w:r>
      <w:r w:rsidR="00AE69C4" w:rsidRPr="00822273">
        <w:t xml:space="preserve"> дни 1</w:t>
      </w:r>
      <w:r w:rsidR="00AE69C4">
        <w:t>–</w:t>
      </w:r>
      <w:r w:rsidR="00AE69C4" w:rsidRPr="00822273">
        <w:t>7 цикла 2</w:t>
      </w:r>
      <w:r w:rsidR="00AE69C4">
        <w:t>;</w:t>
      </w:r>
      <w:r w:rsidR="00AE69C4" w:rsidRPr="001D54F2">
        <w:t xml:space="preserve"> 100 мг/сут</w:t>
      </w:r>
      <w:r w:rsidR="00AE69C4" w:rsidRPr="00822273">
        <w:t xml:space="preserve"> дни 8</w:t>
      </w:r>
      <w:r w:rsidR="00AE69C4">
        <w:t>–</w:t>
      </w:r>
      <w:r w:rsidR="00AE69C4" w:rsidRPr="00822273">
        <w:t>14 цикла 2</w:t>
      </w:r>
      <w:r w:rsidR="00AE69C4">
        <w:t>;</w:t>
      </w:r>
      <w:r w:rsidR="00AE69C4" w:rsidRPr="001D54F2">
        <w:t xml:space="preserve"> 200 мг/сут</w:t>
      </w:r>
      <w:r w:rsidR="00AE69C4">
        <w:t xml:space="preserve"> дни 15–</w:t>
      </w:r>
      <w:r w:rsidR="00AE69C4" w:rsidRPr="00822273">
        <w:t>21 цикла 2</w:t>
      </w:r>
      <w:r w:rsidR="00AE69C4">
        <w:t>;</w:t>
      </w:r>
      <w:r w:rsidR="00AE69C4" w:rsidRPr="001D54F2">
        <w:t xml:space="preserve"> 400 мг/сут</w:t>
      </w:r>
      <w:r w:rsidR="00AE69C4">
        <w:t xml:space="preserve"> дни 22–</w:t>
      </w:r>
      <w:r w:rsidR="00AE69C4" w:rsidRPr="00822273">
        <w:t xml:space="preserve">28 цикла 2, далее 400 мг/сут в течение 12 </w:t>
      </w:r>
      <w:r w:rsidR="00AE69C4" w:rsidRPr="0080011C">
        <w:t>мес</w:t>
      </w:r>
      <w:r w:rsidR="00AC39FB" w:rsidRPr="0080011C">
        <w:t>.</w:t>
      </w:r>
      <w:r w:rsidR="00AE69C4" w:rsidRPr="00DA5232">
        <w:t xml:space="preserve"> </w:t>
      </w:r>
      <w:r w:rsidRPr="00DA5232">
        <w:t>и обинутузумаба</w:t>
      </w:r>
      <w:r w:rsidR="0086213E">
        <w:t>**</w:t>
      </w:r>
      <w:r w:rsidRPr="00DA5232">
        <w:t xml:space="preserve"> </w:t>
      </w:r>
      <w:r w:rsidR="00AE69C4" w:rsidRPr="001D54F2">
        <w:t>100 мг</w:t>
      </w:r>
      <w:r w:rsidR="00AE69C4">
        <w:t>,</w:t>
      </w:r>
      <w:r w:rsidR="00AE69C4" w:rsidRPr="001D54F2">
        <w:t xml:space="preserve"> </w:t>
      </w:r>
      <w:r w:rsidR="00AE69C4" w:rsidRPr="00822273">
        <w:t>день 1 цикла 1</w:t>
      </w:r>
      <w:r w:rsidR="00AE69C4">
        <w:t>;</w:t>
      </w:r>
      <w:r w:rsidR="00AE69C4" w:rsidRPr="001D54F2">
        <w:t xml:space="preserve"> 900 мг </w:t>
      </w:r>
      <w:r w:rsidR="00AE69C4" w:rsidRPr="00822273">
        <w:t>день 2 цикла 1</w:t>
      </w:r>
      <w:r w:rsidR="00AE69C4">
        <w:t>;</w:t>
      </w:r>
      <w:r w:rsidR="00AE69C4" w:rsidRPr="001D54F2">
        <w:t xml:space="preserve"> </w:t>
      </w:r>
      <w:r w:rsidR="00AE69C4">
        <w:t xml:space="preserve">1000 мг день 8 </w:t>
      </w:r>
      <w:r w:rsidR="00AE69C4" w:rsidRPr="00C348F4">
        <w:t xml:space="preserve">цикла 1; 1000 мг день 15 цикла 1; 1000 мг день 1 цикла 2; 1000 мг день 1 циклов 3–6.  </w:t>
      </w:r>
      <w:r w:rsidRPr="00C348F4">
        <w:t>фиксированной про</w:t>
      </w:r>
      <w:r w:rsidR="00EC5A18" w:rsidRPr="00C348F4">
        <w:t>дол</w:t>
      </w:r>
      <w:r w:rsidRPr="00C348F4">
        <w:t>жительностью 12 мес</w:t>
      </w:r>
      <w:r w:rsidR="00560CBA" w:rsidRPr="00C348F4">
        <w:t>.</w:t>
      </w:r>
      <w:r w:rsidR="00030520" w:rsidRPr="00C348F4">
        <w:t xml:space="preserve"> </w:t>
      </w:r>
      <w:r w:rsidR="00437AD9" w:rsidRPr="00C348F4">
        <w:t>(</w:t>
      </w:r>
      <w:r w:rsidR="00AA4B03" w:rsidRPr="00C348F4">
        <w:t xml:space="preserve">схемы режимов лечения см. в приложении </w:t>
      </w:r>
      <w:r w:rsidR="00437AD9" w:rsidRPr="00C348F4">
        <w:t>А3.3)</w:t>
      </w:r>
      <w:r w:rsidR="006D1E7B" w:rsidRPr="005D3BBD">
        <w:t xml:space="preserve"> </w:t>
      </w:r>
      <w:r w:rsidR="000B0AC3" w:rsidRPr="005D3BBD">
        <w:fldChar w:fldCharType="begin" w:fldLock="1"/>
      </w:r>
      <w:r w:rsidR="00BA7FFC">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[44]","plainTextFormattedCitation":"[44]","previouslyFormattedCitation":"[44]"},"properties":{"noteIndex":0},"schema":"https://github.com/citation-style-language/schema/raw/master/csl-citation.json"}</w:instrText>
      </w:r>
      <w:r w:rsidR="000B0AC3" w:rsidRPr="005D3BBD">
        <w:fldChar w:fldCharType="separate"/>
      </w:r>
      <w:r w:rsidR="00225D7F" w:rsidRPr="00225D7F">
        <w:rPr>
          <w:noProof/>
        </w:rPr>
        <w:t>[44]</w:t>
      </w:r>
      <w:r w:rsidR="000B0AC3" w:rsidRPr="005D3BBD">
        <w:fldChar w:fldCharType="end"/>
      </w:r>
      <w:r w:rsidRPr="00C348F4">
        <w:t>.</w:t>
      </w:r>
    </w:p>
    <w:p w14:paraId="5429B600" w14:textId="77777777" w:rsidR="00BF0941" w:rsidRPr="0086213E" w:rsidRDefault="00577F69" w:rsidP="0080011C">
      <w:pPr>
        <w:ind w:left="426"/>
        <w:rPr>
          <w:b/>
          <w:spacing w:val="-4"/>
        </w:rPr>
      </w:pPr>
      <w:r w:rsidRPr="0086213E">
        <w:rPr>
          <w:b/>
          <w:spacing w:val="-4"/>
        </w:rPr>
        <w:t xml:space="preserve">Уровень убедительности </w:t>
      </w:r>
      <w:r w:rsidR="00C20509" w:rsidRPr="0086213E">
        <w:rPr>
          <w:b/>
          <w:spacing w:val="-4"/>
        </w:rPr>
        <w:t xml:space="preserve">рекомендаций – </w:t>
      </w:r>
      <w:r w:rsidRPr="0086213E">
        <w:rPr>
          <w:b/>
          <w:spacing w:val="-4"/>
        </w:rPr>
        <w:t xml:space="preserve">B (уровень достоверности </w:t>
      </w:r>
      <w:r w:rsidR="00C20509" w:rsidRPr="0086213E">
        <w:rPr>
          <w:b/>
          <w:spacing w:val="-4"/>
        </w:rPr>
        <w:t xml:space="preserve">доказательств – </w:t>
      </w:r>
      <w:r w:rsidR="00AE69C4">
        <w:rPr>
          <w:b/>
          <w:spacing w:val="-4"/>
        </w:rPr>
        <w:t>2</w:t>
      </w:r>
      <w:r w:rsidRPr="0086213E">
        <w:rPr>
          <w:b/>
          <w:spacing w:val="-4"/>
        </w:rPr>
        <w:t>).</w:t>
      </w:r>
    </w:p>
    <w:p w14:paraId="5F380CBE" w14:textId="49D1FF42" w:rsidR="004D7374" w:rsidRPr="00C348F4" w:rsidRDefault="00C740F1" w:rsidP="00D61785">
      <w:pPr>
        <w:pStyle w:val="a4"/>
        <w:numPr>
          <w:ilvl w:val="0"/>
          <w:numId w:val="50"/>
        </w:numPr>
        <w:spacing w:before="0"/>
      </w:pPr>
      <w:r w:rsidRPr="00DA5232">
        <w:t xml:space="preserve">Молодым </w:t>
      </w:r>
      <w:r w:rsidR="004D7374" w:rsidRPr="00DA5232">
        <w:t>пациентам</w:t>
      </w:r>
      <w:r w:rsidR="00AD6066" w:rsidRPr="00DA5232">
        <w:t xml:space="preserve"> с верифицированным ХЛЛ/ЛМЛ</w:t>
      </w:r>
      <w:r w:rsidR="004D7374" w:rsidRPr="00DA5232">
        <w:t xml:space="preserve"> без значимой коморбидности из группы высокого риска (с del(17p) и/или </w:t>
      </w:r>
      <w:r w:rsidR="004D7374" w:rsidRPr="00C348F4">
        <w:t xml:space="preserve">мутацией </w:t>
      </w:r>
      <w:r w:rsidR="004D7374" w:rsidRPr="0080011C">
        <w:rPr>
          <w:i/>
        </w:rPr>
        <w:t>TP53</w:t>
      </w:r>
      <w:r w:rsidR="004D7374" w:rsidRPr="00C348F4">
        <w:t>) после терапии ибрутинибом</w:t>
      </w:r>
      <w:r w:rsidR="00F16D99" w:rsidRPr="00C348F4">
        <w:t>**</w:t>
      </w:r>
      <w:r w:rsidR="007C1EA1">
        <w:t xml:space="preserve"> или акалабрутинибом</w:t>
      </w:r>
      <w:r w:rsidR="004D7374" w:rsidRPr="00C348F4">
        <w:t xml:space="preserve"> и при достижении объективного ответа в </w:t>
      </w:r>
      <w:r w:rsidR="0086213E" w:rsidRPr="00C348F4">
        <w:t>1-й</w:t>
      </w:r>
      <w:r w:rsidR="004D7374" w:rsidRPr="00C348F4">
        <w:t xml:space="preserve"> линии </w:t>
      </w:r>
      <w:r w:rsidR="004D7374" w:rsidRPr="0080011C">
        <w:rPr>
          <w:b/>
        </w:rPr>
        <w:t>рекомендовано</w:t>
      </w:r>
      <w:r w:rsidR="004D7374" w:rsidRPr="00C348F4">
        <w:t xml:space="preserve"> рассмотреть возможность проведения трансплантации </w:t>
      </w:r>
      <w:r w:rsidR="00F16D99" w:rsidRPr="00C348F4">
        <w:t xml:space="preserve">аллогенных </w:t>
      </w:r>
      <w:r w:rsidR="004D7374" w:rsidRPr="00C348F4">
        <w:t>гемопоэтических стволовых клеток в качестве консолидации</w:t>
      </w:r>
      <w:r w:rsidR="006D1E7B" w:rsidRPr="00C348F4">
        <w:t xml:space="preserve"> </w:t>
      </w:r>
      <w:r w:rsidR="000B0AC3" w:rsidRPr="00C348F4">
        <w:fldChar w:fldCharType="begin" w:fldLock="1"/>
      </w:r>
      <w:r w:rsidR="00BA7FFC">
        <w:instrText>ADDIN CSL_CITATION {"citationItems":[{"id":"ITEM-1","itemData":{"DOI":"10.1200/JCO.2007.15.4757","ISSN":"0732183X","abstract":"Purpose: We reported encouraging early results of allogeneic hematopoietic cell transplantation (HCT) after nonmyeloablative conditioning in 64 patients who had advanced chronic lymphocytic leukemia (CLL). Here, we have extended the follow-up to a median of 5 years and have included data on an additional 18 patients. Patients and Methods: Eighty-two patients, age 42 to 72 years, who had fludarabine-refractory CLL were conditioned with 2 Gy total-body irradiation alone or combined with fludarabine followed by HCT from related (n = 52) or unrelated (n = 30) donors. Results: Complete remission (CR) and partial remission were achieved in 55% and 15% of patients, respectively. Higher CR rates were noted after unrelated HCT (67% v 48%). The 5-year incidences of nonrelapse mortality (NRM), progression/relapse, overall survival, and progression-free survival were 23%, 38%, 50%, and 39%, respectively. Among 25 patients initially reported in CR, 8% relapsed and 8% died as a result of NRM, whereas 84% have remained alive and in CR. Among 14 responding patients who were tested and who had molecular eradication of their disease, two died as a result of NRM, two relapsed, and 10 have remained negative. At 5 years, 76% of living patients were entirely well, whereas 24% continued to receive immunosuppression for chronic graft-versus-host disease; the median performance status in each group was 100% and 90%, respectively. Lymphadenopathy ≥ 5 cm, but not cytogenetic abnormalities at HCT, predicted relapse. In a risk-stratification model, patients who had lymphadenopathy less than 5 cm and no comorbidities had a 5-year OS of 71%. Conclusion: Nonmyeloablative HCT resulted in a median survival of 5 years for patients who had fludarabine-refractory CLL with sustained remissions and in the continued resolution of chronic graft-versus-host disease in surviving patients. © 2008 by American Society of Clinical Oncology.","author":[{"dropping-particle":"","family":"Sorror","given":"Mohamed L.","non-dropping-particle":"","parse-names":false,"suffix":""},{"dropping-particle":"","family":"Storer","given":"Barry E.","non-dropping-particle":"","parse-names":false,"suffix":""},{"dropping-particle":"","family":"Sandmaier","given":"Brenda M.","non-dropping-particle":"","parse-names":false,"suffix":""},{"dropping-particle":"","family":"Maris","given":"Michael","non-dropping-particle":"","parse-names":false,"suffix":""},{"dropping-particle":"","family":"Shizuru","given":"Judith","non-dropping-particle":"","parse-names":false,"suffix":""},{"dropping-particle":"","family":"Maziarz","given":"Richard","non-dropping-particle":"","parse-names":false,"suffix":""},{"dropping-particle":"","family":"Agura","given":"Edward","non-dropping-particle":"","parse-names":false,"suffix":""},{"dropping-particle":"","family":"Chauncey","given":"Thomas R.","non-dropping-particle":"","parse-names":false,"suffix":""},{"dropping-particle":"","family":"Pulsipher","given":"Michael A.","non-dropping-particle":"","parse-names":false,"suffix":""},{"dropping-particle":"","family":"McSweeney","given":"Peter A.","non-dropping-particle":"","parse-names":false,"suffix":""},{"dropping-particle":"","family":"Wade","given":"James C.","non-dropping-particle":"","parse-names":false,"suffix":""},{"dropping-particle":"","family":"Bruno","given":"Benedetto","non-dropping-particle":"","parse-names":false,"suffix":""},{"dropping-particle":"","family":"Langston","given":"Amelia","non-dropping-particle":"","parse-names":false,"suffix":""},{"dropping-particle":"","family":"Radich","given":"Jerald","non-dropping-particle":"","parse-names":false,"suffix":""},{"dropping-particle":"","family":"Niederwieser","given":"Dietger","non-dropping-particle":"","parse-names":false,"suffix":""},{"dropping-particle":"","family":"Blume","given":"Karl G.","non-dropping-particle":"","parse-names":false,"suffix":""},{"dropping-particle":"","family":"Storb","given":"Rainer","non-dropping-particle":"","parse-names":false,"suffix":""},{"dropping-particle":"","family":"Maloney","given":"David G.","non-dropping-particle":"","parse-names":false,"suffix":""}],"container-title":"Journal of Clinical Oncology","id":"ITEM-1","issue":"30","issued":{"date-parts":[["2008","10","20"]]},"page":"4912-4920","title":"Five-year follow-up of patients with advanced chronic lymphocytic leukemia treated with allogeneic hematopoietic cell transplantation after nonmyeloablative conditioning","type":"article-journal","volume":"26"},"uris":["http://www.mendeley.com/documents/?uuid=c8667c7e-d06b-3a1f-9bdd-057009deab58"]},{"id":"ITEM-2","itemData":{"DOI":"10.1182/blood-2010-03-275420","ISSN":"00064971","abstract":"The purpose of this prospective multi-center phase 2 trial was to investigate the long-term outcome of reduced-intensity conditioning allogeneic stem cell transplantation (alloSCT) in patients with poor-risk chronic lymphocytic leukemia. Conditioning was fludarabine/cyclophosphamide-based. Longitudinal quantitative monitoring of minimal residual disease (MRD) was performed centrally by MRD-flow or real-time quantitative polymerase chain reaction. One hundred eligible patients were enrolled, and 90 patients proceeded to alloSCT. With a median follow-up of 46 months (7-102 months), 4-year nonrelapse mortality, event-free survival (EFS) and overall survival (OS) were 23%, 42%, and 65%, respectively. Of 52 patients with MRD monitoring available, 27 (52%) were alive and MRD negative at 12 months after transplant. Four-year EFS of this subset was 89% with all event-free patients except for 2 being MRD negative at the most recent assessment. EFS was similar for all genetic subsets, including 17p deletion (17p-). In multivariate analyses, uncontrolled disease at alloSCT and in vivo T-cell depletion with alemtuzumab, but not 17p-, previous purine analogue refractoriness, or donor source (human leukocyte antigen-identical siblings or unrelated donors) had an adverse impact on EFS and OS. In conclusion, alloSCT for poor-risk chronic lymphocytic leukemia can result in long-term MRD-negative survival in up to one-half of the patients independent of the underlying genomic risk profile. This trial is registered at http://clinicaltrials.gov as NCT00281983. © 2010 by The American Society of Hematology.","author":[{"dropping-particle":"","family":"Dreger","given":"Peter","non-dropping-particle":"","parse-names":false,"suffix":""},{"dropping-particle":"","family":"Döhner","given":"Hartmut","non-dropping-particle":"","parse-names":false,"suffix":""},{"dropping-particle":"","family":"Ritgen","given":"Matthias","non-dropping-particle":"","parse-names":false,"suffix":""},{"dropping-particle":"","family":"Böttcher","given":"Sebastian","non-dropping-particle":"","parse-names":false,"suffix":""},{"dropping-particle":"","family":"Busch","given":"Raymonde","non-dropping-particle":"","parse-names":false,"suffix":""},{"dropping-particle":"","family":"Dietrich","given":"Sascha","non-dropping-particle":"","parse-names":false,"suffix":""},{"dropping-particle":"","family":"Bunjes","given":"Donald","non-dropping-particle":"","parse-names":false,"suffix":""},{"dropping-particle":"","family":"Cohen","given":"Sandra","non-dropping-particle":"","parse-names":false,"suffix":""},{"dropping-particle":"","family":"Schubert","given":"Jörg","non-dropping-particle":"","parse-names":false,"suffix":""},{"dropping-particle":"","family":"Hegenbart","given":"Ute","non-dropping-particle":"","parse-names":false,"suffix":""},{"dropping-particle":"","family":"Beelen","given":"Dietrich","non-dropping-particle":"","parse-names":false,"suffix":""},{"dropping-particle":"","family":"Zeis","given":"Matthias","non-dropping-particle":"","parse-names":false,"suffix":""},{"dropping-particle":"","family":"Stadler","given":"Michael","non-dropping-particle":"","parse-names":false,"suffix":""},{"dropping-particle":"","family":"Hasenkamp","given":"Justin","non-dropping-particle":"","parse-names":false,"suffix":""},{"dropping-particle":"","family":"Uharek","given":"Lutz","non-dropping-particle":"","parse-names":false,"suffix":""},{"dropping-particle":"","family":"Scheid","given":"Christof","non-dropping-particle":"","parse-names":false,"suffix":""},{"dropping-particle":"","family":"Humpe","given":"Andreas","non-dropping-particle":"","parse-names":false,"suffix":""},{"dropping-particle":"","family":"Zenz","given":"Thorsten","non-dropping-particle":"","parse-names":false,"suffix":""},{"dropping-particle":"","family":"Winkler","given":"Dirk","non-dropping-particle":"","parse-names":false,"suffix":""},{"dropping-particle":"","family":"Hallek","given":"Michael","non-dropping-particle":"","parse-names":false,"suffix":""},{"dropping-particle":"","family":"Kneba","given":"Michael","non-dropping-particle":"","parse-names":false,"suffix":""},{"dropping-particle":"","family":"Schmitz","given":"Norbert","non-dropping-particle":"","parse-names":false,"suffix":""},{"dropping-particle":"","family":"Stilgenbauer","given":"Stephan","non-dropping-particle":"","parse-names":false,"suffix":""}],"container-title":"Blood","id":"ITEM-2","issue":"14","issued":{"date-parts":[["2010","10","7"]]},"page":"2438-2447","title":"Allogeneic stem cell transplantation provides durable disease control in poor-risk chronic lymphocytic leukemia: Long-term clinical and MRD results of the German CLL Study Group CLL3X trial","type":"article-journal","volume":"116"},"uris":["http://www.mendeley.com/documents/?uuid=971dcce6-824c-3366-80ba-7b1dc6b012dc"]}],"mendeley":{"formattedCitation":"[51,52]","plainTextFormattedCitation":"[51,52]","previouslyFormattedCitation":"[51,52]"},"properties":{"noteIndex":0},"schema":"https://github.com/citation-style-language/schema/raw/master/csl-citation.json"}</w:instrText>
      </w:r>
      <w:r w:rsidR="000B0AC3" w:rsidRPr="00C348F4">
        <w:fldChar w:fldCharType="separate"/>
      </w:r>
      <w:r w:rsidR="00225D7F" w:rsidRPr="00225D7F">
        <w:rPr>
          <w:noProof/>
        </w:rPr>
        <w:t>[51,52]</w:t>
      </w:r>
      <w:r w:rsidR="000B0AC3" w:rsidRPr="00C348F4">
        <w:fldChar w:fldCharType="end"/>
      </w:r>
      <w:r w:rsidR="004D7374" w:rsidRPr="00C348F4">
        <w:t xml:space="preserve">. </w:t>
      </w:r>
    </w:p>
    <w:p w14:paraId="044DC0B3" w14:textId="77777777" w:rsidR="004D7374" w:rsidRPr="00C348F4" w:rsidRDefault="004D7374"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6D1E7B" w:rsidRPr="00C348F4">
        <w:rPr>
          <w:b/>
          <w:spacing w:val="-4"/>
        </w:rPr>
        <w:t xml:space="preserve"> </w:t>
      </w:r>
      <w:r w:rsidRPr="00C348F4">
        <w:rPr>
          <w:b/>
          <w:spacing w:val="-4"/>
        </w:rPr>
        <w:t>(уровень до</w:t>
      </w:r>
      <w:r w:rsidR="001E3D61" w:rsidRPr="00C348F4">
        <w:rPr>
          <w:b/>
          <w:spacing w:val="-4"/>
        </w:rPr>
        <w:t xml:space="preserve">стоверности </w:t>
      </w:r>
      <w:r w:rsidR="00C20509" w:rsidRPr="00C348F4">
        <w:rPr>
          <w:b/>
          <w:spacing w:val="-4"/>
        </w:rPr>
        <w:t xml:space="preserve">доказательств – </w:t>
      </w:r>
      <w:r w:rsidR="001E3D61" w:rsidRPr="00C348F4">
        <w:rPr>
          <w:b/>
          <w:spacing w:val="-4"/>
        </w:rPr>
        <w:t>3</w:t>
      </w:r>
      <w:r w:rsidRPr="00C348F4">
        <w:rPr>
          <w:b/>
          <w:spacing w:val="-4"/>
        </w:rPr>
        <w:t>)</w:t>
      </w:r>
      <w:r w:rsidR="00C740F1" w:rsidRPr="00C348F4">
        <w:rPr>
          <w:b/>
          <w:spacing w:val="-4"/>
        </w:rPr>
        <w:t>.</w:t>
      </w:r>
    </w:p>
    <w:p w14:paraId="35E6472E" w14:textId="1FDEAC8B" w:rsidR="004D7374" w:rsidRPr="00C348F4" w:rsidRDefault="00A81638" w:rsidP="005D3BBD">
      <w:pPr>
        <w:ind w:firstLine="426"/>
        <w:contextualSpacing/>
      </w:pPr>
      <w:r w:rsidRPr="00C348F4">
        <w:rPr>
          <w:b/>
        </w:rPr>
        <w:t>Комментарии</w:t>
      </w:r>
      <w:r w:rsidR="004D7374" w:rsidRPr="00C348F4">
        <w:rPr>
          <w:b/>
        </w:rPr>
        <w:t>:</w:t>
      </w:r>
      <w:r w:rsidR="00030520" w:rsidRPr="00C348F4">
        <w:rPr>
          <w:b/>
        </w:rPr>
        <w:t xml:space="preserve"> </w:t>
      </w:r>
      <w:r w:rsidR="0086213E" w:rsidRPr="00C348F4">
        <w:rPr>
          <w:i/>
        </w:rPr>
        <w:t>о</w:t>
      </w:r>
      <w:r w:rsidR="004D7374" w:rsidRPr="00C348F4">
        <w:rPr>
          <w:i/>
        </w:rPr>
        <w:t xml:space="preserve">птимальным сроком проведения трансплантации следует считать </w:t>
      </w:r>
      <w:r w:rsidR="0086213E" w:rsidRPr="00C348F4">
        <w:rPr>
          <w:i/>
        </w:rPr>
        <w:br/>
        <w:t>2-й</w:t>
      </w:r>
      <w:r w:rsidR="004D7374" w:rsidRPr="00C348F4">
        <w:rPr>
          <w:i/>
        </w:rPr>
        <w:t xml:space="preserve"> год терапии ибрутинибом</w:t>
      </w:r>
      <w:r w:rsidR="00F16D99" w:rsidRPr="00C348F4">
        <w:rPr>
          <w:i/>
        </w:rPr>
        <w:t>**</w:t>
      </w:r>
      <w:r w:rsidR="007C1EA1">
        <w:rPr>
          <w:i/>
        </w:rPr>
        <w:t xml:space="preserve"> или акалабрутинибом</w:t>
      </w:r>
      <w:r w:rsidR="00C740F1" w:rsidRPr="00C348F4">
        <w:rPr>
          <w:i/>
        </w:rPr>
        <w:t>.</w:t>
      </w:r>
    </w:p>
    <w:p w14:paraId="5E45735F" w14:textId="5F9EF3FD" w:rsidR="004D7374" w:rsidRPr="00C348F4" w:rsidRDefault="00C740F1" w:rsidP="00D61785">
      <w:pPr>
        <w:pStyle w:val="a4"/>
        <w:numPr>
          <w:ilvl w:val="0"/>
          <w:numId w:val="50"/>
        </w:numPr>
        <w:spacing w:before="0"/>
      </w:pPr>
      <w:r w:rsidRPr="00C348F4">
        <w:t xml:space="preserve">Пациентам </w:t>
      </w:r>
      <w:r w:rsidR="00AD6066" w:rsidRPr="00C348F4">
        <w:t xml:space="preserve">с верифицированным ХЛЛ/ЛМЛ </w:t>
      </w:r>
      <w:r w:rsidR="004D7374" w:rsidRPr="00C348F4">
        <w:t xml:space="preserve">из группы высокого риска (с del(17p) и/или мутацией </w:t>
      </w:r>
      <w:r w:rsidR="004D7374" w:rsidRPr="0080011C">
        <w:rPr>
          <w:i/>
        </w:rPr>
        <w:t>TP53</w:t>
      </w:r>
      <w:r w:rsidR="004D7374" w:rsidRPr="00C348F4">
        <w:t>), которым лечение ибрутинибом</w:t>
      </w:r>
      <w:r w:rsidR="004F517E" w:rsidRPr="00C348F4">
        <w:t>**</w:t>
      </w:r>
      <w:r w:rsidR="004D7374" w:rsidRPr="00C348F4">
        <w:t xml:space="preserve"> не может быть назначено, </w:t>
      </w:r>
      <w:r w:rsidR="008311A0" w:rsidRPr="00C348F4">
        <w:t>при наличии возможности</w:t>
      </w:r>
      <w:r w:rsidR="00030520" w:rsidRPr="00C348F4">
        <w:t xml:space="preserve"> </w:t>
      </w:r>
      <w:r w:rsidR="004D7374" w:rsidRPr="0080011C">
        <w:rPr>
          <w:b/>
        </w:rPr>
        <w:t>рекомендуется</w:t>
      </w:r>
      <w:r w:rsidR="004D7374" w:rsidRPr="00C348F4">
        <w:t xml:space="preserve"> назначение венетоклакса</w:t>
      </w:r>
      <w:r w:rsidR="00E0050E" w:rsidRPr="00932BCF">
        <w:t>**</w:t>
      </w:r>
      <w:r w:rsidR="006D1E7B" w:rsidRPr="00C348F4">
        <w:t xml:space="preserve"> </w:t>
      </w:r>
      <w:r w:rsidR="005E336A" w:rsidRPr="00C348F4">
        <w:t xml:space="preserve">в </w:t>
      </w:r>
      <w:r w:rsidR="0086213E" w:rsidRPr="00C348F4">
        <w:t xml:space="preserve">режиме </w:t>
      </w:r>
      <w:r w:rsidR="005E336A" w:rsidRPr="00C348F4">
        <w:t>монотерапии</w:t>
      </w:r>
      <w:r w:rsidR="00437AD9" w:rsidRPr="00C348F4">
        <w:t xml:space="preserve"> (</w:t>
      </w:r>
      <w:r w:rsidR="00AA4B03" w:rsidRPr="00C348F4">
        <w:t xml:space="preserve">схемы режимов лечения см. в приложении </w:t>
      </w:r>
      <w:r w:rsidR="00437AD9" w:rsidRPr="00C348F4">
        <w:t>А3.3)</w:t>
      </w:r>
      <w:r w:rsidR="006D1E7B" w:rsidRPr="00C348F4">
        <w:t xml:space="preserve"> </w:t>
      </w:r>
      <w:r w:rsidR="000B0AC3" w:rsidRPr="00C348F4">
        <w:fldChar w:fldCharType="begin" w:fldLock="1"/>
      </w:r>
      <w:r w:rsidR="00BA7FFC">
        <w:instrText>ADDIN CSL_CITATION {"citationItems":[{"id":"ITEM-1","itemData":{"DOI":"10.1016/S1470-2045(16)30019-5","ISSN":"14745488","PMID":"27178240","abstract":"Background Deletion of chromosome 17p (del[17p]) in patients with chronic lymphocytic leukaemia confers very poor prognosis when treated with standard chemo-immunotherapy. Venetoclax is an oral small-molecule BCL2 inhibitor that induces chronic lymphocytic leukaemia cell apoptosis. In a previous first-in-human study of venetoclax, 77% of patients with relapsed or refractory chronic lymphocytic leukaemia achieved an overall response. Here we aimed to assess the activity and safety of venetoclax monotherapy in patients with relapsed or refractory del(17p) chronic lymphocytic leukaemia. Methods In this phase 2, single-arm, multicentre study, we recruited patients aged 18 years and older with del(17p) relapsed or refractory chronic lymphocytic leukaemia (as defined by 2008 Modified International Workshop on Chronic Lymphocytic Leukemia guidelines) from 31 centres in the USA, Canada, UK, Germany, Poland, and Australia. Patients started once daily venetoclax with a weekly dose ramp-up schedule (20, 50, 100, 200, 400 mg) over 4–5 weeks. Patients were then given daily 400 mg continuous dosing until disease progression or discontinuation for another reason. The primary endpoint was the proportion of patients achieving an overall response, assessed by an independent review committee. Activity and safety analyses included all patients who received at least one dose of study drug (per protocol). This study is registered with ClinicalTrials.gov, number NCT01889186. Follow-up is ongoing, and patients are still receiving treatment. Findings Between May 27, 2013, and June 27, 2014, 107 patients were enrolled into the study. At a median follow-up of 12·1 months (IQR 10·1–14·2), an overall response by independent review was achieved in 85 (79·4%; 95% CI 70·5–86·6) of 107 patients. The most common grade 3–4 adverse events were neutropenia (43 [40%]), infection (21 [20%]), anaemia (19 [18%]), and thrombocytopenia (16 [15%]). Serious adverse events occurred in 59 (55%) patients, irrespective of their relationship to treatment, with the most common (≥5% of patients) being pyrexia and autoimmune haemolytic anaemia (seven [7%] each), pneumonia (six [6%]), and febrile neutropenia (five [5%]). 11 patients died in the study within 30 days of the last dose of venetoclax; seven due to disease progression and four from an adverse event (none assessed as treatment related). Interpretation Results of this trial show that venetoclax monotherapy is active and well tolerated in patients …","author":[{"dropping-particle":"","family":"Stilgenbauer","given":"Stephan","non-dropping-particle":"","parse-names":false,"suffix":""},{"dropping-particle":"","family":"Eichhorst","given":"Barbara","non-dropping-particle":"","parse-names":false,"suffix":""},{"dropping-particle":"","family":"Schetelig","given":"Johannes","non-dropping-particle":"","parse-names":false,"suffix":""},{"dropping-particle":"","family":"Coutre","given":"Steven","non-dropping-particle":"","parse-names":false,"suffix":""},{"dropping-particle":"","family":"Seymour","given":"John F.","non-dropping-particle":"","parse-names":false,"suffix":""},{"dropping-particle":"","family":"Munir","given":"Talha","non-dropping-particle":"","parse-names":false,"suffix":""},{"dropping-particle":"","family":"Puvvada","given":"Soham D.","non-dropping-particle":"","parse-names":false,"suffix":""},{"dropping-particle":"","family":"Wendtner","given":"Clemens Martin","non-dropping-particle":"","parse-names":false,"suffix":""},{"dropping-particle":"","family":"Roberts","given":"Andrew W.","non-dropping-particle":"","parse-names":false,"suffix":""},{"dropping-particle":"","family":"Jurczak","given":"Wojciech","non-dropping-particle":"","parse-names":false,"suffix":""},{"dropping-particle":"","family":"Mulligan","given":"Stephen P.","non-dropping-particle":"","parse-names":false,"suffix":""},{"dropping-particle":"","family":"Böttcher","given":"Sebastian","non-dropping-particle":"","parse-names":false,"suffix":""},{"dropping-particle":"","family":"Mobasher","given":"Mehrdad","non-dropping-particle":"","parse-names":false,"suffix":""},{"dropping-particle":"","family":"Zhu","given":"Ming","non-dropping-particle":"","parse-names":false,"suffix":""},{"dropping-particle":"","family":"Desai","given":"Monali","non-dropping-particle":"","parse-names":false,"suffix":""},{"dropping-particle":"","family":"Chyla","given":"Brenda","non-dropping-particle":"","parse-names":false,"suffix":""},{"dropping-particle":"","family":"Verdugo","given":"Maria","non-dropping-particle":"","parse-names":false,"suffix":""},{"dropping-particle":"","family":"Enschede","given":"Sari Heitner","non-dropping-particle":"","parse-names":false,"suffix":""},{"dropping-particle":"","family":"Cerri","given":"Elisa","non-dropping-particle":"","parse-names":false,"suffix":""},{"dropping-particle":"","family":"Humerickhouse","given":"Rod","non-dropping-particle":"","parse-names":false,"suffix":""},{"dropping-particle":"","family":"Gordon","given":"Gary","non-dropping-particle":"","parse-names":false,"suffix":""},{"dropping-particle":"","family":"Hallek","given":"Michael","non-dropping-particle":"","parse-names":false,"suffix":""},{"dropping-particle":"","family":"Wierda","given":"William G.","non-dropping-particle":"","parse-names":false,"suffix":""}],"container-title":"The Lancet Oncology","id":"ITEM-1","issue":"6","issued":{"date-parts":[["2016","6","1"]]},"page":"768-778","publisher":"Lancet Publishing Group","title":"Venetoclax in relapsed or refractory chronic lymphocytic leukaemia with 17p deletion: a multicentre, open-label, phase 2 study","type":"article-journal","volume":"17"},"uris":["http://www.mendeley.com/documents/?uuid=dfbc2107-59f8-4a4b-abbb-d9f1957f04bd"]}],"mendeley":{"formattedCitation":"[53]","plainTextFormattedCitation":"[53]","previouslyFormattedCitation":"[53]"},"properties":{"noteIndex":0},"schema":"https://github.com/citation-style-language/schema/raw/master/csl-citation.json"}</w:instrText>
      </w:r>
      <w:r w:rsidR="000B0AC3" w:rsidRPr="00C348F4">
        <w:fldChar w:fldCharType="separate"/>
      </w:r>
      <w:r w:rsidR="00225D7F" w:rsidRPr="00225D7F">
        <w:rPr>
          <w:noProof/>
        </w:rPr>
        <w:t>[53]</w:t>
      </w:r>
      <w:r w:rsidR="000B0AC3" w:rsidRPr="00C348F4">
        <w:fldChar w:fldCharType="end"/>
      </w:r>
      <w:r w:rsidR="004D7374" w:rsidRPr="00C348F4">
        <w:t>.</w:t>
      </w:r>
    </w:p>
    <w:p w14:paraId="2967DE2D" w14:textId="77777777" w:rsidR="004D7374" w:rsidRPr="0086213E" w:rsidRDefault="004D7374"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030520" w:rsidRPr="00C348F4">
        <w:rPr>
          <w:b/>
          <w:spacing w:val="-4"/>
        </w:rPr>
        <w:t xml:space="preserve"> </w:t>
      </w:r>
      <w:r w:rsidRPr="00C348F4">
        <w:rPr>
          <w:b/>
          <w:spacing w:val="-4"/>
        </w:rPr>
        <w:t>(уровень</w:t>
      </w:r>
      <w:r w:rsidRPr="0086213E">
        <w:rPr>
          <w:b/>
          <w:spacing w:val="-4"/>
        </w:rPr>
        <w:t xml:space="preserve"> достоверности </w:t>
      </w:r>
      <w:r w:rsidR="00C20509" w:rsidRPr="0086213E">
        <w:rPr>
          <w:b/>
          <w:spacing w:val="-4"/>
        </w:rPr>
        <w:t xml:space="preserve">доказательств – </w:t>
      </w:r>
      <w:r w:rsidR="001E3D61" w:rsidRPr="0086213E">
        <w:rPr>
          <w:b/>
          <w:spacing w:val="-4"/>
        </w:rPr>
        <w:t>3</w:t>
      </w:r>
      <w:r w:rsidRPr="0086213E">
        <w:rPr>
          <w:b/>
          <w:spacing w:val="-4"/>
        </w:rPr>
        <w:t>)</w:t>
      </w:r>
      <w:r w:rsidR="00C740F1" w:rsidRPr="0086213E">
        <w:rPr>
          <w:b/>
          <w:spacing w:val="-4"/>
        </w:rPr>
        <w:t>.</w:t>
      </w:r>
    </w:p>
    <w:p w14:paraId="10C335F3" w14:textId="77777777" w:rsidR="004D7374" w:rsidRDefault="004D7374" w:rsidP="005D3BBD">
      <w:pPr>
        <w:pStyle w:val="2"/>
        <w:spacing w:before="0"/>
        <w:contextualSpacing/>
      </w:pPr>
      <w:bookmarkStart w:id="54" w:name="_Toc23601728"/>
      <w:bookmarkStart w:id="55" w:name="_Toc65068809"/>
      <w:r>
        <w:t>3.3</w:t>
      </w:r>
      <w:r w:rsidR="00397360" w:rsidRPr="00397360">
        <w:t>.</w:t>
      </w:r>
      <w:r>
        <w:t xml:space="preserve"> Выбор терапии ХЛЛ </w:t>
      </w:r>
      <w:r w:rsidR="0086213E">
        <w:t>2-</w:t>
      </w:r>
      <w:r>
        <w:t>й и последующих линий</w:t>
      </w:r>
      <w:bookmarkEnd w:id="54"/>
      <w:bookmarkEnd w:id="55"/>
    </w:p>
    <w:p w14:paraId="2BF95756" w14:textId="77777777" w:rsidR="00F16D99" w:rsidRPr="003147A2" w:rsidRDefault="00F16D99" w:rsidP="004E3A70">
      <w:pPr>
        <w:contextualSpacing/>
        <w:rPr>
          <w:i/>
        </w:rPr>
      </w:pPr>
      <w:r w:rsidRPr="003147A2">
        <w:rPr>
          <w:i/>
        </w:rPr>
        <w:t>Выбор терапии при рецидивах ХЛЛ зависит от следующих факторов:</w:t>
      </w:r>
    </w:p>
    <w:p w14:paraId="17985097" w14:textId="77777777" w:rsidR="00F16D99" w:rsidRPr="0086213E" w:rsidRDefault="00F16D99" w:rsidP="00D61785">
      <w:pPr>
        <w:pStyle w:val="a4"/>
        <w:numPr>
          <w:ilvl w:val="0"/>
          <w:numId w:val="19"/>
        </w:numPr>
        <w:spacing w:before="0"/>
        <w:rPr>
          <w:i/>
        </w:rPr>
      </w:pPr>
      <w:r w:rsidRPr="0086213E">
        <w:rPr>
          <w:i/>
        </w:rPr>
        <w:t xml:space="preserve">терапия </w:t>
      </w:r>
      <w:r w:rsidR="0086213E">
        <w:rPr>
          <w:i/>
        </w:rPr>
        <w:t>1-й</w:t>
      </w:r>
      <w:r w:rsidRPr="0086213E">
        <w:rPr>
          <w:i/>
        </w:rPr>
        <w:t xml:space="preserve"> линии;</w:t>
      </w:r>
    </w:p>
    <w:p w14:paraId="49587C3C" w14:textId="77777777" w:rsidR="00F16D99" w:rsidRPr="0086213E" w:rsidRDefault="00F16D99" w:rsidP="00D61785">
      <w:pPr>
        <w:pStyle w:val="a4"/>
        <w:numPr>
          <w:ilvl w:val="0"/>
          <w:numId w:val="19"/>
        </w:numPr>
        <w:spacing w:before="0"/>
        <w:rPr>
          <w:i/>
        </w:rPr>
      </w:pPr>
      <w:r w:rsidRPr="0086213E">
        <w:rPr>
          <w:i/>
        </w:rPr>
        <w:t>время наступления рецидива;</w:t>
      </w:r>
    </w:p>
    <w:p w14:paraId="62A2D94B" w14:textId="77777777" w:rsidR="00F16D99" w:rsidRPr="0086213E" w:rsidRDefault="00F16D99" w:rsidP="00D61785">
      <w:pPr>
        <w:pStyle w:val="a4"/>
        <w:numPr>
          <w:ilvl w:val="0"/>
          <w:numId w:val="19"/>
        </w:numPr>
        <w:spacing w:before="0"/>
        <w:rPr>
          <w:i/>
        </w:rPr>
      </w:pPr>
      <w:r w:rsidRPr="0086213E">
        <w:rPr>
          <w:i/>
        </w:rPr>
        <w:t>клиническая картина рецидив</w:t>
      </w:r>
      <w:r w:rsidR="0086213E">
        <w:rPr>
          <w:i/>
        </w:rPr>
        <w:t>а</w:t>
      </w:r>
      <w:r w:rsidRPr="0086213E">
        <w:rPr>
          <w:i/>
        </w:rPr>
        <w:t>.</w:t>
      </w:r>
    </w:p>
    <w:p w14:paraId="1C7707BC" w14:textId="74D07386" w:rsidR="00F16D99" w:rsidRPr="003147A2" w:rsidRDefault="00F16D99" w:rsidP="005D3BBD">
      <w:pPr>
        <w:ind w:firstLine="709"/>
        <w:contextualSpacing/>
        <w:rPr>
          <w:i/>
        </w:rPr>
      </w:pPr>
      <w:r w:rsidRPr="003147A2">
        <w:rPr>
          <w:i/>
        </w:rPr>
        <w:lastRenderedPageBreak/>
        <w:t>В терапии рецидива, как и в терапии 1</w:t>
      </w:r>
      <w:r w:rsidR="0086213E">
        <w:rPr>
          <w:i/>
        </w:rPr>
        <w:t>-й</w:t>
      </w:r>
      <w:r w:rsidRPr="003147A2">
        <w:rPr>
          <w:i/>
        </w:rPr>
        <w:t xml:space="preserve"> линии, принципиальное значение имеет определение делеции 17</w:t>
      </w:r>
      <w:r w:rsidRPr="003147A2">
        <w:rPr>
          <w:i/>
          <w:lang w:val="en-US"/>
        </w:rPr>
        <w:t>p</w:t>
      </w:r>
      <w:r w:rsidRPr="003147A2">
        <w:rPr>
          <w:i/>
        </w:rPr>
        <w:t xml:space="preserve"> и мутации TP53. Утрата функции </w:t>
      </w:r>
      <w:r w:rsidRPr="003147A2">
        <w:rPr>
          <w:i/>
          <w:lang w:val="en-US"/>
        </w:rPr>
        <w:t>TP</w:t>
      </w:r>
      <w:r w:rsidRPr="003147A2">
        <w:rPr>
          <w:i/>
        </w:rPr>
        <w:t>53 в рецидиве наблюдается у 20</w:t>
      </w:r>
      <w:r w:rsidR="00DD3D1E">
        <w:rPr>
          <w:i/>
        </w:rPr>
        <w:t xml:space="preserve"> %</w:t>
      </w:r>
      <w:r w:rsidRPr="003147A2">
        <w:rPr>
          <w:i/>
        </w:rPr>
        <w:t xml:space="preserve"> </w:t>
      </w:r>
      <w:r w:rsidR="00222B3F">
        <w:rPr>
          <w:i/>
        </w:rPr>
        <w:t>пациентов</w:t>
      </w:r>
      <w:r w:rsidRPr="003147A2">
        <w:rPr>
          <w:i/>
        </w:rPr>
        <w:t xml:space="preserve">. При выявлении утраты </w:t>
      </w:r>
      <w:r w:rsidRPr="003147A2">
        <w:rPr>
          <w:i/>
          <w:lang w:val="en-US"/>
        </w:rPr>
        <w:t>TP</w:t>
      </w:r>
      <w:r w:rsidRPr="003147A2">
        <w:rPr>
          <w:i/>
        </w:rPr>
        <w:t xml:space="preserve">53, как и в </w:t>
      </w:r>
      <w:r w:rsidR="0086213E">
        <w:rPr>
          <w:i/>
        </w:rPr>
        <w:t>1-й</w:t>
      </w:r>
      <w:r w:rsidRPr="003147A2">
        <w:rPr>
          <w:i/>
        </w:rPr>
        <w:t xml:space="preserve"> линии</w:t>
      </w:r>
      <w:r w:rsidR="0086213E">
        <w:rPr>
          <w:i/>
        </w:rPr>
        <w:t xml:space="preserve"> терапии</w:t>
      </w:r>
      <w:r w:rsidRPr="003147A2">
        <w:rPr>
          <w:i/>
        </w:rPr>
        <w:t>, наиболее оправданн</w:t>
      </w:r>
      <w:r w:rsidR="0086213E">
        <w:rPr>
          <w:i/>
        </w:rPr>
        <w:t>ым</w:t>
      </w:r>
      <w:r w:rsidRPr="003147A2">
        <w:rPr>
          <w:i/>
        </w:rPr>
        <w:t xml:space="preserve"> является </w:t>
      </w:r>
      <w:r w:rsidR="0086213E">
        <w:rPr>
          <w:i/>
        </w:rPr>
        <w:t>назначение ибрутиниба</w:t>
      </w:r>
      <w:r w:rsidR="006600A3">
        <w:rPr>
          <w:i/>
        </w:rPr>
        <w:t>**</w:t>
      </w:r>
      <w:r w:rsidR="007C1EA1">
        <w:rPr>
          <w:i/>
        </w:rPr>
        <w:t xml:space="preserve"> или акалабрутиниба</w:t>
      </w:r>
      <w:r w:rsidRPr="003147A2">
        <w:rPr>
          <w:i/>
        </w:rPr>
        <w:t>, если он</w:t>
      </w:r>
      <w:r w:rsidR="0049340F">
        <w:rPr>
          <w:i/>
        </w:rPr>
        <w:t>и</w:t>
      </w:r>
      <w:r w:rsidRPr="003147A2">
        <w:rPr>
          <w:i/>
        </w:rPr>
        <w:t xml:space="preserve"> не применял</w:t>
      </w:r>
      <w:r w:rsidR="0049340F">
        <w:rPr>
          <w:i/>
        </w:rPr>
        <w:t>ись</w:t>
      </w:r>
      <w:r w:rsidR="00362BA7" w:rsidRPr="007C1EA1">
        <w:rPr>
          <w:i/>
        </w:rPr>
        <w:t xml:space="preserve"> </w:t>
      </w:r>
      <w:r w:rsidRPr="003147A2">
        <w:rPr>
          <w:i/>
        </w:rPr>
        <w:t xml:space="preserve">ранее. </w:t>
      </w:r>
    </w:p>
    <w:p w14:paraId="1D7089F2" w14:textId="77777777" w:rsidR="009B7DF7" w:rsidRPr="0080011C" w:rsidRDefault="00691D0D" w:rsidP="00D61785">
      <w:pPr>
        <w:pStyle w:val="a4"/>
        <w:numPr>
          <w:ilvl w:val="0"/>
          <w:numId w:val="50"/>
        </w:numPr>
        <w:spacing w:before="0"/>
      </w:pPr>
      <w:r>
        <w:t>П</w:t>
      </w:r>
      <w:r w:rsidR="004D7374">
        <w:t>ациент</w:t>
      </w:r>
      <w:r>
        <w:t>ам</w:t>
      </w:r>
      <w:r w:rsidR="004D7374">
        <w:t xml:space="preserve"> с поздним рецидивом</w:t>
      </w:r>
      <w:r w:rsidR="00AD6066">
        <w:t xml:space="preserve"> ХЛЛ/ЛМЛ</w:t>
      </w:r>
      <w:r w:rsidR="004D7374">
        <w:t xml:space="preserve"> </w:t>
      </w:r>
      <w:r w:rsidR="004D7374" w:rsidRPr="00C348F4">
        <w:t>после иммунохимиотерапии (&gt;24 мес. после последней терапии) при отсутствии делеции 17p</w:t>
      </w:r>
      <w:r w:rsidR="0086213E" w:rsidRPr="00C348F4">
        <w:t xml:space="preserve"> и </w:t>
      </w:r>
      <w:r w:rsidR="004D7374" w:rsidRPr="00C348F4">
        <w:t xml:space="preserve">мутации </w:t>
      </w:r>
      <w:r w:rsidR="004D7374" w:rsidRPr="0080011C">
        <w:rPr>
          <w:i/>
        </w:rPr>
        <w:t>TP53</w:t>
      </w:r>
      <w:r w:rsidR="004D7374" w:rsidRPr="00C348F4">
        <w:t xml:space="preserve"> </w:t>
      </w:r>
      <w:r w:rsidR="004D7374" w:rsidRPr="0080011C">
        <w:rPr>
          <w:b/>
        </w:rPr>
        <w:t>рекоменд</w:t>
      </w:r>
      <w:r w:rsidR="00222B3F" w:rsidRPr="0080011C">
        <w:rPr>
          <w:b/>
        </w:rPr>
        <w:t>уется</w:t>
      </w:r>
      <w:r w:rsidR="006919DC" w:rsidRPr="0080011C">
        <w:rPr>
          <w:b/>
        </w:rPr>
        <w:t xml:space="preserve"> </w:t>
      </w:r>
      <w:r w:rsidR="004D7374" w:rsidRPr="00C348F4">
        <w:t>один из следующих вариантов лечения</w:t>
      </w:r>
      <w:r w:rsidR="00437AD9" w:rsidRPr="00C348F4">
        <w:t xml:space="preserve"> (</w:t>
      </w:r>
      <w:r w:rsidR="00AA4B03" w:rsidRPr="00C348F4">
        <w:t xml:space="preserve">схемы режимов лечения см. в приложении </w:t>
      </w:r>
      <w:r w:rsidR="00437AD9" w:rsidRPr="00C348F4">
        <w:t>А3.3)</w:t>
      </w:r>
      <w:r w:rsidR="004D7374" w:rsidRPr="00C348F4">
        <w:t xml:space="preserve">: </w:t>
      </w:r>
    </w:p>
    <w:p w14:paraId="0168C9CE" w14:textId="7DF11D17" w:rsidR="009B7DF7" w:rsidRPr="00C348F4" w:rsidRDefault="0086213E" w:rsidP="00D61785">
      <w:pPr>
        <w:pStyle w:val="a4"/>
        <w:numPr>
          <w:ilvl w:val="0"/>
          <w:numId w:val="25"/>
        </w:numPr>
        <w:tabs>
          <w:tab w:val="left" w:pos="1134"/>
        </w:tabs>
        <w:spacing w:before="0"/>
      </w:pPr>
      <w:r w:rsidRPr="00C348F4">
        <w:t>П</w:t>
      </w:r>
      <w:r w:rsidR="004D7374" w:rsidRPr="00C348F4">
        <w:t>овтор иммунохимиотерапии 1</w:t>
      </w:r>
      <w:r w:rsidRPr="00C348F4">
        <w:t>-й</w:t>
      </w:r>
      <w:r w:rsidR="004D7374" w:rsidRPr="00C348F4">
        <w:t xml:space="preserve"> линии</w:t>
      </w:r>
      <w:r w:rsidR="00E02ECB" w:rsidRPr="00C348F4">
        <w:t xml:space="preserve"> </w:t>
      </w:r>
      <w:r w:rsidR="000B0AC3" w:rsidRPr="00C348F4">
        <w:fldChar w:fldCharType="begin" w:fldLock="1"/>
      </w:r>
      <w:r w:rsidR="00BA7FFC">
        <w:instrText>ADDIN CSL_CITATION {"citationItems":[{"id":"ITEM-1","itemData":{"DOI":"10.1182/blood-2014-06-583765","ISBN":"2014065837","ISSN":"1528-0020","PMID":"25281606","abstract":"While fludarabine, cyclophosphamide and rituximab (FCR) is established as standard first-line treatment for younger patients with chronic lymphocytic leukemia (CLL), there is little information to guide the management of patients with CLL refractory to, or relapsed following, frontline FCR treatment. In order to define optimal salvage strategy, and in order to identify patients not suitable for retreatment with FCR, we examined the survival and treatment outcome of 300 patients enrolled on a phase II study of FCR. After a median 142 months of follow-up, 156 patients developed progressive CLL, with a median survival of 51 months following disease progression. The duration of first remission (REM1) was a key determinant of survival following disease progression and first salvage. Patients with a short REM1 (&lt; 3 years) had short survival irrespective of salvage therapy received; these patients have high unmet medical need and are good candidates for investigation of novel therapies. In patients with a long REM1 (≥ 3 years), salvage treatment with either repeat FCR or lenalidomide-based therapy results in subsequent median survival exceeding 5 years; for these patients, FCR rechallenge represents a reasonable standard of care.","author":[{"dropping-particle":"","family":"Tam","given":"Constantine S","non-dropping-particle":"","parse-names":false,"suffix":""},{"dropping-particle":"","family":"O'Brien","given":"Susan","non-dropping-particle":"","parse-names":false,"suffix":""},{"dropping-particle":"","family":"Plunkett","given":"William","non-dropping-particle":"","parse-names":false,"suffix":""},{"dropping-particle":"","family":"Wierda","given":"William","non-dropping-particle":"","parse-names":false,"suffix":""},{"dropping-particle":"","family":"Ferrajoli","given":"Alessandra","non-dropping-particle":"","parse-names":false,"suffix":""},{"dropping-particle":"","family":"Wang","given":"Xuemei","non-dropping-particle":"","parse-names":false,"suffix":""},{"dropping-particle":"","family":"Do","given":"Kim-Anh","non-dropping-particle":"","parse-names":false,"suffix":""},{"dropping-particle":"","family":"Cortes","given":"Jorge","non-dropping-particle":"","parse-names":false,"suffix":""},{"dropping-particle":"","family":"Khouri","given":"Issa","non-dropping-particle":"","parse-names":false,"suffix":""},{"dropping-particle":"","family":"Kantarjian","given":"Hagop","non-dropping-particle":"","parse-names":false,"suffix":""},{"dropping-particle":"","family":"Lerner","given":"Susan","non-dropping-particle":"","parse-names":false,"suffix":""},{"dropping-particle":"","family":"Keating","given":"Michael J","non-dropping-particle":"","parse-names":false,"suffix":""}],"container-title":"Blood","id":"ITEM-1","issued":{"date-parts":[["2014","10","3"]]},"page":"3059-3064","title":"Life After FCR: Outcomes of patients with chronic lymphocytic leukemia who progress after frontline treatment with Fludarabine, Cyclophosphamide and Rituximab.","type":"article-journal"},"uris":["http://www.mendeley.com/documents/?uuid=a8a14a85-cde0-3eba-85a7-ba3811c8fb3d"]}],"mendeley":{"formattedCitation":"[54]","plainTextFormattedCitation":"[54]","previouslyFormattedCitation":"[54]"},"properties":{"noteIndex":0},"schema":"https://github.com/citation-style-language/schema/raw/master/csl-citation.json"}</w:instrText>
      </w:r>
      <w:r w:rsidR="000B0AC3" w:rsidRPr="00C348F4">
        <w:fldChar w:fldCharType="separate"/>
      </w:r>
      <w:r w:rsidR="00225D7F" w:rsidRPr="00225D7F">
        <w:rPr>
          <w:noProof/>
        </w:rPr>
        <w:t>[54]</w:t>
      </w:r>
      <w:r w:rsidR="000B0AC3" w:rsidRPr="00C348F4">
        <w:fldChar w:fldCharType="end"/>
      </w:r>
      <w:r w:rsidRPr="00C348F4">
        <w:t>.</w:t>
      </w:r>
    </w:p>
    <w:p w14:paraId="2C12A2DA" w14:textId="0BF19D05" w:rsidR="009B7DF7" w:rsidRDefault="0086213E" w:rsidP="00D61785">
      <w:pPr>
        <w:pStyle w:val="a4"/>
        <w:numPr>
          <w:ilvl w:val="0"/>
          <w:numId w:val="25"/>
        </w:numPr>
        <w:tabs>
          <w:tab w:val="left" w:pos="1134"/>
        </w:tabs>
        <w:spacing w:before="0"/>
      </w:pPr>
      <w:r w:rsidRPr="00C348F4">
        <w:t>А</w:t>
      </w:r>
      <w:r w:rsidR="004D7374" w:rsidRPr="00C348F4">
        <w:t>льтернативный режим иммунохимиотерапии</w:t>
      </w:r>
      <w:r w:rsidR="00E02ECB" w:rsidRPr="00C348F4">
        <w:rPr>
          <w:lang w:val="en-US"/>
        </w:rPr>
        <w:t xml:space="preserve"> </w:t>
      </w:r>
      <w:r w:rsidR="000B0AC3" w:rsidRPr="00C348F4">
        <w:fldChar w:fldCharType="begin" w:fldLock="1"/>
      </w:r>
      <w:r w:rsidR="00BA7FFC">
        <w:instrText>ADDIN CSL_CITATION {"citationItems":[{"id":"ITEM-1","itemData":{"DOI":"10.1182/blood-2014-06-583765","ISBN":"2014065837","ISSN":"1528-0020","PMID":"25281606","abstract":"While fludarabine, cyclophosphamide and rituximab (FCR) is established as standard first-line treatment for younger patients with chronic lymphocytic leukemia (CLL), there is little information to guide the management of patients with CLL refractory to, or relapsed following, frontline FCR treatment. In order to define optimal salvage strategy, and in order to identify patients not suitable for retreatment with FCR, we examined the survival and treatment outcome of 300 patients enrolled on a phase II study of FCR. After a median 142 months of follow-up, 156 patients developed progressive CLL, with a median survival of 51 months following disease progression. The duration of first remission (REM1) was a key determinant of survival following disease progression and first salvage. Patients with a short REM1 (&lt; 3 years) had short survival irrespective of salvage therapy received; these patients have high unmet medical need and are good candidates for investigation of novel therapies. In patients with a long REM1 (≥ 3 years), salvage treatment with either repeat FCR or lenalidomide-based therapy results in subsequent median survival exceeding 5 years; for these patients, FCR rechallenge represents a reasonable standard of care.","author":[{"dropping-particle":"","family":"Tam","given":"Constantine S","non-dropping-particle":"","parse-names":false,"suffix":""},{"dropping-particle":"","family":"O'Brien","given":"Susan","non-dropping-particle":"","parse-names":false,"suffix":""},{"dropping-particle":"","family":"Plunkett","given":"William","non-dropping-particle":"","parse-names":false,"suffix":""},{"dropping-particle":"","family":"Wierda","given":"William","non-dropping-particle":"","parse-names":false,"suffix":""},{"dropping-particle":"","family":"Ferrajoli","given":"Alessandra","non-dropping-particle":"","parse-names":false,"suffix":""},{"dropping-particle":"","family":"Wang","given":"Xuemei","non-dropping-particle":"","parse-names":false,"suffix":""},{"dropping-particle":"","family":"Do","given":"Kim-Anh","non-dropping-particle":"","parse-names":false,"suffix":""},{"dropping-particle":"","family":"Cortes","given":"Jorge","non-dropping-particle":"","parse-names":false,"suffix":""},{"dropping-particle":"","family":"Khouri","given":"Issa","non-dropping-particle":"","parse-names":false,"suffix":""},{"dropping-particle":"","family":"Kantarjian","given":"Hagop","non-dropping-particle":"","parse-names":false,"suffix":""},{"dropping-particle":"","family":"Lerner","given":"Susan","non-dropping-particle":"","parse-names":false,"suffix":""},{"dropping-particle":"","family":"Keating","given":"Michael J","non-dropping-particle":"","parse-names":false,"suffix":""}],"container-title":"Blood","id":"ITEM-1","issued":{"date-parts":[["2014","10","3"]]},"page":"3059-3064","title":"Life After FCR: Outcomes of patients with chronic lymphocytic leukemia who progress after frontline treatment with Fludarabine, Cyclophosphamide and Rituximab.","type":"article-journal"},"uris":["http://www.mendeley.com/documents/?uuid=a8a14a85-cde0-3eba-85a7-ba3811c8fb3d"]},{"id":"ITEM-2","itemData":{"DOI":"10.1200/JCO.2010.33.8061","ISSN":"0732183X","abstract":"Purpose: The objective of this trial was to evaluate safety and efficacy of bendamustine combined with rituximab (BR) in patients with relapsed and/or refractory chronic lymphocytic leukemia (CLL). Patients and Methods: Seventy-eight patients, including 22 patients with fludarabine-refractory disease (28.2%) and 14 patients (17.9%) with deletion of 17p, received BR chemoimmunotherapy. Bendamustine was administered at a dose of 70 mg/m 2 on days 1 and 2 combined with rituximab 375 mg/m2 on day 0 of the first course and 500 mg/m2 on day 1 during subsequent courses for up to six courses. Results: On the basis of intent-to-treat analysis, the overall response rate was 59.0% (95% CI, 47.3% to 70.0%). Complete response, partial response, and nodular partial response were achieved in 9.0%, 47.4%, and 2.6% of patients, respectively. Overall response rate was 45.5% in fludarabine-refractory patients and 60.5% in fludarabine-sensitive patients. Among genetic subgroups, 92.3% of patients with del(11q), 100% with trisomy 12, 7.1% with del(17p), and 58.7% with unmutated IGHV status responded to treatment. After a median follow-up time of 24 months, the median event-free survival was 14.7 months. Severe infections occurred in 12.8% of patients. Grade 3 or 4 neutropenia, thrombocytopenia, and anemia were documented in 23.1%, 28.2%, and 16.6% of patients, respectively. Conclusion: Chemoimmunotherapy with BR is effective and safe in patients with relapsed CLL and has notable activity in fludarabine-refractory disease. Major but tolerable toxicities were myelosuppression and infections. These promising results encouraged us to initiate a further phase II trial evaluating the BR regimen in patients with previously untreated CLL. © 2011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Stilgenbauer","given":"Stephan","non-dropping-particle":"","parse-names":false,"suffix":""},{"dropping-particle":"","family":"Bahlo","given":"Jasmin","non-dropping-particle":"","parse-names":false,"suffix":""},{"dropping-particle":"","family":"Schweighofer","given":"Carmen D.","non-dropping-particle":"","parse-names":false,"suffix":""},{"dropping-particle":"","family":"Boẗtcher","given":"Sebastian","non-dropping-particle":"","parse-names":false,"suffix":""},{"dropping-particle":"","family":"Staib","given":"Peter","non-dropping-particle":"","parse-names":false,"suffix":""},{"dropping-particle":"","family":"Kiehl","given":"Michael","non-dropping-particle":"","parse-names":false,"suffix":""},{"dropping-particle":"","family":"Eckart","given":"Michael J.","non-dropping-particle":"","parse-names":false,"suffix":""},{"dropping-particle":"","family":"Kranz","given":"Gabriele","non-dropping-particle":"","parse-names":false,"suffix":""},{"dropping-particle":"","family":"Goede","given":"Valentin","non-dropping-particle":"","parse-names":false,"suffix":""},{"dropping-particle":"","family":"Elter","given":"Thomas","non-dropping-particle":"","parse-names":false,"suffix":""},{"dropping-particle":"","family":"Buḧler","given":"Andreas","non-dropping-particle":"","parse-names":false,"suffix":""},{"dropping-particle":"","family":"Winkler","given":"Dirk","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F.","non-dropping-particle":"","parse-names":false,"suffix":""},{"dropping-particle":"","family":"Hallek","given":"Michael","non-dropping-particle":"","parse-names":false,"suffix":""},{"dropping-particle":"","family":"Wendtner","given":"Clemens Martin","non-dropping-particle":"","parse-names":false,"suffix":""}],"container-title":"Journal of Clinical Oncology","id":"ITEM-2","issue":"26","issued":{"date-parts":[["2011","9","10"]]},"page":"3559-3566","title":"Bendamustine combined with rituximab in patients with relapsed and/or refractory chronic lymphocytic leukemia: A Multicenter Phase II trial of the German Chronic Lymphocytic Leukemia Study Group","type":"article-journal","volume":"29"},"uris":["http://www.mendeley.com/documents/?uuid=18c6272f-1cbf-3944-ad15-2b219806912b"]}],"mendeley":{"formattedCitation":"[54,55]","plainTextFormattedCitation":"[54,55]","previouslyFormattedCitation":"[54,55]"},"properties":{"noteIndex":0},"schema":"https://github.com/citation-style-language/schema/raw/master/csl-citation.json"}</w:instrText>
      </w:r>
      <w:r w:rsidR="000B0AC3" w:rsidRPr="00C348F4">
        <w:fldChar w:fldCharType="separate"/>
      </w:r>
      <w:r w:rsidR="00225D7F" w:rsidRPr="00225D7F">
        <w:rPr>
          <w:noProof/>
        </w:rPr>
        <w:t>[54,55]</w:t>
      </w:r>
      <w:r w:rsidR="000B0AC3" w:rsidRPr="00C348F4">
        <w:fldChar w:fldCharType="end"/>
      </w:r>
      <w:r w:rsidRPr="00C348F4">
        <w:t>.</w:t>
      </w:r>
    </w:p>
    <w:p w14:paraId="752F2959" w14:textId="25764166" w:rsidR="009B7DF7" w:rsidRDefault="0086213E" w:rsidP="00D61785">
      <w:pPr>
        <w:pStyle w:val="a4"/>
        <w:numPr>
          <w:ilvl w:val="0"/>
          <w:numId w:val="25"/>
        </w:numPr>
        <w:tabs>
          <w:tab w:val="left" w:pos="1134"/>
        </w:tabs>
        <w:spacing w:before="0"/>
      </w:pPr>
      <w:r w:rsidRPr="00C348F4">
        <w:t>И</w:t>
      </w:r>
      <w:r w:rsidR="004D7374" w:rsidRPr="00C348F4">
        <w:t>брутиниб</w:t>
      </w:r>
      <w:r w:rsidR="006D567B" w:rsidRPr="00C348F4">
        <w:t>**</w:t>
      </w:r>
      <w:r w:rsidR="004D7374" w:rsidRPr="00C348F4">
        <w:t xml:space="preserve"> </w:t>
      </w:r>
      <w:r w:rsidR="00AE69C4" w:rsidRPr="00C348F4">
        <w:rPr>
          <w:lang w:eastAsia="ru-RU"/>
        </w:rPr>
        <w:t xml:space="preserve">420 мг/сут (3 капсулы) внутрь 1 раз в день ежедневно в течение всего курса и далее (после завершения циклов </w:t>
      </w:r>
      <w:r w:rsidR="00AE69C4" w:rsidRPr="00C348F4">
        <w:rPr>
          <w:lang w:val="en-US" w:eastAsia="ru-RU"/>
        </w:rPr>
        <w:t>BR</w:t>
      </w:r>
      <w:r w:rsidR="00AE69C4" w:rsidRPr="00C348F4">
        <w:rPr>
          <w:lang w:eastAsia="ru-RU"/>
        </w:rPr>
        <w:t>) – до прогрессирования или развития неприемлемой токсичности</w:t>
      </w:r>
      <w:r w:rsidR="00AE69C4" w:rsidRPr="00C348F4">
        <w:t xml:space="preserve"> </w:t>
      </w:r>
      <w:r w:rsidRPr="00C348F4">
        <w:t>±</w:t>
      </w:r>
      <w:r w:rsidR="004D7374" w:rsidRPr="00C348F4">
        <w:t xml:space="preserve"> </w:t>
      </w:r>
      <w:r w:rsidR="001018E4" w:rsidRPr="00C348F4">
        <w:rPr>
          <w:lang w:val="en-US"/>
        </w:rPr>
        <w:t>BR</w:t>
      </w:r>
      <w:r w:rsidR="00AE69C4" w:rsidRPr="00C348F4">
        <w:t xml:space="preserve"> (</w:t>
      </w:r>
      <w:r w:rsidR="00E30AF3" w:rsidRPr="00C348F4">
        <w:t>#</w:t>
      </w:r>
      <w:r w:rsidR="00E30AF3" w:rsidRPr="00C348F4">
        <w:rPr>
          <w:rFonts w:eastAsia="Times New Roman"/>
          <w:lang w:eastAsia="ru-RU"/>
        </w:rPr>
        <w:t>бендамустин</w:t>
      </w:r>
      <w:r w:rsidR="00AE69C4" w:rsidRPr="00C348F4">
        <w:rPr>
          <w:rFonts w:eastAsia="Times New Roman"/>
          <w:lang w:eastAsia="ru-RU"/>
        </w:rPr>
        <w:t>** – 90 мг/м</w:t>
      </w:r>
      <w:r w:rsidR="00AE69C4" w:rsidRPr="00C348F4">
        <w:rPr>
          <w:rFonts w:eastAsia="Times New Roman"/>
          <w:vertAlign w:val="superscript"/>
          <w:lang w:eastAsia="ru-RU"/>
        </w:rPr>
        <w:t>2</w:t>
      </w:r>
      <w:r w:rsidR="00AE69C4" w:rsidRPr="00C348F4">
        <w:rPr>
          <w:rFonts w:eastAsia="Times New Roman"/>
          <w:lang w:eastAsia="ru-RU"/>
        </w:rPr>
        <w:t xml:space="preserve"> в/в кап., дни 2–3 цикла 1; дни 1, 2 циклов 2–6; </w:t>
      </w:r>
      <w:r w:rsidR="00E30AF3" w:rsidRPr="00C348F4">
        <w:rPr>
          <w:rFonts w:eastAsia="Times New Roman"/>
          <w:lang w:eastAsia="ru-RU"/>
        </w:rPr>
        <w:t>ритуксимаб</w:t>
      </w:r>
      <w:r w:rsidR="00AE69C4" w:rsidRPr="00C348F4">
        <w:rPr>
          <w:rFonts w:eastAsia="Times New Roman"/>
          <w:lang w:eastAsia="ru-RU"/>
        </w:rPr>
        <w:t>** – 375 мг/м</w:t>
      </w:r>
      <w:r w:rsidR="00AE69C4" w:rsidRPr="00C348F4">
        <w:rPr>
          <w:rFonts w:eastAsia="Times New Roman"/>
          <w:vertAlign w:val="superscript"/>
          <w:lang w:eastAsia="ru-RU"/>
        </w:rPr>
        <w:t>2</w:t>
      </w:r>
      <w:r w:rsidR="00AE69C4" w:rsidRPr="00C348F4">
        <w:rPr>
          <w:rFonts w:eastAsia="Times New Roman"/>
          <w:lang w:eastAsia="ru-RU"/>
        </w:rPr>
        <w:t xml:space="preserve"> в/в кап., день 1 цикла 1; 500 мг/м</w:t>
      </w:r>
      <w:r w:rsidR="00AE69C4" w:rsidRPr="00C348F4">
        <w:rPr>
          <w:rFonts w:eastAsia="Times New Roman"/>
          <w:vertAlign w:val="superscript"/>
          <w:lang w:eastAsia="ru-RU"/>
        </w:rPr>
        <w:t>2</w:t>
      </w:r>
      <w:r w:rsidR="00AE69C4" w:rsidRPr="00C348F4">
        <w:rPr>
          <w:rFonts w:eastAsia="Times New Roman"/>
          <w:lang w:eastAsia="ru-RU"/>
        </w:rPr>
        <w:t xml:space="preserve"> в/в кап. или </w:t>
      </w:r>
      <w:r w:rsidR="00492BEA">
        <w:rPr>
          <w:rFonts w:eastAsia="Times New Roman"/>
          <w:lang w:eastAsia="ru-RU"/>
        </w:rPr>
        <w:t xml:space="preserve">1600 </w:t>
      </w:r>
      <w:r w:rsidR="00EA3851">
        <w:rPr>
          <w:rFonts w:eastAsia="Times New Roman"/>
          <w:lang w:eastAsia="ru-RU"/>
        </w:rPr>
        <w:t>мг п/к</w:t>
      </w:r>
      <w:r w:rsidR="00AE69C4" w:rsidRPr="00C348F4">
        <w:rPr>
          <w:rFonts w:eastAsia="Times New Roman"/>
          <w:lang w:eastAsia="ru-RU"/>
        </w:rPr>
        <w:t xml:space="preserve">, день 1 циклов 2–6. Лечение возобновляется на 29-й день., всего 6 циклов) </w:t>
      </w:r>
      <w:r w:rsidR="00C848DD" w:rsidRPr="00C348F4">
        <w:t xml:space="preserve"> </w:t>
      </w:r>
      <w:r w:rsidR="000B0AC3" w:rsidRPr="00C348F4">
        <w:rPr>
          <w:lang w:val="en-US"/>
        </w:rPr>
        <w:fldChar w:fldCharType="begin" w:fldLock="1"/>
      </w:r>
      <w:r w:rsidR="00BA7FFC">
        <w:rPr>
          <w:lang w:val="en-US"/>
        </w:rPr>
        <w:instrText>ADDIN CSL_CITATION {"citationItems":[{"id":"ITEM-1","itemData":{"DOI":"10.1056/NEJMoa1400376","ISSN":"1533-4406","PMID":"24881631","abstract":"BACKGROUND In patients with chronic lymphoid leukemia (CLL) or small lymphocytic lymphoma (SLL), a short duration of response to therapy or adverse cytogenetic abnormalities are associated with a poor outcome. We evaluated the efficacy of ibrutinib, a covalent inhibitor of Bruton's tyrosine kinase, in patients at risk for a poor outcome. METHODS In this multicenter, open-label, phase 3 study, we randomly assigned 391 patients with relapsed or refractory CLL or SLL to receive daily ibrutinib or the anti-CD20 antibody ofatumumab. The primary end point was the duration of progression-free survival, with the duration of overall survival and the overall response rate as secondary end points. RESULTS At a median follow-up of 9.4 months, ibrutinib significantly improved progression-free survival; the median duration was not reached in the ibrutinib group (with a rate of progression-free survival of 88% at 6 months), as compared with a median of 8.1 months in the ofatumumab group (hazard ratio for progression or death in the ibrutinib group, 0.22; P&lt;0.001). Ibrutinib also significantly improved overall survival (hazard ratio for death, 0.43; P=0.005). At 12 months, the overall survival rate was 90% in the ibrutinib group and 81% in the ofatumumab group. The overall response rate was significantly higher in the ibrutinib group than in the ofatumumab group (42.6% vs. 4.1%, P&lt;0.001). An additional 20% of ibrutinib-treated patients had a partial response with lymphocytosis. Similar effects were observed regardless of whether patients had a chromosome 17p13.1 deletion or resistance to purine analogues. The most frequent nonhematologic adverse events were diarrhea, fatigue, pyrexia, and nausea in the ibrutinib group and fatigue, infusion-related reactions, and cough in the ofatumumab group. CONCLUSIONS Ibrutinib, as compared with ofatumumab, significantly improved progression-free survival, overall survival, and response rate among patients with previously treated CLL or SLL. (Funded by Pharmacyclics and Janssen; RESONATE ClinicalTrials.gov number, NCT01578707.).","author":[{"dropping-particle":"","family":"Byrd","given":"John C","non-dropping-particle":"","parse-names":false,"suffix":""},{"dropping-particle":"","family":"Brown","given":"Jennifer R","non-dropping-particle":"","parse-names":false,"suffix":""},{"dropping-particle":"","family":"O'Brien","given":"Susan","non-dropping-particle":"","parse-names":false,"suffix":""},{"dropping-particle":"","family":"Barrientos","given":"Jacqueline C","non-dropping-particle":"","parse-names":false,"suffix":""},{"dropping-particle":"","family":"Kay","given":"Neil E","non-dropping-particle":"","parse-names":false,"suffix":""},{"dropping-particle":"","family":"Reddy","given":"Nishitha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follow-up","type":"paper-conference"},"uris":["http://www.mendeley.com/documents/?uuid=28f9196e-f1f2-4f10-97ab-fb35902d5ed7"]},{"id":"ITEM-3","itemData":{"DOI":"10.1016/S1470-2045(15)00465-9","ISSN":"14745488","abstract":"Background: Most patients with chronic lymphocytic leukaemia or small lymphocytic lymphoma relapse after initial therapy. Bendamustine plus rituximab is often used in the relapsed or refractory setting. We assessed the efficacy and safety of adding ibrutinib, an oral covalent inhibitor of Bruton's tyrosine kinase (BTK), to bendamustine plus rituximab in patients with previously treated chronic lymphocytic leukaemia or small lymphocytic lymphoma. Methods: The HELIOS trial was an international, double-blind, placebo-controlled, phase 3 study in adult patients (≥18 years of age) who had active chronic lymphocytic leukaemia or small lymphocytic lymphoma with measurable lymph node disease (&gt;1·5 cm) by CT scan, and had relapsed or refractory disease following one or more previous lines of systemic therapy consisting of at least two cycles of a chemotherapy-containing regimen, an Eastern Cooperative Oncology Group (ECOG) performance status of 0-1, and adequate bone marrow, liver, and kidney function. Patients with del(17p) were excluded because of known poor response to bendamustine plus rituximab. Patients who had received previous treatment with ibrutinib or other BTK inhibitors, refractory disease or relapse within 24 months with a previous bendamustine-containing regimen, or haemopoietic stem-cell transplant were also excluded. Patients were randomly assigned (1:1) by a web-based system to receive bendamustine plus rituximab given in cycles of 4 weeks' duration (bendamustine: 70 mg/m2 intravenously on days 2-3 in cycle 1, and days 1-2 in cycles 2-6; rituximab: 375 mg/m2 on day 1 of cycle 1, and 500 mg/m2 on day 1 of cycles 2-6 for a maximum of six cycles) with either ibrutinib (420 mg daily orally) or placebo until disease progression or unacceptable toxicity. Patients were stratified according to whether they were refractory to purine analogues and by number of previous lines of therapy. The primary endpoint was independent review committee (IRC)-assessed progression-free survival. Crossover to ibrutinib was permitted for patients in the placebo group with IRC-confirmed disease progression. Analysis was by intention-to-treat and is continuing for further long-term follow-up. The trial is registered with ClinicalTrials.gov, number NCT01611090. Findings: Between Sept 19, 2012, and Jan 21, 2014, 578 eligible patients were randomly assigned to ibrutinib or placebo in combination with bendamustine plus rituximab (289 in each group). The primary endpoint was me…","author":[{"dropping-particle":"","family":"Chanan-Khan","given":"Asher","non-dropping-particle":"","parse-names":false,"suffix":""},{"dropping-particle":"","family":"Cramer","given":"Paula","non-dropping-particle":"","parse-names":false,"suffix":""},{"dropping-particle":"","family":"Demirkan","given":"Fatih","non-dropping-particle":"","parse-names":false,"suffix":""},{"dropping-particle":"","family":"Fraser","given":"Graeme","non-dropping-particle":"","parse-names":false,"suffix":""},{"dropping-particle":"","family":"Silva","given":"Rodrigo Santucci","non-dropping-particle":"","parse-names":false,"suffix":""},{"dropping-particle":"","family":"Grosicki","given":"Sebastian","non-dropping-particle":"","parse-names":false,"suffix":""},{"dropping-particle":"","family":"Pristupa","given":"Aleksander","non-dropping-particle":"","parse-names":false,"suffix":""},{"dropping-particle":"","family":"Janssens","given":"Ann","non-dropping-particle":"","parse-names":false,"suffix":""},{"dropping-particle":"","family":"Mayer","given":"Jiri","non-dropping-particle":"","parse-names":false,"suffix":""},{"dropping-particle":"","family":"Bartlett","given":"Nancy L.","non-dropping-particle":"","parse-names":false,"suffix":""},{"dropping-particle":"","family":"Dilhuydy","given":"Marie Sarah","non-dropping-particle":"","parse-names":false,"suffix":""},{"dropping-particle":"","family":"Pylypenko","given":"Halyna","non-dropping-particle":"","parse-names":false,"suffix":""},{"dropping-particle":"","family":"Loscertales","given":"Javier","non-dropping-particle":"","parse-names":false,"suffix":""},{"dropping-particle":"","family":"Avigdor","given":"Abraham","non-dropping-particle":"","parse-names":false,"suffix":""},{"dropping-particle":"","family":"Rule","given":"Simon","non-dropping-particle":"","parse-names":false,"suffix":""},{"dropping-particle":"","family":"Villa","given":"Diego","non-dropping-particle":"","parse-names":false,"suffix":""},{"dropping-particle":"","family":"Samoilova","given":"Olga","non-dropping-particle":"","parse-names":false,"suffix":""},{"dropping-particle":"","family":"Panagiotidis","given":"Panagiots","non-dropping-particle":"","parse-names":false,"suffix":""},{"dropping-particle":"","family":"Goy","given":"Andre","non-dropping-particle":"","parse-names":false,"suffix":""},{"dropping-particle":"","family":"Mato","given":"Anthony","non-dropping-particle":"","parse-names":false,"suffix":""},{"dropping-particle":"","family":"Pavlovsky","given":"Miguel A.","non-dropping-particle":"","parse-names":false,"suffix":""},{"dropping-particle":"","family":"Karlsson","given":"Claes","non-dropping-particle":"","parse-names":false,"suffix":""},{"dropping-particle":"","family":"Mahler","given":"Michelle","non-dropping-particle":"","parse-names":false,"suffix":""},{"dropping-particle":"","family":"Salman","given":"Mariya","non-dropping-particle":"","parse-names":false,"suffix":""},{"dropping-particle":"","family":"Sun","given":"Steven","non-dropping-particle":"","parse-names":false,"suffix":""},{"dropping-particle":"","family":"Phelps","given":"Charles","non-dropping-particle":"","parse-names":false,"suffix":""},{"dropping-particle":"","family":"Balasubramanian","given":"Sriram","non-dropping-particle":"","parse-names":false,"suffix":""},{"dropping-particle":"","family":"Howes","given":"Angela","non-dropping-particle":"","parse-names":false,"suffix":""},{"dropping-particle":"","family":"Hallek","given":"Michael","non-dropping-particle":"","parse-names":false,"suffix":""}],"container-title":"The Lancet Oncology","id":"ITEM-3","issue":"2","issued":{"date-parts":[["2016","2","1"]]},"page":"200-211","publisher":"Lancet Publishing Group","title":"Ibrutinib combined with bendamustine and rituximab compared with placebo, bendamustine, and rituximab for previously treated chronic lymphocytic leukaemia or small lymphocytic lymphoma (HELIOS): A randomised, double-blind, phase 3 study","type":"article-journal","volume":"17"},"uris":["http://www.mendeley.com/documents/?uuid=2ca143e0-3f1a-3678-ac7a-d4390983ad33"]},{"id":"ITEM-4","itemData":{"author":[{"dropping-particle":"","family":"Hallek","given":"M","non-dropping-particle":"","parse-names":false,"suffix":""},{"dropping-particle":"","family":"Fraser","given":"G","non-dropping-particle":"","parse-names":false,"suffix":""},{"dropping-particle":"","family":"Cramer","given":"P","non-dropping-particle":"","parse-names":false,"suffix":""},{"dropping-particle":"","family":"Demirkan","given":"F","non-dropping-particle":"","parse-names":false,"suffix":""},{"dropping-particle":"","family":"Silva","given":"RS","non-dropping-particle":"","parse-names":false,"suffix":""},{"dropping-particle":"","family":"Grosicki","given":"S","non-dropping-particle":"","parse-names":false,"suffix":""},{"dropping-particle":"","family":"Janssens","given":"A","non-dropping-particle":"","parse-names":false,"suffix":""},{"dropping-particle":"","family":"Pristupa","given":"A","non-dropping-particle":"","parse-names":false,"suffix":""},{"dropping-particle":"","family":"Mayer","given":"J","non-dropping-particle":"","parse-names":false,"suffix":""},{"dropping-particle":"","family":"Dilhuydy","given":"MS","non-dropping-particle":"","parse-names":false,"suffix":""},{"dropping-particle":"","family":"Loscertales","given":"J","non-dropping-particle":"","parse-names":false,"suffix":""},{"dropping-particle":"","family":"Bartlett","given":"N","non-dropping-particle":"","parse-names":false,"suffix":""},{"dropping-particle":"","family":"Avigdor","given":"A","non-dropping-particle":"","parse-names":false,"suffix":""},{"dropping-particle":"","family":"Rule","given":"S","non-dropping-particle":"","parse-names":false,"suffix":""},{"dropping-particle":"","family":"Sun","given":"S","non-dropping-particle":"","parse-names":false,"suffix":""},{"dropping-particle":"","family":"Mahler","given":"M","non-dropping-particle":"","parse-names":false,"suffix":""},{"dropping-particle":"","family":"Phelps","given":"C","non-dropping-particle":"","parse-names":false,"suffix":""},{"dropping-particle":"","family":"Salman","given":"M","non-dropping-particle":"","parse-names":false,"suffix":""},{"dropping-particle":"","family":"Howes","given":"A","non-dropping-particle":"","parse-names":false,"suffix":""},{"dropping-particle":"","family":"Chanan-Khan","given":"A","non-dropping-particle":"","parse-names":false,"suffix":""}],"container-title":"Leukemia &amp; lymphoma","id":"ITEM-4","issued":{"date-parts":[["2017"]]},"page":"192-194","title":"Three-year follow-up of patients with previously treated chronic lymphocytic leukemia (CLL) or small lymphocytic lymphoma (SLL) receiving ibrutinib plus bendamustine and rituximab (BR) versus placebo plus BR: an update of the HELIOS study.","type":"article-journal","volume":"58"},"uris":["http://www.mendeley.com/documents/?uuid=3043d3aa-0ac6-43d0-8224-85a252bb08e4"]}],"mendeley":{"formattedCitation":"[56–59]","plainTextFormattedCitation":"[56–59]","previouslyFormattedCitation":"[56–59]"},"properties":{"noteIndex":0},"schema":"https://github.com/citation-style-language/schema/raw/master/csl-citation.json"}</w:instrText>
      </w:r>
      <w:r w:rsidR="000B0AC3" w:rsidRPr="00C348F4">
        <w:rPr>
          <w:lang w:val="en-US"/>
        </w:rPr>
        <w:fldChar w:fldCharType="separate"/>
      </w:r>
      <w:r w:rsidR="00225D7F" w:rsidRPr="00225D7F">
        <w:rPr>
          <w:noProof/>
        </w:rPr>
        <w:t>[56–59]</w:t>
      </w:r>
      <w:r w:rsidR="000B0AC3" w:rsidRPr="00C348F4">
        <w:rPr>
          <w:lang w:val="en-US"/>
        </w:rPr>
        <w:fldChar w:fldCharType="end"/>
      </w:r>
      <w:r w:rsidRPr="00C348F4">
        <w:t>.</w:t>
      </w:r>
    </w:p>
    <w:p w14:paraId="50593687" w14:textId="5360A37A" w:rsidR="007C1EA1" w:rsidRPr="00C348F4" w:rsidRDefault="007C1EA1" w:rsidP="00D61785">
      <w:pPr>
        <w:pStyle w:val="a4"/>
        <w:numPr>
          <w:ilvl w:val="0"/>
          <w:numId w:val="25"/>
        </w:numPr>
        <w:tabs>
          <w:tab w:val="left" w:pos="1134"/>
        </w:tabs>
        <w:spacing w:before="0"/>
      </w:pPr>
      <w:r>
        <w:t>Акалабрутиниб 100 мг (1 капсула) 2 раза в день в монотерапии независимо от приема пищи до прогрессии заболевания или развития неприемлемой токсичности</w:t>
      </w:r>
      <w:r w:rsidRPr="00751CE0">
        <w:t xml:space="preserve"> </w:t>
      </w:r>
      <w:r>
        <w:fldChar w:fldCharType="begin" w:fldLock="1"/>
      </w:r>
      <w:r w:rsidR="00BA7FFC">
        <w:instrText>ADDIN CSL_CITATION {"citationItems":[{"id":"ITEM-1","itemData":{"DOI":"10.1200/jco.19.03355","ISSN":"0732-183X","PMID":"32459600","abstract":"PURPOSE Acalabrutinib, a highly selective, potent, Bruton tyrosine kinase inhibitor, was evaluated in this global, multicenter, randomized, open-label, phase III study in patients with relapsed/refractory (R/R) chronic lymphocytic leukemia (CLL). METHODS Eligible patients, aged ≥ 18 years with R/R CLL, were randomly assigned 1:1 centrally and stratified by del(17p) status, Eastern Cooperative Oncology Group performance status score, and number of prior lines of therapy. Patients received acalabrutinib monotherapy or investigator's choice (idelalisib plus rituximab [I-R] or bendamustine plus rituximab [B-R]). The primary end point was progression-free survival (PFS) assessed by an independent review committee (IRC) in the intent-to-treat population. Key secondary end points included IRC-assessed overall response rate, overall survival, and safety. RESULTS From February 21, 2017, to January 17, 2018, a total of 398 patients were assessed for eligibility; 310 patients were randomly assigned to acalabrutinib monotherapy (n = 155) or investigator's choice (n = 155; I-R, n = 119; B-R, n = 36). Patients had received a median of two prior therapies (range, 1-10). After a median follow-up of 16.1 months (range, 0.03-22.4 months), median PFS was significantly longer with acalabrutinib monotherapy (PFS not reached) compared with investigator's choice (16.5 months [95% CI, 14.0 to 17.1 months]; hazard ratio, 0.31 [95% CI, 0.20 to 0.49]; P &lt; .0001). Estimated 12-month PFS was 88% (95% CI, 81% to 92%) for acalabrutinib and 68% (95% CI, 59% to 75%) for investigator's choice. Serious adverse events occurred in 29% of patients (n = 44 of 154) treated with acalabrutinib monotherapy, 56% (n = 66 of 118) with I-R, and 26% (n = 9 of 35) with B-R. Deaths occurred in 10% (n = 15 of 154), 11% (n = 13 of 118), and 14% (n = 5 of 35) of patients receiving acalabrutinib monotherapy, I-R, and B-R, respectively. CONCLUSION Acalabrutinib significantly improved PFS compared with I-R or B-R and has an acceptable safety profile in patients with R/R CLL.","author":[{"dropping-particle":"","family":"Ghia","given":"Paolo","non-dropping-particle":"","parse-names":false,"suffix":""},{"dropping-particle":"","family":"Pluta","given":"Andrzej","non-dropping-particle":"","parse-names":false,"suffix":""},{"dropping-particle":"","family":"Wach","given":"Malgorzata","non-dropping-particle":"","parse-names":false,"suffix":""},{"dropping-particle":"","family":"Lysak","given":"Daniel","non-dropping-particle":"","parse-names":false,"suffix":""},{"dropping-particle":"","family":"Kozak","given":"Tomas","non-dropping-particle":"","parse-names":false,"suffix":""},{"dropping-particle":"","family":"Simkovic","given":"Martin","non-dropping-particle":"","parse-names":false,"suffix":""},{"dropping-particle":"","family":"Kaplan","given":"Polina","non-dropping-particle":"","parse-names":false,"suffix":""},{"dropping-particle":"","family":"Kraychok","given":"Iryna","non-dropping-particle":"","parse-names":false,"suffix":""},{"dropping-particle":"","family":"Illes","given":"Arpad","non-dropping-particle":"","parse-names":false,"suffix":""},{"dropping-particle":"","family":"la Serna","given":"Javier","non-dropping-particle":"de","parse-names":false,"suffix":""},{"dropping-particle":"","family":"Dolan","given":"Sean","non-dropping-particle":"","parse-names":false,"suffix":""},{"dropping-particle":"","family":"Campbell","given":"Phillip","non-dropping-particle":"","parse-names":false,"suffix":""},{"dropping-particle":"","family":"Musuraca","given":"Gerardo","non-dropping-particle":"","parse-names":false,"suffix":""},{"dropping-particle":"","family":"Jacob","given":"Abraham","non-dropping-particle":"","parse-names":false,"suffix":""},{"dropping-particle":"","family":"Avery","given":"Eric","non-dropping-particle":"","parse-names":false,"suffix":""},{"dropping-particle":"","family":"Lee","given":"Jae Hoon","non-dropping-particle":"","parse-names":false,"suffix":""},{"dropping-particle":"","family":"Liang","given":"Wei","non-dropping-particle":"","parse-names":false,"suffix":""},{"dropping-particle":"","family":"Patel","given":"Priti","non-dropping-particle":"","parse-names":false,"suffix":""},{"dropping-particle":"","family":"Quah","given":"Cheng","non-dropping-particle":"","parse-names":false,"suffix":""},{"dropping-particle":"","family":"Jurczak","given":"Wojciech","non-dropping-particle":"","parse-names":false,"suffix":""}],"container-title":"Journal of Clinical Oncology","id":"ITEM-1","issue":"25","issued":{"date-parts":[["2020","5","27"]]},"page":"JCO.19.03355","publisher":"American Society of Clinical Oncology (ASCO)","title":"ASCEND: Phase III, Randomized Trial of Acalabrutinib Versus Idelalisib Plus Rituximab or Bendamustine Plus Rituximab in Relapsed or Refractory Chronic Lymphocytic Leukemia","type":"article-journal","volume":"38"},"uris":["http://www.mendeley.com/documents/?uuid=7b0b0e40-b8c2-3331-b359-0041dc15f976"]}],"mendeley":{"formattedCitation":"[60]","plainTextFormattedCitation":"[60]","previouslyFormattedCitation":"[60]"},"properties":{"noteIndex":0},"schema":"https://github.com/citation-style-language/schema/raw/master/csl-citation.json"}</w:instrText>
      </w:r>
      <w:r>
        <w:fldChar w:fldCharType="separate"/>
      </w:r>
      <w:r w:rsidR="00225D7F" w:rsidRPr="00225D7F">
        <w:rPr>
          <w:noProof/>
        </w:rPr>
        <w:t>[60]</w:t>
      </w:r>
      <w:r>
        <w:fldChar w:fldCharType="end"/>
      </w:r>
      <w:r w:rsidRPr="00751CE0">
        <w:t>.</w:t>
      </w:r>
    </w:p>
    <w:p w14:paraId="2D522B93" w14:textId="0438ABE3" w:rsidR="004D7374" w:rsidRPr="00C348F4" w:rsidRDefault="0086213E" w:rsidP="00D61785">
      <w:pPr>
        <w:pStyle w:val="a4"/>
        <w:numPr>
          <w:ilvl w:val="0"/>
          <w:numId w:val="25"/>
        </w:numPr>
        <w:tabs>
          <w:tab w:val="left" w:pos="1134"/>
        </w:tabs>
        <w:spacing w:before="0"/>
      </w:pPr>
      <w:r w:rsidRPr="00C348F4">
        <w:t>К</w:t>
      </w:r>
      <w:r w:rsidR="004D7374" w:rsidRPr="00C348F4">
        <w:t>омбинация венетоклакса</w:t>
      </w:r>
      <w:r w:rsidR="00E0050E" w:rsidRPr="00932BCF">
        <w:t>**</w:t>
      </w:r>
      <w:r w:rsidR="00AE69C4" w:rsidRPr="00C348F4">
        <w:t xml:space="preserve"> </w:t>
      </w:r>
      <w:r w:rsidR="00AE69C4" w:rsidRPr="00C348F4">
        <w:rPr>
          <w:lang w:eastAsia="ru-RU"/>
        </w:rPr>
        <w:t xml:space="preserve">20 мг/сут (нед. 1), 50 мг/сут (нед. 2), 100 мг/сут (нед. 3), 200 мг/сут (нед. 4), 400 мг/сут (нед. 5 и далее), </w:t>
      </w:r>
      <w:r w:rsidR="00AE69C4" w:rsidRPr="00C348F4">
        <w:rPr>
          <w:szCs w:val="24"/>
        </w:rPr>
        <w:t>прием в течение 24 мес</w:t>
      </w:r>
      <w:r w:rsidR="00AE69C4">
        <w:rPr>
          <w:szCs w:val="24"/>
        </w:rPr>
        <w:t>.</w:t>
      </w:r>
      <w:r w:rsidR="00AE69C4" w:rsidRPr="0040662F">
        <w:rPr>
          <w:szCs w:val="24"/>
        </w:rPr>
        <w:t xml:space="preserve"> начиная с 1-го дня 1-го цикла лечения ритуксимабом</w:t>
      </w:r>
      <w:r w:rsidR="00AE69C4" w:rsidRPr="00397360">
        <w:rPr>
          <w:szCs w:val="24"/>
        </w:rPr>
        <w:t>**</w:t>
      </w:r>
      <w:r w:rsidR="00AE69C4" w:rsidRPr="0040662F">
        <w:rPr>
          <w:szCs w:val="24"/>
        </w:rPr>
        <w:t xml:space="preserve"> </w:t>
      </w:r>
      <w:r w:rsidR="004D7374">
        <w:t>и ритуксимаба</w:t>
      </w:r>
      <w:r w:rsidR="006D567B" w:rsidRPr="00E02ECB">
        <w:t>**</w:t>
      </w:r>
      <w:r w:rsidR="00AE69C4">
        <w:t xml:space="preserve"> </w:t>
      </w:r>
      <w:r w:rsidR="00AE69C4" w:rsidRPr="0040662F">
        <w:rPr>
          <w:lang w:eastAsia="ru-RU"/>
        </w:rPr>
        <w:t>375 мг/м</w:t>
      </w:r>
      <w:r w:rsidR="00AE69C4" w:rsidRPr="0040662F">
        <w:rPr>
          <w:vertAlign w:val="superscript"/>
          <w:lang w:eastAsia="ru-RU"/>
        </w:rPr>
        <w:t>2</w:t>
      </w:r>
      <w:r w:rsidR="00AE69C4" w:rsidRPr="0040662F">
        <w:rPr>
          <w:lang w:eastAsia="ru-RU"/>
        </w:rPr>
        <w:t xml:space="preserve"> в/в кап. через 1 нед. после </w:t>
      </w:r>
      <w:r w:rsidR="00AE69C4" w:rsidRPr="00C348F4">
        <w:rPr>
          <w:lang w:eastAsia="ru-RU"/>
        </w:rPr>
        <w:t>достижения дозы венетоклакса</w:t>
      </w:r>
      <w:r w:rsidR="00E0050E" w:rsidRPr="00932BCF">
        <w:t>**</w:t>
      </w:r>
      <w:r w:rsidR="00AE69C4" w:rsidRPr="00C348F4">
        <w:rPr>
          <w:lang w:eastAsia="ru-RU"/>
        </w:rPr>
        <w:t xml:space="preserve"> 400 мг/сут, далее – 500 мг/м</w:t>
      </w:r>
      <w:r w:rsidR="00AE69C4" w:rsidRPr="00C348F4">
        <w:rPr>
          <w:vertAlign w:val="superscript"/>
          <w:lang w:eastAsia="ru-RU"/>
        </w:rPr>
        <w:t>2</w:t>
      </w:r>
      <w:r w:rsidR="00AE69C4" w:rsidRPr="00C348F4">
        <w:rPr>
          <w:lang w:eastAsia="ru-RU"/>
        </w:rPr>
        <w:t xml:space="preserve"> в/в кап. или </w:t>
      </w:r>
      <w:r w:rsidR="00492BEA">
        <w:rPr>
          <w:lang w:eastAsia="ru-RU"/>
        </w:rPr>
        <w:t xml:space="preserve">1600 </w:t>
      </w:r>
      <w:r w:rsidR="00EA3851">
        <w:rPr>
          <w:lang w:eastAsia="ru-RU"/>
        </w:rPr>
        <w:t>мг п/к</w:t>
      </w:r>
      <w:r w:rsidR="00AE69C4" w:rsidRPr="00C348F4">
        <w:rPr>
          <w:lang w:eastAsia="ru-RU"/>
        </w:rPr>
        <w:t xml:space="preserve"> ежемесячно, всего 6 введений</w:t>
      </w:r>
      <w:r w:rsidR="004D7374" w:rsidRPr="00C348F4">
        <w:t xml:space="preserve"> </w:t>
      </w:r>
      <w:r w:rsidR="000B0AC3" w:rsidRPr="00C348F4">
        <w:fldChar w:fldCharType="begin" w:fldLock="1"/>
      </w:r>
      <w:r w:rsidR="00BA7FFC">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[61]","plainTextFormattedCitation":"[61]","previouslyFormattedCitation":"[61]"},"properties":{"noteIndex":0},"schema":"https://github.com/citation-style-language/schema/raw/master/csl-citation.json"}</w:instrText>
      </w:r>
      <w:r w:rsidR="000B0AC3" w:rsidRPr="00C348F4">
        <w:fldChar w:fldCharType="separate"/>
      </w:r>
      <w:r w:rsidR="00225D7F" w:rsidRPr="00225D7F">
        <w:rPr>
          <w:noProof/>
        </w:rPr>
        <w:t>[61]</w:t>
      </w:r>
      <w:r w:rsidR="000B0AC3" w:rsidRPr="00C348F4">
        <w:fldChar w:fldCharType="end"/>
      </w:r>
      <w:r w:rsidR="004D7374" w:rsidRPr="00C348F4">
        <w:t xml:space="preserve">. </w:t>
      </w:r>
    </w:p>
    <w:p w14:paraId="445E8423" w14:textId="77777777" w:rsidR="004D7374" w:rsidRPr="00C348F4" w:rsidRDefault="004D7374" w:rsidP="005D3BBD">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А</w:t>
      </w:r>
      <w:r w:rsidR="006919DC" w:rsidRPr="00C348F4">
        <w:rPr>
          <w:b/>
          <w:spacing w:val="-4"/>
        </w:rPr>
        <w:t xml:space="preserve"> </w:t>
      </w:r>
      <w:r w:rsidRPr="00C348F4">
        <w:rPr>
          <w:b/>
          <w:spacing w:val="-4"/>
        </w:rPr>
        <w:t xml:space="preserve">(уровень достоверности </w:t>
      </w:r>
      <w:r w:rsidR="00C20509" w:rsidRPr="00C348F4">
        <w:rPr>
          <w:b/>
          <w:spacing w:val="-4"/>
        </w:rPr>
        <w:t xml:space="preserve">доказательств – </w:t>
      </w:r>
      <w:r w:rsidR="001E3D61" w:rsidRPr="00C348F4">
        <w:rPr>
          <w:b/>
          <w:spacing w:val="-4"/>
        </w:rPr>
        <w:t>2</w:t>
      </w:r>
      <w:r w:rsidRPr="00C348F4">
        <w:rPr>
          <w:b/>
          <w:spacing w:val="-4"/>
        </w:rPr>
        <w:t>)</w:t>
      </w:r>
      <w:r w:rsidR="00C740F1" w:rsidRPr="00C348F4">
        <w:rPr>
          <w:b/>
          <w:spacing w:val="-4"/>
        </w:rPr>
        <w:t>.</w:t>
      </w:r>
    </w:p>
    <w:p w14:paraId="3F583F2F" w14:textId="2A4678A1" w:rsidR="00B9695E" w:rsidRDefault="00A81638" w:rsidP="005D3BBD">
      <w:pPr>
        <w:ind w:firstLine="426"/>
        <w:contextualSpacing/>
        <w:rPr>
          <w:i/>
        </w:rPr>
      </w:pPr>
      <w:r w:rsidRPr="00C348F4">
        <w:rPr>
          <w:b/>
        </w:rPr>
        <w:t>Комментарии</w:t>
      </w:r>
      <w:r w:rsidR="004D7374" w:rsidRPr="00C348F4">
        <w:rPr>
          <w:b/>
        </w:rPr>
        <w:t>:</w:t>
      </w:r>
      <w:r w:rsidR="00C848DD" w:rsidRPr="00C348F4">
        <w:rPr>
          <w:b/>
        </w:rPr>
        <w:t xml:space="preserve"> </w:t>
      </w:r>
      <w:r w:rsidR="00C848DD" w:rsidRPr="00C348F4">
        <w:rPr>
          <w:i/>
        </w:rPr>
        <w:t xml:space="preserve">у </w:t>
      </w:r>
      <w:r w:rsidR="004D7374" w:rsidRPr="00C348F4">
        <w:rPr>
          <w:i/>
        </w:rPr>
        <w:t xml:space="preserve">пациентов с поздним рецидивом выбор терапии зависит от вида, результатов и переносимости последней терапии, общего состояния и коморбидности пациента, а также предпочтений и возможностей клиники. Повторные флударабин-содержащие курсы возможны при условии, что при проведении этой терапии в </w:t>
      </w:r>
      <w:r w:rsidR="004E40A4" w:rsidRPr="00C348F4">
        <w:rPr>
          <w:i/>
        </w:rPr>
        <w:t>качестве 1-й линии не наблюдались явления</w:t>
      </w:r>
      <w:r w:rsidR="004D7374" w:rsidRPr="00C348F4">
        <w:rPr>
          <w:i/>
        </w:rPr>
        <w:t xml:space="preserve"> значительн</w:t>
      </w:r>
      <w:r w:rsidR="004E40A4" w:rsidRPr="00C348F4">
        <w:rPr>
          <w:i/>
        </w:rPr>
        <w:t>ой</w:t>
      </w:r>
      <w:r w:rsidR="004D7374" w:rsidRPr="00C348F4">
        <w:rPr>
          <w:i/>
        </w:rPr>
        <w:t xml:space="preserve"> токсичност</w:t>
      </w:r>
      <w:r w:rsidR="004E40A4" w:rsidRPr="00C348F4">
        <w:rPr>
          <w:i/>
        </w:rPr>
        <w:t>и</w:t>
      </w:r>
      <w:r w:rsidR="004D7374" w:rsidRPr="00C348F4">
        <w:rPr>
          <w:i/>
        </w:rPr>
        <w:t xml:space="preserve"> – тяжелые затяжные цитопении, повлекшие за собой многомесячные перерывы в лечении</w:t>
      </w:r>
      <w:r w:rsidR="004E40A4" w:rsidRPr="00C348F4">
        <w:rPr>
          <w:i/>
        </w:rPr>
        <w:t>,</w:t>
      </w:r>
      <w:r w:rsidR="004D7374" w:rsidRPr="00C348F4">
        <w:rPr>
          <w:i/>
        </w:rPr>
        <w:t xml:space="preserve"> развитие тяжелых инфекционных осложнений. В качестве терапии </w:t>
      </w:r>
      <w:r w:rsidR="004E40A4" w:rsidRPr="00C348F4">
        <w:rPr>
          <w:i/>
        </w:rPr>
        <w:t>2-й</w:t>
      </w:r>
      <w:r w:rsidR="004D7374" w:rsidRPr="00C348F4">
        <w:rPr>
          <w:i/>
        </w:rPr>
        <w:t xml:space="preserve"> линии можно </w:t>
      </w:r>
      <w:r w:rsidR="004E40A4" w:rsidRPr="00C348F4">
        <w:rPr>
          <w:i/>
        </w:rPr>
        <w:t>использовать</w:t>
      </w:r>
      <w:r w:rsidR="004D7374" w:rsidRPr="00C348F4">
        <w:rPr>
          <w:i/>
        </w:rPr>
        <w:t xml:space="preserve"> т</w:t>
      </w:r>
      <w:r w:rsidR="004E40A4" w:rsidRPr="00C348F4">
        <w:rPr>
          <w:i/>
        </w:rPr>
        <w:t>у</w:t>
      </w:r>
      <w:r w:rsidR="004D7374" w:rsidRPr="00C348F4">
        <w:rPr>
          <w:i/>
        </w:rPr>
        <w:t xml:space="preserve"> же схем</w:t>
      </w:r>
      <w:r w:rsidR="004E40A4" w:rsidRPr="00C348F4">
        <w:rPr>
          <w:i/>
        </w:rPr>
        <w:t>у</w:t>
      </w:r>
      <w:r w:rsidR="004D7374" w:rsidRPr="00C348F4">
        <w:rPr>
          <w:i/>
        </w:rPr>
        <w:t xml:space="preserve">. У </w:t>
      </w:r>
      <w:r w:rsidR="0002391B" w:rsidRPr="00C348F4">
        <w:rPr>
          <w:i/>
        </w:rPr>
        <w:t>пациентов</w:t>
      </w:r>
      <w:r w:rsidR="004D7374" w:rsidRPr="00C348F4">
        <w:rPr>
          <w:i/>
        </w:rPr>
        <w:t xml:space="preserve"> с цитопениями может быть эффективен режим R-HDMP </w:t>
      </w:r>
      <w:r w:rsidR="004D7374" w:rsidRPr="00C348F4">
        <w:rPr>
          <w:i/>
        </w:rPr>
        <w:lastRenderedPageBreak/>
        <w:t>(ритуксимаб</w:t>
      </w:r>
      <w:r w:rsidR="00AD6066" w:rsidRPr="00C348F4">
        <w:rPr>
          <w:i/>
        </w:rPr>
        <w:t>**</w:t>
      </w:r>
      <w:r w:rsidR="004D7374" w:rsidRPr="00C348F4">
        <w:rPr>
          <w:i/>
        </w:rPr>
        <w:t xml:space="preserve"> в сочетании с высокими дозами </w:t>
      </w:r>
      <w:r w:rsidR="00362D90" w:rsidRPr="00C348F4">
        <w:rPr>
          <w:bCs/>
          <w:i/>
          <w:szCs w:val="24"/>
          <w:shd w:val="clear" w:color="auto" w:fill="FFFFFF"/>
        </w:rPr>
        <w:t>кортикостероидов для системного использования</w:t>
      </w:r>
      <w:r w:rsidR="004D7374" w:rsidRPr="00C348F4">
        <w:rPr>
          <w:i/>
        </w:rPr>
        <w:t>)</w:t>
      </w:r>
      <w:r w:rsidR="00055701" w:rsidRPr="0008146B">
        <w:rPr>
          <w:i/>
        </w:rPr>
        <w:t xml:space="preserve"> </w:t>
      </w:r>
      <w:r w:rsidR="00055701">
        <w:rPr>
          <w:i/>
        </w:rPr>
        <w:fldChar w:fldCharType="begin" w:fldLock="1"/>
      </w:r>
      <w:r w:rsidR="00BA7FFC">
        <w:rPr>
          <w:i/>
        </w:rPr>
        <w:instrText>ADDIN CSL_CITATION {"citationItems":[{"id":"ITEM-1","itemData":{"DOI":"10.1038/leu.2009.133","ISSN":"14765551","abstract":"We observed that high-dose methylprednisolone (HDMP) and rituximab was well tolerated and had promising activity when used in combination to treat patients with fludarabine-refractory chronic lymphocytic leukemia (CLL). This prompted us to evaluate the use of these agents in frontline therapy. A total of 28 patients with a median age of 65 years enrolled in this study. Patients received HDMP at 1g/m2 each day for 3 days during each of the three 4-week cycles together with rituximab and prophylactic antimicrobial therapy. The treatment was well tolerated with few adverse events of grade III or higher. The overall response rate was 96% (N=27). Nine patients (32%) achieved a complete remission (CR), two of which were without detectable minimal residual disease (MRD). Six patients with MRD received consolidation with alemtuzumab; five of these patients achieved an MRD-negative CR. With over 3 years of follow-up median progression-free survival was 30.3 months with only 39% of patients requiring additional therapy, and an overall survival was 96%. This study demonstrates that HDMP and rituximab is an effective nonmyelosuppressive treatment combination for patients with CLL that warrants consideration particularly for patients with limited myeloid reserve that might not tolerate standard treatment regimens.","author":[{"dropping-particle":"","family":"Castro","given":"J. E.","non-dropping-particle":"","parse-names":false,"suffix":""},{"dropping-particle":"","family":"James","given":"D. F.","non-dropping-particle":"","parse-names":false,"suffix":""},{"dropping-particle":"","family":"Sandoval-Sus","given":"J. D.","non-dropping-particle":"","parse-names":false,"suffix":""},{"dropping-particle":"","family":"Jain","given":"S.","non-dropping-particle":"","parse-names":false,"suffix":""},{"dropping-particle":"","family":"Bole","given":"J.","non-dropping-particle":"","parse-names":false,"suffix":""},{"dropping-particle":"","family":"Rassenti","given":"L.","non-dropping-particle":"","parse-names":false,"suffix":""},{"dropping-particle":"","family":"Kipps","given":"T. J.","non-dropping-particle":"","parse-names":false,"suffix":""}],"container-title":"Leukemia","id":"ITEM-1","issue":"10","issued":{"date-parts":[["2009"]]},"page":"1779-1789","publisher":"Nature Publishing Group","title":"Rituximab in combination with high-dose methylprednisolone for the treatment of chronic lymphocytic leukemia","type":"article-journal","volume":"23"},"uris":["http://www.mendeley.com/documents/?uuid=125e5504-0204-3ba1-8f5e-970e40224e7e"]}],"mendeley":{"formattedCitation":"[62]","plainTextFormattedCitation":"[62]","previouslyFormattedCitation":"[62]"},"properties":{"noteIndex":0},"schema":"https://github.com/citation-style-language/schema/raw/master/csl-citation.json"}</w:instrText>
      </w:r>
      <w:r w:rsidR="00055701">
        <w:rPr>
          <w:i/>
        </w:rPr>
        <w:fldChar w:fldCharType="separate"/>
      </w:r>
      <w:r w:rsidR="00225D7F" w:rsidRPr="00225D7F">
        <w:rPr>
          <w:noProof/>
        </w:rPr>
        <w:t>[62]</w:t>
      </w:r>
      <w:r w:rsidR="00055701">
        <w:rPr>
          <w:i/>
        </w:rPr>
        <w:fldChar w:fldCharType="end"/>
      </w:r>
      <w:r w:rsidR="004D7374" w:rsidRPr="00C348F4">
        <w:rPr>
          <w:i/>
        </w:rPr>
        <w:t>. В исследованиях II фазы получены убедительные данные об эффективности режима BR (бендамустин</w:t>
      </w:r>
      <w:r w:rsidR="00AD6066" w:rsidRPr="00C348F4">
        <w:rPr>
          <w:i/>
        </w:rPr>
        <w:t>**</w:t>
      </w:r>
      <w:r w:rsidR="004D7374" w:rsidRPr="00C348F4">
        <w:rPr>
          <w:i/>
        </w:rPr>
        <w:t xml:space="preserve"> + ритуксимаб</w:t>
      </w:r>
      <w:r w:rsidR="00AD6066" w:rsidRPr="00C348F4">
        <w:rPr>
          <w:i/>
        </w:rPr>
        <w:t>**</w:t>
      </w:r>
      <w:r w:rsidR="004D7374" w:rsidRPr="00C348F4">
        <w:rPr>
          <w:i/>
        </w:rPr>
        <w:t>). У пациентов, ранее получавших хлорамбуцил, может быть эффективна терапия бендамустином</w:t>
      </w:r>
      <w:r w:rsidR="00AD6066" w:rsidRPr="00C348F4">
        <w:rPr>
          <w:i/>
        </w:rPr>
        <w:t>**</w:t>
      </w:r>
      <w:r w:rsidR="00691D0D" w:rsidRPr="00C348F4">
        <w:rPr>
          <w:i/>
        </w:rPr>
        <w:t>, режимы</w:t>
      </w:r>
      <w:r w:rsidR="004D7374" w:rsidRPr="00C348F4">
        <w:rPr>
          <w:i/>
        </w:rPr>
        <w:t xml:space="preserve"> BR и FCR-Lite.</w:t>
      </w:r>
    </w:p>
    <w:p w14:paraId="105C2301" w14:textId="445B63C0" w:rsidR="005F5C64" w:rsidRDefault="004D7374" w:rsidP="0080011C">
      <w:pPr>
        <w:contextualSpacing/>
        <w:rPr>
          <w:i/>
        </w:rPr>
      </w:pPr>
      <w:r w:rsidRPr="00C348F4">
        <w:rPr>
          <w:i/>
        </w:rPr>
        <w:t xml:space="preserve">Результаты </w:t>
      </w:r>
      <w:r w:rsidR="00F07AA9" w:rsidRPr="00C348F4">
        <w:rPr>
          <w:i/>
        </w:rPr>
        <w:t>3</w:t>
      </w:r>
      <w:r w:rsidRPr="00C348F4">
        <w:rPr>
          <w:i/>
        </w:rPr>
        <w:t xml:space="preserve"> исследований </w:t>
      </w:r>
      <w:r w:rsidR="00691D0D" w:rsidRPr="00C348F4">
        <w:rPr>
          <w:i/>
        </w:rPr>
        <w:t>свидетельствуют</w:t>
      </w:r>
      <w:r w:rsidRPr="00C348F4">
        <w:rPr>
          <w:i/>
        </w:rPr>
        <w:t xml:space="preserve"> о высокой эффективности ибрутиниба</w:t>
      </w:r>
      <w:r w:rsidR="00AD6066" w:rsidRPr="00C348F4">
        <w:rPr>
          <w:i/>
        </w:rPr>
        <w:t>**</w:t>
      </w:r>
      <w:r w:rsidRPr="00C348F4">
        <w:rPr>
          <w:i/>
        </w:rPr>
        <w:t xml:space="preserve"> в терапии рецидивов ХЛЛ</w:t>
      </w:r>
      <w:r w:rsidR="00DA412A" w:rsidRPr="00C348F4">
        <w:rPr>
          <w:i/>
        </w:rPr>
        <w:t xml:space="preserve"> </w:t>
      </w:r>
      <w:r w:rsidR="000B0AC3" w:rsidRPr="00C348F4">
        <w:rPr>
          <w:i/>
          <w:lang w:val="en-US"/>
        </w:rPr>
        <w:fldChar w:fldCharType="begin" w:fldLock="1"/>
      </w:r>
      <w:r w:rsidR="00BA7FFC">
        <w:rPr>
          <w:i/>
          <w:lang w:val="en-US"/>
        </w:rPr>
        <w:instrText>ADDIN</w:instrText>
      </w:r>
      <w:r w:rsidR="00BA7FFC" w:rsidRPr="00C466A6">
        <w:rPr>
          <w:i/>
        </w:rPr>
        <w:instrText xml:space="preserve"> </w:instrText>
      </w:r>
      <w:r w:rsidR="00BA7FFC">
        <w:rPr>
          <w:i/>
          <w:lang w:val="en-US"/>
        </w:rPr>
        <w:instrText>CSL</w:instrText>
      </w:r>
      <w:r w:rsidR="00BA7FFC" w:rsidRPr="00C466A6">
        <w:rPr>
          <w:i/>
        </w:rPr>
        <w:instrText>_</w:instrText>
      </w:r>
      <w:r w:rsidR="00BA7FFC">
        <w:rPr>
          <w:i/>
          <w:lang w:val="en-US"/>
        </w:rPr>
        <w:instrText>CITATION</w:instrText>
      </w:r>
      <w:r w:rsidR="00BA7FFC" w:rsidRPr="00C466A6">
        <w:rPr>
          <w:i/>
        </w:rPr>
        <w:instrText xml:space="preserve"> {"</w:instrText>
      </w:r>
      <w:r w:rsidR="00BA7FFC">
        <w:rPr>
          <w:i/>
          <w:lang w:val="en-US"/>
        </w:rPr>
        <w:instrText>citationItems</w:instrText>
      </w:r>
      <w:r w:rsidR="00BA7FFC" w:rsidRPr="00C466A6">
        <w:rPr>
          <w:i/>
        </w:rPr>
        <w:instrText>":[{"</w:instrText>
      </w:r>
      <w:r w:rsidR="00BA7FFC">
        <w:rPr>
          <w:i/>
          <w:lang w:val="en-US"/>
        </w:rPr>
        <w:instrText>id</w:instrText>
      </w:r>
      <w:r w:rsidR="00BA7FFC" w:rsidRPr="00C466A6">
        <w:rPr>
          <w:i/>
        </w:rPr>
        <w:instrText>":"</w:instrText>
      </w:r>
      <w:r w:rsidR="00BA7FFC">
        <w:rPr>
          <w:i/>
          <w:lang w:val="en-US"/>
        </w:rPr>
        <w:instrText>ITEM</w:instrText>
      </w:r>
      <w:r w:rsidR="00BA7FFC" w:rsidRPr="00C466A6">
        <w:rPr>
          <w:i/>
        </w:rPr>
        <w:instrText>-1","</w:instrText>
      </w:r>
      <w:r w:rsidR="00BA7FFC">
        <w:rPr>
          <w:i/>
          <w:lang w:val="en-US"/>
        </w:rPr>
        <w:instrText>itemData</w:instrText>
      </w:r>
      <w:r w:rsidR="00BA7FFC" w:rsidRPr="00C466A6">
        <w:rPr>
          <w:i/>
        </w:rPr>
        <w:instrText>":{"</w:instrText>
      </w:r>
      <w:r w:rsidR="00BA7FFC">
        <w:rPr>
          <w:i/>
          <w:lang w:val="en-US"/>
        </w:rPr>
        <w:instrText>DOI</w:instrText>
      </w:r>
      <w:r w:rsidR="00BA7FFC" w:rsidRPr="00C466A6">
        <w:rPr>
          <w:i/>
        </w:rPr>
        <w:instrText>":"10.1056/</w:instrText>
      </w:r>
      <w:r w:rsidR="00BA7FFC">
        <w:rPr>
          <w:i/>
          <w:lang w:val="en-US"/>
        </w:rPr>
        <w:instrText>NEJMoa</w:instrText>
      </w:r>
      <w:r w:rsidR="00BA7FFC" w:rsidRPr="00C466A6">
        <w:rPr>
          <w:i/>
        </w:rPr>
        <w:instrText>1400376","</w:instrText>
      </w:r>
      <w:r w:rsidR="00BA7FFC">
        <w:rPr>
          <w:i/>
          <w:lang w:val="en-US"/>
        </w:rPr>
        <w:instrText>ISSN</w:instrText>
      </w:r>
      <w:r w:rsidR="00BA7FFC" w:rsidRPr="00C466A6">
        <w:rPr>
          <w:i/>
        </w:rPr>
        <w:instrText>":"1533-4406","</w:instrText>
      </w:r>
      <w:r w:rsidR="00BA7FFC">
        <w:rPr>
          <w:i/>
          <w:lang w:val="en-US"/>
        </w:rPr>
        <w:instrText>PMID</w:instrText>
      </w:r>
      <w:r w:rsidR="00BA7FFC" w:rsidRPr="00C466A6">
        <w:rPr>
          <w:i/>
        </w:rPr>
        <w:instrText>":"24881631","</w:instrText>
      </w:r>
      <w:r w:rsidR="00BA7FFC">
        <w:rPr>
          <w:i/>
          <w:lang w:val="en-US"/>
        </w:rPr>
        <w:instrText>abstract</w:instrText>
      </w:r>
      <w:r w:rsidR="00BA7FFC" w:rsidRPr="00C466A6">
        <w:rPr>
          <w:i/>
        </w:rPr>
        <w:instrText>":"</w:instrText>
      </w:r>
      <w:r w:rsidR="00BA7FFC">
        <w:rPr>
          <w:i/>
          <w:lang w:val="en-US"/>
        </w:rPr>
        <w:instrText>BACKGROUND</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patients</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chronic</w:instrText>
      </w:r>
      <w:r w:rsidR="00BA7FFC" w:rsidRPr="00C466A6">
        <w:rPr>
          <w:i/>
        </w:rPr>
        <w:instrText xml:space="preserve"> </w:instrText>
      </w:r>
      <w:r w:rsidR="00BA7FFC">
        <w:rPr>
          <w:i/>
          <w:lang w:val="en-US"/>
        </w:rPr>
        <w:instrText>lymphoid</w:instrText>
      </w:r>
      <w:r w:rsidR="00BA7FFC" w:rsidRPr="00C466A6">
        <w:rPr>
          <w:i/>
        </w:rPr>
        <w:instrText xml:space="preserve"> </w:instrText>
      </w:r>
      <w:r w:rsidR="00BA7FFC">
        <w:rPr>
          <w:i/>
          <w:lang w:val="en-US"/>
        </w:rPr>
        <w:instrText>leukemia</w:instrText>
      </w:r>
      <w:r w:rsidR="00BA7FFC" w:rsidRPr="00C466A6">
        <w:rPr>
          <w:i/>
        </w:rPr>
        <w:instrText xml:space="preserve"> (</w:instrText>
      </w:r>
      <w:r w:rsidR="00BA7FFC">
        <w:rPr>
          <w:i/>
          <w:lang w:val="en-US"/>
        </w:rPr>
        <w:instrText>CLL</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small</w:instrText>
      </w:r>
      <w:r w:rsidR="00BA7FFC" w:rsidRPr="00C466A6">
        <w:rPr>
          <w:i/>
        </w:rPr>
        <w:instrText xml:space="preserve"> </w:instrText>
      </w:r>
      <w:r w:rsidR="00BA7FFC">
        <w:rPr>
          <w:i/>
          <w:lang w:val="en-US"/>
        </w:rPr>
        <w:instrText>lymphocytic</w:instrText>
      </w:r>
      <w:r w:rsidR="00BA7FFC" w:rsidRPr="00C466A6">
        <w:rPr>
          <w:i/>
        </w:rPr>
        <w:instrText xml:space="preserve"> </w:instrText>
      </w:r>
      <w:r w:rsidR="00BA7FFC">
        <w:rPr>
          <w:i/>
          <w:lang w:val="en-US"/>
        </w:rPr>
        <w:instrText>lymphoma</w:instrText>
      </w:r>
      <w:r w:rsidR="00BA7FFC" w:rsidRPr="00C466A6">
        <w:rPr>
          <w:i/>
        </w:rPr>
        <w:instrText xml:space="preserve"> (</w:instrText>
      </w:r>
      <w:r w:rsidR="00BA7FFC">
        <w:rPr>
          <w:i/>
          <w:lang w:val="en-US"/>
        </w:rPr>
        <w:instrText>SLL</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short</w:instrText>
      </w:r>
      <w:r w:rsidR="00BA7FFC" w:rsidRPr="00C466A6">
        <w:rPr>
          <w:i/>
        </w:rPr>
        <w:instrText xml:space="preserve"> </w:instrText>
      </w:r>
      <w:r w:rsidR="00BA7FFC">
        <w:rPr>
          <w:i/>
          <w:lang w:val="en-US"/>
        </w:rPr>
        <w:instrText>duration</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response</w:instrText>
      </w:r>
      <w:r w:rsidR="00BA7FFC" w:rsidRPr="00C466A6">
        <w:rPr>
          <w:i/>
        </w:rPr>
        <w:instrText xml:space="preserve"> </w:instrText>
      </w:r>
      <w:r w:rsidR="00BA7FFC">
        <w:rPr>
          <w:i/>
          <w:lang w:val="en-US"/>
        </w:rPr>
        <w:instrText>to</w:instrText>
      </w:r>
      <w:r w:rsidR="00BA7FFC" w:rsidRPr="00C466A6">
        <w:rPr>
          <w:i/>
        </w:rPr>
        <w:instrText xml:space="preserve"> </w:instrText>
      </w:r>
      <w:r w:rsidR="00BA7FFC">
        <w:rPr>
          <w:i/>
          <w:lang w:val="en-US"/>
        </w:rPr>
        <w:instrText>therapy</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adverse</w:instrText>
      </w:r>
      <w:r w:rsidR="00BA7FFC" w:rsidRPr="00C466A6">
        <w:rPr>
          <w:i/>
        </w:rPr>
        <w:instrText xml:space="preserve"> </w:instrText>
      </w:r>
      <w:r w:rsidR="00BA7FFC">
        <w:rPr>
          <w:i/>
          <w:lang w:val="en-US"/>
        </w:rPr>
        <w:instrText>cytogenetic</w:instrText>
      </w:r>
      <w:r w:rsidR="00BA7FFC" w:rsidRPr="00C466A6">
        <w:rPr>
          <w:i/>
        </w:rPr>
        <w:instrText xml:space="preserve"> </w:instrText>
      </w:r>
      <w:r w:rsidR="00BA7FFC">
        <w:rPr>
          <w:i/>
          <w:lang w:val="en-US"/>
        </w:rPr>
        <w:instrText>abnormalities</w:instrText>
      </w:r>
      <w:r w:rsidR="00BA7FFC" w:rsidRPr="00C466A6">
        <w:rPr>
          <w:i/>
        </w:rPr>
        <w:instrText xml:space="preserve"> </w:instrText>
      </w:r>
      <w:r w:rsidR="00BA7FFC">
        <w:rPr>
          <w:i/>
          <w:lang w:val="en-US"/>
        </w:rPr>
        <w:instrText>are</w:instrText>
      </w:r>
      <w:r w:rsidR="00BA7FFC" w:rsidRPr="00C466A6">
        <w:rPr>
          <w:i/>
        </w:rPr>
        <w:instrText xml:space="preserve"> </w:instrText>
      </w:r>
      <w:r w:rsidR="00BA7FFC">
        <w:rPr>
          <w:i/>
          <w:lang w:val="en-US"/>
        </w:rPr>
        <w:instrText>associated</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poor</w:instrText>
      </w:r>
      <w:r w:rsidR="00BA7FFC" w:rsidRPr="00C466A6">
        <w:rPr>
          <w:i/>
        </w:rPr>
        <w:instrText xml:space="preserve"> </w:instrText>
      </w:r>
      <w:r w:rsidR="00BA7FFC">
        <w:rPr>
          <w:i/>
          <w:lang w:val="en-US"/>
        </w:rPr>
        <w:instrText>outcome</w:instrText>
      </w:r>
      <w:r w:rsidR="00BA7FFC" w:rsidRPr="00C466A6">
        <w:rPr>
          <w:i/>
        </w:rPr>
        <w:instrText xml:space="preserve">. </w:instrText>
      </w:r>
      <w:r w:rsidR="00BA7FFC">
        <w:rPr>
          <w:i/>
          <w:lang w:val="en-US"/>
        </w:rPr>
        <w:instrText>We</w:instrText>
      </w:r>
      <w:r w:rsidR="00BA7FFC" w:rsidRPr="00C466A6">
        <w:rPr>
          <w:i/>
        </w:rPr>
        <w:instrText xml:space="preserve"> </w:instrText>
      </w:r>
      <w:r w:rsidR="00BA7FFC">
        <w:rPr>
          <w:i/>
          <w:lang w:val="en-US"/>
        </w:rPr>
        <w:instrText>evaluated</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efficacy</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covalent</w:instrText>
      </w:r>
      <w:r w:rsidR="00BA7FFC" w:rsidRPr="00C466A6">
        <w:rPr>
          <w:i/>
        </w:rPr>
        <w:instrText xml:space="preserve"> </w:instrText>
      </w:r>
      <w:r w:rsidR="00BA7FFC">
        <w:rPr>
          <w:i/>
          <w:lang w:val="en-US"/>
        </w:rPr>
        <w:instrText>inhibitor</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Bruton</w:instrText>
      </w:r>
      <w:r w:rsidR="00BA7FFC" w:rsidRPr="00C466A6">
        <w:rPr>
          <w:i/>
        </w:rPr>
        <w:instrText>'</w:instrText>
      </w:r>
      <w:r w:rsidR="00BA7FFC">
        <w:rPr>
          <w:i/>
          <w:lang w:val="en-US"/>
        </w:rPr>
        <w:instrText>s</w:instrText>
      </w:r>
      <w:r w:rsidR="00BA7FFC" w:rsidRPr="00C466A6">
        <w:rPr>
          <w:i/>
        </w:rPr>
        <w:instrText xml:space="preserve"> </w:instrText>
      </w:r>
      <w:r w:rsidR="00BA7FFC">
        <w:rPr>
          <w:i/>
          <w:lang w:val="en-US"/>
        </w:rPr>
        <w:instrText>tyrosine</w:instrText>
      </w:r>
      <w:r w:rsidR="00BA7FFC" w:rsidRPr="00C466A6">
        <w:rPr>
          <w:i/>
        </w:rPr>
        <w:instrText xml:space="preserve"> </w:instrText>
      </w:r>
      <w:r w:rsidR="00BA7FFC">
        <w:rPr>
          <w:i/>
          <w:lang w:val="en-US"/>
        </w:rPr>
        <w:instrText>kinase</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patients</w:instrText>
      </w:r>
      <w:r w:rsidR="00BA7FFC" w:rsidRPr="00C466A6">
        <w:rPr>
          <w:i/>
        </w:rPr>
        <w:instrText xml:space="preserve"> </w:instrText>
      </w:r>
      <w:r w:rsidR="00BA7FFC">
        <w:rPr>
          <w:i/>
          <w:lang w:val="en-US"/>
        </w:rPr>
        <w:instrText>at</w:instrText>
      </w:r>
      <w:r w:rsidR="00BA7FFC" w:rsidRPr="00C466A6">
        <w:rPr>
          <w:i/>
        </w:rPr>
        <w:instrText xml:space="preserve"> </w:instrText>
      </w:r>
      <w:r w:rsidR="00BA7FFC">
        <w:rPr>
          <w:i/>
          <w:lang w:val="en-US"/>
        </w:rPr>
        <w:instrText>risk</w:instrText>
      </w:r>
      <w:r w:rsidR="00BA7FFC" w:rsidRPr="00C466A6">
        <w:rPr>
          <w:i/>
        </w:rPr>
        <w:instrText xml:space="preserve"> </w:instrText>
      </w:r>
      <w:r w:rsidR="00BA7FFC">
        <w:rPr>
          <w:i/>
          <w:lang w:val="en-US"/>
        </w:rPr>
        <w:instrText>for</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poor</w:instrText>
      </w:r>
      <w:r w:rsidR="00BA7FFC" w:rsidRPr="00C466A6">
        <w:rPr>
          <w:i/>
        </w:rPr>
        <w:instrText xml:space="preserve"> </w:instrText>
      </w:r>
      <w:r w:rsidR="00BA7FFC">
        <w:rPr>
          <w:i/>
          <w:lang w:val="en-US"/>
        </w:rPr>
        <w:instrText>outcome</w:instrText>
      </w:r>
      <w:r w:rsidR="00BA7FFC" w:rsidRPr="00C466A6">
        <w:rPr>
          <w:i/>
        </w:rPr>
        <w:instrText xml:space="preserve">. </w:instrText>
      </w:r>
      <w:r w:rsidR="00BA7FFC">
        <w:rPr>
          <w:i/>
          <w:lang w:val="en-US"/>
        </w:rPr>
        <w:instrText>METHODS</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this</w:instrText>
      </w:r>
      <w:r w:rsidR="00BA7FFC" w:rsidRPr="00C466A6">
        <w:rPr>
          <w:i/>
        </w:rPr>
        <w:instrText xml:space="preserve"> </w:instrText>
      </w:r>
      <w:r w:rsidR="00BA7FFC">
        <w:rPr>
          <w:i/>
          <w:lang w:val="en-US"/>
        </w:rPr>
        <w:instrText>multicenter</w:instrText>
      </w:r>
      <w:r w:rsidR="00BA7FFC" w:rsidRPr="00C466A6">
        <w:rPr>
          <w:i/>
        </w:rPr>
        <w:instrText xml:space="preserve">, </w:instrText>
      </w:r>
      <w:r w:rsidR="00BA7FFC">
        <w:rPr>
          <w:i/>
          <w:lang w:val="en-US"/>
        </w:rPr>
        <w:instrText>open</w:instrText>
      </w:r>
      <w:r w:rsidR="00BA7FFC" w:rsidRPr="00C466A6">
        <w:rPr>
          <w:i/>
        </w:rPr>
        <w:instrText>-</w:instrText>
      </w:r>
      <w:r w:rsidR="00BA7FFC">
        <w:rPr>
          <w:i/>
          <w:lang w:val="en-US"/>
        </w:rPr>
        <w:instrText>label</w:instrText>
      </w:r>
      <w:r w:rsidR="00BA7FFC" w:rsidRPr="00C466A6">
        <w:rPr>
          <w:i/>
        </w:rPr>
        <w:instrText xml:space="preserve">, </w:instrText>
      </w:r>
      <w:r w:rsidR="00BA7FFC">
        <w:rPr>
          <w:i/>
          <w:lang w:val="en-US"/>
        </w:rPr>
        <w:instrText>phase</w:instrText>
      </w:r>
      <w:r w:rsidR="00BA7FFC" w:rsidRPr="00C466A6">
        <w:rPr>
          <w:i/>
        </w:rPr>
        <w:instrText xml:space="preserve"> 3 </w:instrText>
      </w:r>
      <w:r w:rsidR="00BA7FFC">
        <w:rPr>
          <w:i/>
          <w:lang w:val="en-US"/>
        </w:rPr>
        <w:instrText>study</w:instrText>
      </w:r>
      <w:r w:rsidR="00BA7FFC" w:rsidRPr="00C466A6">
        <w:rPr>
          <w:i/>
        </w:rPr>
        <w:instrText xml:space="preserve">, </w:instrText>
      </w:r>
      <w:r w:rsidR="00BA7FFC">
        <w:rPr>
          <w:i/>
          <w:lang w:val="en-US"/>
        </w:rPr>
        <w:instrText>we</w:instrText>
      </w:r>
      <w:r w:rsidR="00BA7FFC" w:rsidRPr="00C466A6">
        <w:rPr>
          <w:i/>
        </w:rPr>
        <w:instrText xml:space="preserve"> </w:instrText>
      </w:r>
      <w:r w:rsidR="00BA7FFC">
        <w:rPr>
          <w:i/>
          <w:lang w:val="en-US"/>
        </w:rPr>
        <w:instrText>randomly</w:instrText>
      </w:r>
      <w:r w:rsidR="00BA7FFC" w:rsidRPr="00C466A6">
        <w:rPr>
          <w:i/>
        </w:rPr>
        <w:instrText xml:space="preserve"> </w:instrText>
      </w:r>
      <w:r w:rsidR="00BA7FFC">
        <w:rPr>
          <w:i/>
          <w:lang w:val="en-US"/>
        </w:rPr>
        <w:instrText>assigned</w:instrText>
      </w:r>
      <w:r w:rsidR="00BA7FFC" w:rsidRPr="00C466A6">
        <w:rPr>
          <w:i/>
        </w:rPr>
        <w:instrText xml:space="preserve"> 391 </w:instrText>
      </w:r>
      <w:r w:rsidR="00BA7FFC">
        <w:rPr>
          <w:i/>
          <w:lang w:val="en-US"/>
        </w:rPr>
        <w:instrText>patients</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relapsed</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refractory</w:instrText>
      </w:r>
      <w:r w:rsidR="00BA7FFC" w:rsidRPr="00C466A6">
        <w:rPr>
          <w:i/>
        </w:rPr>
        <w:instrText xml:space="preserve"> </w:instrText>
      </w:r>
      <w:r w:rsidR="00BA7FFC">
        <w:rPr>
          <w:i/>
          <w:lang w:val="en-US"/>
        </w:rPr>
        <w:instrText>CLL</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SLL</w:instrText>
      </w:r>
      <w:r w:rsidR="00BA7FFC" w:rsidRPr="00C466A6">
        <w:rPr>
          <w:i/>
        </w:rPr>
        <w:instrText xml:space="preserve"> </w:instrText>
      </w:r>
      <w:r w:rsidR="00BA7FFC">
        <w:rPr>
          <w:i/>
          <w:lang w:val="en-US"/>
        </w:rPr>
        <w:instrText>to</w:instrText>
      </w:r>
      <w:r w:rsidR="00BA7FFC" w:rsidRPr="00C466A6">
        <w:rPr>
          <w:i/>
        </w:rPr>
        <w:instrText xml:space="preserve"> </w:instrText>
      </w:r>
      <w:r w:rsidR="00BA7FFC">
        <w:rPr>
          <w:i/>
          <w:lang w:val="en-US"/>
        </w:rPr>
        <w:instrText>receive</w:instrText>
      </w:r>
      <w:r w:rsidR="00BA7FFC" w:rsidRPr="00C466A6">
        <w:rPr>
          <w:i/>
        </w:rPr>
        <w:instrText xml:space="preserve"> </w:instrText>
      </w:r>
      <w:r w:rsidR="00BA7FFC">
        <w:rPr>
          <w:i/>
          <w:lang w:val="en-US"/>
        </w:rPr>
        <w:instrText>daily</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anti</w:instrText>
      </w:r>
      <w:r w:rsidR="00BA7FFC" w:rsidRPr="00C466A6">
        <w:rPr>
          <w:i/>
        </w:rPr>
        <w:instrText>-</w:instrText>
      </w:r>
      <w:r w:rsidR="00BA7FFC">
        <w:rPr>
          <w:i/>
          <w:lang w:val="en-US"/>
        </w:rPr>
        <w:instrText>CD</w:instrText>
      </w:r>
      <w:r w:rsidR="00BA7FFC" w:rsidRPr="00C466A6">
        <w:rPr>
          <w:i/>
        </w:rPr>
        <w:instrText xml:space="preserve">20 </w:instrText>
      </w:r>
      <w:r w:rsidR="00BA7FFC">
        <w:rPr>
          <w:i/>
          <w:lang w:val="en-US"/>
        </w:rPr>
        <w:instrText>antibody</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primary</w:instrText>
      </w:r>
      <w:r w:rsidR="00BA7FFC" w:rsidRPr="00C466A6">
        <w:rPr>
          <w:i/>
        </w:rPr>
        <w:instrText xml:space="preserve"> </w:instrText>
      </w:r>
      <w:r w:rsidR="00BA7FFC">
        <w:rPr>
          <w:i/>
          <w:lang w:val="en-US"/>
        </w:rPr>
        <w:instrText>end</w:instrText>
      </w:r>
      <w:r w:rsidR="00BA7FFC" w:rsidRPr="00C466A6">
        <w:rPr>
          <w:i/>
        </w:rPr>
        <w:instrText xml:space="preserve"> </w:instrText>
      </w:r>
      <w:r w:rsidR="00BA7FFC">
        <w:rPr>
          <w:i/>
          <w:lang w:val="en-US"/>
        </w:rPr>
        <w:instrText>point</w:instrText>
      </w:r>
      <w:r w:rsidR="00BA7FFC" w:rsidRPr="00C466A6">
        <w:rPr>
          <w:i/>
        </w:rPr>
        <w:instrText xml:space="preserve"> </w:instrText>
      </w:r>
      <w:r w:rsidR="00BA7FFC">
        <w:rPr>
          <w:i/>
          <w:lang w:val="en-US"/>
        </w:rPr>
        <w:instrText>was</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duration</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progression</w:instrText>
      </w:r>
      <w:r w:rsidR="00BA7FFC" w:rsidRPr="00C466A6">
        <w:rPr>
          <w:i/>
        </w:rPr>
        <w:instrText>-</w:instrText>
      </w:r>
      <w:r w:rsidR="00BA7FFC">
        <w:rPr>
          <w:i/>
          <w:lang w:val="en-US"/>
        </w:rPr>
        <w:instrText>free</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duration</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response</w:instrText>
      </w:r>
      <w:r w:rsidR="00BA7FFC" w:rsidRPr="00C466A6">
        <w:rPr>
          <w:i/>
        </w:rPr>
        <w:instrText xml:space="preserve"> </w:instrText>
      </w:r>
      <w:r w:rsidR="00BA7FFC">
        <w:rPr>
          <w:i/>
          <w:lang w:val="en-US"/>
        </w:rPr>
        <w:instrText>rate</w:instrText>
      </w:r>
      <w:r w:rsidR="00BA7FFC" w:rsidRPr="00C466A6">
        <w:rPr>
          <w:i/>
        </w:rPr>
        <w:instrText xml:space="preserve"> </w:instrText>
      </w:r>
      <w:r w:rsidR="00BA7FFC">
        <w:rPr>
          <w:i/>
          <w:lang w:val="en-US"/>
        </w:rPr>
        <w:instrText>as</w:instrText>
      </w:r>
      <w:r w:rsidR="00BA7FFC" w:rsidRPr="00C466A6">
        <w:rPr>
          <w:i/>
        </w:rPr>
        <w:instrText xml:space="preserve"> </w:instrText>
      </w:r>
      <w:r w:rsidR="00BA7FFC">
        <w:rPr>
          <w:i/>
          <w:lang w:val="en-US"/>
        </w:rPr>
        <w:instrText>secondary</w:instrText>
      </w:r>
      <w:r w:rsidR="00BA7FFC" w:rsidRPr="00C466A6">
        <w:rPr>
          <w:i/>
        </w:rPr>
        <w:instrText xml:space="preserve"> </w:instrText>
      </w:r>
      <w:r w:rsidR="00BA7FFC">
        <w:rPr>
          <w:i/>
          <w:lang w:val="en-US"/>
        </w:rPr>
        <w:instrText>end</w:instrText>
      </w:r>
      <w:r w:rsidR="00BA7FFC" w:rsidRPr="00C466A6">
        <w:rPr>
          <w:i/>
        </w:rPr>
        <w:instrText xml:space="preserve"> </w:instrText>
      </w:r>
      <w:r w:rsidR="00BA7FFC">
        <w:rPr>
          <w:i/>
          <w:lang w:val="en-US"/>
        </w:rPr>
        <w:instrText>points</w:instrText>
      </w:r>
      <w:r w:rsidR="00BA7FFC" w:rsidRPr="00C466A6">
        <w:rPr>
          <w:i/>
        </w:rPr>
        <w:instrText xml:space="preserve">. </w:instrText>
      </w:r>
      <w:r w:rsidR="00BA7FFC">
        <w:rPr>
          <w:i/>
          <w:lang w:val="en-US"/>
        </w:rPr>
        <w:instrText>RESULTS</w:instrText>
      </w:r>
      <w:r w:rsidR="00BA7FFC" w:rsidRPr="00C466A6">
        <w:rPr>
          <w:i/>
        </w:rPr>
        <w:instrText xml:space="preserve"> </w:instrText>
      </w:r>
      <w:r w:rsidR="00BA7FFC">
        <w:rPr>
          <w:i/>
          <w:lang w:val="en-US"/>
        </w:rPr>
        <w:instrText>At</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median</w:instrText>
      </w:r>
      <w:r w:rsidR="00BA7FFC" w:rsidRPr="00C466A6">
        <w:rPr>
          <w:i/>
        </w:rPr>
        <w:instrText xml:space="preserve"> </w:instrText>
      </w:r>
      <w:r w:rsidR="00BA7FFC">
        <w:rPr>
          <w:i/>
          <w:lang w:val="en-US"/>
        </w:rPr>
        <w:instrText>follow</w:instrText>
      </w:r>
      <w:r w:rsidR="00BA7FFC" w:rsidRPr="00C466A6">
        <w:rPr>
          <w:i/>
        </w:rPr>
        <w:instrText>-</w:instrText>
      </w:r>
      <w:r w:rsidR="00BA7FFC">
        <w:rPr>
          <w:i/>
          <w:lang w:val="en-US"/>
        </w:rPr>
        <w:instrText>up</w:instrText>
      </w:r>
      <w:r w:rsidR="00BA7FFC" w:rsidRPr="00C466A6">
        <w:rPr>
          <w:i/>
        </w:rPr>
        <w:instrText xml:space="preserve"> </w:instrText>
      </w:r>
      <w:r w:rsidR="00BA7FFC">
        <w:rPr>
          <w:i/>
          <w:lang w:val="en-US"/>
        </w:rPr>
        <w:instrText>of</w:instrText>
      </w:r>
      <w:r w:rsidR="00BA7FFC" w:rsidRPr="00C466A6">
        <w:rPr>
          <w:i/>
        </w:rPr>
        <w:instrText xml:space="preserve"> 9.4 </w:instrText>
      </w:r>
      <w:r w:rsidR="00BA7FFC">
        <w:rPr>
          <w:i/>
          <w:lang w:val="en-US"/>
        </w:rPr>
        <w:instrText>months</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significantly</w:instrText>
      </w:r>
      <w:r w:rsidR="00BA7FFC" w:rsidRPr="00C466A6">
        <w:rPr>
          <w:i/>
        </w:rPr>
        <w:instrText xml:space="preserve"> </w:instrText>
      </w:r>
      <w:r w:rsidR="00BA7FFC">
        <w:rPr>
          <w:i/>
          <w:lang w:val="en-US"/>
        </w:rPr>
        <w:instrText>improved</w:instrText>
      </w:r>
      <w:r w:rsidR="00BA7FFC" w:rsidRPr="00C466A6">
        <w:rPr>
          <w:i/>
        </w:rPr>
        <w:instrText xml:space="preserve"> </w:instrText>
      </w:r>
      <w:r w:rsidR="00BA7FFC">
        <w:rPr>
          <w:i/>
          <w:lang w:val="en-US"/>
        </w:rPr>
        <w:instrText>progression</w:instrText>
      </w:r>
      <w:r w:rsidR="00BA7FFC" w:rsidRPr="00C466A6">
        <w:rPr>
          <w:i/>
        </w:rPr>
        <w:instrText>-</w:instrText>
      </w:r>
      <w:r w:rsidR="00BA7FFC">
        <w:rPr>
          <w:i/>
          <w:lang w:val="en-US"/>
        </w:rPr>
        <w:instrText>free</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median</w:instrText>
      </w:r>
      <w:r w:rsidR="00BA7FFC" w:rsidRPr="00C466A6">
        <w:rPr>
          <w:i/>
        </w:rPr>
        <w:instrText xml:space="preserve"> </w:instrText>
      </w:r>
      <w:r w:rsidR="00BA7FFC">
        <w:rPr>
          <w:i/>
          <w:lang w:val="en-US"/>
        </w:rPr>
        <w:instrText>duration</w:instrText>
      </w:r>
      <w:r w:rsidR="00BA7FFC" w:rsidRPr="00C466A6">
        <w:rPr>
          <w:i/>
        </w:rPr>
        <w:instrText xml:space="preserve"> </w:instrText>
      </w:r>
      <w:r w:rsidR="00BA7FFC">
        <w:rPr>
          <w:i/>
          <w:lang w:val="en-US"/>
        </w:rPr>
        <w:instrText>was</w:instrText>
      </w:r>
      <w:r w:rsidR="00BA7FFC" w:rsidRPr="00C466A6">
        <w:rPr>
          <w:i/>
        </w:rPr>
        <w:instrText xml:space="preserve"> </w:instrText>
      </w:r>
      <w:r w:rsidR="00BA7FFC">
        <w:rPr>
          <w:i/>
          <w:lang w:val="en-US"/>
        </w:rPr>
        <w:instrText>not</w:instrText>
      </w:r>
      <w:r w:rsidR="00BA7FFC" w:rsidRPr="00C466A6">
        <w:rPr>
          <w:i/>
        </w:rPr>
        <w:instrText xml:space="preserve"> </w:instrText>
      </w:r>
      <w:r w:rsidR="00BA7FFC">
        <w:rPr>
          <w:i/>
          <w:lang w:val="en-US"/>
        </w:rPr>
        <w:instrText>reached</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rate</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progression</w:instrText>
      </w:r>
      <w:r w:rsidR="00BA7FFC" w:rsidRPr="00C466A6">
        <w:rPr>
          <w:i/>
        </w:rPr>
        <w:instrText>-</w:instrText>
      </w:r>
      <w:r w:rsidR="00BA7FFC">
        <w:rPr>
          <w:i/>
          <w:lang w:val="en-US"/>
        </w:rPr>
        <w:instrText>free</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of</w:instrText>
      </w:r>
      <w:r w:rsidR="00BA7FFC" w:rsidRPr="00C466A6">
        <w:rPr>
          <w:i/>
        </w:rPr>
        <w:instrText xml:space="preserve"> 88% </w:instrText>
      </w:r>
      <w:r w:rsidR="00BA7FFC">
        <w:rPr>
          <w:i/>
          <w:lang w:val="en-US"/>
        </w:rPr>
        <w:instrText>at</w:instrText>
      </w:r>
      <w:r w:rsidR="00BA7FFC" w:rsidRPr="00C466A6">
        <w:rPr>
          <w:i/>
        </w:rPr>
        <w:instrText xml:space="preserve"> 6 </w:instrText>
      </w:r>
      <w:r w:rsidR="00BA7FFC">
        <w:rPr>
          <w:i/>
          <w:lang w:val="en-US"/>
        </w:rPr>
        <w:instrText>months</w:instrText>
      </w:r>
      <w:r w:rsidR="00BA7FFC" w:rsidRPr="00C466A6">
        <w:rPr>
          <w:i/>
        </w:rPr>
        <w:instrText xml:space="preserve">), </w:instrText>
      </w:r>
      <w:r w:rsidR="00BA7FFC">
        <w:rPr>
          <w:i/>
          <w:lang w:val="en-US"/>
        </w:rPr>
        <w:instrText>as</w:instrText>
      </w:r>
      <w:r w:rsidR="00BA7FFC" w:rsidRPr="00C466A6">
        <w:rPr>
          <w:i/>
        </w:rPr>
        <w:instrText xml:space="preserve"> </w:instrText>
      </w:r>
      <w:r w:rsidR="00BA7FFC">
        <w:rPr>
          <w:i/>
          <w:lang w:val="en-US"/>
        </w:rPr>
        <w:instrText>compared</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median</w:instrText>
      </w:r>
      <w:r w:rsidR="00BA7FFC" w:rsidRPr="00C466A6">
        <w:rPr>
          <w:i/>
        </w:rPr>
        <w:instrText xml:space="preserve"> </w:instrText>
      </w:r>
      <w:r w:rsidR="00BA7FFC">
        <w:rPr>
          <w:i/>
          <w:lang w:val="en-US"/>
        </w:rPr>
        <w:instrText>of</w:instrText>
      </w:r>
      <w:r w:rsidR="00BA7FFC" w:rsidRPr="00C466A6">
        <w:rPr>
          <w:i/>
        </w:rPr>
        <w:instrText xml:space="preserve"> 8.1 </w:instrText>
      </w:r>
      <w:r w:rsidR="00BA7FFC">
        <w:rPr>
          <w:i/>
          <w:lang w:val="en-US"/>
        </w:rPr>
        <w:instrText>months</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hazard</w:instrText>
      </w:r>
      <w:r w:rsidR="00BA7FFC" w:rsidRPr="00C466A6">
        <w:rPr>
          <w:i/>
        </w:rPr>
        <w:instrText xml:space="preserve"> </w:instrText>
      </w:r>
      <w:r w:rsidR="00BA7FFC">
        <w:rPr>
          <w:i/>
          <w:lang w:val="en-US"/>
        </w:rPr>
        <w:instrText>ratio</w:instrText>
      </w:r>
      <w:r w:rsidR="00BA7FFC" w:rsidRPr="00C466A6">
        <w:rPr>
          <w:i/>
        </w:rPr>
        <w:instrText xml:space="preserve"> </w:instrText>
      </w:r>
      <w:r w:rsidR="00BA7FFC">
        <w:rPr>
          <w:i/>
          <w:lang w:val="en-US"/>
        </w:rPr>
        <w:instrText>for</w:instrText>
      </w:r>
      <w:r w:rsidR="00BA7FFC" w:rsidRPr="00C466A6">
        <w:rPr>
          <w:i/>
        </w:rPr>
        <w:instrText xml:space="preserve"> </w:instrText>
      </w:r>
      <w:r w:rsidR="00BA7FFC">
        <w:rPr>
          <w:i/>
          <w:lang w:val="en-US"/>
        </w:rPr>
        <w:instrText>progression</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death</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group</w:instrText>
      </w:r>
      <w:r w:rsidR="00BA7FFC" w:rsidRPr="00C466A6">
        <w:rPr>
          <w:i/>
        </w:rPr>
        <w:instrText xml:space="preserve">, 0.22; </w:instrText>
      </w:r>
      <w:r w:rsidR="00BA7FFC">
        <w:rPr>
          <w:i/>
          <w:lang w:val="en-US"/>
        </w:rPr>
        <w:instrText>P</w:instrText>
      </w:r>
      <w:r w:rsidR="00BA7FFC" w:rsidRPr="00C466A6">
        <w:rPr>
          <w:i/>
        </w:rPr>
        <w:instrText xml:space="preserve">&lt;0.001). </w:instrText>
      </w:r>
      <w:r w:rsidR="00BA7FFC">
        <w:rPr>
          <w:i/>
          <w:lang w:val="en-US"/>
        </w:rPr>
        <w:instrText>Ibrutinib</w:instrText>
      </w:r>
      <w:r w:rsidR="00BA7FFC" w:rsidRPr="00C466A6">
        <w:rPr>
          <w:i/>
        </w:rPr>
        <w:instrText xml:space="preserve"> </w:instrText>
      </w:r>
      <w:r w:rsidR="00BA7FFC">
        <w:rPr>
          <w:i/>
          <w:lang w:val="en-US"/>
        </w:rPr>
        <w:instrText>also</w:instrText>
      </w:r>
      <w:r w:rsidR="00BA7FFC" w:rsidRPr="00C466A6">
        <w:rPr>
          <w:i/>
        </w:rPr>
        <w:instrText xml:space="preserve"> </w:instrText>
      </w:r>
      <w:r w:rsidR="00BA7FFC">
        <w:rPr>
          <w:i/>
          <w:lang w:val="en-US"/>
        </w:rPr>
        <w:instrText>significantly</w:instrText>
      </w:r>
      <w:r w:rsidR="00BA7FFC" w:rsidRPr="00C466A6">
        <w:rPr>
          <w:i/>
        </w:rPr>
        <w:instrText xml:space="preserve"> </w:instrText>
      </w:r>
      <w:r w:rsidR="00BA7FFC">
        <w:rPr>
          <w:i/>
          <w:lang w:val="en-US"/>
        </w:rPr>
        <w:instrText>improved</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hazard</w:instrText>
      </w:r>
      <w:r w:rsidR="00BA7FFC" w:rsidRPr="00C466A6">
        <w:rPr>
          <w:i/>
        </w:rPr>
        <w:instrText xml:space="preserve"> </w:instrText>
      </w:r>
      <w:r w:rsidR="00BA7FFC">
        <w:rPr>
          <w:i/>
          <w:lang w:val="en-US"/>
        </w:rPr>
        <w:instrText>ratio</w:instrText>
      </w:r>
      <w:r w:rsidR="00BA7FFC" w:rsidRPr="00C466A6">
        <w:rPr>
          <w:i/>
        </w:rPr>
        <w:instrText xml:space="preserve"> </w:instrText>
      </w:r>
      <w:r w:rsidR="00BA7FFC">
        <w:rPr>
          <w:i/>
          <w:lang w:val="en-US"/>
        </w:rPr>
        <w:instrText>for</w:instrText>
      </w:r>
      <w:r w:rsidR="00BA7FFC" w:rsidRPr="00C466A6">
        <w:rPr>
          <w:i/>
        </w:rPr>
        <w:instrText xml:space="preserve"> </w:instrText>
      </w:r>
      <w:r w:rsidR="00BA7FFC">
        <w:rPr>
          <w:i/>
          <w:lang w:val="en-US"/>
        </w:rPr>
        <w:instrText>death</w:instrText>
      </w:r>
      <w:r w:rsidR="00BA7FFC" w:rsidRPr="00C466A6">
        <w:rPr>
          <w:i/>
        </w:rPr>
        <w:instrText xml:space="preserve">, 0.43; </w:instrText>
      </w:r>
      <w:r w:rsidR="00BA7FFC">
        <w:rPr>
          <w:i/>
          <w:lang w:val="en-US"/>
        </w:rPr>
        <w:instrText>P</w:instrText>
      </w:r>
      <w:r w:rsidR="00BA7FFC" w:rsidRPr="00C466A6">
        <w:rPr>
          <w:i/>
        </w:rPr>
        <w:instrText xml:space="preserve">=0.005). </w:instrText>
      </w:r>
      <w:r w:rsidR="00BA7FFC">
        <w:rPr>
          <w:i/>
          <w:lang w:val="en-US"/>
        </w:rPr>
        <w:instrText>At</w:instrText>
      </w:r>
      <w:r w:rsidR="00BA7FFC" w:rsidRPr="00C466A6">
        <w:rPr>
          <w:i/>
        </w:rPr>
        <w:instrText xml:space="preserve"> 12 </w:instrText>
      </w:r>
      <w:r w:rsidR="00BA7FFC">
        <w:rPr>
          <w:i/>
          <w:lang w:val="en-US"/>
        </w:rPr>
        <w:instrText>months</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rate</w:instrText>
      </w:r>
      <w:r w:rsidR="00BA7FFC" w:rsidRPr="00C466A6">
        <w:rPr>
          <w:i/>
        </w:rPr>
        <w:instrText xml:space="preserve"> </w:instrText>
      </w:r>
      <w:r w:rsidR="00BA7FFC">
        <w:rPr>
          <w:i/>
          <w:lang w:val="en-US"/>
        </w:rPr>
        <w:instrText>was</w:instrText>
      </w:r>
      <w:r w:rsidR="00BA7FFC" w:rsidRPr="00C466A6">
        <w:rPr>
          <w:i/>
        </w:rPr>
        <w:instrText xml:space="preserve"> 90%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and</w:instrText>
      </w:r>
      <w:r w:rsidR="00BA7FFC" w:rsidRPr="00C466A6">
        <w:rPr>
          <w:i/>
        </w:rPr>
        <w:instrText xml:space="preserve"> 81%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response</w:instrText>
      </w:r>
      <w:r w:rsidR="00BA7FFC" w:rsidRPr="00C466A6">
        <w:rPr>
          <w:i/>
        </w:rPr>
        <w:instrText xml:space="preserve"> </w:instrText>
      </w:r>
      <w:r w:rsidR="00BA7FFC">
        <w:rPr>
          <w:i/>
          <w:lang w:val="en-US"/>
        </w:rPr>
        <w:instrText>rate</w:instrText>
      </w:r>
      <w:r w:rsidR="00BA7FFC" w:rsidRPr="00C466A6">
        <w:rPr>
          <w:i/>
        </w:rPr>
        <w:instrText xml:space="preserve"> </w:instrText>
      </w:r>
      <w:r w:rsidR="00BA7FFC">
        <w:rPr>
          <w:i/>
          <w:lang w:val="en-US"/>
        </w:rPr>
        <w:instrText>was</w:instrText>
      </w:r>
      <w:r w:rsidR="00BA7FFC" w:rsidRPr="00C466A6">
        <w:rPr>
          <w:i/>
        </w:rPr>
        <w:instrText xml:space="preserve"> </w:instrText>
      </w:r>
      <w:r w:rsidR="00BA7FFC">
        <w:rPr>
          <w:i/>
          <w:lang w:val="en-US"/>
        </w:rPr>
        <w:instrText>significantly</w:instrText>
      </w:r>
      <w:r w:rsidR="00BA7FFC" w:rsidRPr="00C466A6">
        <w:rPr>
          <w:i/>
        </w:rPr>
        <w:instrText xml:space="preserve"> </w:instrText>
      </w:r>
      <w:r w:rsidR="00BA7FFC">
        <w:rPr>
          <w:i/>
          <w:lang w:val="en-US"/>
        </w:rPr>
        <w:instrText>higher</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than</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group</w:instrText>
      </w:r>
      <w:r w:rsidR="00BA7FFC" w:rsidRPr="00C466A6">
        <w:rPr>
          <w:i/>
        </w:rPr>
        <w:instrText xml:space="preserve"> (42.6% </w:instrText>
      </w:r>
      <w:r w:rsidR="00BA7FFC">
        <w:rPr>
          <w:i/>
          <w:lang w:val="en-US"/>
        </w:rPr>
        <w:instrText>vs</w:instrText>
      </w:r>
      <w:r w:rsidR="00BA7FFC" w:rsidRPr="00C466A6">
        <w:rPr>
          <w:i/>
        </w:rPr>
        <w:instrText xml:space="preserve">. 4.1%, </w:instrText>
      </w:r>
      <w:r w:rsidR="00BA7FFC">
        <w:rPr>
          <w:i/>
          <w:lang w:val="en-US"/>
        </w:rPr>
        <w:instrText>P</w:instrText>
      </w:r>
      <w:r w:rsidR="00BA7FFC" w:rsidRPr="00C466A6">
        <w:rPr>
          <w:i/>
        </w:rPr>
        <w:instrText xml:space="preserve">&lt;0.001). </w:instrText>
      </w:r>
      <w:r w:rsidR="00BA7FFC">
        <w:rPr>
          <w:i/>
          <w:lang w:val="en-US"/>
        </w:rPr>
        <w:instrText>An</w:instrText>
      </w:r>
      <w:r w:rsidR="00BA7FFC" w:rsidRPr="00C466A6">
        <w:rPr>
          <w:i/>
        </w:rPr>
        <w:instrText xml:space="preserve"> </w:instrText>
      </w:r>
      <w:r w:rsidR="00BA7FFC">
        <w:rPr>
          <w:i/>
          <w:lang w:val="en-US"/>
        </w:rPr>
        <w:instrText>additional</w:instrText>
      </w:r>
      <w:r w:rsidR="00BA7FFC" w:rsidRPr="00C466A6">
        <w:rPr>
          <w:i/>
        </w:rPr>
        <w:instrText xml:space="preserve"> 20% </w:instrText>
      </w:r>
      <w:r w:rsidR="00BA7FFC">
        <w:rPr>
          <w:i/>
          <w:lang w:val="en-US"/>
        </w:rPr>
        <w:instrText>of</w:instrText>
      </w:r>
      <w:r w:rsidR="00BA7FFC" w:rsidRPr="00C466A6">
        <w:rPr>
          <w:i/>
        </w:rPr>
        <w:instrText xml:space="preserve"> </w:instrText>
      </w:r>
      <w:r w:rsidR="00BA7FFC">
        <w:rPr>
          <w:i/>
          <w:lang w:val="en-US"/>
        </w:rPr>
        <w:instrText>ibrutinib</w:instrText>
      </w:r>
      <w:r w:rsidR="00BA7FFC" w:rsidRPr="00C466A6">
        <w:rPr>
          <w:i/>
        </w:rPr>
        <w:instrText>-</w:instrText>
      </w:r>
      <w:r w:rsidR="00BA7FFC">
        <w:rPr>
          <w:i/>
          <w:lang w:val="en-US"/>
        </w:rPr>
        <w:instrText>treated</w:instrText>
      </w:r>
      <w:r w:rsidR="00BA7FFC" w:rsidRPr="00C466A6">
        <w:rPr>
          <w:i/>
        </w:rPr>
        <w:instrText xml:space="preserve"> </w:instrText>
      </w:r>
      <w:r w:rsidR="00BA7FFC">
        <w:rPr>
          <w:i/>
          <w:lang w:val="en-US"/>
        </w:rPr>
        <w:instrText>patients</w:instrText>
      </w:r>
      <w:r w:rsidR="00BA7FFC" w:rsidRPr="00C466A6">
        <w:rPr>
          <w:i/>
        </w:rPr>
        <w:instrText xml:space="preserve"> </w:instrText>
      </w:r>
      <w:r w:rsidR="00BA7FFC">
        <w:rPr>
          <w:i/>
          <w:lang w:val="en-US"/>
        </w:rPr>
        <w:instrText>had</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partial</w:instrText>
      </w:r>
      <w:r w:rsidR="00BA7FFC" w:rsidRPr="00C466A6">
        <w:rPr>
          <w:i/>
        </w:rPr>
        <w:instrText xml:space="preserve"> </w:instrText>
      </w:r>
      <w:r w:rsidR="00BA7FFC">
        <w:rPr>
          <w:i/>
          <w:lang w:val="en-US"/>
        </w:rPr>
        <w:instrText>response</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lymphocytosis</w:instrText>
      </w:r>
      <w:r w:rsidR="00BA7FFC" w:rsidRPr="00C466A6">
        <w:rPr>
          <w:i/>
        </w:rPr>
        <w:instrText xml:space="preserve">. </w:instrText>
      </w:r>
      <w:r w:rsidR="00BA7FFC">
        <w:rPr>
          <w:i/>
          <w:lang w:val="en-US"/>
        </w:rPr>
        <w:instrText>Similar</w:instrText>
      </w:r>
      <w:r w:rsidR="00BA7FFC" w:rsidRPr="00C466A6">
        <w:rPr>
          <w:i/>
        </w:rPr>
        <w:instrText xml:space="preserve"> </w:instrText>
      </w:r>
      <w:r w:rsidR="00BA7FFC">
        <w:rPr>
          <w:i/>
          <w:lang w:val="en-US"/>
        </w:rPr>
        <w:instrText>effects</w:instrText>
      </w:r>
      <w:r w:rsidR="00BA7FFC" w:rsidRPr="00C466A6">
        <w:rPr>
          <w:i/>
        </w:rPr>
        <w:instrText xml:space="preserve"> </w:instrText>
      </w:r>
      <w:r w:rsidR="00BA7FFC">
        <w:rPr>
          <w:i/>
          <w:lang w:val="en-US"/>
        </w:rPr>
        <w:instrText>were</w:instrText>
      </w:r>
      <w:r w:rsidR="00BA7FFC" w:rsidRPr="00C466A6">
        <w:rPr>
          <w:i/>
        </w:rPr>
        <w:instrText xml:space="preserve"> </w:instrText>
      </w:r>
      <w:r w:rsidR="00BA7FFC">
        <w:rPr>
          <w:i/>
          <w:lang w:val="en-US"/>
        </w:rPr>
        <w:instrText>observed</w:instrText>
      </w:r>
      <w:r w:rsidR="00BA7FFC" w:rsidRPr="00C466A6">
        <w:rPr>
          <w:i/>
        </w:rPr>
        <w:instrText xml:space="preserve"> </w:instrText>
      </w:r>
      <w:r w:rsidR="00BA7FFC">
        <w:rPr>
          <w:i/>
          <w:lang w:val="en-US"/>
        </w:rPr>
        <w:instrText>regardless</w:instrText>
      </w:r>
      <w:r w:rsidR="00BA7FFC" w:rsidRPr="00C466A6">
        <w:rPr>
          <w:i/>
        </w:rPr>
        <w:instrText xml:space="preserve"> </w:instrText>
      </w:r>
      <w:r w:rsidR="00BA7FFC">
        <w:rPr>
          <w:i/>
          <w:lang w:val="en-US"/>
        </w:rPr>
        <w:instrText>of</w:instrText>
      </w:r>
      <w:r w:rsidR="00BA7FFC" w:rsidRPr="00C466A6">
        <w:rPr>
          <w:i/>
        </w:rPr>
        <w:instrText xml:space="preserve"> </w:instrText>
      </w:r>
      <w:r w:rsidR="00BA7FFC">
        <w:rPr>
          <w:i/>
          <w:lang w:val="en-US"/>
        </w:rPr>
        <w:instrText>whether</w:instrText>
      </w:r>
      <w:r w:rsidR="00BA7FFC" w:rsidRPr="00C466A6">
        <w:rPr>
          <w:i/>
        </w:rPr>
        <w:instrText xml:space="preserve"> </w:instrText>
      </w:r>
      <w:r w:rsidR="00BA7FFC">
        <w:rPr>
          <w:i/>
          <w:lang w:val="en-US"/>
        </w:rPr>
        <w:instrText>patients</w:instrText>
      </w:r>
      <w:r w:rsidR="00BA7FFC" w:rsidRPr="00C466A6">
        <w:rPr>
          <w:i/>
        </w:rPr>
        <w:instrText xml:space="preserve"> </w:instrText>
      </w:r>
      <w:r w:rsidR="00BA7FFC">
        <w:rPr>
          <w:i/>
          <w:lang w:val="en-US"/>
        </w:rPr>
        <w:instrText>had</w:instrText>
      </w:r>
      <w:r w:rsidR="00BA7FFC" w:rsidRPr="00C466A6">
        <w:rPr>
          <w:i/>
        </w:rPr>
        <w:instrText xml:space="preserve"> </w:instrText>
      </w:r>
      <w:r w:rsidR="00BA7FFC">
        <w:rPr>
          <w:i/>
          <w:lang w:val="en-US"/>
        </w:rPr>
        <w:instrText>a</w:instrText>
      </w:r>
      <w:r w:rsidR="00BA7FFC" w:rsidRPr="00C466A6">
        <w:rPr>
          <w:i/>
        </w:rPr>
        <w:instrText xml:space="preserve"> </w:instrText>
      </w:r>
      <w:r w:rsidR="00BA7FFC">
        <w:rPr>
          <w:i/>
          <w:lang w:val="en-US"/>
        </w:rPr>
        <w:instrText>chromosome</w:instrText>
      </w:r>
      <w:r w:rsidR="00BA7FFC" w:rsidRPr="00C466A6">
        <w:rPr>
          <w:i/>
        </w:rPr>
        <w:instrText xml:space="preserve"> 17</w:instrText>
      </w:r>
      <w:r w:rsidR="00BA7FFC">
        <w:rPr>
          <w:i/>
          <w:lang w:val="en-US"/>
        </w:rPr>
        <w:instrText>p</w:instrText>
      </w:r>
      <w:r w:rsidR="00BA7FFC" w:rsidRPr="00C466A6">
        <w:rPr>
          <w:i/>
        </w:rPr>
        <w:instrText xml:space="preserve">13.1 </w:instrText>
      </w:r>
      <w:r w:rsidR="00BA7FFC">
        <w:rPr>
          <w:i/>
          <w:lang w:val="en-US"/>
        </w:rPr>
        <w:instrText>deletion</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resistance</w:instrText>
      </w:r>
      <w:r w:rsidR="00BA7FFC" w:rsidRPr="00C466A6">
        <w:rPr>
          <w:i/>
        </w:rPr>
        <w:instrText xml:space="preserve"> </w:instrText>
      </w:r>
      <w:r w:rsidR="00BA7FFC">
        <w:rPr>
          <w:i/>
          <w:lang w:val="en-US"/>
        </w:rPr>
        <w:instrText>to</w:instrText>
      </w:r>
      <w:r w:rsidR="00BA7FFC" w:rsidRPr="00C466A6">
        <w:rPr>
          <w:i/>
        </w:rPr>
        <w:instrText xml:space="preserve"> </w:instrText>
      </w:r>
      <w:r w:rsidR="00BA7FFC">
        <w:rPr>
          <w:i/>
          <w:lang w:val="en-US"/>
        </w:rPr>
        <w:instrText>purine</w:instrText>
      </w:r>
      <w:r w:rsidR="00BA7FFC" w:rsidRPr="00C466A6">
        <w:rPr>
          <w:i/>
        </w:rPr>
        <w:instrText xml:space="preserve"> </w:instrText>
      </w:r>
      <w:r w:rsidR="00BA7FFC">
        <w:rPr>
          <w:i/>
          <w:lang w:val="en-US"/>
        </w:rPr>
        <w:instrText>analogues</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most</w:instrText>
      </w:r>
      <w:r w:rsidR="00BA7FFC" w:rsidRPr="00C466A6">
        <w:rPr>
          <w:i/>
        </w:rPr>
        <w:instrText xml:space="preserve"> </w:instrText>
      </w:r>
      <w:r w:rsidR="00BA7FFC">
        <w:rPr>
          <w:i/>
          <w:lang w:val="en-US"/>
        </w:rPr>
        <w:instrText>frequent</w:instrText>
      </w:r>
      <w:r w:rsidR="00BA7FFC" w:rsidRPr="00C466A6">
        <w:rPr>
          <w:i/>
        </w:rPr>
        <w:instrText xml:space="preserve"> </w:instrText>
      </w:r>
      <w:r w:rsidR="00BA7FFC">
        <w:rPr>
          <w:i/>
          <w:lang w:val="en-US"/>
        </w:rPr>
        <w:instrText>nonhematologic</w:instrText>
      </w:r>
      <w:r w:rsidR="00BA7FFC" w:rsidRPr="00C466A6">
        <w:rPr>
          <w:i/>
        </w:rPr>
        <w:instrText xml:space="preserve"> </w:instrText>
      </w:r>
      <w:r w:rsidR="00BA7FFC">
        <w:rPr>
          <w:i/>
          <w:lang w:val="en-US"/>
        </w:rPr>
        <w:instrText>adverse</w:instrText>
      </w:r>
      <w:r w:rsidR="00BA7FFC" w:rsidRPr="00C466A6">
        <w:rPr>
          <w:i/>
        </w:rPr>
        <w:instrText xml:space="preserve"> </w:instrText>
      </w:r>
      <w:r w:rsidR="00BA7FFC">
        <w:rPr>
          <w:i/>
          <w:lang w:val="en-US"/>
        </w:rPr>
        <w:instrText>events</w:instrText>
      </w:r>
      <w:r w:rsidR="00BA7FFC" w:rsidRPr="00C466A6">
        <w:rPr>
          <w:i/>
        </w:rPr>
        <w:instrText xml:space="preserve"> </w:instrText>
      </w:r>
      <w:r w:rsidR="00BA7FFC">
        <w:rPr>
          <w:i/>
          <w:lang w:val="en-US"/>
        </w:rPr>
        <w:instrText>were</w:instrText>
      </w:r>
      <w:r w:rsidR="00BA7FFC" w:rsidRPr="00C466A6">
        <w:rPr>
          <w:i/>
        </w:rPr>
        <w:instrText xml:space="preserve"> </w:instrText>
      </w:r>
      <w:r w:rsidR="00BA7FFC">
        <w:rPr>
          <w:i/>
          <w:lang w:val="en-US"/>
        </w:rPr>
        <w:instrText>diarrhea</w:instrText>
      </w:r>
      <w:r w:rsidR="00BA7FFC" w:rsidRPr="00C466A6">
        <w:rPr>
          <w:i/>
        </w:rPr>
        <w:instrText xml:space="preserve">, </w:instrText>
      </w:r>
      <w:r w:rsidR="00BA7FFC">
        <w:rPr>
          <w:i/>
          <w:lang w:val="en-US"/>
        </w:rPr>
        <w:instrText>fatigue</w:instrText>
      </w:r>
      <w:r w:rsidR="00BA7FFC" w:rsidRPr="00C466A6">
        <w:rPr>
          <w:i/>
        </w:rPr>
        <w:instrText xml:space="preserve">, </w:instrText>
      </w:r>
      <w:r w:rsidR="00BA7FFC">
        <w:rPr>
          <w:i/>
          <w:lang w:val="en-US"/>
        </w:rPr>
        <w:instrText>pyrexia</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nausea</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fatigue</w:instrText>
      </w:r>
      <w:r w:rsidR="00BA7FFC" w:rsidRPr="00C466A6">
        <w:rPr>
          <w:i/>
        </w:rPr>
        <w:instrText xml:space="preserve">, </w:instrText>
      </w:r>
      <w:r w:rsidR="00BA7FFC">
        <w:rPr>
          <w:i/>
          <w:lang w:val="en-US"/>
        </w:rPr>
        <w:instrText>infusion</w:instrText>
      </w:r>
      <w:r w:rsidR="00BA7FFC" w:rsidRPr="00C466A6">
        <w:rPr>
          <w:i/>
        </w:rPr>
        <w:instrText>-</w:instrText>
      </w:r>
      <w:r w:rsidR="00BA7FFC">
        <w:rPr>
          <w:i/>
          <w:lang w:val="en-US"/>
        </w:rPr>
        <w:instrText>related</w:instrText>
      </w:r>
      <w:r w:rsidR="00BA7FFC" w:rsidRPr="00C466A6">
        <w:rPr>
          <w:i/>
        </w:rPr>
        <w:instrText xml:space="preserve"> </w:instrText>
      </w:r>
      <w:r w:rsidR="00BA7FFC">
        <w:rPr>
          <w:i/>
          <w:lang w:val="en-US"/>
        </w:rPr>
        <w:instrText>reactions</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cough</w:instrText>
      </w:r>
      <w:r w:rsidR="00BA7FFC" w:rsidRPr="00C466A6">
        <w:rPr>
          <w:i/>
        </w:rPr>
        <w:instrText xml:space="preserve"> </w:instrText>
      </w:r>
      <w:r w:rsidR="00BA7FFC">
        <w:rPr>
          <w:i/>
          <w:lang w:val="en-US"/>
        </w:rPr>
        <w:instrText>in</w:instrText>
      </w:r>
      <w:r w:rsidR="00BA7FFC" w:rsidRPr="00C466A6">
        <w:rPr>
          <w:i/>
        </w:rPr>
        <w:instrText xml:space="preserve"> </w:instrText>
      </w:r>
      <w:r w:rsidR="00BA7FFC">
        <w:rPr>
          <w:i/>
          <w:lang w:val="en-US"/>
        </w:rPr>
        <w:instrText>the</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group</w:instrText>
      </w:r>
      <w:r w:rsidR="00BA7FFC" w:rsidRPr="00C466A6">
        <w:rPr>
          <w:i/>
        </w:rPr>
        <w:instrText xml:space="preserve">. </w:instrText>
      </w:r>
      <w:r w:rsidR="00BA7FFC">
        <w:rPr>
          <w:i/>
          <w:lang w:val="en-US"/>
        </w:rPr>
        <w:instrText>CONCLUSIONS</w:instrText>
      </w:r>
      <w:r w:rsidR="00BA7FFC" w:rsidRPr="00C466A6">
        <w:rPr>
          <w:i/>
        </w:rPr>
        <w:instrText xml:space="preserve"> </w:instrText>
      </w:r>
      <w:r w:rsidR="00BA7FFC">
        <w:rPr>
          <w:i/>
          <w:lang w:val="en-US"/>
        </w:rPr>
        <w:instrText>Ibrutinib</w:instrText>
      </w:r>
      <w:r w:rsidR="00BA7FFC" w:rsidRPr="00C466A6">
        <w:rPr>
          <w:i/>
        </w:rPr>
        <w:instrText xml:space="preserve">, </w:instrText>
      </w:r>
      <w:r w:rsidR="00BA7FFC">
        <w:rPr>
          <w:i/>
          <w:lang w:val="en-US"/>
        </w:rPr>
        <w:instrText>as</w:instrText>
      </w:r>
      <w:r w:rsidR="00BA7FFC" w:rsidRPr="00C466A6">
        <w:rPr>
          <w:i/>
        </w:rPr>
        <w:instrText xml:space="preserve"> </w:instrText>
      </w:r>
      <w:r w:rsidR="00BA7FFC">
        <w:rPr>
          <w:i/>
          <w:lang w:val="en-US"/>
        </w:rPr>
        <w:instrText>compared</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ofatumumab</w:instrText>
      </w:r>
      <w:r w:rsidR="00BA7FFC" w:rsidRPr="00C466A6">
        <w:rPr>
          <w:i/>
        </w:rPr>
        <w:instrText xml:space="preserve">, </w:instrText>
      </w:r>
      <w:r w:rsidR="00BA7FFC">
        <w:rPr>
          <w:i/>
          <w:lang w:val="en-US"/>
        </w:rPr>
        <w:instrText>significantly</w:instrText>
      </w:r>
      <w:r w:rsidR="00BA7FFC" w:rsidRPr="00C466A6">
        <w:rPr>
          <w:i/>
        </w:rPr>
        <w:instrText xml:space="preserve"> </w:instrText>
      </w:r>
      <w:r w:rsidR="00BA7FFC">
        <w:rPr>
          <w:i/>
          <w:lang w:val="en-US"/>
        </w:rPr>
        <w:instrText>improved</w:instrText>
      </w:r>
      <w:r w:rsidR="00BA7FFC" w:rsidRPr="00C466A6">
        <w:rPr>
          <w:i/>
        </w:rPr>
        <w:instrText xml:space="preserve"> </w:instrText>
      </w:r>
      <w:r w:rsidR="00BA7FFC">
        <w:rPr>
          <w:i/>
          <w:lang w:val="en-US"/>
        </w:rPr>
        <w:instrText>progression</w:instrText>
      </w:r>
      <w:r w:rsidR="00BA7FFC" w:rsidRPr="00C466A6">
        <w:rPr>
          <w:i/>
        </w:rPr>
        <w:instrText>-</w:instrText>
      </w:r>
      <w:r w:rsidR="00BA7FFC">
        <w:rPr>
          <w:i/>
          <w:lang w:val="en-US"/>
        </w:rPr>
        <w:instrText>free</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overall</w:instrText>
      </w:r>
      <w:r w:rsidR="00BA7FFC" w:rsidRPr="00C466A6">
        <w:rPr>
          <w:i/>
        </w:rPr>
        <w:instrText xml:space="preserve"> </w:instrText>
      </w:r>
      <w:r w:rsidR="00BA7FFC">
        <w:rPr>
          <w:i/>
          <w:lang w:val="en-US"/>
        </w:rPr>
        <w:instrText>survival</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response</w:instrText>
      </w:r>
      <w:r w:rsidR="00BA7FFC" w:rsidRPr="00C466A6">
        <w:rPr>
          <w:i/>
        </w:rPr>
        <w:instrText xml:space="preserve"> </w:instrText>
      </w:r>
      <w:r w:rsidR="00BA7FFC">
        <w:rPr>
          <w:i/>
          <w:lang w:val="en-US"/>
        </w:rPr>
        <w:instrText>rate</w:instrText>
      </w:r>
      <w:r w:rsidR="00BA7FFC" w:rsidRPr="00C466A6">
        <w:rPr>
          <w:i/>
        </w:rPr>
        <w:instrText xml:space="preserve"> </w:instrText>
      </w:r>
      <w:r w:rsidR="00BA7FFC">
        <w:rPr>
          <w:i/>
          <w:lang w:val="en-US"/>
        </w:rPr>
        <w:instrText>among</w:instrText>
      </w:r>
      <w:r w:rsidR="00BA7FFC" w:rsidRPr="00C466A6">
        <w:rPr>
          <w:i/>
        </w:rPr>
        <w:instrText xml:space="preserve"> </w:instrText>
      </w:r>
      <w:r w:rsidR="00BA7FFC">
        <w:rPr>
          <w:i/>
          <w:lang w:val="en-US"/>
        </w:rPr>
        <w:instrText>patients</w:instrText>
      </w:r>
      <w:r w:rsidR="00BA7FFC" w:rsidRPr="00C466A6">
        <w:rPr>
          <w:i/>
        </w:rPr>
        <w:instrText xml:space="preserve"> </w:instrText>
      </w:r>
      <w:r w:rsidR="00BA7FFC">
        <w:rPr>
          <w:i/>
          <w:lang w:val="en-US"/>
        </w:rPr>
        <w:instrText>with</w:instrText>
      </w:r>
      <w:r w:rsidR="00BA7FFC" w:rsidRPr="00C466A6">
        <w:rPr>
          <w:i/>
        </w:rPr>
        <w:instrText xml:space="preserve"> </w:instrText>
      </w:r>
      <w:r w:rsidR="00BA7FFC">
        <w:rPr>
          <w:i/>
          <w:lang w:val="en-US"/>
        </w:rPr>
        <w:instrText>previously</w:instrText>
      </w:r>
      <w:r w:rsidR="00BA7FFC" w:rsidRPr="00C466A6">
        <w:rPr>
          <w:i/>
        </w:rPr>
        <w:instrText xml:space="preserve"> </w:instrText>
      </w:r>
      <w:r w:rsidR="00BA7FFC">
        <w:rPr>
          <w:i/>
          <w:lang w:val="en-US"/>
        </w:rPr>
        <w:instrText>treated</w:instrText>
      </w:r>
      <w:r w:rsidR="00BA7FFC" w:rsidRPr="00C466A6">
        <w:rPr>
          <w:i/>
        </w:rPr>
        <w:instrText xml:space="preserve"> </w:instrText>
      </w:r>
      <w:r w:rsidR="00BA7FFC">
        <w:rPr>
          <w:i/>
          <w:lang w:val="en-US"/>
        </w:rPr>
        <w:instrText>CLL</w:instrText>
      </w:r>
      <w:r w:rsidR="00BA7FFC" w:rsidRPr="00C466A6">
        <w:rPr>
          <w:i/>
        </w:rPr>
        <w:instrText xml:space="preserve"> </w:instrText>
      </w:r>
      <w:r w:rsidR="00BA7FFC">
        <w:rPr>
          <w:i/>
          <w:lang w:val="en-US"/>
        </w:rPr>
        <w:instrText>or</w:instrText>
      </w:r>
      <w:r w:rsidR="00BA7FFC" w:rsidRPr="00C466A6">
        <w:rPr>
          <w:i/>
        </w:rPr>
        <w:instrText xml:space="preserve"> </w:instrText>
      </w:r>
      <w:r w:rsidR="00BA7FFC">
        <w:rPr>
          <w:i/>
          <w:lang w:val="en-US"/>
        </w:rPr>
        <w:instrText>SLL</w:instrText>
      </w:r>
      <w:r w:rsidR="00BA7FFC" w:rsidRPr="00C466A6">
        <w:rPr>
          <w:i/>
        </w:rPr>
        <w:instrText>. (</w:instrText>
      </w:r>
      <w:r w:rsidR="00BA7FFC">
        <w:rPr>
          <w:i/>
          <w:lang w:val="en-US"/>
        </w:rPr>
        <w:instrText>Funded</w:instrText>
      </w:r>
      <w:r w:rsidR="00BA7FFC" w:rsidRPr="00C466A6">
        <w:rPr>
          <w:i/>
        </w:rPr>
        <w:instrText xml:space="preserve"> </w:instrText>
      </w:r>
      <w:r w:rsidR="00BA7FFC">
        <w:rPr>
          <w:i/>
          <w:lang w:val="en-US"/>
        </w:rPr>
        <w:instrText>by</w:instrText>
      </w:r>
      <w:r w:rsidR="00BA7FFC" w:rsidRPr="00C466A6">
        <w:rPr>
          <w:i/>
        </w:rPr>
        <w:instrText xml:space="preserve"> </w:instrText>
      </w:r>
      <w:r w:rsidR="00BA7FFC">
        <w:rPr>
          <w:i/>
          <w:lang w:val="en-US"/>
        </w:rPr>
        <w:instrText>Pharmacyclics</w:instrText>
      </w:r>
      <w:r w:rsidR="00BA7FFC" w:rsidRPr="00C466A6">
        <w:rPr>
          <w:i/>
        </w:rPr>
        <w:instrText xml:space="preserve"> </w:instrText>
      </w:r>
      <w:r w:rsidR="00BA7FFC">
        <w:rPr>
          <w:i/>
          <w:lang w:val="en-US"/>
        </w:rPr>
        <w:instrText>and</w:instrText>
      </w:r>
      <w:r w:rsidR="00BA7FFC" w:rsidRPr="00C466A6">
        <w:rPr>
          <w:i/>
        </w:rPr>
        <w:instrText xml:space="preserve"> </w:instrText>
      </w:r>
      <w:r w:rsidR="00BA7FFC">
        <w:rPr>
          <w:i/>
          <w:lang w:val="en-US"/>
        </w:rPr>
        <w:instrText>Janssen</w:instrText>
      </w:r>
      <w:r w:rsidR="00BA7FFC" w:rsidRPr="00C466A6">
        <w:rPr>
          <w:i/>
        </w:rPr>
        <w:instrText xml:space="preserve">; </w:instrText>
      </w:r>
      <w:r w:rsidR="00BA7FFC">
        <w:rPr>
          <w:i/>
          <w:lang w:val="en-US"/>
        </w:rPr>
        <w:instrText>RESONATE</w:instrText>
      </w:r>
      <w:r w:rsidR="00BA7FFC" w:rsidRPr="00C466A6">
        <w:rPr>
          <w:i/>
        </w:rPr>
        <w:instrText xml:space="preserve"> </w:instrText>
      </w:r>
      <w:r w:rsidR="00BA7FFC">
        <w:rPr>
          <w:i/>
          <w:lang w:val="en-US"/>
        </w:rPr>
        <w:instrText>ClinicalTrials</w:instrText>
      </w:r>
      <w:r w:rsidR="00BA7FFC" w:rsidRPr="00C466A6">
        <w:rPr>
          <w:i/>
        </w:rPr>
        <w:instrText>.</w:instrText>
      </w:r>
      <w:r w:rsidR="00BA7FFC">
        <w:rPr>
          <w:i/>
          <w:lang w:val="en-US"/>
        </w:rPr>
        <w:instrText>gov</w:instrText>
      </w:r>
      <w:r w:rsidR="00BA7FFC" w:rsidRPr="00C466A6">
        <w:rPr>
          <w:i/>
        </w:rPr>
        <w:instrText xml:space="preserve"> </w:instrText>
      </w:r>
      <w:r w:rsidR="00BA7FFC">
        <w:rPr>
          <w:i/>
          <w:lang w:val="en-US"/>
        </w:rPr>
        <w:instrText>number</w:instrText>
      </w:r>
      <w:r w:rsidR="00BA7FFC" w:rsidRPr="00C466A6">
        <w:rPr>
          <w:i/>
        </w:rPr>
        <w:instrText xml:space="preserve">, </w:instrText>
      </w:r>
      <w:r w:rsidR="00BA7FFC">
        <w:rPr>
          <w:i/>
          <w:lang w:val="en-US"/>
        </w:rPr>
        <w:instrText>NCT</w:instrText>
      </w:r>
      <w:r w:rsidR="00BA7FFC" w:rsidRPr="00C466A6">
        <w:rPr>
          <w:i/>
        </w:rPr>
        <w:instrText>01578707.).","</w:instrText>
      </w:r>
      <w:r w:rsidR="00BA7FFC">
        <w:rPr>
          <w:i/>
          <w:lang w:val="en-US"/>
        </w:rPr>
        <w:instrText>author</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Byrd</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John</w:instrText>
      </w:r>
      <w:r w:rsidR="00BA7FFC" w:rsidRPr="00C466A6">
        <w:rPr>
          <w:i/>
        </w:rPr>
        <w:instrText xml:space="preserve"> </w:instrText>
      </w:r>
      <w:r w:rsidR="00BA7FFC">
        <w:rPr>
          <w:i/>
          <w:lang w:val="en-US"/>
        </w:rPr>
        <w:instrText>C</w:instrText>
      </w:r>
      <w:r w:rsidR="00BA7FFC" w:rsidRPr="00C466A6">
        <w:rPr>
          <w:i/>
        </w:rPr>
        <w:instrText>","</w:instrText>
      </w:r>
      <w:r w:rsidR="00BA7FFC">
        <w:rPr>
          <w:i/>
          <w:lang w:val="en-US"/>
        </w:rPr>
        <w:instrText>non</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parse</w:instrText>
      </w:r>
      <w:r w:rsidR="00BA7FFC" w:rsidRPr="00C466A6">
        <w:rPr>
          <w:i/>
        </w:rPr>
        <w:instrText>-</w:instrText>
      </w:r>
      <w:r w:rsidR="00BA7FFC">
        <w:rPr>
          <w:i/>
          <w:lang w:val="en-US"/>
        </w:rPr>
        <w:instrText>names</w:instrText>
      </w:r>
      <w:r w:rsidR="00BA7FFC" w:rsidRPr="00C466A6">
        <w:rPr>
          <w:i/>
        </w:rPr>
        <w:instrText>":</w:instrText>
      </w:r>
      <w:r w:rsidR="00BA7FFC">
        <w:rPr>
          <w:i/>
          <w:lang w:val="en-US"/>
        </w:rPr>
        <w:instrText>false</w:instrText>
      </w:r>
      <w:r w:rsidR="00BA7FFC" w:rsidRPr="00C466A6">
        <w:rPr>
          <w:i/>
        </w:rPr>
        <w:instrText>,"</w:instrText>
      </w:r>
      <w:r w:rsidR="00BA7FFC">
        <w:rPr>
          <w:i/>
          <w:lang w:val="en-US"/>
        </w:rPr>
        <w:instrText>suffix</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Brown</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Jennifer</w:instrText>
      </w:r>
      <w:r w:rsidR="00BA7FFC" w:rsidRPr="00C466A6">
        <w:rPr>
          <w:i/>
        </w:rPr>
        <w:instrText xml:space="preserve"> </w:instrText>
      </w:r>
      <w:r w:rsidR="00BA7FFC">
        <w:rPr>
          <w:i/>
          <w:lang w:val="en-US"/>
        </w:rPr>
        <w:instrText>R</w:instrText>
      </w:r>
      <w:r w:rsidR="00BA7FFC" w:rsidRPr="00C466A6">
        <w:rPr>
          <w:i/>
        </w:rPr>
        <w:instrText>","</w:instrText>
      </w:r>
      <w:r w:rsidR="00BA7FFC">
        <w:rPr>
          <w:i/>
          <w:lang w:val="en-US"/>
        </w:rPr>
        <w:instrText>non</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parse</w:instrText>
      </w:r>
      <w:r w:rsidR="00BA7FFC" w:rsidRPr="00C466A6">
        <w:rPr>
          <w:i/>
        </w:rPr>
        <w:instrText>-</w:instrText>
      </w:r>
      <w:r w:rsidR="00BA7FFC">
        <w:rPr>
          <w:i/>
          <w:lang w:val="en-US"/>
        </w:rPr>
        <w:instrText>names</w:instrText>
      </w:r>
      <w:r w:rsidR="00BA7FFC" w:rsidRPr="00C466A6">
        <w:rPr>
          <w:i/>
        </w:rPr>
        <w:instrText>":</w:instrText>
      </w:r>
      <w:r w:rsidR="00BA7FFC">
        <w:rPr>
          <w:i/>
          <w:lang w:val="en-US"/>
        </w:rPr>
        <w:instrText>false</w:instrText>
      </w:r>
      <w:r w:rsidR="00BA7FFC" w:rsidRPr="00C466A6">
        <w:rPr>
          <w:i/>
        </w:rPr>
        <w:instrText>,"</w:instrText>
      </w:r>
      <w:r w:rsidR="00BA7FFC">
        <w:rPr>
          <w:i/>
          <w:lang w:val="en-US"/>
        </w:rPr>
        <w:instrText>suffix</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O</w:instrText>
      </w:r>
      <w:r w:rsidR="00BA7FFC" w:rsidRPr="00C466A6">
        <w:rPr>
          <w:i/>
        </w:rPr>
        <w:instrText>'</w:instrText>
      </w:r>
      <w:r w:rsidR="00BA7FFC">
        <w:rPr>
          <w:i/>
          <w:lang w:val="en-US"/>
        </w:rPr>
        <w:instrText>Brien</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Susan</w:instrText>
      </w:r>
      <w:r w:rsidR="00BA7FFC" w:rsidRPr="00C466A6">
        <w:rPr>
          <w:i/>
        </w:rPr>
        <w:instrText>","</w:instrText>
      </w:r>
      <w:r w:rsidR="00BA7FFC">
        <w:rPr>
          <w:i/>
          <w:lang w:val="en-US"/>
        </w:rPr>
        <w:instrText>non</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parse</w:instrText>
      </w:r>
      <w:r w:rsidR="00BA7FFC" w:rsidRPr="00C466A6">
        <w:rPr>
          <w:i/>
        </w:rPr>
        <w:instrText>-</w:instrText>
      </w:r>
      <w:r w:rsidR="00BA7FFC">
        <w:rPr>
          <w:i/>
          <w:lang w:val="en-US"/>
        </w:rPr>
        <w:instrText>names</w:instrText>
      </w:r>
      <w:r w:rsidR="00BA7FFC" w:rsidRPr="00C466A6">
        <w:rPr>
          <w:i/>
        </w:rPr>
        <w:instrText>":</w:instrText>
      </w:r>
      <w:r w:rsidR="00BA7FFC">
        <w:rPr>
          <w:i/>
          <w:lang w:val="en-US"/>
        </w:rPr>
        <w:instrText>false</w:instrText>
      </w:r>
      <w:r w:rsidR="00BA7FFC" w:rsidRPr="00C466A6">
        <w:rPr>
          <w:i/>
        </w:rPr>
        <w:instrText>,"</w:instrText>
      </w:r>
      <w:r w:rsidR="00BA7FFC">
        <w:rPr>
          <w:i/>
          <w:lang w:val="en-US"/>
        </w:rPr>
        <w:instrText>suffix</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Barrientos</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Jacqueline</w:instrText>
      </w:r>
      <w:r w:rsidR="00BA7FFC" w:rsidRPr="00C466A6">
        <w:rPr>
          <w:i/>
        </w:rPr>
        <w:instrText xml:space="preserve"> </w:instrText>
      </w:r>
      <w:r w:rsidR="00BA7FFC">
        <w:rPr>
          <w:i/>
          <w:lang w:val="en-US"/>
        </w:rPr>
        <w:instrText>C</w:instrText>
      </w:r>
      <w:r w:rsidR="00BA7FFC" w:rsidRPr="00C466A6">
        <w:rPr>
          <w:i/>
        </w:rPr>
        <w:instrText>","</w:instrText>
      </w:r>
      <w:r w:rsidR="00BA7FFC">
        <w:rPr>
          <w:i/>
          <w:lang w:val="en-US"/>
        </w:rPr>
        <w:instrText>non</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parse</w:instrText>
      </w:r>
      <w:r w:rsidR="00BA7FFC" w:rsidRPr="00C466A6">
        <w:rPr>
          <w:i/>
        </w:rPr>
        <w:instrText>-</w:instrText>
      </w:r>
      <w:r w:rsidR="00BA7FFC">
        <w:rPr>
          <w:i/>
          <w:lang w:val="en-US"/>
        </w:rPr>
        <w:instrText>names</w:instrText>
      </w:r>
      <w:r w:rsidR="00BA7FFC" w:rsidRPr="00C466A6">
        <w:rPr>
          <w:i/>
        </w:rPr>
        <w:instrText>":</w:instrText>
      </w:r>
      <w:r w:rsidR="00BA7FFC">
        <w:rPr>
          <w:i/>
          <w:lang w:val="en-US"/>
        </w:rPr>
        <w:instrText>false</w:instrText>
      </w:r>
      <w:r w:rsidR="00BA7FFC" w:rsidRPr="00C466A6">
        <w:rPr>
          <w:i/>
        </w:rPr>
        <w:instrText>,"</w:instrText>
      </w:r>
      <w:r w:rsidR="00BA7FFC">
        <w:rPr>
          <w:i/>
          <w:lang w:val="en-US"/>
        </w:rPr>
        <w:instrText>suffix</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Kay</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Neil</w:instrText>
      </w:r>
      <w:r w:rsidR="00BA7FFC" w:rsidRPr="00C466A6">
        <w:rPr>
          <w:i/>
        </w:rPr>
        <w:instrText xml:space="preserve"> </w:instrText>
      </w:r>
      <w:r w:rsidR="00BA7FFC">
        <w:rPr>
          <w:i/>
          <w:lang w:val="en-US"/>
        </w:rPr>
        <w:instrText>E</w:instrText>
      </w:r>
      <w:r w:rsidR="00BA7FFC" w:rsidRPr="00C466A6">
        <w:rPr>
          <w:i/>
        </w:rPr>
        <w:instrText>","</w:instrText>
      </w:r>
      <w:r w:rsidR="00BA7FFC">
        <w:rPr>
          <w:i/>
          <w:lang w:val="en-US"/>
        </w:rPr>
        <w:instrText>non</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parse</w:instrText>
      </w:r>
      <w:r w:rsidR="00BA7FFC" w:rsidRPr="00C466A6">
        <w:rPr>
          <w:i/>
        </w:rPr>
        <w:instrText>-</w:instrText>
      </w:r>
      <w:r w:rsidR="00BA7FFC">
        <w:rPr>
          <w:i/>
          <w:lang w:val="en-US"/>
        </w:rPr>
        <w:instrText>names</w:instrText>
      </w:r>
      <w:r w:rsidR="00BA7FFC" w:rsidRPr="00C466A6">
        <w:rPr>
          <w:i/>
        </w:rPr>
        <w:instrText>":</w:instrText>
      </w:r>
      <w:r w:rsidR="00BA7FFC">
        <w:rPr>
          <w:i/>
          <w:lang w:val="en-US"/>
        </w:rPr>
        <w:instrText>false</w:instrText>
      </w:r>
      <w:r w:rsidR="00BA7FFC" w:rsidRPr="00C466A6">
        <w:rPr>
          <w:i/>
        </w:rPr>
        <w:instrText>,"</w:instrText>
      </w:r>
      <w:r w:rsidR="00BA7FFC">
        <w:rPr>
          <w:i/>
          <w:lang w:val="en-US"/>
        </w:rPr>
        <w:instrText>suffix</w:instrText>
      </w:r>
      <w:r w:rsidR="00BA7FFC" w:rsidRPr="00C466A6">
        <w:rPr>
          <w:i/>
        </w:rPr>
        <w:instrText>":""},{"</w:instrText>
      </w:r>
      <w:r w:rsidR="00BA7FFC">
        <w:rPr>
          <w:i/>
          <w:lang w:val="en-US"/>
        </w:rPr>
        <w:instrText>dropping</w:instrText>
      </w:r>
      <w:r w:rsidR="00BA7FFC" w:rsidRPr="00C466A6">
        <w:rPr>
          <w:i/>
        </w:rPr>
        <w:instrText>-</w:instrText>
      </w:r>
      <w:r w:rsidR="00BA7FFC">
        <w:rPr>
          <w:i/>
          <w:lang w:val="en-US"/>
        </w:rPr>
        <w:instrText>particle</w:instrText>
      </w:r>
      <w:r w:rsidR="00BA7FFC" w:rsidRPr="00C466A6">
        <w:rPr>
          <w:i/>
        </w:rPr>
        <w:instrText>":"","</w:instrText>
      </w:r>
      <w:r w:rsidR="00BA7FFC">
        <w:rPr>
          <w:i/>
          <w:lang w:val="en-US"/>
        </w:rPr>
        <w:instrText>family</w:instrText>
      </w:r>
      <w:r w:rsidR="00BA7FFC" w:rsidRPr="00C466A6">
        <w:rPr>
          <w:i/>
        </w:rPr>
        <w:instrText>":"</w:instrText>
      </w:r>
      <w:r w:rsidR="00BA7FFC">
        <w:rPr>
          <w:i/>
          <w:lang w:val="en-US"/>
        </w:rPr>
        <w:instrText>Reddy</w:instrText>
      </w:r>
      <w:r w:rsidR="00BA7FFC" w:rsidRPr="00C466A6">
        <w:rPr>
          <w:i/>
        </w:rPr>
        <w:instrText>","</w:instrText>
      </w:r>
      <w:r w:rsidR="00BA7FFC">
        <w:rPr>
          <w:i/>
          <w:lang w:val="en-US"/>
        </w:rPr>
        <w:instrText>given</w:instrText>
      </w:r>
      <w:r w:rsidR="00BA7FFC" w:rsidRPr="00C466A6">
        <w:rPr>
          <w:i/>
        </w:rPr>
        <w:instrText>":"</w:instrText>
      </w:r>
      <w:r w:rsidR="00BA7FFC">
        <w:rPr>
          <w:i/>
          <w:lang w:val="en-US"/>
        </w:rPr>
        <w:instrText>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follow-up","type":"paper-conference"},"uris":["http://www.mendeley.com/documents/?uuid=28f9196e-f1f2-4f10-97ab-fb35902d5ed7"]},{"id":"ITEM-3","itemData":{"DOI":"10.1016/S1470-2045(15)00465-9","ISSN":"14745488","abstract":"Background: Most patients with chronic lymphocytic leukaemia or small lymphocytic lymphoma relapse after initial therapy. Bendamustine plus rituximab is often used in the relapsed or refractory setting. We assessed the efficacy and safety of adding ibrutinib, an oral covalent inhibitor of Bruton's tyrosine kinase (BTK), to bendamustine plus rituximab in patients with previously treated chronic lymphocytic leukaemia or small lymphocytic lymphoma. Methods: The HELIOS trial was an international, double-blind, placebo-controlled, phase 3 study in adult patients (≥18 years of age) who had active chronic lymphocytic leukaemia or small lymphocytic lymphoma with measurable lymph node disease (&gt;1·5 cm) by CT scan, and had relapsed or refractory disease following one or more previous lines of systemic therapy consisting of at least two cycles of a chemotherapy-containing regimen, an Eastern Cooperative Oncology Group (ECOG) performance status of 0-1, and adequate bone marrow, liver, and kidney function. Patients with del(17p) were excluded because of known poor response to bendamustine plus rituximab. Patients who had received previous treatment with ibrutinib or other BTK inhibitors, refractory disease or relapse within 24 months with a previous bendamustine-containing regimen, or haemopoietic stem-cell transplant were also excluded. Patients were randomly assigned (1:1) by a web-based system to receive bendamustine plus rituximab given in cycles of 4 weeks' duration (bendamustine: 70 mg/m2 intravenously on days 2-3 in cycle 1, and days 1-2 in cycles 2-6; rituximab: 375 mg/m2 on day 1 of cycle 1, and 500 mg/m2 on day 1 of cycles 2-6 for a maximum of six cycles) with either ibrutinib (420 mg daily orally) or placebo until disease progression or unacceptable toxicity. Patients were stratified according to whether they were refractory to purine analogues and by number of previous lines of therapy. The primary endpoint was independent review committee (IRC)-assessed progression-free survival. Crossover to ibrutinib was permitted for patients in the placebo group with IRC-confirmed disease progression. Analysis was by intention-to-treat and is continuing for further long-term follow-up. The trial is registered with ClinicalTrials.gov, number NCT01611090. Findings: Between Sept 19, 2012, and Jan 21, 2014, 578 eligible patients were randomly assigned to ibrutinib or placebo in combination with bendamustine plus rituximab (289 in each group). The primary endpoint was me…","author":[{"dropping-particle":"","family":"Chanan-Khan","given":"Asher","non-dropping-particle":"","parse-names":false,"suffix":""},{"dropping-particle":"","family":"Cramer","given":"Paula","non-dropping-particle":"","parse-names":false,"suffix":""},{"dropping-particle":"","family":"Demirkan","given":"Fatih","non-dropping-particle":"","parse-names":false,"suffix":""},{"dropping-particle":"","family":"Fraser","given":"Graeme","non-dropping-particle":"","parse-names":false,"suffix":""},{"dropping-particle":"","family":"Silva","given":"Rodrigo Santucci","non-dropping-particle":"","parse-names":false,"suffix":""},{"dropping-particle":"","family":"Grosicki","given":"Sebastian","non-dropping-particle":"","parse-names":false,"suffix":""},{"dropping-particle":"","family":"Pristupa","given":"Aleksander","non-dropping-particle":"","parse-names":false,"suffix":""},{"dropping-particle":"","family":"Janssens","given":"Ann","non-dropping-particle":"","parse-names":false,"suffix":""},{"dropping-particle":"","family":"Mayer","given":"Jiri","non-dropping-particle":"","parse-names":false,"suffix":""},{"dropping-particle":"","family":"Bartlett","given":"Nancy L.","non-dropping-particle":"","parse-names":false,"suffix":""},{"dropping-particle":"","family":"Dilhuydy","given":"Marie Sarah","non-dropping-particle":"","parse-names":false,"suffix":""},{"dropping-particle":"","family":"Pylypenko","given":"Halyna","non-dropping-particle":"","parse-names":false,"suffix":""},{"dropping-particle":"","family":"Loscertales","given":"Javier","non-dropping-particle":"","parse-names":false,"suffix":""},{"dropping-particle":"","family":"Avigdor","given":"Abraham","non-dropping-particle":"","parse-names":false,"suffix":""},{"dropping-particle":"","family":"Rule","given":"Simon","non-dropping-particle":"","parse-names":false,"suffix":""},{"dropping-particle":"","family":"Villa","given":"Diego","non-dropping-particle":"","parse-names":false,"suffix":""},{"dropping-particle":"","family":"Samoilova","given":"Olga","non-dropping-particle":"","parse-names":false,"suffix":""},{"dropping-particle":"","family":"Panagiotidis","given":"Panagiots","non-dropping-particle":"","parse-names":false,"suffix":""},{"dropping-particle":"","family":"Goy","given":"Andre","non-dropping-particle":"","parse-names":false,"suffix":""},{"dropping-particle":"","family":"Mato","given":"Anthony","non-dropping-particle":"","parse-names":false,"suffix":""},{"dropping-particle":"","family":"Pavlovsky","given":"Miguel A.","non-dropping-particle":"","parse-names":false,"suffix":""},{"dropping-particle":"","family":"Karlsson","given":"Claes","non-dropping-particle":"","parse-names":false,"suffix":""},{"dropping-particle":"","family":"Mahler","given":"Michelle","non-dropping-particle":"","parse-names":false,"suffix":""},{"dropping-particle":"","family":"Salman","given":"Mariya","non-dropping-particle":"","parse-names":false,"suffix":""},{"dropping-particle":"","family":"Sun","given":"Steven","non-dropping-particle":"","parse-names":false,"suffix":""},{"dropping-particle":"","family":"Phelps","given":"Charles","non-dropping-particle":"","parse-names":false,"suffix":""},{"dropping-particle":"","family":"Balasubramanian","given":"Sriram","non-dropping-particle":"","parse-names":false,"suffix":""},{"dropping-particle":"","family":"Howes","given":"Angela","non-dropping-particle":"","parse-names":false,"suffix":""},{"dropping-particle":"","family":"Hallek","given":"Michael","non-dropping-particle":"","parse-names":false,"suffix":""}],"container-title":"The Lancet Oncology","id":"ITEM-3","issue":"2","issued":{"date-parts":[["2016","2","1"]]},"page":"200-211","publisher":"Lancet Publishing Group","title":"Ibrutinib combined with bendamustine and rituximab compared with placebo, bendamustine, and rituximab for previously treated chronic lymphocytic leukaemia or small lymphocytic lymphoma (HELIOS): A randomised, double-blind, phase 3 study","type":"article-journal","volume":"17"},"uris":["http://www.mendeley.com/documents/?uuid=2ca143e0-3f1a-3678-ac7a-d4390983ad33"]},{"id":"ITEM-4","itemData":{"author":[{"dropping-particle":"","family":"Hallek","given":"M","non-dropping-particle":"","parse-names":false,"suffix":""},{"dropping-particle":"","family":"Fraser","given":"G","non-dropping-particle":"","parse-names":false,"suffix":""},{"dropping-particle":"","family":"Cramer","given":"P","non-dropping-particle":"","parse-names":false,"suffix":""},{"dropping-particle":"","family":"Demirkan","given":"F","non-dropping-particle":"","parse-names":false,"suffix":""},{"dropping-particle":"","family":"Silva","given":"RS","non-dropping-particle":"","parse-names":false,"suffix":""},{"dropping-particle":"","family":"Grosicki","given":"S","non-dropping-particle":"","parse-names":false,"suffix":""},{"dropping-particle":"","family":"Janssens","given":"A","non-dropping-particle":"","parse-names":false,"suffix":""},{"dropping-particle":"","family":"Pristupa","given":"A","non-dropping-particle":"","parse-names":false,"suffix":""},{"dropping-particle":"","family":"Mayer","given":"J","non-dropping-particle":"","parse-names":false,"suffix":""},{"dropping-particle":"","family":"Dilhuydy","given":"MS","non-dropping-particle":"","parse-names":false,"suffix":""},{"dropping-particle":"","family":"Loscertales","given":"J","non-dropping-particle":"","parse-names":false,"suffix":""},{"dropping-particle":"","family":"Bartlett","given":"N","non-dropping-particle":"","parse-names":false,"suffix":""},{"dropping-particle":"","family":"Avigdor","given":"A","non-dropping-particle":"","parse-names":false,"suffix":""},{"dropping-particle":"","family</w:instrText>
      </w:r>
      <w:r w:rsidR="00BA7FFC" w:rsidRPr="00AD4D8E">
        <w:rPr>
          <w:i/>
        </w:rPr>
        <w:instrText>":"</w:instrText>
      </w:r>
      <w:r w:rsidR="00BA7FFC">
        <w:rPr>
          <w:i/>
          <w:lang w:val="en-US"/>
        </w:rPr>
        <w:instrText>Rule</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S</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Sun</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S</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Mahler</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M</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Phelps</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C</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Salman</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M</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Howes</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A</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family</w:instrText>
      </w:r>
      <w:r w:rsidR="00BA7FFC" w:rsidRPr="00AD4D8E">
        <w:rPr>
          <w:i/>
        </w:rPr>
        <w:instrText>":"</w:instrText>
      </w:r>
      <w:r w:rsidR="00BA7FFC">
        <w:rPr>
          <w:i/>
          <w:lang w:val="en-US"/>
        </w:rPr>
        <w:instrText>Chanan</w:instrText>
      </w:r>
      <w:r w:rsidR="00BA7FFC" w:rsidRPr="00AD4D8E">
        <w:rPr>
          <w:i/>
        </w:rPr>
        <w:instrText>-</w:instrText>
      </w:r>
      <w:r w:rsidR="00BA7FFC">
        <w:rPr>
          <w:i/>
          <w:lang w:val="en-US"/>
        </w:rPr>
        <w:instrText>Khan</w:instrText>
      </w:r>
      <w:r w:rsidR="00BA7FFC" w:rsidRPr="00AD4D8E">
        <w:rPr>
          <w:i/>
        </w:rPr>
        <w:instrText>","</w:instrText>
      </w:r>
      <w:r w:rsidR="00BA7FFC">
        <w:rPr>
          <w:i/>
          <w:lang w:val="en-US"/>
        </w:rPr>
        <w:instrText>given</w:instrText>
      </w:r>
      <w:r w:rsidR="00BA7FFC" w:rsidRPr="00AD4D8E">
        <w:rPr>
          <w:i/>
        </w:rPr>
        <w:instrText>":"</w:instrText>
      </w:r>
      <w:r w:rsidR="00BA7FFC">
        <w:rPr>
          <w:i/>
          <w:lang w:val="en-US"/>
        </w:rPr>
        <w:instrText>A</w:instrText>
      </w:r>
      <w:r w:rsidR="00BA7FFC" w:rsidRPr="00AD4D8E">
        <w:rPr>
          <w:i/>
        </w:rPr>
        <w:instrText>","</w:instrText>
      </w:r>
      <w:r w:rsidR="00BA7FFC">
        <w:rPr>
          <w:i/>
          <w:lang w:val="en-US"/>
        </w:rPr>
        <w:instrText>non</w:instrText>
      </w:r>
      <w:r w:rsidR="00BA7FFC" w:rsidRPr="00AD4D8E">
        <w:rPr>
          <w:i/>
        </w:rPr>
        <w:instrText>-</w:instrText>
      </w:r>
      <w:r w:rsidR="00BA7FFC">
        <w:rPr>
          <w:i/>
          <w:lang w:val="en-US"/>
        </w:rPr>
        <w:instrText>dropping</w:instrText>
      </w:r>
      <w:r w:rsidR="00BA7FFC" w:rsidRPr="00AD4D8E">
        <w:rPr>
          <w:i/>
        </w:rPr>
        <w:instrText>-</w:instrText>
      </w:r>
      <w:r w:rsidR="00BA7FFC">
        <w:rPr>
          <w:i/>
          <w:lang w:val="en-US"/>
        </w:rPr>
        <w:instrText>particle</w:instrText>
      </w:r>
      <w:r w:rsidR="00BA7FFC" w:rsidRPr="00AD4D8E">
        <w:rPr>
          <w:i/>
        </w:rPr>
        <w:instrText>":"","</w:instrText>
      </w:r>
      <w:r w:rsidR="00BA7FFC">
        <w:rPr>
          <w:i/>
          <w:lang w:val="en-US"/>
        </w:rPr>
        <w:instrText>parse</w:instrText>
      </w:r>
      <w:r w:rsidR="00BA7FFC" w:rsidRPr="00AD4D8E">
        <w:rPr>
          <w:i/>
        </w:rPr>
        <w:instrText>-</w:instrText>
      </w:r>
      <w:r w:rsidR="00BA7FFC">
        <w:rPr>
          <w:i/>
          <w:lang w:val="en-US"/>
        </w:rPr>
        <w:instrText>names</w:instrText>
      </w:r>
      <w:r w:rsidR="00BA7FFC" w:rsidRPr="00AD4D8E">
        <w:rPr>
          <w:i/>
        </w:rPr>
        <w:instrText>":</w:instrText>
      </w:r>
      <w:r w:rsidR="00BA7FFC">
        <w:rPr>
          <w:i/>
          <w:lang w:val="en-US"/>
        </w:rPr>
        <w:instrText>false</w:instrText>
      </w:r>
      <w:r w:rsidR="00BA7FFC" w:rsidRPr="00AD4D8E">
        <w:rPr>
          <w:i/>
        </w:rPr>
        <w:instrText>,"</w:instrText>
      </w:r>
      <w:r w:rsidR="00BA7FFC">
        <w:rPr>
          <w:i/>
          <w:lang w:val="en-US"/>
        </w:rPr>
        <w:instrText>suffix</w:instrText>
      </w:r>
      <w:r w:rsidR="00BA7FFC" w:rsidRPr="00AD4D8E">
        <w:rPr>
          <w:i/>
        </w:rPr>
        <w:instrText>":""}],"</w:instrText>
      </w:r>
      <w:r w:rsidR="00BA7FFC">
        <w:rPr>
          <w:i/>
          <w:lang w:val="en-US"/>
        </w:rPr>
        <w:instrText>container</w:instrText>
      </w:r>
      <w:r w:rsidR="00BA7FFC" w:rsidRPr="00AD4D8E">
        <w:rPr>
          <w:i/>
        </w:rPr>
        <w:instrText>-</w:instrText>
      </w:r>
      <w:r w:rsidR="00BA7FFC">
        <w:rPr>
          <w:i/>
          <w:lang w:val="en-US"/>
        </w:rPr>
        <w:instrText>title</w:instrText>
      </w:r>
      <w:r w:rsidR="00BA7FFC" w:rsidRPr="00AD4D8E">
        <w:rPr>
          <w:i/>
        </w:rPr>
        <w:instrText>":"</w:instrText>
      </w:r>
      <w:r w:rsidR="00BA7FFC">
        <w:rPr>
          <w:i/>
          <w:lang w:val="en-US"/>
        </w:rPr>
        <w:instrText>Leukemia</w:instrText>
      </w:r>
      <w:r w:rsidR="00BA7FFC" w:rsidRPr="00AD4D8E">
        <w:rPr>
          <w:i/>
        </w:rPr>
        <w:instrText xml:space="preserve"> &amp; </w:instrText>
      </w:r>
      <w:r w:rsidR="00BA7FFC">
        <w:rPr>
          <w:i/>
          <w:lang w:val="en-US"/>
        </w:rPr>
        <w:instrText>lymphoma</w:instrText>
      </w:r>
      <w:r w:rsidR="00BA7FFC" w:rsidRPr="00AD4D8E">
        <w:rPr>
          <w:i/>
        </w:rPr>
        <w:instrText>","</w:instrText>
      </w:r>
      <w:r w:rsidR="00BA7FFC">
        <w:rPr>
          <w:i/>
          <w:lang w:val="en-US"/>
        </w:rPr>
        <w:instrText>id</w:instrText>
      </w:r>
      <w:r w:rsidR="00BA7FFC" w:rsidRPr="00AD4D8E">
        <w:rPr>
          <w:i/>
        </w:rPr>
        <w:instrText>":"</w:instrText>
      </w:r>
      <w:r w:rsidR="00BA7FFC">
        <w:rPr>
          <w:i/>
          <w:lang w:val="en-US"/>
        </w:rPr>
        <w:instrText>ITEM</w:instrText>
      </w:r>
      <w:r w:rsidR="00BA7FFC" w:rsidRPr="00AD4D8E">
        <w:rPr>
          <w:i/>
        </w:rPr>
        <w:instrText>-4","</w:instrText>
      </w:r>
      <w:r w:rsidR="00BA7FFC">
        <w:rPr>
          <w:i/>
          <w:lang w:val="en-US"/>
        </w:rPr>
        <w:instrText>issued</w:instrText>
      </w:r>
      <w:r w:rsidR="00BA7FFC" w:rsidRPr="00AD4D8E">
        <w:rPr>
          <w:i/>
        </w:rPr>
        <w:instrText>":{"</w:instrText>
      </w:r>
      <w:r w:rsidR="00BA7FFC">
        <w:rPr>
          <w:i/>
          <w:lang w:val="en-US"/>
        </w:rPr>
        <w:instrText>date</w:instrText>
      </w:r>
      <w:r w:rsidR="00BA7FFC" w:rsidRPr="00AD4D8E">
        <w:rPr>
          <w:i/>
        </w:rPr>
        <w:instrText>-</w:instrText>
      </w:r>
      <w:r w:rsidR="00BA7FFC">
        <w:rPr>
          <w:i/>
          <w:lang w:val="en-US"/>
        </w:rPr>
        <w:instrText>parts</w:instrText>
      </w:r>
      <w:r w:rsidR="00BA7FFC" w:rsidRPr="00AD4D8E">
        <w:rPr>
          <w:i/>
        </w:rPr>
        <w:instrText>":[["2017"]]},"</w:instrText>
      </w:r>
      <w:r w:rsidR="00BA7FFC">
        <w:rPr>
          <w:i/>
          <w:lang w:val="en-US"/>
        </w:rPr>
        <w:instrText>page</w:instrText>
      </w:r>
      <w:r w:rsidR="00BA7FFC" w:rsidRPr="00AD4D8E">
        <w:rPr>
          <w:i/>
        </w:rPr>
        <w:instrText>":"192-194","</w:instrText>
      </w:r>
      <w:r w:rsidR="00BA7FFC">
        <w:rPr>
          <w:i/>
          <w:lang w:val="en-US"/>
        </w:rPr>
        <w:instrText>title</w:instrText>
      </w:r>
      <w:r w:rsidR="00BA7FFC" w:rsidRPr="00AD4D8E">
        <w:rPr>
          <w:i/>
        </w:rPr>
        <w:instrText>":"</w:instrText>
      </w:r>
      <w:r w:rsidR="00BA7FFC">
        <w:rPr>
          <w:i/>
          <w:lang w:val="en-US"/>
        </w:rPr>
        <w:instrText>Three</w:instrText>
      </w:r>
      <w:r w:rsidR="00BA7FFC" w:rsidRPr="00AD4D8E">
        <w:rPr>
          <w:i/>
        </w:rPr>
        <w:instrText>-</w:instrText>
      </w:r>
      <w:r w:rsidR="00BA7FFC">
        <w:rPr>
          <w:i/>
          <w:lang w:val="en-US"/>
        </w:rPr>
        <w:instrText>year</w:instrText>
      </w:r>
      <w:r w:rsidR="00BA7FFC" w:rsidRPr="00AD4D8E">
        <w:rPr>
          <w:i/>
        </w:rPr>
        <w:instrText xml:space="preserve"> </w:instrText>
      </w:r>
      <w:r w:rsidR="00BA7FFC">
        <w:rPr>
          <w:i/>
          <w:lang w:val="en-US"/>
        </w:rPr>
        <w:instrText>follow</w:instrText>
      </w:r>
      <w:r w:rsidR="00BA7FFC" w:rsidRPr="00AD4D8E">
        <w:rPr>
          <w:i/>
        </w:rPr>
        <w:instrText>-</w:instrText>
      </w:r>
      <w:r w:rsidR="00BA7FFC">
        <w:rPr>
          <w:i/>
          <w:lang w:val="en-US"/>
        </w:rPr>
        <w:instrText>up</w:instrText>
      </w:r>
      <w:r w:rsidR="00BA7FFC" w:rsidRPr="00AD4D8E">
        <w:rPr>
          <w:i/>
        </w:rPr>
        <w:instrText xml:space="preserve"> </w:instrText>
      </w:r>
      <w:r w:rsidR="00BA7FFC">
        <w:rPr>
          <w:i/>
          <w:lang w:val="en-US"/>
        </w:rPr>
        <w:instrText>of</w:instrText>
      </w:r>
      <w:r w:rsidR="00BA7FFC" w:rsidRPr="00AD4D8E">
        <w:rPr>
          <w:i/>
        </w:rPr>
        <w:instrText xml:space="preserve"> </w:instrText>
      </w:r>
      <w:r w:rsidR="00BA7FFC">
        <w:rPr>
          <w:i/>
          <w:lang w:val="en-US"/>
        </w:rPr>
        <w:instrText>patients</w:instrText>
      </w:r>
      <w:r w:rsidR="00BA7FFC" w:rsidRPr="00AD4D8E">
        <w:rPr>
          <w:i/>
        </w:rPr>
        <w:instrText xml:space="preserve"> </w:instrText>
      </w:r>
      <w:r w:rsidR="00BA7FFC">
        <w:rPr>
          <w:i/>
          <w:lang w:val="en-US"/>
        </w:rPr>
        <w:instrText>with</w:instrText>
      </w:r>
      <w:r w:rsidR="00BA7FFC" w:rsidRPr="00AD4D8E">
        <w:rPr>
          <w:i/>
        </w:rPr>
        <w:instrText xml:space="preserve"> </w:instrText>
      </w:r>
      <w:r w:rsidR="00BA7FFC">
        <w:rPr>
          <w:i/>
          <w:lang w:val="en-US"/>
        </w:rPr>
        <w:instrText>previously</w:instrText>
      </w:r>
      <w:r w:rsidR="00BA7FFC" w:rsidRPr="00AD4D8E">
        <w:rPr>
          <w:i/>
        </w:rPr>
        <w:instrText xml:space="preserve"> </w:instrText>
      </w:r>
      <w:r w:rsidR="00BA7FFC">
        <w:rPr>
          <w:i/>
          <w:lang w:val="en-US"/>
        </w:rPr>
        <w:instrText>treated</w:instrText>
      </w:r>
      <w:r w:rsidR="00BA7FFC" w:rsidRPr="00AD4D8E">
        <w:rPr>
          <w:i/>
        </w:rPr>
        <w:instrText xml:space="preserve"> </w:instrText>
      </w:r>
      <w:r w:rsidR="00BA7FFC">
        <w:rPr>
          <w:i/>
          <w:lang w:val="en-US"/>
        </w:rPr>
        <w:instrText>chronic</w:instrText>
      </w:r>
      <w:r w:rsidR="00BA7FFC" w:rsidRPr="00AD4D8E">
        <w:rPr>
          <w:i/>
        </w:rPr>
        <w:instrText xml:space="preserve"> </w:instrText>
      </w:r>
      <w:r w:rsidR="00BA7FFC">
        <w:rPr>
          <w:i/>
          <w:lang w:val="en-US"/>
        </w:rPr>
        <w:instrText>lymphocytic</w:instrText>
      </w:r>
      <w:r w:rsidR="00BA7FFC" w:rsidRPr="00AD4D8E">
        <w:rPr>
          <w:i/>
        </w:rPr>
        <w:instrText xml:space="preserve"> </w:instrText>
      </w:r>
      <w:r w:rsidR="00BA7FFC">
        <w:rPr>
          <w:i/>
          <w:lang w:val="en-US"/>
        </w:rPr>
        <w:instrText>leukemia</w:instrText>
      </w:r>
      <w:r w:rsidR="00BA7FFC" w:rsidRPr="00AD4D8E">
        <w:rPr>
          <w:i/>
        </w:rPr>
        <w:instrText xml:space="preserve"> (</w:instrText>
      </w:r>
      <w:r w:rsidR="00BA7FFC">
        <w:rPr>
          <w:i/>
          <w:lang w:val="en-US"/>
        </w:rPr>
        <w:instrText>CLL</w:instrText>
      </w:r>
      <w:r w:rsidR="00BA7FFC" w:rsidRPr="00AD4D8E">
        <w:rPr>
          <w:i/>
        </w:rPr>
        <w:instrText xml:space="preserve">) </w:instrText>
      </w:r>
      <w:r w:rsidR="00BA7FFC">
        <w:rPr>
          <w:i/>
          <w:lang w:val="en-US"/>
        </w:rPr>
        <w:instrText>or</w:instrText>
      </w:r>
      <w:r w:rsidR="00BA7FFC" w:rsidRPr="00AD4D8E">
        <w:rPr>
          <w:i/>
        </w:rPr>
        <w:instrText xml:space="preserve"> </w:instrText>
      </w:r>
      <w:r w:rsidR="00BA7FFC">
        <w:rPr>
          <w:i/>
          <w:lang w:val="en-US"/>
        </w:rPr>
        <w:instrText>small</w:instrText>
      </w:r>
      <w:r w:rsidR="00BA7FFC" w:rsidRPr="00AD4D8E">
        <w:rPr>
          <w:i/>
        </w:rPr>
        <w:instrText xml:space="preserve"> </w:instrText>
      </w:r>
      <w:r w:rsidR="00BA7FFC">
        <w:rPr>
          <w:i/>
          <w:lang w:val="en-US"/>
        </w:rPr>
        <w:instrText>lymphocytic</w:instrText>
      </w:r>
      <w:r w:rsidR="00BA7FFC" w:rsidRPr="00AD4D8E">
        <w:rPr>
          <w:i/>
        </w:rPr>
        <w:instrText xml:space="preserve"> </w:instrText>
      </w:r>
      <w:r w:rsidR="00BA7FFC">
        <w:rPr>
          <w:i/>
          <w:lang w:val="en-US"/>
        </w:rPr>
        <w:instrText>lymphoma</w:instrText>
      </w:r>
      <w:r w:rsidR="00BA7FFC" w:rsidRPr="00AD4D8E">
        <w:rPr>
          <w:i/>
        </w:rPr>
        <w:instrText xml:space="preserve"> (</w:instrText>
      </w:r>
      <w:r w:rsidR="00BA7FFC">
        <w:rPr>
          <w:i/>
          <w:lang w:val="en-US"/>
        </w:rPr>
        <w:instrText>SLL</w:instrText>
      </w:r>
      <w:r w:rsidR="00BA7FFC" w:rsidRPr="00AD4D8E">
        <w:rPr>
          <w:i/>
        </w:rPr>
        <w:instrText xml:space="preserve">) </w:instrText>
      </w:r>
      <w:r w:rsidR="00BA7FFC">
        <w:rPr>
          <w:i/>
          <w:lang w:val="en-US"/>
        </w:rPr>
        <w:instrText>receiving</w:instrText>
      </w:r>
      <w:r w:rsidR="00BA7FFC" w:rsidRPr="00AD4D8E">
        <w:rPr>
          <w:i/>
        </w:rPr>
        <w:instrText xml:space="preserve"> </w:instrText>
      </w:r>
      <w:r w:rsidR="00BA7FFC">
        <w:rPr>
          <w:i/>
          <w:lang w:val="en-US"/>
        </w:rPr>
        <w:instrText>ibrutinib</w:instrText>
      </w:r>
      <w:r w:rsidR="00BA7FFC" w:rsidRPr="00AD4D8E">
        <w:rPr>
          <w:i/>
        </w:rPr>
        <w:instrText xml:space="preserve"> </w:instrText>
      </w:r>
      <w:r w:rsidR="00BA7FFC">
        <w:rPr>
          <w:i/>
          <w:lang w:val="en-US"/>
        </w:rPr>
        <w:instrText>plus</w:instrText>
      </w:r>
      <w:r w:rsidR="00BA7FFC" w:rsidRPr="00AD4D8E">
        <w:rPr>
          <w:i/>
        </w:rPr>
        <w:instrText xml:space="preserve"> </w:instrText>
      </w:r>
      <w:r w:rsidR="00BA7FFC">
        <w:rPr>
          <w:i/>
          <w:lang w:val="en-US"/>
        </w:rPr>
        <w:instrText>bendamustine</w:instrText>
      </w:r>
      <w:r w:rsidR="00BA7FFC" w:rsidRPr="00AD4D8E">
        <w:rPr>
          <w:i/>
        </w:rPr>
        <w:instrText xml:space="preserve"> </w:instrText>
      </w:r>
      <w:r w:rsidR="00BA7FFC">
        <w:rPr>
          <w:i/>
          <w:lang w:val="en-US"/>
        </w:rPr>
        <w:instrText>and</w:instrText>
      </w:r>
      <w:r w:rsidR="00BA7FFC" w:rsidRPr="00AD4D8E">
        <w:rPr>
          <w:i/>
        </w:rPr>
        <w:instrText xml:space="preserve"> </w:instrText>
      </w:r>
      <w:r w:rsidR="00BA7FFC">
        <w:rPr>
          <w:i/>
          <w:lang w:val="en-US"/>
        </w:rPr>
        <w:instrText>rituximab</w:instrText>
      </w:r>
      <w:r w:rsidR="00BA7FFC" w:rsidRPr="00AD4D8E">
        <w:rPr>
          <w:i/>
        </w:rPr>
        <w:instrText xml:space="preserve"> (</w:instrText>
      </w:r>
      <w:r w:rsidR="00BA7FFC">
        <w:rPr>
          <w:i/>
          <w:lang w:val="en-US"/>
        </w:rPr>
        <w:instrText>BR</w:instrText>
      </w:r>
      <w:r w:rsidR="00BA7FFC" w:rsidRPr="00AD4D8E">
        <w:rPr>
          <w:i/>
        </w:rPr>
        <w:instrText xml:space="preserve">) </w:instrText>
      </w:r>
      <w:r w:rsidR="00BA7FFC">
        <w:rPr>
          <w:i/>
          <w:lang w:val="en-US"/>
        </w:rPr>
        <w:instrText>versus</w:instrText>
      </w:r>
      <w:r w:rsidR="00BA7FFC" w:rsidRPr="00AD4D8E">
        <w:rPr>
          <w:i/>
        </w:rPr>
        <w:instrText xml:space="preserve"> </w:instrText>
      </w:r>
      <w:r w:rsidR="00BA7FFC">
        <w:rPr>
          <w:i/>
          <w:lang w:val="en-US"/>
        </w:rPr>
        <w:instrText>placebo</w:instrText>
      </w:r>
      <w:r w:rsidR="00BA7FFC" w:rsidRPr="00AD4D8E">
        <w:rPr>
          <w:i/>
        </w:rPr>
        <w:instrText xml:space="preserve"> </w:instrText>
      </w:r>
      <w:r w:rsidR="00BA7FFC">
        <w:rPr>
          <w:i/>
          <w:lang w:val="en-US"/>
        </w:rPr>
        <w:instrText>plus</w:instrText>
      </w:r>
      <w:r w:rsidR="00BA7FFC" w:rsidRPr="00AD4D8E">
        <w:rPr>
          <w:i/>
        </w:rPr>
        <w:instrText xml:space="preserve"> </w:instrText>
      </w:r>
      <w:r w:rsidR="00BA7FFC">
        <w:rPr>
          <w:i/>
          <w:lang w:val="en-US"/>
        </w:rPr>
        <w:instrText>BR</w:instrText>
      </w:r>
      <w:r w:rsidR="00BA7FFC" w:rsidRPr="00AD4D8E">
        <w:rPr>
          <w:i/>
        </w:rPr>
        <w:instrText xml:space="preserve">: </w:instrText>
      </w:r>
      <w:r w:rsidR="00BA7FFC">
        <w:rPr>
          <w:i/>
          <w:lang w:val="en-US"/>
        </w:rPr>
        <w:instrText>an</w:instrText>
      </w:r>
      <w:r w:rsidR="00BA7FFC" w:rsidRPr="00AD4D8E">
        <w:rPr>
          <w:i/>
        </w:rPr>
        <w:instrText xml:space="preserve"> </w:instrText>
      </w:r>
      <w:r w:rsidR="00BA7FFC">
        <w:rPr>
          <w:i/>
          <w:lang w:val="en-US"/>
        </w:rPr>
        <w:instrText>update</w:instrText>
      </w:r>
      <w:r w:rsidR="00BA7FFC" w:rsidRPr="00AD4D8E">
        <w:rPr>
          <w:i/>
        </w:rPr>
        <w:instrText xml:space="preserve"> </w:instrText>
      </w:r>
      <w:r w:rsidR="00BA7FFC">
        <w:rPr>
          <w:i/>
          <w:lang w:val="en-US"/>
        </w:rPr>
        <w:instrText>of</w:instrText>
      </w:r>
      <w:r w:rsidR="00BA7FFC" w:rsidRPr="00AD4D8E">
        <w:rPr>
          <w:i/>
        </w:rPr>
        <w:instrText xml:space="preserve"> </w:instrText>
      </w:r>
      <w:r w:rsidR="00BA7FFC">
        <w:rPr>
          <w:i/>
          <w:lang w:val="en-US"/>
        </w:rPr>
        <w:instrText>the</w:instrText>
      </w:r>
      <w:r w:rsidR="00BA7FFC" w:rsidRPr="00AD4D8E">
        <w:rPr>
          <w:i/>
        </w:rPr>
        <w:instrText xml:space="preserve"> </w:instrText>
      </w:r>
      <w:r w:rsidR="00BA7FFC">
        <w:rPr>
          <w:i/>
          <w:lang w:val="en-US"/>
        </w:rPr>
        <w:instrText>HELIOS</w:instrText>
      </w:r>
      <w:r w:rsidR="00BA7FFC" w:rsidRPr="00AD4D8E">
        <w:rPr>
          <w:i/>
        </w:rPr>
        <w:instrText xml:space="preserve"> </w:instrText>
      </w:r>
      <w:r w:rsidR="00BA7FFC">
        <w:rPr>
          <w:i/>
          <w:lang w:val="en-US"/>
        </w:rPr>
        <w:instrText>study</w:instrText>
      </w:r>
      <w:r w:rsidR="00BA7FFC" w:rsidRPr="00AD4D8E">
        <w:rPr>
          <w:i/>
        </w:rPr>
        <w:instrText>.","</w:instrText>
      </w:r>
      <w:r w:rsidR="00BA7FFC">
        <w:rPr>
          <w:i/>
          <w:lang w:val="en-US"/>
        </w:rPr>
        <w:instrText>type</w:instrText>
      </w:r>
      <w:r w:rsidR="00BA7FFC" w:rsidRPr="00AD4D8E">
        <w:rPr>
          <w:i/>
        </w:rPr>
        <w:instrText>":"</w:instrText>
      </w:r>
      <w:r w:rsidR="00BA7FFC">
        <w:rPr>
          <w:i/>
          <w:lang w:val="en-US"/>
        </w:rPr>
        <w:instrText>article</w:instrText>
      </w:r>
      <w:r w:rsidR="00BA7FFC" w:rsidRPr="00AD4D8E">
        <w:rPr>
          <w:i/>
        </w:rPr>
        <w:instrText>-</w:instrText>
      </w:r>
      <w:r w:rsidR="00BA7FFC">
        <w:rPr>
          <w:i/>
          <w:lang w:val="en-US"/>
        </w:rPr>
        <w:instrText>journal</w:instrText>
      </w:r>
      <w:r w:rsidR="00BA7FFC" w:rsidRPr="00AD4D8E">
        <w:rPr>
          <w:i/>
        </w:rPr>
        <w:instrText>","</w:instrText>
      </w:r>
      <w:r w:rsidR="00BA7FFC">
        <w:rPr>
          <w:i/>
          <w:lang w:val="en-US"/>
        </w:rPr>
        <w:instrText>volume</w:instrText>
      </w:r>
      <w:r w:rsidR="00BA7FFC" w:rsidRPr="00AD4D8E">
        <w:rPr>
          <w:i/>
        </w:rPr>
        <w:instrText>":"58"},"</w:instrText>
      </w:r>
      <w:r w:rsidR="00BA7FFC">
        <w:rPr>
          <w:i/>
          <w:lang w:val="en-US"/>
        </w:rPr>
        <w:instrText>uris</w:instrText>
      </w:r>
      <w:r w:rsidR="00BA7FFC" w:rsidRPr="00AD4D8E">
        <w:rPr>
          <w:i/>
        </w:rPr>
        <w:instrText>":["</w:instrText>
      </w:r>
      <w:r w:rsidR="00BA7FFC">
        <w:rPr>
          <w:i/>
          <w:lang w:val="en-US"/>
        </w:rPr>
        <w:instrText>http</w:instrText>
      </w:r>
      <w:r w:rsidR="00BA7FFC" w:rsidRPr="00AD4D8E">
        <w:rPr>
          <w:i/>
        </w:rPr>
        <w:instrText>://</w:instrText>
      </w:r>
      <w:r w:rsidR="00BA7FFC">
        <w:rPr>
          <w:i/>
          <w:lang w:val="en-US"/>
        </w:rPr>
        <w:instrText>www</w:instrText>
      </w:r>
      <w:r w:rsidR="00BA7FFC" w:rsidRPr="00AD4D8E">
        <w:rPr>
          <w:i/>
        </w:rPr>
        <w:instrText>.</w:instrText>
      </w:r>
      <w:r w:rsidR="00BA7FFC">
        <w:rPr>
          <w:i/>
          <w:lang w:val="en-US"/>
        </w:rPr>
        <w:instrText>mendeley</w:instrText>
      </w:r>
      <w:r w:rsidR="00BA7FFC" w:rsidRPr="00AD4D8E">
        <w:rPr>
          <w:i/>
        </w:rPr>
        <w:instrText>.</w:instrText>
      </w:r>
      <w:r w:rsidR="00BA7FFC">
        <w:rPr>
          <w:i/>
          <w:lang w:val="en-US"/>
        </w:rPr>
        <w:instrText>com</w:instrText>
      </w:r>
      <w:r w:rsidR="00BA7FFC" w:rsidRPr="00AD4D8E">
        <w:rPr>
          <w:i/>
        </w:rPr>
        <w:instrText>/</w:instrText>
      </w:r>
      <w:r w:rsidR="00BA7FFC">
        <w:rPr>
          <w:i/>
          <w:lang w:val="en-US"/>
        </w:rPr>
        <w:instrText>documents</w:instrText>
      </w:r>
      <w:r w:rsidR="00BA7FFC" w:rsidRPr="00AD4D8E">
        <w:rPr>
          <w:i/>
        </w:rPr>
        <w:instrText>/?</w:instrText>
      </w:r>
      <w:r w:rsidR="00BA7FFC">
        <w:rPr>
          <w:i/>
          <w:lang w:val="en-US"/>
        </w:rPr>
        <w:instrText>uuid</w:instrText>
      </w:r>
      <w:r w:rsidR="00BA7FFC" w:rsidRPr="00AD4D8E">
        <w:rPr>
          <w:i/>
        </w:rPr>
        <w:instrText>=3043</w:instrText>
      </w:r>
      <w:r w:rsidR="00BA7FFC">
        <w:rPr>
          <w:i/>
          <w:lang w:val="en-US"/>
        </w:rPr>
        <w:instrText>d</w:instrText>
      </w:r>
      <w:r w:rsidR="00BA7FFC" w:rsidRPr="00AD4D8E">
        <w:rPr>
          <w:i/>
        </w:rPr>
        <w:instrText>3</w:instrText>
      </w:r>
      <w:r w:rsidR="00BA7FFC">
        <w:rPr>
          <w:i/>
          <w:lang w:val="en-US"/>
        </w:rPr>
        <w:instrText>aa</w:instrText>
      </w:r>
      <w:r w:rsidR="00BA7FFC" w:rsidRPr="00AD4D8E">
        <w:rPr>
          <w:i/>
        </w:rPr>
        <w:instrText>-0</w:instrText>
      </w:r>
      <w:r w:rsidR="00BA7FFC">
        <w:rPr>
          <w:i/>
          <w:lang w:val="en-US"/>
        </w:rPr>
        <w:instrText>ac</w:instrText>
      </w:r>
      <w:r w:rsidR="00BA7FFC" w:rsidRPr="00AD4D8E">
        <w:rPr>
          <w:i/>
        </w:rPr>
        <w:instrText>6-43</w:instrText>
      </w:r>
      <w:r w:rsidR="00BA7FFC">
        <w:rPr>
          <w:i/>
          <w:lang w:val="en-US"/>
        </w:rPr>
        <w:instrText>d</w:instrText>
      </w:r>
      <w:r w:rsidR="00BA7FFC" w:rsidRPr="00AD4D8E">
        <w:rPr>
          <w:i/>
        </w:rPr>
        <w:instrText>0-8224-85</w:instrText>
      </w:r>
      <w:r w:rsidR="00BA7FFC">
        <w:rPr>
          <w:i/>
          <w:lang w:val="en-US"/>
        </w:rPr>
        <w:instrText>a</w:instrText>
      </w:r>
      <w:r w:rsidR="00BA7FFC" w:rsidRPr="00AD4D8E">
        <w:rPr>
          <w:i/>
        </w:rPr>
        <w:instrText>252</w:instrText>
      </w:r>
      <w:r w:rsidR="00BA7FFC">
        <w:rPr>
          <w:i/>
          <w:lang w:val="en-US"/>
        </w:rPr>
        <w:instrText>bb</w:instrText>
      </w:r>
      <w:r w:rsidR="00BA7FFC" w:rsidRPr="00AD4D8E">
        <w:rPr>
          <w:i/>
        </w:rPr>
        <w:instrText>08</w:instrText>
      </w:r>
      <w:r w:rsidR="00BA7FFC">
        <w:rPr>
          <w:i/>
          <w:lang w:val="en-US"/>
        </w:rPr>
        <w:instrText>e</w:instrText>
      </w:r>
      <w:r w:rsidR="00BA7FFC" w:rsidRPr="00AD4D8E">
        <w:rPr>
          <w:i/>
        </w:rPr>
        <w:instrText>4"]}],"</w:instrText>
      </w:r>
      <w:r w:rsidR="00BA7FFC">
        <w:rPr>
          <w:i/>
          <w:lang w:val="en-US"/>
        </w:rPr>
        <w:instrText>mendeley</w:instrText>
      </w:r>
      <w:r w:rsidR="00BA7FFC" w:rsidRPr="00AD4D8E">
        <w:rPr>
          <w:i/>
        </w:rPr>
        <w:instrText>":{"</w:instrText>
      </w:r>
      <w:r w:rsidR="00BA7FFC">
        <w:rPr>
          <w:i/>
          <w:lang w:val="en-US"/>
        </w:rPr>
        <w:instrText>formattedCitation</w:instrText>
      </w:r>
      <w:r w:rsidR="00BA7FFC" w:rsidRPr="00AD4D8E">
        <w:rPr>
          <w:i/>
        </w:rPr>
        <w:instrText>":"[56–59]","</w:instrText>
      </w:r>
      <w:r w:rsidR="00BA7FFC">
        <w:rPr>
          <w:i/>
          <w:lang w:val="en-US"/>
        </w:rPr>
        <w:instrText>plainTextFormattedCitation</w:instrText>
      </w:r>
      <w:r w:rsidR="00BA7FFC" w:rsidRPr="00AD4D8E">
        <w:rPr>
          <w:i/>
        </w:rPr>
        <w:instrText>":"[56–59]","</w:instrText>
      </w:r>
      <w:r w:rsidR="00BA7FFC">
        <w:rPr>
          <w:i/>
          <w:lang w:val="en-US"/>
        </w:rPr>
        <w:instrText>previouslyFormattedCitation</w:instrText>
      </w:r>
      <w:r w:rsidR="00BA7FFC" w:rsidRPr="00AD4D8E">
        <w:rPr>
          <w:i/>
        </w:rPr>
        <w:instrText>":"[56–59]"},"</w:instrText>
      </w:r>
      <w:r w:rsidR="00BA7FFC">
        <w:rPr>
          <w:i/>
          <w:lang w:val="en-US"/>
        </w:rPr>
        <w:instrText>properties</w:instrText>
      </w:r>
      <w:r w:rsidR="00BA7FFC" w:rsidRPr="00AD4D8E">
        <w:rPr>
          <w:i/>
        </w:rPr>
        <w:instrText>":{"</w:instrText>
      </w:r>
      <w:r w:rsidR="00BA7FFC">
        <w:rPr>
          <w:i/>
          <w:lang w:val="en-US"/>
        </w:rPr>
        <w:instrText>noteIndex</w:instrText>
      </w:r>
      <w:r w:rsidR="00BA7FFC" w:rsidRPr="00AD4D8E">
        <w:rPr>
          <w:i/>
        </w:rPr>
        <w:instrText>":0},"</w:instrText>
      </w:r>
      <w:r w:rsidR="00BA7FFC">
        <w:rPr>
          <w:i/>
          <w:lang w:val="en-US"/>
        </w:rPr>
        <w:instrText>schema</w:instrText>
      </w:r>
      <w:r w:rsidR="00BA7FFC" w:rsidRPr="00AD4D8E">
        <w:rPr>
          <w:i/>
        </w:rPr>
        <w:instrText>":"</w:instrText>
      </w:r>
      <w:r w:rsidR="00BA7FFC">
        <w:rPr>
          <w:i/>
          <w:lang w:val="en-US"/>
        </w:rPr>
        <w:instrText>https</w:instrText>
      </w:r>
      <w:r w:rsidR="00BA7FFC" w:rsidRPr="00AD4D8E">
        <w:rPr>
          <w:i/>
        </w:rPr>
        <w:instrText>://</w:instrText>
      </w:r>
      <w:r w:rsidR="00BA7FFC">
        <w:rPr>
          <w:i/>
          <w:lang w:val="en-US"/>
        </w:rPr>
        <w:instrText>github</w:instrText>
      </w:r>
      <w:r w:rsidR="00BA7FFC" w:rsidRPr="00AD4D8E">
        <w:rPr>
          <w:i/>
        </w:rPr>
        <w:instrText>.</w:instrText>
      </w:r>
      <w:r w:rsidR="00BA7FFC">
        <w:rPr>
          <w:i/>
          <w:lang w:val="en-US"/>
        </w:rPr>
        <w:instrText>com</w:instrText>
      </w:r>
      <w:r w:rsidR="00BA7FFC" w:rsidRPr="00AD4D8E">
        <w:rPr>
          <w:i/>
        </w:rPr>
        <w:instrText>/</w:instrText>
      </w:r>
      <w:r w:rsidR="00BA7FFC">
        <w:rPr>
          <w:i/>
          <w:lang w:val="en-US"/>
        </w:rPr>
        <w:instrText>citation</w:instrText>
      </w:r>
      <w:r w:rsidR="00BA7FFC" w:rsidRPr="00AD4D8E">
        <w:rPr>
          <w:i/>
        </w:rPr>
        <w:instrText>-</w:instrText>
      </w:r>
      <w:r w:rsidR="00BA7FFC">
        <w:rPr>
          <w:i/>
          <w:lang w:val="en-US"/>
        </w:rPr>
        <w:instrText>style</w:instrText>
      </w:r>
      <w:r w:rsidR="00BA7FFC" w:rsidRPr="00AD4D8E">
        <w:rPr>
          <w:i/>
        </w:rPr>
        <w:instrText>-</w:instrText>
      </w:r>
      <w:r w:rsidR="00BA7FFC">
        <w:rPr>
          <w:i/>
          <w:lang w:val="en-US"/>
        </w:rPr>
        <w:instrText>language</w:instrText>
      </w:r>
      <w:r w:rsidR="00BA7FFC" w:rsidRPr="00AD4D8E">
        <w:rPr>
          <w:i/>
        </w:rPr>
        <w:instrText>/</w:instrText>
      </w:r>
      <w:r w:rsidR="00BA7FFC">
        <w:rPr>
          <w:i/>
          <w:lang w:val="en-US"/>
        </w:rPr>
        <w:instrText>schema</w:instrText>
      </w:r>
      <w:r w:rsidR="00BA7FFC" w:rsidRPr="00AD4D8E">
        <w:rPr>
          <w:i/>
        </w:rPr>
        <w:instrText>/</w:instrText>
      </w:r>
      <w:r w:rsidR="00BA7FFC">
        <w:rPr>
          <w:i/>
          <w:lang w:val="en-US"/>
        </w:rPr>
        <w:instrText>raw</w:instrText>
      </w:r>
      <w:r w:rsidR="00BA7FFC" w:rsidRPr="00AD4D8E">
        <w:rPr>
          <w:i/>
        </w:rPr>
        <w:instrText>/</w:instrText>
      </w:r>
      <w:r w:rsidR="00BA7FFC">
        <w:rPr>
          <w:i/>
          <w:lang w:val="en-US"/>
        </w:rPr>
        <w:instrText>master</w:instrText>
      </w:r>
      <w:r w:rsidR="00BA7FFC" w:rsidRPr="00AD4D8E">
        <w:rPr>
          <w:i/>
        </w:rPr>
        <w:instrText>/</w:instrText>
      </w:r>
      <w:r w:rsidR="00BA7FFC">
        <w:rPr>
          <w:i/>
          <w:lang w:val="en-US"/>
        </w:rPr>
        <w:instrText>csl</w:instrText>
      </w:r>
      <w:r w:rsidR="00BA7FFC" w:rsidRPr="00AD4D8E">
        <w:rPr>
          <w:i/>
        </w:rPr>
        <w:instrText>-</w:instrText>
      </w:r>
      <w:r w:rsidR="00BA7FFC">
        <w:rPr>
          <w:i/>
          <w:lang w:val="en-US"/>
        </w:rPr>
        <w:instrText>citation</w:instrText>
      </w:r>
      <w:r w:rsidR="00BA7FFC" w:rsidRPr="00AD4D8E">
        <w:rPr>
          <w:i/>
        </w:rPr>
        <w:instrText>.</w:instrText>
      </w:r>
      <w:r w:rsidR="00BA7FFC">
        <w:rPr>
          <w:i/>
          <w:lang w:val="en-US"/>
        </w:rPr>
        <w:instrText>json</w:instrText>
      </w:r>
      <w:r w:rsidR="00BA7FFC" w:rsidRPr="00AD4D8E">
        <w:rPr>
          <w:i/>
        </w:rPr>
        <w:instrText>"}</w:instrText>
      </w:r>
      <w:r w:rsidR="000B0AC3" w:rsidRPr="00C348F4">
        <w:rPr>
          <w:i/>
          <w:lang w:val="en-US"/>
        </w:rPr>
        <w:fldChar w:fldCharType="separate"/>
      </w:r>
      <w:r w:rsidR="00225D7F" w:rsidRPr="00225D7F">
        <w:rPr>
          <w:noProof/>
        </w:rPr>
        <w:t>[56–59]</w:t>
      </w:r>
      <w:r w:rsidR="000B0AC3" w:rsidRPr="00C348F4">
        <w:rPr>
          <w:i/>
          <w:lang w:val="en-US"/>
        </w:rPr>
        <w:fldChar w:fldCharType="end"/>
      </w:r>
      <w:r w:rsidRPr="00C348F4">
        <w:rPr>
          <w:i/>
        </w:rPr>
        <w:t>. Эффективность монотерапии ибрутинибом</w:t>
      </w:r>
      <w:r w:rsidR="00AD6066" w:rsidRPr="00C348F4">
        <w:rPr>
          <w:i/>
        </w:rPr>
        <w:t>**</w:t>
      </w:r>
      <w:r w:rsidRPr="00C348F4">
        <w:rPr>
          <w:i/>
        </w:rPr>
        <w:t xml:space="preserve"> у </w:t>
      </w:r>
      <w:r w:rsidR="0002391B" w:rsidRPr="00C348F4">
        <w:rPr>
          <w:i/>
        </w:rPr>
        <w:t>пациентов</w:t>
      </w:r>
      <w:r w:rsidRPr="00C348F4">
        <w:rPr>
          <w:i/>
        </w:rPr>
        <w:t xml:space="preserve"> с рецидивами </w:t>
      </w:r>
      <w:r w:rsidR="00346F4C">
        <w:rPr>
          <w:i/>
        </w:rPr>
        <w:t>достигает</w:t>
      </w:r>
      <w:r w:rsidR="00346F4C" w:rsidRPr="00C348F4">
        <w:rPr>
          <w:i/>
        </w:rPr>
        <w:t xml:space="preserve"> </w:t>
      </w:r>
      <w:r w:rsidRPr="00C348F4">
        <w:rPr>
          <w:i/>
        </w:rPr>
        <w:t>более 90</w:t>
      </w:r>
      <w:r w:rsidR="00DD3D1E" w:rsidRPr="00C348F4">
        <w:rPr>
          <w:i/>
        </w:rPr>
        <w:t>%</w:t>
      </w:r>
      <w:r w:rsidRPr="00C348F4">
        <w:rPr>
          <w:i/>
        </w:rPr>
        <w:t>. Другой эффективной схемой лечени</w:t>
      </w:r>
      <w:r w:rsidR="00691D0D" w:rsidRPr="00C348F4">
        <w:rPr>
          <w:i/>
        </w:rPr>
        <w:t>я</w:t>
      </w:r>
      <w:r w:rsidRPr="00C348F4">
        <w:rPr>
          <w:i/>
        </w:rPr>
        <w:t xml:space="preserve"> рецидивов является комбинация венетоклакса</w:t>
      </w:r>
      <w:r w:rsidR="00E0050E" w:rsidRPr="00932BCF">
        <w:t>**</w:t>
      </w:r>
      <w:r w:rsidRPr="00C348F4">
        <w:rPr>
          <w:i/>
        </w:rPr>
        <w:t xml:space="preserve"> с ритуксимабом</w:t>
      </w:r>
      <w:r w:rsidR="00AD6066" w:rsidRPr="00C348F4">
        <w:rPr>
          <w:i/>
        </w:rPr>
        <w:t>**</w:t>
      </w:r>
      <w:r w:rsidR="006D567B" w:rsidRPr="00C348F4">
        <w:rPr>
          <w:i/>
        </w:rPr>
        <w:t>: в</w:t>
      </w:r>
      <w:r w:rsidRPr="00C348F4">
        <w:rPr>
          <w:i/>
        </w:rPr>
        <w:t xml:space="preserve"> исследовании MURANO ВБП </w:t>
      </w:r>
      <w:r w:rsidR="00691D0D" w:rsidRPr="00C348F4">
        <w:rPr>
          <w:i/>
        </w:rPr>
        <w:t>после лечения</w:t>
      </w:r>
      <w:r w:rsidRPr="00C348F4">
        <w:rPr>
          <w:i/>
        </w:rPr>
        <w:t xml:space="preserve"> комбинаци</w:t>
      </w:r>
      <w:r w:rsidR="00691D0D" w:rsidRPr="00C348F4">
        <w:rPr>
          <w:i/>
        </w:rPr>
        <w:t>ей</w:t>
      </w:r>
      <w:r w:rsidRPr="00C348F4">
        <w:rPr>
          <w:i/>
        </w:rPr>
        <w:t xml:space="preserve"> венетоклакс</w:t>
      </w:r>
      <w:r w:rsidR="00691D0D" w:rsidRPr="00C348F4">
        <w:rPr>
          <w:i/>
        </w:rPr>
        <w:t>а</w:t>
      </w:r>
      <w:r w:rsidR="00E0050E" w:rsidRPr="00932BCF">
        <w:t>**</w:t>
      </w:r>
      <w:r w:rsidRPr="00C348F4">
        <w:rPr>
          <w:i/>
        </w:rPr>
        <w:t xml:space="preserve"> </w:t>
      </w:r>
      <w:r w:rsidR="00691D0D" w:rsidRPr="00C348F4">
        <w:rPr>
          <w:i/>
        </w:rPr>
        <w:t>с</w:t>
      </w:r>
      <w:r w:rsidRPr="00C348F4">
        <w:rPr>
          <w:i/>
        </w:rPr>
        <w:t xml:space="preserve"> ритуксимаб</w:t>
      </w:r>
      <w:r w:rsidR="00691D0D" w:rsidRPr="00C348F4">
        <w:rPr>
          <w:i/>
        </w:rPr>
        <w:t>ом</w:t>
      </w:r>
      <w:r w:rsidR="00AD6066" w:rsidRPr="00C348F4">
        <w:rPr>
          <w:i/>
        </w:rPr>
        <w:t>**</w:t>
      </w:r>
      <w:r w:rsidRPr="00C348F4">
        <w:rPr>
          <w:i/>
        </w:rPr>
        <w:t xml:space="preserve"> составила 84,9</w:t>
      </w:r>
      <w:r w:rsidR="00DD3D1E" w:rsidRPr="00C348F4">
        <w:rPr>
          <w:i/>
        </w:rPr>
        <w:t xml:space="preserve"> %</w:t>
      </w:r>
      <w:r w:rsidRPr="00C348F4">
        <w:rPr>
          <w:i/>
        </w:rPr>
        <w:t xml:space="preserve"> </w:t>
      </w:r>
      <w:r w:rsidR="00691D0D" w:rsidRPr="00C348F4">
        <w:rPr>
          <w:i/>
        </w:rPr>
        <w:t>(</w:t>
      </w:r>
      <w:r w:rsidRPr="00C348F4">
        <w:rPr>
          <w:i/>
        </w:rPr>
        <w:t>в сравнении с 36,3</w:t>
      </w:r>
      <w:r w:rsidR="00DD3D1E" w:rsidRPr="00C348F4">
        <w:rPr>
          <w:i/>
        </w:rPr>
        <w:t xml:space="preserve"> %</w:t>
      </w:r>
      <w:r w:rsidR="00691D0D" w:rsidRPr="00C348F4">
        <w:rPr>
          <w:i/>
        </w:rPr>
        <w:t xml:space="preserve"> при</w:t>
      </w:r>
      <w:r w:rsidRPr="00C348F4">
        <w:rPr>
          <w:i/>
        </w:rPr>
        <w:t xml:space="preserve"> </w:t>
      </w:r>
      <w:r w:rsidR="00691D0D" w:rsidRPr="00C348F4">
        <w:rPr>
          <w:i/>
        </w:rPr>
        <w:t xml:space="preserve">лечении </w:t>
      </w:r>
      <w:r w:rsidRPr="00C348F4">
        <w:rPr>
          <w:i/>
        </w:rPr>
        <w:t>комбинаци</w:t>
      </w:r>
      <w:r w:rsidR="00691D0D" w:rsidRPr="00C348F4">
        <w:rPr>
          <w:i/>
        </w:rPr>
        <w:t>ей</w:t>
      </w:r>
      <w:r w:rsidRPr="00C348F4">
        <w:rPr>
          <w:i/>
        </w:rPr>
        <w:t xml:space="preserve"> бендамустин</w:t>
      </w:r>
      <w:r w:rsidR="00691D0D" w:rsidRPr="00C348F4">
        <w:rPr>
          <w:i/>
        </w:rPr>
        <w:t>а</w:t>
      </w:r>
      <w:r w:rsidR="00AD6066" w:rsidRPr="00C348F4">
        <w:rPr>
          <w:i/>
        </w:rPr>
        <w:t>**</w:t>
      </w:r>
      <w:r w:rsidRPr="00C348F4">
        <w:rPr>
          <w:i/>
        </w:rPr>
        <w:t xml:space="preserve"> </w:t>
      </w:r>
      <w:r w:rsidR="00691D0D" w:rsidRPr="00C348F4">
        <w:rPr>
          <w:i/>
        </w:rPr>
        <w:t>и</w:t>
      </w:r>
      <w:r w:rsidRPr="00C348F4">
        <w:rPr>
          <w:i/>
        </w:rPr>
        <w:t xml:space="preserve"> ритуксимаб</w:t>
      </w:r>
      <w:r w:rsidR="00691D0D" w:rsidRPr="00C348F4">
        <w:rPr>
          <w:i/>
        </w:rPr>
        <w:t>а</w:t>
      </w:r>
      <w:r w:rsidR="00AD6066" w:rsidRPr="00C348F4">
        <w:rPr>
          <w:i/>
        </w:rPr>
        <w:t>**</w:t>
      </w:r>
      <w:r w:rsidR="00691D0D" w:rsidRPr="00C348F4">
        <w:rPr>
          <w:i/>
        </w:rPr>
        <w:t>)</w:t>
      </w:r>
      <w:r w:rsidR="00C848DD" w:rsidRPr="00C348F4">
        <w:rPr>
          <w:i/>
        </w:rPr>
        <w:t xml:space="preserve"> </w:t>
      </w:r>
      <w:r w:rsidR="000B0AC3" w:rsidRPr="00C348F4">
        <w:rPr>
          <w:i/>
        </w:rPr>
        <w:fldChar w:fldCharType="begin" w:fldLock="1"/>
      </w:r>
      <w:r w:rsidR="00BA7FFC">
        <w:rPr>
          <w:i/>
        </w:rPr>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[61]","plainTextFormattedCitation":"[61]","previouslyFormattedCitation":"[61]"},"properties":{"noteIndex":0},"schema":"https://github.com/citation-style-language/schema/raw/master/csl-citation.json"}</w:instrText>
      </w:r>
      <w:r w:rsidR="000B0AC3" w:rsidRPr="00C348F4">
        <w:rPr>
          <w:i/>
        </w:rPr>
        <w:fldChar w:fldCharType="separate"/>
      </w:r>
      <w:r w:rsidR="00225D7F" w:rsidRPr="00225D7F">
        <w:rPr>
          <w:noProof/>
        </w:rPr>
        <w:t>[61]</w:t>
      </w:r>
      <w:r w:rsidR="000B0AC3" w:rsidRPr="00C348F4">
        <w:rPr>
          <w:i/>
        </w:rPr>
        <w:fldChar w:fldCharType="end"/>
      </w:r>
      <w:r w:rsidRPr="00C348F4">
        <w:rPr>
          <w:i/>
        </w:rPr>
        <w:t>. ВБП была значительно выше во всех клинических и биологических подгруппах пациентов</w:t>
      </w:r>
      <w:r w:rsidR="006D567B" w:rsidRPr="00C348F4">
        <w:rPr>
          <w:i/>
        </w:rPr>
        <w:t>.</w:t>
      </w:r>
    </w:p>
    <w:p w14:paraId="79001578" w14:textId="03EF1170" w:rsidR="004D7374" w:rsidRPr="005F5C64" w:rsidRDefault="006D567B" w:rsidP="005D3BBD">
      <w:pPr>
        <w:contextualSpacing/>
        <w:rPr>
          <w:i/>
        </w:rPr>
      </w:pPr>
      <w:r>
        <w:rPr>
          <w:i/>
        </w:rPr>
        <w:t xml:space="preserve"> </w:t>
      </w:r>
      <w:r w:rsidR="005F5C64" w:rsidRPr="00B9695E">
        <w:rPr>
          <w:i/>
        </w:rPr>
        <w:t>В рамках исследования ASCEND акалабрутиниб продемонстрировал более высокую клиническую эффективность в терапии пациентов с рецидивирующим/рефрактерным ХЛЛ в сравнении с режимами иделалисиб с ритуксимабом и бендамустин с ритуксимабом: расчетная 12-ти месячная выживаемость без прогрессирования составила 88%, медиана ВБП не достигнута. Только в 3% случаев нежелательное явление было причиной снижения дозы акалабрутиниба</w:t>
      </w:r>
      <w:r w:rsidR="005F5C64" w:rsidRPr="0041431C">
        <w:rPr>
          <w:i/>
        </w:rPr>
        <w:t xml:space="preserve"> </w:t>
      </w:r>
      <w:r w:rsidR="005F5C64">
        <w:fldChar w:fldCharType="begin" w:fldLock="1"/>
      </w:r>
      <w:r w:rsidR="00BA7FFC">
        <w:instrText>ADDIN CSL_CITATION {"citationItems":[{"id":"ITEM-1","itemData":{"DOI":"10.1200/jco.19.03355","ISSN":"0732-183X","PMID":"32459600","abstract":"PURPOSE Acalabrutinib, a highly selective, potent, Bruton tyrosine kinase inhibitor, was evaluated in this global, multicenter, randomized, open-label, phase III study in patients with relapsed/refractory (R/R) chronic lymphocytic leukemia (CLL). METHODS Eligible patients, aged ≥ 18 years with R/R CLL, were randomly assigned 1:1 centrally and stratified by del(17p) status, Eastern Cooperative Oncology Group performance status score, and number of prior lines of therapy. Patients received acalabrutinib monotherapy or investigator's choice (idelalisib plus rituximab [I-R] or bendamustine plus rituximab [B-R]). The primary end point was progression-free survival (PFS) assessed by an independent review committee (IRC) in the intent-to-treat population. Key secondary end points included IRC-assessed overall response rate, overall survival, and safety. RESULTS From February 21, 2017, to January 17, 2018, a total of 398 patients were assessed for eligibility; 310 patients were randomly assigned to acalabrutinib monotherapy (n = 155) or investigator's choice (n = 155; I-R, n = 119; B-R, n = 36). Patients had received a median of two prior therapies (range, 1-10). After a median follow-up of 16.1 months (range, 0.03-22.4 months), median PFS was significantly longer with acalabrutinib monotherapy (PFS not reached) compared with investigator's choice (16.5 months [95% CI, 14.0 to 17.1 months]; hazard ratio, 0.31 [95% CI, 0.20 to 0.49]; P &lt; .0001). Estimated 12-month PFS was 88% (95% CI, 81% to 92%) for acalabrutinib and 68% (95% CI, 59% to 75%) for investigator's choice. Serious adverse events occurred in 29% of patients (n = 44 of 154) treated with acalabrutinib monotherapy, 56% (n = 66 of 118) with I-R, and 26% (n = 9 of 35) with B-R. Deaths occurred in 10% (n = 15 of 154), 11% (n = 13 of 118), and 14% (n = 5 of 35) of patients receiving acalabrutinib monotherapy, I-R, and B-R, respectively. CONCLUSION Acalabrutinib significantly improved PFS compared with I-R or B-R and has an acceptable safety profile in patients with R/R CLL.","author":[{"dropping-particle":"","family":"Ghia","given":"Paolo","non-dropping-particle":"","parse-names":false,"suffix":""},{"dropping-particle":"","family":"Pluta","given":"Andrzej","non-dropping-particle":"","parse-names":false,"suffix":""},{"dropping-particle":"","family":"Wach","given":"Malgorzata","non-dropping-particle":"","parse-names":false,"suffix":""},{"dropping-particle":"","family":"Lysak","given":"Daniel","non-dropping-particle":"","parse-names":false,"suffix":""},{"dropping-particle":"","family":"Kozak","given":"Tomas","non-dropping-particle":"","parse-names":false,"suffix":""},{"dropping-particle":"","family":"Simkovic","given":"Martin","non-dropping-particle":"","parse-names":false,"suffix":""},{"dropping-particle":"","family":"Kaplan","given":"Polina","non-dropping-particle":"","parse-names":false,"suffix":""},{"dropping-particle":"","family":"Kraychok","given":"Iryna","non-dropping-particle":"","parse-names":false,"suffix":""},{"dropping-particle":"","family":"Illes","given":"Arpad","non-dropping-particle":"","parse-names":false,"suffix":""},{"dropping-particle":"","family":"la Serna","given":"Javier","non-dropping-particle":"de","parse-names":false,"suffix":""},{"dropping-particle":"","family":"Dolan","given":"Sean","non-dropping-particle":"","parse-names":false,"suffix":""},{"dropping-particle":"","family":"Campbell","given":"Phillip","non-dropping-particle":"","parse-names":false,"suffix":""},{"dropping-particle":"","family":"Musuraca","given":"Gerardo","non-dropping-particle":"","parse-names":false,"suffix":""},{"dropping-particle":"","family":"Jacob","given":"Abraham","non-dropping-particle":"","parse-names":false,"suffix":""},{"dropping-particle":"","family":"Avery","given":"Eric","non-dropping-particle":"","parse-names":false,"suffix":""},{"dropping-particle":"","family":"Lee","given":"Jae Hoon","non-dropping-particle":"","parse-names":false,"suffix":""},{"dropping-particle":"","family":"Liang","given":"Wei","non-dropping-particle":"","parse-names":false,"suffix":""},{"dropping-particle":"","family":"Patel","given":"Priti","non-dropping-particle":"","parse-names":false,"suffix":""},{"dropping-particle":"","family":"Quah","given":"Cheng","non-dropping-particle":"","parse-names":false,"suffix":""},{"dropping-particle":"","family":"Jurczak","given":"Wojciech","non-dropping-particle":"","parse-names":false,"suffix":""}],"container-title":"Journal of Clinical Oncology","id":"ITEM-1","issue":"25","issued":{"date-parts":[["2020","5","27"]]},"page":"JCO.19.03355","publisher":"American Society of Clinical Oncology (ASCO)","title":"ASCEND: Phase III, Randomized Trial of Acalabrutinib Versus Idelalisib Plus Rituximab or Bendamustine Plus Rituximab in Relapsed or Refractory Chronic Lymphocytic Leukemia","type":"article-journal","volume":"38"},"uris":["http://www.mendeley.com/documents/?uuid=7b0b0e40-b8c2-3331-b359-0041dc15f976"]}],"mendeley":{"formattedCitation":"[60]","plainTextFormattedCitation":"[60]","previouslyFormattedCitation":"[60]"},"properties":{"noteIndex":0},"schema":"https://github.com/citation-style-language/schema/raw/master/csl-citation.json"}</w:instrText>
      </w:r>
      <w:r w:rsidR="005F5C64">
        <w:fldChar w:fldCharType="separate"/>
      </w:r>
      <w:r w:rsidR="00225D7F" w:rsidRPr="00225D7F">
        <w:rPr>
          <w:noProof/>
        </w:rPr>
        <w:t>[60]</w:t>
      </w:r>
      <w:r w:rsidR="005F5C64">
        <w:fldChar w:fldCharType="end"/>
      </w:r>
      <w:r w:rsidR="005F5C64" w:rsidRPr="00B9695E">
        <w:rPr>
          <w:i/>
        </w:rPr>
        <w:t>.</w:t>
      </w:r>
    </w:p>
    <w:p w14:paraId="46D0776E" w14:textId="6F3727D6" w:rsidR="004D7374" w:rsidRPr="00C348F4" w:rsidRDefault="00691D0D" w:rsidP="00D61785">
      <w:pPr>
        <w:pStyle w:val="a4"/>
        <w:numPr>
          <w:ilvl w:val="0"/>
          <w:numId w:val="50"/>
        </w:numPr>
        <w:spacing w:before="0"/>
      </w:pPr>
      <w:r>
        <w:t>П</w:t>
      </w:r>
      <w:r w:rsidR="004D7374">
        <w:t>ациент</w:t>
      </w:r>
      <w:r>
        <w:t>ам</w:t>
      </w:r>
      <w:r w:rsidR="004D7374">
        <w:t xml:space="preserve"> с ранним </w:t>
      </w:r>
      <w:r w:rsidR="00AD6066">
        <w:t>(&lt;24 мес. после последней терапии)</w:t>
      </w:r>
      <w:r w:rsidR="00030520">
        <w:t xml:space="preserve"> </w:t>
      </w:r>
      <w:r>
        <w:t xml:space="preserve">рецидивом </w:t>
      </w:r>
      <w:r w:rsidR="00AD6066">
        <w:t>ХЛЛ/ЛМЛ, ранее не</w:t>
      </w:r>
      <w:r>
        <w:t> </w:t>
      </w:r>
      <w:r w:rsidR="00AD6066">
        <w:t>получавших ибрутиниб</w:t>
      </w:r>
      <w:r w:rsidR="00567BB4">
        <w:t>**</w:t>
      </w:r>
      <w:r w:rsidR="00567BB4" w:rsidRPr="00567BB4">
        <w:t xml:space="preserve"> </w:t>
      </w:r>
      <w:r w:rsidR="00567BB4">
        <w:t>или акалабрутиниб</w:t>
      </w:r>
      <w:r w:rsidR="00AD6066">
        <w:t>,</w:t>
      </w:r>
      <w:r w:rsidR="00030520">
        <w:t xml:space="preserve"> </w:t>
      </w:r>
      <w:r w:rsidR="001018E4">
        <w:t>вне зависимости от</w:t>
      </w:r>
      <w:r w:rsidR="00030520">
        <w:t xml:space="preserve"> </w:t>
      </w:r>
      <w:r>
        <w:t xml:space="preserve">наличия </w:t>
      </w:r>
      <w:r w:rsidR="001018E4">
        <w:t>делеции 17p</w:t>
      </w:r>
      <w:r>
        <w:t xml:space="preserve"> или </w:t>
      </w:r>
      <w:r w:rsidR="001018E4">
        <w:t xml:space="preserve">мутации </w:t>
      </w:r>
      <w:r w:rsidR="001018E4" w:rsidRPr="0080011C">
        <w:rPr>
          <w:i/>
        </w:rPr>
        <w:t>TP53</w:t>
      </w:r>
      <w:r w:rsidR="006919DC">
        <w:t xml:space="preserve"> </w:t>
      </w:r>
      <w:r w:rsidR="008311A0">
        <w:t>п</w:t>
      </w:r>
      <w:r>
        <w:t>о</w:t>
      </w:r>
      <w:r w:rsidR="008311A0">
        <w:t xml:space="preserve"> </w:t>
      </w:r>
      <w:r w:rsidR="008311A0" w:rsidRPr="00C348F4">
        <w:t>возможности</w:t>
      </w:r>
      <w:r w:rsidR="00030520" w:rsidRPr="00C348F4">
        <w:t xml:space="preserve"> </w:t>
      </w:r>
      <w:r w:rsidR="004D7374" w:rsidRPr="0080011C">
        <w:rPr>
          <w:b/>
        </w:rPr>
        <w:t>рекомендована</w:t>
      </w:r>
      <w:r w:rsidR="00030520" w:rsidRPr="0080011C">
        <w:rPr>
          <w:b/>
        </w:rPr>
        <w:t xml:space="preserve"> </w:t>
      </w:r>
      <w:r w:rsidR="004D7374" w:rsidRPr="00C348F4">
        <w:t>монотерапия</w:t>
      </w:r>
      <w:r w:rsidR="00C848DD" w:rsidRPr="00C348F4">
        <w:t xml:space="preserve"> </w:t>
      </w:r>
      <w:r w:rsidR="004D7374" w:rsidRPr="00C348F4">
        <w:t>ибрутинибом</w:t>
      </w:r>
      <w:r w:rsidR="001018E4" w:rsidRPr="00C348F4">
        <w:t>**</w:t>
      </w:r>
      <w:r w:rsidR="00F6725A">
        <w:t xml:space="preserve"> или</w:t>
      </w:r>
      <w:r w:rsidR="00AE69C4" w:rsidRPr="00C348F4">
        <w:t xml:space="preserve"> </w:t>
      </w:r>
      <w:r w:rsidR="00F6725A">
        <w:t xml:space="preserve">акалабрутинибом </w:t>
      </w:r>
      <w:r w:rsidR="00AE69C4" w:rsidRPr="00C348F4">
        <w:t>в соответствии с зарегистрированной инструкцией</w:t>
      </w:r>
      <w:r w:rsidR="00D44A1A" w:rsidRPr="00C348F4">
        <w:t xml:space="preserve"> </w:t>
      </w:r>
      <w:r w:rsidR="000B0AC3" w:rsidRPr="005D3BBD">
        <w:fldChar w:fldCharType="begin" w:fldLock="1"/>
      </w:r>
      <w:r w:rsidR="00BA7FFC">
        <w:instrText>ADDIN CSL_CITATION {"citationItems":[{"id":"ITEM-1","itemData":{"DOI":"10.1056/NEJMoa1400376","ISSN":"1533-4406","PMID":"24881631","abstract":"BACKGROUND In patients with chronic lymphoid leukemia (CLL) or small lymphocytic lymphoma (SLL), a short duration of response to therapy or adverse cytogenetic abnormalities are associated with a poor outcome. We evaluated the efficacy of ibrutinib, a covalent inhibitor of Bruton's tyrosine kinase, in patients at risk for a poor outcome. METHODS In this multicenter, open-label, phase 3 study, we randomly assigned 391 patients with relapsed or refractory CLL or SLL to receive daily ibrutinib or the anti-CD20 antibody ofatumumab. The primary end point was the duration of progression-free survival, with the duration of overall survival and the overall response rate as secondary end points. RESULTS At a median follow-up of 9.4 months, ibrutinib significantly improved progression-free survival; the median duration was not reached in the ibrutinib group (with a rate of progression-free survival of 88% at 6 months), as compared with a median of 8.1 months in the ofatumumab group (hazard ratio for progression or death in the ibrutinib group, 0.22; P&lt;0.001). Ibrutinib also significantly improved overall survival (hazard ratio for death, 0.43; P=0.005). At 12 months, the overall survival rate was 90% in the ibrutinib group and 81% in the ofatumumab group. The overall response rate was significantly higher in the ibrutinib group than in the ofatumumab group (42.6% vs. 4.1%, P&lt;0.001). An additional 20% of ibrutinib-treated patients had a partial response with lymphocytosis. Similar effects were observed regardless of whether patients had a chromosome 17p13.1 deletion or resistance to purine analogues. The most frequent nonhematologic adverse events were diarrhea, fatigue, pyrexia, and nausea in the ibrutinib group and fatigue, infusion-related reactions, and cough in the ofatumumab group. CONCLUSIONS Ibrutinib, as compared with ofatumumab, significantly improved progression-free survival, overall survival, and response rate among patients with previously treated CLL or SLL. (Funded by Pharmacyclics and Janssen; RESONATE ClinicalTrials.gov number, NCT01578707.).","author":[{"dropping-particle":"","family":"Byrd","given":"John C","non-dropping-particle":"","parse-names":false,"suffix":""},{"dropping-particle":"","family":"Brown","given":"Jennifer R","non-dropping-particle":"","parse-names":false,"suffix":""},{"dropping-particle":"","family":"O'Brien","given":"Susan","non-dropping-particle":"","parse-names":false,"suffix":""},{"dropping-particle":"","family":"Barrientos","given":"Jacqueline C","non-dropping-particle":"","parse-names":false,"suffix":""},{"dropping-particle":"","family":"Kay","given":"Neil E","non-dropping-particle":"","parse-names":false,"suffix":""},{"dropping-particle":"","family":"Reddy","given":"Nishitha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follow-up","type":"paper-conference"},"uris":["http://www.mendeley.com/documents/?uuid=28f9196e-f1f2-4f10-97ab-fb35902d5ed7"]},{"id":"ITEM-3","itemData":{"DOI":"10.1200/jco.19.03355","ISSN":"0732-183X","PMID":"32459600","abstract":"PURPOSE Acalabrutinib, a highly selective, potent, Bruton tyrosine kinase inhibitor, was evaluated in this global, multicenter, randomized, open-label, phase III study in patients with relapsed/refractory (R/R) chronic lymphocytic leukemia (CLL). METHODS Eligible patients, aged ≥ 18 years with R/R CLL, were randomly assigned 1:1 centrally and stratified by del(17p) status, Eastern Cooperative Oncology Group performance status score, and number of prior lines of therapy. Patients received acalabrutinib monotherapy or investigator's choice (idelalisib plus rituximab [I-R] or bendamustine plus rituximab [B-R]). The primary end point was progression-free survival (PFS) assessed by an independent review committee (IRC) in the intent-to-treat population. Key secondary end points included IRC-assessed overall response rate, overall survival, and safety. RESULTS From February 21, 2017, to January 17, 2018, a total of 398 patients were assessed for eligibility; 310 patients were randomly assigned to acalabrutinib monotherapy (n = 155) or investigator's choice (n = 155; I-R, n = 119; B-R, n = 36). Patients had received a median of two prior therapies (range, 1-10). After a median follow-up of 16.1 months (range, 0.03-22.4 months), median PFS was significantly longer with acalabrutinib monotherapy (PFS not reached) compared with investigator's choice (16.5 months [95% CI, 14.0 to 17.1 months]; hazard ratio, 0.31 [95% CI, 0.20 to 0.49]; P &lt; .0001). Estimated 12-month PFS was 88% (95% CI, 81% to 92%) for acalabrutinib and 68% (95% CI, 59% to 75%) for investigator's choice. Serious adverse events occurred in 29% of patients (n = 44 of 154) treated with acalabrutinib monotherapy, 56% (n = 66 of 118) with I-R, and 26% (n = 9 of 35) with B-R. Deaths occurred in 10% (n = 15 of 154), 11% (n = 13 of 118), and 14% (n = 5 of 35) of patients receiving acalabrutinib monotherapy, I-R, and B-R, respectively. CONCLUSION Acalabrutinib significantly improved PFS compared with I-R or B-R and has an acceptable safety profile in patients with R/R CLL.","author":[{"dropping-particle":"","family":"Ghia","given":"Paolo","non-dropping-particle":"","parse-names":false,"suffix":""},{"dropping-particle":"","family":"Pluta","given":"Andrzej","non-dropping-particle":"","parse-names":false,"suffix":""},{"dropping-particle":"","family":"Wach","given":"Malgorzata","non-dropping-particle":"","parse-names":false,"suffix":""},{"dropping-particle":"","family":"Lysak","given":"Daniel","non-dropping-particle":"","parse-names":false,"suffix":""},{"dropping-particle":"","family":"Kozak","given":"Tomas","non-dropping-particle":"","parse-names":false,"suffix":""},{"dropping-particle":"","family":"Simkovic","given":"Martin","non-dropping-particle":"","parse-names":false,"suffix":""},{"dropping-particle":"","family":"Kaplan","given":"Polina","non-dropping-particle":"","parse-names":false,"suffix":""},{"dropping-particle":"","family":"Kraychok","given":"Iryna","non-dropping-particle":"","parse-names":false,"suffix":""},{"dropping-particle":"","family":"Illes","given":"Arpad","non-dropping-particle":"","parse-names":false,"suffix":""},{"dropping-particle":"","family":"la Serna","given":"Javier","non-dropping-particle":"de","parse-names":false,"suffix":""},{"dropping-particle":"","family":"Dolan","given":"Sean","non-dropping-particle":"","parse-names":false,"suffix":""},{"dropping-particle":"","family":"Campbell","given":"Phillip","non-dropping-particle":"","parse-names":false,"suffix":""},{"dropping-particle":"","family":"Musuraca","given":"Gerardo","non-dropping-particle":"","parse-names":false,"suffix":""},{"dropping-particle":"","family":"Jacob","given":"Abraham","non-dropping-particle":"","parse-names":false,"suffix":""},{"dropping-particle":"","family":"Avery","given":"Eric","non-dropping-particle":"","parse-names":false,"suffix":""},{"dropping-particle":"","family":"Lee","given":"Jae Hoon","non-dropping-particle":"","parse-names":false,"suffix":""},{"dropping-particle":"","family":"Liang","given":"Wei","non-dropping-particle":"","parse-names":false,"suffix":""},{"dropping-particle":"","family":"Patel","given":"Priti","non-dropping-particle":"","parse-names":false,"suffix":""},{"dropping-particle":"","family":"Quah","given":"Cheng","non-dropping-particle":"","parse-names":false,"suffix":""},{"dropping-particle":"","family":"Jurczak","given":"Wojciech","non-dropping-particle":"","parse-names":false,"suffix":""}],"container-title":"Journal of Clinical Oncology","id":"ITEM-3","issue":"25","issued":{"date-parts":[["2020","5","27"]]},"page":"JCO.19.03355","publisher":"American Society of Clinical Oncology (ASCO)","title":"ASCEND: Phase III, Randomized Trial of Acalabrutinib Versus Idelalisib Plus Rituximab or Bendamustine Plus Rituximab in Relapsed or Refractory Chronic Lymphocytic Leukemia","type":"article-journal","volume":"38"},"uris":["http://www.mendeley.com/documents/?uuid=7b0b0e40-b8c2-3331-b359-0041dc15f976"]}],"mendeley":{"formattedCitation":"[56,57,60]","plainTextFormattedCitation":"[56,57,60]","previouslyFormattedCitation":"[56,57,60]"},"properties":{"noteIndex":0},"schema":"https://github.com/citation-style-language/schema/raw/master/csl-citation.json"}</w:instrText>
      </w:r>
      <w:r w:rsidR="000B0AC3" w:rsidRPr="005D3BBD">
        <w:fldChar w:fldCharType="separate"/>
      </w:r>
      <w:r w:rsidR="00225D7F" w:rsidRPr="00225D7F">
        <w:rPr>
          <w:noProof/>
        </w:rPr>
        <w:t>[56,57,60]</w:t>
      </w:r>
      <w:r w:rsidR="000B0AC3" w:rsidRPr="005D3BBD">
        <w:fldChar w:fldCharType="end"/>
      </w:r>
      <w:r w:rsidR="004D7374" w:rsidRPr="00C348F4">
        <w:t xml:space="preserve">. </w:t>
      </w:r>
    </w:p>
    <w:p w14:paraId="46829260" w14:textId="4A5CDB62" w:rsidR="004D7374" w:rsidRDefault="004D7374" w:rsidP="005D3BBD">
      <w:pPr>
        <w:ind w:left="426"/>
        <w:contextualSpacing/>
        <w:rPr>
          <w:b/>
          <w:spacing w:val="-4"/>
        </w:rPr>
      </w:pPr>
      <w:bookmarkStart w:id="56" w:name="_Hlk49344317"/>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030520" w:rsidRPr="00C348F4">
        <w:rPr>
          <w:b/>
          <w:spacing w:val="-4"/>
        </w:rPr>
        <w:t xml:space="preserve"> </w:t>
      </w:r>
      <w:r w:rsidRPr="00C348F4">
        <w:rPr>
          <w:b/>
          <w:spacing w:val="-4"/>
        </w:rPr>
        <w:t>(урове</w:t>
      </w:r>
      <w:r w:rsidR="001E3D61" w:rsidRPr="00C348F4">
        <w:rPr>
          <w:b/>
          <w:spacing w:val="-4"/>
        </w:rPr>
        <w:t xml:space="preserve">нь достоверности </w:t>
      </w:r>
      <w:r w:rsidR="00C20509" w:rsidRPr="00C348F4">
        <w:rPr>
          <w:b/>
          <w:spacing w:val="-4"/>
        </w:rPr>
        <w:t xml:space="preserve">доказательств – </w:t>
      </w:r>
      <w:r w:rsidR="00BF0125" w:rsidRPr="00C348F4">
        <w:rPr>
          <w:b/>
          <w:spacing w:val="-4"/>
        </w:rPr>
        <w:t>2</w:t>
      </w:r>
      <w:r w:rsidRPr="00C348F4">
        <w:rPr>
          <w:b/>
          <w:spacing w:val="-4"/>
        </w:rPr>
        <w:t>)</w:t>
      </w:r>
      <w:r w:rsidR="00C740F1" w:rsidRPr="00C348F4">
        <w:rPr>
          <w:b/>
          <w:spacing w:val="-4"/>
        </w:rPr>
        <w:t>.</w:t>
      </w:r>
    </w:p>
    <w:bookmarkEnd w:id="56"/>
    <w:p w14:paraId="1A36376E" w14:textId="45749079" w:rsidR="00DA5232" w:rsidRPr="00C348F4" w:rsidRDefault="00691D0D" w:rsidP="00D61785">
      <w:pPr>
        <w:pStyle w:val="a4"/>
        <w:numPr>
          <w:ilvl w:val="0"/>
          <w:numId w:val="50"/>
        </w:numPr>
        <w:spacing w:before="0"/>
      </w:pPr>
      <w:r w:rsidRPr="00C348F4">
        <w:t>П</w:t>
      </w:r>
      <w:r w:rsidR="00DA5232" w:rsidRPr="00C348F4">
        <w:t>ациент</w:t>
      </w:r>
      <w:r w:rsidRPr="00C348F4">
        <w:t>ам</w:t>
      </w:r>
      <w:r w:rsidR="00DA5232" w:rsidRPr="00C348F4">
        <w:t xml:space="preserve"> с ранним (&lt;24 мес. после последней терапии) </w:t>
      </w:r>
      <w:r w:rsidRPr="00C348F4">
        <w:t xml:space="preserve">рецидивом </w:t>
      </w:r>
      <w:r w:rsidR="00DA5232" w:rsidRPr="00C348F4">
        <w:t>ХЛЛ/ЛМЛ, ранее не получавших ибрутиниб**, вне зависимости от</w:t>
      </w:r>
      <w:r w:rsidR="00030520" w:rsidRPr="00C348F4">
        <w:t xml:space="preserve"> </w:t>
      </w:r>
      <w:r w:rsidRPr="00C348F4">
        <w:t xml:space="preserve">наличия </w:t>
      </w:r>
      <w:r w:rsidR="00DA5232" w:rsidRPr="00C348F4">
        <w:t>делеции 17p</w:t>
      </w:r>
      <w:r w:rsidRPr="00C348F4">
        <w:t xml:space="preserve"> или </w:t>
      </w:r>
      <w:r w:rsidR="00DA5232" w:rsidRPr="00C348F4">
        <w:t xml:space="preserve">мутации </w:t>
      </w:r>
      <w:r w:rsidR="00DA5232" w:rsidRPr="0080011C">
        <w:rPr>
          <w:i/>
        </w:rPr>
        <w:t>TP53</w:t>
      </w:r>
      <w:r w:rsidR="00DA5232" w:rsidRPr="00C348F4">
        <w:t xml:space="preserve"> в качестве альтернативы ибрутинибу</w:t>
      </w:r>
      <w:r w:rsidR="00EF17E7" w:rsidRPr="00C348F4">
        <w:t>**</w:t>
      </w:r>
      <w:r w:rsidR="00567BB4">
        <w:t xml:space="preserve"> и акалабрутинибу</w:t>
      </w:r>
      <w:r w:rsidR="00DA5232" w:rsidRPr="00C348F4">
        <w:t xml:space="preserve"> может быть </w:t>
      </w:r>
      <w:r w:rsidR="00DA5232" w:rsidRPr="0080011C">
        <w:rPr>
          <w:b/>
        </w:rPr>
        <w:t>рекомендован</w:t>
      </w:r>
      <w:r w:rsidRPr="0080011C">
        <w:rPr>
          <w:b/>
        </w:rPr>
        <w:t>а</w:t>
      </w:r>
      <w:r w:rsidR="00DA5232" w:rsidRPr="0080011C">
        <w:t xml:space="preserve"> комбинаци</w:t>
      </w:r>
      <w:r w:rsidRPr="0080011C">
        <w:t>я</w:t>
      </w:r>
      <w:r w:rsidR="00DA5232" w:rsidRPr="0080011C">
        <w:t xml:space="preserve"> </w:t>
      </w:r>
      <w:r w:rsidR="00AE69C4" w:rsidRPr="00C348F4">
        <w:t>венетоклакса</w:t>
      </w:r>
      <w:r w:rsidR="00E0050E" w:rsidRPr="00932BCF">
        <w:t>**</w:t>
      </w:r>
      <w:r w:rsidR="00AE69C4" w:rsidRPr="00C348F4">
        <w:t xml:space="preserve"> 20 мг/сут (нед. 1), 50 мг/сут (нед. 2), 100 мг/сут (нед. 3), 200 мг/сут (нед. 4), 400 мг/сут (нед. 5 и далее), </w:t>
      </w:r>
      <w:r w:rsidR="00AE69C4" w:rsidRPr="0080011C">
        <w:t xml:space="preserve">прием в течение 24 мес. начиная с 1-го дня 1-го цикла лечения ритуксимабом** </w:t>
      </w:r>
      <w:r w:rsidR="00AE69C4" w:rsidRPr="00C348F4">
        <w:t>и ритуксимаба** 375 мг/м</w:t>
      </w:r>
      <w:r w:rsidR="00AE69C4" w:rsidRPr="0080011C">
        <w:rPr>
          <w:vertAlign w:val="superscript"/>
          <w:lang w:eastAsia="ru-RU"/>
        </w:rPr>
        <w:t>2</w:t>
      </w:r>
      <w:r w:rsidR="00AE69C4" w:rsidRPr="00C348F4">
        <w:t xml:space="preserve"> в/в кап. через 1 нед. после достижения дозы венетоклакса</w:t>
      </w:r>
      <w:r w:rsidR="00E0050E" w:rsidRPr="00932BCF">
        <w:t>**</w:t>
      </w:r>
      <w:r w:rsidR="00AE69C4" w:rsidRPr="00C348F4">
        <w:t xml:space="preserve"> 400 мг/сут, далее – 500 мг/м</w:t>
      </w:r>
      <w:r w:rsidR="00AE69C4" w:rsidRPr="0080011C">
        <w:rPr>
          <w:vertAlign w:val="superscript"/>
          <w:lang w:eastAsia="ru-RU"/>
        </w:rPr>
        <w:t>2</w:t>
      </w:r>
      <w:r w:rsidR="00AE69C4" w:rsidRPr="00C348F4">
        <w:t xml:space="preserve"> в/в кап. или </w:t>
      </w:r>
      <w:r w:rsidR="00492BEA">
        <w:t xml:space="preserve">1600 </w:t>
      </w:r>
      <w:r w:rsidR="00EA3851">
        <w:t>мг п/к</w:t>
      </w:r>
      <w:r w:rsidR="00AE69C4" w:rsidRPr="00C348F4">
        <w:t xml:space="preserve"> ежемесячно, всего 6 введений</w:t>
      </w:r>
      <w:r w:rsidR="00AE69C4" w:rsidRPr="0080011C" w:rsidDel="00AE69C4">
        <w:t xml:space="preserve"> </w:t>
      </w:r>
      <w:r w:rsidRPr="0080011C">
        <w:t xml:space="preserve">для применения </w:t>
      </w:r>
      <w:r w:rsidR="00DA5232" w:rsidRPr="0080011C">
        <w:t xml:space="preserve">фиксированным курсом </w:t>
      </w:r>
      <w:r w:rsidRPr="0080011C">
        <w:t xml:space="preserve">длительностью </w:t>
      </w:r>
      <w:r w:rsidRPr="0080011C">
        <w:br/>
      </w:r>
      <w:r w:rsidR="00DA5232" w:rsidRPr="0080011C">
        <w:t xml:space="preserve">24 </w:t>
      </w:r>
      <w:r w:rsidR="00F07AA9" w:rsidRPr="0080011C">
        <w:t>мес.</w:t>
      </w:r>
      <w:r w:rsidR="00030520" w:rsidRPr="0080011C">
        <w:t xml:space="preserve"> </w:t>
      </w:r>
      <w:r w:rsidR="00437AD9" w:rsidRPr="00C348F4">
        <w:t xml:space="preserve">(схемы режимов лечения см. </w:t>
      </w:r>
      <w:r w:rsidRPr="00C348F4">
        <w:t xml:space="preserve">в </w:t>
      </w:r>
      <w:r w:rsidR="00437AD9" w:rsidRPr="00C348F4">
        <w:t>приложени</w:t>
      </w:r>
      <w:r w:rsidRPr="00C348F4">
        <w:t>и</w:t>
      </w:r>
      <w:r w:rsidR="00437AD9" w:rsidRPr="00C348F4">
        <w:t xml:space="preserve"> А3.3)</w:t>
      </w:r>
      <w:r w:rsidR="00EF17E7" w:rsidRPr="00C348F4">
        <w:t xml:space="preserve"> </w:t>
      </w:r>
      <w:r w:rsidR="000B0AC3" w:rsidRPr="00C348F4">
        <w:fldChar w:fldCharType="begin" w:fldLock="1"/>
      </w:r>
      <w:r w:rsidR="00BA7FFC">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[61]","plainTextFormattedCitation":"[61]","previouslyFormattedCitation":"[61]"},"properties":{"noteIndex":0},"schema":"https://github.com/citation-style-language/schema/raw/master/csl-citation.json"}</w:instrText>
      </w:r>
      <w:r w:rsidR="000B0AC3" w:rsidRPr="00C348F4">
        <w:fldChar w:fldCharType="separate"/>
      </w:r>
      <w:r w:rsidR="00225D7F" w:rsidRPr="00225D7F">
        <w:rPr>
          <w:noProof/>
        </w:rPr>
        <w:t>[61]</w:t>
      </w:r>
      <w:r w:rsidR="000B0AC3" w:rsidRPr="00C348F4">
        <w:fldChar w:fldCharType="end"/>
      </w:r>
      <w:r w:rsidR="00DA5232" w:rsidRPr="0080011C">
        <w:t xml:space="preserve">. </w:t>
      </w:r>
    </w:p>
    <w:p w14:paraId="2CF94689" w14:textId="77777777" w:rsidR="009A0687" w:rsidRPr="00691D0D" w:rsidRDefault="009A0687" w:rsidP="0080011C">
      <w:pPr>
        <w:ind w:left="426"/>
        <w:contextualSpacing/>
        <w:rPr>
          <w:b/>
          <w:spacing w:val="-4"/>
        </w:rPr>
      </w:pPr>
      <w:r w:rsidRPr="00C348F4">
        <w:rPr>
          <w:b/>
          <w:spacing w:val="-4"/>
        </w:rPr>
        <w:lastRenderedPageBreak/>
        <w:t xml:space="preserve">Уровень убедительности </w:t>
      </w:r>
      <w:r w:rsidR="00C20509" w:rsidRPr="00C348F4">
        <w:rPr>
          <w:b/>
          <w:spacing w:val="-4"/>
        </w:rPr>
        <w:t xml:space="preserve">рекомендаций – </w:t>
      </w:r>
      <w:r w:rsidRPr="00C348F4">
        <w:rPr>
          <w:b/>
          <w:spacing w:val="-4"/>
          <w:lang w:val="en-US"/>
        </w:rPr>
        <w:t>B</w:t>
      </w:r>
      <w:r w:rsidRPr="00C348F4">
        <w:rPr>
          <w:b/>
          <w:spacing w:val="-4"/>
        </w:rPr>
        <w:t xml:space="preserve"> (уровень достоверности </w:t>
      </w:r>
      <w:r w:rsidR="00C20509" w:rsidRPr="00C348F4">
        <w:rPr>
          <w:b/>
          <w:spacing w:val="-4"/>
        </w:rPr>
        <w:t>доказательств</w:t>
      </w:r>
      <w:r w:rsidR="00C20509" w:rsidRPr="00691D0D">
        <w:rPr>
          <w:b/>
          <w:spacing w:val="-4"/>
        </w:rPr>
        <w:t xml:space="preserve"> – </w:t>
      </w:r>
      <w:r w:rsidRPr="00691D0D">
        <w:rPr>
          <w:b/>
          <w:spacing w:val="-4"/>
        </w:rPr>
        <w:t>2).</w:t>
      </w:r>
    </w:p>
    <w:p w14:paraId="62700D11" w14:textId="6AA9E332" w:rsidR="00567BB4" w:rsidRDefault="00567BB4" w:rsidP="00D61785">
      <w:pPr>
        <w:pStyle w:val="a4"/>
        <w:numPr>
          <w:ilvl w:val="0"/>
          <w:numId w:val="50"/>
        </w:numPr>
        <w:spacing w:before="0"/>
      </w:pPr>
      <w:r>
        <w:t>Пациентам с рецидивом ХЛЛ с непереносимостью ибрутиниба</w:t>
      </w:r>
      <w:r w:rsidRPr="004222D8">
        <w:t>**</w:t>
      </w:r>
      <w:r>
        <w:t xml:space="preserve"> </w:t>
      </w:r>
      <w:r w:rsidRPr="0080011C">
        <w:rPr>
          <w:b/>
          <w:bCs/>
        </w:rPr>
        <w:t>рекомендована</w:t>
      </w:r>
      <w:r>
        <w:t xml:space="preserve"> терапия акалабрутинибом </w:t>
      </w:r>
      <w:r>
        <w:fldChar w:fldCharType="begin" w:fldLock="1"/>
      </w:r>
      <w:r w:rsidR="00BA7FFC">
        <w:instrText>ADDIN CSL_CITATION {"citationItems":[{"id":"ITEM-1","itemData":{"DOI":"10.1182/bloodadvances.2018030007","ISSN":"24739537","PMID":"31088809","abstract":"The Bruton tyrosine kinase (BTK) inhibitor ibrutinib improves patient outcomes in chronic lymphocytic leukemia (CLL); however, some patients experience adverse events (AEs) leading to discontinuation. Acalabrutinib is a potent, covalent BTK inhibitor with greater selectivity than ibrutinib.We evaluated the safety and efficacy of 100 mg of acalabrutinib twice daily or 200 mg once daily in patients with CLL who discontinued ibrutinib because of intolerance as determined by the investigators. Among 33 treated patients (61% men; median age, 64 years; range, 50-82 years), median duration of prior ibrutinib treatment was 11.6 months (range, 1-62 months); median time from ibrutinib discontinuation to acalabrutinib start was 47 days (range, 3-331 days). After a median of 19.0 months (range, 0.2-30.6 months), 23 patients remained on acalabrutinib; 10 had discontinued (progressive disease, n = 4; AEs, n = 3). No acalabrutinib dose reductions occurred. During acalabrutinib treatment, the most frequent AEs included diarrhea (58%), headache (39%), and cough (33%). Grade 3/4 AEs occurred in 58%, most commonly neutropenia (12%) and thrombocytopenia (9%). Of 61 ibrutinib-related AEs associated with intolerance, 72% did not recur and 13% recurred at a lower grade with acalabrutinib. Overall response rate was 76%, including 1 complete and 19 partial responses and 5 partial responses with lymphocytosis. Among 25 responders, median duration of response was not reached. Median progression-free survival (PFS) was not reached; 1-year PFS was 83.4% (95% confidence interval, 64.5%-92.7%). Acalabrutinib was well tolerated with a high response rate in patients who were previously intolerant to ibrutinib.","author":[{"dropping-particle":"","family":"Awan","given":"Farrukh T.","non-dropping-particle":"","parse-names":false,"suffix":""},{"dropping-particle":"","family":"Schuh","given":"Anna","non-dropping-particle":"","parse-names":false,"suffix":""},{"dropping-particle":"","family":"Brown","given":"Jennifer R.","non-dropping-particle":"","parse-names":false,"suffix":""},{"dropping-particle":"","family":"Furman","given":"Richard R.","non-dropping-particle":"","parse-names":false,"suffix":""},{"dropping-particle":"","family":"Pagel","given":"John M.","non-dropping-particle":"","parse-names":false,"suffix":""},{"dropping-particle":"","family":"Hillmen","given":"Peter","non-dropping-particle":"","parse-names":false,"suffix":""},{"dropping-particle":"","family":"Stephens","given":"Deborah M.","non-dropping-particle":"","parse-names":false,"suffix":""},{"dropping-particle":"","family":"Woyach","given":"Jennifer","non-dropping-particle":"","parse-names":false,"suffix":""},{"dropping-particle":"","family":"Bibikova","given":"Elena","non-dropping-particle":"","parse-names":false,"suffix":""},{"dropping-particle":"","family":"Charuworn","given":"Prista","non-dropping-particle":"","parse-names":false,"suffix":""},{"dropping-particle":"","family":"Frigault","given":"Melanie M.","non-dropping-particle":"","parse-names":false,"suffix":""},{"dropping-particle":"","family":"Hamdy","given":"Ahmed","non-dropping-particle":"","parse-names":false,"suffix":""},{"dropping-particle":"","family":"Izumi","given":"Raquel","non-dropping-particle":"","parse-names":false,"suffix":""},{"dropping-particle":"","family":"Linghu","given":"Bolan","non-dropping-particle":"","parse-names":false,"suffix":""},{"dropping-particle":"","family":"Patel","given":"Priti","non-dropping-particle":"","parse-names":false,"suffix":""},{"dropping-particle":"","family":"Wang","given":"Min Hui","non-dropping-particle":"","parse-names":false,"suffix":""},{"dropping-particle":"","family":"Byrd","given":"John C.","non-dropping-particle":"","parse-names":false,"suffix":""}],"container-title":"Blood Advances","id":"ITEM-1","issue":"9","issued":{"date-parts":[["2019"]]},"page":"1553-1562","publisher":"American Society of Hematology","title":"Acalabrutinib monotherapy in patients with chronic lymphocytic leukemia who are intolerant to ibrutinib","type":"article-journal","volume":"3"},"uris":["http://www.mendeley.com/documents/?uuid=9c367438-6a96-3af8-8c6e-95371c9ceeab"]}],"mendeley":{"formattedCitation":"[63]","plainTextFormattedCitation":"[63]","previouslyFormattedCitation":"[63]"},"properties":{"noteIndex":0},"schema":"https://github.com/citation-style-language/schema/raw/master/csl-citation.json"}</w:instrText>
      </w:r>
      <w:r>
        <w:fldChar w:fldCharType="separate"/>
      </w:r>
      <w:r w:rsidR="00225D7F" w:rsidRPr="00225D7F">
        <w:rPr>
          <w:noProof/>
        </w:rPr>
        <w:t>[63]</w:t>
      </w:r>
      <w:r>
        <w:fldChar w:fldCharType="end"/>
      </w:r>
      <w:r>
        <w:t>.</w:t>
      </w:r>
    </w:p>
    <w:p w14:paraId="7FB21FC3" w14:textId="77777777" w:rsidR="00567BB4" w:rsidRPr="007C1EA1" w:rsidRDefault="00567BB4" w:rsidP="0080011C">
      <w:pPr>
        <w:ind w:left="426"/>
        <w:contextualSpacing/>
        <w:rPr>
          <w:b/>
          <w:spacing w:val="-4"/>
        </w:rPr>
      </w:pPr>
      <w:r w:rsidRPr="007C1EA1">
        <w:rPr>
          <w:b/>
          <w:spacing w:val="-4"/>
        </w:rPr>
        <w:t xml:space="preserve">Уровень убедительности рекомендаций – </w:t>
      </w:r>
      <w:r>
        <w:rPr>
          <w:b/>
          <w:spacing w:val="-4"/>
          <w:lang w:val="en-US"/>
        </w:rPr>
        <w:t>B</w:t>
      </w:r>
      <w:r w:rsidRPr="007C1EA1">
        <w:rPr>
          <w:b/>
          <w:spacing w:val="-4"/>
        </w:rPr>
        <w:t xml:space="preserve"> (уровень достоверности доказательств – 3).</w:t>
      </w:r>
    </w:p>
    <w:p w14:paraId="6F796CD4" w14:textId="77777777" w:rsidR="00567BB4" w:rsidRPr="00567BB4" w:rsidRDefault="00567BB4" w:rsidP="005D3BBD">
      <w:pPr>
        <w:ind w:firstLine="426"/>
      </w:pPr>
      <w:r w:rsidRPr="00567BB4">
        <w:rPr>
          <w:b/>
        </w:rPr>
        <w:t xml:space="preserve">Комментарий: </w:t>
      </w:r>
      <w:r w:rsidRPr="00567BB4">
        <w:rPr>
          <w:bCs/>
          <w:i/>
          <w:iCs/>
        </w:rPr>
        <w:t>В рамках исследования 1/2 фазы ACE-CL-001 среди пациентов с ХЛЛ,была выбрана отдельная когорта пациентов с непереносимостью ибрутиниба. В исследование вошло 33 пацента, у которых на последней предшествующей линии терапии ибрутинибом отмечалась неприемлемая токсичночть по мнению исследователя.  После перевода на терапию акалабрутинибом у 72% пациентов не отмечались нежелательные явления, ставшие причиной прекращения терапии ибрутинибом**. Ни одно из повторных НЯ не привело к досрочному прекращению терапии акалабрутинибом или снижению дозы.</w:t>
      </w:r>
    </w:p>
    <w:p w14:paraId="7213CBDC" w14:textId="18F0D4BF" w:rsidR="006D567B" w:rsidRPr="00C348F4" w:rsidRDefault="00691D0D" w:rsidP="00D61785">
      <w:pPr>
        <w:pStyle w:val="a4"/>
        <w:numPr>
          <w:ilvl w:val="0"/>
          <w:numId w:val="50"/>
        </w:numPr>
        <w:spacing w:before="0"/>
      </w:pPr>
      <w:r>
        <w:t>П</w:t>
      </w:r>
      <w:r w:rsidR="006D567B">
        <w:t>ациент</w:t>
      </w:r>
      <w:r>
        <w:t>ам</w:t>
      </w:r>
      <w:r w:rsidR="006D567B">
        <w:t xml:space="preserve"> с ранним </w:t>
      </w:r>
      <w:r w:rsidR="00AD6066">
        <w:t xml:space="preserve">(&lt;24 мес. после последней терапии) </w:t>
      </w:r>
      <w:r>
        <w:t xml:space="preserve">рецидивом </w:t>
      </w:r>
      <w:r w:rsidR="00AD6066">
        <w:t>ХЛЛ/</w:t>
      </w:r>
      <w:r w:rsidR="004A0625">
        <w:t>ЛМЛ, имеющих</w:t>
      </w:r>
      <w:r w:rsidR="00AD6066">
        <w:t xml:space="preserve"> противопоказания к назначению ибрутиниба</w:t>
      </w:r>
      <w:r w:rsidR="001018E4">
        <w:t>**</w:t>
      </w:r>
      <w:r w:rsidR="00AD6066">
        <w:t xml:space="preserve">, </w:t>
      </w:r>
      <w:r w:rsidR="001722D3">
        <w:t>вне зависимости от</w:t>
      </w:r>
      <w:r>
        <w:t xml:space="preserve"> наличия</w:t>
      </w:r>
      <w:r w:rsidR="00EF17E7" w:rsidRPr="00EF17E7">
        <w:t xml:space="preserve"> </w:t>
      </w:r>
      <w:r w:rsidR="001722D3">
        <w:t>делеции 17p</w:t>
      </w:r>
      <w:r>
        <w:t xml:space="preserve"> или </w:t>
      </w:r>
      <w:r w:rsidR="001722D3">
        <w:t xml:space="preserve">мутации </w:t>
      </w:r>
      <w:r w:rsidR="001722D3" w:rsidRPr="0080011C">
        <w:rPr>
          <w:i/>
        </w:rPr>
        <w:t>TP53</w:t>
      </w:r>
      <w:r w:rsidR="008311A0">
        <w:t xml:space="preserve"> п</w:t>
      </w:r>
      <w:r>
        <w:t>о</w:t>
      </w:r>
      <w:r w:rsidR="008311A0">
        <w:t xml:space="preserve"> возможности</w:t>
      </w:r>
      <w:r w:rsidR="00030520">
        <w:t xml:space="preserve"> </w:t>
      </w:r>
      <w:r w:rsidR="006D567B" w:rsidRPr="0080011C">
        <w:rPr>
          <w:b/>
        </w:rPr>
        <w:t>рекомендована</w:t>
      </w:r>
      <w:r w:rsidR="006D567B">
        <w:t xml:space="preserve"> комбинация </w:t>
      </w:r>
      <w:r w:rsidR="00444B93">
        <w:t>венетоклакса</w:t>
      </w:r>
      <w:r w:rsidR="00E0050E" w:rsidRPr="00932BCF">
        <w:t>**</w:t>
      </w:r>
      <w:r w:rsidR="00444B93">
        <w:t xml:space="preserve"> </w:t>
      </w:r>
      <w:r w:rsidR="00444B93" w:rsidRPr="0040662F">
        <w:t>20 мг/сут (нед. 1), 50 мг/сут (нед. 2), 100 мг</w:t>
      </w:r>
      <w:r w:rsidR="00444B93">
        <w:t>/сут (нед. 3), 200 мг/сут (нед. </w:t>
      </w:r>
      <w:r w:rsidR="00444B93" w:rsidRPr="0040662F">
        <w:t xml:space="preserve">4), 400 мг/сут (нед. 5 и далее), </w:t>
      </w:r>
      <w:r w:rsidR="00444B93" w:rsidRPr="0080011C">
        <w:t xml:space="preserve">прием в течение 24 мес. начиная с 1-го дня 1-го цикла лечения ритуксимабом** </w:t>
      </w:r>
      <w:r w:rsidR="00444B93">
        <w:t>и ритуксимаба</w:t>
      </w:r>
      <w:r w:rsidR="00444B93" w:rsidRPr="00E02ECB">
        <w:t>**</w:t>
      </w:r>
      <w:r w:rsidR="00444B93">
        <w:t xml:space="preserve"> </w:t>
      </w:r>
      <w:r w:rsidR="00444B93" w:rsidRPr="0040662F">
        <w:t>375 мг/</w:t>
      </w:r>
      <w:r w:rsidR="00444B93" w:rsidRPr="00C348F4">
        <w:t>м</w:t>
      </w:r>
      <w:r w:rsidR="00444B93" w:rsidRPr="0080011C">
        <w:rPr>
          <w:vertAlign w:val="superscript"/>
          <w:lang w:eastAsia="ru-RU"/>
        </w:rPr>
        <w:t>2</w:t>
      </w:r>
      <w:r w:rsidR="00444B93" w:rsidRPr="00C348F4">
        <w:t xml:space="preserve"> в/в кап. через 1 нед. после достижения дозы венетоклакса</w:t>
      </w:r>
      <w:r w:rsidR="00E0050E" w:rsidRPr="00932BCF">
        <w:t>**</w:t>
      </w:r>
      <w:r w:rsidR="00444B93" w:rsidRPr="00C348F4">
        <w:t xml:space="preserve"> 400 мг/сут, далее – 500 мг/м</w:t>
      </w:r>
      <w:r w:rsidR="00444B93" w:rsidRPr="0080011C">
        <w:rPr>
          <w:vertAlign w:val="superscript"/>
          <w:lang w:eastAsia="ru-RU"/>
        </w:rPr>
        <w:t>2</w:t>
      </w:r>
      <w:r w:rsidR="00444B93" w:rsidRPr="00C348F4">
        <w:t xml:space="preserve"> в/в кап. или </w:t>
      </w:r>
      <w:r w:rsidR="00492BEA">
        <w:t xml:space="preserve">1600 </w:t>
      </w:r>
      <w:r w:rsidR="00EA3851">
        <w:t>мг п/к</w:t>
      </w:r>
      <w:r w:rsidR="00444B93" w:rsidRPr="00C348F4">
        <w:t xml:space="preserve"> ежемесячно, всего 6 введений</w:t>
      </w:r>
      <w:r w:rsidR="00437AD9" w:rsidRPr="00C348F4">
        <w:t xml:space="preserve"> (</w:t>
      </w:r>
      <w:r w:rsidR="00AA4B03" w:rsidRPr="00C348F4">
        <w:t xml:space="preserve">схемы режимов лечения см. в приложении </w:t>
      </w:r>
      <w:r w:rsidR="00437AD9" w:rsidRPr="00C348F4">
        <w:t>А3.3)</w:t>
      </w:r>
      <w:r w:rsidR="00EF17E7" w:rsidRPr="00C348F4">
        <w:t xml:space="preserve"> </w:t>
      </w:r>
      <w:r w:rsidR="000B0AC3" w:rsidRPr="00C348F4">
        <w:fldChar w:fldCharType="begin" w:fldLock="1"/>
      </w:r>
      <w:r w:rsidR="00BA7FFC">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[61]","plainTextFormattedCitation":"[61]","previouslyFormattedCitation":"[61]"},"properties":{"noteIndex":0},"schema":"https://github.com/citation-style-language/schema/raw/master/csl-citation.json"}</w:instrText>
      </w:r>
      <w:r w:rsidR="000B0AC3" w:rsidRPr="00C348F4">
        <w:fldChar w:fldCharType="separate"/>
      </w:r>
      <w:r w:rsidR="00225D7F" w:rsidRPr="00225D7F">
        <w:rPr>
          <w:noProof/>
        </w:rPr>
        <w:t>[61]</w:t>
      </w:r>
      <w:r w:rsidR="000B0AC3" w:rsidRPr="00C348F4">
        <w:fldChar w:fldCharType="end"/>
      </w:r>
      <w:r w:rsidR="006D567B" w:rsidRPr="00C348F4">
        <w:t xml:space="preserve">. </w:t>
      </w:r>
    </w:p>
    <w:p w14:paraId="7C80ABCE" w14:textId="77777777" w:rsidR="006D567B" w:rsidRPr="00C348F4" w:rsidRDefault="006D567B"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444B93" w:rsidRPr="00C348F4">
        <w:rPr>
          <w:b/>
          <w:spacing w:val="-4"/>
        </w:rPr>
        <w:t xml:space="preserve">В </w:t>
      </w:r>
      <w:r w:rsidRPr="00C348F4">
        <w:rPr>
          <w:b/>
          <w:spacing w:val="-4"/>
        </w:rPr>
        <w:t>(урове</w:t>
      </w:r>
      <w:r w:rsidR="001E3D61" w:rsidRPr="00C348F4">
        <w:rPr>
          <w:b/>
          <w:spacing w:val="-4"/>
        </w:rPr>
        <w:t xml:space="preserve">нь достоверности </w:t>
      </w:r>
      <w:r w:rsidR="00C20509" w:rsidRPr="00C348F4">
        <w:rPr>
          <w:b/>
          <w:spacing w:val="-4"/>
        </w:rPr>
        <w:t xml:space="preserve">доказательств – </w:t>
      </w:r>
      <w:r w:rsidR="001E3D61" w:rsidRPr="00C348F4">
        <w:rPr>
          <w:b/>
          <w:spacing w:val="-4"/>
        </w:rPr>
        <w:t>2</w:t>
      </w:r>
      <w:r w:rsidRPr="00C348F4">
        <w:rPr>
          <w:b/>
          <w:spacing w:val="-4"/>
        </w:rPr>
        <w:t>).</w:t>
      </w:r>
    </w:p>
    <w:p w14:paraId="6F4C0BD3" w14:textId="7A4449D8" w:rsidR="004D7374" w:rsidRPr="00C348F4" w:rsidRDefault="00691D0D" w:rsidP="00D61785">
      <w:pPr>
        <w:pStyle w:val="a4"/>
        <w:numPr>
          <w:ilvl w:val="0"/>
          <w:numId w:val="50"/>
        </w:numPr>
        <w:spacing w:before="0"/>
      </w:pPr>
      <w:r w:rsidRPr="00C348F4">
        <w:t>П</w:t>
      </w:r>
      <w:r w:rsidR="004D7374" w:rsidRPr="00C348F4">
        <w:t>ациент</w:t>
      </w:r>
      <w:r w:rsidRPr="00C348F4">
        <w:t>ам</w:t>
      </w:r>
      <w:r w:rsidR="001722D3" w:rsidRPr="00C348F4">
        <w:t xml:space="preserve"> с ХЛЛ/ЛМЛ моложе 65 лет</w:t>
      </w:r>
      <w:r w:rsidR="004D7374" w:rsidRPr="00C348F4">
        <w:t xml:space="preserve"> без значимой коморбидности, </w:t>
      </w:r>
      <w:r w:rsidRPr="00C348F4">
        <w:t xml:space="preserve">которые </w:t>
      </w:r>
      <w:r w:rsidR="004D7374" w:rsidRPr="00C348F4">
        <w:t xml:space="preserve">в связи с ранним рецидивом или </w:t>
      </w:r>
      <w:r w:rsidRPr="00C348F4">
        <w:t xml:space="preserve">в связи с </w:t>
      </w:r>
      <w:r w:rsidR="004D7374" w:rsidRPr="00C348F4">
        <w:t xml:space="preserve">выявлением </w:t>
      </w:r>
      <w:r w:rsidRPr="00C348F4">
        <w:t>при</w:t>
      </w:r>
      <w:r w:rsidR="004D7374" w:rsidRPr="00C348F4">
        <w:t xml:space="preserve"> рецидиве делеции 17p и/или мутации </w:t>
      </w:r>
      <w:r w:rsidR="004D7374" w:rsidRPr="0080011C">
        <w:rPr>
          <w:i/>
        </w:rPr>
        <w:t>TP53</w:t>
      </w:r>
      <w:r w:rsidR="00030520" w:rsidRPr="00C348F4">
        <w:t xml:space="preserve"> </w:t>
      </w:r>
      <w:r w:rsidRPr="00C348F4">
        <w:t xml:space="preserve">получали </w:t>
      </w:r>
      <w:r w:rsidR="004D7374" w:rsidRPr="00C348F4">
        <w:t>ибрутиниб</w:t>
      </w:r>
      <w:r w:rsidR="001722D3" w:rsidRPr="00C348F4">
        <w:t>**</w:t>
      </w:r>
      <w:r w:rsidR="004D7374" w:rsidRPr="00C348F4">
        <w:t xml:space="preserve"> или комбинацию венетоклакса</w:t>
      </w:r>
      <w:r w:rsidR="00E0050E" w:rsidRPr="00932BCF">
        <w:t>**</w:t>
      </w:r>
      <w:r w:rsidR="004D7374" w:rsidRPr="00C348F4">
        <w:t xml:space="preserve"> с ритуксимабом</w:t>
      </w:r>
      <w:r w:rsidR="001722D3" w:rsidRPr="00C348F4">
        <w:t>**</w:t>
      </w:r>
      <w:r w:rsidRPr="00C348F4">
        <w:t>,</w:t>
      </w:r>
      <w:r w:rsidR="0004059D" w:rsidRPr="00C348F4">
        <w:t xml:space="preserve"> при достижении </w:t>
      </w:r>
      <w:r w:rsidR="004D7374" w:rsidRPr="00C348F4">
        <w:t>объектив</w:t>
      </w:r>
      <w:r w:rsidR="0004059D" w:rsidRPr="00C348F4">
        <w:t>ного</w:t>
      </w:r>
      <w:r w:rsidR="004D7374" w:rsidRPr="00C348F4">
        <w:t xml:space="preserve"> ответ</w:t>
      </w:r>
      <w:r w:rsidR="0004059D" w:rsidRPr="00C348F4">
        <w:t>а</w:t>
      </w:r>
      <w:r w:rsidRPr="00C348F4">
        <w:t xml:space="preserve"> на терапию рецидива</w:t>
      </w:r>
      <w:r w:rsidR="004D7374" w:rsidRPr="00C348F4">
        <w:t xml:space="preserve"> </w:t>
      </w:r>
      <w:r w:rsidR="004D7374" w:rsidRPr="0080011C">
        <w:rPr>
          <w:b/>
        </w:rPr>
        <w:t>рекоменд</w:t>
      </w:r>
      <w:r w:rsidR="005A0BFC" w:rsidRPr="0080011C">
        <w:rPr>
          <w:b/>
        </w:rPr>
        <w:t>уется</w:t>
      </w:r>
      <w:r w:rsidR="004D7374" w:rsidRPr="00C348F4">
        <w:t xml:space="preserve"> рассмотреть возможность аллогенной трансплантации гемопоэтических стволовых клеток в качестве консолидации</w:t>
      </w:r>
      <w:r w:rsidR="00EF17E7" w:rsidRPr="00C348F4">
        <w:t xml:space="preserve"> </w:t>
      </w:r>
      <w:r w:rsidR="000B0AC3" w:rsidRPr="00C348F4">
        <w:fldChar w:fldCharType="begin" w:fldLock="1"/>
      </w:r>
      <w:r w:rsidR="00BA7FFC">
        <w:instrText>ADDIN CSL_CITATION {"citationItems":[{"id":"ITEM-1","itemData":{"DOI":"10.1200/JCO.2007.15.4757","ISSN":"0732183X","abstract":"Purpose: We reported encouraging early results of allogeneic hematopoietic cell transplantation (HCT) after nonmyeloablative conditioning in 64 patients who had advanced chronic lymphocytic leukemia (CLL). Here, we have extended the follow-up to a median of 5 years and have included data on an additional 18 patients. Patients and Methods: Eighty-two patients, age 42 to 72 years, who had fludarabine-refractory CLL were conditioned with 2 Gy total-body irradiation alone or combined with fludarabine followed by HCT from related (n = 52) or unrelated (n = 30) donors. Results: Complete remission (CR) and partial remission were achieved in 55% and 15% of patients, respectively. Higher CR rates were noted after unrelated HCT (67% v 48%). The 5-year incidences of nonrelapse mortality (NRM), progression/relapse, overall survival, and progression-free survival were 23%, 38%, 50%, and 39%, respectively. Among 25 patients initially reported in CR, 8% relapsed and 8% died as a result of NRM, whereas 84% have remained alive and in CR. Among 14 responding patients who were tested and who had molecular eradication of their disease, two died as a result of NRM, two relapsed, and 10 have remained negative. At 5 years, 76% of living patients were entirely well, whereas 24% continued to receive immunosuppression for chronic graft-versus-host disease; the median performance status in each group was 100% and 90%, respectively. Lymphadenopathy ≥ 5 cm, but not cytogenetic abnormalities at HCT, predicted relapse. In a risk-stratification model, patients who had lymphadenopathy less than 5 cm and no comorbidities had a 5-year OS of 71%. Conclusion: Nonmyeloablative HCT resulted in a median survival of 5 years for patients who had fludarabine-refractory CLL with sustained remissions and in the continued resolution of chronic graft-versus-host disease in surviving patients. © 2008 by American Society of Clinical Oncology.","author":[{"dropping-particle":"","family":"Sorror","given":"Mohamed L.","non-dropping-particle":"","parse-names":false,"suffix":""},{"dropping-particle":"","family":"Storer","given":"Barry E.","non-dropping-particle":"","parse-names":false,"suffix":""},{"dropping-particle":"","family":"Sandmaier","given":"Brenda M.","non-dropping-particle":"","parse-names":false,"suffix":""},{"dropping-particle":"","family":"Maris","given":"Michael","non-dropping-particle":"","parse-names":false,"suffix":""},{"dropping-particle":"","family":"Shizuru","given":"Judith","non-dropping-particle":"","parse-names":false,"suffix":""},{"dropping-particle":"","family":"Maziarz","given":"Richard","non-dropping-particle":"","parse-names":false,"suffix":""},{"dropping-particle":"","family":"Agura","given":"Edward","non-dropping-particle":"","parse-names":false,"suffix":""},{"dropping-particle":"","family":"Chauncey","given":"Thomas R.","non-dropping-particle":"","parse-names":false,"suffix":""},{"dropping-particle":"","family":"Pulsipher","given":"Michael A.","non-dropping-particle":"","parse-names":false,"suffix":""},{"dropping-particle":"","family":"McSweeney","given":"Peter A.","non-dropping-particle":"","parse-names":false,"suffix":""},{"dropping-particle":"","family":"Wade","given":"James C.","non-dropping-particle":"","parse-names":false,"suffix":""},{"dropping-particle":"","family":"Bruno","given":"Benedetto","non-dropping-particle":"","parse-names":false,"suffix":""},{"dropping-particle":"","family":"Langston","given":"Amelia","non-dropping-particle":"","parse-names":false,"suffix":""},{"dropping-particle":"","family":"Radich","given":"Jerald","non-dropping-particle":"","parse-names":false,"suffix":""},{"dropping-particle":"","family":"Niederwieser","given":"Dietger","non-dropping-particle":"","parse-names":false,"suffix":""},{"dropping-particle":"","family":"Blume","given":"Karl G.","non-dropping-particle":"","parse-names":false,"suffix":""},{"dropping-particle":"","family":"Storb","given":"Rainer","non-dropping-particle":"","parse-names":false,"suffix":""},{"dropping-particle":"","family":"Maloney","given":"David G.","non-dropping-particle":"","parse-names":false,"suffix":""}],"container-title":"Journal of Clinical Oncology","id":"ITEM-1","issue":"30","issued":{"date-parts":[["2008","10","20"]]},"page":"4912-4920","title":"Five-year follow-up of patients with advanced chronic lymphocytic leukemia treated with allogeneic hematopoietic cell transplantation after nonmyeloablative conditioning","type":"article-journal","volume":"26"},"uris":["http://www.mendeley.com/documents/?uuid=c8667c7e-d06b-3a1f-9bdd-057009deab58"]},{"id":"ITEM-2","itemData":{"DOI":"10.1182/blood-2010-03-275420","ISSN":"00064971","abstract":"The purpose of this prospective multi-center phase 2 trial was to investigate the long-term outcome of reduced-intensity conditioning allogeneic stem cell transplantation (alloSCT) in patients with poor-risk chronic lymphocytic leukemia. Conditioning was fludarabine/cyclophosphamide-based. Longitudinal quantitative monitoring of minimal residual disease (MRD) was performed centrally by MRD-flow or real-time quantitative polymerase chain reaction. One hundred eligible patients were enrolled, and 90 patients proceeded to alloSCT. With a median follow-up of 46 months (7-102 months), 4-year nonrelapse mortality, event-free survival (EFS) and overall survival (OS) were 23%, 42%, and 65%, respectively. Of 52 patients with MRD monitoring available, 27 (52%) were alive and MRD negative at 12 months after transplant. Four-year EFS of this subset was 89% with all event-free patients except for 2 being MRD negative at the most recent assessment. EFS was similar for all genetic subsets, including 17p deletion (17p-). In multivariate analyses, uncontrolled disease at alloSCT and in vivo T-cell depletion with alemtuzumab, but not 17p-, previous purine analogue refractoriness, or donor source (human leukocyte antigen-identical siblings or unrelated donors) had an adverse impact on EFS and OS. In conclusion, alloSCT for poor-risk chronic lymphocytic leukemia can result in long-term MRD-negative survival in up to one-half of the patients independent of the underlying genomic risk profile. This trial is registered at http://clinicaltrials.gov as NCT00281983. © 2010 by The American Society of Hematology.","author":[{"dropping-particle":"","family":"Dreger","given":"Peter","non-dropping-particle":"","parse-names":false,"suffix":""},{"dropping-particle":"","family":"Döhner","given":"Hartmut","non-dropping-particle":"","parse-names":false,"suffix":""},{"dropping-particle":"","family":"Ritgen","given":"Matthias","non-dropping-particle":"","parse-names":false,"suffix":""},{"dropping-particle":"","family":"Böttcher","given":"Sebastian","non-dropping-particle":"","parse-names":false,"suffix":""},{"dropping-particle":"","family":"Busch","given":"Raymonde","non-dropping-particle":"","parse-names":false,"suffix":""},{"dropping-particle":"","family":"Dietrich","given":"Sascha","non-dropping-particle":"","parse-names":false,"suffix":""},{"dropping-particle":"","family":"Bunjes","given":"Donald","non-dropping-particle":"","parse-names":false,"suffix":""},{"dropping-particle":"","family":"Cohen","given":"Sandra","non-dropping-particle":"","parse-names":false,"suffix":""},{"dropping-particle":"","family":"Schubert","given":"Jörg","non-dropping-particle":"","parse-names":false,"suffix":""},{"dropping-particle":"","family":"Hegenbart","given":"Ute","non-dropping-particle":"","parse-names":false,"suffix":""},{"dropping-particle":"","family":"Beelen","given":"Dietrich","non-dropping-particle":"","parse-names":false,"suffix":""},{"dropping-particle":"","family":"Zeis","given":"Matthias","non-dropping-particle":"","parse-names":false,"suffix":""},{"dropping-particle":"","family":"Stadler","given":"Michael","non-dropping-particle":"","parse-names":false,"suffix":""},{"dropping-particle":"","family":"Hasenkamp","given":"Justin","non-dropping-particle":"","parse-names":false,"suffix":""},{"dropping-particle":"","family":"Uharek","given":"Lutz","non-dropping-particle":"","parse-names":false,"suffix":""},{"dropping-particle":"","family":"Scheid","given":"Christof","non-dropping-particle":"","parse-names":false,"suffix":""},{"dropping-particle":"","family":"Humpe","given":"Andreas","non-dropping-particle":"","parse-names":false,"suffix":""},{"dropping-particle":"","family":"Zenz","given":"Thorsten","non-dropping-particle":"","parse-names":false,"suffix":""},{"dropping-particle":"","family":"Winkler","given":"Dirk","non-dropping-particle":"","parse-names":false,"suffix":""},{"dropping-particle":"","family":"Hallek","given":"Michael","non-dropping-particle":"","parse-names":false,"suffix":""},{"dropping-particle":"","family":"Kneba","given":"Michael","non-dropping-particle":"","parse-names":false,"suffix":""},{"dropping-particle":"","family":"Schmitz","given":"Norbert","non-dropping-particle":"","parse-names":false,"suffix":""},{"dropping-particle":"","family":"Stilgenbauer","given":"Stephan","non-dropping-particle":"","parse-names":false,"suffix":""}],"container-title":"Blood","id":"ITEM-2","issue":"14","issued":{"date-parts":[["2010","10","7"]]},"page":"2438-2447","title":"Allogeneic stem cell transplantation provides durable disease control in poor-risk chronic lymphocytic leukemia: Long-term clinical and MRD results of the German CLL Study Group CLL3X trial","type":"article-journal","volume":"116"},"uris":["http://www.mendeley.com/documents/?uuid=971dcce6-824c-3366-80ba-7b1dc6b012dc"]}],"mendeley":{"formattedCitation":"[51,52]","plainTextFormattedCitation":"[51,52]","previouslyFormattedCitation":"[51,52]"},"properties":{"noteIndex":0},"schema":"https://github.com/citation-style-language/schema/raw/master/csl-citation.json"}</w:instrText>
      </w:r>
      <w:r w:rsidR="000B0AC3" w:rsidRPr="00C348F4">
        <w:fldChar w:fldCharType="separate"/>
      </w:r>
      <w:r w:rsidR="00225D7F" w:rsidRPr="00225D7F">
        <w:rPr>
          <w:noProof/>
        </w:rPr>
        <w:t>[51,52]</w:t>
      </w:r>
      <w:r w:rsidR="000B0AC3" w:rsidRPr="00C348F4">
        <w:fldChar w:fldCharType="end"/>
      </w:r>
      <w:r w:rsidR="004D7374" w:rsidRPr="00C348F4">
        <w:t xml:space="preserve">. </w:t>
      </w:r>
    </w:p>
    <w:p w14:paraId="536E7F95" w14:textId="77777777" w:rsidR="004D7374" w:rsidRPr="00C348F4" w:rsidRDefault="004D7374"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Pr="00C348F4">
        <w:rPr>
          <w:b/>
          <w:spacing w:val="-4"/>
        </w:rPr>
        <w:t xml:space="preserve"> (урове</w:t>
      </w:r>
      <w:r w:rsidR="001E3D61" w:rsidRPr="00C348F4">
        <w:rPr>
          <w:b/>
          <w:spacing w:val="-4"/>
        </w:rPr>
        <w:t xml:space="preserve">нь достоверности </w:t>
      </w:r>
      <w:r w:rsidR="00C20509" w:rsidRPr="00C348F4">
        <w:rPr>
          <w:b/>
          <w:spacing w:val="-4"/>
        </w:rPr>
        <w:t xml:space="preserve">доказательств – </w:t>
      </w:r>
      <w:r w:rsidR="001E3D61" w:rsidRPr="00C348F4">
        <w:rPr>
          <w:b/>
          <w:spacing w:val="-4"/>
        </w:rPr>
        <w:t>3</w:t>
      </w:r>
      <w:r w:rsidRPr="00C348F4">
        <w:rPr>
          <w:b/>
          <w:spacing w:val="-4"/>
        </w:rPr>
        <w:t>)</w:t>
      </w:r>
      <w:r w:rsidR="00B76E9B" w:rsidRPr="00C348F4">
        <w:rPr>
          <w:b/>
          <w:spacing w:val="-4"/>
        </w:rPr>
        <w:t>.</w:t>
      </w:r>
    </w:p>
    <w:p w14:paraId="5121608D" w14:textId="08B8EF6A" w:rsidR="004D7374" w:rsidRPr="00C348F4" w:rsidRDefault="00691D0D" w:rsidP="00D61785">
      <w:pPr>
        <w:pStyle w:val="a4"/>
        <w:numPr>
          <w:ilvl w:val="0"/>
          <w:numId w:val="50"/>
        </w:numPr>
        <w:spacing w:before="0"/>
      </w:pPr>
      <w:r w:rsidRPr="00C348F4">
        <w:t>П</w:t>
      </w:r>
      <w:r w:rsidR="004D7374" w:rsidRPr="00C348F4">
        <w:t>ациент</w:t>
      </w:r>
      <w:r w:rsidRPr="00C348F4">
        <w:t>ам</w:t>
      </w:r>
      <w:r w:rsidR="00AD7318" w:rsidRPr="00C348F4">
        <w:t xml:space="preserve"> с ХЛЛ/ЛМЛ</w:t>
      </w:r>
      <w:r w:rsidR="004D7374" w:rsidRPr="00C348F4">
        <w:t>,</w:t>
      </w:r>
      <w:r w:rsidR="00DD5F69" w:rsidRPr="00C348F4">
        <w:t xml:space="preserve"> у которых наблюдался рецидив</w:t>
      </w:r>
      <w:r w:rsidR="004D7374" w:rsidRPr="00C348F4">
        <w:t xml:space="preserve"> во время приема ибрутиниба</w:t>
      </w:r>
      <w:r w:rsidR="001722D3" w:rsidRPr="00C348F4">
        <w:t>**</w:t>
      </w:r>
      <w:r w:rsidR="004D7374" w:rsidRPr="00C348F4">
        <w:t xml:space="preserve">, </w:t>
      </w:r>
      <w:r w:rsidR="008311A0" w:rsidRPr="00C348F4">
        <w:t>при наличии возможности</w:t>
      </w:r>
      <w:r w:rsidR="00030520" w:rsidRPr="00C348F4">
        <w:t xml:space="preserve"> </w:t>
      </w:r>
      <w:r w:rsidR="004D7374" w:rsidRPr="0080011C">
        <w:rPr>
          <w:b/>
          <w:bCs/>
        </w:rPr>
        <w:t>рекоменд</w:t>
      </w:r>
      <w:r w:rsidR="005A0BFC" w:rsidRPr="0080011C">
        <w:rPr>
          <w:b/>
          <w:bCs/>
        </w:rPr>
        <w:t>уется</w:t>
      </w:r>
      <w:r w:rsidR="009A0687" w:rsidRPr="0080011C">
        <w:t xml:space="preserve"> комбинация венетоклакса</w:t>
      </w:r>
      <w:r w:rsidR="00E0050E" w:rsidRPr="00932BCF">
        <w:t>**</w:t>
      </w:r>
      <w:r w:rsidR="009A0687" w:rsidRPr="0080011C">
        <w:t xml:space="preserve"> и ритуксимаба</w:t>
      </w:r>
      <w:r w:rsidR="00C848DD" w:rsidRPr="0080011C">
        <w:t>**</w:t>
      </w:r>
      <w:r w:rsidR="009A0687" w:rsidRPr="0080011C">
        <w:t xml:space="preserve"> </w:t>
      </w:r>
      <w:r w:rsidR="00437AD9" w:rsidRPr="00C348F4">
        <w:t>(</w:t>
      </w:r>
      <w:r w:rsidR="00AA4B03" w:rsidRPr="00C348F4">
        <w:t xml:space="preserve">схемы режимов лечения см. в приложении </w:t>
      </w:r>
      <w:r w:rsidR="00437AD9" w:rsidRPr="00C348F4">
        <w:t>А3.3)</w:t>
      </w:r>
      <w:r w:rsidR="00EF17E7" w:rsidRPr="00C348F4">
        <w:t xml:space="preserve"> </w:t>
      </w:r>
      <w:r w:rsidR="000B0AC3" w:rsidRPr="00C348F4">
        <w:fldChar w:fldCharType="begin" w:fldLock="1"/>
      </w:r>
      <w:r w:rsidR="00BA7FFC">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Leukemia.","type":"article-journal","volume":"378"},"uris":["http://www.mendeley.com/documents/?uuid=97ff4fc6-75e3-3334-8c2d-7565875bfa49"]},{"id":"ITEM-2","itemData":{"DOI":"10.1016/S1470-2045(16)30019-5","ISSN":"14745488","PMID":"27178240","abstract":"Background Deletion of chromosome 17p (del[17p]) in patients with chronic lymphocytic leukaemia confers very poor prognosis when treated with standard chemo-immunotherapy. Venetoclax is an oral small-molecule BCL2 inhibitor that induces chronic lymphocytic leukaemia cell apoptosis. In a previous first-in-human study of venetoclax, 77% of patients with relapsed or refractory chronic lymphocytic leukaemia achieved an overall response. Here we aimed to assess the activity and safety of venetoclax monotherapy in patients with relapsed or refractory del(17p) chronic lymphocytic leukaemia. Methods In this phase 2, single-arm, multicentre study, we recruited patients aged 18 years and older with del(17p) relapsed or refractory chronic lymphocytic leukaemia (as defined by 2008 Modified International Workshop on Chronic Lymphocytic Leukemia guidelines) from 31 centres in the USA, Canada, UK, Germany, Poland, and Australia. Patients started once daily venetoclax with a weekly dose ramp-up schedule (20, 50, 100, 200, 400 mg) over 4–5 weeks. Patients were then given daily 400 mg continuous dosing until disease progression or discontinuation for another reason. The primary endpoint was the proportion of patients achieving an overall response, assessed by an independent review committee. Activity and safety analyses included all patients who received at least one dose of study drug (per protocol). This study is registered with ClinicalTrials.gov, number NCT01889186. Follow-up is ongoing, and patients are still receiving treatment. Findings Between May 27, 2013, and June 27, 2014, 107 patients were enrolled into the study. At a median follow-up of 12·1 months (IQR 10·1–14·2), an overall response by independent review was achieved in 85 (79·4%; 95% CI 70·5–86·6) of 107 patients. The most common grade 3–4 adverse events were neutropenia (43 [40%]), infection (21 [20%]), anaemia (19 [18%]), and thrombocytopenia (16 [15%]). Serious adverse events occurred in 59 (55%) patients, irrespective of their relationship to treatment, with the most common (≥5% of patients) being pyrexia and autoimmune haemolytic anaemia (seven [7%] each), pneumonia (six [6%]), and febrile neutropenia (five [5%]). 11 patients died in the study within 30 days of the last dose of venetoclax; seven due to disease progression and four from an adverse event (none assessed as treatment related). Interpretation Results of this trial show that venetoclax monotherapy is active and well tolerated in patients …","author":[{"dropping-particle":"","family":"Stilgenbauer","given":"Stephan","non-dropping-particle":"","parse-names":false,"suffix":""},{"dropping-particle":"","family":"Eichhorst","given":"Barbara","non-dropping-particle":"","parse-names":false,"suffix":""},{"dropping-particle":"","family":"Schetelig","given":"Johannes","non-dropping-particle":"","parse-names":false,"suffix":""},{"dropping-particle":"","family":"Coutre","given":"Steven","non-dropping-particle":"","parse-names":false,"suffix":""},{"dropping-particle":"","family":"Seymour","given":"John F.","non-dropping-particle":"","parse-names":false,"suffix":""},{"dropping-particle":"","family":"Munir","given":"Talha","non-dropping-particle":"","parse-names":false,"suffix":""},{"dropping-particle":"","family":"Puvvada","given":"Soham D.","non-dropping-particle":"","parse-names":false,"suffix":""},{"dropping-particle":"","family":"Wendtner","given":"Clemens Martin","non-dropping-particle":"","parse-names":false,"suffix":""},{"dropping-particle":"","family":"Roberts","given":"Andrew W.","non-dropping-particle":"","parse-names":false,"suffix":""},{"dropping-particle":"","family":"Jurczak","given":"Wojciech","non-dropping-particle":"","parse-names":false,"suffix":""},{"dropping-particle":"","family":"Mulligan","given":"Stephen P.","non-dropping-particle":"","parse-names":false,"suffix":""},{"dropping-particle":"","family":"Böttcher","given":"Sebastian","non-dropping-particle":"","parse-names":false,"suffix":""},{"dropping-particle":"","family":"Mobasher","given":"Mehrdad","non-dropping-particle":"","parse-names":false,"suffix":""},{"dropping-particle":"","family":"Zhu","given":"Ming","non-dropping-particle":"","parse-names":false,"suffix":""},{"dropping-particle":"","family":"Desai","given":"Monali","non-dropping-particle":"","parse-names":false,"suffix":""},{"dropping-particle":"","family":"Chyla","given":"Brenda","non-dropping-particle":"","parse-names":false,"suffix":""},{"dropping-particle":"","family":"Verdugo","given":"Maria","non-dropping-particle":"","parse-names":false,"suffix":""},{"dropping-particle":"","family":"Enschede","given":"Sari Heitner","non-dropping-particle":"","parse-names":false,"suffix":""},{"dropping-particle":"","family":"Cerri","given":"Elisa","non-dropping-particle":"","parse-names":false,"suffix":""},{"dropping-particle":"","family":"Humerickhouse","given":"Rod","non-dropping-particle":"","parse-names":false,"suffix":""},{"dropping-particle":"","family":"Gordon","given":"Gary","non-dropping-particle":"","parse-names":false,"suffix":""},{"dropping-particle":"","family":"Hallek","given":"Michael","non-dropping-particle":"","parse-names":false,"suffix":""},{"dropping-particle":"","family":"Wierda","given":"William G.","non-dropping-particle":"","parse-names":false,"suffix":""}],"container-title":"The Lancet Oncology","id":"ITEM-2","issue":"6","issued":{"date-parts":[["2016","6","1"]]},"page":"768-778","publisher":"Lancet Publishing Group","title":"Venetoclax in relapsed or refractory chronic lymphocytic leukaemia with 17p deletion: a multicentre, open-label, phase 2 study","type":"article-journal","volume":"17"},"uris":["http://www.mendeley.com/documents/?uuid=dfbc2107-59f8-4a4b-abbb-d9f1957f04bd"]}],"mendeley":{"formattedCitation":"[53,61]","plainTextFormattedCitation":"[53,61]","previouslyFormattedCitation":"[53,61]"},"properties":{"noteIndex":0},"schema":"https://github.com/citation-style-language/schema/raw/master/csl-citation.json"}</w:instrText>
      </w:r>
      <w:r w:rsidR="000B0AC3" w:rsidRPr="00C348F4">
        <w:fldChar w:fldCharType="separate"/>
      </w:r>
      <w:r w:rsidR="00225D7F" w:rsidRPr="00225D7F">
        <w:rPr>
          <w:noProof/>
        </w:rPr>
        <w:t>[53,61]</w:t>
      </w:r>
      <w:r w:rsidR="000B0AC3" w:rsidRPr="00C348F4">
        <w:fldChar w:fldCharType="end"/>
      </w:r>
      <w:r w:rsidR="004D7374" w:rsidRPr="00C348F4">
        <w:t xml:space="preserve">. </w:t>
      </w:r>
    </w:p>
    <w:p w14:paraId="0881F0DF" w14:textId="77777777" w:rsidR="004D7374" w:rsidRPr="00691D0D" w:rsidRDefault="004D7374" w:rsidP="0080011C">
      <w:pPr>
        <w:ind w:left="426"/>
        <w:contextualSpacing/>
        <w:rPr>
          <w:b/>
          <w:spacing w:val="-4"/>
        </w:rPr>
      </w:pPr>
      <w:r w:rsidRPr="00C348F4">
        <w:rPr>
          <w:b/>
          <w:spacing w:val="-4"/>
        </w:rPr>
        <w:lastRenderedPageBreak/>
        <w:t xml:space="preserve">Уровень убедительности </w:t>
      </w:r>
      <w:r w:rsidR="00C20509" w:rsidRPr="00C348F4">
        <w:rPr>
          <w:b/>
          <w:spacing w:val="-4"/>
        </w:rPr>
        <w:t xml:space="preserve">рекомендаций – </w:t>
      </w:r>
      <w:r w:rsidR="001E3D61" w:rsidRPr="00C348F4">
        <w:rPr>
          <w:b/>
          <w:spacing w:val="-4"/>
        </w:rPr>
        <w:t>В</w:t>
      </w:r>
      <w:r w:rsidR="006919DC" w:rsidRPr="00C348F4">
        <w:rPr>
          <w:b/>
          <w:spacing w:val="-4"/>
        </w:rPr>
        <w:t xml:space="preserve"> </w:t>
      </w:r>
      <w:r w:rsidRPr="00C348F4">
        <w:rPr>
          <w:b/>
          <w:spacing w:val="-4"/>
        </w:rPr>
        <w:t xml:space="preserve">(уровень достоверности </w:t>
      </w:r>
      <w:r w:rsidR="00C20509" w:rsidRPr="00C348F4">
        <w:rPr>
          <w:b/>
          <w:spacing w:val="-4"/>
        </w:rPr>
        <w:t>доказательств</w:t>
      </w:r>
      <w:r w:rsidR="00C20509" w:rsidRPr="00691D0D">
        <w:rPr>
          <w:b/>
          <w:spacing w:val="-4"/>
        </w:rPr>
        <w:t xml:space="preserve"> – </w:t>
      </w:r>
      <w:r w:rsidR="001E3D61" w:rsidRPr="00691D0D">
        <w:rPr>
          <w:b/>
          <w:spacing w:val="-4"/>
        </w:rPr>
        <w:t>3</w:t>
      </w:r>
      <w:r w:rsidRPr="00691D0D">
        <w:rPr>
          <w:b/>
          <w:spacing w:val="-4"/>
        </w:rPr>
        <w:t>)</w:t>
      </w:r>
      <w:r w:rsidR="00B76E9B" w:rsidRPr="00691D0D">
        <w:rPr>
          <w:b/>
          <w:spacing w:val="-4"/>
        </w:rPr>
        <w:t>.</w:t>
      </w:r>
    </w:p>
    <w:p w14:paraId="7C0240D9" w14:textId="1CD63465" w:rsidR="00C848DD" w:rsidRPr="00C348F4" w:rsidRDefault="00C848DD" w:rsidP="00D61785">
      <w:pPr>
        <w:pStyle w:val="a4"/>
        <w:numPr>
          <w:ilvl w:val="0"/>
          <w:numId w:val="50"/>
        </w:numPr>
        <w:spacing w:before="0"/>
      </w:pPr>
      <w:r w:rsidRPr="006B609E">
        <w:t>Пациентам</w:t>
      </w:r>
      <w:r>
        <w:t>,</w:t>
      </w:r>
      <w:r w:rsidRPr="006B609E">
        <w:t xml:space="preserve"> </w:t>
      </w:r>
      <w:r>
        <w:t xml:space="preserve">получающим ритуксимаб** по поводу рецидива либо рефрактерного течения </w:t>
      </w:r>
      <w:r w:rsidRPr="006B609E">
        <w:t>ХЛЛ/ЛМЛ</w:t>
      </w:r>
      <w:r>
        <w:t xml:space="preserve">, при </w:t>
      </w:r>
      <w:r w:rsidR="00691D0D">
        <w:t>сложности осуществления венозного доступа</w:t>
      </w:r>
      <w:r>
        <w:t xml:space="preserve"> начиная со </w:t>
      </w:r>
      <w:r w:rsidR="00691D0D">
        <w:t>2-й</w:t>
      </w:r>
      <w:r>
        <w:t xml:space="preserve"> дозы </w:t>
      </w:r>
      <w:r w:rsidRPr="00136052">
        <w:t>может быть</w:t>
      </w:r>
      <w:r>
        <w:t xml:space="preserve"> </w:t>
      </w:r>
      <w:r w:rsidRPr="0080011C">
        <w:rPr>
          <w:b/>
        </w:rPr>
        <w:t>рекомендован</w:t>
      </w:r>
      <w:r w:rsidR="00D44A1A" w:rsidRPr="0080011C">
        <w:rPr>
          <w:b/>
        </w:rPr>
        <w:t>о</w:t>
      </w:r>
      <w:r w:rsidRPr="0080011C">
        <w:rPr>
          <w:b/>
        </w:rPr>
        <w:t xml:space="preserve"> </w:t>
      </w:r>
      <w:r w:rsidR="00D44A1A" w:rsidRPr="00C348F4">
        <w:t xml:space="preserve">применение подкожной формы </w:t>
      </w:r>
      <w:r w:rsidRPr="00C348F4">
        <w:t>ритуксимаб</w:t>
      </w:r>
      <w:r w:rsidR="00D44A1A" w:rsidRPr="00C348F4">
        <w:t>а</w:t>
      </w:r>
      <w:r w:rsidRPr="00C348F4">
        <w:t>** в фиксированной дозе 1600 мг</w:t>
      </w:r>
      <w:r w:rsidR="00444B93" w:rsidRPr="00C348F4">
        <w:t xml:space="preserve"> </w:t>
      </w:r>
      <w:r w:rsidRPr="00C348F4">
        <w:t>(</w:t>
      </w:r>
      <w:r w:rsidR="00AA4B03" w:rsidRPr="00C348F4">
        <w:t xml:space="preserve">схемы режимов лечения см. в приложении </w:t>
      </w:r>
      <w:r w:rsidRPr="00C348F4">
        <w:t xml:space="preserve">А3.3) </w:t>
      </w:r>
      <w:r w:rsidR="000B0AC3" w:rsidRPr="00C348F4">
        <w:fldChar w:fldCharType="begin" w:fldLock="1"/>
      </w:r>
      <w:r w:rsidR="00BA7FFC">
        <w:instrText>ADDIN CSL_CITATION {"citationItems":[{"id":"ITEM-1","itemData":{"DOI":"10.1016/S2352-3026(16)00004-1","ISSN":"2352-3026","PMID":"26947201","abstract":"BACKGROUND Part one of the two-part SAWYER study predicted that subcutaneous rituximab 1600 mg would achieve trough serum concentrations that were non-inferior to those achieved with intravenous rituximab 500 mg/m(2) in patients with chronic lymphocytic leukaemia. In part two of the study, we aimed to confirm the pharmacokinetic non-inferiority of subcutaneous rituximab, and investigate its safety and efficacy. METHODS We did this phase 1b, open-label, randomised controlled non-inferiority study at 68 centres in 19 countries in Europe, North America, South America, and Australasia. Patients aged 18 years or older with untreated chronic lymphocytic leukaemia were randomly assigned, via an interactive voice-response system with a permuted block randomisation scheme (block size of ten), to receive subcutaneous rituximab 1600 mg or intravenous rituximab 500 mg/m(2) plus fludarabine and cyclophosphamide every 4 weeks for up to six cycles. In cycle one, all patients received intravenous rituximab 375 mg/m(2). Randomisation was stratified by Binet stage and fludarabine and cyclophosphamide administration route (oral vs intravenous). Study investigators and patients were not masked to group allocation, but allocation was concealed from the statistician, clinical scientist, and clinical pharmacologist. The primary endpoint was trough serum concentration at cycle five, with a non-inferiority margin of 0·8 for the adjusted geometric mean ratio of the subcutaneous to the intravenous dose. We did the primary analysis in patients in the intention-to-treat population with complete pharmacokinetic data (pharmacokinetic population). This trial is registered with ClinicalTrials.gov, number NCT01292603, and is ongoing, although the treatment stage is now complete. FINDINGS Between Aug 20, 2012, and June 17, 2013, we randomly assigned 176 patients to receive subcutaneous rituximab (n=88) or intravenous rituximab (n=88); 134 (76%) patients comprised the pharmacokinetic population. As of May 7, 2014, median follow-up was 13·9 months (IQR 11·9-16·0) for patients in the subcutaneous group and 14·1 months (11·6-16·5) for patients in the intravenous group. At cycle five, the geometric mean trough serum concentration in patients given subcutaneous rituximab was non-inferior to that in patients given intravenous rituximab (97·5 μg/mL vs 61·5 μg/mL), with an adjusted geometric mean ratio of 1·53 (90% CI 1·27-1·85). In the safety analysis, the proportion of patients reporting advers…","author":[{"dropping-particle":"","family":"Assouline","given":"Sarit","non-dropping-particle":"","parse-names":false,"suffix":""},{"dropping-particle":"","family":"Buccheri","given":"Valeria","non-dropping-particle":"","parse-names":false,"suffix":""},{"dropping-particle":"","family":"Delmer","given":"Alain","non-dropping-particle":"","parse-names":false,"suffix":""},{"dropping-particle":"","family":"Gaidano","given":"Gianluca","non-dropping-particle":"","parse-names":false,"suffix":""},{"dropping-particle":"","family":"Trneny","given":"Marek","non-dropping-particle":"","parse-names":false,"suffix":""},{"dropping-particle":"","family":"Berthillon","given":"Natalia","non-dropping-particle":"","parse-names":false,"suffix":""},{"dropping-particle":"","family":"Brewster","given":"Michael","non-dropping-particle":"","parse-names":false,"suffix":""},{"dropping-particle":"","family":"Catalani","given":"Olivier","non-dropping-particle":"","parse-names":false,"suffix":""},{"dropping-particle":"","family":"Li","given":"Sai","non-dropping-particle":"","parse-names":false,"suffix":""},{"dropping-particle":"","family":"McIntyre","given":"Christine","non-dropping-particle":"","parse-names":false,"suffix":""},{"dropping-particle":"","family":"Sayyed","given":"Pakeeza","non-dropping-particle":"","parse-names":false,"suffix":""},{"dropping-particle":"","family":"Badoux","given":"Xavier","non-dropping-particle":"","parse-names":false,"suffix":""}],"container-title":"The Lancet. Haematology","id":"ITEM-1","issue":"3","issued":{"date-parts":[["2016","3"]]},"page":"e128-38","title":"Pharmacokinetics, safety, and efficacy of subcutaneous versus intravenous rituximab plus chemotherapy as treatment for chronic lymphocytic leukaemia (SAWYER): a phase 1b, open-label, randomised controlled non-inferiority trial.","type":"article-journal","volume":"3"},"uris":["http://www.mendeley.com/documents/?uuid=d00e06e5-d76b-3fef-9560-4c28df0b4a9c"]}],"mendeley":{"formattedCitation":"[35]","plainTextFormattedCitation":"[35]","previouslyFormattedCitation":"[35]"},"properties":{"noteIndex":0},"schema":"https://github.com/citation-style-language/schema/raw/master/csl-citation.json"}</w:instrText>
      </w:r>
      <w:r w:rsidR="000B0AC3" w:rsidRPr="00C348F4">
        <w:fldChar w:fldCharType="separate"/>
      </w:r>
      <w:r w:rsidR="00225D7F" w:rsidRPr="00225D7F">
        <w:rPr>
          <w:noProof/>
        </w:rPr>
        <w:t>[35]</w:t>
      </w:r>
      <w:r w:rsidR="000B0AC3" w:rsidRPr="00C348F4">
        <w:fldChar w:fldCharType="end"/>
      </w:r>
      <w:r w:rsidRPr="00C348F4">
        <w:t>.</w:t>
      </w:r>
    </w:p>
    <w:p w14:paraId="7D7EBA9E" w14:textId="77777777" w:rsidR="00C848DD" w:rsidRPr="00C348F4" w:rsidRDefault="00C848DD" w:rsidP="0080011C">
      <w:pPr>
        <w:ind w:left="426"/>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Pr="00C348F4">
        <w:rPr>
          <w:b/>
          <w:spacing w:val="-4"/>
          <w:lang w:val="en-US"/>
        </w:rPr>
        <w:t>A</w:t>
      </w:r>
      <w:r w:rsidRPr="00C348F4">
        <w:rPr>
          <w:b/>
          <w:spacing w:val="-4"/>
        </w:rPr>
        <w:t xml:space="preserve"> (уровень достоверности </w:t>
      </w:r>
      <w:r w:rsidR="00C20509" w:rsidRPr="00C348F4">
        <w:rPr>
          <w:b/>
          <w:spacing w:val="-4"/>
        </w:rPr>
        <w:t xml:space="preserve">доказательств – </w:t>
      </w:r>
      <w:r w:rsidRPr="00C348F4">
        <w:rPr>
          <w:b/>
          <w:spacing w:val="-4"/>
        </w:rPr>
        <w:t>2).</w:t>
      </w:r>
    </w:p>
    <w:p w14:paraId="01CA2DEC" w14:textId="66B8A0E5" w:rsidR="00B63021" w:rsidRPr="00C348F4" w:rsidRDefault="00DF01BE" w:rsidP="00D61785">
      <w:pPr>
        <w:pStyle w:val="a4"/>
        <w:numPr>
          <w:ilvl w:val="0"/>
          <w:numId w:val="50"/>
        </w:numPr>
        <w:spacing w:before="0"/>
      </w:pPr>
      <w:r w:rsidRPr="0080011C">
        <w:t>Л</w:t>
      </w:r>
      <w:r w:rsidR="0052213B">
        <w:t xml:space="preserve">ечение </w:t>
      </w:r>
      <w:r w:rsidR="0052213B" w:rsidRPr="00C348F4">
        <w:t>пациент</w:t>
      </w:r>
      <w:r w:rsidR="0052213B">
        <w:t>ов</w:t>
      </w:r>
      <w:r w:rsidR="0052213B" w:rsidRPr="00C348F4">
        <w:t xml:space="preserve"> </w:t>
      </w:r>
      <w:r w:rsidR="004D639D" w:rsidRPr="00C348F4">
        <w:t>с ранним рецидивом</w:t>
      </w:r>
      <w:r w:rsidR="00B63021" w:rsidRPr="00C348F4">
        <w:t xml:space="preserve"> </w:t>
      </w:r>
      <w:r w:rsidR="004D639D" w:rsidRPr="00C348F4">
        <w:t xml:space="preserve">(&lt;24 мес. после последней терапии либо во время приема ибрутиниба**) </w:t>
      </w:r>
      <w:r w:rsidR="00691D0D" w:rsidRPr="00C348F4">
        <w:t xml:space="preserve">либо рефрактерным течением ХЛЛ/ЛМЛ </w:t>
      </w:r>
      <w:r w:rsidR="004D639D" w:rsidRPr="00C348F4">
        <w:t>вне зависимости от</w:t>
      </w:r>
      <w:r w:rsidR="00030520" w:rsidRPr="00C348F4">
        <w:t xml:space="preserve"> </w:t>
      </w:r>
      <w:r w:rsidR="00691D0D" w:rsidRPr="00C348F4">
        <w:t xml:space="preserve">наличия </w:t>
      </w:r>
      <w:r w:rsidR="004D639D" w:rsidRPr="00C348F4">
        <w:t>делеции 17p</w:t>
      </w:r>
      <w:r w:rsidR="00691D0D" w:rsidRPr="00C348F4">
        <w:t xml:space="preserve"> или </w:t>
      </w:r>
      <w:r w:rsidR="004D639D" w:rsidRPr="00C348F4">
        <w:t xml:space="preserve">мутации </w:t>
      </w:r>
      <w:r w:rsidR="004D639D" w:rsidRPr="0080011C">
        <w:rPr>
          <w:i/>
        </w:rPr>
        <w:t>TP53</w:t>
      </w:r>
      <w:r w:rsidR="004D639D" w:rsidRPr="00C348F4">
        <w:t xml:space="preserve">, </w:t>
      </w:r>
      <w:r w:rsidRPr="0080011C">
        <w:rPr>
          <w:b/>
          <w:bCs/>
        </w:rPr>
        <w:t>рекомендуется</w:t>
      </w:r>
      <w:r>
        <w:t xml:space="preserve"> </w:t>
      </w:r>
      <w:r w:rsidR="0052213B">
        <w:t>проводить в медицинских организациях, обладающих необходимым</w:t>
      </w:r>
      <w:r w:rsidR="00CE223B">
        <w:t>и</w:t>
      </w:r>
      <w:r w:rsidR="0052213B">
        <w:t xml:space="preserve"> ресурсами для обеспечения данной группы пациентов своевременной эффективной и безопасной терапией в достаточных объеме и длительности в соотвествии с представленными выше рекомендациями (с применением </w:t>
      </w:r>
      <w:r w:rsidR="0052213B" w:rsidRPr="00C348F4">
        <w:t>ибрутиниб</w:t>
      </w:r>
      <w:r w:rsidR="0052213B">
        <w:t>а</w:t>
      </w:r>
      <w:r w:rsidR="009055DE" w:rsidRPr="00C348F4">
        <w:t>**</w:t>
      </w:r>
      <w:r w:rsidR="0052213B">
        <w:t>,</w:t>
      </w:r>
      <w:r w:rsidR="005F5C64">
        <w:t xml:space="preserve"> акалабрутиниба</w:t>
      </w:r>
      <w:r w:rsidR="00E0050E" w:rsidRPr="00F6725A">
        <w:t>,</w:t>
      </w:r>
      <w:r w:rsidR="009055DE" w:rsidRPr="00C348F4">
        <w:t xml:space="preserve"> венетокла</w:t>
      </w:r>
      <w:r w:rsidR="00691D0D" w:rsidRPr="00C348F4">
        <w:t>к</w:t>
      </w:r>
      <w:r w:rsidR="009055DE" w:rsidRPr="00C348F4">
        <w:t>с</w:t>
      </w:r>
      <w:r w:rsidR="0052213B">
        <w:t>а</w:t>
      </w:r>
      <w:r w:rsidR="00E0050E" w:rsidRPr="00932BCF">
        <w:t>**</w:t>
      </w:r>
      <w:r w:rsidR="0052213B">
        <w:t xml:space="preserve"> и др.) или возможностью включения пациентов в клинические исследования</w:t>
      </w:r>
      <w:r w:rsidR="00B63021" w:rsidRPr="00C348F4">
        <w:t xml:space="preserve"> </w:t>
      </w:r>
      <w:r w:rsidR="000B0AC3" w:rsidRPr="00C348F4">
        <w:fldChar w:fldCharType="begin" w:fldLock="1"/>
      </w:r>
      <w:r w:rsidR="00BA7FFC">
        <w:instrText>ADDIN CSL_CITATION {"citationItems":[{"id":"ITEM-1","itemData":{"id":"ITEM-1","issued":{"date-parts":[["2019"]]},"title":"National Comprehensive Cancer Network. NCCN Practice Guidelines in Oncology. Chronic Lymphocytic Leukemia/Small Lymphocytic Lymphoma","type":"article"},"uris":["http://www.mendeley.com/documents/?uuid=a70d8e98-908f-4c8c-be39-a397e9ab7a92"]},{"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[16,34]","plainTextFormattedCitation":"[16,34]","previouslyFormattedCitation":"[16,34]"},"properties":{"noteIndex":0},"schema":"https://github.com/citation-style-language/schema/raw/master/csl-citation.json"}</w:instrText>
      </w:r>
      <w:r w:rsidR="000B0AC3" w:rsidRPr="00C348F4">
        <w:fldChar w:fldCharType="separate"/>
      </w:r>
      <w:r w:rsidR="00225D7F" w:rsidRPr="00225D7F">
        <w:rPr>
          <w:noProof/>
        </w:rPr>
        <w:t>[16,34]</w:t>
      </w:r>
      <w:r w:rsidR="000B0AC3" w:rsidRPr="00C348F4">
        <w:fldChar w:fldCharType="end"/>
      </w:r>
      <w:r w:rsidR="00B63021" w:rsidRPr="00C348F4">
        <w:t>.</w:t>
      </w:r>
    </w:p>
    <w:p w14:paraId="44506737" w14:textId="18A1F651" w:rsidR="00C848DD" w:rsidRDefault="001E3D61" w:rsidP="0080011C">
      <w:pPr>
        <w:ind w:left="426"/>
        <w:rPr>
          <w:b/>
          <w:spacing w:val="-4"/>
        </w:rPr>
      </w:pPr>
      <w:r w:rsidRPr="00C348F4">
        <w:rPr>
          <w:b/>
          <w:spacing w:val="-4"/>
        </w:rPr>
        <w:t xml:space="preserve">Уровень убедительности </w:t>
      </w:r>
      <w:r w:rsidR="00C20509" w:rsidRPr="00C348F4">
        <w:rPr>
          <w:b/>
          <w:spacing w:val="-4"/>
        </w:rPr>
        <w:t xml:space="preserve">рекомендаций – </w:t>
      </w:r>
      <w:r w:rsidRPr="00C348F4">
        <w:rPr>
          <w:b/>
          <w:spacing w:val="-4"/>
        </w:rPr>
        <w:t xml:space="preserve">С (уровень достоверности </w:t>
      </w:r>
      <w:r w:rsidR="00C20509" w:rsidRPr="00C348F4">
        <w:rPr>
          <w:b/>
          <w:spacing w:val="-4"/>
        </w:rPr>
        <w:t xml:space="preserve">доказательств – </w:t>
      </w:r>
      <w:r w:rsidRPr="00C348F4">
        <w:rPr>
          <w:b/>
          <w:spacing w:val="-4"/>
        </w:rPr>
        <w:t>5)</w:t>
      </w:r>
    </w:p>
    <w:p w14:paraId="5B947077" w14:textId="77777777" w:rsidR="00924BCE" w:rsidRPr="00C348F4" w:rsidRDefault="00924BCE" w:rsidP="005D3BBD">
      <w:pPr>
        <w:pStyle w:val="2"/>
        <w:spacing w:before="0"/>
        <w:contextualSpacing/>
      </w:pPr>
      <w:bookmarkStart w:id="57" w:name="_Toc23601729"/>
      <w:bookmarkStart w:id="58" w:name="_Toc65068810"/>
      <w:r w:rsidRPr="00C348F4">
        <w:t>3.4</w:t>
      </w:r>
      <w:r w:rsidR="00397360" w:rsidRPr="00C348F4">
        <w:t>.</w:t>
      </w:r>
      <w:r w:rsidRPr="00C348F4">
        <w:t xml:space="preserve"> Сопутствующая и сопроводительная терапия</w:t>
      </w:r>
      <w:bookmarkEnd w:id="57"/>
      <w:bookmarkEnd w:id="58"/>
    </w:p>
    <w:p w14:paraId="277EE91A" w14:textId="257E1DE9" w:rsidR="009A205F" w:rsidRPr="00DB3D2B" w:rsidRDefault="009A205F" w:rsidP="00D61785">
      <w:pPr>
        <w:pStyle w:val="a4"/>
        <w:numPr>
          <w:ilvl w:val="0"/>
          <w:numId w:val="50"/>
        </w:numPr>
        <w:spacing w:before="0"/>
      </w:pPr>
      <w:r>
        <w:t xml:space="preserve">Пациентам с ХЛЛ/ЛМЛ на любом этапе диагностики, наблюдения, лечения, при подозрении на развитие инфекционного осложнения или при диагностированном инфекционном осложнении </w:t>
      </w:r>
      <w:r w:rsidRPr="005D3BBD">
        <w:rPr>
          <w:b/>
        </w:rPr>
        <w:t>рекомендуется</w:t>
      </w:r>
      <w:r>
        <w:t xml:space="preserve"> проведение лекарственной терапии инфекционного осложнения в зависимости от возбудителя инфекции и локализации инфекции </w:t>
      </w:r>
      <w:r w:rsidRPr="00BA36AE">
        <w:t>(см. разделы 7.4-7.6)</w:t>
      </w:r>
      <w:r w:rsidRPr="005D3BBD">
        <w:t xml:space="preserve"> </w:t>
      </w:r>
      <w:r w:rsidRPr="005D3BBD">
        <w:fldChar w:fldCharType="begin" w:fldLock="1"/>
      </w:r>
      <w:r>
        <w:instrText>ADDIN CSL_CITATION {"citationItems":[{"id":"ITEM-1","itemData":{"DOI":"10.1007/978-1-59259-412-2_19","author":[{"dropping-particle":"","family":"Bodey","given":"Gerald P.","non-dropping-particle":"","parse-names":false,"suffix":""},{"dropping-particle":"","family":"Kontoyiannis","given":"Dimitrios","non-dropping-particle":"","parse-names":false,"suffix":""},{"dropping-particle":"","family":"Keating","given":"Michael J.","non-dropping-particle":"","parse-names":false,"suffix":""}],"container-title":"Chronic Lymphocytic Leukemia","id":"ITEM-1","issued":{"date-parts":[["2004"]]},"page":"343-359","publisher":"Humana Press","publisher-place":"Totowa, NJ","title":"Infections in Patients With Chronic Lymphocytic Leukemia","type":"chapter"},"uris":["http://www.mendeley.com/documents/?uuid=77e6771b-1953-38d2-91fe-e920123f5f4e"]},{"id":"ITEM-2","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трансфузиология","id":"ITEM-2","issue":"1","issued":{"date-parts":[["2007"]]},"page":"11-18","title":"Возбудители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[25,26]","plainTextFormattedCitation":"[25,26]","previouslyFormattedCitation":"[25,26]"},"properties":{"noteIndex":0},"schema":"https://github.com/citation-style-language/schema/raw/master/csl-citation.json"}</w:instrText>
      </w:r>
      <w:r w:rsidRPr="005D3BBD">
        <w:fldChar w:fldCharType="separate"/>
      </w:r>
      <w:r w:rsidRPr="00225D7F">
        <w:rPr>
          <w:noProof/>
        </w:rPr>
        <w:t>[25,26]</w:t>
      </w:r>
      <w:r w:rsidRPr="005D3BBD">
        <w:fldChar w:fldCharType="end"/>
      </w:r>
      <w:r>
        <w:t xml:space="preserve">. </w:t>
      </w:r>
    </w:p>
    <w:p w14:paraId="4AC15DCC" w14:textId="77777777" w:rsidR="009A205F" w:rsidRDefault="009A205F" w:rsidP="00F45C8C">
      <w:pPr>
        <w:pStyle w:val="11"/>
        <w:spacing w:beforeAutospacing="0" w:afterAutospacing="0" w:line="360" w:lineRule="auto"/>
        <w:ind w:left="426"/>
        <w:jc w:val="both"/>
        <w:rPr>
          <w:b/>
          <w:spacing w:val="-4"/>
        </w:rPr>
      </w:pPr>
      <w:r w:rsidRPr="00C403C8">
        <w:rPr>
          <w:b/>
          <w:spacing w:val="-4"/>
        </w:rPr>
        <w:t xml:space="preserve">Уровень убедительности рекомендаций – С (уровень достоверности доказательств – </w:t>
      </w:r>
      <w:r>
        <w:rPr>
          <w:b/>
          <w:spacing w:val="-4"/>
        </w:rPr>
        <w:t>5).</w:t>
      </w:r>
    </w:p>
    <w:p w14:paraId="68AB5AA6" w14:textId="01611729" w:rsidR="00943A3B" w:rsidRPr="00C348F4" w:rsidRDefault="00943A3B" w:rsidP="00D61785">
      <w:pPr>
        <w:pStyle w:val="a4"/>
        <w:numPr>
          <w:ilvl w:val="0"/>
          <w:numId w:val="50"/>
        </w:numPr>
        <w:spacing w:before="0"/>
      </w:pPr>
      <w:r w:rsidRPr="00C348F4">
        <w:t xml:space="preserve">Пациентам </w:t>
      </w:r>
      <w:r w:rsidRPr="005D3BBD">
        <w:t>c</w:t>
      </w:r>
      <w:r w:rsidRPr="00C348F4">
        <w:t xml:space="preserve"> ХЛЛ/ЛМЛ на любом этапе лечения, у которых выявл</w:t>
      </w:r>
      <w:r w:rsidR="008502F5" w:rsidRPr="00C348F4">
        <w:t>ен</w:t>
      </w:r>
      <w:r w:rsidRPr="00C348F4">
        <w:t xml:space="preserve"> уровень иммуноглобулина G </w:t>
      </w:r>
      <w:r w:rsidR="008502F5" w:rsidRPr="00C348F4">
        <w:t>&lt;</w:t>
      </w:r>
      <w:r w:rsidRPr="00C348F4">
        <w:t xml:space="preserve">5 г/л </w:t>
      </w:r>
      <w:r w:rsidR="00052BBF" w:rsidRPr="00851861">
        <w:t>(</w:t>
      </w:r>
      <w:r w:rsidR="00052BBF" w:rsidRPr="005D3BBD">
        <w:t>c</w:t>
      </w:r>
      <w:r w:rsidR="00052BBF" w:rsidRPr="00851861">
        <w:t xml:space="preserve"> </w:t>
      </w:r>
      <w:r w:rsidR="00052BBF">
        <w:t xml:space="preserve">тяжелой формой вторичной гипогаммаглобулинемии) </w:t>
      </w:r>
      <w:r w:rsidRPr="00C348F4">
        <w:t xml:space="preserve">и отмечаются рецидивирующие бактериальные инфекции, </w:t>
      </w:r>
      <w:r w:rsidRPr="0080011C">
        <w:rPr>
          <w:b/>
        </w:rPr>
        <w:t>рекомендовано</w:t>
      </w:r>
      <w:r w:rsidRPr="00C348F4">
        <w:t xml:space="preserve"> при наличии возможности проведение постоянной заместительной терапии внутривенным иммуноглобулином</w:t>
      </w:r>
      <w:r w:rsidR="006C2557">
        <w:t xml:space="preserve"> (АТХ: J06B)</w:t>
      </w:r>
      <w:r w:rsidR="00A43693" w:rsidRPr="00C348F4">
        <w:t xml:space="preserve"> для снижения риска инфекционных осложнений</w:t>
      </w:r>
      <w:r w:rsidR="00EF17E7" w:rsidRPr="00C348F4">
        <w:t xml:space="preserve"> </w:t>
      </w:r>
      <w:r w:rsidR="000B0AC3" w:rsidRPr="00C348F4">
        <w:fldChar w:fldCharType="begin" w:fldLock="1"/>
      </w:r>
      <w:r w:rsidR="00BA7FFC">
        <w:instrText>ADDIN CSL_CITATION {"citationItems":[{"id":"ITEM-1","itemData":{"DOI":"10.1080/10428190902856824","ISSN":"1029-2403","PMID":"19330654","abstract":"The role of intravenous immunoglobulins (IVIG) prophylaxis in hypogammaglobulinemic patients with lymphoproliferative disorders (LPD) and plasma cell dyscrasias (PCD) has not been established. We performed a systematic review and meta-analysis of randomized-controlled trials comparing prophylaxis with polyvalent IVIG versus control. The primary outcomes were all-cause mortality and major infections. Nine trials, assessing patients with chronic lymphocytic leukemia (CLL) and multiple myeloma (MM), were included. No survival benefit could be demonstrated, RR 1.36 (95% CI 0.58-3.19, two trials), but there was a significant decrease in the occurrence of major infections, RR 0.45 (95% CI 0.27-0.75, three trials) and a significant reduction in clinically documented infections, RR 0.49 (95% CI 0.39-0.61, three trials). Adverse events, usually not requiring discontinuation of IVIG, occurred significantly more with IVIG. On the basis of the available data, IVIG cannot be recommended routinely for patients with CLL or MM with hypogammaglobulinemia and/or recurrent infections and should be considered on individual basis.","author":[{"dropping-particle":"","family":"Raanani","given":"Pia","non-dropping-particle":"","parse-names":false,"suffix":""},{"dropping-particle":"","family":"Gafter-Gvili","given":"Anat","non-dropping-particle":"","parse-names":false,"suffix":""},{"dropping-particle":"","family":"Paul","given":"Mical","non-dropping-particle":"","parse-names":false,"suffix":""},{"dropping-particle":"","family":"Ben-Bassat","given":"Isaac","non-dropping-particle":"","parse-names":false,"suffix":""},{"dropping-particle":"","family":"Leibovici","given":"Leonard","non-dropping-particle":"","parse-names":false,"suffix":""},{"dropping-particle":"","family":"Shpilberg","given":"Ofer","non-dropping-particle":"","parse-names":false,"suffix":""}],"container-title":"Leukemia &amp; lymphoma","id":"ITEM-1","issue":"5","issued":{"date-parts":[["2009","5"]]},"page":"764-72","title":"Immunoglobulin prophylaxis in chronic lymphocytic leukemia and multiple myeloma: systematic review and meta-analysis.","type":"article-journal","volume":"50"},"uris":["http://www.mendeley.com/documents/?uuid=c710b816-25f2-3fce-863a-ebaaa3a6843d"]}],"mendeley":{"formattedCitation":"[64]","plainTextFormattedCitation":"[64]","previouslyFormattedCitation":"[64]"},"properties":{"noteIndex":0},"schema":"https://github.com/citation-style-language/schema/raw/master/csl-citation.json"}</w:instrText>
      </w:r>
      <w:r w:rsidR="000B0AC3" w:rsidRPr="00C348F4">
        <w:fldChar w:fldCharType="separate"/>
      </w:r>
      <w:r w:rsidR="00225D7F" w:rsidRPr="00225D7F">
        <w:rPr>
          <w:noProof/>
        </w:rPr>
        <w:t>[64]</w:t>
      </w:r>
      <w:r w:rsidR="000B0AC3" w:rsidRPr="00C348F4">
        <w:fldChar w:fldCharType="end"/>
      </w:r>
      <w:r w:rsidRPr="00C348F4">
        <w:t xml:space="preserve">. </w:t>
      </w:r>
    </w:p>
    <w:p w14:paraId="10C16ED8" w14:textId="77777777" w:rsidR="00943A3B" w:rsidRPr="008502F5" w:rsidRDefault="00943A3B" w:rsidP="0080011C">
      <w:pPr>
        <w:ind w:left="426"/>
        <w:rPr>
          <w:b/>
          <w:spacing w:val="-4"/>
        </w:rPr>
      </w:pPr>
      <w:r w:rsidRPr="008502F5">
        <w:rPr>
          <w:b/>
          <w:spacing w:val="-4"/>
        </w:rPr>
        <w:t xml:space="preserve">Уровень убедительности </w:t>
      </w:r>
      <w:r w:rsidR="00C20509" w:rsidRPr="008502F5">
        <w:rPr>
          <w:b/>
          <w:spacing w:val="-4"/>
        </w:rPr>
        <w:t xml:space="preserve">рекомендаций – </w:t>
      </w:r>
      <w:r w:rsidRPr="008502F5">
        <w:rPr>
          <w:b/>
          <w:spacing w:val="-4"/>
        </w:rPr>
        <w:t xml:space="preserve">A (уровень достоверности </w:t>
      </w:r>
      <w:r w:rsidR="00C20509" w:rsidRPr="008502F5">
        <w:rPr>
          <w:b/>
          <w:spacing w:val="-4"/>
        </w:rPr>
        <w:t xml:space="preserve">доказательств – </w:t>
      </w:r>
      <w:r w:rsidR="00994323" w:rsidRPr="008502F5">
        <w:rPr>
          <w:b/>
          <w:spacing w:val="-4"/>
        </w:rPr>
        <w:t>1</w:t>
      </w:r>
      <w:r w:rsidRPr="008502F5">
        <w:rPr>
          <w:b/>
          <w:spacing w:val="-4"/>
        </w:rPr>
        <w:t>).</w:t>
      </w:r>
    </w:p>
    <w:p w14:paraId="67C61475" w14:textId="77777777" w:rsidR="00994323" w:rsidRPr="006B609E" w:rsidRDefault="00943A3B" w:rsidP="005D3BBD">
      <w:pPr>
        <w:ind w:firstLine="426"/>
        <w:contextualSpacing/>
        <w:rPr>
          <w:i/>
        </w:rPr>
      </w:pPr>
      <w:r w:rsidRPr="006B609E">
        <w:rPr>
          <w:b/>
        </w:rPr>
        <w:t>Комментарии:</w:t>
      </w:r>
      <w:r w:rsidR="00030520">
        <w:rPr>
          <w:b/>
        </w:rPr>
        <w:t xml:space="preserve"> </w:t>
      </w:r>
      <w:r w:rsidR="008502F5">
        <w:rPr>
          <w:i/>
        </w:rPr>
        <w:t>и</w:t>
      </w:r>
      <w:r w:rsidRPr="006B609E">
        <w:rPr>
          <w:i/>
        </w:rPr>
        <w:t xml:space="preserve">нфекции являются </w:t>
      </w:r>
      <w:r w:rsidR="008502F5">
        <w:rPr>
          <w:i/>
        </w:rPr>
        <w:t>главной</w:t>
      </w:r>
      <w:r w:rsidRPr="006B609E">
        <w:rPr>
          <w:i/>
        </w:rPr>
        <w:t xml:space="preserve"> причиной смерти у 10–15</w:t>
      </w:r>
      <w:r w:rsidR="00DD3D1E">
        <w:rPr>
          <w:i/>
        </w:rPr>
        <w:t xml:space="preserve"> %</w:t>
      </w:r>
      <w:r w:rsidRPr="006B609E">
        <w:rPr>
          <w:i/>
        </w:rPr>
        <w:t xml:space="preserve"> </w:t>
      </w:r>
      <w:r w:rsidR="00573998">
        <w:rPr>
          <w:i/>
        </w:rPr>
        <w:t>пациентов с</w:t>
      </w:r>
      <w:r w:rsidR="00573998" w:rsidRPr="006B609E">
        <w:rPr>
          <w:i/>
        </w:rPr>
        <w:t xml:space="preserve"> </w:t>
      </w:r>
      <w:r w:rsidR="000648CB">
        <w:rPr>
          <w:i/>
        </w:rPr>
        <w:t>ХЛЛ</w:t>
      </w:r>
      <w:r w:rsidR="008502F5">
        <w:rPr>
          <w:i/>
        </w:rPr>
        <w:t>. В </w:t>
      </w:r>
      <w:r w:rsidRPr="006B609E">
        <w:rPr>
          <w:i/>
        </w:rPr>
        <w:t>нескольких рандомизированных исследованиях показан</w:t>
      </w:r>
      <w:r w:rsidR="008502F5">
        <w:rPr>
          <w:i/>
        </w:rPr>
        <w:t>о, что</w:t>
      </w:r>
      <w:r w:rsidRPr="006B609E">
        <w:rPr>
          <w:i/>
        </w:rPr>
        <w:t xml:space="preserve"> постоянн</w:t>
      </w:r>
      <w:r w:rsidR="008502F5">
        <w:rPr>
          <w:i/>
        </w:rPr>
        <w:t>ая</w:t>
      </w:r>
      <w:r w:rsidRPr="006B609E">
        <w:rPr>
          <w:i/>
        </w:rPr>
        <w:t xml:space="preserve"> </w:t>
      </w:r>
      <w:r w:rsidRPr="006B609E">
        <w:rPr>
          <w:i/>
        </w:rPr>
        <w:lastRenderedPageBreak/>
        <w:t>заместительн</w:t>
      </w:r>
      <w:r w:rsidR="008502F5">
        <w:rPr>
          <w:i/>
        </w:rPr>
        <w:t>ая</w:t>
      </w:r>
      <w:r w:rsidRPr="006B609E">
        <w:rPr>
          <w:i/>
        </w:rPr>
        <w:t xml:space="preserve"> терапи</w:t>
      </w:r>
      <w:r w:rsidR="008502F5">
        <w:rPr>
          <w:i/>
        </w:rPr>
        <w:t>я</w:t>
      </w:r>
      <w:r w:rsidRPr="006B609E">
        <w:rPr>
          <w:i/>
        </w:rPr>
        <w:t xml:space="preserve"> внутривенным иммуноглобулином </w:t>
      </w:r>
      <w:r w:rsidR="008502F5">
        <w:rPr>
          <w:i/>
        </w:rPr>
        <w:t>эффективно снижает</w:t>
      </w:r>
      <w:r w:rsidRPr="006B609E">
        <w:rPr>
          <w:i/>
        </w:rPr>
        <w:t xml:space="preserve"> </w:t>
      </w:r>
      <w:r w:rsidR="008502F5">
        <w:rPr>
          <w:i/>
        </w:rPr>
        <w:t>частоту</w:t>
      </w:r>
      <w:r w:rsidRPr="006B609E">
        <w:rPr>
          <w:i/>
        </w:rPr>
        <w:t xml:space="preserve"> бактериальных инфекций. Эффект наиболее значим в подгруппе </w:t>
      </w:r>
      <w:r w:rsidR="00573998">
        <w:rPr>
          <w:i/>
        </w:rPr>
        <w:t>пациентов</w:t>
      </w:r>
      <w:r w:rsidR="00573998" w:rsidRPr="006B609E">
        <w:rPr>
          <w:i/>
        </w:rPr>
        <w:t xml:space="preserve"> </w:t>
      </w:r>
      <w:r w:rsidRPr="006B609E">
        <w:rPr>
          <w:i/>
        </w:rPr>
        <w:t>с гипогаммаглобулинемией и рецидивирующими инфекциями</w:t>
      </w:r>
      <w:r w:rsidR="008502F5">
        <w:rPr>
          <w:i/>
        </w:rPr>
        <w:t>, п</w:t>
      </w:r>
      <w:r w:rsidRPr="006B609E">
        <w:rPr>
          <w:i/>
        </w:rPr>
        <w:t xml:space="preserve">оэтому заместительная терапия в настоящее время рекомендуется только этой категории </w:t>
      </w:r>
      <w:r w:rsidR="00573998">
        <w:rPr>
          <w:i/>
        </w:rPr>
        <w:t>пациентов.</w:t>
      </w:r>
      <w:r w:rsidR="00573998" w:rsidRPr="006B609E">
        <w:rPr>
          <w:i/>
        </w:rPr>
        <w:t xml:space="preserve"> </w:t>
      </w:r>
    </w:p>
    <w:p w14:paraId="350BAAFD" w14:textId="256145DA" w:rsidR="00943A3B" w:rsidRPr="006B609E" w:rsidRDefault="00C62FE1" w:rsidP="00830EF8">
      <w:pPr>
        <w:contextualSpacing/>
        <w:rPr>
          <w:i/>
        </w:rPr>
      </w:pPr>
      <w:r>
        <w:rPr>
          <w:i/>
        </w:rPr>
        <w:t xml:space="preserve">Иммуноглобулин человека нормальный в форме выпуска раствор для инфузий </w:t>
      </w:r>
      <w:r w:rsidR="00994323" w:rsidRPr="006B609E">
        <w:rPr>
          <w:i/>
        </w:rPr>
        <w:t>назначается в виде разовых инъекций в дозе 200</w:t>
      </w:r>
      <w:r w:rsidR="008502F5">
        <w:rPr>
          <w:i/>
        </w:rPr>
        <w:t>–</w:t>
      </w:r>
      <w:r w:rsidR="00994323" w:rsidRPr="006B609E">
        <w:rPr>
          <w:i/>
        </w:rPr>
        <w:t xml:space="preserve">400 мг/кг </w:t>
      </w:r>
      <w:r w:rsidR="008502F5">
        <w:rPr>
          <w:i/>
        </w:rPr>
        <w:t>1</w:t>
      </w:r>
      <w:r w:rsidR="00994323" w:rsidRPr="006B609E">
        <w:rPr>
          <w:i/>
        </w:rPr>
        <w:t xml:space="preserve"> раз в месяц в течение года. Цель терапии состоит в поддержании уровня IgG на уровне </w:t>
      </w:r>
      <w:r w:rsidR="008502F5" w:rsidRPr="00397360">
        <w:rPr>
          <w:i/>
        </w:rPr>
        <w:t>&gt;</w:t>
      </w:r>
      <w:r w:rsidR="00994323" w:rsidRPr="006B609E">
        <w:rPr>
          <w:i/>
        </w:rPr>
        <w:t>5 г/л. При подборе дозы и кратности введений ориентируются на пиковую и минимальную концентраци</w:t>
      </w:r>
      <w:r w:rsidR="008502F5">
        <w:rPr>
          <w:i/>
        </w:rPr>
        <w:t>ю</w:t>
      </w:r>
      <w:r w:rsidR="00994323" w:rsidRPr="006B609E">
        <w:rPr>
          <w:i/>
        </w:rPr>
        <w:t xml:space="preserve"> IgG. Контроль пиковой концентрации </w:t>
      </w:r>
      <w:r w:rsidR="00994323" w:rsidRPr="006B609E">
        <w:rPr>
          <w:i/>
          <w:lang w:val="en-US"/>
        </w:rPr>
        <w:t>IgG</w:t>
      </w:r>
      <w:r w:rsidR="00994323" w:rsidRPr="006B609E">
        <w:rPr>
          <w:i/>
        </w:rPr>
        <w:t xml:space="preserve"> осуществляют </w:t>
      </w:r>
      <w:r w:rsidR="008502F5" w:rsidRPr="006B609E">
        <w:rPr>
          <w:i/>
        </w:rPr>
        <w:t xml:space="preserve">не ранее чем через сутки </w:t>
      </w:r>
      <w:r w:rsidR="00994323" w:rsidRPr="006B609E">
        <w:rPr>
          <w:i/>
        </w:rPr>
        <w:t xml:space="preserve">после </w:t>
      </w:r>
      <w:r w:rsidR="008502F5">
        <w:rPr>
          <w:i/>
        </w:rPr>
        <w:t>1-го</w:t>
      </w:r>
      <w:r w:rsidR="00994323" w:rsidRPr="006B609E">
        <w:rPr>
          <w:i/>
        </w:rPr>
        <w:t xml:space="preserve"> </w:t>
      </w:r>
      <w:r w:rsidR="008502F5" w:rsidRPr="006B609E">
        <w:rPr>
          <w:i/>
        </w:rPr>
        <w:t xml:space="preserve">внутривенного </w:t>
      </w:r>
      <w:r w:rsidR="00994323" w:rsidRPr="006B609E">
        <w:rPr>
          <w:i/>
        </w:rPr>
        <w:t xml:space="preserve">введения </w:t>
      </w:r>
      <w:r w:rsidR="008502F5">
        <w:rPr>
          <w:i/>
        </w:rPr>
        <w:t>иммуноглобулина</w:t>
      </w:r>
      <w:r w:rsidR="00994323" w:rsidRPr="006B609E">
        <w:rPr>
          <w:i/>
        </w:rPr>
        <w:t xml:space="preserve">. </w:t>
      </w:r>
      <w:r w:rsidR="008502F5">
        <w:rPr>
          <w:i/>
        </w:rPr>
        <w:t>М</w:t>
      </w:r>
      <w:r w:rsidR="00994323" w:rsidRPr="006B609E">
        <w:rPr>
          <w:i/>
        </w:rPr>
        <w:t>инимальн</w:t>
      </w:r>
      <w:r w:rsidR="008502F5">
        <w:rPr>
          <w:i/>
        </w:rPr>
        <w:t>ую</w:t>
      </w:r>
      <w:r w:rsidR="00994323" w:rsidRPr="006B609E">
        <w:rPr>
          <w:i/>
        </w:rPr>
        <w:t xml:space="preserve"> концентраци</w:t>
      </w:r>
      <w:r w:rsidR="008502F5">
        <w:rPr>
          <w:i/>
        </w:rPr>
        <w:t>ю</w:t>
      </w:r>
      <w:r w:rsidR="00994323" w:rsidRPr="006B609E">
        <w:rPr>
          <w:i/>
        </w:rPr>
        <w:t xml:space="preserve"> определяют непосредственно перед следующим введением иммуно</w:t>
      </w:r>
      <w:r w:rsidR="008502F5">
        <w:rPr>
          <w:i/>
        </w:rPr>
        <w:softHyphen/>
      </w:r>
      <w:r w:rsidR="00994323" w:rsidRPr="006B609E">
        <w:rPr>
          <w:i/>
        </w:rPr>
        <w:t xml:space="preserve">глобулина. Минимальная концентрация </w:t>
      </w:r>
      <w:r w:rsidR="00994323" w:rsidRPr="006B609E">
        <w:rPr>
          <w:i/>
          <w:lang w:val="en-US"/>
        </w:rPr>
        <w:t>IgG</w:t>
      </w:r>
      <w:r w:rsidR="00994323" w:rsidRPr="006B609E">
        <w:rPr>
          <w:i/>
        </w:rPr>
        <w:t xml:space="preserve"> должна </w:t>
      </w:r>
      <w:r w:rsidR="008502F5">
        <w:rPr>
          <w:i/>
        </w:rPr>
        <w:t>составлять</w:t>
      </w:r>
      <w:r w:rsidR="00994323" w:rsidRPr="006B609E">
        <w:rPr>
          <w:i/>
        </w:rPr>
        <w:t xml:space="preserve"> </w:t>
      </w:r>
      <w:r w:rsidR="008502F5" w:rsidRPr="00397360">
        <w:rPr>
          <w:i/>
        </w:rPr>
        <w:t>&gt;</w:t>
      </w:r>
      <w:r w:rsidR="00994323" w:rsidRPr="006B609E">
        <w:rPr>
          <w:i/>
        </w:rPr>
        <w:t>5 г/л. Повторные определения минимальной концентрации проводят 1 раз в 3–6 мес. Постоянную заместительную терапию иммуноглобулином завершают при отсутствии тяжелых бактериал</w:t>
      </w:r>
      <w:r w:rsidR="00BE6A1C">
        <w:rPr>
          <w:i/>
        </w:rPr>
        <w:t xml:space="preserve">ьных инфекций в течение года. </w:t>
      </w:r>
    </w:p>
    <w:p w14:paraId="1BAB87A0" w14:textId="5CD07BDC" w:rsidR="00A43693" w:rsidRPr="00C348F4" w:rsidRDefault="00943A3B" w:rsidP="00D61785">
      <w:pPr>
        <w:pStyle w:val="a4"/>
        <w:numPr>
          <w:ilvl w:val="0"/>
          <w:numId w:val="50"/>
        </w:numPr>
        <w:spacing w:before="0"/>
      </w:pPr>
      <w:r w:rsidRPr="006B609E">
        <w:t xml:space="preserve">Всем пациентам с ХЛЛ/ЛМЛ после установления диагноза </w:t>
      </w:r>
      <w:r w:rsidRPr="0080011C">
        <w:rPr>
          <w:b/>
        </w:rPr>
        <w:t>рекомендуется</w:t>
      </w:r>
      <w:r w:rsidR="000E3DE6" w:rsidRPr="0080011C">
        <w:rPr>
          <w:b/>
        </w:rPr>
        <w:t xml:space="preserve"> </w:t>
      </w:r>
      <w:r w:rsidR="00A43693" w:rsidRPr="00C348F4">
        <w:t xml:space="preserve">при отсутствии противопоказаний </w:t>
      </w:r>
      <w:r w:rsidRPr="00C348F4">
        <w:t>проведение вакцинации</w:t>
      </w:r>
      <w:r w:rsidR="00EF17E7" w:rsidRPr="00C348F4">
        <w:t xml:space="preserve"> </w:t>
      </w:r>
      <w:r w:rsidR="000B0AC3" w:rsidRPr="00C348F4">
        <w:fldChar w:fldCharType="begin" w:fldLock="1"/>
      </w:r>
      <w:r w:rsidR="00BA7FFC">
        <w:instrText>ADDIN CSL_CITATION {"citationItems":[{"id":"ITEM-1","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заболеваниями.","type":"chapter"},"uris":["http://www.mendeley.com/documents/?uuid=b8826e3f-ec9d-405b-84e4-56b1a1300212"]},{"id":"ITEM-2","itemData":{"DOI":"10.1093/cid/cit816","ISSN":"1537-6591","PMID":"24421306","abstract":"An international panel of experts prepared an evidenced-based guideline for vaccination of immunocompromised adults and children. These guidelines are intended for use by primary care and subspecialty providers who care for immunocompromised patients. Evidence was often limited. Areas that warrant future investigation are highlighted.","author":[{"dropping-particle":"","family":"Rubin","given":"Lorry G","non-dropping-particle":"","parse-names":false,"suffix":""},{"dropping-particle":"","family":"Levin","given":"Myron J","non-dropping-particle":"","parse-names":false,"suffix":""},{"dropping-particle":"","family":"Ljungman","given":"Per","non-dropping-particle":"","parse-names":false,"suffix":""},{"dropping-particle":"","family":"Davies","given":"E Graham","non-dropping-particle":"","parse-names":false,"suffix":""},{"dropping-particle":"","family":"Avery","given":"Robin","non-dropping-particle":"","parse-names":false,"suffix":""},{"dropping-particle":"","family":"Tomblyn","given":"Marcie","non-dropping-particle":"","parse-names":false,"suffix":""},{"dropping-particle":"","family":"Bousvaros","given":"Athos","non-dropping-particle":"","parse-names":false,"suffix":""},{"dropping-particle":"","family":"Dhanireddy","given":"Shireesha","non-dropping-particle":"","parse-names":false,"suffix":""},{"dropping-particle":"","family":"Sung","given":"Lillian","non-dropping-particle":"","parse-names":false,"suffix":""},{"dropping-particle":"","family":"Keyserling","given":"Harry","non-dropping-particle":"","parse-names":false,"suffix":""},{"dropping-particle":"","family":"Kang","given":"Insoo","non-dropping-particle":"","parse-names":false,"suffix":""},{"dropping-particle":"","family":"Infectious Diseases Society of America","given":"","non-dropping-particle":"","parse-names":false,"suffix":""}],"container-title":"Clinical infectious diseases : an official publication of the Infectious Diseases Society of America","id":"ITEM-2","issue":"3","issued":{"date-parts":[["2014","2"]]},"page":"309-18","title":"2013 IDSA clinical practice guideline for vaccination of the immunocompromised host.","type":"article-journal","volume":"58"},"uris":["http://www.mendeley.com/documents/?uuid=180b9381-2e0d-32ad-bd50-096bb167cd14"]},{"id":"ITEM-3","itemData":{"DOI":"10.1046/j.1365-2141.2001.02882.x","ISSN":"0007-1048","PMID":"11472353","abstract":"We investigated responses to vaccination against pneumococcal polysaccharide, Haemophilus influenzae b (Hib) conjugate and tetanus toxoid antigens in 31 patients with chronic lymphocytic leukaemia (CLL) and 25 controls. While in the control group all antibody responses against different antigens were highly significant, in the patient group clear evidence for responsiveness was detected only in the case of Hib polysaccharide antigen. Certain CLL patient subgroups showed low reactivity against tetanus toxoid antigen. In conclusion, plain polysaccharide vaccines seem to be ineffective in patients with CLL. Conjugate vaccines, in turn, are immunogenic and may offer protection against infections caused by encapsulated bacteria in these patients. Further studies concerning an optimal vaccination scheme and clinical efficiency are warranted.","author":[{"dropping-particle":"","family":"Sinisalo","given":"M","non-dropping-particle":"","parse-names":false,"suffix":""},{"dropping-particle":"","family":"Aittoniemi","given":"J","non-dropping-particle":"","parse-names":false,"suffix":""},{"dropping-particle":"","family":"Oivanen","given":"P","non-dropping-particle":"","parse-names":false,"suffix":""},{"dropping-particle":"","family":"Käyhty","given":"H","non-dropping-particle":"","parse-names":false,"suffix":""},{"dropping-particle":"","family":"Olander","given":"R M","non-dropping-particle":"","parse-names":false,"suffix":""},{"dropping-particle":"","family":"Vilpo","given":"J","non-dropping-particle":"","parse-names":false,"suffix":""}],"container-title":"British journal of haematology","id":"ITEM-3","issue":"1","issued":{"date-parts":[["2001","7"]]},"page":"107-10","title":"Response to vaccination against different types of antigens in patients with chronic lymphocytic leukaemia.","type":"article-journal","volume":"114"},"uris":["http://www.mendeley.com/documents/?uuid=5639b53c-50b3-316a-8de2-289d2e7b3b4e"]}],"mendeley":{"formattedCitation":"[65–67]","plainTextFormattedCitation":"[65–67]","previouslyFormattedCitation":"[65–67]"},"properties":{"noteIndex":0},"schema":"https://github.com/citation-style-language/schema/raw/master/csl-citation.json"}</w:instrText>
      </w:r>
      <w:r w:rsidR="000B0AC3" w:rsidRPr="00C348F4">
        <w:fldChar w:fldCharType="separate"/>
      </w:r>
      <w:r w:rsidR="00225D7F" w:rsidRPr="00225D7F">
        <w:rPr>
          <w:noProof/>
        </w:rPr>
        <w:t>[65–67]</w:t>
      </w:r>
      <w:r w:rsidR="000B0AC3" w:rsidRPr="00C348F4">
        <w:fldChar w:fldCharType="end"/>
      </w:r>
      <w:r w:rsidR="00A43693" w:rsidRPr="00C348F4">
        <w:t>:</w:t>
      </w:r>
    </w:p>
    <w:p w14:paraId="1E7EC531" w14:textId="6E0AFEA0" w:rsidR="00A43693" w:rsidRPr="00C348F4" w:rsidRDefault="00A43693" w:rsidP="00D61785">
      <w:pPr>
        <w:pStyle w:val="a4"/>
        <w:numPr>
          <w:ilvl w:val="0"/>
          <w:numId w:val="16"/>
        </w:numPr>
        <w:spacing w:before="0"/>
      </w:pPr>
      <w:r w:rsidRPr="00C348F4">
        <w:t xml:space="preserve">сезонная вакцинация </w:t>
      </w:r>
      <w:r w:rsidR="00444B93" w:rsidRPr="00C348F4">
        <w:t>вакциной для профилактики гриппа</w:t>
      </w:r>
      <w:r w:rsidR="00C62FE1">
        <w:t xml:space="preserve"> </w:t>
      </w:r>
      <w:r w:rsidR="00052BBF" w:rsidRPr="00851861">
        <w:t>[</w:t>
      </w:r>
      <w:r w:rsidR="00C62FE1">
        <w:t>живой</w:t>
      </w:r>
      <w:r w:rsidR="00052BBF" w:rsidRPr="00851861">
        <w:t>]</w:t>
      </w:r>
      <w:r w:rsidR="00C62FE1">
        <w:t xml:space="preserve"> или </w:t>
      </w:r>
      <w:r w:rsidR="00052BBF" w:rsidRPr="00C348F4">
        <w:t>вакциной для профилактики гриппа</w:t>
      </w:r>
      <w:r w:rsidR="00052BBF">
        <w:t xml:space="preserve"> </w:t>
      </w:r>
      <w:r w:rsidR="00052BBF" w:rsidRPr="00851861">
        <w:t>[</w:t>
      </w:r>
      <w:r w:rsidR="00C62FE1">
        <w:t>инактивированной</w:t>
      </w:r>
      <w:r w:rsidR="00052BBF" w:rsidRPr="00851861">
        <w:t>]</w:t>
      </w:r>
      <w:r w:rsidR="00030520" w:rsidRPr="00C348F4">
        <w:t xml:space="preserve"> (только после восстановления уровня В-лимфоцитов, т</w:t>
      </w:r>
      <w:r w:rsidR="00EF17E7" w:rsidRPr="00C348F4">
        <w:t xml:space="preserve">. е. </w:t>
      </w:r>
      <w:r w:rsidR="00030520" w:rsidRPr="00C348F4">
        <w:t>через 9 мес</w:t>
      </w:r>
      <w:r w:rsidR="008502F5" w:rsidRPr="00C348F4">
        <w:t>.</w:t>
      </w:r>
      <w:r w:rsidR="00030520" w:rsidRPr="00C348F4">
        <w:t xml:space="preserve"> после терапии </w:t>
      </w:r>
      <w:r w:rsidR="00EF17E7" w:rsidRPr="00C348F4">
        <w:t>моноклональными антителами</w:t>
      </w:r>
      <w:r w:rsidR="008502F5" w:rsidRPr="00C348F4">
        <w:t xml:space="preserve"> к </w:t>
      </w:r>
      <w:r w:rsidR="008502F5" w:rsidRPr="00C348F4">
        <w:rPr>
          <w:lang w:val="en-US"/>
        </w:rPr>
        <w:t>CD</w:t>
      </w:r>
      <w:r w:rsidR="008502F5" w:rsidRPr="00C348F4">
        <w:t>20</w:t>
      </w:r>
      <w:r w:rsidR="00030520" w:rsidRPr="00C348F4">
        <w:t>)</w:t>
      </w:r>
      <w:r w:rsidRPr="00C348F4">
        <w:t xml:space="preserve">; </w:t>
      </w:r>
    </w:p>
    <w:p w14:paraId="005FA7E5" w14:textId="6F0C29A0" w:rsidR="00943A3B" w:rsidRPr="006B609E" w:rsidRDefault="0089332F" w:rsidP="00D61785">
      <w:pPr>
        <w:pStyle w:val="a4"/>
        <w:numPr>
          <w:ilvl w:val="0"/>
          <w:numId w:val="16"/>
        </w:numPr>
        <w:spacing w:before="0"/>
      </w:pPr>
      <w:r>
        <w:t xml:space="preserve">двухкратная </w:t>
      </w:r>
      <w:r w:rsidR="00A43693" w:rsidRPr="006B609E">
        <w:t xml:space="preserve">вакцинация </w:t>
      </w:r>
      <w:r w:rsidR="00444B93">
        <w:t xml:space="preserve">вакциной для профилактики </w:t>
      </w:r>
      <w:r w:rsidR="000D115E">
        <w:t>пневмококковых инфекций</w:t>
      </w:r>
      <w:r w:rsidR="000D115E" w:rsidRPr="006B609E">
        <w:t xml:space="preserve"> </w:t>
      </w:r>
      <w:r w:rsidR="00943A3B" w:rsidRPr="006B609E">
        <w:t xml:space="preserve">при отсутствии противопоказаний. </w:t>
      </w:r>
    </w:p>
    <w:p w14:paraId="70B8AD6B" w14:textId="77777777" w:rsidR="00943A3B" w:rsidRPr="008502F5" w:rsidRDefault="00943A3B" w:rsidP="005D3BBD">
      <w:pPr>
        <w:ind w:left="426"/>
        <w:rPr>
          <w:b/>
          <w:spacing w:val="-4"/>
        </w:rPr>
      </w:pPr>
      <w:r w:rsidRPr="008502F5">
        <w:rPr>
          <w:b/>
          <w:spacing w:val="-4"/>
        </w:rPr>
        <w:t xml:space="preserve">Уровень убедительности </w:t>
      </w:r>
      <w:r w:rsidR="00C20509" w:rsidRPr="008502F5">
        <w:rPr>
          <w:b/>
          <w:spacing w:val="-4"/>
        </w:rPr>
        <w:t xml:space="preserve">рекомендаций – </w:t>
      </w:r>
      <w:r w:rsidRPr="008502F5">
        <w:rPr>
          <w:b/>
          <w:spacing w:val="-4"/>
        </w:rPr>
        <w:t xml:space="preserve">С (уровень достоверности </w:t>
      </w:r>
      <w:r w:rsidR="00C20509" w:rsidRPr="008502F5">
        <w:rPr>
          <w:b/>
          <w:spacing w:val="-4"/>
        </w:rPr>
        <w:t xml:space="preserve">доказательств – </w:t>
      </w:r>
      <w:r w:rsidRPr="008502F5">
        <w:rPr>
          <w:b/>
          <w:spacing w:val="-4"/>
        </w:rPr>
        <w:t>5).</w:t>
      </w:r>
    </w:p>
    <w:p w14:paraId="77E1C8AC" w14:textId="31DAE04A" w:rsidR="001F7596" w:rsidRPr="006B609E" w:rsidRDefault="00943A3B" w:rsidP="005D3BBD">
      <w:pPr>
        <w:ind w:firstLine="426"/>
      </w:pPr>
      <w:r w:rsidRPr="006B609E">
        <w:rPr>
          <w:b/>
        </w:rPr>
        <w:t>Комментарии:</w:t>
      </w:r>
      <w:r w:rsidR="00030520">
        <w:rPr>
          <w:b/>
        </w:rPr>
        <w:t xml:space="preserve"> </w:t>
      </w:r>
      <w:r w:rsidR="008502F5">
        <w:rPr>
          <w:i/>
        </w:rPr>
        <w:t>п</w:t>
      </w:r>
      <w:r w:rsidR="001F7596" w:rsidRPr="006B609E">
        <w:rPr>
          <w:i/>
        </w:rPr>
        <w:t xml:space="preserve">невмококковая иммунизация осуществляется двукратно. Сначала вводится </w:t>
      </w:r>
      <w:r w:rsidR="00444B93">
        <w:rPr>
          <w:i/>
        </w:rPr>
        <w:t>вакцина для профилактики пневмококковой инфекции</w:t>
      </w:r>
      <w:r w:rsidR="001F7596" w:rsidRPr="0072780B">
        <w:rPr>
          <w:i/>
        </w:rPr>
        <w:t xml:space="preserve">, </w:t>
      </w:r>
      <w:r w:rsidR="00444B93" w:rsidRPr="0072780B">
        <w:rPr>
          <w:i/>
        </w:rPr>
        <w:t>содержащ</w:t>
      </w:r>
      <w:r w:rsidR="00444B93">
        <w:rPr>
          <w:i/>
        </w:rPr>
        <w:t>ая</w:t>
      </w:r>
      <w:r w:rsidR="00444B93" w:rsidRPr="0072780B">
        <w:rPr>
          <w:i/>
        </w:rPr>
        <w:t xml:space="preserve"> </w:t>
      </w:r>
      <w:r w:rsidR="001F7596" w:rsidRPr="0072780B">
        <w:rPr>
          <w:i/>
        </w:rPr>
        <w:t>13 пневмок</w:t>
      </w:r>
      <w:r w:rsidR="008502F5">
        <w:rPr>
          <w:i/>
        </w:rPr>
        <w:t>ок</w:t>
      </w:r>
      <w:r w:rsidR="001F7596" w:rsidRPr="0072780B">
        <w:rPr>
          <w:i/>
        </w:rPr>
        <w:t xml:space="preserve">ковых антигенов. Через 2 </w:t>
      </w:r>
      <w:r w:rsidR="00F07AA9">
        <w:rPr>
          <w:i/>
        </w:rPr>
        <w:t>мес.</w:t>
      </w:r>
      <w:r w:rsidR="001F7596" w:rsidRPr="0072780B">
        <w:rPr>
          <w:i/>
        </w:rPr>
        <w:t xml:space="preserve"> осуществляют введение </w:t>
      </w:r>
      <w:r w:rsidR="000D115E" w:rsidRPr="000D115E">
        <w:rPr>
          <w:i/>
        </w:rPr>
        <w:t>вакцин</w:t>
      </w:r>
      <w:r w:rsidR="000D115E">
        <w:rPr>
          <w:i/>
        </w:rPr>
        <w:t>ы</w:t>
      </w:r>
      <w:r w:rsidR="000D115E" w:rsidRPr="000D115E">
        <w:rPr>
          <w:i/>
        </w:rPr>
        <w:t xml:space="preserve"> для профилактики пневмококковых инфекций</w:t>
      </w:r>
      <w:r w:rsidR="001F7596" w:rsidRPr="0072780B">
        <w:rPr>
          <w:i/>
        </w:rPr>
        <w:t>, содержащей</w:t>
      </w:r>
      <w:r w:rsidR="001F7596" w:rsidRPr="006B609E">
        <w:rPr>
          <w:i/>
        </w:rPr>
        <w:t xml:space="preserve"> 23 пневмококковых антигена. Пневмококковая ревакцинация</w:t>
      </w:r>
      <w:r w:rsidR="00444B93">
        <w:rPr>
          <w:i/>
        </w:rPr>
        <w:t xml:space="preserve"> </w:t>
      </w:r>
      <w:r w:rsidR="001F7596" w:rsidRPr="006B609E">
        <w:rPr>
          <w:i/>
        </w:rPr>
        <w:t>проводится</w:t>
      </w:r>
      <w:r w:rsidR="00444B93">
        <w:rPr>
          <w:i/>
        </w:rPr>
        <w:t xml:space="preserve"> </w:t>
      </w:r>
      <w:r w:rsidR="001F7596" w:rsidRPr="006B609E">
        <w:rPr>
          <w:i/>
        </w:rPr>
        <w:t>1 раз в 5 лет.</w:t>
      </w:r>
    </w:p>
    <w:p w14:paraId="2BDC5ECE" w14:textId="77777777" w:rsidR="00943A3B" w:rsidRPr="0072780B" w:rsidRDefault="00943A3B" w:rsidP="00E92E00">
      <w:pPr>
        <w:rPr>
          <w:b/>
        </w:rPr>
      </w:pPr>
      <w:r w:rsidRPr="006B609E">
        <w:rPr>
          <w:i/>
        </w:rPr>
        <w:t>Применение вакцин против инкапсулированных организмов, таких как Streptococcus</w:t>
      </w:r>
      <w:r w:rsidR="000D5099">
        <w:rPr>
          <w:i/>
        </w:rPr>
        <w:t xml:space="preserve"> </w:t>
      </w:r>
      <w:r w:rsidRPr="006B609E">
        <w:rPr>
          <w:i/>
        </w:rPr>
        <w:t>pneumonia</w:t>
      </w:r>
      <w:r w:rsidR="008502F5">
        <w:rPr>
          <w:i/>
          <w:lang w:val="en-US"/>
        </w:rPr>
        <w:t>e</w:t>
      </w:r>
      <w:r w:rsidRPr="006B609E">
        <w:rPr>
          <w:i/>
        </w:rPr>
        <w:t>, Haemophilus</w:t>
      </w:r>
      <w:r w:rsidR="00EF17E7">
        <w:rPr>
          <w:i/>
        </w:rPr>
        <w:t xml:space="preserve"> </w:t>
      </w:r>
      <w:r w:rsidRPr="006B609E">
        <w:rPr>
          <w:i/>
        </w:rPr>
        <w:t>influenzae и Neisseria</w:t>
      </w:r>
      <w:r w:rsidR="000D5099">
        <w:rPr>
          <w:i/>
        </w:rPr>
        <w:t xml:space="preserve"> </w:t>
      </w:r>
      <w:r w:rsidRPr="006B609E">
        <w:rPr>
          <w:i/>
        </w:rPr>
        <w:t>meningitid</w:t>
      </w:r>
      <w:r w:rsidR="008502F5">
        <w:rPr>
          <w:i/>
          <w:lang w:val="en-US"/>
        </w:rPr>
        <w:t>i</w:t>
      </w:r>
      <w:r w:rsidRPr="006B609E">
        <w:rPr>
          <w:i/>
        </w:rPr>
        <w:t>s, рекомендовано во многих странах пациентам с ХЛЛ до химиотерапии (не менее чем за 2 нед</w:t>
      </w:r>
      <w:r w:rsidR="008502F5">
        <w:rPr>
          <w:i/>
        </w:rPr>
        <w:t>.</w:t>
      </w:r>
      <w:r w:rsidRPr="006B609E">
        <w:rPr>
          <w:i/>
        </w:rPr>
        <w:t>) или после восстановления иммунной системы после терапии (не ранее чем через 3 мес</w:t>
      </w:r>
      <w:r w:rsidR="008502F5">
        <w:rPr>
          <w:i/>
        </w:rPr>
        <w:t>)</w:t>
      </w:r>
      <w:r w:rsidRPr="006B609E">
        <w:rPr>
          <w:i/>
        </w:rPr>
        <w:t xml:space="preserve">. Это особенно важно для пациентов с функциональной аспленией или </w:t>
      </w:r>
      <w:r w:rsidR="008502F5">
        <w:rPr>
          <w:i/>
        </w:rPr>
        <w:t xml:space="preserve">для тех, у кого </w:t>
      </w:r>
      <w:r w:rsidRPr="006B609E">
        <w:rPr>
          <w:i/>
        </w:rPr>
        <w:t xml:space="preserve">планируется </w:t>
      </w:r>
      <w:r w:rsidRPr="006B609E">
        <w:rPr>
          <w:i/>
        </w:rPr>
        <w:lastRenderedPageBreak/>
        <w:t xml:space="preserve">спленэктомия. Методика последовательной двукратной вакцинации </w:t>
      </w:r>
      <w:r w:rsidR="008502F5">
        <w:rPr>
          <w:i/>
        </w:rPr>
        <w:t>сформировалась</w:t>
      </w:r>
      <w:r w:rsidRPr="0072780B">
        <w:rPr>
          <w:i/>
        </w:rPr>
        <w:t xml:space="preserve"> эмпирически на основании того, что ответ на 23-валентную вакцину слабее, чем на </w:t>
      </w:r>
      <w:r w:rsidR="008502F5">
        <w:rPr>
          <w:i/>
        </w:rPr>
        <w:br/>
      </w:r>
      <w:r w:rsidRPr="0072780B">
        <w:rPr>
          <w:i/>
        </w:rPr>
        <w:t>13-валентную. С другой стороны, 23-валентная вакцина позволяет расширить иммунный ответ и усилить его</w:t>
      </w:r>
      <w:r w:rsidR="00D72B88" w:rsidRPr="0072780B">
        <w:rPr>
          <w:i/>
        </w:rPr>
        <w:t>.</w:t>
      </w:r>
    </w:p>
    <w:p w14:paraId="4B235151" w14:textId="3C84D92A" w:rsidR="003F08C1" w:rsidRPr="00024B9C" w:rsidRDefault="003F08C1" w:rsidP="00D61785">
      <w:pPr>
        <w:pStyle w:val="a4"/>
        <w:numPr>
          <w:ilvl w:val="0"/>
          <w:numId w:val="50"/>
        </w:numPr>
        <w:spacing w:before="0"/>
      </w:pPr>
      <w:bookmarkStart w:id="59" w:name="_Toc23601730"/>
      <w:r w:rsidRPr="00024B9C">
        <w:t xml:space="preserve">Всем пациентам </w:t>
      </w:r>
      <w:r w:rsidRPr="005D3BBD">
        <w:t>c</w:t>
      </w:r>
      <w:r w:rsidRPr="00024B9C">
        <w:t xml:space="preserve"> ХЛЛ/ЛМЛ на любом этапе лечения, у которых выявлена клинически значимая анемия, </w:t>
      </w:r>
      <w:r w:rsidRPr="005D3BBD">
        <w:rPr>
          <w:b/>
        </w:rPr>
        <w:t>рекомендуется</w:t>
      </w:r>
      <w:r w:rsidRPr="00024B9C">
        <w:t xml:space="preserve"> проведение заместительной гемотрансфузионной терапии эритроцитсодержащими компонентами крови</w:t>
      </w:r>
      <w:r w:rsidR="00024B9C" w:rsidRPr="005D3BBD">
        <w:t xml:space="preserve"> </w:t>
      </w:r>
      <w:r w:rsidR="006F4507">
        <w:fldChar w:fldCharType="begin" w:fldLock="1"/>
      </w:r>
      <w:r w:rsidR="00BA7FFC">
        <w:instrText>ADDIN CSL_CITATION {"citationItems":[{"id":"ITEM-1","itemData":{"DOI":"10.3390/ph11040094","ISSN":"14248247","abstract":"Anemia in cancer patients is quite common, with remarkable negative impacts on quality of life and overall prognosis. The pathogenesis is complex and typically multifactorial, with iron deficiency (ID) often being a major and potentially treatable contributor. In turn, ID in cancer patients can be due to multiple concurring mechanisms, including bleeding (e.g., in gastrointestinal cancers or after surgery), malnutrition, medications, and hepcidin-driven iron sequestration into macrophages with subsequent iron-restricted erythropoiesis. Indeed, either absolute or functional iron deficiency (AID or FID) can occur. While for absolute ID there is a general consensus regarding the laboratory definition (that is ferritin levels &lt;100 ng/mL ± transferrin saturation (TSAT) &lt;20%), a shared definition of functional ID is still lacking. Current therapeutic options in cancer anemia include iron replacement, erythropoietic stimulating agents (ESAs), and blood transfusions. The latter should be kept to a minimum, because of concerns regarding risks, costs, and limited resources. Iron therapy has proved to be a valid approach to enhance efficacy of ESAs and to reduce transfusion need. Available guidelines focus mainly on patients with chemotherapy-associated anemia, and generally suggest intravenous (IV) iron when AID or FID is present. However, in the case of FID, the upper limit of ferritin in association with TSAT &lt;20% at which iron should be prescribed is a matter of controversy, ranging up to 800 ng/mL. An increasingly recognized indication to IV iron in cancer patients is represented by preoperative anemia in elective oncologic surgery. In this setting, the primary goal of treatment is to decrease the need of blood transfusions in the perioperative period, rather than improving anemia-related symptoms as in chemotherapy-associated anemia. Protocols are mainly based on experiences of Patient Blood Management (PBM) in non-oncologic surgery, but no specific guidelines are available for oncologic surgery. Here we discuss some possible approaches to the management of ID in cancer patients in different clinical settings, based on current guidelines and recommendations, emphasizing the need for further research in the field.","author":[{"dropping-particle":"","family":"Busti","given":"Fabiana","non-dropping-particle":"","parse-names":false,"suffix":""},{"dropping-particle":"","family":"Marchi","given":"Giacomo","non-dropping-particle":"","parse-names":false,"suffix":""},{"dropping-particle":"","family":"Ugolini","given":"Sara","non-dropping-particle":"","parse-names":false,"suffix":""},{"dropping-particle":"","family":"Castagna","given":"Annalisa","non-dropping-particle":"","parse-names":false,"suffix":""},{"dropping-particle":"","family":"Girelli","given":"Domenico","non-dropping-particle":"","parse-names":false,"suffix":""}],"container-title":"Pharmaceuticals","id":"ITEM-1","issue":"4","issued":{"date-parts":[["2018","12","1"]]},"publisher":"MDPI AG","title":"Anemia and iron deficiency in cancer patients: Role of iron replacement therapy","type":"article","volume":"11"},"uris":["http://www.mendeley.com/documents/?uuid=145ffdda-695a-3bf1-ac4f-25746f24853b"]}],"mendeley":{"formattedCitation":"[68]","plainTextFormattedCitation":"[68]","previouslyFormattedCitation":"[68]"},"properties":{"noteIndex":0},"schema":"https://github.com/citation-style-language/schema/raw/master/csl-citation.json"}</w:instrText>
      </w:r>
      <w:r w:rsidR="006F4507">
        <w:fldChar w:fldCharType="separate"/>
      </w:r>
      <w:r w:rsidR="00225D7F" w:rsidRPr="00225D7F">
        <w:rPr>
          <w:noProof/>
        </w:rPr>
        <w:t>[68]</w:t>
      </w:r>
      <w:r w:rsidR="006F4507">
        <w:fldChar w:fldCharType="end"/>
      </w:r>
    </w:p>
    <w:p w14:paraId="4FC2E7FE" w14:textId="075418D4" w:rsidR="003F08C1" w:rsidRDefault="003F08C1" w:rsidP="006F4507">
      <w:pPr>
        <w:ind w:firstLine="426"/>
        <w:rPr>
          <w:b/>
          <w:spacing w:val="-4"/>
        </w:rPr>
      </w:pPr>
      <w:r w:rsidRPr="008502F5">
        <w:rPr>
          <w:b/>
          <w:spacing w:val="-4"/>
        </w:rPr>
        <w:t>Уровень убедительности рекомендаций – С (уровень достоверности доказательств – 5).</w:t>
      </w:r>
    </w:p>
    <w:p w14:paraId="52B684DE" w14:textId="11C939DD" w:rsidR="006F4507" w:rsidRPr="00024B9C" w:rsidRDefault="006F4507" w:rsidP="00D61785">
      <w:pPr>
        <w:pStyle w:val="a4"/>
        <w:numPr>
          <w:ilvl w:val="0"/>
          <w:numId w:val="50"/>
        </w:numPr>
        <w:spacing w:before="0"/>
      </w:pPr>
      <w:r w:rsidRPr="00024B9C">
        <w:t xml:space="preserve">Всем пациентам </w:t>
      </w:r>
      <w:r w:rsidRPr="005613A8">
        <w:t>c</w:t>
      </w:r>
      <w:r w:rsidRPr="00024B9C">
        <w:t xml:space="preserve"> ХЛЛ/ЛМЛ на любом этапе лечения, у которых выявлена клинически значимая </w:t>
      </w:r>
      <w:r>
        <w:t>тромбоцитопения</w:t>
      </w:r>
      <w:r w:rsidRPr="00024B9C">
        <w:t xml:space="preserve">, </w:t>
      </w:r>
      <w:r w:rsidRPr="005D3BBD">
        <w:rPr>
          <w:b/>
        </w:rPr>
        <w:t>рекомендуется</w:t>
      </w:r>
      <w:r w:rsidRPr="00024B9C">
        <w:t xml:space="preserve"> проведение заместительной терапии </w:t>
      </w:r>
      <w:r>
        <w:t>тромбоконцентратом</w:t>
      </w:r>
      <w:r w:rsidRPr="005D3BBD">
        <w:t xml:space="preserve"> </w:t>
      </w:r>
      <w:r>
        <w:fldChar w:fldCharType="begin" w:fldLock="1"/>
      </w:r>
      <w:r w:rsidR="00BA7FFC">
        <w:instrText>ADDIN CSL_CITATION {"citationItems":[{"id":"ITEM-1","itemData":{"URL":"https://www.uptodate.com/contents/overview-of-the-complications-of-chronic-lymphocytic-leukemia","accessed":{"date-parts":[["2020","10","30"]]},"author":[{"dropping-particle":"","family":"Rai","given":"K.R.","non-dropping-particle":"","parse-names":false,"suffix":""},{"dropping-particle":"","family":"Stilgenbauer","given":"S.","non-dropping-particle":"","parse-names":false,"suffix":""}],"id":"ITEM-1","issued":{"date-parts":[["0"]]},"title":"Overview of the complications of chronic lymphocytic leukemia","type":"webpage"},"uris":["http://www.mendeley.com/documents/?uuid=013c2f24-39e6-3429-b480-ba83d279ab10"]}],"mendeley":{"formattedCitation":"[69]","plainTextFormattedCitation":"[69]","previouslyFormattedCitation":"[69]"},"properties":{"noteIndex":0},"schema":"https://github.com/citation-style-language/schema/raw/master/csl-citation.json"}</w:instrText>
      </w:r>
      <w:r>
        <w:fldChar w:fldCharType="separate"/>
      </w:r>
      <w:r w:rsidR="00225D7F" w:rsidRPr="00225D7F">
        <w:rPr>
          <w:noProof/>
        </w:rPr>
        <w:t>[69]</w:t>
      </w:r>
      <w:r>
        <w:fldChar w:fldCharType="end"/>
      </w:r>
      <w:r>
        <w:t xml:space="preserve"> </w:t>
      </w:r>
    </w:p>
    <w:p w14:paraId="3F141902" w14:textId="77777777" w:rsidR="006F4507" w:rsidRPr="008502F5" w:rsidRDefault="006F4507" w:rsidP="006F4507">
      <w:pPr>
        <w:ind w:firstLine="426"/>
        <w:rPr>
          <w:b/>
          <w:spacing w:val="-4"/>
        </w:rPr>
      </w:pPr>
      <w:r w:rsidRPr="008502F5">
        <w:rPr>
          <w:b/>
          <w:spacing w:val="-4"/>
        </w:rPr>
        <w:t>Уровень убедительности рекомендаций – С (уровень достоверности доказательств – 5).</w:t>
      </w:r>
    </w:p>
    <w:p w14:paraId="40492FAB" w14:textId="77777777" w:rsidR="006F4507" w:rsidRPr="008502F5" w:rsidRDefault="006F4507" w:rsidP="006F4507">
      <w:pPr>
        <w:ind w:firstLine="426"/>
        <w:rPr>
          <w:b/>
          <w:spacing w:val="-4"/>
        </w:rPr>
      </w:pPr>
    </w:p>
    <w:p w14:paraId="402DC31A" w14:textId="77777777" w:rsidR="004D7374" w:rsidRDefault="004D7374" w:rsidP="005D3BBD">
      <w:pPr>
        <w:pStyle w:val="2"/>
        <w:spacing w:before="0"/>
        <w:contextualSpacing/>
      </w:pPr>
      <w:bookmarkStart w:id="60" w:name="_Toc65068811"/>
      <w:r>
        <w:t>3.</w:t>
      </w:r>
      <w:r w:rsidR="00924BCE">
        <w:t>5</w:t>
      </w:r>
      <w:r w:rsidR="00397360" w:rsidRPr="00907D07">
        <w:t>.</w:t>
      </w:r>
      <w:r>
        <w:t xml:space="preserve"> Оценка ответа на лечение</w:t>
      </w:r>
      <w:bookmarkEnd w:id="59"/>
      <w:bookmarkEnd w:id="60"/>
    </w:p>
    <w:p w14:paraId="36A2941D" w14:textId="77777777" w:rsidR="004D7374" w:rsidRDefault="00B76E9B" w:rsidP="00D61785">
      <w:pPr>
        <w:pStyle w:val="a4"/>
        <w:numPr>
          <w:ilvl w:val="0"/>
          <w:numId w:val="50"/>
        </w:numPr>
        <w:spacing w:before="0"/>
      </w:pPr>
      <w:r>
        <w:t xml:space="preserve">Всем </w:t>
      </w:r>
      <w:r w:rsidR="004D7374">
        <w:t>пациентам</w:t>
      </w:r>
      <w:r w:rsidR="00AD7318">
        <w:t xml:space="preserve"> с ХЛЛ/ЛМЛ</w:t>
      </w:r>
      <w:r w:rsidR="008E393B">
        <w:t xml:space="preserve"> </w:t>
      </w:r>
      <w:r w:rsidR="00EA0910" w:rsidRPr="006F4507">
        <w:rPr>
          <w:b/>
        </w:rPr>
        <w:t>рекомендуется</w:t>
      </w:r>
      <w:r w:rsidR="008502F5">
        <w:t xml:space="preserve"> оценка терапии по критериям </w:t>
      </w:r>
      <w:r w:rsidR="008502F5" w:rsidRPr="005D3BBD">
        <w:t>I</w:t>
      </w:r>
      <w:r w:rsidR="008502F5">
        <w:t>WCLL</w:t>
      </w:r>
      <w:r w:rsidR="00EA0910">
        <w:t xml:space="preserve"> 2018 (см.</w:t>
      </w:r>
      <w:r w:rsidR="00145A85">
        <w:t xml:space="preserve"> раздел 7.3 данных рекомендаций</w:t>
      </w:r>
      <w:r w:rsidR="00EA0910">
        <w:t xml:space="preserve">) при </w:t>
      </w:r>
      <w:r w:rsidR="004D7374">
        <w:t>те</w:t>
      </w:r>
      <w:r w:rsidR="00EA0910">
        <w:t>рапии ограниченной длительности</w:t>
      </w:r>
      <w:r w:rsidR="008E393B">
        <w:t xml:space="preserve"> </w:t>
      </w:r>
      <w:r w:rsidR="00EA0910">
        <w:t>(</w:t>
      </w:r>
      <w:r w:rsidR="004D7374">
        <w:t xml:space="preserve">не менее чем через 2 </w:t>
      </w:r>
      <w:r w:rsidR="00F07AA9">
        <w:t>мес.</w:t>
      </w:r>
      <w:r w:rsidR="004D7374">
        <w:t xml:space="preserve"> после </w:t>
      </w:r>
      <w:r w:rsidR="007F5246">
        <w:t xml:space="preserve">ее </w:t>
      </w:r>
      <w:r w:rsidR="004D7374">
        <w:t>окончания</w:t>
      </w:r>
      <w:r w:rsidR="007F5246">
        <w:t>),</w:t>
      </w:r>
      <w:r w:rsidR="00EA0910">
        <w:t xml:space="preserve"> </w:t>
      </w:r>
      <w:r w:rsidR="004A0625">
        <w:t xml:space="preserve">при </w:t>
      </w:r>
      <w:r w:rsidR="00EA0910">
        <w:t xml:space="preserve">непрерывной или поддерживающей терапии (не менее чем через 2 </w:t>
      </w:r>
      <w:r w:rsidR="00F07AA9">
        <w:t>мес.</w:t>
      </w:r>
      <w:r w:rsidR="00EA0910">
        <w:t xml:space="preserve"> после достижения максимального ответа)</w:t>
      </w:r>
      <w:r w:rsidR="000D5099">
        <w:t xml:space="preserve"> </w:t>
      </w:r>
      <w:r w:rsidR="000B0AC3">
        <w:fldChar w:fldCharType="begin" w:fldLock="1"/>
      </w:r>
      <w:r w:rsidR="000D5099">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0D5099" w:rsidRPr="000D5099">
        <w:rPr>
          <w:noProof/>
        </w:rPr>
        <w:t>[12]</w:t>
      </w:r>
      <w:r w:rsidR="000B0AC3">
        <w:fldChar w:fldCharType="end"/>
      </w:r>
      <w:r w:rsidR="004D7374">
        <w:t xml:space="preserve">. </w:t>
      </w:r>
    </w:p>
    <w:p w14:paraId="1618E3F2" w14:textId="77777777" w:rsidR="001E3D61" w:rsidRPr="007F5246" w:rsidRDefault="001E3D61" w:rsidP="006F4507">
      <w:pPr>
        <w:ind w:left="426"/>
        <w:rPr>
          <w:b/>
          <w:spacing w:val="-4"/>
        </w:rPr>
      </w:pPr>
      <w:r w:rsidRPr="007F5246">
        <w:rPr>
          <w:b/>
          <w:spacing w:val="-4"/>
        </w:rPr>
        <w:t xml:space="preserve">Уровень убедительности </w:t>
      </w:r>
      <w:r w:rsidR="00C20509" w:rsidRPr="007F5246">
        <w:rPr>
          <w:b/>
          <w:spacing w:val="-4"/>
        </w:rPr>
        <w:t xml:space="preserve">рекомендаций – </w:t>
      </w:r>
      <w:r w:rsidRPr="007F5246">
        <w:rPr>
          <w:b/>
          <w:spacing w:val="-4"/>
        </w:rPr>
        <w:t xml:space="preserve">С (уровень достоверности </w:t>
      </w:r>
      <w:r w:rsidR="00C20509" w:rsidRPr="007F5246">
        <w:rPr>
          <w:b/>
          <w:spacing w:val="-4"/>
        </w:rPr>
        <w:t xml:space="preserve">доказательств – </w:t>
      </w:r>
      <w:r w:rsidRPr="007F5246">
        <w:rPr>
          <w:b/>
          <w:spacing w:val="-4"/>
        </w:rPr>
        <w:t>5).</w:t>
      </w:r>
    </w:p>
    <w:p w14:paraId="53ED725C" w14:textId="77777777" w:rsidR="00555233" w:rsidRPr="005A463A" w:rsidRDefault="00A81638" w:rsidP="006F4507">
      <w:pPr>
        <w:ind w:firstLine="426"/>
        <w:contextualSpacing/>
        <w:rPr>
          <w:i/>
        </w:rPr>
      </w:pPr>
      <w:r>
        <w:rPr>
          <w:b/>
        </w:rPr>
        <w:t>Комментарии</w:t>
      </w:r>
      <w:r w:rsidR="004D7374" w:rsidRPr="00B76E9B">
        <w:rPr>
          <w:b/>
        </w:rPr>
        <w:t>:</w:t>
      </w:r>
      <w:r w:rsidR="008E393B">
        <w:rPr>
          <w:b/>
        </w:rPr>
        <w:t xml:space="preserve"> </w:t>
      </w:r>
      <w:r w:rsidR="007F5246">
        <w:rPr>
          <w:i/>
        </w:rPr>
        <w:t>м</w:t>
      </w:r>
      <w:r w:rsidR="004D7374" w:rsidRPr="00B76E9B">
        <w:rPr>
          <w:i/>
        </w:rPr>
        <w:t xml:space="preserve">аксимальный ответ определяется как ответ, который не становится лучше в течение </w:t>
      </w:r>
      <w:r w:rsidR="007F5246" w:rsidRPr="00B76E9B">
        <w:rPr>
          <w:i/>
        </w:rPr>
        <w:t xml:space="preserve">последних </w:t>
      </w:r>
      <w:r w:rsidR="00F07AA9">
        <w:rPr>
          <w:i/>
        </w:rPr>
        <w:t>2</w:t>
      </w:r>
      <w:r w:rsidR="004D7374" w:rsidRPr="00B76E9B">
        <w:rPr>
          <w:i/>
        </w:rPr>
        <w:t xml:space="preserve"> мес</w:t>
      </w:r>
      <w:r w:rsidR="007F5246">
        <w:rPr>
          <w:i/>
        </w:rPr>
        <w:t>.</w:t>
      </w:r>
      <w:r w:rsidR="004D7374" w:rsidRPr="00B76E9B">
        <w:rPr>
          <w:i/>
        </w:rPr>
        <w:t xml:space="preserve"> терапии. Ингибиторы сигнального пути В-клеточного рецептора вызывают перераспределительный лимфоцитоз. Персистирующий лимфоцитоз </w:t>
      </w:r>
      <w:r w:rsidR="005A0BFC">
        <w:rPr>
          <w:i/>
        </w:rPr>
        <w:t>при</w:t>
      </w:r>
      <w:r w:rsidR="004D7374" w:rsidRPr="00B76E9B">
        <w:rPr>
          <w:i/>
        </w:rPr>
        <w:t xml:space="preserve"> терапии ибрутинибом</w:t>
      </w:r>
      <w:r w:rsidR="00BF586B">
        <w:rPr>
          <w:i/>
        </w:rPr>
        <w:t>**</w:t>
      </w:r>
      <w:r w:rsidR="004D7374" w:rsidRPr="00B76E9B">
        <w:rPr>
          <w:i/>
        </w:rPr>
        <w:t xml:space="preserve"> не является признаком рефрактерности. Это состояние обозначается как частичный ответ с лимфоцитозом. </w:t>
      </w:r>
      <w:r w:rsidR="004D7374" w:rsidRPr="0072780B">
        <w:rPr>
          <w:i/>
        </w:rPr>
        <w:t xml:space="preserve">Срок нормализации уровня лимфоцитов </w:t>
      </w:r>
      <w:r w:rsidR="007F5246">
        <w:rPr>
          <w:i/>
        </w:rPr>
        <w:t>варьирует</w:t>
      </w:r>
      <w:r w:rsidR="004D7374" w:rsidRPr="0072780B">
        <w:rPr>
          <w:i/>
        </w:rPr>
        <w:t xml:space="preserve"> в разных исс</w:t>
      </w:r>
      <w:r w:rsidR="007F5246">
        <w:rPr>
          <w:i/>
        </w:rPr>
        <w:t>ледованиях от 4 до 12 мес.</w:t>
      </w:r>
      <w:r w:rsidR="0072780B" w:rsidRPr="0072780B">
        <w:rPr>
          <w:i/>
        </w:rPr>
        <w:t>; однако при применении ибру</w:t>
      </w:r>
      <w:r w:rsidR="007F5246">
        <w:rPr>
          <w:i/>
        </w:rPr>
        <w:t>т</w:t>
      </w:r>
      <w:r w:rsidR="0072780B" w:rsidRPr="0072780B">
        <w:rPr>
          <w:i/>
        </w:rPr>
        <w:t>иниба</w:t>
      </w:r>
      <w:r w:rsidR="007F5246">
        <w:rPr>
          <w:i/>
        </w:rPr>
        <w:t>**</w:t>
      </w:r>
      <w:r w:rsidR="0072780B" w:rsidRPr="0072780B">
        <w:rPr>
          <w:i/>
        </w:rPr>
        <w:t xml:space="preserve"> лимфоцитоз может </w:t>
      </w:r>
      <w:r w:rsidR="007F5246">
        <w:rPr>
          <w:i/>
        </w:rPr>
        <w:t>персистировать в течение 12 мес.</w:t>
      </w:r>
      <w:r w:rsidR="0072780B" w:rsidRPr="0072780B">
        <w:rPr>
          <w:i/>
        </w:rPr>
        <w:t xml:space="preserve"> и более, что не влияет на прогноз</w:t>
      </w:r>
      <w:r w:rsidR="00EA0910" w:rsidRPr="0072780B">
        <w:rPr>
          <w:i/>
        </w:rPr>
        <w:t>. У ряда</w:t>
      </w:r>
      <w:r w:rsidR="00EA0910">
        <w:rPr>
          <w:i/>
        </w:rPr>
        <w:t xml:space="preserve"> пациентов уровень лимфоцитов</w:t>
      </w:r>
      <w:r w:rsidR="004D7374" w:rsidRPr="00B76E9B">
        <w:rPr>
          <w:i/>
        </w:rPr>
        <w:t xml:space="preserve"> никогда не возвращается к норме.</w:t>
      </w:r>
    </w:p>
    <w:p w14:paraId="57491D25" w14:textId="77777777" w:rsidR="00555233" w:rsidRPr="003E3A35" w:rsidRDefault="00555233" w:rsidP="005D3BBD">
      <w:pPr>
        <w:pStyle w:val="2"/>
        <w:spacing w:before="0"/>
      </w:pPr>
      <w:bookmarkStart w:id="61" w:name="_Toc65068812"/>
      <w:r>
        <w:t xml:space="preserve">3.6 </w:t>
      </w:r>
      <w:r w:rsidRPr="003E3A35">
        <w:t>Обезболивание</w:t>
      </w:r>
      <w:bookmarkEnd w:id="61"/>
    </w:p>
    <w:p w14:paraId="2AEFF999" w14:textId="3A176E56" w:rsidR="00015814" w:rsidRPr="005D3BBD" w:rsidRDefault="00015814" w:rsidP="00D61785">
      <w:pPr>
        <w:pStyle w:val="a4"/>
        <w:numPr>
          <w:ilvl w:val="0"/>
          <w:numId w:val="50"/>
        </w:numPr>
        <w:spacing w:before="0"/>
      </w:pPr>
      <w:r w:rsidRPr="005D3BBD">
        <w:t xml:space="preserve">Пациентам с ХЛЛ/ЛМЛ при возникновении острого или хронического болевого синдрома </w:t>
      </w:r>
      <w:r w:rsidRPr="006F4507">
        <w:rPr>
          <w:b/>
          <w:color w:val="000000"/>
        </w:rPr>
        <w:t>рекомендуется</w:t>
      </w:r>
      <w:r w:rsidRPr="005D3BBD">
        <w:t xml:space="preserve"> провести диагностику причины болевого синдрома и </w:t>
      </w:r>
      <w:r w:rsidRPr="005D3BBD">
        <w:lastRenderedPageBreak/>
        <w:t>последующую патогенетическую или сипмтоматическую терапию болевого синдрома</w:t>
      </w:r>
      <w:r w:rsidR="00C348F4" w:rsidRPr="005D3BBD">
        <w:t xml:space="preserve"> в соответствии с существующими профильными рекомендациями</w:t>
      </w:r>
      <w:r w:rsidRPr="005D3BBD">
        <w:t xml:space="preserve"> </w:t>
      </w:r>
      <w:r w:rsidR="000B0AC3" w:rsidRPr="005D3BBD">
        <w:fldChar w:fldCharType="begin" w:fldLock="1"/>
      </w:r>
      <w:r w:rsidR="00BA7FFC">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[70,71]","plainTextFormattedCitation":"[70,71]","previouslyFormattedCitation":"[70,71]"},"properties":{"noteIndex":0},"schema":"https://github.com/citation-style-language/schema/raw/master/csl-citation.json"}</w:instrText>
      </w:r>
      <w:r w:rsidR="000B0AC3" w:rsidRPr="005D3BBD">
        <w:fldChar w:fldCharType="separate"/>
      </w:r>
      <w:r w:rsidR="00225D7F" w:rsidRPr="00225D7F">
        <w:rPr>
          <w:noProof/>
        </w:rPr>
        <w:t>[70,71]</w:t>
      </w:r>
      <w:r w:rsidR="000B0AC3" w:rsidRPr="005D3BBD">
        <w:fldChar w:fldCharType="end"/>
      </w:r>
      <w:r w:rsidRPr="005D3BBD">
        <w:t>.</w:t>
      </w:r>
    </w:p>
    <w:p w14:paraId="53471E4D" w14:textId="77777777" w:rsidR="00015814" w:rsidRPr="00C40CE5" w:rsidRDefault="00015814" w:rsidP="006F4507">
      <w:pPr>
        <w:ind w:left="426"/>
        <w:contextualSpacing/>
        <w:rPr>
          <w:b/>
          <w:color w:val="000000"/>
        </w:rPr>
      </w:pPr>
      <w:r w:rsidRPr="00C348F4">
        <w:rPr>
          <w:b/>
          <w:color w:val="000000"/>
        </w:rPr>
        <w:t>Уровень убедительности</w:t>
      </w:r>
      <w:r w:rsidRPr="00C40CE5">
        <w:rPr>
          <w:b/>
          <w:color w:val="000000"/>
        </w:rPr>
        <w:t xml:space="preserve"> рекомендаций </w:t>
      </w:r>
      <w:r w:rsidRPr="006D3170">
        <w:rPr>
          <w:b/>
          <w:color w:val="000000"/>
        </w:rPr>
        <w:t>–</w:t>
      </w:r>
      <w:r>
        <w:rPr>
          <w:b/>
          <w:color w:val="000000"/>
        </w:rPr>
        <w:t xml:space="preserve"> </w:t>
      </w:r>
      <w:r w:rsidRPr="00C40CE5">
        <w:rPr>
          <w:b/>
          <w:color w:val="000000"/>
        </w:rPr>
        <w:t xml:space="preserve">С (уровень достоверности доказательств </w:t>
      </w:r>
      <w:r w:rsidRPr="006D3170">
        <w:rPr>
          <w:b/>
          <w:color w:val="000000"/>
        </w:rPr>
        <w:t>–</w:t>
      </w:r>
      <w:r>
        <w:rPr>
          <w:b/>
          <w:color w:val="000000"/>
        </w:rPr>
        <w:t xml:space="preserve"> </w:t>
      </w:r>
      <w:r w:rsidRPr="00C40CE5">
        <w:rPr>
          <w:b/>
          <w:color w:val="000000"/>
        </w:rPr>
        <w:t>5)</w:t>
      </w:r>
    </w:p>
    <w:p w14:paraId="6A6240E5" w14:textId="77777777" w:rsidR="00555233" w:rsidRPr="003E3A35" w:rsidRDefault="00555233" w:rsidP="00830EF8">
      <w:pPr>
        <w:pStyle w:val="31"/>
        <w:ind w:firstLine="567"/>
      </w:pPr>
    </w:p>
    <w:p w14:paraId="566071A0" w14:textId="397318DA" w:rsidR="004D7374" w:rsidRPr="00397360" w:rsidRDefault="004D7374" w:rsidP="005D3BBD">
      <w:pPr>
        <w:pStyle w:val="af9"/>
        <w:spacing w:before="0"/>
      </w:pPr>
      <w:bookmarkStart w:id="62" w:name="_Toc520213126"/>
      <w:bookmarkStart w:id="63" w:name="_Toc65068813"/>
      <w:bookmarkStart w:id="64" w:name="_Toc23601731"/>
      <w:r w:rsidRPr="00397360">
        <w:t xml:space="preserve">4. </w:t>
      </w:r>
      <w:bookmarkEnd w:id="62"/>
      <w:r w:rsidR="000D115E" w:rsidRPr="000D115E">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63"/>
      <w:r w:rsidR="000D115E" w:rsidRPr="000D115E" w:rsidDel="000D115E">
        <w:t xml:space="preserve"> </w:t>
      </w:r>
      <w:bookmarkEnd w:id="64"/>
    </w:p>
    <w:p w14:paraId="4CF3D832" w14:textId="2D4E6681" w:rsidR="007D0783" w:rsidRDefault="007D0783" w:rsidP="00D61785">
      <w:pPr>
        <w:pStyle w:val="a4"/>
        <w:numPr>
          <w:ilvl w:val="0"/>
          <w:numId w:val="50"/>
        </w:numPr>
        <w:spacing w:before="0"/>
      </w:pPr>
      <w:r>
        <w:t>Всем пациентам с ХЛЛ/ЛМЛ</w:t>
      </w:r>
      <w:r w:rsidR="008E393B">
        <w:t xml:space="preserve"> </w:t>
      </w:r>
      <w:r w:rsidR="00824F7E">
        <w:t xml:space="preserve">на всех этапах терапии заболевания, а также </w:t>
      </w:r>
      <w:r>
        <w:t xml:space="preserve">после завершения </w:t>
      </w:r>
      <w:r w:rsidR="00824F7E" w:rsidRPr="0072780B">
        <w:t xml:space="preserve">лекарственного лечения </w:t>
      </w:r>
      <w:r w:rsidRPr="005D3BBD">
        <w:t>рекомендуется</w:t>
      </w:r>
      <w:r w:rsidR="008E393B" w:rsidRPr="005D3BBD">
        <w:t xml:space="preserve"> </w:t>
      </w:r>
      <w:r w:rsidR="00824F7E" w:rsidRPr="0072780B">
        <w:t>комплексная реабилитация, а также при необходимости поддерживающая терапия</w:t>
      </w:r>
      <w:r w:rsidR="00752513">
        <w:t xml:space="preserve"> для улучшения результатов лечения и качества жизни пациента</w:t>
      </w:r>
      <w:r w:rsidR="000D5099" w:rsidRPr="000D5099">
        <w:t xml:space="preserve"> </w:t>
      </w:r>
      <w:r w:rsidR="000B0AC3">
        <w:fldChar w:fldCharType="begin" w:fldLock="1"/>
      </w:r>
      <w:r w:rsidR="00BA7FFC">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[72]","plainTextFormattedCitation":"[72]","previouslyFormattedCitation":"[72]"},"properties":{"noteIndex":0},"schema":"https://github.com/citation-style-language/schema/raw/master/csl-citation.json"}</w:instrText>
      </w:r>
      <w:r w:rsidR="000B0AC3">
        <w:fldChar w:fldCharType="separate"/>
      </w:r>
      <w:r w:rsidR="00225D7F" w:rsidRPr="00225D7F">
        <w:rPr>
          <w:noProof/>
        </w:rPr>
        <w:t>[72]</w:t>
      </w:r>
      <w:r w:rsidR="000B0AC3">
        <w:fldChar w:fldCharType="end"/>
      </w:r>
      <w:r w:rsidR="00824F7E" w:rsidRPr="0072780B">
        <w:t>.</w:t>
      </w:r>
    </w:p>
    <w:p w14:paraId="41B9E489" w14:textId="77777777" w:rsidR="001E3D61" w:rsidRPr="005B033F" w:rsidRDefault="001E3D61" w:rsidP="005D3BBD">
      <w:pPr>
        <w:ind w:left="426"/>
        <w:rPr>
          <w:b/>
          <w:spacing w:val="-4"/>
        </w:rPr>
      </w:pPr>
      <w:r w:rsidRPr="005B033F">
        <w:rPr>
          <w:b/>
          <w:spacing w:val="-4"/>
        </w:rPr>
        <w:t xml:space="preserve">Уровень убедительности </w:t>
      </w:r>
      <w:r w:rsidR="00C20509" w:rsidRPr="005B033F">
        <w:rPr>
          <w:b/>
          <w:spacing w:val="-4"/>
        </w:rPr>
        <w:t xml:space="preserve">рекомендаций – </w:t>
      </w:r>
      <w:r w:rsidRPr="005B033F">
        <w:rPr>
          <w:b/>
          <w:spacing w:val="-4"/>
        </w:rPr>
        <w:t xml:space="preserve">С (уровень достоверности </w:t>
      </w:r>
      <w:r w:rsidR="00C20509" w:rsidRPr="005B033F">
        <w:rPr>
          <w:b/>
          <w:spacing w:val="-4"/>
        </w:rPr>
        <w:t xml:space="preserve">доказательств – </w:t>
      </w:r>
      <w:r w:rsidRPr="005B033F">
        <w:rPr>
          <w:b/>
          <w:spacing w:val="-4"/>
        </w:rPr>
        <w:t>5).</w:t>
      </w:r>
    </w:p>
    <w:p w14:paraId="1381249A" w14:textId="77777777" w:rsidR="00824F7E" w:rsidRPr="00824F7E" w:rsidRDefault="00A81638" w:rsidP="006F4507">
      <w:pPr>
        <w:ind w:firstLine="426"/>
        <w:contextualSpacing/>
        <w:rPr>
          <w:i/>
        </w:rPr>
      </w:pPr>
      <w:r>
        <w:rPr>
          <w:b/>
        </w:rPr>
        <w:t>Комментарии</w:t>
      </w:r>
      <w:r w:rsidR="007D0783" w:rsidRPr="00B76E9B">
        <w:rPr>
          <w:b/>
        </w:rPr>
        <w:t>:</w:t>
      </w:r>
      <w:r w:rsidR="008E393B">
        <w:rPr>
          <w:b/>
        </w:rPr>
        <w:t xml:space="preserve"> </w:t>
      </w:r>
      <w:r w:rsidR="005B033F">
        <w:rPr>
          <w:i/>
        </w:rPr>
        <w:t>с</w:t>
      </w:r>
      <w:r w:rsidR="00824F7E" w:rsidRPr="00824F7E">
        <w:rPr>
          <w:i/>
        </w:rPr>
        <w:t>пециальных методов реабилитации при ХЛЛ/ЛМЛ не существует. Реабилитация пациентов с ХЛЛ должна носить комплексный характер, охватывая не только медицинские, но и социально-психологические аспекты адаптации пациента к нормальной жизни. Такая реабилитация требует</w:t>
      </w:r>
      <w:r w:rsidR="005A0BFC">
        <w:rPr>
          <w:i/>
        </w:rPr>
        <w:t>,</w:t>
      </w:r>
      <w:r w:rsidR="00824F7E" w:rsidRPr="00824F7E">
        <w:rPr>
          <w:i/>
        </w:rPr>
        <w:t xml:space="preserve"> кроме медицинской помощи</w:t>
      </w:r>
      <w:r w:rsidR="005A0BFC">
        <w:rPr>
          <w:i/>
        </w:rPr>
        <w:t>,</w:t>
      </w:r>
      <w:r w:rsidR="00824F7E" w:rsidRPr="00824F7E">
        <w:rPr>
          <w:i/>
        </w:rPr>
        <w:t xml:space="preserve"> обязательного участия социальных работников и психологов. Программы реабилитаци</w:t>
      </w:r>
      <w:r w:rsidR="005B033F">
        <w:rPr>
          <w:i/>
        </w:rPr>
        <w:t>и разрабатываются индивидуально</w:t>
      </w:r>
      <w:r w:rsidR="00824F7E" w:rsidRPr="00824F7E">
        <w:rPr>
          <w:i/>
        </w:rPr>
        <w:t xml:space="preserve"> в зависимости от выявленных осложнений лекарст</w:t>
      </w:r>
      <w:r w:rsidR="005B033F">
        <w:rPr>
          <w:i/>
        </w:rPr>
        <w:softHyphen/>
      </w:r>
      <w:r w:rsidR="00824F7E" w:rsidRPr="00824F7E">
        <w:rPr>
          <w:i/>
        </w:rPr>
        <w:t>венного лечения, сопутствующей патологии, социальных и психологических проблем.</w:t>
      </w:r>
    </w:p>
    <w:p w14:paraId="5C65F0B3" w14:textId="77777777" w:rsidR="00EB3C81" w:rsidRDefault="00824F7E" w:rsidP="00830EF8">
      <w:pPr>
        <w:contextualSpacing/>
        <w:rPr>
          <w:i/>
        </w:rPr>
      </w:pPr>
      <w:r w:rsidRPr="00824F7E">
        <w:rPr>
          <w:i/>
        </w:rPr>
        <w:t>Реабилитация</w:t>
      </w:r>
      <w:r w:rsidR="005B033F">
        <w:rPr>
          <w:i/>
        </w:rPr>
        <w:t xml:space="preserve"> при возникновении осложнений </w:t>
      </w:r>
      <w:r w:rsidRPr="00824F7E">
        <w:rPr>
          <w:i/>
        </w:rPr>
        <w:t xml:space="preserve">заболевания и лечения проводится в рамках соответствующих нозологий. </w:t>
      </w:r>
    </w:p>
    <w:p w14:paraId="4DCFEB2D" w14:textId="77777777" w:rsidR="007D0783" w:rsidRPr="00BE6A1C" w:rsidRDefault="00824F7E" w:rsidP="00E92E00">
      <w:pPr>
        <w:contextualSpacing/>
        <w:rPr>
          <w:i/>
        </w:rPr>
      </w:pPr>
      <w:r w:rsidRPr="00824F7E">
        <w:rPr>
          <w:i/>
        </w:rPr>
        <w:t xml:space="preserve">Поддерживающая терапия при необходимости проводится по месту жительства под наблюдением врача-гематолога или врача-онколога. Врач-гематолог или врач-онколог по месту жительства руководствуется рекомендациями, </w:t>
      </w:r>
      <w:r w:rsidR="005B033F">
        <w:rPr>
          <w:i/>
        </w:rPr>
        <w:t>которые дан</w:t>
      </w:r>
      <w:r w:rsidRPr="00824F7E">
        <w:rPr>
          <w:i/>
        </w:rPr>
        <w:t>ы специалистами учреждения, проводившего лечение.</w:t>
      </w:r>
    </w:p>
    <w:p w14:paraId="3C7E099F" w14:textId="77777777" w:rsidR="004D7374" w:rsidRPr="005A463A" w:rsidRDefault="00BE6A1C" w:rsidP="005D3BBD">
      <w:pPr>
        <w:pStyle w:val="1"/>
        <w:spacing w:before="0" w:after="0"/>
      </w:pPr>
      <w:bookmarkStart w:id="65" w:name="_Toc23601732"/>
      <w:bookmarkStart w:id="66" w:name="_Toc65068814"/>
      <w:r w:rsidRPr="00397360">
        <w:rPr>
          <w:sz w:val="24"/>
          <w:szCs w:val="24"/>
        </w:rPr>
        <w:t>5. </w:t>
      </w:r>
      <w:r w:rsidR="00B4558B" w:rsidRPr="005A463A">
        <w:t xml:space="preserve">Профилактика и диспансерное наблюдение, </w:t>
      </w:r>
      <w:r w:rsidRPr="005A463A">
        <w:br/>
      </w:r>
      <w:r w:rsidR="00B4558B" w:rsidRPr="005A463A">
        <w:t xml:space="preserve">медицинские показания и противопоказания </w:t>
      </w:r>
      <w:r w:rsidRPr="005A463A">
        <w:br/>
      </w:r>
      <w:r w:rsidR="00B4558B" w:rsidRPr="005A463A">
        <w:t>к применению методов профилактики</w:t>
      </w:r>
      <w:bookmarkEnd w:id="65"/>
      <w:bookmarkEnd w:id="66"/>
    </w:p>
    <w:p w14:paraId="4A43DE4B" w14:textId="77777777" w:rsidR="00B63BF6" w:rsidRPr="005B033F" w:rsidRDefault="00B63BF6" w:rsidP="004E3A70">
      <w:pPr>
        <w:rPr>
          <w:i/>
        </w:rPr>
      </w:pPr>
      <w:r w:rsidRPr="005B033F">
        <w:rPr>
          <w:i/>
        </w:rPr>
        <w:t>Методов профилактики ХЛЛ/ЛМЛ в настоящее время не существует, поскольку неизвестен этиологический фактор</w:t>
      </w:r>
      <w:r w:rsidR="005B033F" w:rsidRPr="005B033F">
        <w:rPr>
          <w:i/>
        </w:rPr>
        <w:t xml:space="preserve"> или факторы</w:t>
      </w:r>
      <w:r w:rsidRPr="005B033F">
        <w:rPr>
          <w:i/>
        </w:rPr>
        <w:t xml:space="preserve">, ведущие к развитию заболевания. </w:t>
      </w:r>
    </w:p>
    <w:p w14:paraId="28B3D2AB" w14:textId="2FDD0DAB" w:rsidR="002F6861" w:rsidRDefault="002F6861" w:rsidP="00D61785">
      <w:pPr>
        <w:pStyle w:val="a4"/>
        <w:numPr>
          <w:ilvl w:val="0"/>
          <w:numId w:val="50"/>
        </w:numPr>
        <w:spacing w:before="0"/>
      </w:pPr>
      <w:r>
        <w:lastRenderedPageBreak/>
        <w:t>Всем пациентам с ХЛЛ/ЛМЛ</w:t>
      </w:r>
      <w:r w:rsidR="008E393B">
        <w:t xml:space="preserve"> </w:t>
      </w:r>
      <w:r>
        <w:t>на</w:t>
      </w:r>
      <w:r w:rsidR="008E393B">
        <w:t xml:space="preserve"> </w:t>
      </w:r>
      <w:r w:rsidR="002728BA">
        <w:t xml:space="preserve">протяжении всей жизни </w:t>
      </w:r>
      <w:r w:rsidR="005A0BFC">
        <w:t>пациента</w:t>
      </w:r>
      <w:r w:rsidR="002728BA">
        <w:t xml:space="preserve"> </w:t>
      </w:r>
      <w:r w:rsidR="005B033F">
        <w:t>(</w:t>
      </w:r>
      <w:r w:rsidR="002728BA">
        <w:t xml:space="preserve">как в период лечения, так и вне </w:t>
      </w:r>
      <w:r w:rsidR="005B033F">
        <w:t>его)</w:t>
      </w:r>
      <w:r w:rsidR="002728BA">
        <w:t xml:space="preserve"> </w:t>
      </w:r>
      <w:r w:rsidRPr="006F4507">
        <w:rPr>
          <w:b/>
        </w:rPr>
        <w:t>рекомендуется</w:t>
      </w:r>
      <w:r w:rsidR="008E393B" w:rsidRPr="006F4507">
        <w:rPr>
          <w:b/>
        </w:rPr>
        <w:t xml:space="preserve"> </w:t>
      </w:r>
      <w:r w:rsidR="002728BA">
        <w:t xml:space="preserve">диспансерное наблюдение у </w:t>
      </w:r>
      <w:r w:rsidR="000D115E">
        <w:t>врача-</w:t>
      </w:r>
      <w:r w:rsidR="002728BA">
        <w:t>гематолога</w:t>
      </w:r>
      <w:r w:rsidRPr="00824F7E">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t xml:space="preserve">. </w:t>
      </w:r>
    </w:p>
    <w:p w14:paraId="15A5A16C" w14:textId="77777777" w:rsidR="001E3D61" w:rsidRPr="005B033F" w:rsidRDefault="001E3D61" w:rsidP="006F4507">
      <w:pPr>
        <w:ind w:left="426"/>
        <w:rPr>
          <w:b/>
          <w:spacing w:val="-4"/>
        </w:rPr>
      </w:pPr>
      <w:r w:rsidRPr="005B033F">
        <w:rPr>
          <w:b/>
          <w:spacing w:val="-4"/>
        </w:rPr>
        <w:t xml:space="preserve">Уровень убедительности </w:t>
      </w:r>
      <w:r w:rsidR="00C20509" w:rsidRPr="005B033F">
        <w:rPr>
          <w:b/>
          <w:spacing w:val="-4"/>
        </w:rPr>
        <w:t xml:space="preserve">рекомендаций – </w:t>
      </w:r>
      <w:r w:rsidRPr="005B033F">
        <w:rPr>
          <w:b/>
          <w:spacing w:val="-4"/>
        </w:rPr>
        <w:t xml:space="preserve">С (уровень достоверности </w:t>
      </w:r>
      <w:r w:rsidR="00C20509" w:rsidRPr="005B033F">
        <w:rPr>
          <w:b/>
          <w:spacing w:val="-4"/>
        </w:rPr>
        <w:t xml:space="preserve">доказательств – </w:t>
      </w:r>
      <w:r w:rsidRPr="005B033F">
        <w:rPr>
          <w:b/>
          <w:spacing w:val="-4"/>
        </w:rPr>
        <w:t>5).</w:t>
      </w:r>
    </w:p>
    <w:p w14:paraId="0E2E61A9" w14:textId="77777777" w:rsidR="00717FA6" w:rsidRDefault="00A81638" w:rsidP="005D3BBD">
      <w:pPr>
        <w:ind w:firstLine="426"/>
        <w:contextualSpacing/>
        <w:rPr>
          <w:i/>
        </w:rPr>
      </w:pPr>
      <w:r>
        <w:rPr>
          <w:b/>
        </w:rPr>
        <w:t>Комментарии</w:t>
      </w:r>
      <w:r w:rsidR="00EB3C81" w:rsidRPr="00B76E9B">
        <w:rPr>
          <w:b/>
        </w:rPr>
        <w:t>:</w:t>
      </w:r>
      <w:r w:rsidR="008E393B">
        <w:rPr>
          <w:b/>
        </w:rPr>
        <w:t xml:space="preserve"> </w:t>
      </w:r>
      <w:r w:rsidR="005B033F">
        <w:rPr>
          <w:i/>
        </w:rPr>
        <w:t>ч</w:t>
      </w:r>
      <w:r w:rsidR="00EB3C81">
        <w:rPr>
          <w:i/>
        </w:rPr>
        <w:t xml:space="preserve">астота наблюдения пациентов с ХЛЛ/ЛМЛ после завершения лечения законодательно не регламентирована. В течение </w:t>
      </w:r>
      <w:r w:rsidR="002358A9">
        <w:rPr>
          <w:i/>
        </w:rPr>
        <w:t>1-го</w:t>
      </w:r>
      <w:r w:rsidR="00EB3C81">
        <w:rPr>
          <w:i/>
        </w:rPr>
        <w:t xml:space="preserve"> года после завершения лечения пациент должен наблюдаться у гематолога не реже 1 раза в 3 </w:t>
      </w:r>
      <w:r w:rsidR="00F07AA9">
        <w:rPr>
          <w:i/>
        </w:rPr>
        <w:t>мес</w:t>
      </w:r>
      <w:r w:rsidR="00EB3C81">
        <w:rPr>
          <w:i/>
        </w:rPr>
        <w:t xml:space="preserve">. Далее частота наблюдения устанавливается гематологом индивидуально в зависимости от общего состояния и самочувствия пациента, осложнений проведенной терапии, достигнутого ответа на терапию, но не должна </w:t>
      </w:r>
      <w:r w:rsidR="002358A9">
        <w:rPr>
          <w:i/>
        </w:rPr>
        <w:t>составлять</w:t>
      </w:r>
      <w:r w:rsidR="00EB3C81">
        <w:rPr>
          <w:i/>
        </w:rPr>
        <w:t xml:space="preserve"> </w:t>
      </w:r>
      <w:r w:rsidR="002358A9">
        <w:rPr>
          <w:i/>
        </w:rPr>
        <w:t>менее</w:t>
      </w:r>
      <w:r w:rsidR="00EB3C81">
        <w:rPr>
          <w:i/>
        </w:rPr>
        <w:t xml:space="preserve"> 1 раза в год.</w:t>
      </w:r>
    </w:p>
    <w:p w14:paraId="2465576E" w14:textId="77777777" w:rsidR="00717FA6" w:rsidRDefault="00717FA6" w:rsidP="00830EF8">
      <w:pPr>
        <w:contextualSpacing/>
        <w:rPr>
          <w:i/>
        </w:rPr>
      </w:pPr>
      <w:r>
        <w:rPr>
          <w:i/>
        </w:rPr>
        <w:t xml:space="preserve">При диспансерном наблюдении кроме осмотра пациента и сбора анамнеза необходимо выполнять общий анализ крови с исследованием лейкоцитарной формулы, а также, если заболевание сопровождалось лимфаденопатией, инструментальное исследование периферических </w:t>
      </w:r>
      <w:r w:rsidR="00C20509" w:rsidRPr="00C20509">
        <w:rPr>
          <w:i/>
          <w:spacing w:val="-2"/>
        </w:rPr>
        <w:t>лимфатических узлов</w:t>
      </w:r>
      <w:r w:rsidR="00C20509">
        <w:rPr>
          <w:i/>
        </w:rPr>
        <w:t xml:space="preserve"> </w:t>
      </w:r>
      <w:r>
        <w:rPr>
          <w:i/>
        </w:rPr>
        <w:t xml:space="preserve">(УЗИ или КТ). Остальные методы обследования могут применяться </w:t>
      </w:r>
      <w:r w:rsidR="002358A9">
        <w:rPr>
          <w:i/>
        </w:rPr>
        <w:t>по</w:t>
      </w:r>
      <w:r>
        <w:rPr>
          <w:i/>
        </w:rPr>
        <w:t xml:space="preserve"> усмотрени</w:t>
      </w:r>
      <w:r w:rsidR="002358A9">
        <w:rPr>
          <w:i/>
        </w:rPr>
        <w:t>ю</w:t>
      </w:r>
      <w:r>
        <w:rPr>
          <w:i/>
        </w:rPr>
        <w:t xml:space="preserve"> гематолога.</w:t>
      </w:r>
    </w:p>
    <w:p w14:paraId="5ED7D1EE" w14:textId="279EDB3E" w:rsidR="000D5099" w:rsidRPr="005D3BBD" w:rsidRDefault="000D5099" w:rsidP="00D61785">
      <w:pPr>
        <w:pStyle w:val="a4"/>
        <w:numPr>
          <w:ilvl w:val="0"/>
          <w:numId w:val="50"/>
        </w:numPr>
        <w:spacing w:before="0"/>
      </w:pPr>
      <w:r w:rsidRPr="004E145E">
        <w:t xml:space="preserve">Пациентам, </w:t>
      </w:r>
      <w:r w:rsidR="002358A9">
        <w:t xml:space="preserve">у </w:t>
      </w:r>
      <w:r w:rsidRPr="004E145E">
        <w:t>которы</w:t>
      </w:r>
      <w:r w:rsidR="002358A9">
        <w:t>х</w:t>
      </w:r>
      <w:r w:rsidRPr="004E145E">
        <w:t xml:space="preserve"> проводилось</w:t>
      </w:r>
      <w:r>
        <w:t>/проводится</w:t>
      </w:r>
      <w:r w:rsidRPr="004E145E">
        <w:t xml:space="preserve"> лечение </w:t>
      </w:r>
      <w:r>
        <w:t xml:space="preserve">по поводу ХЛЛ/ЛМЛ, </w:t>
      </w:r>
      <w:r w:rsidRPr="006F4507">
        <w:rPr>
          <w:b/>
          <w:bCs/>
        </w:rPr>
        <w:t>рекомендуется</w:t>
      </w:r>
      <w:r w:rsidRPr="004E145E">
        <w:t xml:space="preserve"> проведени</w:t>
      </w:r>
      <w:r>
        <w:t>е регулярных</w:t>
      </w:r>
      <w:r w:rsidRPr="004E145E">
        <w:t xml:space="preserve"> плановых скрининговых обследований из-за повышенного риска развития вторых опухолей</w:t>
      </w:r>
      <w:r w:rsidR="00D4168D" w:rsidRPr="00D4168D">
        <w:t xml:space="preserve"> </w:t>
      </w:r>
      <w:r w:rsidR="000B0AC3">
        <w:fldChar w:fldCharType="begin" w:fldLock="1"/>
      </w:r>
      <w:r w:rsidR="00BA7FFC">
        <w:instrText>ADDIN CSL_CITATION {"citationItems":[{"id":"ITEM-1","itemData":{"author":[{"dropping-particle":"","family":"Reda","given":"Gianluigi","non-dropping-particle":"","parse-names":false,"suffix":""},{"dropping-particle":"","family":"Fattizzo","given":"Bruno","non-dropping-particle":"","parse-names":false,"suffix":""},{"dropping-particle":"","family":"Cassin","given":"Ramona","non-dropping-particle":"","parse-names":false,"suffix":""},{"dropping-particle":"","family":"Orofino","given":"Nicola","non-dropping-particle":"","parse-names":false,"suffix":""},{"dropping-particle":"","family":"Flospergher","given":"Elena","non-dropping-particle":"","parse-names":false,"suffix":""},{"dropping-particle":"","family":"Iurlo","given":"Alessandra","non-dropping-particle":"","parse-names":false,"suffix":""},{"dropping-particle":"","family":"Barcellini","given":"Wilma","non-dropping-particle":"","parse-names":false,"suffix":""},{"dropping-particle":"","family":"Cortelezzi","given":"Agostino","non-dropping-particle":"","parse-names":false,"suffix":""}],"container-title":"Blood","id":"ITEM-1","issue":"23","issued":{"date-parts":[["2015"]]},"title":"Secondary Malignancies in Chronic Lymphocytic Leukemia: A Single Centre Retrospective Analysis of 514 Cases","type":"article-journal","volume":"126"},"uris":["http://www.mendeley.com/documents/?uuid=4d73b34e-55a9-327f-b877-8efc4c0468ad"]},{"id":"ITEM-2","itemData":{"DOI":"10.1038/bjc.2013.381","ISSN":"1532-1827","PMID":"23860531","abstract":"BACKGROUND Chronic lymphocytic leukaemia (CLL) patients have an increased risk of other malignancies. This may be due to surveillance bias, treatment or immunosuppression. METHODS Cohort study of 612 consecutively diagnosed CLL patients in a Canadian province, with comparisons to follicular lymphoma (FL) patients. RESULTS Treated CLL patients had a 1.7-fold increased risk of second cancers compared with untreated CLL patients. As compared with untreated FL patients, untreated CLL patients had a two-fold increased incidence of second malignancies. CONCLUSION Chronic lymphocytic leukaemia patients have an inherent predisposition to second cancers and the incidence is further increased by treatment.","author":[{"dropping-particle":"","family":"Beiggi","given":"S","non-dropping-particle":"","parse-names":false,"suffix":""},{"dropping-particle":"","family":"Johnston","given":"J B","non-dropping-particle":"","parse-names":false,"suffix":""},{"dropping-particle":"","family":"Seftel","given":"M D","non-dropping-particle":"","parse-names":false,"suffix":""},{"dropping-particle":"","family":"Pitz","given":"M W","non-dropping-particle":"","parse-names":false,"suffix":""},{"dropping-particle":"","family":"Kumar","given":"R","non-dropping-particle":"","parse-names":false,"suffix":""},{"dropping-particle":"","family":"Banerji","given":"V","non-dropping-particle":"","parse-names":false,"suffix":""},{"dropping-particle":"","family":"Griffith","given":"E J","non-dropping-particle":"","parse-names":false,"suffix":""},{"dropping-particle":"","family":"Gibson","given":"S B","non-dropping-particle":"","parse-names":false,"suffix":""}],"container-title":"British journal of cancer","id":"ITEM-2","issue":"5","issued":{"date-parts":[["2013","9","3"]]},"page":"1287-90","title":"Increased risk of second malignancies in chronic lymphocytic leukaemia patients as compared with follicular lymphoma patients: a Canadian population-based study.","type":"article-journal","volume":"109"},"uris":["http://www.mendeley.com/documents/?uuid=db34b915-3bcd-301d-88f6-454cf8a61069"]}],"mendeley":{"formattedCitation":"[73,74]","plainTextFormattedCitation":"[73,74]","previouslyFormattedCitation":"[73,74]"},"properties":{"noteIndex":0},"schema":"https://github.com/citation-style-language/schema/raw/master/csl-citation.json"}</w:instrText>
      </w:r>
      <w:r w:rsidR="000B0AC3">
        <w:fldChar w:fldCharType="separate"/>
      </w:r>
      <w:r w:rsidR="00225D7F" w:rsidRPr="00225D7F">
        <w:rPr>
          <w:noProof/>
        </w:rPr>
        <w:t>[73,74]</w:t>
      </w:r>
      <w:r w:rsidR="000B0AC3">
        <w:fldChar w:fldCharType="end"/>
      </w:r>
      <w:r w:rsidRPr="004E145E">
        <w:t>.</w:t>
      </w:r>
    </w:p>
    <w:p w14:paraId="189D6F6E" w14:textId="77777777" w:rsidR="0025616A" w:rsidRPr="002358A9" w:rsidRDefault="000D5099" w:rsidP="006F4507">
      <w:pPr>
        <w:ind w:left="426"/>
        <w:contextualSpacing/>
        <w:rPr>
          <w:b/>
          <w:spacing w:val="-4"/>
        </w:rPr>
      </w:pPr>
      <w:r w:rsidRPr="002358A9">
        <w:rPr>
          <w:b/>
          <w:spacing w:val="-4"/>
        </w:rPr>
        <w:t xml:space="preserve">Уровень убедительности </w:t>
      </w:r>
      <w:r w:rsidR="00C20509" w:rsidRPr="002358A9">
        <w:rPr>
          <w:b/>
          <w:spacing w:val="-4"/>
        </w:rPr>
        <w:t xml:space="preserve">рекомендаций – </w:t>
      </w:r>
      <w:r w:rsidR="00752513">
        <w:rPr>
          <w:b/>
          <w:spacing w:val="-4"/>
        </w:rPr>
        <w:t>В</w:t>
      </w:r>
      <w:r w:rsidR="00752513" w:rsidRPr="002358A9">
        <w:rPr>
          <w:b/>
          <w:spacing w:val="-4"/>
        </w:rPr>
        <w:t xml:space="preserve"> </w:t>
      </w:r>
      <w:r w:rsidRPr="002358A9">
        <w:rPr>
          <w:b/>
          <w:spacing w:val="-4"/>
        </w:rPr>
        <w:t xml:space="preserve">(уровень достоверности </w:t>
      </w:r>
      <w:r w:rsidR="00C20509" w:rsidRPr="002358A9">
        <w:rPr>
          <w:b/>
          <w:spacing w:val="-4"/>
        </w:rPr>
        <w:t xml:space="preserve">доказательств – </w:t>
      </w:r>
      <w:r w:rsidR="00752513">
        <w:rPr>
          <w:b/>
          <w:spacing w:val="-4"/>
        </w:rPr>
        <w:t>3</w:t>
      </w:r>
      <w:r w:rsidR="00560CBA" w:rsidRPr="002358A9">
        <w:rPr>
          <w:b/>
          <w:spacing w:val="-4"/>
        </w:rPr>
        <w:t>)</w:t>
      </w:r>
      <w:r w:rsidR="002358A9" w:rsidRPr="002358A9">
        <w:rPr>
          <w:b/>
          <w:spacing w:val="-4"/>
        </w:rPr>
        <w:t>.</w:t>
      </w:r>
    </w:p>
    <w:p w14:paraId="6AC88BE0" w14:textId="77777777" w:rsidR="0025616A" w:rsidRPr="00DB46A1" w:rsidRDefault="00824F7E" w:rsidP="005D3BBD">
      <w:pPr>
        <w:pStyle w:val="1"/>
        <w:spacing w:before="0" w:after="0"/>
        <w:rPr>
          <w:sz w:val="24"/>
          <w:szCs w:val="24"/>
        </w:rPr>
      </w:pPr>
      <w:bookmarkStart w:id="67" w:name="_Toc23601733"/>
      <w:bookmarkStart w:id="68" w:name="_Toc65068815"/>
      <w:r w:rsidRPr="00DB46A1">
        <w:rPr>
          <w:sz w:val="24"/>
          <w:szCs w:val="24"/>
        </w:rPr>
        <w:t>6</w:t>
      </w:r>
      <w:r w:rsidR="0025616A" w:rsidRPr="00DB46A1">
        <w:rPr>
          <w:sz w:val="24"/>
          <w:szCs w:val="24"/>
        </w:rPr>
        <w:t xml:space="preserve">. </w:t>
      </w:r>
      <w:r w:rsidR="0025616A" w:rsidRPr="005A463A">
        <w:t>Организация</w:t>
      </w:r>
      <w:r w:rsidR="00FD2083">
        <w:t xml:space="preserve"> оказания</w:t>
      </w:r>
      <w:r w:rsidR="00F30B3C" w:rsidRPr="005A463A">
        <w:t xml:space="preserve"> </w:t>
      </w:r>
      <w:r w:rsidR="0025616A" w:rsidRPr="005A463A">
        <w:t>медицинской помощи</w:t>
      </w:r>
      <w:bookmarkEnd w:id="67"/>
      <w:bookmarkEnd w:id="68"/>
    </w:p>
    <w:p w14:paraId="2AAB0411" w14:textId="77777777" w:rsidR="003028FA" w:rsidRPr="00C40CE5" w:rsidRDefault="003028FA" w:rsidP="005D3BBD">
      <w:pPr>
        <w:ind w:firstLine="709"/>
        <w:rPr>
          <w:color w:val="000000"/>
        </w:rPr>
      </w:pPr>
      <w:r w:rsidRPr="00C40CE5">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7DC7C508" w14:textId="77777777" w:rsidR="003028FA" w:rsidRPr="00C40CE5" w:rsidRDefault="003028FA" w:rsidP="00D61785">
      <w:pPr>
        <w:pStyle w:val="a4"/>
        <w:numPr>
          <w:ilvl w:val="0"/>
          <w:numId w:val="26"/>
        </w:numPr>
        <w:spacing w:before="0"/>
        <w:ind w:left="993"/>
        <w:rPr>
          <w:color w:val="000000"/>
        </w:rPr>
      </w:pPr>
      <w:r w:rsidRPr="00C40CE5">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73DEC155" w14:textId="77777777" w:rsidR="003028FA" w:rsidRPr="00C40CE5" w:rsidRDefault="003028FA" w:rsidP="00D61785">
      <w:pPr>
        <w:pStyle w:val="a4"/>
        <w:numPr>
          <w:ilvl w:val="0"/>
          <w:numId w:val="26"/>
        </w:numPr>
        <w:spacing w:before="0"/>
        <w:ind w:left="993"/>
        <w:rPr>
          <w:color w:val="000000"/>
        </w:rPr>
      </w:pPr>
      <w:r w:rsidRPr="00C40CE5">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43ABDCC7" w14:textId="77777777" w:rsidR="003028FA" w:rsidRPr="00C40CE5" w:rsidRDefault="003028FA" w:rsidP="00D61785">
      <w:pPr>
        <w:pStyle w:val="a4"/>
        <w:numPr>
          <w:ilvl w:val="0"/>
          <w:numId w:val="26"/>
        </w:numPr>
        <w:spacing w:before="0"/>
        <w:ind w:left="993"/>
        <w:rPr>
          <w:color w:val="000000"/>
        </w:rPr>
      </w:pPr>
      <w:r w:rsidRPr="00C40CE5">
        <w:rPr>
          <w:color w:val="000000"/>
        </w:rPr>
        <w:t>на основе настоящих клинических рекомендаций;</w:t>
      </w:r>
    </w:p>
    <w:p w14:paraId="3341A4B9" w14:textId="77777777" w:rsidR="003028FA" w:rsidRPr="00C40CE5" w:rsidRDefault="003028FA" w:rsidP="00D61785">
      <w:pPr>
        <w:pStyle w:val="a4"/>
        <w:numPr>
          <w:ilvl w:val="0"/>
          <w:numId w:val="26"/>
        </w:numPr>
        <w:spacing w:before="0"/>
        <w:ind w:left="993"/>
        <w:rPr>
          <w:color w:val="000000"/>
        </w:rPr>
      </w:pPr>
      <w:r w:rsidRPr="00C40CE5">
        <w:rPr>
          <w:color w:val="000000"/>
        </w:rPr>
        <w:t>с учетом стандартов медицинской помощи, утвержденных уполномоченным федеральным органом исполнительной власти.</w:t>
      </w:r>
    </w:p>
    <w:p w14:paraId="78590C4B" w14:textId="77777777" w:rsidR="003028FA" w:rsidRPr="00C40CE5" w:rsidRDefault="003028FA" w:rsidP="00E92E00">
      <w:pPr>
        <w:ind w:firstLine="709"/>
        <w:rPr>
          <w:color w:val="000000"/>
        </w:rPr>
      </w:pPr>
      <w:r w:rsidRPr="00C40CE5">
        <w:rPr>
          <w:color w:val="000000"/>
        </w:rPr>
        <w:lastRenderedPageBreak/>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0B399734" w14:textId="77777777" w:rsidR="003028FA" w:rsidRPr="00C40CE5" w:rsidRDefault="003028FA" w:rsidP="00E92E00">
      <w:pPr>
        <w:ind w:firstLine="709"/>
        <w:rPr>
          <w:color w:val="000000"/>
        </w:rPr>
      </w:pPr>
      <w:r w:rsidRPr="00C40CE5">
        <w:rPr>
          <w:color w:val="000000"/>
        </w:rPr>
        <w:t xml:space="preserve">При выявлении у </w:t>
      </w:r>
      <w:r>
        <w:rPr>
          <w:color w:val="000000"/>
        </w:rPr>
        <w:t xml:space="preserve">пациента </w:t>
      </w:r>
      <w:r>
        <w:t>ХЛЛ/ЛМЛ</w:t>
      </w:r>
      <w:r w:rsidRPr="00C40CE5">
        <w:rPr>
          <w:color w:val="000000"/>
        </w:rPr>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w:t>
      </w:r>
      <w:r>
        <w:rPr>
          <w:color w:val="000000"/>
        </w:rPr>
        <w:t xml:space="preserve">пациента </w:t>
      </w:r>
      <w:r w:rsidRPr="00C40CE5">
        <w:rPr>
          <w:color w:val="000000"/>
        </w:rPr>
        <w:t>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3B6A6668" w14:textId="77777777" w:rsidR="003028FA" w:rsidRPr="00C40CE5" w:rsidRDefault="003028FA" w:rsidP="00E92E00">
      <w:pPr>
        <w:ind w:firstLine="709"/>
        <w:rPr>
          <w:color w:val="000000"/>
        </w:rPr>
      </w:pPr>
      <w:r w:rsidRPr="00C40CE5">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7BE76650" w14:textId="77777777" w:rsidR="003028FA" w:rsidRPr="00C40CE5" w:rsidRDefault="003028FA" w:rsidP="00B04401">
      <w:pPr>
        <w:ind w:firstLine="709"/>
        <w:rPr>
          <w:color w:val="000000"/>
        </w:rPr>
      </w:pPr>
      <w:r w:rsidRPr="00C40CE5">
        <w:rPr>
          <w:color w:val="000000"/>
        </w:rPr>
        <w:t xml:space="preserve">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w:t>
      </w:r>
      <w:r>
        <w:rPr>
          <w:color w:val="000000"/>
        </w:rPr>
        <w:t xml:space="preserve">пациентам </w:t>
      </w:r>
      <w:r w:rsidRPr="00C40CE5">
        <w:rPr>
          <w:color w:val="000000"/>
        </w:rPr>
        <w:t>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774D16A7" w14:textId="77777777" w:rsidR="003028FA" w:rsidRPr="00C40CE5" w:rsidRDefault="003028FA" w:rsidP="00B04401">
      <w:pPr>
        <w:ind w:firstLine="709"/>
        <w:rPr>
          <w:color w:val="000000"/>
        </w:rPr>
      </w:pPr>
      <w:r w:rsidRPr="00C40CE5">
        <w:rPr>
          <w:color w:val="000000"/>
        </w:rPr>
        <w:t xml:space="preserve">При выявлении </w:t>
      </w:r>
      <w:r>
        <w:t>ХЛЛ/ЛМЛ</w:t>
      </w:r>
      <w:r w:rsidRPr="00C40CE5">
        <w:rPr>
          <w:color w:val="000000"/>
        </w:rPr>
        <w:t xml:space="preserve"> или подозрении на него в ходе оказания скорой медицинской помощи </w:t>
      </w:r>
      <w:r>
        <w:rPr>
          <w:color w:val="000000"/>
        </w:rPr>
        <w:t xml:space="preserve">пациента </w:t>
      </w:r>
      <w:r w:rsidRPr="00C40CE5">
        <w:rPr>
          <w:color w:val="000000"/>
        </w:rPr>
        <w:t xml:space="preserve">переводят или направляют в медицинские организации, оказывающие медицинскую помощь </w:t>
      </w:r>
      <w:r>
        <w:rPr>
          <w:color w:val="000000"/>
        </w:rPr>
        <w:t xml:space="preserve">пациентам </w:t>
      </w:r>
      <w:r w:rsidRPr="00C40CE5">
        <w:rPr>
          <w:color w:val="000000"/>
        </w:rPr>
        <w:t>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636AEDCA" w14:textId="77777777" w:rsidR="003028FA" w:rsidRPr="00C40CE5" w:rsidRDefault="003028FA" w:rsidP="00B04401">
      <w:pPr>
        <w:ind w:firstLine="709"/>
        <w:rPr>
          <w:color w:val="000000"/>
        </w:rPr>
      </w:pPr>
      <w:r w:rsidRPr="00C40CE5">
        <w:rPr>
          <w:color w:val="000000"/>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w:t>
      </w:r>
      <w:r>
        <w:rPr>
          <w:color w:val="000000"/>
        </w:rPr>
        <w:t xml:space="preserve">пациентам с </w:t>
      </w:r>
      <w:r>
        <w:t>ХЛЛ/ЛМЛ</w:t>
      </w:r>
      <w:r w:rsidRPr="00C40CE5">
        <w:rPr>
          <w:color w:val="000000"/>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18315898" w14:textId="77777777" w:rsidR="003028FA" w:rsidRPr="00C40CE5" w:rsidRDefault="003028FA" w:rsidP="00B04401">
      <w:pPr>
        <w:ind w:firstLine="709"/>
        <w:rPr>
          <w:color w:val="000000"/>
        </w:rPr>
      </w:pPr>
      <w:r w:rsidRPr="00C40CE5">
        <w:rPr>
          <w:color w:val="000000"/>
        </w:rPr>
        <w:t xml:space="preserve">В медицинской организации, оказывающей медицинскую помощь </w:t>
      </w:r>
      <w:r>
        <w:rPr>
          <w:color w:val="000000"/>
        </w:rPr>
        <w:t xml:space="preserve">пациентам с </w:t>
      </w:r>
      <w:r>
        <w:t>ХЛЛ/ЛМЛ</w:t>
      </w:r>
      <w:r w:rsidRPr="00C40CE5">
        <w:rPr>
          <w:color w:val="000000"/>
        </w:rPr>
        <w:t xml:space="preserve">,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w:t>
      </w:r>
      <w:r w:rsidRPr="00C40CE5">
        <w:rPr>
          <w:color w:val="000000"/>
        </w:rPr>
        <w:lastRenderedPageBreak/>
        <w:t xml:space="preserve">протоколом, подписывается участниками консилиума врачей и вносится в медицинскую документацию </w:t>
      </w:r>
      <w:r>
        <w:rPr>
          <w:color w:val="000000"/>
        </w:rPr>
        <w:t>пациента</w:t>
      </w:r>
      <w:r w:rsidRPr="00C40CE5">
        <w:rPr>
          <w:color w:val="000000"/>
        </w:rPr>
        <w:t>.</w:t>
      </w:r>
    </w:p>
    <w:p w14:paraId="38207C83" w14:textId="77777777" w:rsidR="003028FA" w:rsidRPr="00C40CE5" w:rsidRDefault="003028FA" w:rsidP="003F5F47">
      <w:pPr>
        <w:ind w:firstLine="709"/>
        <w:rPr>
          <w:color w:val="000000"/>
        </w:rPr>
      </w:pPr>
      <w:r w:rsidRPr="00C40CE5">
        <w:rPr>
          <w:color w:val="000000"/>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51557765" w14:textId="77777777" w:rsidR="00230E59" w:rsidRPr="00A04E7F" w:rsidRDefault="00230E59" w:rsidP="003F5F47">
      <w:pPr>
        <w:pStyle w:val="14"/>
        <w:contextualSpacing/>
        <w:rPr>
          <w:b/>
        </w:rPr>
      </w:pPr>
      <w:r w:rsidRPr="00A04E7F">
        <w:rPr>
          <w:b/>
        </w:rPr>
        <w:t xml:space="preserve">Показания </w:t>
      </w:r>
      <w:r>
        <w:rPr>
          <w:b/>
        </w:rPr>
        <w:t>к</w:t>
      </w:r>
      <w:r w:rsidRPr="00A04E7F">
        <w:rPr>
          <w:b/>
        </w:rPr>
        <w:t xml:space="preserve"> экстренной госпитализации: </w:t>
      </w:r>
    </w:p>
    <w:p w14:paraId="56D2344F" w14:textId="77777777" w:rsidR="00230E59" w:rsidRDefault="00230E59" w:rsidP="003F5F47">
      <w:pPr>
        <w:pStyle w:val="14"/>
        <w:contextualSpacing/>
      </w:pPr>
      <w:r>
        <w:t>1.</w:t>
      </w:r>
      <w:r>
        <w:tab/>
        <w:t>Развитие тяжелой инфекции (необязательна госпитализация в гематологический стационар).</w:t>
      </w:r>
    </w:p>
    <w:p w14:paraId="592D93A3" w14:textId="77777777" w:rsidR="00230E59" w:rsidRDefault="00230E59" w:rsidP="003F5F47">
      <w:pPr>
        <w:pStyle w:val="14"/>
        <w:contextualSpacing/>
      </w:pPr>
      <w:r>
        <w:t>2.</w:t>
      </w:r>
      <w:r>
        <w:tab/>
        <w:t>Развитие угрожающих жизни цитопений (глубокой анемии, геморрагического синдрома, нейтропении).</w:t>
      </w:r>
    </w:p>
    <w:p w14:paraId="4485C55B" w14:textId="77777777" w:rsidR="00230E59" w:rsidRDefault="00230E59">
      <w:pPr>
        <w:pStyle w:val="14"/>
        <w:contextualSpacing/>
      </w:pPr>
      <w:r>
        <w:t>3.</w:t>
      </w:r>
      <w:r>
        <w:tab/>
        <w:t xml:space="preserve">Развитие осложнений ХЛЛ, включая синдром Рихтера, симптоматическую лимфаденопатию и органомегалию с риском развития тяжелых осложнений, нейролейкемию, специфический плеврит и хилоторакс с признаками дыхательной недостаточности, паранеопластические и аутоиммунные синдромы, другие осложнения, угрожающие жизни. </w:t>
      </w:r>
    </w:p>
    <w:p w14:paraId="5AF11889" w14:textId="77777777" w:rsidR="00230E59" w:rsidRPr="00CC5156" w:rsidRDefault="00230E59">
      <w:pPr>
        <w:pStyle w:val="14"/>
        <w:contextualSpacing/>
      </w:pPr>
      <w:r>
        <w:t>4.</w:t>
      </w:r>
      <w:r>
        <w:tab/>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14:paraId="6E472FDC" w14:textId="77777777" w:rsidR="00230E59" w:rsidRPr="00A04E7F" w:rsidRDefault="00230E59" w:rsidP="005D3BBD">
      <w:pPr>
        <w:pStyle w:val="14"/>
        <w:contextualSpacing/>
        <w:rPr>
          <w:b/>
        </w:rPr>
      </w:pPr>
      <w:r w:rsidRPr="00A04E7F">
        <w:rPr>
          <w:b/>
        </w:rPr>
        <w:t xml:space="preserve">Показания </w:t>
      </w:r>
      <w:r>
        <w:rPr>
          <w:b/>
        </w:rPr>
        <w:t>к</w:t>
      </w:r>
      <w:r w:rsidRPr="00A04E7F">
        <w:rPr>
          <w:b/>
        </w:rPr>
        <w:t xml:space="preserve"> плановой госпитализации: </w:t>
      </w:r>
    </w:p>
    <w:p w14:paraId="3C0400EF" w14:textId="77777777" w:rsidR="00230E59" w:rsidRDefault="00230E59" w:rsidP="004E3A70">
      <w:pPr>
        <w:pStyle w:val="14"/>
        <w:contextualSpacing/>
      </w:pPr>
      <w:r>
        <w:t>1.</w:t>
      </w:r>
      <w:r>
        <w:tab/>
        <w:t>Проведение терапии в случаях, требующих круглосуточного наблюдения за пациентом по причине тяжести состояния, обусловленного опухолью, или по причине риска осложнений, связанных с программой лечения или сопутствующими заболеваниями.</w:t>
      </w:r>
    </w:p>
    <w:p w14:paraId="00A4ADF7" w14:textId="77777777" w:rsidR="00230E59" w:rsidRDefault="00230E59" w:rsidP="00830EF8">
      <w:pPr>
        <w:pStyle w:val="14"/>
        <w:contextualSpacing/>
      </w:pPr>
      <w:r>
        <w:t>2.</w:t>
      </w:r>
      <w:r>
        <w:tab/>
        <w:t>Обследование пациента, включающее биопсию и инвазивные вмешательства, в случаях, когда оно не может быть проведено амбулаторно.</w:t>
      </w:r>
    </w:p>
    <w:p w14:paraId="48B287BD" w14:textId="77777777" w:rsidR="00230E59" w:rsidRPr="00FF55B2" w:rsidRDefault="00230E59" w:rsidP="00830EF8">
      <w:pPr>
        <w:rPr>
          <w:b/>
        </w:rPr>
      </w:pPr>
      <w:r w:rsidRPr="00FF55B2">
        <w:rPr>
          <w:b/>
        </w:rPr>
        <w:t>Показания к выписке пациента из медицинской организации:</w:t>
      </w:r>
    </w:p>
    <w:p w14:paraId="040E418B" w14:textId="77777777" w:rsidR="00230E59" w:rsidRDefault="00FF55B2" w:rsidP="00D61785">
      <w:pPr>
        <w:pStyle w:val="a4"/>
        <w:numPr>
          <w:ilvl w:val="0"/>
          <w:numId w:val="27"/>
        </w:numPr>
        <w:tabs>
          <w:tab w:val="left" w:pos="1134"/>
        </w:tabs>
        <w:spacing w:before="0"/>
      </w:pPr>
      <w:r>
        <w:t>З</w:t>
      </w:r>
      <w:r w:rsidR="00230E59">
        <w:t>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w:t>
      </w:r>
      <w:r>
        <w:t>тельств в стационарных условиях.</w:t>
      </w:r>
    </w:p>
    <w:p w14:paraId="31F5354F" w14:textId="77777777" w:rsidR="00230E59" w:rsidRDefault="00FF55B2" w:rsidP="00D61785">
      <w:pPr>
        <w:pStyle w:val="a4"/>
        <w:numPr>
          <w:ilvl w:val="0"/>
          <w:numId w:val="27"/>
        </w:numPr>
        <w:tabs>
          <w:tab w:val="left" w:pos="1134"/>
        </w:tabs>
        <w:spacing w:before="0"/>
      </w:pPr>
      <w:r>
        <w:t>О</w:t>
      </w:r>
      <w:r w:rsidR="00230E59">
        <w:t xml:space="preserve">тказ </w:t>
      </w:r>
      <w:r w:rsidR="008253CD">
        <w:t xml:space="preserve">пациента </w:t>
      </w:r>
      <w:r w:rsidR="00230E59">
        <w:t xml:space="preserve">или его законного представителя от специализированной, в том числе высокотехнологичной, медицинской помощи в условиях круглосуточного или </w:t>
      </w:r>
      <w:r w:rsidR="00230E59">
        <w:lastRenderedPageBreak/>
        <w:t>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w:t>
      </w:r>
      <w:r>
        <w:t>тельств в стационарных условиях.</w:t>
      </w:r>
    </w:p>
    <w:p w14:paraId="270AD9F0" w14:textId="77777777" w:rsidR="00FF55B2" w:rsidRDefault="00FF55B2" w:rsidP="00D61785">
      <w:pPr>
        <w:pStyle w:val="a4"/>
        <w:numPr>
          <w:ilvl w:val="0"/>
          <w:numId w:val="27"/>
        </w:numPr>
        <w:tabs>
          <w:tab w:val="left" w:pos="1134"/>
        </w:tabs>
        <w:spacing w:before="0"/>
      </w:pPr>
      <w:r>
        <w:t>Н</w:t>
      </w:r>
      <w:r w:rsidR="00230E59">
        <w:t xml:space="preserve">еобходимость перевода </w:t>
      </w:r>
      <w:r w:rsidR="008253CD">
        <w:t xml:space="preserve">пациента </w:t>
      </w:r>
      <w:r w:rsidR="00230E59">
        <w:t>в другую медицинскую организацию по соответствующему профилю оказания медицинской помощи.</w:t>
      </w:r>
    </w:p>
    <w:p w14:paraId="6657958A" w14:textId="77777777" w:rsidR="00FF55B2" w:rsidRDefault="00FF55B2" w:rsidP="00D61785">
      <w:pPr>
        <w:pStyle w:val="a4"/>
        <w:numPr>
          <w:ilvl w:val="0"/>
          <w:numId w:val="27"/>
        </w:numPr>
        <w:tabs>
          <w:tab w:val="left" w:pos="1134"/>
        </w:tabs>
        <w:spacing w:before="0"/>
      </w:pPr>
      <w:r w:rsidRPr="00FF55B2">
        <w:t>Решение врачебной комиссии об отсутствии показаний к пребыванию пациента в стационаре в связи с бесперспективностью лечения и необходимостью оказания только паллиативной помощи.</w:t>
      </w:r>
    </w:p>
    <w:p w14:paraId="4910C8AB" w14:textId="77777777" w:rsidR="00230E59" w:rsidRDefault="00230E59" w:rsidP="00B04401">
      <w:pPr>
        <w:ind w:firstLine="709"/>
      </w:pPr>
      <w:r>
        <w:t xml:space="preserve">Заключение о целесообразности перевода </w:t>
      </w:r>
      <w:r w:rsidR="008253CD">
        <w:t xml:space="preserve">пациента </w:t>
      </w:r>
      <w:r>
        <w:t xml:space="preserve">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w:t>
      </w:r>
      <w:r w:rsidR="008253CD">
        <w:t xml:space="preserve">пациента </w:t>
      </w:r>
      <w:r>
        <w:t>врачами специалистами медицинской организации, в которую планируется перевод.</w:t>
      </w:r>
    </w:p>
    <w:p w14:paraId="23EF136D" w14:textId="77777777" w:rsidR="00FD2083" w:rsidRDefault="000B3F2E" w:rsidP="005D3BBD">
      <w:pPr>
        <w:pStyle w:val="1"/>
        <w:spacing w:before="0" w:after="0"/>
        <w:rPr>
          <w:rFonts w:eastAsia="GalsLightC"/>
        </w:rPr>
      </w:pPr>
      <w:bookmarkStart w:id="69" w:name="_Toc65068816"/>
      <w:bookmarkStart w:id="70" w:name="_Toc520213128"/>
      <w:r>
        <w:rPr>
          <w:rFonts w:eastAsia="GalsLightC"/>
        </w:rPr>
        <w:t xml:space="preserve">7. </w:t>
      </w:r>
      <w:bookmarkStart w:id="71" w:name="_Toc24120271"/>
      <w:r w:rsidR="00FD2083" w:rsidRPr="00E826DF">
        <w:rPr>
          <w:rFonts w:eastAsia="GalsLightC"/>
        </w:rPr>
        <w:t>Дополнительная информация (в том числе факторы, влияющие на исход заболевания или состояния)</w:t>
      </w:r>
      <w:bookmarkEnd w:id="69"/>
      <w:bookmarkEnd w:id="71"/>
    </w:p>
    <w:p w14:paraId="25C90521" w14:textId="77777777" w:rsidR="00145A85" w:rsidRDefault="00145A85" w:rsidP="005D3BBD">
      <w:pPr>
        <w:pStyle w:val="2"/>
        <w:spacing w:before="0"/>
      </w:pPr>
      <w:bookmarkStart w:id="72" w:name="_Toc65068817"/>
      <w:r>
        <w:t>7.1. Стадирование лимфомы из малых лимфоцитов</w:t>
      </w:r>
      <w:bookmarkEnd w:id="72"/>
      <w:r>
        <w:tab/>
      </w:r>
    </w:p>
    <w:p w14:paraId="2BD6963C" w14:textId="77777777" w:rsidR="00145A85" w:rsidRPr="00B033C3" w:rsidRDefault="00145A85" w:rsidP="004E3A70">
      <w:pPr>
        <w:ind w:firstLine="567"/>
        <w:rPr>
          <w:bCs/>
          <w:lang w:eastAsia="ru-RU"/>
        </w:rPr>
      </w:pPr>
      <w:r w:rsidRPr="0083297F">
        <w:rPr>
          <w:bCs/>
          <w:lang w:eastAsia="ru-RU"/>
        </w:rPr>
        <w:t xml:space="preserve">Стадирование </w:t>
      </w:r>
      <w:r>
        <w:rPr>
          <w:bCs/>
          <w:lang w:eastAsia="ru-RU"/>
        </w:rPr>
        <w:t xml:space="preserve">ЛМЛ </w:t>
      </w:r>
      <w:r w:rsidRPr="0083297F">
        <w:rPr>
          <w:bCs/>
          <w:lang w:eastAsia="ru-RU"/>
        </w:rPr>
        <w:t xml:space="preserve">осуществляется по результатам обследования в соответствии с критериями классификации </w:t>
      </w:r>
      <w:r w:rsidRPr="0083297F">
        <w:rPr>
          <w:bCs/>
          <w:lang w:val="en-US" w:eastAsia="ru-RU"/>
        </w:rPr>
        <w:t>Ann</w:t>
      </w:r>
      <w:r w:rsidRPr="0083297F">
        <w:rPr>
          <w:bCs/>
          <w:lang w:eastAsia="ru-RU"/>
        </w:rPr>
        <w:t xml:space="preserve"> </w:t>
      </w:r>
      <w:r w:rsidRPr="0083297F">
        <w:rPr>
          <w:bCs/>
          <w:lang w:val="en-US" w:eastAsia="ru-RU"/>
        </w:rPr>
        <w:t>Arbor</w:t>
      </w:r>
      <w:r w:rsidRPr="0083297F">
        <w:rPr>
          <w:bCs/>
          <w:lang w:eastAsia="ru-RU"/>
        </w:rPr>
        <w:t xml:space="preserve"> (табл. </w:t>
      </w:r>
      <w:r>
        <w:rPr>
          <w:bCs/>
          <w:lang w:eastAsia="ru-RU"/>
        </w:rPr>
        <w:t>Г1.1</w:t>
      </w:r>
      <w:r w:rsidRPr="0083297F">
        <w:rPr>
          <w:bCs/>
          <w:lang w:eastAsia="ru-RU"/>
        </w:rPr>
        <w:t>)</w:t>
      </w:r>
      <w:r w:rsidRPr="005A463A">
        <w:t xml:space="preserve"> </w:t>
      </w:r>
      <w:r w:rsidR="000B0AC3">
        <w:rPr>
          <w:bCs/>
          <w:lang w:eastAsia="ru-RU"/>
        </w:rPr>
        <w:fldChar w:fldCharType="begin" w:fldLock="1"/>
      </w:r>
      <w:r>
        <w:rPr>
          <w:bCs/>
          <w:lang w:eastAsia="ru-RU"/>
        </w:rPr>
        <w:instrText>ADDIN CSL_CITATION {"citationItems":[{"id":"ITEM-1","itemData":{"DOI":"10.3322/canjclin.55.6.368","ISSN":"0007-9235","abstract":"Non-Hodgkin Lymphomas are always treatable and frequently curable malignancies. However, choosing the most appropriate therapy requires accurate diagnosis and a careful staging evaluation. New patients with non-Hodgkin Lymphoma should have their tumors classified using the World Health Organization classification. The specific choice of therapy is dependent on a careful staging evaluation. Patients with non-Hodgkin Lymphoma are assigned an anatomic stage using the Ann Arbor system. However, patients should also be classified using the International Prognostic Index. New insights into the biology of the lymphomas in the coming years might well improve our ability to evaluate patients and choose therapy.","author":[{"dropping-particle":"","family":"Armitage","given":"J. O.","non-dropping-particle":"","parse-names":false,"suffix":""}],"container-title":"CA: A Cancer Journal for Clinicians","id":"ITEM-1","issue":"6","issued":{"date-parts":[["2005","11","1"]]},"page":"368-376","publisher":"Wiley","title":"Staging Non-Hodgkin Lymphoma","type":"article-journal","volume":"55"},"uris":["http://www.mendeley.com/documents/?uuid=45b3a54f-f97c-3777-9073-4f78aaeb0610"]}],"mendeley":{"formattedCitation":"[13]","plainTextFormattedCitation":"[13]","previouslyFormattedCitation":"[13]"},"properties":{"noteIndex":0},"schema":"https://github.com/citation-style-language/schema/raw/master/csl-citation.json"}</w:instrText>
      </w:r>
      <w:r w:rsidR="000B0AC3">
        <w:rPr>
          <w:bCs/>
          <w:lang w:eastAsia="ru-RU"/>
        </w:rPr>
        <w:fldChar w:fldCharType="separate"/>
      </w:r>
      <w:r w:rsidRPr="006D166E">
        <w:rPr>
          <w:bCs/>
          <w:noProof/>
          <w:lang w:eastAsia="ru-RU"/>
        </w:rPr>
        <w:t>[13]</w:t>
      </w:r>
      <w:r w:rsidR="000B0AC3">
        <w:rPr>
          <w:bCs/>
          <w:lang w:eastAsia="ru-RU"/>
        </w:rPr>
        <w:fldChar w:fldCharType="end"/>
      </w:r>
      <w:r w:rsidRPr="0083297F">
        <w:rPr>
          <w:bCs/>
          <w:lang w:eastAsia="ru-RU"/>
        </w:rPr>
        <w:t>.</w:t>
      </w:r>
      <w:r w:rsidRPr="0083297F">
        <w:rPr>
          <w:bCs/>
          <w:color w:val="FF0000"/>
          <w:lang w:eastAsia="ru-RU"/>
        </w:rPr>
        <w:t xml:space="preserve"> </w:t>
      </w:r>
    </w:p>
    <w:p w14:paraId="624E4E11" w14:textId="1B166A70" w:rsidR="00145A85" w:rsidRPr="00015858" w:rsidRDefault="00145A85" w:rsidP="00830EF8">
      <w:pPr>
        <w:rPr>
          <w:b/>
        </w:rPr>
      </w:pPr>
      <w:r w:rsidRPr="00015858">
        <w:rPr>
          <w:b/>
        </w:rPr>
        <w:t xml:space="preserve">Таблица </w:t>
      </w:r>
      <w:r>
        <w:rPr>
          <w:b/>
        </w:rPr>
        <w:t>7</w:t>
      </w:r>
      <w:r w:rsidRPr="00015858">
        <w:rPr>
          <w:b/>
        </w:rPr>
        <w:t>.1</w:t>
      </w:r>
      <w:r>
        <w:rPr>
          <w:b/>
        </w:rPr>
        <w:t xml:space="preserve">. </w:t>
      </w:r>
      <w:r w:rsidRPr="00015858">
        <w:rPr>
          <w:b/>
        </w:rPr>
        <w:t xml:space="preserve">Стадирование лимфом по </w:t>
      </w:r>
      <w:r w:rsidRPr="00015858">
        <w:rPr>
          <w:b/>
          <w:lang w:val="en-US"/>
        </w:rPr>
        <w:t>Ann</w:t>
      </w:r>
      <w:r w:rsidRPr="00015858">
        <w:rPr>
          <w:b/>
        </w:rPr>
        <w:t xml:space="preserve"> </w:t>
      </w:r>
      <w:r w:rsidRPr="00015858">
        <w:rPr>
          <w:b/>
          <w:lang w:val="en-US"/>
        </w:rPr>
        <w:t>Arbor</w:t>
      </w:r>
      <w:r w:rsidRPr="00015858">
        <w:rPr>
          <w:b/>
        </w:rPr>
        <w:t xml:space="preserve">, модификация </w:t>
      </w:r>
      <w:r w:rsidRPr="00015858">
        <w:rPr>
          <w:b/>
          <w:lang w:val="en-US"/>
        </w:rPr>
        <w:t>Cotswold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797"/>
      </w:tblGrid>
      <w:tr w:rsidR="00145A85" w:rsidRPr="00535DF0" w14:paraId="60D99B4D" w14:textId="77777777" w:rsidTr="00145A85">
        <w:tc>
          <w:tcPr>
            <w:tcW w:w="1809" w:type="dxa"/>
          </w:tcPr>
          <w:p w14:paraId="7115CCF2" w14:textId="77777777" w:rsidR="00145A85" w:rsidRPr="0083297F" w:rsidRDefault="00145A85" w:rsidP="005D3BBD">
            <w:r w:rsidRPr="0083297F">
              <w:t xml:space="preserve">Стадия </w:t>
            </w:r>
            <w:r w:rsidRPr="0083297F">
              <w:rPr>
                <w:lang w:val="en-US"/>
              </w:rPr>
              <w:t>I</w:t>
            </w:r>
          </w:p>
        </w:tc>
        <w:tc>
          <w:tcPr>
            <w:tcW w:w="7797" w:type="dxa"/>
          </w:tcPr>
          <w:p w14:paraId="6C6459E5" w14:textId="77777777" w:rsidR="00145A85" w:rsidRPr="0083297F" w:rsidRDefault="00145A85" w:rsidP="00D61785">
            <w:pPr>
              <w:numPr>
                <w:ilvl w:val="0"/>
                <w:numId w:val="10"/>
              </w:numPr>
              <w:contextualSpacing/>
              <w:jc w:val="left"/>
            </w:pPr>
            <w:r w:rsidRPr="0083297F">
              <w:t>Поражение одной лимфатической зоны или структуры</w:t>
            </w:r>
            <w:r w:rsidR="000B0AC3" w:rsidRPr="003A51FD">
              <w:rPr>
                <w:rStyle w:val="aff"/>
              </w:rPr>
              <w:footnoteReference w:id="2"/>
            </w:r>
          </w:p>
        </w:tc>
      </w:tr>
      <w:tr w:rsidR="00145A85" w:rsidRPr="00535DF0" w14:paraId="696797D2" w14:textId="77777777" w:rsidTr="00145A85">
        <w:tc>
          <w:tcPr>
            <w:tcW w:w="1809" w:type="dxa"/>
          </w:tcPr>
          <w:p w14:paraId="1727D595" w14:textId="77777777" w:rsidR="00145A85" w:rsidRPr="0083297F" w:rsidRDefault="00145A85" w:rsidP="005D3BBD">
            <w:r w:rsidRPr="0083297F">
              <w:t xml:space="preserve">Стадия </w:t>
            </w:r>
            <w:r w:rsidRPr="0083297F">
              <w:rPr>
                <w:lang w:val="en-US"/>
              </w:rPr>
              <w:t>II</w:t>
            </w:r>
            <w:r w:rsidRPr="0083297F">
              <w:t xml:space="preserve"> </w:t>
            </w:r>
          </w:p>
        </w:tc>
        <w:tc>
          <w:tcPr>
            <w:tcW w:w="7797" w:type="dxa"/>
          </w:tcPr>
          <w:p w14:paraId="6E396B3A" w14:textId="77777777" w:rsidR="00145A85" w:rsidRPr="0083297F" w:rsidRDefault="00145A85" w:rsidP="00D61785">
            <w:pPr>
              <w:numPr>
                <w:ilvl w:val="0"/>
                <w:numId w:val="11"/>
              </w:numPr>
              <w:contextualSpacing/>
              <w:jc w:val="left"/>
            </w:pPr>
            <w:r w:rsidRPr="0083297F">
              <w:t xml:space="preserve">Поражение </w:t>
            </w:r>
            <w:r>
              <w:t>2</w:t>
            </w:r>
            <w:r w:rsidRPr="0083297F">
              <w:t xml:space="preserve"> или более лимфатических зон по одну сторону диафрагмы</w:t>
            </w:r>
            <w:r>
              <w:t>;</w:t>
            </w:r>
          </w:p>
          <w:p w14:paraId="2BD36F75" w14:textId="77777777" w:rsidR="00145A85" w:rsidRPr="0083297F" w:rsidRDefault="00145A85" w:rsidP="00D61785">
            <w:pPr>
              <w:numPr>
                <w:ilvl w:val="0"/>
                <w:numId w:val="11"/>
              </w:numPr>
              <w:contextualSpacing/>
              <w:jc w:val="left"/>
            </w:pPr>
            <w:r>
              <w:t>л</w:t>
            </w:r>
            <w:r w:rsidRPr="0083297F">
              <w:t xml:space="preserve">окализованное в пределах </w:t>
            </w:r>
            <w:r>
              <w:t>1</w:t>
            </w:r>
            <w:r w:rsidRPr="0083297F">
              <w:t xml:space="preserve"> сегмента поражение </w:t>
            </w:r>
            <w:r>
              <w:br/>
              <w:t>1</w:t>
            </w:r>
            <w:r w:rsidRPr="0083297F">
              <w:t xml:space="preserve"> экстралимфатического органа или ткани и его регионарных лимфатических узлов </w:t>
            </w:r>
            <w:r>
              <w:t>с поражением</w:t>
            </w:r>
            <w:r w:rsidRPr="0083297F">
              <w:t xml:space="preserve"> или без</w:t>
            </w:r>
            <w:r>
              <w:t xml:space="preserve"> </w:t>
            </w:r>
            <w:r w:rsidRPr="0083297F">
              <w:t>поражения других лимфатических областей по ту же сторону диафрагмы</w:t>
            </w:r>
          </w:p>
        </w:tc>
      </w:tr>
      <w:tr w:rsidR="00145A85" w:rsidRPr="00535DF0" w14:paraId="4B6A4C4F" w14:textId="77777777" w:rsidTr="00145A85">
        <w:tc>
          <w:tcPr>
            <w:tcW w:w="1809" w:type="dxa"/>
          </w:tcPr>
          <w:p w14:paraId="46383598" w14:textId="77777777" w:rsidR="00145A85" w:rsidRPr="0083297F" w:rsidRDefault="00145A85" w:rsidP="005D3BBD">
            <w:r w:rsidRPr="0083297F">
              <w:t xml:space="preserve">Стадия </w:t>
            </w:r>
            <w:r w:rsidRPr="0083297F">
              <w:rPr>
                <w:lang w:val="en-US"/>
              </w:rPr>
              <w:t xml:space="preserve">III </w:t>
            </w:r>
          </w:p>
        </w:tc>
        <w:tc>
          <w:tcPr>
            <w:tcW w:w="7797" w:type="dxa"/>
          </w:tcPr>
          <w:p w14:paraId="756CEE0B" w14:textId="77777777" w:rsidR="00145A85" w:rsidRPr="0083297F" w:rsidRDefault="00145A85" w:rsidP="00D61785">
            <w:pPr>
              <w:numPr>
                <w:ilvl w:val="0"/>
                <w:numId w:val="12"/>
              </w:numPr>
              <w:contextualSpacing/>
              <w:jc w:val="left"/>
            </w:pPr>
            <w:r w:rsidRPr="0083297F">
              <w:t>Поражение лимфатических узлов или структур по обе стороны диафрагмы</w:t>
            </w:r>
            <w:r>
              <w:t>;</w:t>
            </w:r>
          </w:p>
          <w:p w14:paraId="6EF5166D" w14:textId="77777777" w:rsidR="00145A85" w:rsidRPr="0083297F" w:rsidRDefault="00145A85" w:rsidP="00D61785">
            <w:pPr>
              <w:numPr>
                <w:ilvl w:val="0"/>
                <w:numId w:val="12"/>
              </w:numPr>
              <w:contextualSpacing/>
              <w:jc w:val="left"/>
            </w:pPr>
            <w:r>
              <w:t>л</w:t>
            </w:r>
            <w:r w:rsidRPr="0083297F">
              <w:t xml:space="preserve">окализованное в пределах </w:t>
            </w:r>
            <w:r>
              <w:t>1</w:t>
            </w:r>
            <w:r w:rsidRPr="0083297F">
              <w:t xml:space="preserve"> сегмента поражение </w:t>
            </w:r>
            <w:r>
              <w:br/>
              <w:t>1</w:t>
            </w:r>
            <w:r w:rsidRPr="0083297F">
              <w:t xml:space="preserve"> экстралимфатического органа или ткани и его регионарных лимфатических узлов с поражением других лимфатических областей по обе стороны диафрагмы</w:t>
            </w:r>
          </w:p>
        </w:tc>
      </w:tr>
      <w:tr w:rsidR="00145A85" w:rsidRPr="00535DF0" w14:paraId="055DAA64" w14:textId="77777777" w:rsidTr="00145A85">
        <w:tc>
          <w:tcPr>
            <w:tcW w:w="1809" w:type="dxa"/>
          </w:tcPr>
          <w:p w14:paraId="47FE3E27" w14:textId="77777777" w:rsidR="00145A85" w:rsidRPr="0083297F" w:rsidRDefault="00145A85" w:rsidP="005D3BBD">
            <w:r w:rsidRPr="0083297F">
              <w:lastRenderedPageBreak/>
              <w:t xml:space="preserve">Стадия </w:t>
            </w:r>
            <w:r w:rsidRPr="0083297F">
              <w:rPr>
                <w:lang w:val="en-US"/>
              </w:rPr>
              <w:t>IV</w:t>
            </w:r>
          </w:p>
        </w:tc>
        <w:tc>
          <w:tcPr>
            <w:tcW w:w="7797" w:type="dxa"/>
          </w:tcPr>
          <w:p w14:paraId="7FA334A2" w14:textId="77777777" w:rsidR="00145A85" w:rsidRPr="0083297F" w:rsidRDefault="00145A85" w:rsidP="00D61785">
            <w:pPr>
              <w:numPr>
                <w:ilvl w:val="0"/>
                <w:numId w:val="12"/>
              </w:numPr>
              <w:contextualSpacing/>
              <w:jc w:val="left"/>
            </w:pPr>
            <w:r w:rsidRPr="0083297F">
              <w:t xml:space="preserve">Диссеминированное (многофокусное) поражение </w:t>
            </w:r>
            <w:r>
              <w:t>1</w:t>
            </w:r>
            <w:r w:rsidRPr="0083297F">
              <w:t xml:space="preserve"> или нескольких экстралимфатических органов с </w:t>
            </w:r>
            <w:r>
              <w:t xml:space="preserve">поражением </w:t>
            </w:r>
            <w:r w:rsidRPr="0083297F">
              <w:t>или без поражения лимфатических узлов</w:t>
            </w:r>
            <w:r>
              <w:t>;</w:t>
            </w:r>
          </w:p>
          <w:p w14:paraId="33271C38" w14:textId="77777777" w:rsidR="00145A85" w:rsidRPr="0083297F" w:rsidRDefault="00145A85" w:rsidP="00D61785">
            <w:pPr>
              <w:numPr>
                <w:ilvl w:val="0"/>
                <w:numId w:val="12"/>
              </w:numPr>
              <w:contextualSpacing/>
              <w:jc w:val="left"/>
            </w:pPr>
            <w:r>
              <w:t>и</w:t>
            </w:r>
            <w:r w:rsidRPr="0083297F">
              <w:t xml:space="preserve">золированное поражение экстралимфатического органа </w:t>
            </w:r>
            <w:r>
              <w:br/>
            </w:r>
            <w:r w:rsidRPr="0083297F">
              <w:t>с поражени</w:t>
            </w:r>
            <w:r>
              <w:t xml:space="preserve">ем отдаленных (не </w:t>
            </w:r>
            <w:r w:rsidRPr="0083297F">
              <w:t>регионарных) лимфатических узлов</w:t>
            </w:r>
            <w:r>
              <w:t>;</w:t>
            </w:r>
          </w:p>
          <w:p w14:paraId="7E726370" w14:textId="77777777" w:rsidR="00145A85" w:rsidRPr="0083297F" w:rsidRDefault="00145A85" w:rsidP="00D61785">
            <w:pPr>
              <w:numPr>
                <w:ilvl w:val="0"/>
                <w:numId w:val="12"/>
              </w:numPr>
              <w:contextualSpacing/>
              <w:jc w:val="left"/>
            </w:pPr>
            <w:r>
              <w:t>п</w:t>
            </w:r>
            <w:r w:rsidRPr="0083297F">
              <w:t>оражение печени и/или костного мозга</w:t>
            </w:r>
          </w:p>
        </w:tc>
      </w:tr>
      <w:tr w:rsidR="00145A85" w:rsidRPr="00535DF0" w14:paraId="4146D445" w14:textId="77777777" w:rsidTr="00145A85">
        <w:tc>
          <w:tcPr>
            <w:tcW w:w="9606" w:type="dxa"/>
            <w:gridSpan w:val="2"/>
          </w:tcPr>
          <w:p w14:paraId="755E649D" w14:textId="77777777" w:rsidR="00145A85" w:rsidRPr="0083297F" w:rsidRDefault="00145A85" w:rsidP="005D3BBD">
            <w:r w:rsidRPr="0083297F">
              <w:t>Для всех стадий</w:t>
            </w:r>
          </w:p>
        </w:tc>
      </w:tr>
      <w:tr w:rsidR="00145A85" w:rsidRPr="00535DF0" w14:paraId="30F1DCB8" w14:textId="77777777" w:rsidTr="00145A85">
        <w:tc>
          <w:tcPr>
            <w:tcW w:w="1809" w:type="dxa"/>
          </w:tcPr>
          <w:p w14:paraId="554A3102" w14:textId="77777777" w:rsidR="00145A85" w:rsidRPr="0083297F" w:rsidRDefault="00145A85" w:rsidP="005D3BBD">
            <w:r w:rsidRPr="0083297F">
              <w:t>А</w:t>
            </w:r>
          </w:p>
        </w:tc>
        <w:tc>
          <w:tcPr>
            <w:tcW w:w="7797" w:type="dxa"/>
          </w:tcPr>
          <w:p w14:paraId="1A4700AE" w14:textId="77777777" w:rsidR="00145A85" w:rsidRPr="0083297F" w:rsidRDefault="00145A85" w:rsidP="00D61785">
            <w:pPr>
              <w:numPr>
                <w:ilvl w:val="0"/>
                <w:numId w:val="13"/>
              </w:numPr>
              <w:contextualSpacing/>
              <w:jc w:val="left"/>
            </w:pPr>
            <w:r w:rsidRPr="0083297F">
              <w:t>Отсутствие признаков В-стадии</w:t>
            </w:r>
          </w:p>
        </w:tc>
      </w:tr>
      <w:tr w:rsidR="00145A85" w:rsidRPr="00535DF0" w14:paraId="3825FCB7" w14:textId="77777777" w:rsidTr="00145A85">
        <w:tc>
          <w:tcPr>
            <w:tcW w:w="1809" w:type="dxa"/>
          </w:tcPr>
          <w:p w14:paraId="3F26DC9D" w14:textId="77777777" w:rsidR="00145A85" w:rsidRDefault="00145A85" w:rsidP="005D3BBD">
            <w:r w:rsidRPr="0083297F">
              <w:t>В</w:t>
            </w:r>
          </w:p>
          <w:p w14:paraId="6DFD7642" w14:textId="77777777" w:rsidR="00797DFF" w:rsidRDefault="00797DFF" w:rsidP="005D3BBD">
            <w:pPr>
              <w:rPr>
                <w:vertAlign w:val="superscript"/>
              </w:rPr>
            </w:pPr>
          </w:p>
          <w:p w14:paraId="49AD3996" w14:textId="74835915" w:rsidR="00797DFF" w:rsidRPr="0083297F" w:rsidRDefault="00797DFF" w:rsidP="005D3BBD">
            <w:pPr>
              <w:rPr>
                <w:vertAlign w:val="superscript"/>
              </w:rPr>
            </w:pPr>
          </w:p>
        </w:tc>
        <w:tc>
          <w:tcPr>
            <w:tcW w:w="7797" w:type="dxa"/>
          </w:tcPr>
          <w:p w14:paraId="158718EB" w14:textId="77777777" w:rsidR="00145A85" w:rsidRPr="0083297F" w:rsidRDefault="00145A85" w:rsidP="005D3BBD">
            <w:r w:rsidRPr="0083297F">
              <w:t>Один или более из следующих симптомов:</w:t>
            </w:r>
          </w:p>
          <w:p w14:paraId="7AD3B8A6" w14:textId="77777777" w:rsidR="00145A85" w:rsidRPr="0083297F" w:rsidRDefault="00145A85" w:rsidP="00D61785">
            <w:pPr>
              <w:numPr>
                <w:ilvl w:val="0"/>
                <w:numId w:val="13"/>
              </w:numPr>
              <w:contextualSpacing/>
              <w:jc w:val="left"/>
            </w:pPr>
            <w:r>
              <w:t xml:space="preserve">температура тела </w:t>
            </w:r>
            <w:r w:rsidRPr="0083297F">
              <w:t xml:space="preserve">выше 38°С не менее </w:t>
            </w:r>
            <w:r>
              <w:t>3</w:t>
            </w:r>
            <w:r w:rsidRPr="0083297F">
              <w:t xml:space="preserve"> дней подряд без признаков воспаления</w:t>
            </w:r>
            <w:r>
              <w:t>;</w:t>
            </w:r>
          </w:p>
          <w:p w14:paraId="275FAADF" w14:textId="77777777" w:rsidR="00145A85" w:rsidRPr="0083297F" w:rsidRDefault="00145A85" w:rsidP="00D61785">
            <w:pPr>
              <w:numPr>
                <w:ilvl w:val="0"/>
                <w:numId w:val="13"/>
              </w:numPr>
              <w:contextualSpacing/>
              <w:jc w:val="left"/>
            </w:pPr>
            <w:r>
              <w:t>н</w:t>
            </w:r>
            <w:r w:rsidRPr="0083297F">
              <w:t>очные профузные поты</w:t>
            </w:r>
            <w:r>
              <w:t>;</w:t>
            </w:r>
          </w:p>
          <w:p w14:paraId="1C2AFC83" w14:textId="77777777" w:rsidR="00145A85" w:rsidRPr="0083297F" w:rsidRDefault="00145A85" w:rsidP="00D61785">
            <w:pPr>
              <w:numPr>
                <w:ilvl w:val="0"/>
                <w:numId w:val="13"/>
              </w:numPr>
              <w:contextualSpacing/>
              <w:jc w:val="left"/>
            </w:pPr>
            <w:r>
              <w:t>п</w:t>
            </w:r>
            <w:r w:rsidRPr="0083297F">
              <w:t>охудание на 10</w:t>
            </w:r>
            <w:r>
              <w:t xml:space="preserve"> %</w:t>
            </w:r>
            <w:r w:rsidRPr="0083297F">
              <w:t xml:space="preserve"> массы тела за последние 6 мес</w:t>
            </w:r>
            <w:r>
              <w:t>.</w:t>
            </w:r>
          </w:p>
        </w:tc>
      </w:tr>
      <w:tr w:rsidR="00145A85" w:rsidRPr="00535DF0" w14:paraId="4FAA3E38" w14:textId="77777777" w:rsidTr="00145A85">
        <w:tc>
          <w:tcPr>
            <w:tcW w:w="1809" w:type="dxa"/>
          </w:tcPr>
          <w:p w14:paraId="245CCB21" w14:textId="77777777" w:rsidR="00145A85" w:rsidRPr="0083297F" w:rsidRDefault="00145A85" w:rsidP="005D3BBD">
            <w:pPr>
              <w:rPr>
                <w:lang w:val="en-US"/>
              </w:rPr>
            </w:pPr>
            <w:r w:rsidRPr="0083297F">
              <w:rPr>
                <w:lang w:val="en-US"/>
              </w:rPr>
              <w:t>E</w:t>
            </w:r>
          </w:p>
        </w:tc>
        <w:tc>
          <w:tcPr>
            <w:tcW w:w="7797" w:type="dxa"/>
          </w:tcPr>
          <w:p w14:paraId="16E971E1" w14:textId="77777777" w:rsidR="00145A85" w:rsidRPr="0083297F" w:rsidRDefault="00145A85" w:rsidP="005D3BBD">
            <w:pPr>
              <w:contextualSpacing/>
              <w:jc w:val="left"/>
            </w:pPr>
            <w:r w:rsidRPr="0083297F">
              <w:t xml:space="preserve">Локализованное экстранодальное поражение (при </w:t>
            </w:r>
            <w:r w:rsidRPr="0083297F">
              <w:rPr>
                <w:lang w:val="en-US"/>
              </w:rPr>
              <w:t>I</w:t>
            </w:r>
            <w:r>
              <w:t>–</w:t>
            </w:r>
            <w:r w:rsidRPr="0083297F">
              <w:rPr>
                <w:lang w:val="en-US"/>
              </w:rPr>
              <w:t>II</w:t>
            </w:r>
            <w:r w:rsidRPr="0083297F">
              <w:t xml:space="preserve"> стадиях):</w:t>
            </w:r>
          </w:p>
          <w:p w14:paraId="14C283C2" w14:textId="77777777" w:rsidR="00145A85" w:rsidRPr="0083297F" w:rsidRDefault="00145A85" w:rsidP="00D61785">
            <w:pPr>
              <w:pStyle w:val="a4"/>
              <w:numPr>
                <w:ilvl w:val="0"/>
                <w:numId w:val="14"/>
              </w:numPr>
              <w:spacing w:before="0"/>
            </w:pPr>
            <w:r>
              <w:t>л</w:t>
            </w:r>
            <w:r w:rsidRPr="0083297F">
              <w:t xml:space="preserve">окализованное поражение </w:t>
            </w:r>
            <w:r>
              <w:t>1</w:t>
            </w:r>
            <w:r w:rsidRPr="0083297F">
              <w:t xml:space="preserve"> экстралимфатического органа или ткани в пределах </w:t>
            </w:r>
            <w:r>
              <w:t>1</w:t>
            </w:r>
            <w:r w:rsidRPr="0083297F">
              <w:t xml:space="preserve"> сегмента бе</w:t>
            </w:r>
            <w:r>
              <w:t>з поражения лимфатических узлов;</w:t>
            </w:r>
          </w:p>
          <w:p w14:paraId="054553BD" w14:textId="77777777" w:rsidR="00145A85" w:rsidRPr="0083297F" w:rsidRDefault="00145A85" w:rsidP="00D61785">
            <w:pPr>
              <w:pStyle w:val="a4"/>
              <w:numPr>
                <w:ilvl w:val="0"/>
                <w:numId w:val="14"/>
              </w:numPr>
              <w:spacing w:before="0"/>
            </w:pPr>
            <w:r>
              <w:t>с</w:t>
            </w:r>
            <w:r w:rsidRPr="0083297F">
              <w:t xml:space="preserve">тадия </w:t>
            </w:r>
            <w:r w:rsidRPr="0083297F">
              <w:rPr>
                <w:lang w:val="en-US"/>
              </w:rPr>
              <w:t>I</w:t>
            </w:r>
            <w:r w:rsidRPr="0083297F">
              <w:t xml:space="preserve"> или </w:t>
            </w:r>
            <w:r w:rsidRPr="0083297F">
              <w:rPr>
                <w:lang w:val="en-US"/>
              </w:rPr>
              <w:t>II</w:t>
            </w:r>
            <w:r w:rsidRPr="0083297F">
              <w:t xml:space="preserve"> с ограниченным экстранодальным вовлечением прилежащего органа или ткани</w:t>
            </w:r>
            <w:r>
              <w:t xml:space="preserve"> </w:t>
            </w:r>
          </w:p>
        </w:tc>
      </w:tr>
    </w:tbl>
    <w:p w14:paraId="5121CBE6" w14:textId="77777777" w:rsidR="00145A85" w:rsidRDefault="00145A85" w:rsidP="005D3BBD">
      <w:pPr>
        <w:jc w:val="left"/>
      </w:pPr>
      <w:r>
        <w:br w:type="page"/>
      </w:r>
    </w:p>
    <w:p w14:paraId="1898236E" w14:textId="77777777" w:rsidR="00145A85" w:rsidRDefault="000B3F2E" w:rsidP="005D3BBD">
      <w:pPr>
        <w:pStyle w:val="2"/>
        <w:spacing w:before="0"/>
      </w:pPr>
      <w:bookmarkStart w:id="73" w:name="_Toc65068818"/>
      <w:r>
        <w:lastRenderedPageBreak/>
        <w:t>7.2</w:t>
      </w:r>
      <w:r w:rsidR="00145A85">
        <w:t>. Общая выживаемость пациентов в группах по МПИ</w:t>
      </w:r>
      <w:bookmarkEnd w:id="73"/>
    </w:p>
    <w:p w14:paraId="1F93E384" w14:textId="77777777" w:rsidR="00145A85" w:rsidRDefault="00145A85" w:rsidP="004E3A70">
      <w:pPr>
        <w:ind w:firstLine="709"/>
        <w:contextualSpacing/>
        <w:rPr>
          <w:b/>
        </w:rPr>
      </w:pPr>
    </w:p>
    <w:p w14:paraId="078C0D68" w14:textId="77777777" w:rsidR="00145A85" w:rsidRPr="00B93B9E" w:rsidRDefault="00145A85" w:rsidP="00830EF8">
      <w:pPr>
        <w:ind w:firstLine="709"/>
        <w:contextualSpacing/>
        <w:rPr>
          <w:b/>
        </w:rPr>
      </w:pPr>
      <w:r w:rsidRPr="00B93B9E">
        <w:rPr>
          <w:b/>
        </w:rPr>
        <w:t xml:space="preserve">Таблица </w:t>
      </w:r>
      <w:r w:rsidR="000B3F2E">
        <w:rPr>
          <w:b/>
        </w:rPr>
        <w:t>7.2</w:t>
      </w:r>
      <w:r w:rsidRPr="00B93B9E">
        <w:rPr>
          <w:b/>
        </w:rPr>
        <w:t xml:space="preserve">. Общая выживаемость </w:t>
      </w:r>
      <w:r>
        <w:rPr>
          <w:b/>
        </w:rPr>
        <w:t>пациентов</w:t>
      </w:r>
      <w:r w:rsidRPr="00B93B9E">
        <w:rPr>
          <w:b/>
        </w:rPr>
        <w:t xml:space="preserve"> в группах по МПИ</w:t>
      </w:r>
    </w:p>
    <w:tbl>
      <w:tblPr>
        <w:tblW w:w="7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29"/>
        <w:gridCol w:w="1417"/>
        <w:gridCol w:w="2127"/>
        <w:gridCol w:w="1701"/>
      </w:tblGrid>
      <w:tr w:rsidR="00145A85" w:rsidRPr="00015858" w14:paraId="2486433C" w14:textId="77777777" w:rsidTr="00145A85">
        <w:trPr>
          <w:trHeight w:val="359"/>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22EB0914" w14:textId="77777777" w:rsidR="00145A85" w:rsidRPr="00015858" w:rsidRDefault="00145A85" w:rsidP="00830EF8">
            <w:pPr>
              <w:contextualSpacing/>
              <w:jc w:val="center"/>
              <w:rPr>
                <w:b/>
              </w:rPr>
            </w:pPr>
            <w:r w:rsidRPr="00015858">
              <w:rPr>
                <w:rFonts w:eastAsia="MS PGothic"/>
                <w:b/>
                <w:kern w:val="24"/>
              </w:rPr>
              <w:t>Группа риска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2DC803E2" w14:textId="77777777" w:rsidR="00145A85" w:rsidRPr="00015858" w:rsidRDefault="00145A85" w:rsidP="00E92E00">
            <w:pPr>
              <w:contextualSpacing/>
              <w:jc w:val="center"/>
              <w:rPr>
                <w:b/>
              </w:rPr>
            </w:pPr>
            <w:r w:rsidRPr="00015858">
              <w:rPr>
                <w:rFonts w:eastAsia="MS PGothic"/>
                <w:b/>
                <w:kern w:val="24"/>
              </w:rPr>
              <w:t>Балл</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D49B0BE" w14:textId="77777777" w:rsidR="00145A85" w:rsidRPr="00015858" w:rsidRDefault="00145A85" w:rsidP="00E92E00">
            <w:pPr>
              <w:contextualSpacing/>
              <w:jc w:val="center"/>
              <w:rPr>
                <w:b/>
              </w:rPr>
            </w:pPr>
            <w:r>
              <w:rPr>
                <w:rFonts w:eastAsia="MS PGothic"/>
                <w:b/>
                <w:kern w:val="24"/>
              </w:rPr>
              <w:t>Число</w:t>
            </w:r>
            <w:r w:rsidRPr="00015858">
              <w:rPr>
                <w:rFonts w:eastAsia="MS PGothic"/>
                <w:b/>
                <w:kern w:val="24"/>
              </w:rPr>
              <w:t xml:space="preserve"> </w:t>
            </w:r>
            <w:r>
              <w:rPr>
                <w:rFonts w:eastAsia="MS PGothic"/>
                <w:b/>
                <w:kern w:val="24"/>
              </w:rPr>
              <w:t>пациентов, абс.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3F0E5957" w14:textId="77777777" w:rsidR="00145A85" w:rsidRPr="00015858" w:rsidRDefault="00145A85" w:rsidP="00B04401">
            <w:pPr>
              <w:contextualSpacing/>
              <w:jc w:val="center"/>
              <w:rPr>
                <w:b/>
              </w:rPr>
            </w:pPr>
            <w:r w:rsidRPr="00015858">
              <w:rPr>
                <w:rFonts w:eastAsia="MS PGothic"/>
                <w:b/>
                <w:kern w:val="24"/>
              </w:rPr>
              <w:t>5-летняя ОВ</w:t>
            </w:r>
            <w:r>
              <w:rPr>
                <w:rFonts w:eastAsia="MS PGothic"/>
                <w:b/>
                <w:kern w:val="24"/>
              </w:rPr>
              <w:t>, %</w:t>
            </w:r>
          </w:p>
        </w:tc>
      </w:tr>
      <w:tr w:rsidR="00145A85" w:rsidRPr="005B4606" w14:paraId="48139112" w14:textId="77777777" w:rsidTr="00145A85">
        <w:trPr>
          <w:trHeight w:val="186"/>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DCE2C76" w14:textId="77777777" w:rsidR="00145A85" w:rsidRPr="00AB6521" w:rsidRDefault="00145A85" w:rsidP="004E3A70">
            <w:pPr>
              <w:contextualSpacing/>
            </w:pPr>
            <w:r w:rsidRPr="00AB6521">
              <w:rPr>
                <w:rFonts w:eastAsia="MS PGothic"/>
                <w:kern w:val="24"/>
              </w:rPr>
              <w:t>Низкая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98C98A2" w14:textId="77777777" w:rsidR="00145A85" w:rsidRPr="00AB6521" w:rsidRDefault="00145A85" w:rsidP="00830EF8">
            <w:pPr>
              <w:contextualSpacing/>
              <w:jc w:val="center"/>
            </w:pPr>
            <w:r w:rsidRPr="00AB6521">
              <w:rPr>
                <w:rFonts w:eastAsia="MS PGothic"/>
                <w:kern w:val="24"/>
              </w:rPr>
              <w:t>0–1</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1C88307" w14:textId="77777777" w:rsidR="00145A85" w:rsidRPr="00AB6521" w:rsidRDefault="00145A85" w:rsidP="00830EF8">
            <w:pPr>
              <w:contextualSpacing/>
              <w:jc w:val="center"/>
            </w:pPr>
            <w:r w:rsidRPr="00AB6521">
              <w:rPr>
                <w:rFonts w:eastAsia="MS PGothic"/>
                <w:kern w:val="24"/>
              </w:rPr>
              <w:t>340 (29)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45766E8" w14:textId="77777777" w:rsidR="00145A85" w:rsidRPr="00AB6521" w:rsidRDefault="00145A85" w:rsidP="00E92E00">
            <w:pPr>
              <w:contextualSpacing/>
              <w:jc w:val="center"/>
            </w:pPr>
            <w:r w:rsidRPr="00AB6521">
              <w:rPr>
                <w:rFonts w:eastAsia="MS PGothic"/>
                <w:kern w:val="24"/>
              </w:rPr>
              <w:t>93,2</w:t>
            </w:r>
          </w:p>
        </w:tc>
      </w:tr>
      <w:tr w:rsidR="00145A85" w:rsidRPr="005B4606" w14:paraId="4DD99859" w14:textId="77777777" w:rsidTr="00145A85">
        <w:trPr>
          <w:trHeight w:val="282"/>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1B1419F" w14:textId="77777777" w:rsidR="00145A85" w:rsidRPr="00AB6521" w:rsidRDefault="00145A85" w:rsidP="004E3A70">
            <w:pPr>
              <w:contextualSpacing/>
            </w:pPr>
            <w:r w:rsidRPr="00AB6521">
              <w:rPr>
                <w:rFonts w:eastAsia="MS PGothic"/>
                <w:kern w:val="24"/>
              </w:rPr>
              <w:t>Промежуточная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82F41AE" w14:textId="77777777" w:rsidR="00145A85" w:rsidRPr="00AB6521" w:rsidRDefault="00145A85" w:rsidP="00830EF8">
            <w:pPr>
              <w:contextualSpacing/>
              <w:jc w:val="center"/>
            </w:pPr>
            <w:r w:rsidRPr="00AB6521">
              <w:rPr>
                <w:rFonts w:eastAsia="MS PGothic"/>
                <w:kern w:val="24"/>
              </w:rPr>
              <w:t>2–3</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7F7B702" w14:textId="77777777" w:rsidR="00145A85" w:rsidRPr="00AB6521" w:rsidRDefault="00145A85" w:rsidP="00830EF8">
            <w:pPr>
              <w:contextualSpacing/>
              <w:jc w:val="center"/>
            </w:pPr>
            <w:r w:rsidRPr="00AB6521">
              <w:rPr>
                <w:rFonts w:eastAsia="MS PGothic"/>
                <w:kern w:val="24"/>
              </w:rPr>
              <w:t>464 (39)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53498E1" w14:textId="77777777" w:rsidR="00145A85" w:rsidRPr="00AB6521" w:rsidRDefault="00145A85" w:rsidP="00E92E00">
            <w:pPr>
              <w:contextualSpacing/>
              <w:jc w:val="center"/>
            </w:pPr>
            <w:r w:rsidRPr="00AB6521">
              <w:rPr>
                <w:rFonts w:eastAsia="MS PGothic"/>
                <w:kern w:val="24"/>
              </w:rPr>
              <w:t>79,4</w:t>
            </w:r>
          </w:p>
        </w:tc>
      </w:tr>
      <w:tr w:rsidR="00145A85" w:rsidRPr="005B4606" w14:paraId="282A8D7E" w14:textId="77777777" w:rsidTr="00145A85">
        <w:trPr>
          <w:trHeight w:val="249"/>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FB67968" w14:textId="77777777" w:rsidR="00145A85" w:rsidRPr="00AB6521" w:rsidRDefault="00145A85" w:rsidP="004E3A70">
            <w:pPr>
              <w:contextualSpacing/>
            </w:pPr>
            <w:r w:rsidRPr="00AB6521">
              <w:rPr>
                <w:rFonts w:eastAsia="MS PGothic"/>
                <w:kern w:val="24"/>
              </w:rPr>
              <w:t>Высокая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65C53EA" w14:textId="77777777" w:rsidR="00145A85" w:rsidRPr="00AB6521" w:rsidRDefault="00145A85" w:rsidP="00830EF8">
            <w:pPr>
              <w:contextualSpacing/>
              <w:jc w:val="center"/>
            </w:pPr>
            <w:r w:rsidRPr="00AB6521">
              <w:rPr>
                <w:rFonts w:eastAsia="MS PGothic"/>
                <w:kern w:val="24"/>
              </w:rPr>
              <w:t>4–6</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F0BF647" w14:textId="77777777" w:rsidR="00145A85" w:rsidRPr="00AB6521" w:rsidRDefault="00145A85" w:rsidP="00830EF8">
            <w:pPr>
              <w:contextualSpacing/>
              <w:jc w:val="center"/>
            </w:pPr>
            <w:r w:rsidRPr="00AB6521">
              <w:rPr>
                <w:rFonts w:eastAsia="MS PGothic"/>
                <w:kern w:val="24"/>
              </w:rPr>
              <w:t>326 (27)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8F3B319" w14:textId="77777777" w:rsidR="00145A85" w:rsidRPr="00AB6521" w:rsidRDefault="00145A85" w:rsidP="00E92E00">
            <w:pPr>
              <w:contextualSpacing/>
              <w:jc w:val="center"/>
            </w:pPr>
            <w:r w:rsidRPr="00AB6521">
              <w:rPr>
                <w:rFonts w:eastAsia="MS PGothic"/>
                <w:kern w:val="24"/>
              </w:rPr>
              <w:t>63,6</w:t>
            </w:r>
          </w:p>
        </w:tc>
      </w:tr>
      <w:tr w:rsidR="00145A85" w:rsidRPr="005B4606" w14:paraId="66670781" w14:textId="77777777" w:rsidTr="00145A85">
        <w:trPr>
          <w:trHeight w:val="204"/>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382D239" w14:textId="77777777" w:rsidR="00145A85" w:rsidRPr="00AB6521" w:rsidRDefault="00145A85" w:rsidP="004E3A70">
            <w:pPr>
              <w:contextualSpacing/>
            </w:pPr>
            <w:r w:rsidRPr="00AB6521">
              <w:rPr>
                <w:rFonts w:eastAsia="MS PGothic"/>
                <w:kern w:val="24"/>
              </w:rPr>
              <w:t>Очень высокая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CC79811" w14:textId="77777777" w:rsidR="00145A85" w:rsidRPr="00AB6521" w:rsidRDefault="00145A85" w:rsidP="00830EF8">
            <w:pPr>
              <w:contextualSpacing/>
              <w:jc w:val="center"/>
            </w:pPr>
            <w:r w:rsidRPr="00AB6521">
              <w:rPr>
                <w:rFonts w:eastAsia="MS PGothic"/>
                <w:kern w:val="24"/>
              </w:rPr>
              <w:t>7–10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021A955" w14:textId="77777777" w:rsidR="00145A85" w:rsidRPr="00AB6521" w:rsidRDefault="00145A85" w:rsidP="00830EF8">
            <w:pPr>
              <w:contextualSpacing/>
              <w:jc w:val="center"/>
            </w:pPr>
            <w:r w:rsidRPr="00AB6521">
              <w:rPr>
                <w:rFonts w:eastAsia="MS PGothic"/>
                <w:kern w:val="24"/>
              </w:rPr>
              <w:t>62 (5)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669DD99" w14:textId="77777777" w:rsidR="00145A85" w:rsidRPr="00AB6521" w:rsidRDefault="00145A85" w:rsidP="00E92E00">
            <w:pPr>
              <w:contextualSpacing/>
              <w:jc w:val="center"/>
            </w:pPr>
            <w:r w:rsidRPr="00AB6521">
              <w:rPr>
                <w:rFonts w:eastAsia="MS PGothic"/>
                <w:kern w:val="24"/>
              </w:rPr>
              <w:t>23,3</w:t>
            </w:r>
          </w:p>
        </w:tc>
      </w:tr>
    </w:tbl>
    <w:p w14:paraId="55743610" w14:textId="77777777" w:rsidR="00EF640F" w:rsidRDefault="00EF640F">
      <w:pPr>
        <w:pStyle w:val="2"/>
        <w:spacing w:before="0"/>
      </w:pPr>
    </w:p>
    <w:p w14:paraId="1997C04C" w14:textId="217D0D4E" w:rsidR="000B3F2E" w:rsidRDefault="000B3F2E" w:rsidP="005D3BBD">
      <w:pPr>
        <w:pStyle w:val="2"/>
        <w:spacing w:before="0"/>
      </w:pPr>
      <w:bookmarkStart w:id="74" w:name="_Toc65068819"/>
      <w:r>
        <w:t>7.3.</w:t>
      </w:r>
      <w:r w:rsidRPr="00437AD9">
        <w:t xml:space="preserve"> Оценка ответа на лечение при ХЛЛ</w:t>
      </w:r>
      <w:bookmarkEnd w:id="74"/>
    </w:p>
    <w:p w14:paraId="6DB8F4AE" w14:textId="021BDB39" w:rsidR="000B3F2E" w:rsidRDefault="000B3F2E" w:rsidP="004E3A70">
      <w:pPr>
        <w:ind w:firstLine="709"/>
        <w:contextualSpacing/>
      </w:pPr>
      <w:r>
        <w:t xml:space="preserve">Оценка ответа на лечение проводится в соответствии с обновленными критериями, предложенными Международной рабочей группой по ХЛЛ (IWCLL) в 2018 г. (табл. </w:t>
      </w:r>
      <w:r w:rsidR="00591E66">
        <w:t>7.3</w:t>
      </w:r>
      <w:r>
        <w:t xml:space="preserve">) </w:t>
      </w:r>
      <w:r w:rsidR="000B0AC3">
        <w:fldChar w:fldCharType="begin" w:fldLock="1"/>
      </w:r>
      <w:r>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Pr="00DE7500">
        <w:rPr>
          <w:noProof/>
        </w:rPr>
        <w:t>[12]</w:t>
      </w:r>
      <w:r w:rsidR="000B0AC3">
        <w:fldChar w:fldCharType="end"/>
      </w:r>
      <w:r>
        <w:t>.</w:t>
      </w:r>
    </w:p>
    <w:p w14:paraId="6B8FA594" w14:textId="77777777" w:rsidR="000B3F2E" w:rsidRPr="006B3E67" w:rsidRDefault="000B3F2E" w:rsidP="005D3BBD">
      <w:pPr>
        <w:pStyle w:val="11"/>
        <w:spacing w:beforeAutospacing="0" w:afterAutospacing="0" w:line="360" w:lineRule="auto"/>
        <w:contextualSpacing/>
      </w:pPr>
      <w:r w:rsidRPr="006B3E67">
        <w:rPr>
          <w:rStyle w:val="aa"/>
        </w:rPr>
        <w:t xml:space="preserve">Таблица </w:t>
      </w:r>
      <w:r>
        <w:rPr>
          <w:rStyle w:val="aa"/>
        </w:rPr>
        <w:t>7.3</w:t>
      </w:r>
      <w:r w:rsidRPr="006B3E67">
        <w:rPr>
          <w:rStyle w:val="aa"/>
        </w:rPr>
        <w:t>. Оценка ответа на лечение при хроническом лимфоцитарном лейкозе</w:t>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454"/>
        <w:gridCol w:w="2389"/>
        <w:gridCol w:w="2325"/>
      </w:tblGrid>
      <w:tr w:rsidR="000B3F2E" w:rsidRPr="006B3E67" w14:paraId="4CB95A30" w14:textId="77777777" w:rsidTr="00804814">
        <w:trPr>
          <w:trHeight w:val="20"/>
          <w:jc w:val="center"/>
        </w:trPr>
        <w:tc>
          <w:tcPr>
            <w:tcW w:w="2405" w:type="dxa"/>
          </w:tcPr>
          <w:p w14:paraId="00D00E0A" w14:textId="77777777" w:rsidR="000B3F2E" w:rsidRPr="006B3E67" w:rsidRDefault="000B3F2E" w:rsidP="005D3BBD">
            <w:pPr>
              <w:ind w:left="57" w:right="57"/>
              <w:jc w:val="center"/>
              <w:rPr>
                <w:b/>
                <w:szCs w:val="24"/>
              </w:rPr>
            </w:pPr>
            <w:r w:rsidRPr="006B3E67">
              <w:rPr>
                <w:b/>
                <w:szCs w:val="24"/>
              </w:rPr>
              <w:t>Показатель</w:t>
            </w:r>
          </w:p>
        </w:tc>
        <w:tc>
          <w:tcPr>
            <w:tcW w:w="2454" w:type="dxa"/>
          </w:tcPr>
          <w:p w14:paraId="48B73F11" w14:textId="77777777" w:rsidR="000B3F2E" w:rsidRPr="006B3E67" w:rsidRDefault="000B3F2E" w:rsidP="005D3BBD">
            <w:pPr>
              <w:pStyle w:val="TableParagraph"/>
              <w:spacing w:line="360" w:lineRule="auto"/>
              <w:ind w:left="57" w:right="57"/>
              <w:jc w:val="center"/>
              <w:rPr>
                <w:rFonts w:ascii="Times New Roman" w:hAnsi="Times New Roman" w:cs="Times New Roman"/>
                <w:b/>
                <w:sz w:val="24"/>
                <w:szCs w:val="24"/>
                <w:lang w:val="ru-RU"/>
              </w:rPr>
            </w:pPr>
            <w:r w:rsidRPr="006B3E67">
              <w:rPr>
                <w:rFonts w:ascii="Times New Roman" w:hAnsi="Times New Roman" w:cs="Times New Roman"/>
                <w:b/>
                <w:sz w:val="24"/>
                <w:szCs w:val="24"/>
                <w:lang w:val="ru-RU"/>
              </w:rPr>
              <w:t>Полная ремиссия</w:t>
            </w:r>
          </w:p>
        </w:tc>
        <w:tc>
          <w:tcPr>
            <w:tcW w:w="2389" w:type="dxa"/>
          </w:tcPr>
          <w:p w14:paraId="38FB5A2D" w14:textId="77777777" w:rsidR="000B3F2E" w:rsidRPr="006B3E67" w:rsidRDefault="000B3F2E" w:rsidP="005D3BBD">
            <w:pPr>
              <w:pStyle w:val="TableParagraph"/>
              <w:spacing w:line="360" w:lineRule="auto"/>
              <w:ind w:left="57" w:right="57"/>
              <w:jc w:val="center"/>
              <w:rPr>
                <w:rFonts w:ascii="Times New Roman" w:hAnsi="Times New Roman" w:cs="Times New Roman"/>
                <w:b/>
                <w:sz w:val="24"/>
                <w:szCs w:val="24"/>
                <w:lang w:val="ru-RU"/>
              </w:rPr>
            </w:pPr>
            <w:r w:rsidRPr="006B3E67">
              <w:rPr>
                <w:rFonts w:ascii="Times New Roman" w:hAnsi="Times New Roman" w:cs="Times New Roman"/>
                <w:b/>
                <w:sz w:val="24"/>
                <w:szCs w:val="24"/>
                <w:lang w:val="ru-RU"/>
              </w:rPr>
              <w:t>Частичная ремиссия</w:t>
            </w:r>
          </w:p>
        </w:tc>
        <w:tc>
          <w:tcPr>
            <w:tcW w:w="2321" w:type="dxa"/>
          </w:tcPr>
          <w:p w14:paraId="1DBF3DFA" w14:textId="77777777" w:rsidR="000B3F2E" w:rsidRPr="006B3E67" w:rsidRDefault="000B3F2E" w:rsidP="005D3BBD">
            <w:pPr>
              <w:pStyle w:val="TableParagraph"/>
              <w:spacing w:line="360" w:lineRule="auto"/>
              <w:ind w:left="57" w:right="57"/>
              <w:jc w:val="center"/>
              <w:rPr>
                <w:rFonts w:ascii="Times New Roman" w:hAnsi="Times New Roman" w:cs="Times New Roman"/>
                <w:b/>
                <w:sz w:val="24"/>
                <w:szCs w:val="24"/>
              </w:rPr>
            </w:pPr>
            <w:r w:rsidRPr="006B3E67">
              <w:rPr>
                <w:rFonts w:ascii="Times New Roman" w:hAnsi="Times New Roman" w:cs="Times New Roman"/>
                <w:b/>
                <w:sz w:val="24"/>
                <w:szCs w:val="24"/>
                <w:lang w:val="ru-RU"/>
              </w:rPr>
              <w:t>Прогрессия</w:t>
            </w:r>
          </w:p>
        </w:tc>
      </w:tr>
      <w:tr w:rsidR="000B3F2E" w:rsidRPr="005B4606" w14:paraId="28D81D7D" w14:textId="77777777" w:rsidTr="00804814">
        <w:trPr>
          <w:trHeight w:val="20"/>
          <w:jc w:val="center"/>
        </w:trPr>
        <w:tc>
          <w:tcPr>
            <w:tcW w:w="9573" w:type="dxa"/>
            <w:gridSpan w:val="4"/>
          </w:tcPr>
          <w:p w14:paraId="7DC5D061" w14:textId="77777777" w:rsidR="000B3F2E" w:rsidRPr="00B0145E" w:rsidRDefault="000B3F2E" w:rsidP="005D3BBD">
            <w:pPr>
              <w:pStyle w:val="TableParagraph"/>
              <w:spacing w:line="360" w:lineRule="auto"/>
              <w:ind w:left="57" w:right="57"/>
              <w:rPr>
                <w:rFonts w:ascii="Times New Roman" w:hAnsi="Times New Roman" w:cs="Times New Roman"/>
                <w:sz w:val="24"/>
                <w:szCs w:val="24"/>
                <w:lang w:val="ru-RU"/>
              </w:rPr>
            </w:pPr>
            <w:r w:rsidRPr="00B0145E">
              <w:rPr>
                <w:rFonts w:ascii="Times New Roman" w:hAnsi="Times New Roman" w:cs="Times New Roman"/>
                <w:sz w:val="24"/>
                <w:szCs w:val="24"/>
                <w:lang w:val="ru-RU"/>
              </w:rPr>
              <w:t>А. Параметры, характеризующие массу опухоли</w:t>
            </w:r>
          </w:p>
        </w:tc>
      </w:tr>
      <w:tr w:rsidR="000B3F2E" w:rsidRPr="005B4606" w14:paraId="281B72F0" w14:textId="77777777" w:rsidTr="00804814">
        <w:trPr>
          <w:trHeight w:val="20"/>
          <w:jc w:val="center"/>
        </w:trPr>
        <w:tc>
          <w:tcPr>
            <w:tcW w:w="2405" w:type="dxa"/>
          </w:tcPr>
          <w:p w14:paraId="05F00ED1"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Лимфаденопатия</w:t>
            </w:r>
          </w:p>
        </w:tc>
        <w:tc>
          <w:tcPr>
            <w:tcW w:w="2454" w:type="dxa"/>
          </w:tcPr>
          <w:p w14:paraId="65752990"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отсутствие узлов &gt;1,5 см</w:t>
            </w:r>
          </w:p>
        </w:tc>
        <w:tc>
          <w:tcPr>
            <w:tcW w:w="2389" w:type="dxa"/>
          </w:tcPr>
          <w:p w14:paraId="5AC857A5"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p>
        </w:tc>
        <w:tc>
          <w:tcPr>
            <w:tcW w:w="2321" w:type="dxa"/>
          </w:tcPr>
          <w:p w14:paraId="52D74914"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14:paraId="08348FFF" w14:textId="77777777" w:rsidTr="00804814">
        <w:trPr>
          <w:trHeight w:val="20"/>
          <w:jc w:val="center"/>
        </w:trPr>
        <w:tc>
          <w:tcPr>
            <w:tcW w:w="2405" w:type="dxa"/>
          </w:tcPr>
          <w:p w14:paraId="40151F87"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Гепатомегалия</w:t>
            </w:r>
          </w:p>
        </w:tc>
        <w:tc>
          <w:tcPr>
            <w:tcW w:w="2454" w:type="dxa"/>
          </w:tcPr>
          <w:p w14:paraId="05675CAE"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Нет</w:t>
            </w:r>
          </w:p>
        </w:tc>
        <w:tc>
          <w:tcPr>
            <w:tcW w:w="2389" w:type="dxa"/>
          </w:tcPr>
          <w:p w14:paraId="695B427F"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p>
        </w:tc>
        <w:tc>
          <w:tcPr>
            <w:tcW w:w="2321" w:type="dxa"/>
          </w:tcPr>
          <w:p w14:paraId="6D12E052"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14:paraId="08FE0C7E" w14:textId="77777777" w:rsidTr="00804814">
        <w:trPr>
          <w:trHeight w:val="20"/>
          <w:jc w:val="center"/>
        </w:trPr>
        <w:tc>
          <w:tcPr>
            <w:tcW w:w="2405" w:type="dxa"/>
          </w:tcPr>
          <w:p w14:paraId="6384D3D2"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rPr>
              <w:t>Спленомегалия</w:t>
            </w:r>
          </w:p>
        </w:tc>
        <w:tc>
          <w:tcPr>
            <w:tcW w:w="2454" w:type="dxa"/>
          </w:tcPr>
          <w:p w14:paraId="79BF033D"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Кранио-каудальный размер селезенки </w:t>
            </w:r>
            <w:r>
              <w:rPr>
                <w:rFonts w:ascii="Times New Roman" w:hAnsi="Times New Roman" w:cs="Times New Roman"/>
                <w:sz w:val="24"/>
                <w:szCs w:val="24"/>
                <w:lang w:val="ru-RU"/>
              </w:rPr>
              <w:br/>
            </w:r>
            <w:r w:rsidRPr="0072780B">
              <w:rPr>
                <w:rFonts w:ascii="Times New Roman" w:hAnsi="Times New Roman" w:cs="Times New Roman"/>
                <w:sz w:val="24"/>
                <w:szCs w:val="24"/>
                <w:lang w:val="ru-RU"/>
              </w:rPr>
              <w:t>&lt;13 см</w:t>
            </w:r>
          </w:p>
        </w:tc>
        <w:tc>
          <w:tcPr>
            <w:tcW w:w="2389" w:type="dxa"/>
          </w:tcPr>
          <w:p w14:paraId="2FEC4734"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величины, на которую увеличена исходно</w:t>
            </w:r>
          </w:p>
        </w:tc>
        <w:tc>
          <w:tcPr>
            <w:tcW w:w="2321" w:type="dxa"/>
          </w:tcPr>
          <w:p w14:paraId="16745C1A"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14:paraId="10E4390B" w14:textId="77777777" w:rsidTr="00804814">
        <w:trPr>
          <w:trHeight w:val="20"/>
          <w:jc w:val="center"/>
        </w:trPr>
        <w:tc>
          <w:tcPr>
            <w:tcW w:w="2405" w:type="dxa"/>
          </w:tcPr>
          <w:p w14:paraId="1531F659"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Лимфоциты крови</w:t>
            </w:r>
          </w:p>
        </w:tc>
        <w:tc>
          <w:tcPr>
            <w:tcW w:w="2454" w:type="dxa"/>
          </w:tcPr>
          <w:p w14:paraId="38C46D21"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&lt;4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w:t>
            </w:r>
          </w:p>
        </w:tc>
        <w:tc>
          <w:tcPr>
            <w:tcW w:w="2389" w:type="dxa"/>
          </w:tcPr>
          <w:p w14:paraId="629B58B0"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 уровня</w:t>
            </w:r>
          </w:p>
        </w:tc>
        <w:tc>
          <w:tcPr>
            <w:tcW w:w="2321" w:type="dxa"/>
          </w:tcPr>
          <w:p w14:paraId="7CA63FA3"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 уровня</w:t>
            </w:r>
          </w:p>
        </w:tc>
      </w:tr>
      <w:tr w:rsidR="000B3F2E" w:rsidRPr="005B4606" w14:paraId="4982489F" w14:textId="77777777" w:rsidTr="00804814">
        <w:trPr>
          <w:trHeight w:val="20"/>
          <w:jc w:val="center"/>
        </w:trPr>
        <w:tc>
          <w:tcPr>
            <w:tcW w:w="2405" w:type="dxa"/>
          </w:tcPr>
          <w:p w14:paraId="1E6D12F8"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lang w:val="ru-RU"/>
              </w:rPr>
              <w:t>Костный мозг</w:t>
            </w:r>
          </w:p>
        </w:tc>
        <w:tc>
          <w:tcPr>
            <w:tcW w:w="2454" w:type="dxa"/>
          </w:tcPr>
          <w:p w14:paraId="597D81DE"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Нормоклеточный,</w:t>
            </w:r>
            <w:r>
              <w:rPr>
                <w:rFonts w:ascii="Times New Roman" w:hAnsi="Times New Roman" w:cs="Times New Roman"/>
                <w:sz w:val="24"/>
                <w:szCs w:val="24"/>
                <w:lang w:val="ru-RU"/>
              </w:rPr>
              <w:br/>
            </w:r>
            <w:r w:rsidRPr="0072780B">
              <w:rPr>
                <w:rFonts w:ascii="Times New Roman" w:hAnsi="Times New Roman" w:cs="Times New Roman"/>
                <w:sz w:val="24"/>
                <w:szCs w:val="24"/>
                <w:lang w:val="ru-RU"/>
              </w:rPr>
              <w:t>&lt;30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лимфоц</w:t>
            </w:r>
            <w:r>
              <w:rPr>
                <w:rFonts w:ascii="Times New Roman" w:hAnsi="Times New Roman" w:cs="Times New Roman"/>
                <w:sz w:val="24"/>
                <w:szCs w:val="24"/>
                <w:lang w:val="ru-RU"/>
              </w:rPr>
              <w:t>итов, нет нодулярного поражения</w:t>
            </w:r>
          </w:p>
        </w:tc>
        <w:tc>
          <w:tcPr>
            <w:tcW w:w="2389" w:type="dxa"/>
          </w:tcPr>
          <w:p w14:paraId="3EEC1051"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Уменьшение инфильтрации костного мозга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на 50</w:t>
            </w:r>
            <w:r>
              <w:rPr>
                <w:rFonts w:ascii="Times New Roman" w:hAnsi="Times New Roman" w:cs="Times New Roman"/>
                <w:sz w:val="24"/>
                <w:szCs w:val="24"/>
                <w:lang w:val="ru-RU"/>
              </w:rPr>
              <w:t xml:space="preserve"> %</w:t>
            </w:r>
          </w:p>
        </w:tc>
        <w:tc>
          <w:tcPr>
            <w:tcW w:w="2321" w:type="dxa"/>
            <w:vAlign w:val="center"/>
          </w:tcPr>
          <w:p w14:paraId="013AD822" w14:textId="77777777" w:rsidR="000B3F2E" w:rsidRPr="005B4606" w:rsidRDefault="000B3F2E" w:rsidP="005D3BBD">
            <w:pPr>
              <w:ind w:left="57" w:right="57"/>
              <w:jc w:val="center"/>
              <w:rPr>
                <w:szCs w:val="24"/>
              </w:rPr>
            </w:pPr>
            <w:r>
              <w:rPr>
                <w:szCs w:val="24"/>
              </w:rPr>
              <w:t>–</w:t>
            </w:r>
          </w:p>
        </w:tc>
      </w:tr>
      <w:tr w:rsidR="000B3F2E" w:rsidRPr="005B4606" w14:paraId="1509194F" w14:textId="77777777" w:rsidTr="00804814">
        <w:trPr>
          <w:trHeight w:val="20"/>
          <w:jc w:val="center"/>
        </w:trPr>
        <w:tc>
          <w:tcPr>
            <w:tcW w:w="2405" w:type="dxa"/>
          </w:tcPr>
          <w:p w14:paraId="2628E56A"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Конституциональные </w:t>
            </w:r>
            <w:r w:rsidRPr="0072780B">
              <w:rPr>
                <w:rFonts w:ascii="Times New Roman" w:hAnsi="Times New Roman" w:cs="Times New Roman"/>
                <w:sz w:val="24"/>
                <w:szCs w:val="24"/>
                <w:lang w:val="ru-RU"/>
              </w:rPr>
              <w:lastRenderedPageBreak/>
              <w:t>симптомы</w:t>
            </w:r>
          </w:p>
        </w:tc>
        <w:tc>
          <w:tcPr>
            <w:tcW w:w="2454" w:type="dxa"/>
          </w:tcPr>
          <w:p w14:paraId="09F5D6CC"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lastRenderedPageBreak/>
              <w:t>Нет</w:t>
            </w:r>
          </w:p>
        </w:tc>
        <w:tc>
          <w:tcPr>
            <w:tcW w:w="2389" w:type="dxa"/>
          </w:tcPr>
          <w:p w14:paraId="373E07EF"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Любые</w:t>
            </w:r>
          </w:p>
        </w:tc>
        <w:tc>
          <w:tcPr>
            <w:tcW w:w="2321" w:type="dxa"/>
          </w:tcPr>
          <w:p w14:paraId="61C31BA9" w14:textId="77777777" w:rsidR="000B3F2E" w:rsidRPr="005B4606" w:rsidRDefault="000B3F2E" w:rsidP="005D3BBD">
            <w:pPr>
              <w:ind w:left="57" w:right="57"/>
              <w:jc w:val="center"/>
              <w:rPr>
                <w:szCs w:val="24"/>
              </w:rPr>
            </w:pPr>
            <w:r w:rsidRPr="005B4606">
              <w:rPr>
                <w:szCs w:val="24"/>
              </w:rPr>
              <w:t>Любые</w:t>
            </w:r>
          </w:p>
        </w:tc>
      </w:tr>
      <w:tr w:rsidR="000B3F2E" w:rsidRPr="005B4606" w14:paraId="7B97618F" w14:textId="77777777" w:rsidTr="00804814">
        <w:trPr>
          <w:trHeight w:val="20"/>
          <w:jc w:val="center"/>
        </w:trPr>
        <w:tc>
          <w:tcPr>
            <w:tcW w:w="9573" w:type="dxa"/>
            <w:gridSpan w:val="4"/>
          </w:tcPr>
          <w:p w14:paraId="191CA94B"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А. Параметры, характеризующие функцию костного мозга</w:t>
            </w:r>
          </w:p>
        </w:tc>
      </w:tr>
      <w:tr w:rsidR="000B3F2E" w:rsidRPr="005B4606" w14:paraId="458BE262" w14:textId="77777777" w:rsidTr="00804814">
        <w:trPr>
          <w:trHeight w:val="20"/>
          <w:jc w:val="center"/>
        </w:trPr>
        <w:tc>
          <w:tcPr>
            <w:tcW w:w="2405" w:type="dxa"/>
          </w:tcPr>
          <w:p w14:paraId="79869771"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Тромбоциты</w:t>
            </w:r>
          </w:p>
        </w:tc>
        <w:tc>
          <w:tcPr>
            <w:tcW w:w="2454" w:type="dxa"/>
          </w:tcPr>
          <w:p w14:paraId="3B6CCADA"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&gt;100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w:t>
            </w:r>
          </w:p>
        </w:tc>
        <w:tc>
          <w:tcPr>
            <w:tcW w:w="2389" w:type="dxa"/>
          </w:tcPr>
          <w:p w14:paraId="57AEF053"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 100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 или</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повышение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от исходного</w:t>
            </w:r>
          </w:p>
        </w:tc>
        <w:tc>
          <w:tcPr>
            <w:tcW w:w="2321" w:type="dxa"/>
          </w:tcPr>
          <w:p w14:paraId="6D4685E7"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Снижение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от исходного по причине ХЛЛ</w:t>
            </w:r>
          </w:p>
        </w:tc>
      </w:tr>
      <w:tr w:rsidR="000B3F2E" w:rsidRPr="005B4606" w14:paraId="5C4D81FA" w14:textId="77777777" w:rsidTr="00804814">
        <w:trPr>
          <w:trHeight w:val="20"/>
          <w:jc w:val="center"/>
        </w:trPr>
        <w:tc>
          <w:tcPr>
            <w:tcW w:w="2405" w:type="dxa"/>
          </w:tcPr>
          <w:p w14:paraId="22789FFF"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lang w:val="ru-RU"/>
              </w:rPr>
              <w:t>Гемоглобин</w:t>
            </w:r>
          </w:p>
        </w:tc>
        <w:tc>
          <w:tcPr>
            <w:tcW w:w="2454" w:type="dxa"/>
          </w:tcPr>
          <w:p w14:paraId="089EBDAD"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&gt;110 г/л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(без трансфузий и эритропоэтинов)</w:t>
            </w:r>
          </w:p>
        </w:tc>
        <w:tc>
          <w:tcPr>
            <w:tcW w:w="2389" w:type="dxa"/>
          </w:tcPr>
          <w:p w14:paraId="4CDF46A0"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&gt;110 г/л или повышение ≥</w:t>
            </w:r>
            <w:r w:rsidRPr="0072780B">
              <w:rPr>
                <w:rFonts w:ascii="Times New Roman" w:hAnsi="Times New Roman" w:cs="Times New Roman"/>
                <w:sz w:val="24"/>
                <w:szCs w:val="24"/>
                <w:lang w:val="ru-RU"/>
              </w:rPr>
              <w:t>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от исходного</w:t>
            </w:r>
          </w:p>
        </w:tc>
        <w:tc>
          <w:tcPr>
            <w:tcW w:w="2321" w:type="dxa"/>
          </w:tcPr>
          <w:p w14:paraId="2CA54B7B"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Снижение ≥20 г/л от исходного по причине ХЛЛ</w:t>
            </w:r>
          </w:p>
        </w:tc>
      </w:tr>
      <w:tr w:rsidR="000B3F2E" w:rsidRPr="005B4606" w14:paraId="4A2098E7" w14:textId="77777777" w:rsidTr="00804814">
        <w:trPr>
          <w:trHeight w:val="20"/>
          <w:jc w:val="center"/>
        </w:trPr>
        <w:tc>
          <w:tcPr>
            <w:tcW w:w="2405" w:type="dxa"/>
          </w:tcPr>
          <w:p w14:paraId="24803AEC"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lang w:val="ru-RU"/>
              </w:rPr>
              <w:t>Нейтрофилы</w:t>
            </w:r>
          </w:p>
        </w:tc>
        <w:tc>
          <w:tcPr>
            <w:tcW w:w="2454" w:type="dxa"/>
          </w:tcPr>
          <w:p w14:paraId="6661472C"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rPr>
            </w:pPr>
            <w:r w:rsidRPr="0072780B">
              <w:rPr>
                <w:rFonts w:ascii="Times New Roman" w:hAnsi="Times New Roman" w:cs="Times New Roman"/>
                <w:sz w:val="24"/>
                <w:szCs w:val="24"/>
              </w:rPr>
              <w:t>&gt;1,5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rPr>
              <w:t>/л</w:t>
            </w:r>
          </w:p>
        </w:tc>
        <w:tc>
          <w:tcPr>
            <w:tcW w:w="2389" w:type="dxa"/>
          </w:tcPr>
          <w:p w14:paraId="3CF46237"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&gt;1,5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 или</w:t>
            </w:r>
          </w:p>
          <w:p w14:paraId="06689BCB"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повышение &gt;50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w:t>
            </w:r>
          </w:p>
        </w:tc>
        <w:tc>
          <w:tcPr>
            <w:tcW w:w="2321" w:type="dxa"/>
            <w:vAlign w:val="center"/>
          </w:tcPr>
          <w:p w14:paraId="762D7CFB" w14:textId="77777777" w:rsidR="000B3F2E" w:rsidRPr="005B4606" w:rsidRDefault="000B3F2E" w:rsidP="005D3BBD">
            <w:pPr>
              <w:ind w:left="57" w:right="57"/>
              <w:jc w:val="center"/>
              <w:rPr>
                <w:szCs w:val="24"/>
              </w:rPr>
            </w:pPr>
            <w:r>
              <w:rPr>
                <w:szCs w:val="24"/>
              </w:rPr>
              <w:t>–</w:t>
            </w:r>
          </w:p>
        </w:tc>
      </w:tr>
    </w:tbl>
    <w:p w14:paraId="5F96A929" w14:textId="645B36E6" w:rsidR="000B3F2E" w:rsidRDefault="000B3F2E" w:rsidP="004E3A70">
      <w:r>
        <w:t>Стабилизация заболевания устанавливается в ситуациях, не удовлетворяющих критериям ни частичной ремиссии, ни прогрессии.</w:t>
      </w:r>
    </w:p>
    <w:p w14:paraId="1A561203" w14:textId="26BA643F" w:rsidR="00EF640F" w:rsidRDefault="00EF640F" w:rsidP="004E3A70"/>
    <w:p w14:paraId="5D0EC96B" w14:textId="637175E0" w:rsidR="006B1126" w:rsidRDefault="006B1126" w:rsidP="006B1126">
      <w:pPr>
        <w:pStyle w:val="2"/>
      </w:pPr>
      <w:bookmarkStart w:id="75" w:name="_Toc65068820"/>
      <w:r>
        <w:rPr>
          <w:rFonts w:eastAsia="Calibri"/>
          <w:szCs w:val="22"/>
        </w:rPr>
        <w:t>7.4.</w:t>
      </w:r>
      <w:r w:rsidRPr="005613A8">
        <w:rPr>
          <w:rFonts w:eastAsia="Calibri"/>
          <w:szCs w:val="22"/>
        </w:rPr>
        <w:t xml:space="preserve"> </w:t>
      </w:r>
      <w:r w:rsidRPr="00761653">
        <w:t xml:space="preserve">Диагностика и лечение </w:t>
      </w:r>
      <w:r>
        <w:t xml:space="preserve">бактериальных </w:t>
      </w:r>
      <w:r w:rsidRPr="00761653">
        <w:t>инфекционных осложнений</w:t>
      </w:r>
      <w:r>
        <w:t xml:space="preserve"> у пациентов с ХЛЛ/ЛМЛ</w:t>
      </w:r>
      <w:bookmarkEnd w:id="75"/>
    </w:p>
    <w:p w14:paraId="1B520157" w14:textId="77777777" w:rsidR="006B1126" w:rsidRDefault="006B1126" w:rsidP="006B1126">
      <w:pPr>
        <w:widowControl w:val="0"/>
        <w:autoSpaceDE w:val="0"/>
        <w:autoSpaceDN w:val="0"/>
        <w:adjustRightInd w:val="0"/>
        <w:ind w:right="49" w:firstLine="709"/>
        <w:contextualSpacing/>
      </w:pPr>
      <w:r w:rsidRPr="00761653">
        <w:t xml:space="preserve">Инфекции являются ведущими осложнениями при лечении </w:t>
      </w:r>
      <w:r>
        <w:t xml:space="preserve">ХЛЛ/ЛМЛ, </w:t>
      </w:r>
      <w:r w:rsidRPr="00761653">
        <w:t xml:space="preserve">частота инфекционных осложнений варьирует от 10 до 30%, </w:t>
      </w:r>
      <w:r>
        <w:t xml:space="preserve">она </w:t>
      </w:r>
      <w:r w:rsidRPr="00761653">
        <w:t xml:space="preserve">выше в </w:t>
      </w:r>
      <w:r>
        <w:t xml:space="preserve">период </w:t>
      </w:r>
      <w:r w:rsidRPr="00761653">
        <w:t>индукции</w:t>
      </w:r>
      <w:r>
        <w:t xml:space="preserve"> ремиссии</w:t>
      </w:r>
      <w:r w:rsidRPr="00761653">
        <w:t>, при резистентном варианте опухоли, при высокодозной химиотерапии</w:t>
      </w:r>
      <w:r>
        <w:t xml:space="preserve">, </w:t>
      </w:r>
      <w:r w:rsidRPr="0076198F">
        <w:t>при сопуствующей гипогаммаглобулинемии, в период вынужденной гиподинамии и постоянного постельного режима</w:t>
      </w:r>
      <w:r w:rsidRPr="00761653">
        <w:t xml:space="preserve">.  </w:t>
      </w:r>
      <w:r>
        <w:t>Важным фактором</w:t>
      </w:r>
      <w:r w:rsidRPr="00761653">
        <w:t>, определяющим развитие инфекционных осложнений</w:t>
      </w:r>
      <w:r>
        <w:t xml:space="preserve">, </w:t>
      </w:r>
      <w:r w:rsidRPr="00761653">
        <w:t>является нейтропения (нейтрофил</w:t>
      </w:r>
      <w:r>
        <w:t>ы</w:t>
      </w:r>
      <w:r w:rsidRPr="00761653">
        <w:t xml:space="preserve"> &lt;</w:t>
      </w:r>
      <w:r>
        <w:t xml:space="preserve"> </w:t>
      </w:r>
      <w:r w:rsidRPr="00761653">
        <w:t>0,5</w:t>
      </w:r>
      <w:r>
        <w:t> </w:t>
      </w:r>
      <w:r w:rsidRPr="00761653">
        <w:t>х</w:t>
      </w:r>
      <w:r>
        <w:t> </w:t>
      </w:r>
      <w:r w:rsidRPr="00761653">
        <w:t>10</w:t>
      </w:r>
      <w:r w:rsidRPr="00761653">
        <w:rPr>
          <w:vertAlign w:val="superscript"/>
        </w:rPr>
        <w:t>9</w:t>
      </w:r>
      <w:r w:rsidRPr="00761653">
        <w:t>/л) или лейкопения (лейкоцит</w:t>
      </w:r>
      <w:r>
        <w:t>ы</w:t>
      </w:r>
      <w:r w:rsidRPr="00761653">
        <w:t xml:space="preserve"> ≤ 1</w:t>
      </w:r>
      <w:r>
        <w:t> </w:t>
      </w:r>
      <w:r w:rsidRPr="00761653">
        <w:t>000</w:t>
      </w:r>
      <w:r>
        <w:t> </w:t>
      </w:r>
      <w:r w:rsidRPr="00761653">
        <w:t>х</w:t>
      </w:r>
      <w:r>
        <w:t> </w:t>
      </w:r>
      <w:r w:rsidRPr="00761653">
        <w:t>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при дефектах 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наличии 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w:t>
      </w:r>
    </w:p>
    <w:p w14:paraId="340A1690" w14:textId="77777777" w:rsidR="006B1126" w:rsidRPr="00761653" w:rsidRDefault="006B1126" w:rsidP="006B1126">
      <w:pPr>
        <w:ind w:firstLine="708"/>
      </w:pPr>
      <w:r w:rsidRPr="00761653">
        <w:t xml:space="preserve">Инфекционные осложнения у </w:t>
      </w:r>
      <w:r>
        <w:t>пациентов</w:t>
      </w:r>
      <w:r w:rsidRPr="00761653">
        <w:t xml:space="preserve"> с </w:t>
      </w:r>
      <w:r>
        <w:t>ХЛЛ/ЛМЛ</w:t>
      </w:r>
      <w:r w:rsidRPr="00761653">
        <w:t xml:space="preserve"> характеризуются разнообразием как по этиологии, так и по локализации инфекционного процесса. </w:t>
      </w:r>
      <w:r>
        <w:t xml:space="preserve">Ниже </w:t>
      </w:r>
      <w:r w:rsidRPr="00761653">
        <w:t xml:space="preserve">представлен комплекс лабораторных исследований для диагностики инфекционных </w:t>
      </w:r>
      <w:r w:rsidRPr="00761653">
        <w:lastRenderedPageBreak/>
        <w:t xml:space="preserve">осложнений, а также подходы к их терапии, которые отличаются </w:t>
      </w:r>
      <w:r>
        <w:t>в зависимости от наличия/отсутствия</w:t>
      </w:r>
      <w:r w:rsidRPr="00761653">
        <w:t xml:space="preserve"> нейтропении.</w:t>
      </w:r>
    </w:p>
    <w:p w14:paraId="02104F62" w14:textId="77777777" w:rsidR="006B1126" w:rsidRDefault="006B1126" w:rsidP="006B1126">
      <w:pPr>
        <w:widowControl w:val="0"/>
        <w:autoSpaceDE w:val="0"/>
        <w:autoSpaceDN w:val="0"/>
        <w:adjustRightInd w:val="0"/>
        <w:ind w:right="49"/>
        <w:contextualSpacing/>
        <w:rPr>
          <w:b/>
        </w:rPr>
      </w:pPr>
    </w:p>
    <w:p w14:paraId="46C21780" w14:textId="3C8F2C6E" w:rsidR="006B1126" w:rsidRPr="00C64406" w:rsidRDefault="00BD38D8" w:rsidP="006B1126">
      <w:pPr>
        <w:widowControl w:val="0"/>
        <w:autoSpaceDE w:val="0"/>
        <w:autoSpaceDN w:val="0"/>
        <w:adjustRightInd w:val="0"/>
        <w:ind w:right="49"/>
        <w:contextualSpacing/>
        <w:rPr>
          <w:bCs/>
          <w:u w:val="single"/>
        </w:rPr>
      </w:pPr>
      <w:r>
        <w:rPr>
          <w:bCs/>
          <w:u w:val="single"/>
        </w:rPr>
        <w:t xml:space="preserve">7.4.1 </w:t>
      </w:r>
      <w:r w:rsidR="006B1126" w:rsidRPr="00C64406">
        <w:rPr>
          <w:bCs/>
          <w:u w:val="single"/>
        </w:rPr>
        <w:t>Этиология инфекционных осложнений</w:t>
      </w:r>
    </w:p>
    <w:p w14:paraId="1F0C6C7C" w14:textId="2A42AD52" w:rsidR="006B1126" w:rsidRPr="00761653" w:rsidRDefault="006B1126" w:rsidP="006B1126">
      <w:pPr>
        <w:widowControl w:val="0"/>
        <w:autoSpaceDE w:val="0"/>
        <w:autoSpaceDN w:val="0"/>
        <w:adjustRightInd w:val="0"/>
        <w:ind w:right="49" w:firstLine="709"/>
        <w:contextualSpacing/>
      </w:pPr>
      <w:r w:rsidRPr="00761653">
        <w:t xml:space="preserve">Этиологическая структура возбудителей у </w:t>
      </w:r>
      <w:r>
        <w:t>гематологических пациентов, в том числе, пациентов с ХЛЛ/ЛМЛ, разнообразна</w:t>
      </w:r>
      <w:r w:rsidRPr="00761653">
        <w:t xml:space="preserve"> и включает бактерии, грибы (дрожжевые и плесневые), герпесвирусы. В первые 7-10 дней 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w:t>
      </w:r>
      <w:r>
        <w:t xml:space="preserve"> </w:t>
      </w:r>
      <w:r>
        <w:fldChar w:fldCharType="begin" w:fldLock="1"/>
      </w:r>
      <w:r w:rsidR="00BA7FFC">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mendeley":{"formattedCitation":"[75]","plainTextFormattedCitation":"[75]","previouslyFormattedCitation":"[75]"},"properties":{"noteIndex":0},"schema":"https://github.com/citation-style-language/schema/raw/master/csl-citation.json"}</w:instrText>
      </w:r>
      <w:r>
        <w:fldChar w:fldCharType="separate"/>
      </w:r>
      <w:r w:rsidR="00225D7F" w:rsidRPr="00225D7F">
        <w:rPr>
          <w:noProof/>
        </w:rPr>
        <w:t>[75]</w:t>
      </w:r>
      <w:r>
        <w:fldChar w:fldCharType="end"/>
      </w:r>
      <w:r w:rsidRPr="00761653">
        <w:t>. В этиологии инфекций кровотока на долю грамотрицательных бактерий приходится 49,7%, грамположительных бактерий - 42,7%, дрожжеподобных грибов – 7,4%</w:t>
      </w:r>
      <w:r>
        <w:t xml:space="preserve"> </w:t>
      </w:r>
      <w:r>
        <w:fldChar w:fldCharType="begin" w:fldLock="1"/>
      </w:r>
      <w:r w:rsidR="00144E38">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[26]","plainTextFormattedCitation":"[26]","previouslyFormattedCitation":"[26]"},"properties":{"noteIndex":0},"schema":"https://github.com/citation-style-language/schema/raw/master/csl-citation.json"}</w:instrText>
      </w:r>
      <w:r>
        <w:fldChar w:fldCharType="separate"/>
      </w:r>
      <w:r w:rsidR="004B5937" w:rsidRPr="004B5937">
        <w:rPr>
          <w:noProof/>
        </w:rPr>
        <w:t>[26]</w:t>
      </w:r>
      <w:r>
        <w:fldChar w:fldCharType="end"/>
      </w:r>
      <w:r w:rsidRPr="00761653">
        <w:t xml:space="preserve">. Основными возбудителями сепсиса являются </w:t>
      </w:r>
      <w:r w:rsidRPr="00761653">
        <w:rPr>
          <w:i/>
          <w:iCs/>
        </w:rPr>
        <w:t>Escherichia coli</w:t>
      </w:r>
      <w:r w:rsidRPr="00761653">
        <w:t xml:space="preserve"> (17,8%), коагулазонегативные стафилококки (17,4%), </w:t>
      </w:r>
      <w:r w:rsidRPr="00761653">
        <w:rPr>
          <w:i/>
          <w:iCs/>
        </w:rPr>
        <w:t>Enterococcus</w:t>
      </w:r>
      <w:r w:rsidRPr="00761653">
        <w:t xml:space="preserve"> spp. (10,3%), </w:t>
      </w:r>
      <w:r w:rsidRPr="00761653">
        <w:rPr>
          <w:i/>
          <w:iCs/>
        </w:rPr>
        <w:t>Pseudomonas aeruginosa</w:t>
      </w:r>
      <w:r w:rsidRPr="00761653">
        <w:t xml:space="preserve"> (7,6%), </w:t>
      </w:r>
      <w:r w:rsidRPr="00761653">
        <w:rPr>
          <w:i/>
          <w:iCs/>
        </w:rPr>
        <w:t>Klebsiella pneumoniae</w:t>
      </w:r>
      <w:r w:rsidRPr="00761653">
        <w:t xml:space="preserve"> (8,2%). В последние годы увеличилась детекция </w:t>
      </w:r>
      <w:r w:rsidRPr="00761653">
        <w:rPr>
          <w:i/>
          <w:iCs/>
        </w:rPr>
        <w:t>Acinetobacte</w:t>
      </w:r>
      <w:r w:rsidRPr="00761653">
        <w:rPr>
          <w:i/>
        </w:rPr>
        <w:t>r</w:t>
      </w:r>
      <w:r w:rsidRPr="00761653">
        <w:t xml:space="preserve"> spp. и </w:t>
      </w:r>
      <w:r w:rsidRPr="00761653">
        <w:rPr>
          <w:i/>
          <w:iCs/>
        </w:rPr>
        <w:t>Stenotrophomonas maltophilia</w:t>
      </w:r>
      <w:r w:rsidRPr="00761653">
        <w:t xml:space="preserve">, и они входят в число пяти ведущих грамотрицательных бактерий при инфекциях кровотока после </w:t>
      </w:r>
      <w:r w:rsidRPr="00761653">
        <w:rPr>
          <w:i/>
          <w:iCs/>
        </w:rPr>
        <w:t>E.coli</w:t>
      </w:r>
      <w:r w:rsidRPr="00761653">
        <w:t xml:space="preserve">, </w:t>
      </w:r>
      <w:r w:rsidRPr="00761653">
        <w:rPr>
          <w:i/>
          <w:iCs/>
        </w:rPr>
        <w:t>K. pneumoniae, P.aeruginosa</w:t>
      </w:r>
      <w:r w:rsidRPr="00761653">
        <w:t>.</w:t>
      </w:r>
    </w:p>
    <w:p w14:paraId="3AAA9981" w14:textId="0EE041C4" w:rsidR="006B1126" w:rsidRPr="00761653" w:rsidRDefault="006B1126" w:rsidP="006B1126">
      <w:pPr>
        <w:widowControl w:val="0"/>
        <w:autoSpaceDE w:val="0"/>
        <w:autoSpaceDN w:val="0"/>
        <w:adjustRightInd w:val="0"/>
        <w:ind w:right="49" w:firstLine="709"/>
        <w:contextualSpacing/>
      </w:pPr>
      <w:r w:rsidRPr="00761653">
        <w:t>Основными механизмами устойчивости у энтеробактерий являются продукция бета-лактамаз расширенного спектра (БЛРС</w:t>
      </w:r>
      <w:r>
        <w:t>) –</w:t>
      </w:r>
      <w:r w:rsidRPr="00761653">
        <w:t xml:space="preserve"> </w:t>
      </w:r>
      <w:r>
        <w:t xml:space="preserve">в </w:t>
      </w:r>
      <w:r w:rsidRPr="00761653">
        <w:t xml:space="preserve">40-50% </w:t>
      </w:r>
      <w:r>
        <w:t xml:space="preserve">случаев, </w:t>
      </w:r>
      <w:r w:rsidRPr="00761653">
        <w:t xml:space="preserve">и детекция карбапенемаз, преимущественно у </w:t>
      </w:r>
      <w:r w:rsidRPr="00761653">
        <w:rPr>
          <w:i/>
        </w:rPr>
        <w:t xml:space="preserve">K. pneumoniae </w:t>
      </w:r>
      <w:r w:rsidRPr="00761653">
        <w:t xml:space="preserve">(10-30%). Устойчивость </w:t>
      </w:r>
      <w:r w:rsidRPr="00761653">
        <w:rPr>
          <w:i/>
        </w:rPr>
        <w:t>P. aerugino</w:t>
      </w:r>
      <w:r w:rsidRPr="00761653">
        <w:t xml:space="preserve">sa составляет к карбапенемам и колистину 40-50% и 29%, соответственно, шатммов </w:t>
      </w:r>
      <w:r w:rsidRPr="00761653">
        <w:rPr>
          <w:i/>
        </w:rPr>
        <w:t>Acinetobacter baumannii</w:t>
      </w:r>
      <w:r w:rsidRPr="00761653">
        <w:t xml:space="preserve"> к карбапенемам - 65-70%</w:t>
      </w:r>
      <w:r>
        <w:t xml:space="preserve"> </w:t>
      </w:r>
      <w:r>
        <w:fldChar w:fldCharType="begin" w:fldLock="1"/>
      </w:r>
      <w:r w:rsidR="00BA7FFC">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mendeley":{"formattedCitation":"[76]","plainTextFormattedCitation":"[76]","previouslyFormattedCitation":"[76]"},"properties":{"noteIndex":0},"schema":"https://github.com/citation-style-language/schema/raw/master/csl-citation.json"}</w:instrText>
      </w:r>
      <w:r>
        <w:fldChar w:fldCharType="separate"/>
      </w:r>
      <w:r w:rsidR="00225D7F" w:rsidRPr="00225D7F">
        <w:rPr>
          <w:noProof/>
        </w:rPr>
        <w:t>[76]</w:t>
      </w:r>
      <w:r>
        <w:fldChar w:fldCharType="end"/>
      </w:r>
      <w:r w:rsidRPr="00761653">
        <w:t xml:space="preserve">. Среди грамположительных бактерий отмечена устойчивость </w:t>
      </w:r>
      <w:r w:rsidRPr="00761653">
        <w:rPr>
          <w:i/>
          <w:iCs/>
        </w:rPr>
        <w:t xml:space="preserve">Enterococcus faecium </w:t>
      </w:r>
      <w:r w:rsidRPr="00761653">
        <w:t xml:space="preserve">к ванкомицину (15%). Для грибов рода </w:t>
      </w:r>
      <w:r w:rsidRPr="00761653">
        <w:rPr>
          <w:i/>
        </w:rPr>
        <w:t>Candida</w:t>
      </w:r>
      <w:r w:rsidRPr="00761653">
        <w:t xml:space="preserve"> характерно снижение доли </w:t>
      </w:r>
      <w:r w:rsidRPr="00761653">
        <w:rPr>
          <w:i/>
        </w:rPr>
        <w:t>С. albicans</w:t>
      </w:r>
      <w:r w:rsidRPr="00761653">
        <w:t xml:space="preserve"> до 30% и широкое видовое разнообразие </w:t>
      </w:r>
      <w:r w:rsidRPr="00761653">
        <w:rPr>
          <w:i/>
          <w:iCs/>
        </w:rPr>
        <w:t>Candida</w:t>
      </w:r>
      <w:r w:rsidRPr="00761653">
        <w:t xml:space="preserve"> non-</w:t>
      </w:r>
      <w:r w:rsidRPr="00761653">
        <w:rPr>
          <w:i/>
          <w:iCs/>
        </w:rPr>
        <w:t>albicans</w:t>
      </w:r>
      <w:r>
        <w:rPr>
          <w:i/>
          <w:iCs/>
        </w:rPr>
        <w:t xml:space="preserve"> </w:t>
      </w:r>
      <w:r>
        <w:rPr>
          <w:i/>
          <w:iCs/>
        </w:rPr>
        <w:fldChar w:fldCharType="begin" w:fldLock="1"/>
      </w:r>
      <w:r w:rsidR="00144E38">
        <w:rPr>
          <w:i/>
          <w:iCs/>
        </w:rPr>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[26]","plainTextFormattedCitation":"[26]","previouslyFormattedCitation":"[26]"},"properties":{"noteIndex":0},"schema":"https://github.com/citation-style-language/schema/raw/master/csl-citation.json"}</w:instrText>
      </w:r>
      <w:r>
        <w:rPr>
          <w:i/>
          <w:iCs/>
        </w:rPr>
        <w:fldChar w:fldCharType="separate"/>
      </w:r>
      <w:r w:rsidR="004B5937" w:rsidRPr="004B5937">
        <w:rPr>
          <w:iCs/>
          <w:noProof/>
        </w:rPr>
        <w:t>[26]</w:t>
      </w:r>
      <w:r>
        <w:rPr>
          <w:i/>
          <w:iCs/>
        </w:rPr>
        <w:fldChar w:fldCharType="end"/>
      </w:r>
      <w:r w:rsidRPr="00761653">
        <w:t>.</w:t>
      </w:r>
    </w:p>
    <w:p w14:paraId="3DCFB624" w14:textId="77777777" w:rsidR="006B1126" w:rsidRDefault="006B1126" w:rsidP="006B1126">
      <w:pPr>
        <w:widowControl w:val="0"/>
        <w:autoSpaceDE w:val="0"/>
        <w:autoSpaceDN w:val="0"/>
        <w:adjustRightInd w:val="0"/>
        <w:ind w:right="49"/>
        <w:contextualSpacing/>
        <w:rPr>
          <w:b/>
        </w:rPr>
      </w:pPr>
    </w:p>
    <w:p w14:paraId="648B5978" w14:textId="0FDD0AAD" w:rsidR="006B1126" w:rsidRPr="00C64406" w:rsidRDefault="00BD38D8" w:rsidP="006B1126">
      <w:pPr>
        <w:widowControl w:val="0"/>
        <w:autoSpaceDE w:val="0"/>
        <w:autoSpaceDN w:val="0"/>
        <w:adjustRightInd w:val="0"/>
        <w:ind w:right="49"/>
        <w:contextualSpacing/>
        <w:rPr>
          <w:bCs/>
          <w:u w:val="single"/>
        </w:rPr>
      </w:pPr>
      <w:r>
        <w:rPr>
          <w:bCs/>
          <w:u w:val="single"/>
        </w:rPr>
        <w:t xml:space="preserve">7.4.2 </w:t>
      </w:r>
      <w:r w:rsidR="006B1126" w:rsidRPr="00C64406">
        <w:rPr>
          <w:bCs/>
          <w:u w:val="single"/>
        </w:rPr>
        <w:t>Клинические проявления инфекций</w:t>
      </w:r>
    </w:p>
    <w:p w14:paraId="50F43AFE" w14:textId="77777777" w:rsidR="006B1126" w:rsidRDefault="006B1126" w:rsidP="006B1126">
      <w:pPr>
        <w:widowControl w:val="0"/>
        <w:autoSpaceDE w:val="0"/>
        <w:autoSpaceDN w:val="0"/>
        <w:adjustRightInd w:val="0"/>
        <w:ind w:right="49" w:firstLine="709"/>
        <w:contextualSpacing/>
      </w:pPr>
      <w:r w:rsidRPr="00761653">
        <w:t xml:space="preserve">Для инфекций периода нейтропении/лейкопении характерными признаками являются </w:t>
      </w:r>
    </w:p>
    <w:p w14:paraId="4487F96A" w14:textId="77777777" w:rsidR="006B1126" w:rsidRDefault="006B1126" w:rsidP="00D61785">
      <w:pPr>
        <w:pStyle w:val="a4"/>
        <w:widowControl w:val="0"/>
        <w:numPr>
          <w:ilvl w:val="0"/>
          <w:numId w:val="32"/>
        </w:numPr>
        <w:autoSpaceDE w:val="0"/>
        <w:autoSpaceDN w:val="0"/>
        <w:adjustRightInd w:val="0"/>
        <w:spacing w:before="0"/>
        <w:ind w:right="49"/>
        <w:contextualSpacing/>
      </w:pPr>
      <w:r w:rsidRPr="00940E71">
        <w:t xml:space="preserve">скудность </w:t>
      </w:r>
      <w:r>
        <w:t xml:space="preserve">клинических проявлений; </w:t>
      </w:r>
    </w:p>
    <w:p w14:paraId="2F783ADD" w14:textId="77777777" w:rsidR="006B1126" w:rsidRDefault="006B1126" w:rsidP="00D61785">
      <w:pPr>
        <w:pStyle w:val="a4"/>
        <w:widowControl w:val="0"/>
        <w:numPr>
          <w:ilvl w:val="0"/>
          <w:numId w:val="32"/>
        </w:numPr>
        <w:autoSpaceDE w:val="0"/>
        <w:autoSpaceDN w:val="0"/>
        <w:adjustRightInd w:val="0"/>
        <w:spacing w:before="0"/>
        <w:ind w:right="49"/>
        <w:contextualSpacing/>
      </w:pPr>
      <w:r w:rsidRPr="00940E71">
        <w:t>вероятность наличия одновременно разных возбудителей и разной локал</w:t>
      </w:r>
      <w:r>
        <w:t xml:space="preserve">изации инфекционного процесса; </w:t>
      </w:r>
    </w:p>
    <w:p w14:paraId="32770495" w14:textId="77777777" w:rsidR="006B1126" w:rsidRPr="00940E71" w:rsidRDefault="006B1126" w:rsidP="00D61785">
      <w:pPr>
        <w:pStyle w:val="a4"/>
        <w:widowControl w:val="0"/>
        <w:numPr>
          <w:ilvl w:val="0"/>
          <w:numId w:val="32"/>
        </w:numPr>
        <w:autoSpaceDE w:val="0"/>
        <w:autoSpaceDN w:val="0"/>
        <w:adjustRightInd w:val="0"/>
        <w:spacing w:before="0"/>
        <w:ind w:right="49"/>
        <w:contextualSpacing/>
      </w:pPr>
      <w:r w:rsidRPr="00940E71">
        <w:t xml:space="preserve">возможность появления других возбудителей и другого по локализации инфекционного процесса по мере удлинения </w:t>
      </w:r>
      <w:r>
        <w:t xml:space="preserve">периода </w:t>
      </w:r>
      <w:r w:rsidRPr="00940E71">
        <w:t xml:space="preserve">нейтропении. </w:t>
      </w:r>
    </w:p>
    <w:p w14:paraId="1AF788DF" w14:textId="77777777" w:rsidR="006B1126" w:rsidRPr="00761653" w:rsidRDefault="006B1126" w:rsidP="006B1126">
      <w:pPr>
        <w:widowControl w:val="0"/>
        <w:autoSpaceDE w:val="0"/>
        <w:autoSpaceDN w:val="0"/>
        <w:adjustRightInd w:val="0"/>
        <w:ind w:right="49" w:firstLine="709"/>
        <w:contextualSpacing/>
      </w:pPr>
      <w:r w:rsidRPr="00761653">
        <w:t>Под лихорадкой подразумевают однократно зарегистрированное повышение температуры тела ≥38,0°С, не связанное с другими причинами</w:t>
      </w:r>
      <w:r>
        <w:t xml:space="preserve"> (</w:t>
      </w:r>
      <w:r w:rsidRPr="00761653">
        <w:t xml:space="preserve">реакции на трансфузии </w:t>
      </w:r>
      <w:r w:rsidRPr="00761653">
        <w:lastRenderedPageBreak/>
        <w:t>компонентов крови</w:t>
      </w:r>
      <w:r>
        <w:t xml:space="preserve">, на </w:t>
      </w:r>
      <w:r w:rsidRPr="00761653">
        <w:t>вводимы</w:t>
      </w:r>
      <w:r>
        <w:t>е</w:t>
      </w:r>
      <w:r w:rsidRPr="00761653">
        <w:t xml:space="preserve"> медикамент</w:t>
      </w:r>
      <w:r>
        <w:t>ы</w:t>
      </w:r>
      <w:r w:rsidRPr="00761653">
        <w:t>, опухолевая лихоракдка</w:t>
      </w:r>
      <w:r>
        <w:t>)</w:t>
      </w:r>
      <w:r w:rsidRPr="00761653">
        <w:t>.</w:t>
      </w:r>
    </w:p>
    <w:p w14:paraId="254A8417" w14:textId="1B4244A7" w:rsidR="006B1126" w:rsidRPr="00761653" w:rsidRDefault="006B1126" w:rsidP="006B1126">
      <w:pPr>
        <w:widowControl w:val="0"/>
        <w:autoSpaceDE w:val="0"/>
        <w:autoSpaceDN w:val="0"/>
        <w:adjustRightInd w:val="0"/>
        <w:ind w:right="49" w:firstLine="709"/>
        <w:contextualSpacing/>
      </w:pPr>
      <w:r w:rsidRPr="00761653">
        <w:t xml:space="preserve">Существует обобщающий термин “фебрильная нейтропения”, включающий все случаи фебрильной температуры у </w:t>
      </w:r>
      <w:r>
        <w:t>пациентов</w:t>
      </w:r>
      <w:r w:rsidRPr="00761653">
        <w:t xml:space="preserve"> с нейтропенией/лейкопенией. В 90-ые годы наиболее частым проявлением фебрильной нейтропении (≈ 50% случаев) являлась лихорадка неясной этиологии, к которой относят только повышение температуры без каких-либо других проявлений инфекции в период нейтропении</w:t>
      </w:r>
      <w:r>
        <w:t xml:space="preserve"> </w:t>
      </w:r>
      <w:r>
        <w:fldChar w:fldCharType="begin" w:fldLock="1"/>
      </w:r>
      <w:r w:rsidR="00BA7FFC">
        <w:instrText>ADDIN CSL_CITATION {"citationItems":[{"id":"ITEM-1","itemData":{"author":[{"dropping-particle":"","family":"Клясова","given":"Г.А.","non-dropping-particle":"","parse-names":false,"suffix":""},{"dropping-particle":"","family":"Савченко","given":"В.Г.","non-dropping-particle":"","parse-names":false,"suffix":""},{"dropping-particle":"","family":"Паровичникова","given":"Е.Н.","non-dropping-particle":"","parse-names":false,"suffix":""},{"dropping-particle":"","family":"Исаев","given":"В.Г.","non-dropping-particle":"","parse-names":false,"suffix":""},{"dropping-particle":"","family":"Толкачева","given":"Т.В.","non-dropping-particle":"","parse-names":false,"suffix":""},{"dropping-particle":"","family":"Маслова","given":"Е.Р.","non-dropping-particle":"","parse-names":false,"suffix":""}],"container-title":"Терапевтический архив","id":"ITEM-1","issue":"7","issued":{"date-parts":[["1998"]]},"page":"15-21","title":"Эмпирическая антимикробная терапия у больных острыми лейкозами: итоги многоцентрового исследования","type":"article-journal","volume":"70"},"uris":["http://www.mendeley.com/documents/?uuid=8c0ade5e-966e-4a67-abb0-83bf29a0c9b4"]}],"mendeley":{"formattedCitation":"[77]","plainTextFormattedCitation":"[77]","previouslyFormattedCitation":"[77]"},"properties":{"noteIndex":0},"schema":"https://github.com/citation-style-language/schema/raw/master/csl-citation.json"}</w:instrText>
      </w:r>
      <w:r>
        <w:fldChar w:fldCharType="separate"/>
      </w:r>
      <w:r w:rsidR="00225D7F" w:rsidRPr="00225D7F">
        <w:rPr>
          <w:noProof/>
        </w:rPr>
        <w:t>[77]</w:t>
      </w:r>
      <w:r>
        <w:fldChar w:fldCharType="end"/>
      </w:r>
      <w:r w:rsidRPr="00761653">
        <w:t>. Реже встречались клинически и микробиологически доказанные инфекции. К клинически доказанным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дока</w:t>
      </w:r>
      <w:r>
        <w:t>занных инфекций</w:t>
      </w:r>
      <w:r w:rsidRPr="00761653">
        <w:t xml:space="preserve"> являются пневмония, инфекция мягких тканей, инфекция промежности</w:t>
      </w:r>
      <w:r>
        <w:t xml:space="preserve"> (в т. ч. парапроктит)</w:t>
      </w:r>
      <w:r w:rsidRPr="00761653">
        <w:t xml:space="preserve">. Микробиологическим подтверждением инфекции в период гранулоцитопении в большинстве случаев является выделение микроорганизмов из гемокультуры. В последнее время возможности диагностики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благодаря введению в лабораторную практику автоматических анализаторов и новых технологий для идентификации микроорганизмов. В настоящее время у </w:t>
      </w:r>
      <w:r>
        <w:t>пациентов с</w:t>
      </w:r>
      <w:r w:rsidRPr="00761653">
        <w:t xml:space="preserve"> острыми лейкозами преобладают клинически доказанные инфекция (44-47%), среди них пневмонии (23-35%) и инфекции кожи и мягких тканей (12-21%), реже регистрируют лихорадку неясной этиологии (29-39%), частота выделения микроорганизмов из кровотока составляет 17-24%</w:t>
      </w:r>
      <w:r>
        <w:t xml:space="preserve"> </w:t>
      </w:r>
      <w:r>
        <w:fldChar w:fldCharType="begin" w:fldLock="1"/>
      </w:r>
      <w:r w:rsidR="00BA7FFC">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id":"ITEM-2","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dropping-particle":"","family":"Коробова","given":"А.Г.","non-dropping-particle":"","parse-names":false,"suffix":""},{"dropping-particle":"","family":"Фролова","given":"И.Н.","non-dropping-particle":"","parse-names":false,"suffix":""},{"dropping-particle":"","family":"Савченко","given":"В.Г.","non-dropping-particle":"","parse-names":false,"suffix":""}],"container-title":"Онкогематология","id":"ITEM-2","issue":"3","issued":{"date-parts":[["2017"]]},"page":"31-40","title":"Инфекционные осложнения у взрослых больных острыми лимфобластными лейкозами на разных этапах химиотерапии по протоколу ОЛЛ-2009.","type":"article-journal","volume":"12"},"uris":["http://www.mendeley.com/documents/?uuid=810418fa-d337-48c2-843d-da3d3f2ec2c8"]}],"mendeley":{"formattedCitation":"[75,78]","plainTextFormattedCitation":"[75,78]","previouslyFormattedCitation":"[75,78]"},"properties":{"noteIndex":0},"schema":"https://github.com/citation-style-language/schema/raw/master/csl-citation.json"}</w:instrText>
      </w:r>
      <w:r>
        <w:fldChar w:fldCharType="separate"/>
      </w:r>
      <w:r w:rsidR="00225D7F" w:rsidRPr="00225D7F">
        <w:rPr>
          <w:noProof/>
        </w:rPr>
        <w:t>[75,78]</w:t>
      </w:r>
      <w:r>
        <w:fldChar w:fldCharType="end"/>
      </w:r>
      <w:r w:rsidRPr="00761653">
        <w:t>.</w:t>
      </w:r>
    </w:p>
    <w:p w14:paraId="36BA3F39" w14:textId="77777777" w:rsidR="006B1126" w:rsidRDefault="006B1126" w:rsidP="006B1126">
      <w:pPr>
        <w:widowControl w:val="0"/>
        <w:autoSpaceDE w:val="0"/>
        <w:autoSpaceDN w:val="0"/>
        <w:adjustRightInd w:val="0"/>
        <w:ind w:right="49"/>
        <w:contextualSpacing/>
        <w:rPr>
          <w:b/>
        </w:rPr>
      </w:pPr>
    </w:p>
    <w:p w14:paraId="22183185" w14:textId="3462F5B0" w:rsidR="006B1126" w:rsidRPr="008F51ED" w:rsidRDefault="00BD38D8" w:rsidP="006B1126">
      <w:pPr>
        <w:widowControl w:val="0"/>
        <w:autoSpaceDE w:val="0"/>
        <w:autoSpaceDN w:val="0"/>
        <w:adjustRightInd w:val="0"/>
        <w:ind w:right="49"/>
        <w:contextualSpacing/>
        <w:rPr>
          <w:bCs/>
          <w:u w:val="single"/>
        </w:rPr>
      </w:pPr>
      <w:r>
        <w:rPr>
          <w:bCs/>
          <w:u w:val="single"/>
        </w:rPr>
        <w:t xml:space="preserve">7.4.3 </w:t>
      </w:r>
      <w:r w:rsidR="006B1126" w:rsidRPr="008F51ED">
        <w:rPr>
          <w:bCs/>
          <w:u w:val="single"/>
        </w:rPr>
        <w:t>Диагностика инфекционных осложнений.</w:t>
      </w:r>
    </w:p>
    <w:p w14:paraId="15307D8E" w14:textId="77777777" w:rsidR="006B1126" w:rsidRPr="0076198F" w:rsidRDefault="006B1126" w:rsidP="006B1126">
      <w:pPr>
        <w:tabs>
          <w:tab w:val="left" w:pos="0"/>
          <w:tab w:val="left" w:pos="567"/>
        </w:tabs>
        <w:ind w:firstLine="709"/>
      </w:pPr>
      <w:r w:rsidRPr="0076198F">
        <w:t xml:space="preserve">Во всех случаях </w:t>
      </w:r>
      <w:r>
        <w:t xml:space="preserve">вероятного или установленного </w:t>
      </w:r>
      <w:r w:rsidRPr="0076198F">
        <w:t>инфекционного процесса следует активно проводить диагностику, направленную на выявление, как очагов инфекции, так и этиологических агентов.</w:t>
      </w:r>
    </w:p>
    <w:p w14:paraId="004D79F2" w14:textId="77777777" w:rsidR="006B1126" w:rsidRPr="0076198F" w:rsidRDefault="006B1126" w:rsidP="006B1126">
      <w:pPr>
        <w:tabs>
          <w:tab w:val="left" w:pos="0"/>
          <w:tab w:val="left" w:pos="567"/>
        </w:tabs>
        <w:ind w:firstLine="709"/>
      </w:pPr>
      <w:r w:rsidRPr="0076198F">
        <w:t xml:space="preserve">При подозрении на инфекцию образцы клинического материала от </w:t>
      </w:r>
      <w:r>
        <w:t>пациента</w:t>
      </w:r>
      <w:r w:rsidRPr="0076198F">
        <w:t xml:space="preserve"> должны быть взяты незамедлительно. </w:t>
      </w:r>
      <w:r>
        <w:t>Необходимо</w:t>
      </w:r>
      <w:r w:rsidRPr="0076198F">
        <w:t xml:space="preserve"> пристально</w:t>
      </w:r>
      <w:r>
        <w:t>е</w:t>
      </w:r>
      <w:r w:rsidRPr="0076198F">
        <w:t xml:space="preserve"> внимания и проведени</w:t>
      </w:r>
      <w:r>
        <w:t>е</w:t>
      </w:r>
      <w:r w:rsidRPr="0076198F">
        <w:t xml:space="preserve"> тщательных микробиологических исследований у </w:t>
      </w:r>
      <w:r>
        <w:t>пациентов</w:t>
      </w:r>
      <w:r w:rsidRPr="0076198F">
        <w:t>, принимающих глюкокортико</w:t>
      </w:r>
      <w:r>
        <w:t>стероиды, и у лиц пожилого возраста, так как у</w:t>
      </w:r>
      <w:r w:rsidRPr="0076198F">
        <w:t xml:space="preserve"> этой группы пациентов у 70% тяжелобольных в возрасте </w:t>
      </w:r>
      <w:r>
        <w:t>старше</w:t>
      </w:r>
      <w:r w:rsidRPr="0076198F">
        <w:t xml:space="preserve"> 66 лет септицемия может протекать </w:t>
      </w:r>
      <w:r>
        <w:t xml:space="preserve">с нормотермией или умеренным </w:t>
      </w:r>
      <w:r w:rsidRPr="0076198F">
        <w:t>субфебрил</w:t>
      </w:r>
      <w:r>
        <w:t>итетом</w:t>
      </w:r>
      <w:r w:rsidRPr="0076198F">
        <w:t xml:space="preserve">. </w:t>
      </w:r>
    </w:p>
    <w:p w14:paraId="374BE5B9" w14:textId="77777777" w:rsidR="006B1126" w:rsidRPr="0076198F" w:rsidRDefault="006B1126" w:rsidP="006B1126">
      <w:pPr>
        <w:tabs>
          <w:tab w:val="left" w:pos="0"/>
          <w:tab w:val="left" w:pos="567"/>
        </w:tabs>
        <w:ind w:firstLine="709"/>
      </w:pPr>
      <w:r w:rsidRPr="0076198F">
        <w:lastRenderedPageBreak/>
        <w:t xml:space="preserve">При нейтропении ежедневно проводят тщательный осмотр пациента, который наряду с обычными терапевтическими стандартами обследования </w:t>
      </w:r>
      <w:r>
        <w:t>включает следующие подходы:</w:t>
      </w:r>
      <w:r w:rsidRPr="0076198F">
        <w:t xml:space="preserve"> </w:t>
      </w:r>
    </w:p>
    <w:p w14:paraId="75B8B582" w14:textId="77777777" w:rsidR="006B1126" w:rsidRPr="0076198F" w:rsidRDefault="006B1126" w:rsidP="00D61785">
      <w:pPr>
        <w:pStyle w:val="a4"/>
        <w:numPr>
          <w:ilvl w:val="0"/>
          <w:numId w:val="51"/>
        </w:numPr>
        <w:tabs>
          <w:tab w:val="left" w:pos="0"/>
          <w:tab w:val="left" w:pos="567"/>
        </w:tabs>
        <w:spacing w:before="0"/>
        <w:ind w:left="993" w:hanging="426"/>
      </w:pPr>
      <w:r w:rsidRPr="0076198F">
        <w:t>активный опрос больного относительно возможных симптомов инфекции, включая наличие болей по ходу пищевода, в промежности</w:t>
      </w:r>
      <w:r>
        <w:t>;</w:t>
      </w:r>
    </w:p>
    <w:p w14:paraId="4A183982" w14:textId="77777777" w:rsidR="006B1126" w:rsidRPr="0076198F" w:rsidRDefault="006B1126" w:rsidP="00D61785">
      <w:pPr>
        <w:pStyle w:val="a4"/>
        <w:numPr>
          <w:ilvl w:val="0"/>
          <w:numId w:val="51"/>
        </w:numPr>
        <w:tabs>
          <w:tab w:val="left" w:pos="0"/>
          <w:tab w:val="left" w:pos="567"/>
        </w:tabs>
        <w:spacing w:before="0"/>
        <w:ind w:left="993" w:hanging="426"/>
      </w:pPr>
      <w:r w:rsidRPr="0076198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r>
        <w:t>;</w:t>
      </w:r>
    </w:p>
    <w:p w14:paraId="1E62FEAE" w14:textId="77777777" w:rsidR="006B1126" w:rsidRPr="0076198F" w:rsidRDefault="006B1126" w:rsidP="00D61785">
      <w:pPr>
        <w:pStyle w:val="a4"/>
        <w:numPr>
          <w:ilvl w:val="0"/>
          <w:numId w:val="51"/>
        </w:numPr>
        <w:tabs>
          <w:tab w:val="left" w:pos="0"/>
          <w:tab w:val="left" w:pos="567"/>
        </w:tabs>
        <w:spacing w:before="0"/>
        <w:ind w:left="993" w:hanging="426"/>
      </w:pPr>
      <w:r w:rsidRPr="0076198F">
        <w:t>осмотр кожи в отношении возможного появления септикопиемических очагов при лихорадке, даже в отсутствие жалоб</w:t>
      </w:r>
      <w:r>
        <w:t xml:space="preserve"> (п</w:t>
      </w:r>
      <w:r w:rsidRPr="0076198F">
        <w:t>ри лечении глюкокортико</w:t>
      </w:r>
      <w:r>
        <w:t>стеро</w:t>
      </w:r>
      <w:r w:rsidRPr="0076198F">
        <w:t>идами септикопиемические очаги могут быть при нормальной температуре</w:t>
      </w:r>
      <w:r>
        <w:t xml:space="preserve"> тела);</w:t>
      </w:r>
    </w:p>
    <w:p w14:paraId="56D11381" w14:textId="77777777" w:rsidR="006B1126" w:rsidRPr="0076198F" w:rsidRDefault="006B1126" w:rsidP="00D61785">
      <w:pPr>
        <w:pStyle w:val="a4"/>
        <w:numPr>
          <w:ilvl w:val="0"/>
          <w:numId w:val="51"/>
        </w:numPr>
        <w:tabs>
          <w:tab w:val="left" w:pos="0"/>
          <w:tab w:val="left" w:pos="567"/>
        </w:tabs>
        <w:spacing w:before="0"/>
        <w:ind w:left="993" w:hanging="426"/>
      </w:pPr>
      <w:r w:rsidRPr="0076198F">
        <w:t>осмотр места установки венозного катетера</w:t>
      </w:r>
      <w:r>
        <w:t>;</w:t>
      </w:r>
      <w:r w:rsidRPr="0076198F">
        <w:t xml:space="preserve"> </w:t>
      </w:r>
    </w:p>
    <w:p w14:paraId="2DE621D8" w14:textId="77777777" w:rsidR="006B1126" w:rsidRPr="0076198F" w:rsidRDefault="006B1126" w:rsidP="00D61785">
      <w:pPr>
        <w:pStyle w:val="a4"/>
        <w:numPr>
          <w:ilvl w:val="0"/>
          <w:numId w:val="51"/>
        </w:numPr>
        <w:tabs>
          <w:tab w:val="left" w:pos="0"/>
          <w:tab w:val="left" w:pos="567"/>
        </w:tabs>
        <w:spacing w:before="0"/>
        <w:ind w:left="993" w:hanging="426"/>
      </w:pPr>
      <w:r w:rsidRPr="0076198F">
        <w:t>внимательная аускультация грудной клетки</w:t>
      </w:r>
      <w:r>
        <w:t xml:space="preserve"> (ж</w:t>
      </w:r>
      <w:r w:rsidRPr="0076198F">
        <w:t>есткое дыхание в отсутствие хрипов, минимальное количество влажных хрипов на ограниченном участке могут быть начальным проявлением пневмонии</w:t>
      </w:r>
      <w:r>
        <w:t>);</w:t>
      </w:r>
      <w:r w:rsidRPr="0076198F">
        <w:t xml:space="preserve"> </w:t>
      </w:r>
    </w:p>
    <w:p w14:paraId="70AD171C" w14:textId="42998BE1" w:rsidR="006B1126" w:rsidRPr="0076198F" w:rsidRDefault="006B1126" w:rsidP="00D61785">
      <w:pPr>
        <w:pStyle w:val="a4"/>
        <w:numPr>
          <w:ilvl w:val="0"/>
          <w:numId w:val="51"/>
        </w:numPr>
        <w:tabs>
          <w:tab w:val="left" w:pos="0"/>
          <w:tab w:val="left" w:pos="567"/>
        </w:tabs>
        <w:spacing w:before="0"/>
        <w:ind w:left="993" w:hanging="426"/>
      </w:pPr>
      <w:r w:rsidRPr="0076198F">
        <w:t>тщательная пальпация живота</w:t>
      </w:r>
      <w:r>
        <w:t xml:space="preserve"> (п</w:t>
      </w:r>
      <w:r w:rsidRPr="0076198F">
        <w:t>ервые симптомы псевдомембранозного колита —</w:t>
      </w:r>
      <w:r w:rsidR="00BE5258">
        <w:t xml:space="preserve"> </w:t>
      </w:r>
      <w:r w:rsidRPr="0076198F">
        <w:t>появление боли или «урчание» при пальпации в правой подвздошной области (область слепой кишки).</w:t>
      </w:r>
    </w:p>
    <w:p w14:paraId="3B5C7D7D" w14:textId="77777777" w:rsidR="006B1126" w:rsidRDefault="006B1126" w:rsidP="006B1126">
      <w:pPr>
        <w:widowControl w:val="0"/>
        <w:autoSpaceDE w:val="0"/>
        <w:autoSpaceDN w:val="0"/>
        <w:adjustRightInd w:val="0"/>
        <w:ind w:right="49" w:firstLine="709"/>
        <w:contextualSpacing/>
      </w:pPr>
      <w:r w:rsidRPr="00761653">
        <w:t xml:space="preserve">Для </w:t>
      </w:r>
      <w:r w:rsidRPr="00225D7F">
        <w:rPr>
          <w:i/>
          <w:iCs/>
          <w:u w:val="single"/>
        </w:rPr>
        <w:t>микробиологического исследования крови</w:t>
      </w:r>
      <w:r w:rsidRPr="00761653">
        <w:t xml:space="preserve"> используют автоматический анализатор для гемокультур. Проводят исследование у </w:t>
      </w:r>
      <w:r>
        <w:t>пациентов</w:t>
      </w:r>
      <w:r w:rsidRPr="00761653">
        <w:t xml:space="preserve"> с температурой ≥38°С или наличии септикопиемических очагов на коже. Кровь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w:t>
      </w:r>
      <w:r>
        <w:t>пациента</w:t>
      </w:r>
      <w:r w:rsidRPr="00761653">
        <w:t xml:space="preserve">.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w:t>
      </w:r>
      <w:r w:rsidRPr="00761653">
        <w:rPr>
          <w:i/>
          <w:iCs/>
        </w:rPr>
        <w:t xml:space="preserve">Corynebacterium </w:t>
      </w:r>
      <w:r w:rsidRPr="00761653">
        <w:t xml:space="preserve">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66470909" w14:textId="77777777" w:rsidR="006B1126" w:rsidRPr="00761653" w:rsidRDefault="006B1126" w:rsidP="006B1126">
      <w:pPr>
        <w:widowControl w:val="0"/>
        <w:autoSpaceDE w:val="0"/>
        <w:autoSpaceDN w:val="0"/>
        <w:adjustRightInd w:val="0"/>
        <w:ind w:right="49" w:firstLine="709"/>
        <w:contextualSpacing/>
      </w:pPr>
      <w:r w:rsidRPr="00225D7F">
        <w:rPr>
          <w:i/>
          <w:iCs/>
          <w:u w:val="single"/>
        </w:rPr>
        <w:t xml:space="preserve">Центральный венозный катетер (ЦВК) удаляют и направляют на </w:t>
      </w:r>
      <w:r w:rsidRPr="00225D7F">
        <w:rPr>
          <w:i/>
          <w:iCs/>
          <w:u w:val="single"/>
        </w:rPr>
        <w:lastRenderedPageBreak/>
        <w:t>микробиологическое исследование при подозрении на катетер-ассоциированную инфекцию</w:t>
      </w:r>
      <w:r w:rsidRPr="00761653">
        <w:t xml:space="preserve">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w:t>
      </w:r>
      <w:r>
        <w:t>пациента</w:t>
      </w:r>
      <w:r w:rsidRPr="00761653">
        <w:t xml:space="preserve">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w:t>
      </w:r>
      <w:r w:rsidRPr="00761653">
        <w:rPr>
          <w:vertAlign w:val="superscript"/>
        </w:rPr>
        <w:t>3</w:t>
      </w:r>
      <w:r w:rsidRPr="00761653">
        <w:t xml:space="preserve"> КОЕ/мл - при количественном исследовании. </w:t>
      </w:r>
    </w:p>
    <w:p w14:paraId="4E329C4C" w14:textId="77777777" w:rsidR="006B1126" w:rsidRPr="00761653" w:rsidRDefault="006B1126" w:rsidP="006B1126">
      <w:pPr>
        <w:widowControl w:val="0"/>
        <w:autoSpaceDE w:val="0"/>
        <w:autoSpaceDN w:val="0"/>
        <w:adjustRightInd w:val="0"/>
        <w:ind w:right="49" w:firstLine="709"/>
        <w:contextualSpacing/>
      </w:pPr>
      <w:r w:rsidRPr="00761653">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06A2FD62" w14:textId="77777777" w:rsidR="006B1126" w:rsidRPr="00761653" w:rsidRDefault="006B1126" w:rsidP="006B1126">
      <w:pPr>
        <w:widowControl w:val="0"/>
        <w:tabs>
          <w:tab w:val="left" w:pos="0"/>
        </w:tabs>
        <w:autoSpaceDE w:val="0"/>
        <w:autoSpaceDN w:val="0"/>
        <w:adjustRightInd w:val="0"/>
        <w:ind w:right="49" w:firstLine="709"/>
        <w:contextualSpacing/>
      </w:pPr>
      <w:r w:rsidRPr="00761653">
        <w:t>Показаниями для</w:t>
      </w:r>
      <w:r>
        <w:t xml:space="preserve"> </w:t>
      </w:r>
      <w:r w:rsidRPr="00225D7F">
        <w:rPr>
          <w:i/>
          <w:iCs/>
          <w:u w:val="single"/>
        </w:rPr>
        <w:t>микробиологического исследования мочи</w:t>
      </w:r>
      <w:r w:rsidRPr="00761653">
        <w:t xml:space="preserve"> являются клинические симптомы инфекции мочевыводящих путей, лейкоцитурия, температура более 5 дней в период нейтропении. Для </w:t>
      </w:r>
      <w:r>
        <w:t xml:space="preserve">микробиологического </w:t>
      </w:r>
      <w:r w:rsidRPr="00761653">
        <w:t>исследования направляют утреннюю среднюю порцию мочи</w:t>
      </w:r>
      <w:r>
        <w:t xml:space="preserve">, </w:t>
      </w:r>
      <w:r w:rsidRPr="00D40538">
        <w:t>проводят исследования на наличие различных бактериальных патогенов</w:t>
      </w:r>
      <w:r>
        <w:t>, начиная с наиболее частых в гематологической практике (см. ниже)</w:t>
      </w:r>
      <w:r w:rsidRPr="00D40538">
        <w:t xml:space="preserve">. Бактериурия </w:t>
      </w:r>
      <w:r w:rsidRPr="00761653">
        <w:t xml:space="preserve">является диагностически значимой, если выделен </w:t>
      </w:r>
      <w:r w:rsidRPr="00761653">
        <w:rPr>
          <w:bCs/>
        </w:rPr>
        <w:t>один микроорганизм</w:t>
      </w:r>
      <w:r w:rsidRPr="00761653">
        <w:t xml:space="preserve"> в количестве ≥10</w:t>
      </w:r>
      <w:r w:rsidRPr="00761653">
        <w:rPr>
          <w:vertAlign w:val="superscript"/>
        </w:rPr>
        <w:t>3</w:t>
      </w:r>
      <w:r w:rsidRPr="00761653">
        <w:t> КОЕ/мл. Микробиологическое исследование мочи повторяют на следующий день, если выделены два микрорганизма в количестве ≥10</w:t>
      </w:r>
      <w:r w:rsidRPr="00761653">
        <w:rPr>
          <w:vertAlign w:val="superscript"/>
        </w:rPr>
        <w:t>3</w:t>
      </w:r>
      <w:r w:rsidRPr="00761653">
        <w:t xml:space="preserve">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w:t>
      </w:r>
      <w:r w:rsidRPr="00761653">
        <w:rPr>
          <w:i/>
          <w:iCs/>
        </w:rPr>
        <w:t>E. coli,</w:t>
      </w:r>
      <w:r w:rsidRPr="00761653">
        <w:t xml:space="preserve"> далее следуют </w:t>
      </w:r>
      <w:r w:rsidRPr="00761653">
        <w:rPr>
          <w:i/>
          <w:iCs/>
        </w:rPr>
        <w:t>Enterococcus</w:t>
      </w:r>
      <w:r w:rsidRPr="00761653">
        <w:t xml:space="preserve"> spp., </w:t>
      </w:r>
      <w:r w:rsidRPr="00761653">
        <w:rPr>
          <w:i/>
          <w:iCs/>
        </w:rPr>
        <w:t>P. aeruginosa.</w:t>
      </w:r>
      <w:r w:rsidRPr="00761653">
        <w:t xml:space="preserve"> Неоднократное выделение из мочи </w:t>
      </w:r>
      <w:r w:rsidRPr="00761653">
        <w:rPr>
          <w:i/>
          <w:iCs/>
        </w:rPr>
        <w:t>Сandida</w:t>
      </w:r>
      <w:r w:rsidRPr="00761653">
        <w:t xml:space="preserve"> spp. у </w:t>
      </w:r>
      <w:r>
        <w:t>пациентов</w:t>
      </w:r>
      <w:r w:rsidRPr="00761653">
        <w:t xml:space="preserve">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значимых количествах.</w:t>
      </w:r>
    </w:p>
    <w:p w14:paraId="35DF500D" w14:textId="77777777" w:rsidR="006B1126" w:rsidRPr="00761653" w:rsidRDefault="006B1126" w:rsidP="006B1126">
      <w:pPr>
        <w:widowControl w:val="0"/>
        <w:tabs>
          <w:tab w:val="left" w:pos="0"/>
        </w:tabs>
        <w:autoSpaceDE w:val="0"/>
        <w:autoSpaceDN w:val="0"/>
        <w:adjustRightInd w:val="0"/>
        <w:ind w:right="49" w:firstLine="709"/>
        <w:contextualSpacing/>
      </w:pPr>
      <w:r w:rsidRPr="00761653">
        <w:t>Показания к</w:t>
      </w:r>
      <w:r>
        <w:t xml:space="preserve"> </w:t>
      </w:r>
      <w:r w:rsidRPr="00225D7F">
        <w:rPr>
          <w:i/>
          <w:iCs/>
          <w:u w:val="single"/>
        </w:rPr>
        <w:t>микроскопическому, микробиологическому и молекулярно-биологическому исследованию спинномозговой жидкости</w:t>
      </w:r>
      <w:r>
        <w:t xml:space="preserve"> </w:t>
      </w:r>
      <w:r w:rsidRPr="00761653">
        <w:t>– наличие симптомов менингита, «мозговая» симптоматика на фоне фебрильной нейтропении, обнаружение очага (очагов) в головном мозге при компьютерной томографии</w:t>
      </w:r>
      <w:r>
        <w:t>/спиральной компьютерной томографии</w:t>
      </w:r>
      <w:r w:rsidRPr="00761653">
        <w:t xml:space="preserve"> (КТ</w:t>
      </w:r>
      <w:r>
        <w:t>/СКТ)</w:t>
      </w:r>
      <w:r w:rsidRPr="00761653">
        <w:t xml:space="preserve"> или магнитно-резонансной томографии (МРТ). Исследование спинномозговой </w:t>
      </w:r>
      <w:r w:rsidRPr="00761653">
        <w:lastRenderedPageBreak/>
        <w:t xml:space="preserve">жидкости (СМЖ) включает микроскопию, посев на бактерии и грибы, определение антигена </w:t>
      </w:r>
      <w:r w:rsidRPr="00761653">
        <w:rPr>
          <w:i/>
          <w:iCs/>
        </w:rPr>
        <w:t xml:space="preserve">Cryptococcus </w:t>
      </w:r>
      <w:r w:rsidRPr="00761653">
        <w:t xml:space="preserve">spp. (глюкороксиломаннан), определение антигена </w:t>
      </w:r>
      <w:r w:rsidRPr="00761653">
        <w:rPr>
          <w:i/>
          <w:iCs/>
        </w:rPr>
        <w:t>Aspergillus</w:t>
      </w:r>
      <w:r w:rsidRPr="00761653">
        <w:t xml:space="preserve"> spp. (галактоманнан) у </w:t>
      </w:r>
      <w:r>
        <w:t>пациентов</w:t>
      </w:r>
      <w:r w:rsidRPr="00761653">
        <w:t xml:space="preserve">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w:t>
      </w:r>
      <w:r w:rsidRPr="00761653">
        <w:rPr>
          <w:i/>
          <w:iCs/>
        </w:rPr>
        <w:t>Streptococcus pneumoniae, Haemophilus</w:t>
      </w:r>
      <w:r w:rsidRPr="00761653">
        <w:t xml:space="preserve"> </w:t>
      </w:r>
      <w:r w:rsidRPr="00761653">
        <w:rPr>
          <w:i/>
          <w:iCs/>
        </w:rPr>
        <w:t>influenzae, Neisseria meningitidis,</w:t>
      </w:r>
      <w:r w:rsidRPr="00761653">
        <w:t xml:space="preserve"> стрептококки группы В), при наличии очагов в головном мозге – определение ДНК </w:t>
      </w:r>
      <w:r w:rsidRPr="00761653">
        <w:rPr>
          <w:i/>
          <w:iCs/>
        </w:rPr>
        <w:t>Toxoplasma gondii</w:t>
      </w:r>
      <w:r w:rsidRPr="00761653">
        <w:t xml:space="preserve"> методом ПЦР (группу риска представляют реципиенты аллогенной ТГСК).</w:t>
      </w:r>
    </w:p>
    <w:p w14:paraId="530EC615" w14:textId="77777777" w:rsidR="006B1126" w:rsidRPr="00C73751" w:rsidRDefault="006B1126" w:rsidP="006B1126">
      <w:pPr>
        <w:widowControl w:val="0"/>
        <w:tabs>
          <w:tab w:val="left" w:pos="0"/>
        </w:tabs>
        <w:autoSpaceDE w:val="0"/>
        <w:autoSpaceDN w:val="0"/>
        <w:adjustRightInd w:val="0"/>
        <w:ind w:right="49" w:firstLine="709"/>
        <w:contextualSpacing/>
      </w:pPr>
      <w:r w:rsidRPr="00225D7F">
        <w:rPr>
          <w:i/>
          <w:iCs/>
          <w:u w:val="single"/>
        </w:rPr>
        <w:t>Микробиологическое исследование кала</w:t>
      </w:r>
      <w:r>
        <w:t xml:space="preserve"> проводят </w:t>
      </w:r>
      <w:r w:rsidRPr="00761653">
        <w:t xml:space="preserve">у </w:t>
      </w:r>
      <w:r>
        <w:t>пациентов с диареей для о</w:t>
      </w:r>
      <w:r w:rsidRPr="00C73751">
        <w:t>пределени</w:t>
      </w:r>
      <w:r>
        <w:t>я</w:t>
      </w:r>
      <w:r w:rsidRPr="00C73751">
        <w:t xml:space="preserve"> токсинов </w:t>
      </w:r>
      <w:r w:rsidRPr="00C73751">
        <w:rPr>
          <w:i/>
        </w:rPr>
        <w:t>Clostridioides difficile</w:t>
      </w:r>
      <w:r w:rsidRPr="00C73751">
        <w:t xml:space="preserve"> в кале</w:t>
      </w:r>
      <w:r>
        <w:t xml:space="preserve">. </w:t>
      </w:r>
      <w:r w:rsidRPr="00C73751">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C73751">
        <w:rPr>
          <w:i/>
        </w:rPr>
        <w:t>С</w:t>
      </w:r>
      <w:r w:rsidRPr="00DB1FCB">
        <w:rPr>
          <w:i/>
        </w:rPr>
        <w:t>ryptosporidium</w:t>
      </w:r>
      <w:r w:rsidRPr="00C73751">
        <w:rPr>
          <w:i/>
        </w:rPr>
        <w:t xml:space="preserve"> </w:t>
      </w:r>
      <w:r w:rsidRPr="00DB1FCB">
        <w:rPr>
          <w:i/>
        </w:rPr>
        <w:t>parvum</w:t>
      </w:r>
      <w:r w:rsidRPr="00C73751">
        <w:rPr>
          <w:i/>
        </w:rPr>
        <w:t xml:space="preserve">, </w:t>
      </w:r>
      <w:r w:rsidRPr="00DB1FCB">
        <w:rPr>
          <w:i/>
        </w:rPr>
        <w:t>Salmonella</w:t>
      </w:r>
      <w:r w:rsidRPr="00C73751">
        <w:rPr>
          <w:i/>
        </w:rPr>
        <w:t xml:space="preserve"> </w:t>
      </w:r>
      <w:r w:rsidRPr="00DB1FCB">
        <w:rPr>
          <w:i/>
        </w:rPr>
        <w:t>spp</w:t>
      </w:r>
      <w:r w:rsidRPr="00C73751">
        <w:rPr>
          <w:i/>
        </w:rPr>
        <w:t xml:space="preserve">., </w:t>
      </w:r>
      <w:r w:rsidRPr="00DB1FCB">
        <w:rPr>
          <w:i/>
        </w:rPr>
        <w:t>Shigella</w:t>
      </w:r>
      <w:r w:rsidRPr="00C73751">
        <w:rPr>
          <w:i/>
        </w:rPr>
        <w:t xml:space="preserve"> </w:t>
      </w:r>
      <w:r w:rsidRPr="00DB1FCB">
        <w:rPr>
          <w:i/>
        </w:rPr>
        <w:t>spp</w:t>
      </w:r>
      <w:r w:rsidRPr="00C73751">
        <w:rPr>
          <w:i/>
        </w:rPr>
        <w:t xml:space="preserve">., </w:t>
      </w:r>
      <w:r w:rsidRPr="00DB1FCB">
        <w:rPr>
          <w:i/>
        </w:rPr>
        <w:t>Listeria</w:t>
      </w:r>
      <w:r w:rsidRPr="00C73751">
        <w:rPr>
          <w:i/>
        </w:rPr>
        <w:t xml:space="preserve"> </w:t>
      </w:r>
      <w:r w:rsidRPr="00DB1FCB">
        <w:rPr>
          <w:i/>
        </w:rPr>
        <w:t>spp</w:t>
      </w:r>
      <w:r w:rsidRPr="00C73751">
        <w:rPr>
          <w:i/>
        </w:rPr>
        <w:t xml:space="preserve">., </w:t>
      </w:r>
      <w:r w:rsidRPr="00DB1FCB">
        <w:rPr>
          <w:i/>
        </w:rPr>
        <w:t>Yersenia</w:t>
      </w:r>
      <w:r w:rsidRPr="00C73751">
        <w:rPr>
          <w:i/>
        </w:rPr>
        <w:t xml:space="preserve"> </w:t>
      </w:r>
      <w:r w:rsidRPr="00DB1FCB">
        <w:rPr>
          <w:i/>
        </w:rPr>
        <w:t>spp</w:t>
      </w:r>
      <w:r w:rsidRPr="00C73751">
        <w:rPr>
          <w:i/>
        </w:rPr>
        <w:t>.</w:t>
      </w:r>
      <w:r w:rsidRPr="00C73751">
        <w:t xml:space="preserve">, вирусы (ротавирусы, аденовирусы). Энтероколиты могут быть обусловлены </w:t>
      </w:r>
      <w:r w:rsidRPr="00DB1FCB">
        <w:rPr>
          <w:i/>
        </w:rPr>
        <w:t>Candida</w:t>
      </w:r>
      <w:r w:rsidRPr="00C73751">
        <w:rPr>
          <w:i/>
        </w:rPr>
        <w:t xml:space="preserve"> </w:t>
      </w:r>
      <w:r w:rsidRPr="00DB1FCB">
        <w:rPr>
          <w:i/>
        </w:rPr>
        <w:t>spp</w:t>
      </w:r>
      <w:r w:rsidRPr="00C73751">
        <w:t xml:space="preserve">. При количественном исследовании кала следует обращать внимание на выделение штаммов </w:t>
      </w:r>
      <w:r w:rsidRPr="00DB1FCB">
        <w:rPr>
          <w:i/>
        </w:rPr>
        <w:t>Pseudomonas</w:t>
      </w:r>
      <w:r w:rsidRPr="00C73751">
        <w:rPr>
          <w:i/>
        </w:rPr>
        <w:t xml:space="preserve"> </w:t>
      </w:r>
      <w:r w:rsidRPr="00DB1FCB">
        <w:rPr>
          <w:i/>
        </w:rPr>
        <w:t>aeruginosa</w:t>
      </w:r>
      <w:r w:rsidRPr="00C73751">
        <w:t>, энтеробактерий (</w:t>
      </w:r>
      <w:r w:rsidRPr="00DB1FCB">
        <w:rPr>
          <w:i/>
        </w:rPr>
        <w:t>Escherichia</w:t>
      </w:r>
      <w:r w:rsidRPr="00C73751">
        <w:rPr>
          <w:i/>
        </w:rPr>
        <w:t xml:space="preserve"> </w:t>
      </w:r>
      <w:r w:rsidRPr="00DB1FCB">
        <w:rPr>
          <w:i/>
        </w:rPr>
        <w:t>coli</w:t>
      </w:r>
      <w:r w:rsidRPr="00C73751">
        <w:rPr>
          <w:i/>
        </w:rPr>
        <w:t xml:space="preserve">, </w:t>
      </w:r>
      <w:r w:rsidRPr="00DB1FCB">
        <w:rPr>
          <w:i/>
        </w:rPr>
        <w:t>Klebsiella</w:t>
      </w:r>
      <w:r w:rsidRPr="00C73751">
        <w:rPr>
          <w:i/>
        </w:rPr>
        <w:t xml:space="preserve"> </w:t>
      </w:r>
      <w:r w:rsidRPr="00DB1FCB">
        <w:rPr>
          <w:i/>
        </w:rPr>
        <w:t>spp</w:t>
      </w:r>
      <w:r w:rsidRPr="00C73751">
        <w:rPr>
          <w:i/>
        </w:rPr>
        <w:t>.),</w:t>
      </w:r>
      <w:r w:rsidRPr="00C73751">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78D1F8C7" w14:textId="77777777" w:rsidR="006B1126" w:rsidRPr="00761653" w:rsidRDefault="006B1126" w:rsidP="006B1126">
      <w:pPr>
        <w:widowControl w:val="0"/>
        <w:tabs>
          <w:tab w:val="left" w:pos="0"/>
        </w:tabs>
        <w:autoSpaceDE w:val="0"/>
        <w:autoSpaceDN w:val="0"/>
        <w:adjustRightInd w:val="0"/>
        <w:ind w:right="49" w:firstLine="709"/>
        <w:contextualSpacing/>
      </w:pPr>
      <w:r w:rsidRPr="00225D7F">
        <w:rPr>
          <w:i/>
          <w:iCs/>
          <w:u w:val="single"/>
        </w:rPr>
        <w:t>Микробиологическое исследование мазка со слизистой оболочки носоглотки</w:t>
      </w:r>
      <w:r>
        <w:t xml:space="preserve"> проводят при наличии</w:t>
      </w:r>
      <w:r w:rsidRPr="00761653">
        <w:t xml:space="preserve"> признаков </w:t>
      </w:r>
      <w:r>
        <w:t>стоматита (</w:t>
      </w:r>
      <w:r w:rsidRPr="00761653">
        <w:t>мукозита</w:t>
      </w:r>
      <w:r>
        <w:t>)</w:t>
      </w:r>
      <w:r w:rsidRPr="00761653">
        <w:t xml:space="preserve">. Проводят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w:t>
      </w:r>
      <w:r w:rsidRPr="00761653">
        <w:rPr>
          <w:i/>
          <w:iCs/>
        </w:rPr>
        <w:t>P. aeruginosa</w:t>
      </w:r>
      <w:r w:rsidRPr="00761653">
        <w:rPr>
          <w:iCs/>
        </w:rPr>
        <w:t xml:space="preserve">, определение групп карбапенемаз методом ПЦР при положительном тесте mCIM (или CIM). </w:t>
      </w:r>
      <w:r w:rsidRPr="00761653">
        <w:t xml:space="preserve">При выделении дрожжевых грибов со слизистой оболочки ротоглотки проводят только идентификацию до вида. </w:t>
      </w:r>
    </w:p>
    <w:p w14:paraId="2A41F2BD" w14:textId="77777777" w:rsidR="006B1126" w:rsidRPr="00761653" w:rsidRDefault="006B1126" w:rsidP="006B1126">
      <w:pPr>
        <w:widowControl w:val="0"/>
        <w:autoSpaceDE w:val="0"/>
        <w:autoSpaceDN w:val="0"/>
        <w:adjustRightInd w:val="0"/>
        <w:ind w:right="49" w:firstLine="709"/>
        <w:contextualSpacing/>
      </w:pPr>
      <w:r w:rsidRPr="00225D7F">
        <w:rPr>
          <w:i/>
          <w:iCs/>
          <w:u w:val="single"/>
        </w:rPr>
        <w:t>Микробиологическое исследование соскоба или биоптата со слизистой оболочки пищевода</w:t>
      </w:r>
      <w:r w:rsidRPr="00760103">
        <w:rPr>
          <w:b/>
          <w:bCs/>
        </w:rPr>
        <w:t xml:space="preserve"> </w:t>
      </w:r>
      <w:r>
        <w:t xml:space="preserve">проводят при клиническоой картине эзофагита, </w:t>
      </w:r>
      <w:r w:rsidRPr="00761653">
        <w:t>бол</w:t>
      </w:r>
      <w:r>
        <w:t>и</w:t>
      </w:r>
      <w:r w:rsidRPr="00761653">
        <w:t xml:space="preserve"> по ходу пищевода. Во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w:t>
      </w:r>
      <w:r w:rsidRPr="00761653">
        <w:lastRenderedPageBreak/>
        <w:t xml:space="preserve">герпесвирусов </w:t>
      </w:r>
      <w:r>
        <w:t>(</w:t>
      </w:r>
      <w:r w:rsidRPr="00C73751">
        <w:t xml:space="preserve">ДНК вируса простого герпеса, </w:t>
      </w:r>
      <w:r>
        <w:t>цитомегаловируса)</w:t>
      </w:r>
      <w:r w:rsidRPr="00761653">
        <w:t xml:space="preserve"> методом ПЦР, идентификацию и определение чувствительности всех выделенных микроорганизмов</w:t>
      </w:r>
      <w:r>
        <w:t>, гистологическое исследование (с иммуногистохимическим исследованием при необходимости)</w:t>
      </w:r>
      <w:r w:rsidRPr="00761653">
        <w:t>.</w:t>
      </w:r>
    </w:p>
    <w:p w14:paraId="3F0A0DA8" w14:textId="77777777" w:rsidR="006B1126" w:rsidRPr="00761653" w:rsidRDefault="006B1126" w:rsidP="006B1126">
      <w:pPr>
        <w:widowControl w:val="0"/>
        <w:autoSpaceDE w:val="0"/>
        <w:autoSpaceDN w:val="0"/>
        <w:adjustRightInd w:val="0"/>
        <w:ind w:right="49" w:firstLine="709"/>
        <w:contextualSpacing/>
      </w:pPr>
      <w:r w:rsidRPr="00225D7F">
        <w:rPr>
          <w:i/>
          <w:iCs/>
          <w:u w:val="single"/>
        </w:rPr>
        <w:t>Микробиологическое исследование ректальных мазков</w:t>
      </w:r>
      <w:r w:rsidRPr="00C73751">
        <w:rPr>
          <w:b/>
          <w:bCs/>
        </w:rPr>
        <w:t xml:space="preserve"> </w:t>
      </w:r>
      <w:r w:rsidRPr="00761653">
        <w:t xml:space="preserve">проводят с целью детекции колонизации слизистой оболочки кишечника полирезистентными грамотрицательными бактериями и грибами рода </w:t>
      </w:r>
      <w:r w:rsidRPr="00761653">
        <w:rPr>
          <w:i/>
        </w:rPr>
        <w:t>Candida</w:t>
      </w:r>
      <w:r w:rsidRPr="00761653">
        <w:t>.</w:t>
      </w:r>
    </w:p>
    <w:p w14:paraId="7FBACD6E" w14:textId="77777777" w:rsidR="006B1126" w:rsidRDefault="006B1126" w:rsidP="006B1126">
      <w:pPr>
        <w:widowControl w:val="0"/>
        <w:tabs>
          <w:tab w:val="left" w:pos="0"/>
        </w:tabs>
        <w:autoSpaceDE w:val="0"/>
        <w:autoSpaceDN w:val="0"/>
        <w:adjustRightInd w:val="0"/>
        <w:ind w:right="49" w:firstLine="709"/>
        <w:contextualSpacing/>
      </w:pPr>
      <w:r w:rsidRPr="00761653">
        <w:t xml:space="preserve">Исследование </w:t>
      </w:r>
      <w:r>
        <w:t>показано:</w:t>
      </w:r>
      <w:r w:rsidRPr="00761653">
        <w:t xml:space="preserve"> </w:t>
      </w:r>
    </w:p>
    <w:p w14:paraId="3C67E847" w14:textId="77777777" w:rsidR="006B1126" w:rsidRPr="00C73751" w:rsidRDefault="006B1126" w:rsidP="00D61785">
      <w:pPr>
        <w:pStyle w:val="a4"/>
        <w:widowControl w:val="0"/>
        <w:numPr>
          <w:ilvl w:val="0"/>
          <w:numId w:val="33"/>
        </w:numPr>
        <w:tabs>
          <w:tab w:val="left" w:pos="0"/>
        </w:tabs>
        <w:autoSpaceDE w:val="0"/>
        <w:autoSpaceDN w:val="0"/>
        <w:adjustRightInd w:val="0"/>
        <w:spacing w:before="0"/>
        <w:ind w:right="49"/>
        <w:contextualSpacing/>
      </w:pPr>
      <w:r w:rsidRPr="00CB604C">
        <w:t>при инфекции промежности</w:t>
      </w:r>
      <w:r>
        <w:t>, в</w:t>
      </w:r>
      <w:r w:rsidRPr="00C73751">
        <w:t>оспалени</w:t>
      </w:r>
      <w:r>
        <w:t>и</w:t>
      </w:r>
      <w:r w:rsidRPr="00C73751">
        <w:t xml:space="preserve"> или повреждени</w:t>
      </w:r>
      <w:r>
        <w:t>и</w:t>
      </w:r>
      <w:r w:rsidRPr="00C73751">
        <w:t xml:space="preserve"> слизистой прямой кишки (трещина, парапроктит и др.);</w:t>
      </w:r>
    </w:p>
    <w:p w14:paraId="7946B43F" w14:textId="77777777" w:rsidR="006B1126" w:rsidRDefault="006B1126" w:rsidP="00D61785">
      <w:pPr>
        <w:pStyle w:val="a4"/>
        <w:widowControl w:val="0"/>
        <w:numPr>
          <w:ilvl w:val="0"/>
          <w:numId w:val="33"/>
        </w:numPr>
        <w:tabs>
          <w:tab w:val="left" w:pos="0"/>
        </w:tabs>
        <w:autoSpaceDE w:val="0"/>
        <w:autoSpaceDN w:val="0"/>
        <w:adjustRightInd w:val="0"/>
        <w:spacing w:before="0"/>
        <w:ind w:right="49"/>
        <w:contextualSpacing/>
      </w:pPr>
      <w:r w:rsidRPr="00CB604C">
        <w:t xml:space="preserve">у </w:t>
      </w:r>
      <w:r>
        <w:t>пациентов</w:t>
      </w:r>
      <w:r w:rsidRPr="00CB604C">
        <w:t xml:space="preserve"> с персистирующей фебрильной нейтропенией длительностью от 4-5 дней и отсутствием диагностически значимых результатов исследований; </w:t>
      </w:r>
    </w:p>
    <w:p w14:paraId="287DC787" w14:textId="77777777" w:rsidR="006B1126" w:rsidRDefault="006B1126" w:rsidP="00D61785">
      <w:pPr>
        <w:pStyle w:val="a4"/>
        <w:widowControl w:val="0"/>
        <w:numPr>
          <w:ilvl w:val="0"/>
          <w:numId w:val="33"/>
        </w:numPr>
        <w:tabs>
          <w:tab w:val="left" w:pos="0"/>
        </w:tabs>
        <w:autoSpaceDE w:val="0"/>
        <w:autoSpaceDN w:val="0"/>
        <w:adjustRightInd w:val="0"/>
        <w:spacing w:before="0"/>
        <w:ind w:right="49"/>
        <w:contextualSpacing/>
      </w:pPr>
      <w:r w:rsidRPr="00CB604C">
        <w:t xml:space="preserve">в качестве скрининга в группе высокого риска развития инфекций у </w:t>
      </w:r>
      <w:r>
        <w:t>пациентов</w:t>
      </w:r>
      <w:r w:rsidRPr="00CB604C">
        <w:t xml:space="preserve"> острыми лейкозами и у реципиентов аллогенного костного мозга при поступлении в стационар, затем каждые 7 дней до восстановления гранулоцитов в крови или лейкоцитов &gt;1,0</w:t>
      </w:r>
      <w:r>
        <w:t> </w:t>
      </w:r>
      <w:r w:rsidRPr="00CB604C">
        <w:t>×</w:t>
      </w:r>
      <w:r>
        <w:t> </w:t>
      </w:r>
      <w:r w:rsidRPr="00CB604C">
        <w:t>10</w:t>
      </w:r>
      <w:r w:rsidRPr="00CB604C">
        <w:rPr>
          <w:vertAlign w:val="superscript"/>
        </w:rPr>
        <w:t>9</w:t>
      </w:r>
      <w:r w:rsidRPr="00CB604C">
        <w:t xml:space="preserve">/л; </w:t>
      </w:r>
    </w:p>
    <w:p w14:paraId="7C5C5C95" w14:textId="77777777" w:rsidR="006B1126" w:rsidRPr="00CB604C" w:rsidRDefault="006B1126" w:rsidP="006B1126">
      <w:pPr>
        <w:widowControl w:val="0"/>
        <w:tabs>
          <w:tab w:val="left" w:pos="0"/>
        </w:tabs>
        <w:autoSpaceDE w:val="0"/>
        <w:autoSpaceDN w:val="0"/>
        <w:adjustRightInd w:val="0"/>
        <w:ind w:right="49"/>
      </w:pPr>
      <w:r>
        <w:tab/>
      </w:r>
      <w:r w:rsidRPr="00CB604C">
        <w:t xml:space="preserve">С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w:t>
      </w:r>
      <w:r>
        <w:t>пациентов</w:t>
      </w:r>
      <w:r w:rsidRPr="00CB604C">
        <w:t xml:space="preserve"> с персистирующей фебрильной нейтропенией. Обращают внимание на выделение полирезистентных грамотрицательных бактерий – </w:t>
      </w:r>
      <w:r w:rsidRPr="00CB604C">
        <w:rPr>
          <w:i/>
          <w:iCs/>
        </w:rPr>
        <w:t>P. aeruginosa,</w:t>
      </w:r>
      <w:r w:rsidRPr="00CB604C">
        <w:rPr>
          <w:i/>
        </w:rPr>
        <w:t xml:space="preserve"> A. baumannii, S. maltophilia</w:t>
      </w:r>
      <w:r w:rsidRPr="00CB604C">
        <w:t xml:space="preserve">, энтеробактерий с продукцией БЛРС или карбапенемаз, </w:t>
      </w:r>
    </w:p>
    <w:p w14:paraId="7E58B876" w14:textId="77777777" w:rsidR="006B1126" w:rsidRDefault="006B1126" w:rsidP="006B1126">
      <w:pPr>
        <w:widowControl w:val="0"/>
        <w:tabs>
          <w:tab w:val="left" w:pos="0"/>
        </w:tabs>
        <w:autoSpaceDE w:val="0"/>
        <w:autoSpaceDN w:val="0"/>
        <w:adjustRightInd w:val="0"/>
        <w:ind w:right="49" w:firstLine="709"/>
        <w:contextualSpacing/>
      </w:pPr>
      <w:r w:rsidRPr="00225D7F">
        <w:rPr>
          <w:i/>
          <w:iCs/>
          <w:u w:val="single"/>
        </w:rPr>
        <w:t xml:space="preserve">Микробиологическое исследование мазка со слизистой оболочки носовых ходов </w:t>
      </w:r>
      <w:r>
        <w:t>проводят по следующим показаниям:</w:t>
      </w:r>
    </w:p>
    <w:p w14:paraId="2CA97C48" w14:textId="77777777" w:rsidR="006B1126" w:rsidRDefault="006B1126" w:rsidP="00D61785">
      <w:pPr>
        <w:pStyle w:val="a4"/>
        <w:widowControl w:val="0"/>
        <w:numPr>
          <w:ilvl w:val="0"/>
          <w:numId w:val="34"/>
        </w:numPr>
        <w:tabs>
          <w:tab w:val="left" w:pos="0"/>
        </w:tabs>
        <w:autoSpaceDE w:val="0"/>
        <w:autoSpaceDN w:val="0"/>
        <w:adjustRightInd w:val="0"/>
        <w:spacing w:before="0"/>
        <w:ind w:right="49"/>
        <w:contextualSpacing/>
      </w:pPr>
      <w:r w:rsidRPr="00CB604C">
        <w:t>наличие некроза слизистой оболочки носового хода</w:t>
      </w:r>
      <w:r>
        <w:t xml:space="preserve"> (</w:t>
      </w:r>
      <w:r w:rsidRPr="00CB604C">
        <w:t>посев только на плесневые (мицелиальные) грибы</w:t>
      </w:r>
      <w:r>
        <w:t>)</w:t>
      </w:r>
      <w:r w:rsidRPr="00CB604C">
        <w:t xml:space="preserve">; </w:t>
      </w:r>
    </w:p>
    <w:p w14:paraId="7D11A1E8" w14:textId="77777777" w:rsidR="006B1126" w:rsidRPr="00CB604C" w:rsidRDefault="006B1126" w:rsidP="00D61785">
      <w:pPr>
        <w:pStyle w:val="a4"/>
        <w:widowControl w:val="0"/>
        <w:numPr>
          <w:ilvl w:val="0"/>
          <w:numId w:val="34"/>
        </w:numPr>
        <w:tabs>
          <w:tab w:val="left" w:pos="0"/>
        </w:tabs>
        <w:autoSpaceDE w:val="0"/>
        <w:autoSpaceDN w:val="0"/>
        <w:adjustRightInd w:val="0"/>
        <w:spacing w:before="0"/>
        <w:ind w:right="49"/>
        <w:contextualSpacing/>
      </w:pPr>
      <w:r w:rsidRPr="00CB604C">
        <w:t xml:space="preserve">исследование колонизации </w:t>
      </w:r>
      <w:r w:rsidRPr="00CB604C">
        <w:rPr>
          <w:i/>
        </w:rPr>
        <w:t>Staphylococcus aureus</w:t>
      </w:r>
      <w:r w:rsidRPr="00CB604C">
        <w:t xml:space="preserve"> у больных с пиодермией.  </w:t>
      </w:r>
    </w:p>
    <w:p w14:paraId="287D33A0" w14:textId="77777777" w:rsidR="006B1126" w:rsidRPr="00761653" w:rsidRDefault="006B1126" w:rsidP="006B1126">
      <w:pPr>
        <w:widowControl w:val="0"/>
        <w:autoSpaceDE w:val="0"/>
        <w:autoSpaceDN w:val="0"/>
        <w:adjustRightInd w:val="0"/>
        <w:ind w:right="-93" w:firstLine="709"/>
        <w:contextualSpacing/>
        <w:rPr>
          <w:b/>
          <w:bCs/>
        </w:rPr>
      </w:pPr>
      <w:r w:rsidRPr="00225D7F">
        <w:rPr>
          <w:i/>
          <w:iCs/>
          <w:u w:val="single"/>
        </w:rPr>
        <w:t>Микробиологическое исследование биоптатов / соскобов / отделяемого пораженных участков кожи</w:t>
      </w:r>
      <w:r w:rsidRPr="009F2603">
        <w:rPr>
          <w:b/>
          <w:bCs/>
        </w:rPr>
        <w:t xml:space="preserve"> </w:t>
      </w:r>
      <w:r>
        <w:t>проводят при наличии</w:t>
      </w:r>
      <w:r w:rsidRPr="00761653">
        <w:t xml:space="preserve"> септикопиемических очагов </w:t>
      </w:r>
      <w:r>
        <w:t xml:space="preserve">кожи </w:t>
      </w:r>
      <w:r w:rsidRPr="00761653">
        <w:t xml:space="preserve">(инфильтраты в дерме любых размеров, возникшие при </w:t>
      </w:r>
      <w:r>
        <w:t>гипертермии</w:t>
      </w:r>
      <w:r w:rsidRPr="00761653">
        <w:t>) или других образований на коже.</w:t>
      </w:r>
      <w:r w:rsidRPr="00761653">
        <w:rPr>
          <w:b/>
          <w:bCs/>
        </w:rPr>
        <w:t xml:space="preserve"> </w:t>
      </w:r>
      <w:r w:rsidRPr="00761653">
        <w:t xml:space="preserve">Проводят гистологическое и микробиологическое </w:t>
      </w:r>
      <w:r>
        <w:t xml:space="preserve">(культуральное) </w:t>
      </w:r>
      <w:r w:rsidRPr="00761653">
        <w:t xml:space="preserve">исследование на наличие </w:t>
      </w:r>
      <w:r>
        <w:t xml:space="preserve">бактерий, </w:t>
      </w:r>
      <w:r w:rsidRPr="00761653">
        <w:t>грибов</w:t>
      </w:r>
      <w:r>
        <w:t>, туберкуляза</w:t>
      </w:r>
      <w:r w:rsidRPr="00761653">
        <w:t xml:space="preserve">; </w:t>
      </w:r>
      <w:r>
        <w:t xml:space="preserve">микроскопическое исследование </w:t>
      </w:r>
      <w:r w:rsidRPr="00761653">
        <w:t>с окраской по Граму, Цилю-Нильсену, калькофлюором белым.</w:t>
      </w:r>
    </w:p>
    <w:p w14:paraId="66323BCB" w14:textId="77777777" w:rsidR="006B1126" w:rsidRPr="009F2603" w:rsidRDefault="006B1126" w:rsidP="006B1126">
      <w:pPr>
        <w:widowControl w:val="0"/>
        <w:autoSpaceDE w:val="0"/>
        <w:autoSpaceDN w:val="0"/>
        <w:adjustRightInd w:val="0"/>
        <w:ind w:firstLine="709"/>
        <w:contextualSpacing/>
        <w:rPr>
          <w:b/>
          <w:bCs/>
        </w:rPr>
      </w:pPr>
      <w:r w:rsidRPr="00545FA8">
        <w:rPr>
          <w:i/>
          <w:iCs/>
          <w:u w:val="single"/>
        </w:rPr>
        <w:t>Исследование жидкости бронхоальвеолярного лаважа</w:t>
      </w:r>
      <w:r>
        <w:t xml:space="preserve"> (БАЛ) проводят при</w:t>
      </w:r>
      <w:r w:rsidRPr="00761653">
        <w:t xml:space="preserve"> наличи</w:t>
      </w:r>
      <w:r>
        <w:t>и</w:t>
      </w:r>
      <w:r w:rsidRPr="00761653">
        <w:t xml:space="preserve"> изменений в легких. Исследование </w:t>
      </w:r>
      <w:r>
        <w:t xml:space="preserve">лаважной </w:t>
      </w:r>
      <w:r w:rsidRPr="00761653">
        <w:t xml:space="preserve">жидкости включает цитологию мазков, </w:t>
      </w:r>
      <w:r w:rsidRPr="00761653">
        <w:lastRenderedPageBreak/>
        <w:t xml:space="preserve">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w:t>
      </w:r>
      <w:r>
        <w:t xml:space="preserve">(культуральное) </w:t>
      </w:r>
      <w:r w:rsidRPr="00761653">
        <w:t xml:space="preserve">исследование на бактерии, включая </w:t>
      </w:r>
      <w:r w:rsidRPr="00761653">
        <w:rPr>
          <w:i/>
          <w:iCs/>
        </w:rPr>
        <w:t>Legionella</w:t>
      </w:r>
      <w:r w:rsidRPr="00761653">
        <w:t xml:space="preserve"> spp., и грибы, флюоресцентную микроскопию </w:t>
      </w:r>
      <w:r w:rsidRPr="00761653">
        <w:rPr>
          <w:i/>
          <w:iCs/>
        </w:rPr>
        <w:t xml:space="preserve">Pneumocystis jirovecii, </w:t>
      </w:r>
      <w:r>
        <w:rPr>
          <w:iCs/>
        </w:rPr>
        <w:t xml:space="preserve">молекулярно-биологическое исследование для </w:t>
      </w:r>
      <w:r w:rsidRPr="00761653">
        <w:t>определени</w:t>
      </w:r>
      <w:r>
        <w:t>я</w:t>
      </w:r>
      <w:r w:rsidRPr="00761653">
        <w:t xml:space="preserve"> ДНК </w:t>
      </w:r>
      <w:r w:rsidRPr="00761653">
        <w:rPr>
          <w:i/>
          <w:iCs/>
        </w:rPr>
        <w:t xml:space="preserve">P. jirovecii </w:t>
      </w:r>
      <w:r w:rsidRPr="00761653">
        <w:t>методом ПЦР, определени</w:t>
      </w:r>
      <w:r>
        <w:t>я</w:t>
      </w:r>
      <w:r w:rsidRPr="00761653">
        <w:t xml:space="preserve"> антигена </w:t>
      </w:r>
      <w:r w:rsidRPr="00761653">
        <w:rPr>
          <w:i/>
          <w:iCs/>
        </w:rPr>
        <w:t>Aspergillus</w:t>
      </w:r>
      <w:r w:rsidRPr="00761653">
        <w:t xml:space="preserve"> (галактоманнан) в жидкости БАЛ, </w:t>
      </w:r>
      <w:r>
        <w:t xml:space="preserve">молекулярно-биологичесие </w:t>
      </w:r>
      <w:r w:rsidRPr="00761653">
        <w:t>исследовани</w:t>
      </w:r>
      <w:r>
        <w:t>я</w:t>
      </w:r>
      <w:r w:rsidRPr="00761653">
        <w:t xml:space="preserve"> на микобактерии методом ПЦР, </w:t>
      </w:r>
      <w:r>
        <w:t xml:space="preserve">для </w:t>
      </w:r>
      <w:r w:rsidRPr="00761653">
        <w:t>определени</w:t>
      </w:r>
      <w:r>
        <w:t>я</w:t>
      </w:r>
      <w:r w:rsidRPr="00761653">
        <w:t xml:space="preserve"> ДНК </w:t>
      </w:r>
      <w:r w:rsidRPr="00761653">
        <w:rPr>
          <w:i/>
          <w:iCs/>
        </w:rPr>
        <w:t xml:space="preserve">Mycoplasma pneumoniae </w:t>
      </w:r>
      <w:r w:rsidRPr="00761653">
        <w:rPr>
          <w:iCs/>
        </w:rPr>
        <w:t>и</w:t>
      </w:r>
      <w:r w:rsidRPr="00761653">
        <w:rPr>
          <w:i/>
          <w:iCs/>
        </w:rPr>
        <w:t xml:space="preserve"> Chlamydophila pneumoniae</w:t>
      </w:r>
      <w:r w:rsidRPr="00761653">
        <w:t xml:space="preserve"> методом ПЦР, определени</w:t>
      </w:r>
      <w:r>
        <w:t>я</w:t>
      </w:r>
      <w:r w:rsidRPr="00761653">
        <w:t xml:space="preserve"> ДНК герпес вирусов и респираторных вирусов (Influenza, Parainfluenza, RSV, Coronavirus, Human metapneumovirus, H1N1) методом ПЦР.</w:t>
      </w:r>
    </w:p>
    <w:p w14:paraId="302CBD34" w14:textId="2938350F" w:rsidR="006B1126" w:rsidRPr="00545FA8" w:rsidRDefault="006B1126" w:rsidP="00545FA8">
      <w:pPr>
        <w:widowControl w:val="0"/>
        <w:tabs>
          <w:tab w:val="left" w:pos="1134"/>
        </w:tabs>
        <w:autoSpaceDE w:val="0"/>
        <w:autoSpaceDN w:val="0"/>
        <w:adjustRightInd w:val="0"/>
        <w:ind w:firstLine="709"/>
        <w:contextualSpacing/>
        <w:rPr>
          <w:b/>
          <w:u w:val="single"/>
        </w:rPr>
      </w:pPr>
      <w:r w:rsidRPr="00545FA8">
        <w:rPr>
          <w:i/>
          <w:iCs/>
          <w:u w:val="single"/>
        </w:rPr>
        <w:t>Определение антигена Legionella pneumophila в моче</w:t>
      </w:r>
      <w:r w:rsidRPr="00545FA8">
        <w:rPr>
          <w:b/>
        </w:rPr>
        <w:t xml:space="preserve"> </w:t>
      </w:r>
      <w:r>
        <w:t>проводится при</w:t>
      </w:r>
      <w:r w:rsidRPr="00761653">
        <w:t xml:space="preserve"> наличи</w:t>
      </w:r>
      <w:r>
        <w:t>и</w:t>
      </w:r>
      <w:r w:rsidRPr="00761653">
        <w:t xml:space="preserve"> </w:t>
      </w:r>
      <w:r w:rsidRPr="00FF0DF6">
        <w:t>пневмонии с очагами консолидации.</w:t>
      </w:r>
    </w:p>
    <w:p w14:paraId="5DCCA612" w14:textId="0AA4A85F" w:rsidR="006B1126" w:rsidRDefault="006B1126" w:rsidP="00FF0DF6">
      <w:pPr>
        <w:widowControl w:val="0"/>
        <w:autoSpaceDE w:val="0"/>
        <w:autoSpaceDN w:val="0"/>
        <w:adjustRightInd w:val="0"/>
        <w:ind w:firstLine="709"/>
        <w:contextualSpacing/>
        <w:rPr>
          <w:bCs/>
        </w:rPr>
      </w:pPr>
      <w:r w:rsidRPr="00545FA8">
        <w:rPr>
          <w:i/>
          <w:iCs/>
          <w:u w:val="single"/>
        </w:rPr>
        <w:t>Исследование антигена Aspergillus (галактоманнан) в сыворотке крови, в жидкости БАЛ, в СМЖ</w:t>
      </w:r>
      <w:r>
        <w:rPr>
          <w:bCs/>
          <w:iCs/>
        </w:rPr>
        <w:t xml:space="preserve"> показано в следующих клинических ситуациях:</w:t>
      </w:r>
      <w:r w:rsidRPr="00761653">
        <w:rPr>
          <w:bCs/>
        </w:rPr>
        <w:t xml:space="preserve"> </w:t>
      </w:r>
    </w:p>
    <w:p w14:paraId="0F0BF9DA" w14:textId="77777777" w:rsidR="006B1126" w:rsidRPr="00833774" w:rsidRDefault="006B1126" w:rsidP="00D61785">
      <w:pPr>
        <w:pStyle w:val="a4"/>
        <w:widowControl w:val="0"/>
        <w:numPr>
          <w:ilvl w:val="0"/>
          <w:numId w:val="35"/>
        </w:numPr>
        <w:tabs>
          <w:tab w:val="left" w:pos="0"/>
        </w:tabs>
        <w:autoSpaceDE w:val="0"/>
        <w:autoSpaceDN w:val="0"/>
        <w:adjustRightInd w:val="0"/>
        <w:spacing w:before="0"/>
        <w:contextualSpacing/>
      </w:pPr>
      <w:r w:rsidRPr="00833774">
        <w:rPr>
          <w:bCs/>
        </w:rPr>
        <w:t xml:space="preserve">мониторинг в период нейтропении у </w:t>
      </w:r>
      <w:r>
        <w:rPr>
          <w:bCs/>
        </w:rPr>
        <w:t>пациентов</w:t>
      </w:r>
      <w:r w:rsidRPr="00833774">
        <w:rPr>
          <w:bCs/>
        </w:rPr>
        <w:t xml:space="preserve"> острыми миело</w:t>
      </w:r>
      <w:r>
        <w:rPr>
          <w:bCs/>
        </w:rPr>
        <w:t>идными лейкозами и у реципиентов</w:t>
      </w:r>
      <w:r w:rsidRPr="00833774">
        <w:rPr>
          <w:bCs/>
        </w:rPr>
        <w:t xml:space="preserve"> аллогеннных гемопоэтических клеток, если не проводится профилактики противогрибковыми препаратами, активными</w:t>
      </w:r>
      <w:r>
        <w:rPr>
          <w:bCs/>
        </w:rPr>
        <w:t xml:space="preserve"> в отношении плесневых грибов; </w:t>
      </w:r>
    </w:p>
    <w:p w14:paraId="597CD698" w14:textId="77777777" w:rsidR="006B1126" w:rsidRDefault="006B1126" w:rsidP="00D61785">
      <w:pPr>
        <w:pStyle w:val="a4"/>
        <w:widowControl w:val="0"/>
        <w:numPr>
          <w:ilvl w:val="0"/>
          <w:numId w:val="35"/>
        </w:numPr>
        <w:tabs>
          <w:tab w:val="left" w:pos="0"/>
        </w:tabs>
        <w:autoSpaceDE w:val="0"/>
        <w:autoSpaceDN w:val="0"/>
        <w:adjustRightInd w:val="0"/>
        <w:spacing w:before="0"/>
        <w:contextualSpacing/>
      </w:pPr>
      <w:r w:rsidRPr="00680401">
        <w:t>у пациентов с факторами риска (длительность нейтропении от 10 дней и более, применени</w:t>
      </w:r>
      <w:r>
        <w:t>е глюкокортикоидов, флударабина</w:t>
      </w:r>
      <w:r w:rsidRPr="00680401">
        <w:t>) и р</w:t>
      </w:r>
      <w:r>
        <w:t>ади</w:t>
      </w:r>
      <w:r w:rsidRPr="00680401">
        <w:t xml:space="preserve">ологическими признаками, характерными для инвазивного аспергиллеза, в период нейтропении. </w:t>
      </w:r>
    </w:p>
    <w:p w14:paraId="25415A1D" w14:textId="77777777" w:rsidR="006B1126" w:rsidRDefault="006B1126" w:rsidP="00D61785">
      <w:pPr>
        <w:pStyle w:val="a4"/>
        <w:widowControl w:val="0"/>
        <w:numPr>
          <w:ilvl w:val="0"/>
          <w:numId w:val="35"/>
        </w:numPr>
        <w:tabs>
          <w:tab w:val="left" w:pos="0"/>
        </w:tabs>
        <w:autoSpaceDE w:val="0"/>
        <w:autoSpaceDN w:val="0"/>
        <w:adjustRightInd w:val="0"/>
        <w:spacing w:before="0"/>
        <w:contextualSpacing/>
      </w:pPr>
      <w:r>
        <w:t xml:space="preserve">при клинико-радиологических признаках, подозрительных в отношении инвазивного аспергилеза, независимо от </w:t>
      </w:r>
      <w:r w:rsidRPr="00680401">
        <w:t>нейтропении.</w:t>
      </w:r>
    </w:p>
    <w:p w14:paraId="572ADCA8" w14:textId="04651554" w:rsidR="006B1126" w:rsidRPr="00761653" w:rsidRDefault="006B1126" w:rsidP="006B1126">
      <w:pPr>
        <w:widowControl w:val="0"/>
        <w:tabs>
          <w:tab w:val="left" w:pos="0"/>
        </w:tabs>
        <w:autoSpaceDE w:val="0"/>
        <w:autoSpaceDN w:val="0"/>
        <w:adjustRightInd w:val="0"/>
      </w:pPr>
      <w:r>
        <w:rPr>
          <w:bCs/>
        </w:rPr>
        <w:tab/>
      </w:r>
      <w:r w:rsidRPr="00680401">
        <w:rPr>
          <w:bCs/>
        </w:rPr>
        <w:t>И</w:t>
      </w:r>
      <w:r w:rsidRPr="00680401">
        <w:t xml:space="preserve">сследование проводят не менее двух раз в течение 5 дней. Антиген </w:t>
      </w:r>
      <w:r w:rsidRPr="00680401">
        <w:rPr>
          <w:i/>
          <w:iCs/>
        </w:rPr>
        <w:t>Aspergillus</w:t>
      </w:r>
      <w:r w:rsidRPr="00680401">
        <w:t xml:space="preserve">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w:t>
      </w:r>
      <w:r>
        <w:t xml:space="preserve"> </w:t>
      </w:r>
      <w:r w:rsidRPr="00761653">
        <w:t xml:space="preserve">Положительные значения индекса оптической плотности определения антигена </w:t>
      </w:r>
      <w:r w:rsidRPr="00761653">
        <w:rPr>
          <w:i/>
          <w:iCs/>
        </w:rPr>
        <w:t>Aspergillus</w:t>
      </w:r>
      <w:r w:rsidRPr="00761653">
        <w:t xml:space="preserve"> в сыворотке крови</w:t>
      </w:r>
      <w:r>
        <w:t xml:space="preserve">: </w:t>
      </w:r>
      <w:r w:rsidRPr="00761653">
        <w:t xml:space="preserve"> ≥0,5, в жидкости БАЛ</w:t>
      </w:r>
      <w:r>
        <w:t>:</w:t>
      </w:r>
      <w:r w:rsidRPr="00761653">
        <w:t xml:space="preserve"> ≥1,0, в СМЖ</w:t>
      </w:r>
      <w:r>
        <w:t>:</w:t>
      </w:r>
      <w:r w:rsidRPr="00761653">
        <w:t xml:space="preserve"> ≥1,0</w:t>
      </w:r>
      <w:r>
        <w:t xml:space="preserve"> </w:t>
      </w:r>
      <w:r>
        <w:fldChar w:fldCharType="begin" w:fldLock="1"/>
      </w:r>
      <w:r w:rsidR="00293679">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[79]","plainTextFormattedCitation":"[79]","previouslyFormattedCitation":"[79]"},"properties":{"noteIndex":0},"schema":"https://github.com/citation-style-language/schema/raw/master/csl-citation.json"}</w:instrText>
      </w:r>
      <w:r>
        <w:fldChar w:fldCharType="separate"/>
      </w:r>
      <w:r w:rsidR="00225D7F" w:rsidRPr="00225D7F">
        <w:rPr>
          <w:noProof/>
        </w:rPr>
        <w:t>[79]</w:t>
      </w:r>
      <w:r>
        <w:fldChar w:fldCharType="end"/>
      </w:r>
      <w:r w:rsidRPr="00761653">
        <w:t xml:space="preserve">. </w:t>
      </w:r>
    </w:p>
    <w:p w14:paraId="56682182" w14:textId="350A248A" w:rsidR="006B1126" w:rsidRDefault="006B1126" w:rsidP="006B1126">
      <w:pPr>
        <w:widowControl w:val="0"/>
        <w:tabs>
          <w:tab w:val="left" w:pos="0"/>
        </w:tabs>
        <w:autoSpaceDE w:val="0"/>
        <w:autoSpaceDN w:val="0"/>
        <w:adjustRightInd w:val="0"/>
        <w:ind w:firstLine="709"/>
        <w:contextualSpacing/>
      </w:pPr>
      <w:r w:rsidRPr="00545FA8">
        <w:rPr>
          <w:i/>
          <w:iCs/>
          <w:u w:val="single"/>
        </w:rPr>
        <w:t>Исследование антигена Candida (маннан) и антител Candida (антиманнан) в сыворотке крови</w:t>
      </w:r>
      <w:r>
        <w:t xml:space="preserve"> проводят по следующим показаниям:</w:t>
      </w:r>
    </w:p>
    <w:p w14:paraId="73DA6C96" w14:textId="77777777" w:rsidR="006B1126" w:rsidRDefault="006B1126" w:rsidP="00D61785">
      <w:pPr>
        <w:pStyle w:val="a4"/>
        <w:widowControl w:val="0"/>
        <w:numPr>
          <w:ilvl w:val="0"/>
          <w:numId w:val="36"/>
        </w:numPr>
        <w:tabs>
          <w:tab w:val="left" w:pos="0"/>
        </w:tabs>
        <w:autoSpaceDE w:val="0"/>
        <w:autoSpaceDN w:val="0"/>
        <w:adjustRightInd w:val="0"/>
        <w:spacing w:before="0"/>
        <w:contextualSpacing/>
      </w:pPr>
      <w:r w:rsidRPr="00315F82">
        <w:t xml:space="preserve">множественные очаги в печени и/или селезенке (подозрение на гепатолиенальный кандидоз); </w:t>
      </w:r>
    </w:p>
    <w:p w14:paraId="1D84BA12" w14:textId="77777777" w:rsidR="006B1126" w:rsidRDefault="006B1126" w:rsidP="00D61785">
      <w:pPr>
        <w:pStyle w:val="a4"/>
        <w:widowControl w:val="0"/>
        <w:numPr>
          <w:ilvl w:val="0"/>
          <w:numId w:val="36"/>
        </w:numPr>
        <w:tabs>
          <w:tab w:val="left" w:pos="0"/>
        </w:tabs>
        <w:autoSpaceDE w:val="0"/>
        <w:autoSpaceDN w:val="0"/>
        <w:adjustRightInd w:val="0"/>
        <w:spacing w:before="0"/>
        <w:contextualSpacing/>
      </w:pPr>
      <w:r w:rsidRPr="00315F82">
        <w:t xml:space="preserve">предполагаемый инвазивный кандидоз у больных с длительной (более 7-10 дней) персистирующей температурой. </w:t>
      </w:r>
    </w:p>
    <w:p w14:paraId="07E2F685" w14:textId="442E2202" w:rsidR="006B1126" w:rsidRPr="00315F82" w:rsidRDefault="006B1126" w:rsidP="006B1126">
      <w:pPr>
        <w:widowControl w:val="0"/>
        <w:tabs>
          <w:tab w:val="left" w:pos="0"/>
        </w:tabs>
        <w:autoSpaceDE w:val="0"/>
        <w:autoSpaceDN w:val="0"/>
        <w:adjustRightInd w:val="0"/>
      </w:pPr>
      <w:r>
        <w:lastRenderedPageBreak/>
        <w:tab/>
      </w:r>
      <w:r w:rsidRPr="00315F82">
        <w:t xml:space="preserve">Образец для исследования </w:t>
      </w:r>
      <w:r w:rsidR="00FF0DF6">
        <w:t>–</w:t>
      </w:r>
      <w:r w:rsidRPr="00315F82">
        <w:t xml:space="preserve"> кровь. Результат исследования считается положи</w:t>
      </w:r>
      <w:r>
        <w:t xml:space="preserve">тельным при следующих значениях: </w:t>
      </w:r>
      <w:r w:rsidRPr="00315F82">
        <w:t xml:space="preserve">антиген </w:t>
      </w:r>
      <w:r w:rsidRPr="00315F82">
        <w:rPr>
          <w:i/>
          <w:iCs/>
        </w:rPr>
        <w:t>Candida</w:t>
      </w:r>
      <w:r w:rsidRPr="00315F82">
        <w:t xml:space="preserve"> (маннан) ≥125 пг/мл; антитела </w:t>
      </w:r>
      <w:r w:rsidRPr="00315F82">
        <w:rPr>
          <w:i/>
          <w:iCs/>
        </w:rPr>
        <w:t>Candida</w:t>
      </w:r>
      <w:r w:rsidRPr="00315F82">
        <w:t xml:space="preserve">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w:t>
      </w:r>
      <w:r>
        <w:t xml:space="preserve">пациентов </w:t>
      </w:r>
      <w:r w:rsidRPr="00315F82">
        <w:t xml:space="preserve">с колонизацией слизистых оболочек </w:t>
      </w:r>
      <w:r w:rsidRPr="00315F82">
        <w:rPr>
          <w:i/>
        </w:rPr>
        <w:t>Candida</w:t>
      </w:r>
      <w:r w:rsidRPr="00315F82">
        <w:t xml:space="preserve"> spp могут быть положительные значения антиманнана.</w:t>
      </w:r>
    </w:p>
    <w:p w14:paraId="199FF634" w14:textId="52210D67" w:rsidR="006B1126" w:rsidRPr="00761653" w:rsidRDefault="006B1126" w:rsidP="006B1126">
      <w:pPr>
        <w:widowControl w:val="0"/>
        <w:autoSpaceDE w:val="0"/>
        <w:autoSpaceDN w:val="0"/>
        <w:adjustRightInd w:val="0"/>
        <w:ind w:firstLine="709"/>
        <w:contextualSpacing/>
      </w:pPr>
      <w:r w:rsidRPr="00545FA8">
        <w:rPr>
          <w:i/>
          <w:iCs/>
          <w:u w:val="single"/>
        </w:rPr>
        <w:t>Определение антигена Cryptocococcus (глюкуроноксиломаннан)</w:t>
      </w:r>
      <w:r>
        <w:t xml:space="preserve"> выполняется при </w:t>
      </w:r>
      <w:r w:rsidRPr="00761653">
        <w:t>подозрени</w:t>
      </w:r>
      <w:r>
        <w:t>и</w:t>
      </w:r>
      <w:r w:rsidRPr="00761653">
        <w:t xml:space="preserve"> на инфекцию, вызванную криптококком, у </w:t>
      </w:r>
      <w:r>
        <w:t>пациентов с факторами риска (Т-клеточный</w:t>
      </w:r>
      <w:r w:rsidRPr="00761653">
        <w:t xml:space="preserve"> иммунодефицит) возникновения этой инфекции. Группу риска </w:t>
      </w:r>
      <w:r>
        <w:t xml:space="preserve">в том числе </w:t>
      </w:r>
      <w:r w:rsidRPr="00761653">
        <w:t xml:space="preserve">составляют </w:t>
      </w:r>
      <w:r>
        <w:t>пациенты, получающие</w:t>
      </w:r>
      <w:r w:rsidRPr="00761653">
        <w:t xml:space="preserve"> лечение глюкокортикоидами, флударабином, </w:t>
      </w:r>
      <w:r>
        <w:t>и др</w:t>
      </w:r>
      <w:r w:rsidRPr="00761653">
        <w:t>.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(качественный анализ).</w:t>
      </w:r>
    </w:p>
    <w:p w14:paraId="40599295" w14:textId="485A79B9" w:rsidR="006B1126" w:rsidRPr="00761653" w:rsidRDefault="006B1126" w:rsidP="00D72B26">
      <w:pPr>
        <w:widowControl w:val="0"/>
        <w:autoSpaceDE w:val="0"/>
        <w:autoSpaceDN w:val="0"/>
        <w:adjustRightInd w:val="0"/>
        <w:ind w:firstLine="709"/>
        <w:contextualSpacing/>
      </w:pPr>
      <w:r w:rsidRPr="00545FA8">
        <w:rPr>
          <w:i/>
          <w:iCs/>
          <w:u w:val="single"/>
        </w:rPr>
        <w:t xml:space="preserve">Исследование антитела Мycoplasma pneumoniae (IgM, IgG), Chlamydophila pneumoniae (IgM, IgG) в крови </w:t>
      </w:r>
      <w:r w:rsidR="00D72B26" w:rsidRPr="00545FA8">
        <w:rPr>
          <w:i/>
          <w:iCs/>
          <w:u w:val="single"/>
        </w:rPr>
        <w:t>выполняется</w:t>
      </w:r>
      <w:r w:rsidR="00D72B26" w:rsidRPr="00D72B26">
        <w:t xml:space="preserve"> при</w:t>
      </w:r>
      <w:r w:rsidRPr="00D72B26">
        <w:t xml:space="preserve"> </w:t>
      </w:r>
      <w:r w:rsidRPr="00761653">
        <w:t>пневмони</w:t>
      </w:r>
      <w:r w:rsidR="00D72B26">
        <w:t>и</w:t>
      </w:r>
      <w:r w:rsidRPr="00761653">
        <w:t>, возникш</w:t>
      </w:r>
      <w:r w:rsidR="00D72B26">
        <w:t>ей</w:t>
      </w:r>
      <w:r w:rsidRPr="00761653">
        <w:t xml:space="preserve"> амбулаторно.</w:t>
      </w:r>
    </w:p>
    <w:p w14:paraId="52DE3F45" w14:textId="77777777" w:rsidR="006B1126" w:rsidRDefault="006B1126" w:rsidP="006B1126">
      <w:pPr>
        <w:widowControl w:val="0"/>
        <w:tabs>
          <w:tab w:val="left" w:pos="0"/>
        </w:tabs>
        <w:autoSpaceDE w:val="0"/>
        <w:autoSpaceDN w:val="0"/>
        <w:adjustRightInd w:val="0"/>
        <w:ind w:firstLine="709"/>
        <w:contextualSpacing/>
      </w:pPr>
      <w:r w:rsidRPr="00761653">
        <w:t xml:space="preserve">Показаниями к проведению </w:t>
      </w:r>
      <w:r w:rsidRPr="00545FA8">
        <w:rPr>
          <w:i/>
          <w:iCs/>
          <w:u w:val="single"/>
        </w:rPr>
        <w:t>КТ/СКТ органов грудной полости являются:</w:t>
      </w:r>
    </w:p>
    <w:p w14:paraId="332E2AFC" w14:textId="77777777" w:rsidR="006B1126" w:rsidRDefault="006B1126" w:rsidP="00D61785">
      <w:pPr>
        <w:pStyle w:val="a4"/>
        <w:widowControl w:val="0"/>
        <w:numPr>
          <w:ilvl w:val="0"/>
          <w:numId w:val="37"/>
        </w:numPr>
        <w:tabs>
          <w:tab w:val="left" w:pos="0"/>
        </w:tabs>
        <w:autoSpaceDE w:val="0"/>
        <w:autoSpaceDN w:val="0"/>
        <w:adjustRightInd w:val="0"/>
        <w:spacing w:before="0"/>
        <w:contextualSpacing/>
      </w:pPr>
      <w:r w:rsidRPr="00016F8E">
        <w:t xml:space="preserve">пневмония (аускультативные признаки); </w:t>
      </w:r>
    </w:p>
    <w:p w14:paraId="0D33D520" w14:textId="77777777" w:rsidR="006B1126" w:rsidRDefault="006B1126" w:rsidP="00D61785">
      <w:pPr>
        <w:pStyle w:val="a4"/>
        <w:widowControl w:val="0"/>
        <w:numPr>
          <w:ilvl w:val="0"/>
          <w:numId w:val="37"/>
        </w:numPr>
        <w:tabs>
          <w:tab w:val="left" w:pos="0"/>
        </w:tabs>
        <w:autoSpaceDE w:val="0"/>
        <w:autoSpaceDN w:val="0"/>
        <w:adjustRightInd w:val="0"/>
        <w:spacing w:before="0"/>
        <w:contextualSpacing/>
      </w:pPr>
      <w:r w:rsidRPr="00016F8E">
        <w:t xml:space="preserve">персистирующая фебрильная нейтропения от 3 дней и более, независимо от физикальной картины в легких; </w:t>
      </w:r>
    </w:p>
    <w:p w14:paraId="1883DC5B" w14:textId="77777777" w:rsidR="006B1126" w:rsidRDefault="006B1126" w:rsidP="00D61785">
      <w:pPr>
        <w:pStyle w:val="a4"/>
        <w:widowControl w:val="0"/>
        <w:numPr>
          <w:ilvl w:val="0"/>
          <w:numId w:val="37"/>
        </w:numPr>
        <w:tabs>
          <w:tab w:val="left" w:pos="0"/>
        </w:tabs>
        <w:autoSpaceDE w:val="0"/>
        <w:autoSpaceDN w:val="0"/>
        <w:adjustRightInd w:val="0"/>
        <w:spacing w:before="0"/>
        <w:contextualSpacing/>
      </w:pPr>
      <w:r w:rsidRPr="00016F8E">
        <w:t xml:space="preserve">контроль выявленных изменений в легких через 7-14 дней в зависимости от состояния больного и диагностированной инфекции. </w:t>
      </w:r>
    </w:p>
    <w:p w14:paraId="15A95D96" w14:textId="77777777" w:rsidR="006B1126" w:rsidRPr="00761653" w:rsidRDefault="006B1126" w:rsidP="006B1126">
      <w:pPr>
        <w:widowControl w:val="0"/>
        <w:tabs>
          <w:tab w:val="left" w:pos="0"/>
        </w:tabs>
        <w:autoSpaceDE w:val="0"/>
        <w:autoSpaceDN w:val="0"/>
        <w:adjustRightInd w:val="0"/>
      </w:pPr>
      <w:r>
        <w:tab/>
      </w:r>
      <w:r w:rsidRPr="00016F8E">
        <w:t>КТ/СКТ во всех случаях без проводят без предварительной рентгенографии грудной клетки.</w:t>
      </w:r>
      <w:r>
        <w:t xml:space="preserve"> </w:t>
      </w:r>
      <w:r w:rsidRPr="00761653">
        <w:t xml:space="preserve">Рентгенография органов грудной клетки относится к малоинформативным методам исследования у </w:t>
      </w:r>
      <w:r>
        <w:t xml:space="preserve">гематологических пациентов, предпочтительно </w:t>
      </w:r>
      <w:r w:rsidRPr="00761653">
        <w:t>для диагностики инфекционных осложнений</w:t>
      </w:r>
      <w:r>
        <w:t xml:space="preserve"> применять КТ/СКТ</w:t>
      </w:r>
      <w:r w:rsidRPr="00761653">
        <w:t>.</w:t>
      </w:r>
    </w:p>
    <w:p w14:paraId="205B41F9" w14:textId="2EFAAF1F" w:rsidR="006B1126" w:rsidRPr="008572A7" w:rsidRDefault="006B1126" w:rsidP="008572A7">
      <w:pPr>
        <w:widowControl w:val="0"/>
        <w:autoSpaceDE w:val="0"/>
        <w:autoSpaceDN w:val="0"/>
        <w:adjustRightInd w:val="0"/>
        <w:ind w:firstLine="709"/>
        <w:contextualSpacing/>
        <w:rPr>
          <w:b/>
          <w:bCs/>
          <w:u w:val="single"/>
        </w:rPr>
      </w:pPr>
      <w:r w:rsidRPr="00545FA8">
        <w:rPr>
          <w:i/>
          <w:iCs/>
          <w:u w:val="single"/>
        </w:rPr>
        <w:t>Ультразвуковое исследование (УЗИ), КТ/СКТ, МРТ органов брюшной полости</w:t>
      </w:r>
      <w:r w:rsidR="008572A7" w:rsidRPr="00545FA8">
        <w:rPr>
          <w:b/>
          <w:bCs/>
        </w:rPr>
        <w:t xml:space="preserve"> </w:t>
      </w:r>
      <w:r>
        <w:t>для уточнения инфекционного процесса проводят по клиническим показаниям, в том числе:</w:t>
      </w:r>
    </w:p>
    <w:p w14:paraId="67FEA979" w14:textId="77777777" w:rsidR="006B1126" w:rsidRDefault="006B1126" w:rsidP="00D61785">
      <w:pPr>
        <w:pStyle w:val="a4"/>
        <w:widowControl w:val="0"/>
        <w:numPr>
          <w:ilvl w:val="0"/>
          <w:numId w:val="38"/>
        </w:numPr>
        <w:tabs>
          <w:tab w:val="left" w:pos="0"/>
        </w:tabs>
        <w:autoSpaceDE w:val="0"/>
        <w:autoSpaceDN w:val="0"/>
        <w:adjustRightInd w:val="0"/>
        <w:spacing w:before="0"/>
        <w:contextualSpacing/>
      </w:pPr>
      <w:r w:rsidRPr="00016F8E">
        <w:t>сохраняющаяся лихорадка (колебания температуры в течение суток от 37 до 39°С), особенно у больных вне лейкопении (</w:t>
      </w:r>
      <w:r>
        <w:t xml:space="preserve">для </w:t>
      </w:r>
      <w:r w:rsidRPr="00016F8E">
        <w:t>диагности</w:t>
      </w:r>
      <w:r>
        <w:t>ки</w:t>
      </w:r>
      <w:r w:rsidRPr="00016F8E">
        <w:t xml:space="preserve"> гепатолиенального кандидоза); </w:t>
      </w:r>
    </w:p>
    <w:p w14:paraId="2FB873C1" w14:textId="77777777" w:rsidR="006B1126" w:rsidRDefault="006B1126" w:rsidP="00D61785">
      <w:pPr>
        <w:pStyle w:val="a4"/>
        <w:widowControl w:val="0"/>
        <w:numPr>
          <w:ilvl w:val="0"/>
          <w:numId w:val="38"/>
        </w:numPr>
        <w:tabs>
          <w:tab w:val="left" w:pos="0"/>
        </w:tabs>
        <w:autoSpaceDE w:val="0"/>
        <w:autoSpaceDN w:val="0"/>
        <w:adjustRightInd w:val="0"/>
        <w:spacing w:before="0"/>
        <w:contextualSpacing/>
      </w:pPr>
      <w:r>
        <w:t>при диагностированнмм аспергиллезе</w:t>
      </w:r>
      <w:r w:rsidRPr="00016F8E">
        <w:t xml:space="preserve"> легких или мукормикоз</w:t>
      </w:r>
      <w:r>
        <w:t>е</w:t>
      </w:r>
      <w:r w:rsidRPr="00016F8E">
        <w:t xml:space="preserve"> (</w:t>
      </w:r>
      <w:r>
        <w:t xml:space="preserve">для </w:t>
      </w:r>
      <w:r w:rsidRPr="00016F8E">
        <w:t>исключ</w:t>
      </w:r>
      <w:r>
        <w:t>ения</w:t>
      </w:r>
      <w:r w:rsidRPr="00016F8E">
        <w:t xml:space="preserve"> диссеминаци</w:t>
      </w:r>
      <w:r>
        <w:t>и</w:t>
      </w:r>
      <w:r w:rsidRPr="00016F8E">
        <w:t xml:space="preserve">); </w:t>
      </w:r>
    </w:p>
    <w:p w14:paraId="523D8310" w14:textId="77777777" w:rsidR="006B1126" w:rsidRDefault="006B1126" w:rsidP="00D61785">
      <w:pPr>
        <w:pStyle w:val="a4"/>
        <w:widowControl w:val="0"/>
        <w:numPr>
          <w:ilvl w:val="0"/>
          <w:numId w:val="38"/>
        </w:numPr>
        <w:tabs>
          <w:tab w:val="left" w:pos="0"/>
        </w:tabs>
        <w:autoSpaceDE w:val="0"/>
        <w:autoSpaceDN w:val="0"/>
        <w:adjustRightInd w:val="0"/>
        <w:spacing w:before="0"/>
        <w:contextualSpacing/>
      </w:pPr>
      <w:r>
        <w:t xml:space="preserve">для </w:t>
      </w:r>
      <w:r w:rsidRPr="00016F8E">
        <w:t>контрол</w:t>
      </w:r>
      <w:r>
        <w:t>я</w:t>
      </w:r>
      <w:r w:rsidRPr="00016F8E">
        <w:t xml:space="preserve"> выявленных</w:t>
      </w:r>
      <w:r>
        <w:t xml:space="preserve"> ранее</w:t>
      </w:r>
      <w:r w:rsidRPr="00016F8E">
        <w:t xml:space="preserve"> изменений. </w:t>
      </w:r>
    </w:p>
    <w:p w14:paraId="1CD9CF63" w14:textId="77777777" w:rsidR="006B1126" w:rsidRPr="00016F8E" w:rsidRDefault="006B1126" w:rsidP="006B1126">
      <w:pPr>
        <w:widowControl w:val="0"/>
        <w:tabs>
          <w:tab w:val="left" w:pos="0"/>
        </w:tabs>
        <w:autoSpaceDE w:val="0"/>
        <w:autoSpaceDN w:val="0"/>
        <w:adjustRightInd w:val="0"/>
      </w:pPr>
      <w:r>
        <w:lastRenderedPageBreak/>
        <w:tab/>
      </w:r>
      <w:r w:rsidRPr="00016F8E">
        <w:t>При диагностике гепатолиенального кандидоза контрольное исследование проводят не ранее чем через 1 мес терапии системными противогрибковыми препаратами</w:t>
      </w:r>
      <w:r>
        <w:t>,</w:t>
      </w:r>
      <w:r w:rsidRPr="00016F8E">
        <w:t xml:space="preserve"> вне лейкопении.</w:t>
      </w:r>
    </w:p>
    <w:p w14:paraId="71424199" w14:textId="0042AC56" w:rsidR="006B1126" w:rsidRPr="008572A7" w:rsidRDefault="006B1126" w:rsidP="008572A7">
      <w:pPr>
        <w:widowControl w:val="0"/>
        <w:tabs>
          <w:tab w:val="left" w:pos="0"/>
        </w:tabs>
        <w:autoSpaceDE w:val="0"/>
        <w:autoSpaceDN w:val="0"/>
        <w:adjustRightInd w:val="0"/>
        <w:ind w:firstLine="709"/>
        <w:contextualSpacing/>
        <w:rPr>
          <w:b/>
          <w:u w:val="single"/>
        </w:rPr>
      </w:pPr>
      <w:r w:rsidRPr="00545FA8">
        <w:rPr>
          <w:i/>
          <w:iCs/>
          <w:u w:val="single"/>
        </w:rPr>
        <w:t>КТ или МРТ головного мозга</w:t>
      </w:r>
      <w:r w:rsidR="008572A7" w:rsidRPr="008572A7">
        <w:rPr>
          <w:bCs/>
        </w:rPr>
        <w:t xml:space="preserve"> </w:t>
      </w:r>
      <w:r>
        <w:t>проводят для исключения инфекционного поражения головного мозга:</w:t>
      </w:r>
    </w:p>
    <w:p w14:paraId="15DB8132" w14:textId="77777777" w:rsidR="006B1126" w:rsidRDefault="006B1126" w:rsidP="00D61785">
      <w:pPr>
        <w:pStyle w:val="a4"/>
        <w:widowControl w:val="0"/>
        <w:numPr>
          <w:ilvl w:val="0"/>
          <w:numId w:val="39"/>
        </w:numPr>
        <w:tabs>
          <w:tab w:val="left" w:pos="0"/>
        </w:tabs>
        <w:autoSpaceDE w:val="0"/>
        <w:autoSpaceDN w:val="0"/>
        <w:adjustRightInd w:val="0"/>
        <w:spacing w:before="0"/>
        <w:contextualSpacing/>
      </w:pPr>
      <w:r>
        <w:t>при наличии</w:t>
      </w:r>
      <w:r w:rsidRPr="00016F8E">
        <w:t xml:space="preserve"> симптомов </w:t>
      </w:r>
      <w:r>
        <w:t>поражения</w:t>
      </w:r>
      <w:r w:rsidRPr="00016F8E">
        <w:t xml:space="preserve"> центральной нервной системы (ЦНС)</w:t>
      </w:r>
      <w:r>
        <w:t>;</w:t>
      </w:r>
    </w:p>
    <w:p w14:paraId="20F82352" w14:textId="77777777" w:rsidR="006B1126" w:rsidRPr="00016F8E" w:rsidRDefault="006B1126" w:rsidP="00D61785">
      <w:pPr>
        <w:pStyle w:val="a4"/>
        <w:widowControl w:val="0"/>
        <w:numPr>
          <w:ilvl w:val="0"/>
          <w:numId w:val="39"/>
        </w:numPr>
        <w:tabs>
          <w:tab w:val="left" w:pos="0"/>
        </w:tabs>
        <w:autoSpaceDE w:val="0"/>
        <w:autoSpaceDN w:val="0"/>
        <w:adjustRightInd w:val="0"/>
        <w:spacing w:before="0"/>
        <w:contextualSpacing/>
      </w:pPr>
      <w:r w:rsidRPr="00016F8E">
        <w:t>при диагностике инвазивного аспергиллеза легких/околоносовых пазух или мукормикоза (</w:t>
      </w:r>
      <w:r>
        <w:t xml:space="preserve">для </w:t>
      </w:r>
      <w:r w:rsidRPr="00016F8E">
        <w:t>исключ</w:t>
      </w:r>
      <w:r>
        <w:t>ения</w:t>
      </w:r>
      <w:r w:rsidRPr="00016F8E">
        <w:t xml:space="preserve"> диссеминаци</w:t>
      </w:r>
      <w:r>
        <w:t>и</w:t>
      </w:r>
      <w:r w:rsidRPr="00016F8E">
        <w:t>).</w:t>
      </w:r>
    </w:p>
    <w:p w14:paraId="6A6FD78E" w14:textId="77777777" w:rsidR="006B1126" w:rsidRPr="00545FA8" w:rsidRDefault="006B1126" w:rsidP="006B1126">
      <w:pPr>
        <w:widowControl w:val="0"/>
        <w:tabs>
          <w:tab w:val="left" w:pos="0"/>
        </w:tabs>
        <w:autoSpaceDE w:val="0"/>
        <w:autoSpaceDN w:val="0"/>
        <w:adjustRightInd w:val="0"/>
        <w:ind w:firstLine="709"/>
        <w:contextualSpacing/>
        <w:rPr>
          <w:i/>
          <w:iCs/>
          <w:u w:val="single"/>
        </w:rPr>
      </w:pPr>
      <w:r w:rsidRPr="00545FA8">
        <w:rPr>
          <w:i/>
          <w:iCs/>
          <w:u w:val="single"/>
        </w:rPr>
        <w:t>Эхокардиография (ЭхоКГ), включая чрезпищеводную ЭхоКГ</w:t>
      </w:r>
    </w:p>
    <w:p w14:paraId="5FAD4976" w14:textId="77777777" w:rsidR="006B1126" w:rsidRDefault="006B1126" w:rsidP="006B1126">
      <w:pPr>
        <w:widowControl w:val="0"/>
        <w:tabs>
          <w:tab w:val="left" w:pos="0"/>
        </w:tabs>
        <w:autoSpaceDE w:val="0"/>
        <w:autoSpaceDN w:val="0"/>
        <w:adjustRightInd w:val="0"/>
        <w:ind w:firstLine="709"/>
        <w:contextualSpacing/>
      </w:pPr>
      <w:r>
        <w:t>Проводится для исключения бактериального эндокардита, особенно в случае:</w:t>
      </w:r>
    </w:p>
    <w:p w14:paraId="15E81CC5" w14:textId="77777777" w:rsidR="006B1126" w:rsidRDefault="006B1126" w:rsidP="00D61785">
      <w:pPr>
        <w:pStyle w:val="a4"/>
        <w:widowControl w:val="0"/>
        <w:numPr>
          <w:ilvl w:val="0"/>
          <w:numId w:val="40"/>
        </w:numPr>
        <w:tabs>
          <w:tab w:val="left" w:pos="0"/>
        </w:tabs>
        <w:autoSpaceDE w:val="0"/>
        <w:autoSpaceDN w:val="0"/>
        <w:adjustRightInd w:val="0"/>
        <w:spacing w:before="0"/>
        <w:contextualSpacing/>
      </w:pPr>
      <w:r w:rsidRPr="00016F8E">
        <w:t>микробиологически подтвержденн</w:t>
      </w:r>
      <w:r>
        <w:t>ой</w:t>
      </w:r>
      <w:r w:rsidRPr="00016F8E">
        <w:t xml:space="preserve"> инфекци</w:t>
      </w:r>
      <w:r>
        <w:t>и</w:t>
      </w:r>
      <w:r w:rsidRPr="00016F8E">
        <w:t xml:space="preserve">, вызванная </w:t>
      </w:r>
      <w:r w:rsidRPr="00016F8E">
        <w:rPr>
          <w:i/>
        </w:rPr>
        <w:t>S. aureus</w:t>
      </w:r>
      <w:r w:rsidRPr="00016F8E">
        <w:t xml:space="preserve">; </w:t>
      </w:r>
    </w:p>
    <w:p w14:paraId="04A4706F" w14:textId="77777777" w:rsidR="006B1126" w:rsidRDefault="006B1126" w:rsidP="00D61785">
      <w:pPr>
        <w:pStyle w:val="a4"/>
        <w:widowControl w:val="0"/>
        <w:numPr>
          <w:ilvl w:val="0"/>
          <w:numId w:val="40"/>
        </w:numPr>
        <w:tabs>
          <w:tab w:val="left" w:pos="0"/>
        </w:tabs>
        <w:autoSpaceDE w:val="0"/>
        <w:autoSpaceDN w:val="0"/>
        <w:adjustRightInd w:val="0"/>
        <w:spacing w:before="0"/>
        <w:contextualSpacing/>
      </w:pPr>
      <w:r>
        <w:t>длительной</w:t>
      </w:r>
      <w:r w:rsidRPr="00016F8E">
        <w:t xml:space="preserve"> (</w:t>
      </w:r>
      <w:r>
        <w:t>более</w:t>
      </w:r>
      <w:r w:rsidRPr="00016F8E">
        <w:t xml:space="preserve"> 10-14 дней) персистирующ</w:t>
      </w:r>
      <w:r>
        <w:t>ей</w:t>
      </w:r>
      <w:r w:rsidRPr="00016F8E">
        <w:t xml:space="preserve"> </w:t>
      </w:r>
      <w:r>
        <w:t>гипертермии</w:t>
      </w:r>
      <w:r w:rsidRPr="00016F8E">
        <w:t xml:space="preserve">, особенно у больных вне лейкопении. </w:t>
      </w:r>
    </w:p>
    <w:p w14:paraId="337A1503" w14:textId="77777777" w:rsidR="006B1126" w:rsidRPr="00016F8E" w:rsidRDefault="006B1126" w:rsidP="006B1126">
      <w:pPr>
        <w:widowControl w:val="0"/>
        <w:tabs>
          <w:tab w:val="left" w:pos="0"/>
        </w:tabs>
        <w:autoSpaceDE w:val="0"/>
        <w:autoSpaceDN w:val="0"/>
        <w:adjustRightInd w:val="0"/>
      </w:pPr>
      <w:r w:rsidRPr="00016F8E">
        <w:t xml:space="preserve">Чрезпищеводную ЭхоКГ назначают при сохраняющейся </w:t>
      </w:r>
      <w:r>
        <w:t>гипертермии</w:t>
      </w:r>
      <w:r w:rsidRPr="00016F8E">
        <w:t xml:space="preserve"> и отрицательн</w:t>
      </w:r>
      <w:r>
        <w:t>ых результатах</w:t>
      </w:r>
      <w:r w:rsidRPr="00016F8E">
        <w:t xml:space="preserve"> ЭхоКГ. </w:t>
      </w:r>
    </w:p>
    <w:p w14:paraId="6D84E0E4" w14:textId="73E18ADA" w:rsidR="006B1126" w:rsidRPr="00761653" w:rsidRDefault="006B1126" w:rsidP="006B1126">
      <w:pPr>
        <w:widowControl w:val="0"/>
        <w:autoSpaceDE w:val="0"/>
        <w:autoSpaceDN w:val="0"/>
        <w:adjustRightInd w:val="0"/>
        <w:ind w:firstLine="709"/>
        <w:contextualSpacing/>
      </w:pPr>
      <w:r w:rsidRPr="00761653">
        <w:t>В табл. </w:t>
      </w:r>
      <w:r w:rsidR="004242E3">
        <w:t>7.4.</w:t>
      </w:r>
      <w:r w:rsidRPr="00761653">
        <w:t>1 суммированы диагностические исследования у больных с гематологическими заболеваниями и инфекциями.</w:t>
      </w:r>
    </w:p>
    <w:p w14:paraId="1DB46BA3" w14:textId="4B68D698" w:rsidR="006B1126" w:rsidRPr="00761653" w:rsidRDefault="006B1126" w:rsidP="006B1126">
      <w:pPr>
        <w:widowControl w:val="0"/>
        <w:autoSpaceDE w:val="0"/>
        <w:autoSpaceDN w:val="0"/>
        <w:adjustRightInd w:val="0"/>
        <w:contextualSpacing/>
      </w:pPr>
      <w:r w:rsidRPr="00761653">
        <w:t xml:space="preserve">Таблица </w:t>
      </w:r>
      <w:r w:rsidR="004242E3">
        <w:t>7.4.</w:t>
      </w:r>
      <w:r w:rsidRPr="00761653">
        <w:t>1. Показания к проведению диагностических исследований у больных с гематологическими заболеваниями и инфекциями.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6B1126" w:rsidRPr="00761653" w14:paraId="0902EDCD" w14:textId="77777777" w:rsidTr="00714673">
        <w:trPr>
          <w:trHeight w:val="93"/>
        </w:trPr>
        <w:tc>
          <w:tcPr>
            <w:tcW w:w="3510" w:type="dxa"/>
            <w:tcMar>
              <w:top w:w="100" w:type="nil"/>
              <w:right w:w="100" w:type="nil"/>
            </w:tcMar>
            <w:vAlign w:val="center"/>
          </w:tcPr>
          <w:p w14:paraId="2D9219C4" w14:textId="77777777" w:rsidR="006B1126" w:rsidRPr="00761653" w:rsidRDefault="006B1126" w:rsidP="00714673">
            <w:pPr>
              <w:widowControl w:val="0"/>
              <w:autoSpaceDE w:val="0"/>
              <w:autoSpaceDN w:val="0"/>
              <w:adjustRightInd w:val="0"/>
              <w:ind w:left="113" w:right="-941"/>
              <w:jc w:val="center"/>
              <w:rPr>
                <w:b/>
                <w:bCs/>
              </w:rPr>
            </w:pPr>
            <w:r w:rsidRPr="00761653">
              <w:rPr>
                <w:b/>
                <w:bCs/>
              </w:rPr>
              <w:t>Показания</w:t>
            </w:r>
          </w:p>
        </w:tc>
        <w:tc>
          <w:tcPr>
            <w:tcW w:w="6096" w:type="dxa"/>
            <w:tcMar>
              <w:top w:w="100" w:type="nil"/>
              <w:right w:w="100" w:type="nil"/>
            </w:tcMar>
            <w:vAlign w:val="center"/>
          </w:tcPr>
          <w:p w14:paraId="58F34DF7" w14:textId="77777777" w:rsidR="006B1126" w:rsidRPr="00761653" w:rsidRDefault="006B1126" w:rsidP="00714673">
            <w:pPr>
              <w:widowControl w:val="0"/>
              <w:autoSpaceDE w:val="0"/>
              <w:autoSpaceDN w:val="0"/>
              <w:adjustRightInd w:val="0"/>
              <w:ind w:left="113" w:right="-941"/>
              <w:jc w:val="center"/>
              <w:rPr>
                <w:b/>
                <w:bCs/>
              </w:rPr>
            </w:pPr>
            <w:r w:rsidRPr="00761653">
              <w:rPr>
                <w:b/>
                <w:bCs/>
              </w:rPr>
              <w:t>Исследование</w:t>
            </w:r>
          </w:p>
        </w:tc>
      </w:tr>
      <w:tr w:rsidR="006B1126" w:rsidRPr="00265B67" w14:paraId="5FA696FB" w14:textId="77777777" w:rsidTr="00714673">
        <w:trPr>
          <w:trHeight w:val="702"/>
        </w:trPr>
        <w:tc>
          <w:tcPr>
            <w:tcW w:w="3510" w:type="dxa"/>
            <w:tcMar>
              <w:top w:w="100" w:type="nil"/>
              <w:right w:w="100" w:type="nil"/>
            </w:tcMar>
            <w:vAlign w:val="center"/>
          </w:tcPr>
          <w:p w14:paraId="5069889F" w14:textId="77777777" w:rsidR="006B1126" w:rsidRPr="00761653" w:rsidRDefault="006B1126" w:rsidP="00714673">
            <w:pPr>
              <w:widowControl w:val="0"/>
              <w:autoSpaceDE w:val="0"/>
              <w:autoSpaceDN w:val="0"/>
              <w:adjustRightInd w:val="0"/>
            </w:pPr>
            <w:r w:rsidRPr="00761653">
              <w:t xml:space="preserve">Температура ≥38°С, </w:t>
            </w:r>
          </w:p>
          <w:p w14:paraId="7BAB099C" w14:textId="77777777" w:rsidR="006B1126" w:rsidRPr="00761653" w:rsidRDefault="006B1126" w:rsidP="00714673">
            <w:pPr>
              <w:widowControl w:val="0"/>
              <w:autoSpaceDE w:val="0"/>
              <w:autoSpaceDN w:val="0"/>
              <w:adjustRightInd w:val="0"/>
              <w:ind w:left="26"/>
            </w:pPr>
            <w:r w:rsidRPr="00761653">
              <w:t>впервые возникшая</w:t>
            </w:r>
          </w:p>
        </w:tc>
        <w:tc>
          <w:tcPr>
            <w:tcW w:w="6096" w:type="dxa"/>
            <w:tcMar>
              <w:top w:w="100" w:type="nil"/>
              <w:right w:w="100" w:type="nil"/>
            </w:tcMar>
            <w:vAlign w:val="center"/>
          </w:tcPr>
          <w:p w14:paraId="6B9C9B4F" w14:textId="77777777" w:rsidR="006B1126" w:rsidRPr="00761653" w:rsidRDefault="006B1126" w:rsidP="00714673">
            <w:pPr>
              <w:widowControl w:val="0"/>
              <w:autoSpaceDE w:val="0"/>
              <w:autoSpaceDN w:val="0"/>
              <w:adjustRightInd w:val="0"/>
              <w:ind w:left="-23"/>
            </w:pPr>
            <w:r w:rsidRPr="00761653">
              <w:t xml:space="preserve">Взятие крови в 2 флакона для гемокультуры </w:t>
            </w:r>
          </w:p>
          <w:p w14:paraId="71FF066E" w14:textId="77777777" w:rsidR="006B1126" w:rsidRPr="00761653" w:rsidRDefault="006B1126" w:rsidP="00714673">
            <w:pPr>
              <w:widowControl w:val="0"/>
              <w:autoSpaceDE w:val="0"/>
              <w:autoSpaceDN w:val="0"/>
              <w:adjustRightInd w:val="0"/>
              <w:ind w:left="-23"/>
            </w:pPr>
            <w:r w:rsidRPr="00761653">
              <w:t>(вена-катетер или вена-вена)</w:t>
            </w:r>
          </w:p>
        </w:tc>
      </w:tr>
      <w:tr w:rsidR="006B1126" w:rsidRPr="00265B67" w14:paraId="5ED33CE4" w14:textId="77777777" w:rsidTr="00714673">
        <w:trPr>
          <w:trHeight w:val="841"/>
        </w:trPr>
        <w:tc>
          <w:tcPr>
            <w:tcW w:w="3510" w:type="dxa"/>
            <w:tcMar>
              <w:top w:w="100" w:type="nil"/>
              <w:right w:w="100" w:type="nil"/>
            </w:tcMar>
            <w:vAlign w:val="center"/>
          </w:tcPr>
          <w:p w14:paraId="14FB001D" w14:textId="77777777" w:rsidR="006B1126" w:rsidRPr="00761653" w:rsidRDefault="006B1126" w:rsidP="00714673">
            <w:pPr>
              <w:widowControl w:val="0"/>
              <w:autoSpaceDE w:val="0"/>
              <w:autoSpaceDN w:val="0"/>
              <w:adjustRightInd w:val="0"/>
            </w:pPr>
            <w:r w:rsidRPr="00761653">
              <w:t>Температура ≥38°С в течение</w:t>
            </w:r>
          </w:p>
          <w:p w14:paraId="7C4025B5" w14:textId="77777777" w:rsidR="006B1126" w:rsidRPr="00761653" w:rsidRDefault="006B1126" w:rsidP="00714673">
            <w:pPr>
              <w:widowControl w:val="0"/>
              <w:autoSpaceDE w:val="0"/>
              <w:autoSpaceDN w:val="0"/>
              <w:adjustRightInd w:val="0"/>
            </w:pPr>
            <w:r w:rsidRPr="00761653">
              <w:t xml:space="preserve"> ≥ 5 дней и лейкопения </w:t>
            </w:r>
          </w:p>
        </w:tc>
        <w:tc>
          <w:tcPr>
            <w:tcW w:w="6096" w:type="dxa"/>
            <w:tcMar>
              <w:top w:w="100" w:type="nil"/>
              <w:right w:w="100" w:type="nil"/>
            </w:tcMar>
            <w:vAlign w:val="center"/>
          </w:tcPr>
          <w:p w14:paraId="43F39467" w14:textId="77777777" w:rsidR="006B1126" w:rsidRPr="00761653" w:rsidRDefault="006B1126" w:rsidP="00714673">
            <w:pPr>
              <w:contextualSpacing/>
              <w:rPr>
                <w:rFonts w:eastAsia="MS Mincho"/>
              </w:rPr>
            </w:pPr>
            <w:r w:rsidRPr="00761653">
              <w:t>Повторное взятие крови для гемокультуры 1 раз в неделю</w:t>
            </w:r>
          </w:p>
          <w:p w14:paraId="729112CD" w14:textId="77777777" w:rsidR="006B1126" w:rsidRPr="00761653" w:rsidRDefault="006B1126" w:rsidP="00714673">
            <w:pPr>
              <w:contextualSpacing/>
            </w:pPr>
            <w:r w:rsidRPr="00761653">
              <w:t>Микробиологическое исследование мочи</w:t>
            </w:r>
          </w:p>
          <w:p w14:paraId="428B2514" w14:textId="77777777" w:rsidR="006B1126" w:rsidRPr="00761653" w:rsidRDefault="006B1126" w:rsidP="00714673">
            <w:pPr>
              <w:contextualSpacing/>
            </w:pPr>
            <w:r w:rsidRPr="00761653">
              <w:t>Ректальный мазок</w:t>
            </w:r>
          </w:p>
          <w:p w14:paraId="6F1A4B9A" w14:textId="77777777" w:rsidR="006B1126" w:rsidRPr="00761653" w:rsidRDefault="006B1126" w:rsidP="00714673">
            <w:pPr>
              <w:contextualSpacing/>
            </w:pPr>
            <w:r w:rsidRPr="00761653">
              <w:t>КТВР легких</w:t>
            </w:r>
          </w:p>
        </w:tc>
      </w:tr>
      <w:tr w:rsidR="006B1126" w:rsidRPr="00975FC1" w14:paraId="1081E6B6" w14:textId="77777777" w:rsidTr="00714673">
        <w:trPr>
          <w:trHeight w:val="1491"/>
        </w:trPr>
        <w:tc>
          <w:tcPr>
            <w:tcW w:w="3510" w:type="dxa"/>
            <w:tcMar>
              <w:top w:w="100" w:type="nil"/>
              <w:right w:w="100" w:type="nil"/>
            </w:tcMar>
            <w:vAlign w:val="center"/>
          </w:tcPr>
          <w:p w14:paraId="68D3F109" w14:textId="77777777" w:rsidR="006B1126" w:rsidRPr="00761653" w:rsidRDefault="006B1126" w:rsidP="00714673">
            <w:pPr>
              <w:widowControl w:val="0"/>
              <w:autoSpaceDE w:val="0"/>
              <w:autoSpaceDN w:val="0"/>
              <w:adjustRightInd w:val="0"/>
            </w:pPr>
            <w:r w:rsidRPr="00761653">
              <w:t>Температура ≥38°С, длительная, сохраняется после «выхода» из нейтропении</w:t>
            </w:r>
          </w:p>
        </w:tc>
        <w:tc>
          <w:tcPr>
            <w:tcW w:w="6096" w:type="dxa"/>
            <w:tcMar>
              <w:top w:w="100" w:type="nil"/>
              <w:right w:w="100" w:type="nil"/>
            </w:tcMar>
            <w:vAlign w:val="center"/>
          </w:tcPr>
          <w:p w14:paraId="25D2C9ED" w14:textId="77777777" w:rsidR="006B1126" w:rsidRPr="00761653" w:rsidRDefault="006B1126" w:rsidP="00714673">
            <w:pPr>
              <w:contextualSpacing/>
              <w:rPr>
                <w:rFonts w:eastAsia="MS Mincho"/>
              </w:rPr>
            </w:pPr>
            <w:r w:rsidRPr="00761653">
              <w:t>УЗИ брюшной полости</w:t>
            </w:r>
          </w:p>
          <w:p w14:paraId="229952E7" w14:textId="77777777" w:rsidR="006B1126" w:rsidRPr="00761653" w:rsidRDefault="006B1126" w:rsidP="00714673">
            <w:pPr>
              <w:contextualSpacing/>
            </w:pPr>
            <w:r w:rsidRPr="00761653">
              <w:t xml:space="preserve">Определение антигена </w:t>
            </w:r>
            <w:r w:rsidRPr="00761653">
              <w:rPr>
                <w:i/>
              </w:rPr>
              <w:t>Candida</w:t>
            </w:r>
            <w:r w:rsidRPr="00761653">
              <w:t xml:space="preserve"> (маннан) и антител </w:t>
            </w:r>
            <w:r w:rsidRPr="00761653">
              <w:rPr>
                <w:i/>
              </w:rPr>
              <w:t>Candida</w:t>
            </w:r>
            <w:r w:rsidRPr="00761653">
              <w:t xml:space="preserve"> (антиманнан) в крови</w:t>
            </w:r>
          </w:p>
          <w:p w14:paraId="6F0E3E88" w14:textId="77777777" w:rsidR="006B1126" w:rsidRPr="00761653" w:rsidRDefault="006B1126" w:rsidP="00714673">
            <w:pPr>
              <w:contextualSpacing/>
            </w:pPr>
            <w:r w:rsidRPr="00761653">
              <w:t>КТВР или МРТ органов брюшной полости при неинформативном УЗИ</w:t>
            </w:r>
          </w:p>
        </w:tc>
      </w:tr>
      <w:tr w:rsidR="006B1126" w:rsidRPr="00975FC1" w14:paraId="73D460D4" w14:textId="77777777" w:rsidTr="00714673">
        <w:trPr>
          <w:trHeight w:val="1731"/>
        </w:trPr>
        <w:tc>
          <w:tcPr>
            <w:tcW w:w="3510" w:type="dxa"/>
            <w:tcMar>
              <w:top w:w="100" w:type="nil"/>
              <w:right w:w="100" w:type="nil"/>
            </w:tcMar>
            <w:vAlign w:val="center"/>
          </w:tcPr>
          <w:p w14:paraId="627C9EF8" w14:textId="77777777" w:rsidR="006B1126" w:rsidRPr="00761653" w:rsidRDefault="006B1126" w:rsidP="00714673">
            <w:pPr>
              <w:widowControl w:val="0"/>
              <w:autoSpaceDE w:val="0"/>
              <w:autoSpaceDN w:val="0"/>
              <w:adjustRightInd w:val="0"/>
            </w:pPr>
            <w:r w:rsidRPr="00761653">
              <w:lastRenderedPageBreak/>
              <w:t>Катетер-ассоциированная инфекция</w:t>
            </w:r>
          </w:p>
        </w:tc>
        <w:tc>
          <w:tcPr>
            <w:tcW w:w="6096" w:type="dxa"/>
            <w:tcMar>
              <w:top w:w="100" w:type="nil"/>
              <w:right w:w="100" w:type="nil"/>
            </w:tcMar>
            <w:vAlign w:val="center"/>
          </w:tcPr>
          <w:p w14:paraId="61EB7B8A" w14:textId="77777777" w:rsidR="006B1126" w:rsidRPr="00761653" w:rsidRDefault="006B1126" w:rsidP="00714673">
            <w:pPr>
              <w:widowControl w:val="0"/>
              <w:autoSpaceDE w:val="0"/>
              <w:autoSpaceDN w:val="0"/>
              <w:adjustRightInd w:val="0"/>
              <w:contextualSpacing/>
              <w:rPr>
                <w:rFonts w:eastAsia="MS Mincho"/>
              </w:rPr>
            </w:pPr>
            <w:r w:rsidRPr="00761653">
              <w:t>Взятие одновременно крови из вены и из ЦВК для микробиологического исследования</w:t>
            </w:r>
          </w:p>
          <w:p w14:paraId="21EF491B" w14:textId="77777777" w:rsidR="006B1126" w:rsidRPr="00761653" w:rsidRDefault="006B1126" w:rsidP="00714673">
            <w:pPr>
              <w:widowControl w:val="0"/>
              <w:autoSpaceDE w:val="0"/>
              <w:autoSpaceDN w:val="0"/>
              <w:adjustRightInd w:val="0"/>
              <w:contextualSpacing/>
            </w:pPr>
            <w:r w:rsidRPr="00761653">
              <w:t>Положительная гемокультура из ЦВК получена раньше на 2 часа и более чем из вены – удаление ЦВК ввиду высокой вероятности его инфицирования</w:t>
            </w:r>
          </w:p>
        </w:tc>
      </w:tr>
      <w:tr w:rsidR="006B1126" w:rsidRPr="00265B67" w14:paraId="0B6CD627" w14:textId="77777777" w:rsidTr="00714673">
        <w:trPr>
          <w:trHeight w:val="698"/>
        </w:trPr>
        <w:tc>
          <w:tcPr>
            <w:tcW w:w="3510" w:type="dxa"/>
            <w:tcMar>
              <w:top w:w="100" w:type="nil"/>
              <w:right w:w="100" w:type="nil"/>
            </w:tcMar>
            <w:vAlign w:val="center"/>
          </w:tcPr>
          <w:p w14:paraId="3593A4EB" w14:textId="77777777" w:rsidR="006B1126" w:rsidRPr="00761653" w:rsidRDefault="006B1126" w:rsidP="00714673">
            <w:pPr>
              <w:widowControl w:val="0"/>
              <w:autoSpaceDE w:val="0"/>
              <w:autoSpaceDN w:val="0"/>
              <w:adjustRightInd w:val="0"/>
            </w:pPr>
            <w:r w:rsidRPr="00761653">
              <w:t xml:space="preserve">Ожидаемая нейтропения (лейкопения) &gt;10 дней </w:t>
            </w:r>
          </w:p>
        </w:tc>
        <w:tc>
          <w:tcPr>
            <w:tcW w:w="6096" w:type="dxa"/>
            <w:tcMar>
              <w:top w:w="100" w:type="nil"/>
              <w:right w:w="100" w:type="nil"/>
            </w:tcMar>
            <w:vAlign w:val="center"/>
          </w:tcPr>
          <w:p w14:paraId="7C2AA79B" w14:textId="77777777" w:rsidR="006B1126" w:rsidRPr="00761653" w:rsidRDefault="006B1126" w:rsidP="00714673">
            <w:pPr>
              <w:widowControl w:val="0"/>
              <w:autoSpaceDE w:val="0"/>
              <w:autoSpaceDN w:val="0"/>
              <w:adjustRightInd w:val="0"/>
            </w:pPr>
            <w:r w:rsidRPr="00761653">
              <w:t xml:space="preserve">Исследование крови на антиген </w:t>
            </w:r>
            <w:r w:rsidRPr="00761653">
              <w:rPr>
                <w:i/>
                <w:iCs/>
              </w:rPr>
              <w:t>Aspergillus</w:t>
            </w:r>
            <w:r w:rsidRPr="00761653">
              <w:t xml:space="preserve"> 2 раза в неделю</w:t>
            </w:r>
          </w:p>
        </w:tc>
      </w:tr>
      <w:tr w:rsidR="006B1126" w:rsidRPr="00761653" w14:paraId="2A05A960" w14:textId="77777777" w:rsidTr="00714673">
        <w:trPr>
          <w:trHeight w:val="556"/>
        </w:trPr>
        <w:tc>
          <w:tcPr>
            <w:tcW w:w="3510" w:type="dxa"/>
            <w:tcMar>
              <w:top w:w="100" w:type="nil"/>
              <w:right w:w="100" w:type="nil"/>
            </w:tcMar>
            <w:vAlign w:val="center"/>
          </w:tcPr>
          <w:p w14:paraId="69605EEC" w14:textId="77777777" w:rsidR="006B1126" w:rsidRPr="00761653" w:rsidRDefault="006B1126" w:rsidP="00714673">
            <w:pPr>
              <w:widowControl w:val="0"/>
              <w:autoSpaceDE w:val="0"/>
              <w:autoSpaceDN w:val="0"/>
              <w:adjustRightInd w:val="0"/>
            </w:pPr>
            <w:r w:rsidRPr="00761653">
              <w:t>Стоматит</w:t>
            </w:r>
          </w:p>
        </w:tc>
        <w:tc>
          <w:tcPr>
            <w:tcW w:w="6096" w:type="dxa"/>
            <w:tcMar>
              <w:top w:w="100" w:type="nil"/>
              <w:right w:w="100" w:type="nil"/>
            </w:tcMar>
            <w:vAlign w:val="center"/>
          </w:tcPr>
          <w:p w14:paraId="31266BE3" w14:textId="77777777" w:rsidR="006B1126" w:rsidRPr="00761653" w:rsidRDefault="006B1126" w:rsidP="00714673">
            <w:pPr>
              <w:widowControl w:val="0"/>
              <w:autoSpaceDE w:val="0"/>
              <w:autoSpaceDN w:val="0"/>
              <w:adjustRightInd w:val="0"/>
            </w:pPr>
            <w:r w:rsidRPr="00761653">
              <w:t>Мазок со слизистой ротоглотки</w:t>
            </w:r>
          </w:p>
        </w:tc>
      </w:tr>
      <w:tr w:rsidR="006B1126" w:rsidRPr="00265B67" w14:paraId="7BCE7539" w14:textId="77777777" w:rsidTr="00714673">
        <w:trPr>
          <w:trHeight w:val="976"/>
        </w:trPr>
        <w:tc>
          <w:tcPr>
            <w:tcW w:w="3510" w:type="dxa"/>
            <w:tcMar>
              <w:top w:w="100" w:type="nil"/>
              <w:right w:w="100" w:type="nil"/>
            </w:tcMar>
            <w:vAlign w:val="center"/>
          </w:tcPr>
          <w:p w14:paraId="363F8D69" w14:textId="77777777" w:rsidR="006B1126" w:rsidRPr="00761653" w:rsidRDefault="006B1126" w:rsidP="00714673">
            <w:pPr>
              <w:widowControl w:val="0"/>
              <w:autoSpaceDE w:val="0"/>
              <w:autoSpaceDN w:val="0"/>
              <w:adjustRightInd w:val="0"/>
            </w:pPr>
            <w:r w:rsidRPr="00761653">
              <w:t>Эзофагит</w:t>
            </w:r>
          </w:p>
        </w:tc>
        <w:tc>
          <w:tcPr>
            <w:tcW w:w="6096" w:type="dxa"/>
            <w:tcMar>
              <w:top w:w="100" w:type="nil"/>
              <w:right w:w="100" w:type="nil"/>
            </w:tcMar>
            <w:vAlign w:val="center"/>
          </w:tcPr>
          <w:p w14:paraId="3F20BE33" w14:textId="77777777" w:rsidR="006B1126" w:rsidRPr="00761653" w:rsidRDefault="006B1126" w:rsidP="00714673">
            <w:pPr>
              <w:widowControl w:val="0"/>
              <w:autoSpaceDE w:val="0"/>
              <w:autoSpaceDN w:val="0"/>
              <w:adjustRightInd w:val="0"/>
              <w:ind w:right="8"/>
            </w:pPr>
            <w:r w:rsidRPr="00761653">
              <w:t>Эзофагоскопия (тромбоцитов не менее 50x10</w:t>
            </w:r>
            <w:r w:rsidRPr="00761653">
              <w:rPr>
                <w:vertAlign w:val="superscript"/>
              </w:rPr>
              <w:t>9</w:t>
            </w:r>
            <w:r w:rsidRPr="00761653">
              <w:t>/л)</w:t>
            </w:r>
          </w:p>
          <w:p w14:paraId="662D8830" w14:textId="77777777" w:rsidR="006B1126" w:rsidRPr="00761653" w:rsidRDefault="006B1126" w:rsidP="00714673">
            <w:pPr>
              <w:widowControl w:val="0"/>
              <w:autoSpaceDE w:val="0"/>
              <w:autoSpaceDN w:val="0"/>
              <w:adjustRightInd w:val="0"/>
              <w:ind w:right="8"/>
            </w:pPr>
            <w:r w:rsidRPr="00761653">
              <w:t>Исследование - соскоб (браш-метод) со слизистой оболочки или биопсия</w:t>
            </w:r>
          </w:p>
        </w:tc>
      </w:tr>
      <w:tr w:rsidR="006B1126" w:rsidRPr="00265B67" w14:paraId="388A1942" w14:textId="77777777" w:rsidTr="00714673">
        <w:trPr>
          <w:trHeight w:val="704"/>
        </w:trPr>
        <w:tc>
          <w:tcPr>
            <w:tcW w:w="3510" w:type="dxa"/>
            <w:tcMar>
              <w:top w:w="100" w:type="nil"/>
              <w:right w:w="100" w:type="nil"/>
            </w:tcMar>
            <w:vAlign w:val="center"/>
          </w:tcPr>
          <w:p w14:paraId="3A73F91A" w14:textId="77777777" w:rsidR="006B1126" w:rsidRPr="00761653" w:rsidRDefault="006B1126" w:rsidP="00714673">
            <w:pPr>
              <w:widowControl w:val="0"/>
              <w:autoSpaceDE w:val="0"/>
              <w:autoSpaceDN w:val="0"/>
              <w:adjustRightInd w:val="0"/>
              <w:ind w:left="26"/>
            </w:pPr>
            <w:r w:rsidRPr="00761653">
              <w:t>Некроз слизистой оболочки носового хода</w:t>
            </w:r>
          </w:p>
        </w:tc>
        <w:tc>
          <w:tcPr>
            <w:tcW w:w="6096" w:type="dxa"/>
            <w:tcMar>
              <w:top w:w="100" w:type="nil"/>
              <w:right w:w="100" w:type="nil"/>
            </w:tcMar>
            <w:vAlign w:val="center"/>
          </w:tcPr>
          <w:p w14:paraId="0E283BC8" w14:textId="77777777" w:rsidR="006B1126" w:rsidRPr="00761653" w:rsidRDefault="006B1126" w:rsidP="00714673">
            <w:pPr>
              <w:widowControl w:val="0"/>
              <w:autoSpaceDE w:val="0"/>
              <w:autoSpaceDN w:val="0"/>
              <w:adjustRightInd w:val="0"/>
              <w:ind w:left="-23" w:right="8"/>
            </w:pPr>
            <w:r w:rsidRPr="00761653">
              <w:t>Мазок со слизистой оболочки носа</w:t>
            </w:r>
          </w:p>
        </w:tc>
      </w:tr>
      <w:tr w:rsidR="006B1126" w:rsidRPr="00265B67" w14:paraId="78A47E31" w14:textId="77777777" w:rsidTr="00714673">
        <w:trPr>
          <w:trHeight w:val="701"/>
        </w:trPr>
        <w:tc>
          <w:tcPr>
            <w:tcW w:w="3510" w:type="dxa"/>
            <w:tcMar>
              <w:top w:w="100" w:type="nil"/>
              <w:right w:w="100" w:type="nil"/>
            </w:tcMar>
            <w:vAlign w:val="center"/>
          </w:tcPr>
          <w:p w14:paraId="24F7DC42" w14:textId="77777777" w:rsidR="006B1126" w:rsidRPr="00761653" w:rsidRDefault="006B1126" w:rsidP="00714673">
            <w:pPr>
              <w:widowControl w:val="0"/>
              <w:autoSpaceDE w:val="0"/>
              <w:autoSpaceDN w:val="0"/>
              <w:adjustRightInd w:val="0"/>
              <w:ind w:right="-941"/>
            </w:pPr>
            <w:r w:rsidRPr="00761653">
              <w:t>Гайморит</w:t>
            </w:r>
          </w:p>
        </w:tc>
        <w:tc>
          <w:tcPr>
            <w:tcW w:w="6096" w:type="dxa"/>
            <w:tcMar>
              <w:top w:w="100" w:type="nil"/>
              <w:right w:w="100" w:type="nil"/>
            </w:tcMar>
            <w:vAlign w:val="center"/>
          </w:tcPr>
          <w:p w14:paraId="53C99D4D" w14:textId="77777777" w:rsidR="006B1126" w:rsidRPr="00761653" w:rsidRDefault="006B1126" w:rsidP="00714673">
            <w:pPr>
              <w:widowControl w:val="0"/>
              <w:autoSpaceDE w:val="0"/>
              <w:autoSpaceDN w:val="0"/>
              <w:adjustRightInd w:val="0"/>
              <w:ind w:right="8"/>
            </w:pPr>
            <w:r w:rsidRPr="00761653">
              <w:t>Исследование содержимого околоносовой пазухи, полученной при пункции</w:t>
            </w:r>
          </w:p>
        </w:tc>
      </w:tr>
      <w:tr w:rsidR="006B1126" w:rsidRPr="00761653" w14:paraId="26A8D5E7" w14:textId="77777777" w:rsidTr="00714673">
        <w:trPr>
          <w:trHeight w:val="825"/>
        </w:trPr>
        <w:tc>
          <w:tcPr>
            <w:tcW w:w="3510" w:type="dxa"/>
            <w:tcMar>
              <w:top w:w="100" w:type="nil"/>
              <w:right w:w="100" w:type="nil"/>
            </w:tcMar>
            <w:vAlign w:val="center"/>
          </w:tcPr>
          <w:p w14:paraId="598A1B3B" w14:textId="77777777" w:rsidR="006B1126" w:rsidRPr="00761653" w:rsidRDefault="006B1126" w:rsidP="00714673">
            <w:pPr>
              <w:widowControl w:val="0"/>
              <w:autoSpaceDE w:val="0"/>
              <w:autoSpaceDN w:val="0"/>
              <w:adjustRightInd w:val="0"/>
            </w:pPr>
            <w:r w:rsidRPr="00761653">
              <w:t>Симптомы инфекции мочевыводящих путей</w:t>
            </w:r>
          </w:p>
          <w:p w14:paraId="224382F9" w14:textId="77777777" w:rsidR="006B1126" w:rsidRPr="00761653" w:rsidRDefault="006B1126" w:rsidP="00714673">
            <w:pPr>
              <w:widowControl w:val="0"/>
              <w:autoSpaceDE w:val="0"/>
              <w:autoSpaceDN w:val="0"/>
              <w:adjustRightInd w:val="0"/>
            </w:pPr>
            <w:r w:rsidRPr="00761653">
              <w:t>Лейкоцитурия</w:t>
            </w:r>
          </w:p>
        </w:tc>
        <w:tc>
          <w:tcPr>
            <w:tcW w:w="6096" w:type="dxa"/>
            <w:tcMar>
              <w:top w:w="100" w:type="nil"/>
              <w:right w:w="100" w:type="nil"/>
            </w:tcMar>
            <w:vAlign w:val="center"/>
          </w:tcPr>
          <w:p w14:paraId="13044A73" w14:textId="77777777" w:rsidR="006B1126" w:rsidRPr="00761653" w:rsidRDefault="006B1126" w:rsidP="00714673">
            <w:pPr>
              <w:widowControl w:val="0"/>
              <w:autoSpaceDE w:val="0"/>
              <w:autoSpaceDN w:val="0"/>
              <w:adjustRightInd w:val="0"/>
            </w:pPr>
            <w:r w:rsidRPr="00761653">
              <w:t>Микробиологическое исследование мочи</w:t>
            </w:r>
          </w:p>
        </w:tc>
      </w:tr>
      <w:tr w:rsidR="006B1126" w:rsidRPr="00265B67" w14:paraId="4AACA4F3" w14:textId="77777777" w:rsidTr="00714673">
        <w:trPr>
          <w:trHeight w:val="1016"/>
        </w:trPr>
        <w:tc>
          <w:tcPr>
            <w:tcW w:w="3510" w:type="dxa"/>
            <w:tcMar>
              <w:top w:w="100" w:type="nil"/>
              <w:right w:w="100" w:type="nil"/>
            </w:tcMar>
            <w:vAlign w:val="center"/>
          </w:tcPr>
          <w:p w14:paraId="3622B445" w14:textId="77777777" w:rsidR="006B1126" w:rsidRPr="00761653" w:rsidRDefault="006B1126" w:rsidP="00714673">
            <w:pPr>
              <w:widowControl w:val="0"/>
              <w:autoSpaceDE w:val="0"/>
              <w:autoSpaceDN w:val="0"/>
              <w:adjustRightInd w:val="0"/>
            </w:pPr>
            <w:r w:rsidRPr="00761653">
              <w:t>Пневмония</w:t>
            </w:r>
          </w:p>
        </w:tc>
        <w:tc>
          <w:tcPr>
            <w:tcW w:w="6096" w:type="dxa"/>
            <w:tcMar>
              <w:top w:w="100" w:type="nil"/>
              <w:right w:w="100" w:type="nil"/>
            </w:tcMar>
          </w:tcPr>
          <w:p w14:paraId="6C6A7B21" w14:textId="77777777" w:rsidR="006B1126" w:rsidRPr="00761653" w:rsidRDefault="006B1126" w:rsidP="00714673">
            <w:pPr>
              <w:widowControl w:val="0"/>
              <w:autoSpaceDE w:val="0"/>
              <w:autoSpaceDN w:val="0"/>
              <w:adjustRightInd w:val="0"/>
              <w:contextualSpacing/>
            </w:pPr>
            <w:r w:rsidRPr="00761653">
              <w:t>КТВР легких</w:t>
            </w:r>
          </w:p>
          <w:p w14:paraId="4C028671" w14:textId="77777777" w:rsidR="006B1126" w:rsidRPr="00761653" w:rsidRDefault="006B1126" w:rsidP="00714673">
            <w:pPr>
              <w:widowControl w:val="0"/>
              <w:autoSpaceDE w:val="0"/>
              <w:autoSpaceDN w:val="0"/>
              <w:adjustRightInd w:val="0"/>
              <w:contextualSpacing/>
            </w:pPr>
            <w:r w:rsidRPr="00761653">
              <w:t>Бронхоальвеолярный лаваж после КТВР легких</w:t>
            </w:r>
          </w:p>
          <w:p w14:paraId="17EC74CB" w14:textId="77777777" w:rsidR="006B1126" w:rsidRPr="00761653" w:rsidRDefault="006B1126" w:rsidP="00714673">
            <w:pPr>
              <w:widowControl w:val="0"/>
              <w:autoSpaceDE w:val="0"/>
              <w:autoSpaceDN w:val="0"/>
              <w:adjustRightInd w:val="0"/>
              <w:contextualSpacing/>
              <w:rPr>
                <w:rFonts w:eastAsia="MS Mincho"/>
              </w:rPr>
            </w:pPr>
            <w:r w:rsidRPr="00761653">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761653">
              <w:rPr>
                <w:i/>
                <w:iCs/>
              </w:rPr>
              <w:t xml:space="preserve">P. jirovecii, </w:t>
            </w:r>
            <w:r w:rsidRPr="00761653">
              <w:t xml:space="preserve">определение ДНК вирусов, </w:t>
            </w:r>
            <w:r w:rsidRPr="00761653">
              <w:rPr>
                <w:i/>
                <w:iCs/>
              </w:rPr>
              <w:t>P</w:t>
            </w:r>
            <w:r w:rsidRPr="00761653">
              <w:rPr>
                <w:i/>
                <w:iCs/>
                <w:strike/>
              </w:rPr>
              <w:t>.</w:t>
            </w:r>
            <w:r w:rsidRPr="00761653">
              <w:rPr>
                <w:i/>
                <w:iCs/>
              </w:rPr>
              <w:t xml:space="preserve"> jirovecii</w:t>
            </w:r>
            <w:r w:rsidRPr="00761653">
              <w:t>,</w:t>
            </w:r>
            <w:r w:rsidRPr="00761653">
              <w:rPr>
                <w:i/>
                <w:iCs/>
              </w:rPr>
              <w:t xml:space="preserve"> M. pneumoniae, C. pneumoniae</w:t>
            </w:r>
            <w:r w:rsidRPr="00761653">
              <w:t>)</w:t>
            </w:r>
          </w:p>
          <w:p w14:paraId="65495E1E" w14:textId="77777777" w:rsidR="006B1126" w:rsidRPr="00761653" w:rsidRDefault="006B1126" w:rsidP="00714673">
            <w:pPr>
              <w:widowControl w:val="0"/>
              <w:autoSpaceDE w:val="0"/>
              <w:autoSpaceDN w:val="0"/>
              <w:adjustRightInd w:val="0"/>
              <w:contextualSpacing/>
            </w:pPr>
            <w:r w:rsidRPr="00761653">
              <w:t xml:space="preserve">Исследование крови на антиген </w:t>
            </w:r>
            <w:r w:rsidRPr="00761653">
              <w:rPr>
                <w:i/>
                <w:iCs/>
              </w:rPr>
              <w:t>Aspergillus</w:t>
            </w:r>
          </w:p>
        </w:tc>
      </w:tr>
      <w:tr w:rsidR="006B1126" w:rsidRPr="00265B67" w14:paraId="452FA759" w14:textId="77777777" w:rsidTr="00714673">
        <w:trPr>
          <w:trHeight w:val="360"/>
        </w:trPr>
        <w:tc>
          <w:tcPr>
            <w:tcW w:w="3510" w:type="dxa"/>
            <w:tcMar>
              <w:top w:w="100" w:type="nil"/>
              <w:right w:w="100" w:type="nil"/>
            </w:tcMar>
          </w:tcPr>
          <w:p w14:paraId="5C40E860" w14:textId="77777777" w:rsidR="006B1126" w:rsidRPr="00761653" w:rsidRDefault="006B1126" w:rsidP="00714673">
            <w:pPr>
              <w:widowControl w:val="0"/>
              <w:autoSpaceDE w:val="0"/>
              <w:autoSpaceDN w:val="0"/>
              <w:adjustRightInd w:val="0"/>
            </w:pPr>
            <w:r w:rsidRPr="00761653">
              <w:t>Cимптомы менингита</w:t>
            </w:r>
          </w:p>
          <w:p w14:paraId="411F8C82" w14:textId="77777777" w:rsidR="006B1126" w:rsidRPr="00761653" w:rsidRDefault="006B1126" w:rsidP="00714673">
            <w:pPr>
              <w:widowControl w:val="0"/>
              <w:autoSpaceDE w:val="0"/>
              <w:autoSpaceDN w:val="0"/>
              <w:adjustRightInd w:val="0"/>
              <w:rPr>
                <w:rFonts w:eastAsia="MS Mincho"/>
              </w:rPr>
            </w:pPr>
            <w:r w:rsidRPr="00761653">
              <w:t>«Мозговая» симптоматика на фоне лихорадки и нейтропении</w:t>
            </w:r>
          </w:p>
          <w:p w14:paraId="725E24B3" w14:textId="77777777" w:rsidR="006B1126" w:rsidRPr="00761653" w:rsidRDefault="006B1126" w:rsidP="00714673">
            <w:pPr>
              <w:widowControl w:val="0"/>
              <w:autoSpaceDE w:val="0"/>
              <w:autoSpaceDN w:val="0"/>
              <w:adjustRightInd w:val="0"/>
            </w:pPr>
            <w:r w:rsidRPr="00761653">
              <w:t>Обнаружение очага (очагов) в головном мозге</w:t>
            </w:r>
          </w:p>
        </w:tc>
        <w:tc>
          <w:tcPr>
            <w:tcW w:w="6096" w:type="dxa"/>
            <w:tcMar>
              <w:top w:w="100" w:type="nil"/>
              <w:right w:w="100" w:type="nil"/>
            </w:tcMar>
            <w:vAlign w:val="center"/>
          </w:tcPr>
          <w:p w14:paraId="20B2E030" w14:textId="77777777" w:rsidR="006B1126" w:rsidRPr="00761653" w:rsidRDefault="006B1126" w:rsidP="00714673">
            <w:pPr>
              <w:widowControl w:val="0"/>
              <w:autoSpaceDE w:val="0"/>
              <w:autoSpaceDN w:val="0"/>
              <w:adjustRightInd w:val="0"/>
              <w:ind w:right="6"/>
              <w:contextualSpacing/>
              <w:rPr>
                <w:rFonts w:eastAsia="MS Mincho"/>
              </w:rPr>
            </w:pPr>
            <w:r w:rsidRPr="00761653">
              <w:t>Люмбальная пункция</w:t>
            </w:r>
          </w:p>
          <w:p w14:paraId="094F6057" w14:textId="77777777" w:rsidR="006B1126" w:rsidRPr="00761653" w:rsidRDefault="006B1126" w:rsidP="00714673">
            <w:pPr>
              <w:widowControl w:val="0"/>
              <w:autoSpaceDE w:val="0"/>
              <w:autoSpaceDN w:val="0"/>
              <w:adjustRightInd w:val="0"/>
              <w:ind w:right="6"/>
              <w:contextualSpacing/>
            </w:pPr>
            <w:r w:rsidRPr="00761653">
              <w:t xml:space="preserve">Полное исследование СМЖ (см. текст), включая исследование на антиген </w:t>
            </w:r>
            <w:r w:rsidRPr="00761653">
              <w:rPr>
                <w:i/>
                <w:iCs/>
              </w:rPr>
              <w:t>Cryptococcus</w:t>
            </w:r>
            <w:r w:rsidRPr="00761653">
              <w:t xml:space="preserve"> (глюкуроноксиломаннан)</w:t>
            </w:r>
          </w:p>
        </w:tc>
      </w:tr>
      <w:tr w:rsidR="006B1126" w:rsidRPr="00265B67" w14:paraId="1AF9A0CB" w14:textId="77777777" w:rsidTr="00714673">
        <w:trPr>
          <w:trHeight w:val="93"/>
        </w:trPr>
        <w:tc>
          <w:tcPr>
            <w:tcW w:w="3510" w:type="dxa"/>
            <w:tcMar>
              <w:top w:w="100" w:type="nil"/>
              <w:right w:w="100" w:type="nil"/>
            </w:tcMar>
            <w:vAlign w:val="center"/>
          </w:tcPr>
          <w:p w14:paraId="5033CE95" w14:textId="77777777" w:rsidR="006B1126" w:rsidRPr="00761653" w:rsidRDefault="006B1126" w:rsidP="00714673">
            <w:pPr>
              <w:widowControl w:val="0"/>
              <w:autoSpaceDE w:val="0"/>
              <w:autoSpaceDN w:val="0"/>
              <w:adjustRightInd w:val="0"/>
              <w:ind w:left="29"/>
            </w:pPr>
            <w:r w:rsidRPr="00761653">
              <w:t>Диарея</w:t>
            </w:r>
          </w:p>
        </w:tc>
        <w:tc>
          <w:tcPr>
            <w:tcW w:w="6096" w:type="dxa"/>
            <w:tcMar>
              <w:top w:w="100" w:type="nil"/>
              <w:right w:w="100" w:type="nil"/>
            </w:tcMar>
          </w:tcPr>
          <w:p w14:paraId="6E890E61" w14:textId="77777777" w:rsidR="006B1126" w:rsidRPr="00761653" w:rsidRDefault="006B1126" w:rsidP="00714673">
            <w:pPr>
              <w:widowControl w:val="0"/>
              <w:autoSpaceDE w:val="0"/>
              <w:autoSpaceDN w:val="0"/>
              <w:adjustRightInd w:val="0"/>
              <w:ind w:right="5"/>
            </w:pPr>
            <w:r w:rsidRPr="00761653">
              <w:t xml:space="preserve">Исследование кала на токсин </w:t>
            </w:r>
            <w:r w:rsidRPr="00761653">
              <w:rPr>
                <w:i/>
                <w:iCs/>
              </w:rPr>
              <w:t>C. difficile</w:t>
            </w:r>
          </w:p>
        </w:tc>
      </w:tr>
      <w:tr w:rsidR="006B1126" w:rsidRPr="00265B67" w14:paraId="4E8165CC" w14:textId="77777777" w:rsidTr="00714673">
        <w:trPr>
          <w:trHeight w:val="187"/>
        </w:trPr>
        <w:tc>
          <w:tcPr>
            <w:tcW w:w="3510" w:type="dxa"/>
            <w:tcMar>
              <w:top w:w="100" w:type="nil"/>
              <w:right w:w="100" w:type="nil"/>
            </w:tcMar>
            <w:vAlign w:val="center"/>
          </w:tcPr>
          <w:p w14:paraId="759A4177" w14:textId="77777777" w:rsidR="006B1126" w:rsidRPr="00761653" w:rsidRDefault="006B1126" w:rsidP="00714673">
            <w:pPr>
              <w:widowControl w:val="0"/>
              <w:autoSpaceDE w:val="0"/>
              <w:autoSpaceDN w:val="0"/>
              <w:adjustRightInd w:val="0"/>
              <w:contextualSpacing/>
              <w:rPr>
                <w:rFonts w:eastAsia="MS Mincho"/>
              </w:rPr>
            </w:pPr>
            <w:r w:rsidRPr="00761653">
              <w:t>Парапроктит</w:t>
            </w:r>
          </w:p>
          <w:p w14:paraId="39CE7B80" w14:textId="77777777" w:rsidR="006B1126" w:rsidRPr="00761653" w:rsidRDefault="006B1126" w:rsidP="00714673">
            <w:pPr>
              <w:widowControl w:val="0"/>
              <w:autoSpaceDE w:val="0"/>
              <w:autoSpaceDN w:val="0"/>
              <w:adjustRightInd w:val="0"/>
              <w:contextualSpacing/>
            </w:pPr>
            <w:r w:rsidRPr="00761653">
              <w:t xml:space="preserve">Трещина в области прямой </w:t>
            </w:r>
            <w:r w:rsidRPr="00761653">
              <w:lastRenderedPageBreak/>
              <w:t>кишки</w:t>
            </w:r>
          </w:p>
        </w:tc>
        <w:tc>
          <w:tcPr>
            <w:tcW w:w="6096" w:type="dxa"/>
            <w:tcMar>
              <w:top w:w="100" w:type="nil"/>
              <w:right w:w="100" w:type="nil"/>
            </w:tcMar>
            <w:vAlign w:val="center"/>
          </w:tcPr>
          <w:p w14:paraId="4164AE59" w14:textId="77777777" w:rsidR="006B1126" w:rsidRPr="00761653" w:rsidRDefault="006B1126" w:rsidP="00714673">
            <w:pPr>
              <w:widowControl w:val="0"/>
              <w:autoSpaceDE w:val="0"/>
              <w:autoSpaceDN w:val="0"/>
              <w:adjustRightInd w:val="0"/>
            </w:pPr>
            <w:r w:rsidRPr="00761653">
              <w:lastRenderedPageBreak/>
              <w:t>Мазок со слизистой оболочки прямой кишки</w:t>
            </w:r>
          </w:p>
        </w:tc>
      </w:tr>
      <w:tr w:rsidR="006B1126" w:rsidRPr="00265B67" w14:paraId="227037DA" w14:textId="77777777" w:rsidTr="00714673">
        <w:trPr>
          <w:trHeight w:val="200"/>
        </w:trPr>
        <w:tc>
          <w:tcPr>
            <w:tcW w:w="3510" w:type="dxa"/>
            <w:tcMar>
              <w:top w:w="100" w:type="nil"/>
              <w:right w:w="100" w:type="nil"/>
            </w:tcMar>
            <w:vAlign w:val="center"/>
          </w:tcPr>
          <w:p w14:paraId="552B184D" w14:textId="77777777" w:rsidR="006B1126" w:rsidRPr="00761653" w:rsidRDefault="006B1126" w:rsidP="00714673">
            <w:pPr>
              <w:widowControl w:val="0"/>
              <w:autoSpaceDE w:val="0"/>
              <w:autoSpaceDN w:val="0"/>
              <w:adjustRightInd w:val="0"/>
              <w:ind w:left="29"/>
              <w:contextualSpacing/>
            </w:pPr>
            <w:r w:rsidRPr="00761653">
              <w:t>Образования (инфильтраты) на коже</w:t>
            </w:r>
          </w:p>
        </w:tc>
        <w:tc>
          <w:tcPr>
            <w:tcW w:w="6096" w:type="dxa"/>
            <w:tcMar>
              <w:top w:w="100" w:type="nil"/>
              <w:right w:w="100" w:type="nil"/>
            </w:tcMar>
            <w:vAlign w:val="center"/>
          </w:tcPr>
          <w:p w14:paraId="71502FF7" w14:textId="77777777" w:rsidR="006B1126" w:rsidRPr="00761653" w:rsidRDefault="006B1126" w:rsidP="00714673">
            <w:pPr>
              <w:widowControl w:val="0"/>
              <w:autoSpaceDE w:val="0"/>
              <w:autoSpaceDN w:val="0"/>
              <w:adjustRightInd w:val="0"/>
              <w:contextualSpacing/>
            </w:pPr>
            <w:r w:rsidRPr="00761653">
              <w:t>Биопсия</w:t>
            </w:r>
          </w:p>
          <w:p w14:paraId="2C4D0972" w14:textId="77777777" w:rsidR="006B1126" w:rsidRPr="00761653" w:rsidRDefault="006B1126" w:rsidP="00714673">
            <w:pPr>
              <w:widowControl w:val="0"/>
              <w:autoSpaceDE w:val="0"/>
              <w:autoSpaceDN w:val="0"/>
              <w:adjustRightInd w:val="0"/>
              <w:contextualSpacing/>
            </w:pPr>
            <w:r w:rsidRPr="00761653">
              <w:t>Микробиологическое и гистологическое исследование биоптата</w:t>
            </w:r>
          </w:p>
        </w:tc>
      </w:tr>
    </w:tbl>
    <w:p w14:paraId="461B6D14" w14:textId="77777777" w:rsidR="006B1126" w:rsidRDefault="006B1126" w:rsidP="006B1126">
      <w:pPr>
        <w:widowControl w:val="0"/>
        <w:tabs>
          <w:tab w:val="left" w:pos="1134"/>
        </w:tabs>
        <w:autoSpaceDE w:val="0"/>
        <w:autoSpaceDN w:val="0"/>
        <w:adjustRightInd w:val="0"/>
        <w:ind w:right="-130" w:firstLine="709"/>
        <w:contextualSpacing/>
        <w:rPr>
          <w:b/>
          <w:bCs/>
        </w:rPr>
      </w:pPr>
    </w:p>
    <w:p w14:paraId="25346BAA" w14:textId="2303C67C" w:rsidR="006B1126" w:rsidRPr="00A021F1" w:rsidRDefault="00A021F1" w:rsidP="00A021F1">
      <w:pPr>
        <w:widowControl w:val="0"/>
        <w:autoSpaceDE w:val="0"/>
        <w:autoSpaceDN w:val="0"/>
        <w:adjustRightInd w:val="0"/>
        <w:ind w:right="49"/>
        <w:contextualSpacing/>
        <w:rPr>
          <w:bCs/>
          <w:u w:val="single"/>
        </w:rPr>
      </w:pPr>
      <w:r>
        <w:rPr>
          <w:bCs/>
          <w:u w:val="single"/>
        </w:rPr>
        <w:t xml:space="preserve">7.4.4. </w:t>
      </w:r>
      <w:r w:rsidR="006B1126" w:rsidRPr="00A021F1">
        <w:rPr>
          <w:bCs/>
          <w:u w:val="single"/>
        </w:rPr>
        <w:t>Показания к назначению антибактериальной терапии первого этапа</w:t>
      </w:r>
    </w:p>
    <w:p w14:paraId="6713129A" w14:textId="77777777" w:rsidR="006B1126" w:rsidRPr="0076198F" w:rsidRDefault="006B1126" w:rsidP="006B1126">
      <w:pPr>
        <w:tabs>
          <w:tab w:val="left" w:pos="0"/>
          <w:tab w:val="left" w:pos="567"/>
        </w:tabs>
        <w:ind w:firstLine="709"/>
      </w:pPr>
      <w:r w:rsidRPr="005971E1">
        <w:t>В первые сутки, как правило, единственным симптомом ифнекционного осложнения</w:t>
      </w:r>
      <w:r>
        <w:t xml:space="preserve"> </w:t>
      </w:r>
      <w:r w:rsidRPr="0076198F">
        <w:t>бывает лишь повышение температуры</w:t>
      </w:r>
      <w:r>
        <w:t xml:space="preserve"> тела</w:t>
      </w:r>
      <w:r w:rsidRPr="0076198F">
        <w:t xml:space="preserve">,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w:t>
      </w:r>
      <w:r>
        <w:t xml:space="preserve">гематологических пациентов </w:t>
      </w:r>
      <w:r w:rsidRPr="0076198F">
        <w:t>с фебрильной нейтропенией</w:t>
      </w:r>
      <w:r>
        <w:t xml:space="preserve">, особенно из группы риска, куда относятся пациенты с ХЛЛ/ЛМЛ (онкогематология, иммунодефицитные состояния) </w:t>
      </w:r>
      <w:r w:rsidRPr="0076198F">
        <w:t xml:space="preserve">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61BD8079" w14:textId="77777777" w:rsidR="006B1126" w:rsidRDefault="006B1126" w:rsidP="006B1126">
      <w:pPr>
        <w:widowControl w:val="0"/>
        <w:tabs>
          <w:tab w:val="left" w:pos="1134"/>
        </w:tabs>
        <w:autoSpaceDE w:val="0"/>
        <w:autoSpaceDN w:val="0"/>
        <w:adjustRightInd w:val="0"/>
        <w:ind w:right="-130" w:firstLine="709"/>
        <w:contextualSpacing/>
      </w:pPr>
      <w:r>
        <w:rPr>
          <w:bCs/>
        </w:rPr>
        <w:t>Показанием к назначению антибактериальных препаратов является п</w:t>
      </w:r>
      <w:r w:rsidRPr="00761653">
        <w:t xml:space="preserve">овышение температуры ≥38,0°С, сохраняющееся в течение 2 часов и не связанное с введением пирогенных препаратов (например, компонентов крови, факторов роста и др.) </w:t>
      </w:r>
      <w:r w:rsidRPr="008B181D">
        <w:rPr>
          <w:b/>
          <w:i/>
          <w:iCs/>
        </w:rPr>
        <w:t>или</w:t>
      </w:r>
      <w:r w:rsidRPr="00761653">
        <w:rPr>
          <w:b/>
          <w:bCs/>
        </w:rPr>
        <w:t xml:space="preserve"> </w:t>
      </w:r>
      <w:r w:rsidRPr="00761653">
        <w:t xml:space="preserve">наличие очага инфекции (например, пневмония, парапроктит и др.) вне зависимости от показателей температуры. </w:t>
      </w:r>
    </w:p>
    <w:p w14:paraId="3DF69CB1" w14:textId="77777777" w:rsidR="006B1126" w:rsidRPr="00761653" w:rsidRDefault="006B1126" w:rsidP="006B1126">
      <w:pPr>
        <w:widowControl w:val="0"/>
        <w:tabs>
          <w:tab w:val="left" w:pos="1134"/>
        </w:tabs>
        <w:autoSpaceDE w:val="0"/>
        <w:autoSpaceDN w:val="0"/>
        <w:adjustRightInd w:val="0"/>
        <w:ind w:right="-130" w:firstLine="709"/>
        <w:contextualSpacing/>
      </w:pPr>
      <w:r w:rsidRPr="00761653">
        <w:t>При фебрильной нейтропении в 1-й линии назначают внутривенно антибиотик с активностью против грамотрицательных бактерий, включая синегнойную палочку - пиперациллин/тазобактам (4,5 г х 3 раза) или цефоперазон/сульбактам</w:t>
      </w:r>
      <w:r w:rsidRPr="00761653">
        <w:rPr>
          <w:b/>
          <w:bCs/>
        </w:rPr>
        <w:t xml:space="preserve"> (</w:t>
      </w:r>
      <w:r w:rsidRPr="00761653">
        <w:t>4 г х 2 раза). В клиниках с низкой частотой детекции энтеробактерий с продукцией БЛРС допустимо назначение цефепима</w:t>
      </w:r>
      <w:r w:rsidRPr="00761653">
        <w:rPr>
          <w:b/>
          <w:bCs/>
        </w:rPr>
        <w:t xml:space="preserve"> (</w:t>
      </w:r>
      <w:r w:rsidRPr="00761653">
        <w:t>2 г х 2 раза) или цефтазидима</w:t>
      </w:r>
      <w:r w:rsidRPr="00761653">
        <w:rPr>
          <w:b/>
          <w:bCs/>
        </w:rPr>
        <w:t xml:space="preserve"> (</w:t>
      </w:r>
      <w:r w:rsidRPr="00761653">
        <w:t xml:space="preserve">2 г х 3 раза). Препарат выбора для беременных с заболеваниями системы крови – цефепим. При неэффективности и отсутствии информативных микробиологических исследований проводят замену антибиотиков 1й линии на антипсевдомонадный карбапенем (имипенем, меропенем или дорипенем). В 1й линии </w:t>
      </w:r>
      <w:r>
        <w:t xml:space="preserve">терапии </w:t>
      </w:r>
      <w:r w:rsidRPr="00761653">
        <w:t xml:space="preserve">фебрильной нейтропении не назначают цефтриаксон, цефоперазон, фторхинолоны. </w:t>
      </w:r>
    </w:p>
    <w:p w14:paraId="38E5FA02" w14:textId="77777777" w:rsidR="006B1126" w:rsidRPr="00761653" w:rsidRDefault="006B1126" w:rsidP="006B1126">
      <w:pPr>
        <w:widowControl w:val="0"/>
        <w:autoSpaceDE w:val="0"/>
        <w:autoSpaceDN w:val="0"/>
        <w:adjustRightInd w:val="0"/>
        <w:ind w:right="-220" w:firstLine="709"/>
        <w:contextualSpacing/>
      </w:pPr>
      <w:r w:rsidRPr="00761653">
        <w:t xml:space="preserve">Показаниями к назначению антипсевдомонадных карбапенемов (имипенема/циластатина, меропенема, дорипенема) в 1-й линии фебрильной нейтропениии </w:t>
      </w:r>
      <w:r w:rsidRPr="00761653">
        <w:lastRenderedPageBreak/>
        <w:t>являются септический шок; пневмония с дыхательной недостаточностью.</w:t>
      </w:r>
    </w:p>
    <w:p w14:paraId="69B4F20B" w14:textId="77777777" w:rsidR="006B1126" w:rsidRPr="00761653" w:rsidRDefault="006B1126" w:rsidP="006B1126">
      <w:pPr>
        <w:widowControl w:val="0"/>
        <w:tabs>
          <w:tab w:val="left" w:pos="1134"/>
        </w:tabs>
        <w:autoSpaceDE w:val="0"/>
        <w:autoSpaceDN w:val="0"/>
        <w:adjustRightInd w:val="0"/>
        <w:ind w:right="-220" w:firstLine="709"/>
        <w:contextualSpacing/>
      </w:pPr>
      <w:r w:rsidRPr="00761653">
        <w:t xml:space="preserve">Модификацию противомикробной терапии проводят на основании клинических симптомов, инструментальных и микробиологических исследований. У больных с персистирующей фебрильной нейтропенией и отрицательной гемокультурой при модификации учитывают чувствительность грамотрицательных бактерий, колонизирующих слизистые оболочки желудочно-кишечного тракта. При неэффективности карбапенемов и сохранении нейтропении добавляют противогрибковые препараты – эхинокандин (каспофунгин, микафунгин или анидулафунгин), вориконазол, амфотерицин В; орофарингеальном кандидозе и эзофагите - флуконазол. </w:t>
      </w:r>
    </w:p>
    <w:p w14:paraId="7C7A9DC0" w14:textId="77777777" w:rsidR="005F68A5" w:rsidRDefault="005F68A5" w:rsidP="005F68A5">
      <w:pPr>
        <w:widowControl w:val="0"/>
        <w:autoSpaceDE w:val="0"/>
        <w:autoSpaceDN w:val="0"/>
        <w:adjustRightInd w:val="0"/>
        <w:ind w:right="49"/>
        <w:contextualSpacing/>
        <w:rPr>
          <w:bCs/>
          <w:u w:val="single"/>
        </w:rPr>
      </w:pPr>
    </w:p>
    <w:p w14:paraId="5DB68F99" w14:textId="02D8AEA9" w:rsidR="006B1126" w:rsidRPr="005F68A5" w:rsidRDefault="005F68A5" w:rsidP="005F68A5">
      <w:pPr>
        <w:widowControl w:val="0"/>
        <w:autoSpaceDE w:val="0"/>
        <w:autoSpaceDN w:val="0"/>
        <w:adjustRightInd w:val="0"/>
        <w:ind w:right="49"/>
        <w:contextualSpacing/>
        <w:rPr>
          <w:bCs/>
          <w:u w:val="single"/>
        </w:rPr>
      </w:pPr>
      <w:r>
        <w:rPr>
          <w:bCs/>
          <w:u w:val="single"/>
        </w:rPr>
        <w:t xml:space="preserve">7.4.5 </w:t>
      </w:r>
      <w:r w:rsidR="006B1126" w:rsidRPr="005F68A5">
        <w:rPr>
          <w:bCs/>
          <w:u w:val="single"/>
        </w:rPr>
        <w:t>Эмпирическое назначение противогрибковых препаратов</w:t>
      </w:r>
    </w:p>
    <w:p w14:paraId="3FAFC73C" w14:textId="77777777" w:rsidR="006B1126" w:rsidRPr="00761653" w:rsidRDefault="006B1126" w:rsidP="006B1126">
      <w:pPr>
        <w:widowControl w:val="0"/>
        <w:autoSpaceDE w:val="0"/>
        <w:autoSpaceDN w:val="0"/>
        <w:adjustRightInd w:val="0"/>
        <w:ind w:right="-211" w:firstLine="709"/>
        <w:contextualSpacing/>
      </w:pPr>
      <w:r w:rsidRPr="00761653">
        <w:t>Эмпирическое назначение противогрибковых препаратов проводят на 4-7-й дни персистирующей фебрильной нейтропении в группе высокого риска возникновения инвазивных микозов (</w:t>
      </w:r>
      <w:r>
        <w:t>пациенты с</w:t>
      </w:r>
      <w:r w:rsidRPr="00761653">
        <w:t xml:space="preserve"> острым лейкозом, миелодиспластическим синдромом, реципиенты аллогенных ТГСК</w:t>
      </w:r>
      <w:r>
        <w:t>, агрессивными лимфомами, при длительной терапии глюкортикостероидами и др.</w:t>
      </w:r>
      <w:r w:rsidRPr="00761653">
        <w:t>), при условии отсутствия у них других клинических симптомов, а также р</w:t>
      </w:r>
      <w:r>
        <w:t>адиоло</w:t>
      </w:r>
      <w:r w:rsidRPr="00761653">
        <w:t xml:space="preserve">гических и лабораторных данных за иную инфекцию или другой инвазивный микоз. Препарат выбора – каспофунгин (в 1-й день 70 мг, далее по 50 мг внутривенно 1 раз в сутки), микафунгин (100 мг один раз в сутки внутривенно), анидулафунгин (в 1-й день 200 мг, далее по 100 мг 1 раз в сутки, внутривенно); альтернативные – вориконазол (в 1-й день по 6мг/кг внутривенно 2 раза в сутки, в последующие дни по 4 мг/кг внутривенно 2 раза в сутки, с переходом на пероральный прием по 200 мг 2 раза в сутки), амфотерицин В (0,8—1,0 мг/кг внутривенно 1 раз в сутки), липидные формы амфотерицина В (3 мг/кг внутривенно 1 раз в сутки). Как правило, тепература нормализуется в течение первых трех дней применения антимикотиков, и общая </w:t>
      </w:r>
      <w:r w:rsidRPr="00761653">
        <w:rPr>
          <w:bCs/>
        </w:rPr>
        <w:t>длительность применения противогрибковых препаратов</w:t>
      </w:r>
      <w:r w:rsidRPr="00761653">
        <w:t xml:space="preserve"> составляет 10-14 дней.</w:t>
      </w:r>
    </w:p>
    <w:p w14:paraId="20FDC545" w14:textId="77777777" w:rsidR="005F68A5" w:rsidRDefault="005F68A5" w:rsidP="005F68A5">
      <w:pPr>
        <w:widowControl w:val="0"/>
        <w:autoSpaceDE w:val="0"/>
        <w:autoSpaceDN w:val="0"/>
        <w:adjustRightInd w:val="0"/>
        <w:ind w:right="49"/>
        <w:contextualSpacing/>
        <w:rPr>
          <w:bCs/>
          <w:u w:val="single"/>
        </w:rPr>
      </w:pPr>
    </w:p>
    <w:p w14:paraId="557B1CCA" w14:textId="2C0BA24A" w:rsidR="006B1126" w:rsidRPr="005F68A5" w:rsidRDefault="005F68A5" w:rsidP="005F68A5">
      <w:pPr>
        <w:widowControl w:val="0"/>
        <w:autoSpaceDE w:val="0"/>
        <w:autoSpaceDN w:val="0"/>
        <w:adjustRightInd w:val="0"/>
        <w:ind w:right="49"/>
        <w:contextualSpacing/>
        <w:rPr>
          <w:bCs/>
          <w:u w:val="single"/>
        </w:rPr>
      </w:pPr>
      <w:r>
        <w:rPr>
          <w:bCs/>
          <w:u w:val="single"/>
        </w:rPr>
        <w:t>7.4.</w:t>
      </w:r>
      <w:r w:rsidR="00DB6C41">
        <w:rPr>
          <w:bCs/>
          <w:u w:val="single"/>
        </w:rPr>
        <w:t xml:space="preserve">6 </w:t>
      </w:r>
      <w:r w:rsidR="006B1126" w:rsidRPr="005F68A5">
        <w:rPr>
          <w:bCs/>
          <w:u w:val="single"/>
        </w:rPr>
        <w:t>Превентивная терапия инвазивного микоза</w:t>
      </w:r>
    </w:p>
    <w:p w14:paraId="6F0C62F9" w14:textId="77777777" w:rsidR="006B1126" w:rsidRPr="00761653" w:rsidRDefault="006B1126" w:rsidP="006B1126">
      <w:pPr>
        <w:widowControl w:val="0"/>
        <w:autoSpaceDE w:val="0"/>
        <w:autoSpaceDN w:val="0"/>
        <w:adjustRightInd w:val="0"/>
        <w:ind w:right="-211" w:firstLine="709"/>
        <w:contextualSpacing/>
      </w:pPr>
      <w:r w:rsidRPr="00761653">
        <w:rPr>
          <w:bCs/>
        </w:rPr>
        <w:t xml:space="preserve">Показаниями </w:t>
      </w:r>
      <w:r w:rsidRPr="00761653">
        <w:t>к превентивному назначению противогрибковых препаратов являются пневмония с р</w:t>
      </w:r>
      <w:r>
        <w:t>адио</w:t>
      </w:r>
      <w:r w:rsidRPr="00761653">
        <w:t>логическими признаками</w:t>
      </w:r>
      <w:r>
        <w:t>,</w:t>
      </w:r>
      <w:r w:rsidRPr="00761653">
        <w:t xml:space="preserve"> нехарактерными для инвазивного аспергиллеза, которая сохраняется или прогрессирует на фоне применения антибиотиков у </w:t>
      </w:r>
      <w:r>
        <w:t>пациентов</w:t>
      </w:r>
      <w:r w:rsidRPr="00761653">
        <w:t xml:space="preserve"> с факторами риска возникновения инвазивного аспергиллеза (нейтропения от 10 дней и более) или </w:t>
      </w:r>
      <w:r>
        <w:t xml:space="preserve">при </w:t>
      </w:r>
      <w:r w:rsidRPr="00761653">
        <w:t>положительн</w:t>
      </w:r>
      <w:r>
        <w:t>ом</w:t>
      </w:r>
      <w:r w:rsidRPr="00761653">
        <w:t xml:space="preserve"> результат</w:t>
      </w:r>
      <w:r>
        <w:t>е</w:t>
      </w:r>
      <w:r w:rsidRPr="00761653">
        <w:t xml:space="preserve"> определения антигена </w:t>
      </w:r>
      <w:r w:rsidRPr="00761653">
        <w:rPr>
          <w:i/>
          <w:iCs/>
        </w:rPr>
        <w:t xml:space="preserve">Aspergillus </w:t>
      </w:r>
      <w:r w:rsidRPr="00761653">
        <w:t xml:space="preserve">spp. (галактоманнан) в крови в отсутствие пневмонии. Превентивное назначение противогрибковых препаратов проводят </w:t>
      </w:r>
      <w:r>
        <w:t>пациентам</w:t>
      </w:r>
      <w:r w:rsidRPr="00761653">
        <w:t xml:space="preserve">, входящим в группу высокого риска возникновения инвазивного </w:t>
      </w:r>
      <w:r w:rsidRPr="00761653">
        <w:lastRenderedPageBreak/>
        <w:t>аспергиллеза (острый лейкоз, миелодиспластический синдром, апластическая анемия, реципиенты аллогенных СГК).</w:t>
      </w:r>
    </w:p>
    <w:p w14:paraId="493DD262" w14:textId="77777777" w:rsidR="006B1126" w:rsidRPr="00761653" w:rsidRDefault="006B1126" w:rsidP="006B1126">
      <w:pPr>
        <w:widowControl w:val="0"/>
        <w:autoSpaceDE w:val="0"/>
        <w:autoSpaceDN w:val="0"/>
        <w:adjustRightInd w:val="0"/>
        <w:ind w:right="-211" w:firstLine="709"/>
        <w:contextualSpacing/>
      </w:pPr>
      <w:r w:rsidRPr="00761653">
        <w:rPr>
          <w:bCs/>
        </w:rPr>
        <w:t>Лечение включает назначение в</w:t>
      </w:r>
      <w:r w:rsidRPr="00761653">
        <w:t>ориконазола, в первый день по 6 мг/кг внутривенно 2 раза в сутки, в последующие дни по 4 мг/кг внутривенно 2 раза в сутки, с переходом на пероральный прием по 200 мг 2 раза в сутки.</w:t>
      </w:r>
    </w:p>
    <w:p w14:paraId="0920196D" w14:textId="77777777" w:rsidR="00DB6C41" w:rsidRDefault="00DB6C41" w:rsidP="006B1126">
      <w:pPr>
        <w:widowControl w:val="0"/>
        <w:tabs>
          <w:tab w:val="left" w:pos="1134"/>
        </w:tabs>
        <w:autoSpaceDE w:val="0"/>
        <w:autoSpaceDN w:val="0"/>
        <w:adjustRightInd w:val="0"/>
        <w:ind w:right="49" w:firstLine="709"/>
        <w:contextualSpacing/>
        <w:rPr>
          <w:b/>
        </w:rPr>
      </w:pPr>
    </w:p>
    <w:p w14:paraId="63BCD10B" w14:textId="58C0600A" w:rsidR="006B1126" w:rsidRPr="00DB6C41" w:rsidRDefault="00DB6C41" w:rsidP="00DB6C41">
      <w:pPr>
        <w:widowControl w:val="0"/>
        <w:autoSpaceDE w:val="0"/>
        <w:autoSpaceDN w:val="0"/>
        <w:adjustRightInd w:val="0"/>
        <w:ind w:right="49"/>
        <w:contextualSpacing/>
        <w:rPr>
          <w:bCs/>
          <w:u w:val="single"/>
        </w:rPr>
      </w:pPr>
      <w:r>
        <w:rPr>
          <w:bCs/>
          <w:u w:val="single"/>
        </w:rPr>
        <w:t xml:space="preserve">7.4.7 </w:t>
      </w:r>
      <w:r w:rsidR="006B1126" w:rsidRPr="00DB6C41">
        <w:rPr>
          <w:bCs/>
          <w:u w:val="single"/>
        </w:rPr>
        <w:t>Лечение микробиологически подтвержденных инфекций</w:t>
      </w:r>
    </w:p>
    <w:p w14:paraId="5DAC6BDC" w14:textId="77777777" w:rsidR="006B1126" w:rsidRPr="00761653" w:rsidRDefault="006B1126" w:rsidP="006B1126">
      <w:pPr>
        <w:widowControl w:val="0"/>
        <w:tabs>
          <w:tab w:val="left" w:pos="1134"/>
        </w:tabs>
        <w:autoSpaceDE w:val="0"/>
        <w:autoSpaceDN w:val="0"/>
        <w:adjustRightInd w:val="0"/>
        <w:ind w:right="49" w:firstLine="709"/>
        <w:contextualSpacing/>
        <w:rPr>
          <w:b/>
        </w:rPr>
      </w:pPr>
      <w:r w:rsidRPr="00761653">
        <w:rPr>
          <w:b/>
        </w:rPr>
        <w:t>Грамотрицательные возбудители</w:t>
      </w:r>
    </w:p>
    <w:p w14:paraId="3AB2C119" w14:textId="77777777" w:rsidR="006B1126" w:rsidRPr="006710A2" w:rsidRDefault="006B1126" w:rsidP="006B1126">
      <w:pPr>
        <w:widowControl w:val="0"/>
        <w:tabs>
          <w:tab w:val="left" w:pos="1134"/>
        </w:tabs>
        <w:autoSpaceDE w:val="0"/>
        <w:autoSpaceDN w:val="0"/>
        <w:adjustRightInd w:val="0"/>
        <w:ind w:right="49" w:firstLine="709"/>
        <w:contextualSpacing/>
        <w:rPr>
          <w:bCs/>
          <w:i/>
          <w:iCs/>
        </w:rPr>
      </w:pPr>
      <w:r w:rsidRPr="006710A2">
        <w:rPr>
          <w:bCs/>
          <w:i/>
          <w:iCs/>
          <w:u w:val="single"/>
        </w:rPr>
        <w:t>Энтеробактерии с продукцией БЛРС, Enterobacter spp</w:t>
      </w:r>
    </w:p>
    <w:p w14:paraId="76A69E51" w14:textId="77777777" w:rsidR="006B1126" w:rsidRPr="00761653" w:rsidRDefault="006B1126" w:rsidP="006B1126">
      <w:pPr>
        <w:widowControl w:val="0"/>
        <w:tabs>
          <w:tab w:val="left" w:pos="1134"/>
        </w:tabs>
        <w:autoSpaceDE w:val="0"/>
        <w:autoSpaceDN w:val="0"/>
        <w:adjustRightInd w:val="0"/>
        <w:ind w:right="49" w:firstLine="709"/>
        <w:contextualSpacing/>
      </w:pPr>
      <w:r w:rsidRPr="00761653">
        <w:t xml:space="preserve">Препарат выбора – антипсевдомонадный карбапенем (имипенем, меропенем или дорипенем). вне нейтропениии, особенно при инфекции мочевыводящих путей, может быть использован эртапенем. Назначение карбапенемов в стандартных дозах. </w:t>
      </w:r>
    </w:p>
    <w:p w14:paraId="71147924" w14:textId="77777777" w:rsidR="006B1126" w:rsidRPr="006710A2" w:rsidRDefault="006B1126" w:rsidP="006B1126">
      <w:pPr>
        <w:widowControl w:val="0"/>
        <w:tabs>
          <w:tab w:val="left" w:pos="1134"/>
        </w:tabs>
        <w:autoSpaceDE w:val="0"/>
        <w:autoSpaceDN w:val="0"/>
        <w:adjustRightInd w:val="0"/>
        <w:ind w:right="49" w:firstLine="709"/>
        <w:contextualSpacing/>
        <w:rPr>
          <w:bCs/>
          <w:i/>
          <w:iCs/>
        </w:rPr>
      </w:pPr>
      <w:r w:rsidRPr="006710A2">
        <w:rPr>
          <w:bCs/>
          <w:i/>
          <w:iCs/>
          <w:u w:val="single"/>
        </w:rPr>
        <w:t xml:space="preserve">Энтеробактерии с продукцией карбапенемаз </w:t>
      </w:r>
    </w:p>
    <w:p w14:paraId="397853B0" w14:textId="77777777" w:rsidR="006B1126" w:rsidRPr="00761653" w:rsidRDefault="006B1126" w:rsidP="006B1126">
      <w:pPr>
        <w:widowControl w:val="0"/>
        <w:tabs>
          <w:tab w:val="left" w:pos="1134"/>
        </w:tabs>
        <w:autoSpaceDE w:val="0"/>
        <w:autoSpaceDN w:val="0"/>
        <w:adjustRightInd w:val="0"/>
        <w:ind w:right="49" w:firstLine="709"/>
        <w:contextualSpacing/>
      </w:pPr>
      <w:r w:rsidRPr="00761653">
        <w:t>Лечение проводят сочетанием антибиотиков согласно чувствителньости. Препарат выбора при детекции карбапенемаз групп KPC, OXA-48 - цефтазидим-авибактам (2,5 г каждые 8 часов, введение в течение 2 часов), при детекции металлоферментов (NDM) – сочетание цефтазидима-авибактама с азтреонамом (по 2 г 3 раза в сутки). Препараты, используемые в лечении инфекций, вызванных карбапенемазопродуцирующими бактериями представлены в табл</w:t>
      </w:r>
      <w:r>
        <w:t>ице 2.</w:t>
      </w:r>
      <w:r w:rsidRPr="00761653">
        <w:t xml:space="preserve"> Тигециклин имеет низкие концентрации в крови и в моче, проявляет бактериостатическое действие, не относится к препаратам выбора при инфекциях кровотока. При инфекциях кровотока назначают тигециклин только при отсутствии других опций в лечении.</w:t>
      </w:r>
    </w:p>
    <w:p w14:paraId="582F5948" w14:textId="19B7644E" w:rsidR="006B1126" w:rsidRPr="00761653" w:rsidRDefault="006B1126" w:rsidP="006B1126">
      <w:r w:rsidRPr="00761653">
        <w:t xml:space="preserve">Таблица </w:t>
      </w:r>
      <w:r w:rsidR="006710A2">
        <w:t>7.4.</w:t>
      </w:r>
      <w:r w:rsidRPr="00761653">
        <w:t>2. Дозы антибиотиков</w:t>
      </w:r>
      <w:r>
        <w:t>,</w:t>
      </w:r>
      <w:r w:rsidRPr="00761653">
        <w:t xml:space="preserve"> рекомендуемые для лечения инфекций, вызванных энтеробактериями с продукцией карбапенемаз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6B1126" w:rsidRPr="00761653" w14:paraId="60EB4335" w14:textId="77777777" w:rsidTr="00714673">
        <w:trPr>
          <w:trHeight w:val="555"/>
        </w:trPr>
        <w:tc>
          <w:tcPr>
            <w:tcW w:w="3227" w:type="dxa"/>
            <w:vAlign w:val="center"/>
          </w:tcPr>
          <w:p w14:paraId="2B8110E6" w14:textId="77777777" w:rsidR="006B1126" w:rsidRPr="00761653" w:rsidRDefault="006B1126" w:rsidP="00714673">
            <w:pPr>
              <w:jc w:val="center"/>
              <w:rPr>
                <w:szCs w:val="24"/>
                <w:lang w:val="en-US"/>
              </w:rPr>
            </w:pPr>
            <w:r w:rsidRPr="00761653">
              <w:rPr>
                <w:szCs w:val="24"/>
              </w:rPr>
              <w:t>Препарат</w:t>
            </w:r>
          </w:p>
        </w:tc>
        <w:tc>
          <w:tcPr>
            <w:tcW w:w="6520" w:type="dxa"/>
            <w:vAlign w:val="center"/>
          </w:tcPr>
          <w:p w14:paraId="1172170F" w14:textId="77777777" w:rsidR="006B1126" w:rsidRPr="00761653" w:rsidRDefault="006B1126" w:rsidP="00714673">
            <w:pPr>
              <w:jc w:val="center"/>
              <w:rPr>
                <w:szCs w:val="24"/>
                <w:lang w:val="en-US"/>
              </w:rPr>
            </w:pPr>
            <w:r w:rsidRPr="00761653">
              <w:rPr>
                <w:szCs w:val="24"/>
              </w:rPr>
              <w:t>Доза</w:t>
            </w:r>
          </w:p>
        </w:tc>
      </w:tr>
      <w:tr w:rsidR="006B1126" w:rsidRPr="00265B67" w14:paraId="0E5D1C3D" w14:textId="77777777" w:rsidTr="00714673">
        <w:trPr>
          <w:trHeight w:val="421"/>
        </w:trPr>
        <w:tc>
          <w:tcPr>
            <w:tcW w:w="3227" w:type="dxa"/>
          </w:tcPr>
          <w:p w14:paraId="3C7E4143" w14:textId="77777777" w:rsidR="006B1126" w:rsidRPr="00761653" w:rsidRDefault="006B1126" w:rsidP="00714673">
            <w:pPr>
              <w:rPr>
                <w:szCs w:val="24"/>
              </w:rPr>
            </w:pPr>
            <w:r w:rsidRPr="00761653">
              <w:rPr>
                <w:szCs w:val="24"/>
              </w:rPr>
              <w:t>Цефтазидим-авибактам</w:t>
            </w:r>
          </w:p>
        </w:tc>
        <w:tc>
          <w:tcPr>
            <w:tcW w:w="6520" w:type="dxa"/>
          </w:tcPr>
          <w:p w14:paraId="529A8E97" w14:textId="77777777" w:rsidR="006B1126" w:rsidRPr="00761653" w:rsidRDefault="006B1126" w:rsidP="00714673">
            <w:pPr>
              <w:rPr>
                <w:szCs w:val="24"/>
              </w:rPr>
            </w:pPr>
            <w:r w:rsidRPr="00761653">
              <w:rPr>
                <w:szCs w:val="24"/>
              </w:rPr>
              <w:t>2,5 г каждые 8 часов, длительность инфузии 2 часа</w:t>
            </w:r>
          </w:p>
        </w:tc>
      </w:tr>
      <w:tr w:rsidR="006B1126" w:rsidRPr="00975FC1" w14:paraId="68081CD7" w14:textId="77777777" w:rsidTr="00714673">
        <w:trPr>
          <w:trHeight w:val="825"/>
        </w:trPr>
        <w:tc>
          <w:tcPr>
            <w:tcW w:w="3227" w:type="dxa"/>
          </w:tcPr>
          <w:p w14:paraId="2510FA6C" w14:textId="77777777" w:rsidR="006B1126" w:rsidRPr="00761653" w:rsidRDefault="006B1126" w:rsidP="00714673">
            <w:pPr>
              <w:rPr>
                <w:szCs w:val="24"/>
                <w:lang w:val="en-US"/>
              </w:rPr>
            </w:pPr>
            <w:r w:rsidRPr="00761653">
              <w:rPr>
                <w:szCs w:val="24"/>
              </w:rPr>
              <w:t>Меропенем</w:t>
            </w:r>
          </w:p>
        </w:tc>
        <w:tc>
          <w:tcPr>
            <w:tcW w:w="6520" w:type="dxa"/>
          </w:tcPr>
          <w:p w14:paraId="1763C5CC" w14:textId="77777777" w:rsidR="006B1126" w:rsidRPr="00761653" w:rsidRDefault="006B1126" w:rsidP="00714673">
            <w:pPr>
              <w:rPr>
                <w:szCs w:val="24"/>
              </w:rPr>
            </w:pPr>
            <w:r w:rsidRPr="00761653">
              <w:rPr>
                <w:szCs w:val="24"/>
              </w:rPr>
              <w:t xml:space="preserve">2 г каждые 8 часов </w:t>
            </w:r>
          </w:p>
          <w:p w14:paraId="69A7DE4D" w14:textId="77777777" w:rsidR="006B1126" w:rsidRPr="00761653" w:rsidRDefault="006B1126" w:rsidP="00714673">
            <w:pPr>
              <w:rPr>
                <w:szCs w:val="24"/>
              </w:rPr>
            </w:pPr>
            <w:r w:rsidRPr="00761653">
              <w:rPr>
                <w:szCs w:val="24"/>
              </w:rPr>
              <w:t>пролонгированная инфузия в течение 3х часов</w:t>
            </w:r>
          </w:p>
        </w:tc>
      </w:tr>
      <w:tr w:rsidR="006B1126" w:rsidRPr="00761653" w14:paraId="4227802A" w14:textId="77777777" w:rsidTr="00714673">
        <w:trPr>
          <w:trHeight w:val="270"/>
        </w:trPr>
        <w:tc>
          <w:tcPr>
            <w:tcW w:w="3227" w:type="dxa"/>
          </w:tcPr>
          <w:p w14:paraId="1A476163" w14:textId="77777777" w:rsidR="006B1126" w:rsidRPr="00761653" w:rsidRDefault="006B1126" w:rsidP="00714673">
            <w:pPr>
              <w:rPr>
                <w:szCs w:val="24"/>
                <w:lang w:val="en-US"/>
              </w:rPr>
            </w:pPr>
            <w:r w:rsidRPr="00761653">
              <w:rPr>
                <w:szCs w:val="24"/>
              </w:rPr>
              <w:t>Имипенем</w:t>
            </w:r>
          </w:p>
        </w:tc>
        <w:tc>
          <w:tcPr>
            <w:tcW w:w="6520" w:type="dxa"/>
          </w:tcPr>
          <w:p w14:paraId="3F6FE16A" w14:textId="77777777" w:rsidR="006B1126" w:rsidRPr="00761653" w:rsidRDefault="006B1126" w:rsidP="00714673">
            <w:pPr>
              <w:rPr>
                <w:szCs w:val="24"/>
              </w:rPr>
            </w:pPr>
            <w:r w:rsidRPr="00761653">
              <w:rPr>
                <w:szCs w:val="24"/>
              </w:rPr>
              <w:t>1 г каждые 8 часов</w:t>
            </w:r>
          </w:p>
        </w:tc>
      </w:tr>
      <w:tr w:rsidR="006B1126" w:rsidRPr="00975FC1" w14:paraId="543BA4CA" w14:textId="77777777" w:rsidTr="00714673">
        <w:tc>
          <w:tcPr>
            <w:tcW w:w="3227" w:type="dxa"/>
          </w:tcPr>
          <w:p w14:paraId="006CB13D" w14:textId="77777777" w:rsidR="006B1126" w:rsidRPr="00761653" w:rsidRDefault="006B1126" w:rsidP="00714673">
            <w:pPr>
              <w:rPr>
                <w:szCs w:val="24"/>
                <w:lang w:val="en-US"/>
              </w:rPr>
            </w:pPr>
            <w:r w:rsidRPr="00761653">
              <w:rPr>
                <w:szCs w:val="24"/>
              </w:rPr>
              <w:t>Дорипенем</w:t>
            </w:r>
          </w:p>
        </w:tc>
        <w:tc>
          <w:tcPr>
            <w:tcW w:w="6520" w:type="dxa"/>
          </w:tcPr>
          <w:p w14:paraId="64D82CCD" w14:textId="77777777" w:rsidR="006B1126" w:rsidRPr="00761653" w:rsidRDefault="006B1126" w:rsidP="00714673">
            <w:pPr>
              <w:rPr>
                <w:szCs w:val="24"/>
              </w:rPr>
            </w:pPr>
            <w:r w:rsidRPr="00761653">
              <w:rPr>
                <w:szCs w:val="24"/>
              </w:rPr>
              <w:t>1 г каждые 8 часов, продленная инфузия (4 часа)</w:t>
            </w:r>
          </w:p>
        </w:tc>
      </w:tr>
      <w:tr w:rsidR="006B1126" w:rsidRPr="00265B67" w14:paraId="0A4DFFBC" w14:textId="77777777" w:rsidTr="00714673">
        <w:tc>
          <w:tcPr>
            <w:tcW w:w="3227" w:type="dxa"/>
          </w:tcPr>
          <w:p w14:paraId="0F2DC967" w14:textId="77777777" w:rsidR="006B1126" w:rsidRPr="00761653" w:rsidRDefault="006B1126" w:rsidP="00714673">
            <w:pPr>
              <w:rPr>
                <w:szCs w:val="24"/>
                <w:lang w:val="en-US"/>
              </w:rPr>
            </w:pPr>
            <w:r w:rsidRPr="00761653">
              <w:rPr>
                <w:szCs w:val="24"/>
              </w:rPr>
              <w:t>Эртапенем</w:t>
            </w:r>
          </w:p>
        </w:tc>
        <w:tc>
          <w:tcPr>
            <w:tcW w:w="6520" w:type="dxa"/>
          </w:tcPr>
          <w:p w14:paraId="6A943D19" w14:textId="77777777" w:rsidR="006B1126" w:rsidRPr="00761653" w:rsidRDefault="006B1126" w:rsidP="00714673">
            <w:pPr>
              <w:rPr>
                <w:szCs w:val="24"/>
              </w:rPr>
            </w:pPr>
            <w:r w:rsidRPr="00761653">
              <w:rPr>
                <w:szCs w:val="24"/>
              </w:rPr>
              <w:t>1 г каждые 24 часа или 1г каждые 12 час</w:t>
            </w:r>
          </w:p>
          <w:p w14:paraId="53F8C943" w14:textId="77777777" w:rsidR="006B1126" w:rsidRPr="00761653" w:rsidRDefault="006B1126" w:rsidP="00714673">
            <w:pPr>
              <w:rPr>
                <w:szCs w:val="24"/>
              </w:rPr>
            </w:pPr>
            <w:r w:rsidRPr="00761653">
              <w:rPr>
                <w:szCs w:val="24"/>
              </w:rPr>
              <w:t>Используют в режиме “два карбапенема” при отсутствии других опций</w:t>
            </w:r>
          </w:p>
        </w:tc>
      </w:tr>
      <w:tr w:rsidR="006B1126" w:rsidRPr="00975FC1" w14:paraId="3AA42923" w14:textId="77777777" w:rsidTr="00714673">
        <w:tc>
          <w:tcPr>
            <w:tcW w:w="3227" w:type="dxa"/>
          </w:tcPr>
          <w:p w14:paraId="6D589474" w14:textId="77777777" w:rsidR="006B1126" w:rsidRPr="00761653" w:rsidRDefault="006B1126" w:rsidP="00714673">
            <w:pPr>
              <w:rPr>
                <w:szCs w:val="24"/>
              </w:rPr>
            </w:pPr>
            <w:r w:rsidRPr="00761653">
              <w:rPr>
                <w:szCs w:val="24"/>
              </w:rPr>
              <w:lastRenderedPageBreak/>
              <w:t>Колистин</w:t>
            </w:r>
          </w:p>
        </w:tc>
        <w:tc>
          <w:tcPr>
            <w:tcW w:w="6520" w:type="dxa"/>
          </w:tcPr>
          <w:p w14:paraId="7A441914" w14:textId="77777777" w:rsidR="006B1126" w:rsidRPr="00761653" w:rsidRDefault="006B1126" w:rsidP="00714673">
            <w:pPr>
              <w:rPr>
                <w:szCs w:val="24"/>
              </w:rPr>
            </w:pPr>
            <w:r w:rsidRPr="00761653">
              <w:rPr>
                <w:szCs w:val="24"/>
              </w:rPr>
              <w:t>Нагрузочная доза 9 млн МЕ, в первый день, однократно, далее по 4,5 млн МЕ</w:t>
            </w:r>
            <w:r w:rsidRPr="00761653">
              <w:rPr>
                <w:color w:val="4D5156"/>
                <w:szCs w:val="24"/>
                <w:shd w:val="clear" w:color="auto" w:fill="FFFFFF"/>
              </w:rPr>
              <w:t xml:space="preserve"> </w:t>
            </w:r>
            <w:r w:rsidRPr="00761653">
              <w:rPr>
                <w:szCs w:val="24"/>
              </w:rPr>
              <w:t xml:space="preserve">каждые 12 час </w:t>
            </w:r>
          </w:p>
          <w:p w14:paraId="218306AF" w14:textId="77777777" w:rsidR="006B1126" w:rsidRPr="00761653" w:rsidRDefault="006B1126" w:rsidP="00714673">
            <w:pPr>
              <w:rPr>
                <w:szCs w:val="24"/>
              </w:rPr>
            </w:pPr>
            <w:r w:rsidRPr="00761653">
              <w:rPr>
                <w:szCs w:val="24"/>
              </w:rPr>
              <w:t>Ингаляции 1-3 млн МЕ каждые 8 часов</w:t>
            </w:r>
          </w:p>
        </w:tc>
      </w:tr>
      <w:tr w:rsidR="006B1126" w:rsidRPr="00265B67" w14:paraId="0445D0FA" w14:textId="77777777" w:rsidTr="00714673">
        <w:tc>
          <w:tcPr>
            <w:tcW w:w="3227" w:type="dxa"/>
          </w:tcPr>
          <w:p w14:paraId="46CAFB15" w14:textId="77777777" w:rsidR="006B1126" w:rsidRPr="00761653" w:rsidRDefault="006B1126" w:rsidP="00714673">
            <w:pPr>
              <w:rPr>
                <w:szCs w:val="24"/>
              </w:rPr>
            </w:pPr>
            <w:r w:rsidRPr="00761653">
              <w:rPr>
                <w:szCs w:val="24"/>
              </w:rPr>
              <w:t>Полимиксин В</w:t>
            </w:r>
          </w:p>
        </w:tc>
        <w:tc>
          <w:tcPr>
            <w:tcW w:w="6520" w:type="dxa"/>
          </w:tcPr>
          <w:p w14:paraId="740F2686" w14:textId="77777777" w:rsidR="006B1126" w:rsidRPr="00761653" w:rsidRDefault="006B1126" w:rsidP="00714673">
            <w:pPr>
              <w:rPr>
                <w:szCs w:val="24"/>
              </w:rPr>
            </w:pPr>
            <w:r w:rsidRPr="00761653">
              <w:rPr>
                <w:szCs w:val="24"/>
              </w:rPr>
              <w:t xml:space="preserve">Нагрузочная доза 2-2,5 мг/кг, далее 1,25-1,5 мг/кг каждые 12 час </w:t>
            </w:r>
          </w:p>
        </w:tc>
      </w:tr>
      <w:tr w:rsidR="006B1126" w:rsidRPr="00265B67" w14:paraId="08D2598F" w14:textId="77777777" w:rsidTr="00714673">
        <w:tc>
          <w:tcPr>
            <w:tcW w:w="3227" w:type="dxa"/>
          </w:tcPr>
          <w:p w14:paraId="056EC8B0" w14:textId="77777777" w:rsidR="006B1126" w:rsidRPr="00761653" w:rsidRDefault="006B1126" w:rsidP="00714673">
            <w:pPr>
              <w:rPr>
                <w:szCs w:val="24"/>
              </w:rPr>
            </w:pPr>
            <w:r w:rsidRPr="00761653">
              <w:rPr>
                <w:szCs w:val="24"/>
              </w:rPr>
              <w:t>Тигециклин</w:t>
            </w:r>
          </w:p>
        </w:tc>
        <w:tc>
          <w:tcPr>
            <w:tcW w:w="6520" w:type="dxa"/>
          </w:tcPr>
          <w:p w14:paraId="0615AE74" w14:textId="77777777" w:rsidR="006B1126" w:rsidRPr="00761653" w:rsidRDefault="006B1126" w:rsidP="00714673">
            <w:pPr>
              <w:rPr>
                <w:szCs w:val="24"/>
              </w:rPr>
            </w:pPr>
            <w:r w:rsidRPr="00761653">
              <w:rPr>
                <w:szCs w:val="24"/>
              </w:rPr>
              <w:t>Первая доза 100 мг, далее каждые 12 часов по 50 мг</w:t>
            </w:r>
          </w:p>
        </w:tc>
      </w:tr>
      <w:tr w:rsidR="006B1126" w:rsidRPr="00265B67" w14:paraId="540D1753" w14:textId="77777777" w:rsidTr="00714673">
        <w:tc>
          <w:tcPr>
            <w:tcW w:w="3227" w:type="dxa"/>
          </w:tcPr>
          <w:p w14:paraId="08C26605" w14:textId="77777777" w:rsidR="006B1126" w:rsidRPr="00761653" w:rsidRDefault="006B1126" w:rsidP="00714673">
            <w:pPr>
              <w:rPr>
                <w:szCs w:val="24"/>
                <w:lang w:val="en-US"/>
              </w:rPr>
            </w:pPr>
            <w:r w:rsidRPr="00761653">
              <w:rPr>
                <w:szCs w:val="24"/>
              </w:rPr>
              <w:t>Гентамицин</w:t>
            </w:r>
            <w:r w:rsidRPr="00761653">
              <w:rPr>
                <w:szCs w:val="24"/>
                <w:lang w:val="en-US"/>
              </w:rPr>
              <w:t xml:space="preserve">, </w:t>
            </w:r>
          </w:p>
          <w:p w14:paraId="24D08198" w14:textId="77777777" w:rsidR="006B1126" w:rsidRPr="00761653" w:rsidRDefault="006B1126" w:rsidP="00714673">
            <w:pPr>
              <w:rPr>
                <w:szCs w:val="24"/>
                <w:lang w:val="en-US"/>
              </w:rPr>
            </w:pPr>
            <w:r w:rsidRPr="00761653">
              <w:rPr>
                <w:szCs w:val="24"/>
              </w:rPr>
              <w:t>тобрамицин</w:t>
            </w:r>
          </w:p>
        </w:tc>
        <w:tc>
          <w:tcPr>
            <w:tcW w:w="6520" w:type="dxa"/>
          </w:tcPr>
          <w:p w14:paraId="6E086B66" w14:textId="77777777" w:rsidR="006B1126" w:rsidRPr="00761653" w:rsidRDefault="006B1126" w:rsidP="00714673">
            <w:pPr>
              <w:rPr>
                <w:szCs w:val="24"/>
              </w:rPr>
            </w:pPr>
            <w:r w:rsidRPr="00761653">
              <w:rPr>
                <w:szCs w:val="24"/>
              </w:rPr>
              <w:t>5-7 мг/кг/сутки, введение в течение 1 часа</w:t>
            </w:r>
          </w:p>
        </w:tc>
      </w:tr>
      <w:tr w:rsidR="006B1126" w:rsidRPr="00265B67" w14:paraId="0D3030F5" w14:textId="77777777" w:rsidTr="00714673">
        <w:tc>
          <w:tcPr>
            <w:tcW w:w="3227" w:type="dxa"/>
          </w:tcPr>
          <w:p w14:paraId="15449AF4" w14:textId="77777777" w:rsidR="006B1126" w:rsidRPr="00761653" w:rsidRDefault="006B1126" w:rsidP="00714673">
            <w:pPr>
              <w:rPr>
                <w:szCs w:val="24"/>
                <w:lang w:val="en-US"/>
              </w:rPr>
            </w:pPr>
            <w:r w:rsidRPr="00761653">
              <w:rPr>
                <w:szCs w:val="24"/>
              </w:rPr>
              <w:t>Амикацин</w:t>
            </w:r>
          </w:p>
        </w:tc>
        <w:tc>
          <w:tcPr>
            <w:tcW w:w="6520" w:type="dxa"/>
          </w:tcPr>
          <w:p w14:paraId="03F94747" w14:textId="77777777" w:rsidR="006B1126" w:rsidRPr="00761653" w:rsidRDefault="006B1126" w:rsidP="00714673">
            <w:pPr>
              <w:rPr>
                <w:szCs w:val="24"/>
              </w:rPr>
            </w:pPr>
            <w:r w:rsidRPr="00761653">
              <w:rPr>
                <w:szCs w:val="24"/>
              </w:rPr>
              <w:t>15-20 мг/кг/сутки, введение в течение 1 часа</w:t>
            </w:r>
          </w:p>
        </w:tc>
      </w:tr>
      <w:tr w:rsidR="006B1126" w:rsidRPr="00265B67" w14:paraId="343036B1" w14:textId="77777777" w:rsidTr="00714673">
        <w:tc>
          <w:tcPr>
            <w:tcW w:w="3227" w:type="dxa"/>
          </w:tcPr>
          <w:p w14:paraId="0CD2E965" w14:textId="77777777" w:rsidR="006B1126" w:rsidRPr="00761653" w:rsidRDefault="006B1126" w:rsidP="00714673">
            <w:pPr>
              <w:rPr>
                <w:szCs w:val="24"/>
              </w:rPr>
            </w:pPr>
            <w:r w:rsidRPr="00761653">
              <w:rPr>
                <w:szCs w:val="24"/>
              </w:rPr>
              <w:t>Фосфомицин</w:t>
            </w:r>
          </w:p>
        </w:tc>
        <w:tc>
          <w:tcPr>
            <w:tcW w:w="6520" w:type="dxa"/>
          </w:tcPr>
          <w:p w14:paraId="1250789F" w14:textId="77777777" w:rsidR="006B1126" w:rsidRPr="00761653" w:rsidRDefault="006B1126" w:rsidP="00714673">
            <w:pPr>
              <w:rPr>
                <w:szCs w:val="24"/>
              </w:rPr>
            </w:pPr>
            <w:r w:rsidRPr="00761653">
              <w:rPr>
                <w:szCs w:val="24"/>
              </w:rPr>
              <w:t>По 4 г каждые 6 час или по 8 г каждые 8 час (суммарно 16-24 г)</w:t>
            </w:r>
          </w:p>
        </w:tc>
      </w:tr>
      <w:tr w:rsidR="006B1126" w:rsidRPr="00761653" w14:paraId="171A8F43" w14:textId="77777777" w:rsidTr="00714673">
        <w:tc>
          <w:tcPr>
            <w:tcW w:w="3227" w:type="dxa"/>
          </w:tcPr>
          <w:p w14:paraId="38AEF05B" w14:textId="77777777" w:rsidR="006B1126" w:rsidRPr="00761653" w:rsidRDefault="006B1126" w:rsidP="00714673">
            <w:pPr>
              <w:rPr>
                <w:szCs w:val="24"/>
              </w:rPr>
            </w:pPr>
            <w:r w:rsidRPr="00761653">
              <w:rPr>
                <w:szCs w:val="24"/>
              </w:rPr>
              <w:t>Азтреонам</w:t>
            </w:r>
          </w:p>
        </w:tc>
        <w:tc>
          <w:tcPr>
            <w:tcW w:w="6520" w:type="dxa"/>
          </w:tcPr>
          <w:p w14:paraId="2A47948C" w14:textId="77777777" w:rsidR="006B1126" w:rsidRPr="00761653" w:rsidRDefault="006B1126" w:rsidP="00714673">
            <w:pPr>
              <w:rPr>
                <w:szCs w:val="24"/>
              </w:rPr>
            </w:pPr>
            <w:r w:rsidRPr="00761653">
              <w:rPr>
                <w:szCs w:val="24"/>
              </w:rPr>
              <w:t>2 г каждые 8 часов</w:t>
            </w:r>
          </w:p>
        </w:tc>
      </w:tr>
    </w:tbl>
    <w:p w14:paraId="70F6ACFE" w14:textId="77777777" w:rsidR="006B1126" w:rsidRPr="006710A2" w:rsidRDefault="006B1126" w:rsidP="006B1126">
      <w:pPr>
        <w:widowControl w:val="0"/>
        <w:tabs>
          <w:tab w:val="left" w:pos="1134"/>
        </w:tabs>
        <w:autoSpaceDE w:val="0"/>
        <w:autoSpaceDN w:val="0"/>
        <w:adjustRightInd w:val="0"/>
        <w:ind w:right="49" w:firstLine="709"/>
        <w:contextualSpacing/>
        <w:rPr>
          <w:bCs/>
        </w:rPr>
      </w:pPr>
      <w:r w:rsidRPr="006710A2">
        <w:rPr>
          <w:bCs/>
          <w:i/>
          <w:u w:val="single"/>
        </w:rPr>
        <w:t>Pseudomonas aeruginosa</w:t>
      </w:r>
    </w:p>
    <w:p w14:paraId="42577A32" w14:textId="1F74925A" w:rsidR="006B1126" w:rsidRPr="00761653" w:rsidRDefault="006B1126" w:rsidP="006B1126">
      <w:pPr>
        <w:widowControl w:val="0"/>
        <w:tabs>
          <w:tab w:val="left" w:pos="1134"/>
        </w:tabs>
        <w:autoSpaceDE w:val="0"/>
        <w:autoSpaceDN w:val="0"/>
        <w:adjustRightInd w:val="0"/>
        <w:ind w:right="49" w:firstLine="709"/>
        <w:contextualSpacing/>
      </w:pPr>
      <w:r w:rsidRPr="00761653">
        <w:t xml:space="preserve">Выбор антибиотиков проводится согласно чувствительности выделенных штаммов. Лечение проводят сочетанием антибиотиков. При инфекциях кровотока, вызванных </w:t>
      </w:r>
      <w:r w:rsidRPr="00761653">
        <w:rPr>
          <w:i/>
        </w:rPr>
        <w:t>P. aeruginosa,</w:t>
      </w:r>
      <w:r w:rsidRPr="00761653">
        <w:t xml:space="preserve"> часто наблюдается диссеминация в легких, и в этих случаях необходимо использовать антибиотики, для которых характерна высокая концентрация в легких. Такими параметрами обладает цефтолозан-тазобактам, который активен против карбапенем-резистентных </w:t>
      </w:r>
      <w:r w:rsidRPr="00761653">
        <w:rPr>
          <w:i/>
        </w:rPr>
        <w:t>P. aeruginosa</w:t>
      </w:r>
      <w:r w:rsidRPr="00761653">
        <w:t xml:space="preserve"> без продукции карбапенемаз</w:t>
      </w:r>
      <w:r>
        <w:t xml:space="preserve"> </w:t>
      </w:r>
      <w:r>
        <w:fldChar w:fldCharType="begin" w:fldLock="1"/>
      </w:r>
      <w:r w:rsidR="00BA7FFC">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[80]","plainTextFormattedCitation":"[80]","previouslyFormattedCitation":"[80]"},"properties":{"noteIndex":0},"schema":"https://github.com/citation-style-language/schema/raw/master/csl-citation.json"}</w:instrText>
      </w:r>
      <w:r>
        <w:fldChar w:fldCharType="separate"/>
      </w:r>
      <w:r w:rsidR="00225D7F" w:rsidRPr="00225D7F">
        <w:rPr>
          <w:noProof/>
        </w:rPr>
        <w:t>[80]</w:t>
      </w:r>
      <w:r>
        <w:fldChar w:fldCharType="end"/>
      </w:r>
      <w:r w:rsidRPr="00761653">
        <w:t>. Препараты для лечения представлены в табл</w:t>
      </w:r>
      <w:r>
        <w:t>ице 3.</w:t>
      </w:r>
      <w:r w:rsidRPr="00761653">
        <w:t xml:space="preserve"> </w:t>
      </w:r>
    </w:p>
    <w:p w14:paraId="30F795A0" w14:textId="370FA96E" w:rsidR="006B1126" w:rsidRPr="00761653" w:rsidRDefault="006B1126" w:rsidP="006B1126">
      <w:pPr>
        <w:ind w:hanging="142"/>
      </w:pPr>
      <w:r w:rsidRPr="00761653">
        <w:t xml:space="preserve">Таблица </w:t>
      </w:r>
      <w:r w:rsidR="006710A2">
        <w:t>7.4.</w:t>
      </w:r>
      <w:r w:rsidRPr="00761653">
        <w:t xml:space="preserve">3. Лечение инфекций, вызванных </w:t>
      </w:r>
      <w:r w:rsidRPr="00761653">
        <w:rPr>
          <w:i/>
        </w:rPr>
        <w:t>Pseudomonas aeruginosa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B1126" w:rsidRPr="00761653" w14:paraId="71921E77" w14:textId="77777777" w:rsidTr="00714673">
        <w:tc>
          <w:tcPr>
            <w:tcW w:w="3510" w:type="dxa"/>
            <w:vAlign w:val="center"/>
          </w:tcPr>
          <w:p w14:paraId="2533DD37" w14:textId="77777777" w:rsidR="006B1126" w:rsidRPr="00761653" w:rsidRDefault="006B1126" w:rsidP="00714673">
            <w:pPr>
              <w:jc w:val="center"/>
              <w:rPr>
                <w:szCs w:val="24"/>
              </w:rPr>
            </w:pPr>
            <w:r w:rsidRPr="00761653">
              <w:rPr>
                <w:szCs w:val="24"/>
              </w:rPr>
              <w:t>Препарат</w:t>
            </w:r>
          </w:p>
        </w:tc>
        <w:tc>
          <w:tcPr>
            <w:tcW w:w="6237" w:type="dxa"/>
            <w:vAlign w:val="center"/>
          </w:tcPr>
          <w:p w14:paraId="51BA4266" w14:textId="77777777" w:rsidR="006B1126" w:rsidRPr="00761653" w:rsidRDefault="006B1126" w:rsidP="00714673">
            <w:pPr>
              <w:jc w:val="center"/>
              <w:rPr>
                <w:szCs w:val="24"/>
              </w:rPr>
            </w:pPr>
            <w:r w:rsidRPr="00761653">
              <w:rPr>
                <w:szCs w:val="24"/>
              </w:rPr>
              <w:t>Доза</w:t>
            </w:r>
          </w:p>
        </w:tc>
      </w:tr>
      <w:tr w:rsidR="006B1126" w:rsidRPr="00265B67" w14:paraId="069F2835" w14:textId="77777777" w:rsidTr="00714673">
        <w:tc>
          <w:tcPr>
            <w:tcW w:w="3510" w:type="dxa"/>
          </w:tcPr>
          <w:p w14:paraId="0DA7AC27" w14:textId="77777777" w:rsidR="006B1126" w:rsidRPr="00761653" w:rsidRDefault="006B1126" w:rsidP="00714673">
            <w:pPr>
              <w:rPr>
                <w:szCs w:val="24"/>
              </w:rPr>
            </w:pPr>
            <w:r w:rsidRPr="00761653">
              <w:rPr>
                <w:szCs w:val="24"/>
              </w:rPr>
              <w:t>Цефтолозан/тазобактам</w:t>
            </w:r>
          </w:p>
        </w:tc>
        <w:tc>
          <w:tcPr>
            <w:tcW w:w="6237" w:type="dxa"/>
          </w:tcPr>
          <w:p w14:paraId="7483FD73" w14:textId="77777777" w:rsidR="006B1126" w:rsidRPr="00761653" w:rsidRDefault="006B1126" w:rsidP="00714673">
            <w:pPr>
              <w:rPr>
                <w:szCs w:val="24"/>
              </w:rPr>
            </w:pPr>
            <w:r w:rsidRPr="00761653">
              <w:rPr>
                <w:szCs w:val="24"/>
              </w:rPr>
              <w:t>1,5 или 3 г каждые 8 часов, инфузия в течение 1 часа (при пневмонии по 3 г х 3 раза)</w:t>
            </w:r>
          </w:p>
        </w:tc>
      </w:tr>
      <w:tr w:rsidR="006B1126" w:rsidRPr="00265B67" w14:paraId="756C5900" w14:textId="77777777" w:rsidTr="00714673">
        <w:tc>
          <w:tcPr>
            <w:tcW w:w="3510" w:type="dxa"/>
          </w:tcPr>
          <w:p w14:paraId="22D61D72" w14:textId="77777777" w:rsidR="006B1126" w:rsidRPr="00761653" w:rsidRDefault="006B1126" w:rsidP="00714673">
            <w:pPr>
              <w:rPr>
                <w:szCs w:val="24"/>
              </w:rPr>
            </w:pPr>
            <w:r w:rsidRPr="00761653">
              <w:rPr>
                <w:szCs w:val="24"/>
              </w:rPr>
              <w:t>Цефтазидим</w:t>
            </w:r>
          </w:p>
        </w:tc>
        <w:tc>
          <w:tcPr>
            <w:tcW w:w="6237" w:type="dxa"/>
          </w:tcPr>
          <w:p w14:paraId="0B346DFE" w14:textId="77777777" w:rsidR="006B1126" w:rsidRPr="00761653" w:rsidRDefault="006B1126" w:rsidP="00714673">
            <w:pPr>
              <w:rPr>
                <w:szCs w:val="24"/>
              </w:rPr>
            </w:pPr>
            <w:r w:rsidRPr="00761653">
              <w:rPr>
                <w:szCs w:val="24"/>
              </w:rPr>
              <w:t>Нагрузочная доза 1-2 г, затем 6 г/сут, непрерывная инфузии в течение 24 ч</w:t>
            </w:r>
          </w:p>
        </w:tc>
      </w:tr>
      <w:tr w:rsidR="006B1126" w:rsidRPr="00975FC1" w14:paraId="17196137" w14:textId="77777777" w:rsidTr="00714673">
        <w:tc>
          <w:tcPr>
            <w:tcW w:w="3510" w:type="dxa"/>
          </w:tcPr>
          <w:p w14:paraId="589F49E3" w14:textId="77777777" w:rsidR="006B1126" w:rsidRPr="00761653" w:rsidRDefault="006B1126" w:rsidP="00714673">
            <w:pPr>
              <w:rPr>
                <w:szCs w:val="24"/>
              </w:rPr>
            </w:pPr>
            <w:r w:rsidRPr="00761653">
              <w:rPr>
                <w:szCs w:val="24"/>
              </w:rPr>
              <w:t>Цефепим</w:t>
            </w:r>
          </w:p>
        </w:tc>
        <w:tc>
          <w:tcPr>
            <w:tcW w:w="6237" w:type="dxa"/>
          </w:tcPr>
          <w:p w14:paraId="71E27117" w14:textId="77777777" w:rsidR="006B1126" w:rsidRPr="00761653" w:rsidRDefault="006B1126" w:rsidP="00714673">
            <w:pPr>
              <w:rPr>
                <w:szCs w:val="24"/>
              </w:rPr>
            </w:pPr>
            <w:r w:rsidRPr="00761653">
              <w:rPr>
                <w:szCs w:val="24"/>
              </w:rPr>
              <w:t>Нагрузочная доза 15 мг/кг в течение 30 мин, затем 6 г/сут посредством непрерывной инфузии в течение 24 часов</w:t>
            </w:r>
          </w:p>
        </w:tc>
      </w:tr>
      <w:tr w:rsidR="006B1126" w:rsidRPr="00975FC1" w14:paraId="3103630E" w14:textId="77777777" w:rsidTr="00714673">
        <w:tc>
          <w:tcPr>
            <w:tcW w:w="3510" w:type="dxa"/>
          </w:tcPr>
          <w:p w14:paraId="43B33726" w14:textId="77777777" w:rsidR="006B1126" w:rsidRPr="00761653" w:rsidRDefault="006B1126" w:rsidP="00714673">
            <w:pPr>
              <w:rPr>
                <w:szCs w:val="24"/>
              </w:rPr>
            </w:pPr>
            <w:r w:rsidRPr="00761653">
              <w:rPr>
                <w:szCs w:val="24"/>
              </w:rPr>
              <w:t>Пиперациллин/тазобактам</w:t>
            </w:r>
          </w:p>
        </w:tc>
        <w:tc>
          <w:tcPr>
            <w:tcW w:w="6237" w:type="dxa"/>
          </w:tcPr>
          <w:p w14:paraId="4D57812C" w14:textId="77777777" w:rsidR="006B1126" w:rsidRPr="00761653" w:rsidRDefault="006B1126" w:rsidP="00714673">
            <w:pPr>
              <w:rPr>
                <w:szCs w:val="24"/>
              </w:rPr>
            </w:pPr>
            <w:r w:rsidRPr="00761653">
              <w:rPr>
                <w:szCs w:val="24"/>
              </w:rPr>
              <w:t>Нагрузочная доза 2,25 г затем 16,2 г/сут посредством непрерывной инфузии в течение 24 часов</w:t>
            </w:r>
          </w:p>
        </w:tc>
      </w:tr>
      <w:tr w:rsidR="006B1126" w:rsidRPr="00975FC1" w14:paraId="37383478" w14:textId="77777777" w:rsidTr="00714673">
        <w:tc>
          <w:tcPr>
            <w:tcW w:w="3510" w:type="dxa"/>
          </w:tcPr>
          <w:p w14:paraId="69FBE367" w14:textId="77777777" w:rsidR="006B1126" w:rsidRPr="00761653" w:rsidRDefault="006B1126" w:rsidP="00714673">
            <w:pPr>
              <w:rPr>
                <w:szCs w:val="24"/>
              </w:rPr>
            </w:pPr>
            <w:r w:rsidRPr="00761653">
              <w:rPr>
                <w:szCs w:val="24"/>
              </w:rPr>
              <w:t>Цефтазидим/авибактам</w:t>
            </w:r>
          </w:p>
        </w:tc>
        <w:tc>
          <w:tcPr>
            <w:tcW w:w="6237" w:type="dxa"/>
          </w:tcPr>
          <w:p w14:paraId="7F4FE604" w14:textId="77777777" w:rsidR="006B1126" w:rsidRPr="00761653" w:rsidRDefault="006B1126" w:rsidP="00714673">
            <w:pPr>
              <w:rPr>
                <w:szCs w:val="24"/>
              </w:rPr>
            </w:pPr>
            <w:r w:rsidRPr="00761653">
              <w:rPr>
                <w:szCs w:val="24"/>
              </w:rPr>
              <w:t>2,5 г каждые 8 часов, продленная инфузия в течение 2 часов</w:t>
            </w:r>
          </w:p>
        </w:tc>
      </w:tr>
      <w:tr w:rsidR="006B1126" w:rsidRPr="00975FC1" w14:paraId="693FA856" w14:textId="77777777" w:rsidTr="00714673">
        <w:tc>
          <w:tcPr>
            <w:tcW w:w="3510" w:type="dxa"/>
          </w:tcPr>
          <w:p w14:paraId="0241B3BE" w14:textId="77777777" w:rsidR="006B1126" w:rsidRPr="00761653" w:rsidRDefault="006B1126" w:rsidP="00714673">
            <w:pPr>
              <w:rPr>
                <w:szCs w:val="24"/>
              </w:rPr>
            </w:pPr>
            <w:r w:rsidRPr="00761653">
              <w:rPr>
                <w:szCs w:val="24"/>
              </w:rPr>
              <w:t>Азтреонам</w:t>
            </w:r>
          </w:p>
        </w:tc>
        <w:tc>
          <w:tcPr>
            <w:tcW w:w="6237" w:type="dxa"/>
          </w:tcPr>
          <w:p w14:paraId="2D9932D4" w14:textId="77777777" w:rsidR="006B1126" w:rsidRPr="00761653" w:rsidRDefault="006B1126" w:rsidP="00714673">
            <w:pPr>
              <w:rPr>
                <w:szCs w:val="24"/>
              </w:rPr>
            </w:pPr>
            <w:r w:rsidRPr="00761653">
              <w:rPr>
                <w:szCs w:val="24"/>
              </w:rPr>
              <w:t>Нагрузочная доза 1-2 г, затем 6 г/сут посредством непрерывной инфузии в течение 24 часов</w:t>
            </w:r>
          </w:p>
        </w:tc>
      </w:tr>
      <w:tr w:rsidR="006B1126" w:rsidRPr="00265B67" w14:paraId="30E94450" w14:textId="77777777" w:rsidTr="00714673">
        <w:tc>
          <w:tcPr>
            <w:tcW w:w="3510" w:type="dxa"/>
          </w:tcPr>
          <w:p w14:paraId="4A29DA5C" w14:textId="77777777" w:rsidR="006B1126" w:rsidRPr="00761653" w:rsidRDefault="006B1126" w:rsidP="00714673">
            <w:pPr>
              <w:rPr>
                <w:szCs w:val="24"/>
              </w:rPr>
            </w:pPr>
            <w:r w:rsidRPr="00761653">
              <w:rPr>
                <w:szCs w:val="24"/>
              </w:rPr>
              <w:lastRenderedPageBreak/>
              <w:t>Дорипенем</w:t>
            </w:r>
          </w:p>
        </w:tc>
        <w:tc>
          <w:tcPr>
            <w:tcW w:w="6237" w:type="dxa"/>
          </w:tcPr>
          <w:p w14:paraId="42AAE393" w14:textId="77777777" w:rsidR="006B1126" w:rsidRPr="00761653" w:rsidRDefault="006B1126" w:rsidP="00714673">
            <w:pPr>
              <w:rPr>
                <w:szCs w:val="24"/>
              </w:rPr>
            </w:pPr>
            <w:r w:rsidRPr="00761653">
              <w:rPr>
                <w:szCs w:val="24"/>
              </w:rPr>
              <w:t>1 г каждые 8 часов, инфузия в течение 4 часов</w:t>
            </w:r>
          </w:p>
        </w:tc>
      </w:tr>
      <w:tr w:rsidR="006B1126" w:rsidRPr="00265B67" w14:paraId="4D7B0EF3" w14:textId="77777777" w:rsidTr="00714673">
        <w:tc>
          <w:tcPr>
            <w:tcW w:w="3510" w:type="dxa"/>
          </w:tcPr>
          <w:p w14:paraId="7FEE7698" w14:textId="77777777" w:rsidR="006B1126" w:rsidRPr="00761653" w:rsidRDefault="006B1126" w:rsidP="00714673">
            <w:pPr>
              <w:rPr>
                <w:szCs w:val="24"/>
              </w:rPr>
            </w:pPr>
            <w:r w:rsidRPr="00761653">
              <w:rPr>
                <w:szCs w:val="24"/>
              </w:rPr>
              <w:t>Меропенем</w:t>
            </w:r>
          </w:p>
        </w:tc>
        <w:tc>
          <w:tcPr>
            <w:tcW w:w="6237" w:type="dxa"/>
          </w:tcPr>
          <w:p w14:paraId="7A4894A2" w14:textId="77777777" w:rsidR="006B1126" w:rsidRPr="00761653" w:rsidRDefault="006B1126" w:rsidP="00714673">
            <w:pPr>
              <w:rPr>
                <w:szCs w:val="24"/>
              </w:rPr>
            </w:pPr>
            <w:r w:rsidRPr="00761653">
              <w:rPr>
                <w:szCs w:val="24"/>
              </w:rPr>
              <w:t>Нагрузочная доза 1-2 г, затем по 2 г каждые 8 часов, продленная инфузия в течение 3 часов</w:t>
            </w:r>
          </w:p>
        </w:tc>
      </w:tr>
      <w:tr w:rsidR="006B1126" w:rsidRPr="00975FC1" w14:paraId="5888174F" w14:textId="77777777" w:rsidTr="00714673">
        <w:tc>
          <w:tcPr>
            <w:tcW w:w="3510" w:type="dxa"/>
          </w:tcPr>
          <w:p w14:paraId="04F9631D" w14:textId="77777777" w:rsidR="006B1126" w:rsidRPr="00761653" w:rsidRDefault="006B1126" w:rsidP="00714673">
            <w:pPr>
              <w:rPr>
                <w:szCs w:val="24"/>
              </w:rPr>
            </w:pPr>
            <w:r w:rsidRPr="00761653">
              <w:rPr>
                <w:szCs w:val="24"/>
              </w:rPr>
              <w:t>Имипенем</w:t>
            </w:r>
          </w:p>
        </w:tc>
        <w:tc>
          <w:tcPr>
            <w:tcW w:w="6237" w:type="dxa"/>
          </w:tcPr>
          <w:p w14:paraId="6E5BF30C" w14:textId="77777777" w:rsidR="006B1126" w:rsidRPr="00761653" w:rsidRDefault="006B1126" w:rsidP="00714673">
            <w:pPr>
              <w:rPr>
                <w:szCs w:val="24"/>
              </w:rPr>
            </w:pPr>
            <w:r w:rsidRPr="00761653">
              <w:rPr>
                <w:szCs w:val="24"/>
              </w:rPr>
              <w:t>1 г каждые 6-8 часов, в/в</w:t>
            </w:r>
          </w:p>
        </w:tc>
      </w:tr>
      <w:tr w:rsidR="006B1126" w:rsidRPr="00975FC1" w14:paraId="52FC3171" w14:textId="77777777" w:rsidTr="00714673">
        <w:tc>
          <w:tcPr>
            <w:tcW w:w="3510" w:type="dxa"/>
          </w:tcPr>
          <w:p w14:paraId="77F30697" w14:textId="77777777" w:rsidR="006B1126" w:rsidRPr="00761653" w:rsidRDefault="006B1126" w:rsidP="00714673">
            <w:pPr>
              <w:rPr>
                <w:szCs w:val="24"/>
              </w:rPr>
            </w:pPr>
            <w:r w:rsidRPr="00761653">
              <w:rPr>
                <w:szCs w:val="24"/>
              </w:rPr>
              <w:t>Фосфомицин</w:t>
            </w:r>
          </w:p>
        </w:tc>
        <w:tc>
          <w:tcPr>
            <w:tcW w:w="6237" w:type="dxa"/>
          </w:tcPr>
          <w:p w14:paraId="4150C757" w14:textId="77777777" w:rsidR="006B1126" w:rsidRPr="00761653" w:rsidRDefault="006B1126" w:rsidP="00714673">
            <w:pPr>
              <w:rPr>
                <w:szCs w:val="24"/>
              </w:rPr>
            </w:pPr>
            <w:r w:rsidRPr="00761653">
              <w:rPr>
                <w:szCs w:val="24"/>
              </w:rPr>
              <w:t xml:space="preserve">Нагрузочная доза 2-4 г, затем по 16-24 г посредством непрерывной инфузии в течение 24 часов </w:t>
            </w:r>
          </w:p>
        </w:tc>
      </w:tr>
      <w:tr w:rsidR="006B1126" w:rsidRPr="00975FC1" w14:paraId="1D45BBF1" w14:textId="77777777" w:rsidTr="00714673">
        <w:tc>
          <w:tcPr>
            <w:tcW w:w="3510" w:type="dxa"/>
          </w:tcPr>
          <w:p w14:paraId="300197EA" w14:textId="77777777" w:rsidR="006B1126" w:rsidRPr="00761653" w:rsidRDefault="006B1126" w:rsidP="00714673">
            <w:pPr>
              <w:rPr>
                <w:szCs w:val="24"/>
              </w:rPr>
            </w:pPr>
            <w:r w:rsidRPr="00761653">
              <w:rPr>
                <w:szCs w:val="24"/>
              </w:rPr>
              <w:t>Колистин</w:t>
            </w:r>
          </w:p>
        </w:tc>
        <w:tc>
          <w:tcPr>
            <w:tcW w:w="6237" w:type="dxa"/>
          </w:tcPr>
          <w:p w14:paraId="482DBA02" w14:textId="77777777" w:rsidR="006B1126" w:rsidRPr="00761653" w:rsidRDefault="006B1126" w:rsidP="00714673">
            <w:pPr>
              <w:rPr>
                <w:szCs w:val="24"/>
              </w:rPr>
            </w:pPr>
            <w:r w:rsidRPr="00761653">
              <w:rPr>
                <w:szCs w:val="24"/>
              </w:rPr>
              <w:t>Нагрузочная доза 6-9 млн МЕ, затем по 4,5 млн МЕ каждые 12 часов</w:t>
            </w:r>
          </w:p>
        </w:tc>
      </w:tr>
      <w:tr w:rsidR="006B1126" w:rsidRPr="00265B67" w14:paraId="30682FAF" w14:textId="77777777" w:rsidTr="00714673">
        <w:tc>
          <w:tcPr>
            <w:tcW w:w="3510" w:type="dxa"/>
          </w:tcPr>
          <w:p w14:paraId="1747BE88" w14:textId="77777777" w:rsidR="006B1126" w:rsidRPr="00761653" w:rsidRDefault="006B1126" w:rsidP="00714673">
            <w:pPr>
              <w:rPr>
                <w:szCs w:val="24"/>
              </w:rPr>
            </w:pPr>
            <w:r w:rsidRPr="00761653">
              <w:rPr>
                <w:szCs w:val="24"/>
              </w:rPr>
              <w:t>Полимиксин В</w:t>
            </w:r>
          </w:p>
        </w:tc>
        <w:tc>
          <w:tcPr>
            <w:tcW w:w="6237" w:type="dxa"/>
          </w:tcPr>
          <w:p w14:paraId="366520CD" w14:textId="77777777" w:rsidR="006B1126" w:rsidRPr="00761653" w:rsidRDefault="006B1126" w:rsidP="00714673">
            <w:pPr>
              <w:rPr>
                <w:szCs w:val="24"/>
              </w:rPr>
            </w:pPr>
            <w:r w:rsidRPr="00761653">
              <w:rPr>
                <w:szCs w:val="24"/>
              </w:rPr>
              <w:t xml:space="preserve">Нагрузочная доза 2-2,5 мг/кг, инфузия в течение 2 часов, далее по </w:t>
            </w:r>
          </w:p>
          <w:p w14:paraId="60A8378E" w14:textId="77777777" w:rsidR="006B1126" w:rsidRPr="00761653" w:rsidRDefault="006B1126" w:rsidP="00714673">
            <w:pPr>
              <w:rPr>
                <w:szCs w:val="24"/>
              </w:rPr>
            </w:pPr>
            <w:r w:rsidRPr="00761653">
              <w:rPr>
                <w:szCs w:val="24"/>
              </w:rPr>
              <w:t>1,25-1,5 мг/кг каждые 12 часов, инфузия в течение 1 часа</w:t>
            </w:r>
          </w:p>
        </w:tc>
      </w:tr>
      <w:tr w:rsidR="006B1126" w:rsidRPr="00265B67" w14:paraId="77DE75D6" w14:textId="77777777" w:rsidTr="00714673">
        <w:tc>
          <w:tcPr>
            <w:tcW w:w="3510" w:type="dxa"/>
          </w:tcPr>
          <w:p w14:paraId="27FA1209" w14:textId="77777777" w:rsidR="006B1126" w:rsidRPr="00761653" w:rsidRDefault="006B1126" w:rsidP="00714673">
            <w:pPr>
              <w:rPr>
                <w:szCs w:val="24"/>
              </w:rPr>
            </w:pPr>
            <w:r w:rsidRPr="00761653">
              <w:rPr>
                <w:szCs w:val="24"/>
              </w:rPr>
              <w:t>Ципрофлоксацин</w:t>
            </w:r>
          </w:p>
        </w:tc>
        <w:tc>
          <w:tcPr>
            <w:tcW w:w="6237" w:type="dxa"/>
          </w:tcPr>
          <w:p w14:paraId="3F92A55B" w14:textId="77777777" w:rsidR="006B1126" w:rsidRPr="00761653" w:rsidRDefault="006B1126" w:rsidP="00714673">
            <w:pPr>
              <w:rPr>
                <w:szCs w:val="24"/>
              </w:rPr>
            </w:pPr>
            <w:r w:rsidRPr="00761653">
              <w:rPr>
                <w:szCs w:val="24"/>
              </w:rPr>
              <w:t>400 мг каждые 8 часов, инфузия в течение 30-60 минут</w:t>
            </w:r>
          </w:p>
        </w:tc>
      </w:tr>
      <w:tr w:rsidR="006B1126" w:rsidRPr="00265B67" w14:paraId="2D8C4696" w14:textId="77777777" w:rsidTr="00714673">
        <w:tc>
          <w:tcPr>
            <w:tcW w:w="3510" w:type="dxa"/>
          </w:tcPr>
          <w:p w14:paraId="2C5B9485" w14:textId="77777777" w:rsidR="006B1126" w:rsidRPr="00761653" w:rsidRDefault="006B1126" w:rsidP="00714673">
            <w:pPr>
              <w:rPr>
                <w:szCs w:val="24"/>
              </w:rPr>
            </w:pPr>
            <w:r w:rsidRPr="00761653">
              <w:rPr>
                <w:szCs w:val="24"/>
              </w:rPr>
              <w:t>Левофлоксацин</w:t>
            </w:r>
          </w:p>
        </w:tc>
        <w:tc>
          <w:tcPr>
            <w:tcW w:w="6237" w:type="dxa"/>
          </w:tcPr>
          <w:p w14:paraId="505D7CDF" w14:textId="77777777" w:rsidR="006B1126" w:rsidRPr="00761653" w:rsidRDefault="006B1126" w:rsidP="00714673">
            <w:pPr>
              <w:rPr>
                <w:szCs w:val="24"/>
              </w:rPr>
            </w:pPr>
            <w:r w:rsidRPr="00761653">
              <w:rPr>
                <w:szCs w:val="24"/>
              </w:rPr>
              <w:t>500 мг каждые 12 часов, инфузия в течение 50-60 минут</w:t>
            </w:r>
          </w:p>
        </w:tc>
      </w:tr>
      <w:tr w:rsidR="006B1126" w:rsidRPr="00265B67" w14:paraId="70EC3414" w14:textId="77777777" w:rsidTr="00714673">
        <w:tc>
          <w:tcPr>
            <w:tcW w:w="3510" w:type="dxa"/>
          </w:tcPr>
          <w:p w14:paraId="797CBE95" w14:textId="77777777" w:rsidR="006B1126" w:rsidRPr="00761653" w:rsidRDefault="006B1126" w:rsidP="00714673">
            <w:pPr>
              <w:rPr>
                <w:szCs w:val="24"/>
              </w:rPr>
            </w:pPr>
            <w:r w:rsidRPr="00761653">
              <w:rPr>
                <w:szCs w:val="24"/>
              </w:rPr>
              <w:t>Тобрамицин</w:t>
            </w:r>
          </w:p>
        </w:tc>
        <w:tc>
          <w:tcPr>
            <w:tcW w:w="6237" w:type="dxa"/>
          </w:tcPr>
          <w:p w14:paraId="41A84F04" w14:textId="77777777" w:rsidR="006B1126" w:rsidRPr="00761653" w:rsidRDefault="006B1126" w:rsidP="00714673">
            <w:pPr>
              <w:rPr>
                <w:szCs w:val="24"/>
              </w:rPr>
            </w:pPr>
            <w:r w:rsidRPr="00761653">
              <w:rPr>
                <w:szCs w:val="24"/>
              </w:rPr>
              <w:t>8 мг/кг 1 раз/сут, инфузия в течение 60 мин</w:t>
            </w:r>
          </w:p>
        </w:tc>
      </w:tr>
      <w:tr w:rsidR="006B1126" w:rsidRPr="00265B67" w14:paraId="7B64F81D" w14:textId="77777777" w:rsidTr="00714673">
        <w:tc>
          <w:tcPr>
            <w:tcW w:w="3510" w:type="dxa"/>
          </w:tcPr>
          <w:p w14:paraId="3096C520" w14:textId="77777777" w:rsidR="006B1126" w:rsidRPr="00761653" w:rsidRDefault="006B1126" w:rsidP="00714673">
            <w:pPr>
              <w:rPr>
                <w:szCs w:val="24"/>
              </w:rPr>
            </w:pPr>
            <w:r w:rsidRPr="00761653">
              <w:rPr>
                <w:szCs w:val="24"/>
              </w:rPr>
              <w:t>Амикацин</w:t>
            </w:r>
          </w:p>
        </w:tc>
        <w:tc>
          <w:tcPr>
            <w:tcW w:w="6237" w:type="dxa"/>
          </w:tcPr>
          <w:p w14:paraId="231518CB" w14:textId="77777777" w:rsidR="006B1126" w:rsidRPr="00761653" w:rsidRDefault="006B1126" w:rsidP="00714673">
            <w:pPr>
              <w:rPr>
                <w:szCs w:val="24"/>
              </w:rPr>
            </w:pPr>
            <w:r w:rsidRPr="00761653">
              <w:rPr>
                <w:szCs w:val="24"/>
              </w:rPr>
              <w:t xml:space="preserve">25 мг/кг 1 раз/сут, инфузия в течение 60 минут </w:t>
            </w:r>
          </w:p>
        </w:tc>
      </w:tr>
    </w:tbl>
    <w:p w14:paraId="6B8F5E9A" w14:textId="77777777" w:rsidR="006B1126" w:rsidRPr="006710A2" w:rsidRDefault="006B1126" w:rsidP="006B1126">
      <w:pPr>
        <w:widowControl w:val="0"/>
        <w:tabs>
          <w:tab w:val="left" w:pos="1134"/>
        </w:tabs>
        <w:autoSpaceDE w:val="0"/>
        <w:autoSpaceDN w:val="0"/>
        <w:adjustRightInd w:val="0"/>
        <w:ind w:right="49" w:firstLine="709"/>
        <w:contextualSpacing/>
        <w:rPr>
          <w:bCs/>
        </w:rPr>
      </w:pPr>
      <w:r w:rsidRPr="006710A2">
        <w:rPr>
          <w:bCs/>
          <w:i/>
          <w:u w:val="single"/>
        </w:rPr>
        <w:t>Acinetobacter baumannii</w:t>
      </w:r>
    </w:p>
    <w:p w14:paraId="762D33B3" w14:textId="77777777" w:rsidR="006B1126" w:rsidRPr="00761653" w:rsidRDefault="006B1126" w:rsidP="006B1126">
      <w:pPr>
        <w:widowControl w:val="0"/>
        <w:tabs>
          <w:tab w:val="left" w:pos="1134"/>
        </w:tabs>
        <w:autoSpaceDE w:val="0"/>
        <w:autoSpaceDN w:val="0"/>
        <w:adjustRightInd w:val="0"/>
        <w:ind w:right="49" w:firstLine="709"/>
        <w:contextualSpacing/>
      </w:pPr>
      <w:r w:rsidRPr="00761653">
        <w:t xml:space="preserve">Характерным является ограничение потенциально активных </w:t>
      </w:r>
      <w:r w:rsidRPr="00761653">
        <w:rPr>
          <w:i/>
        </w:rPr>
        <w:t xml:space="preserve">in vitro </w:t>
      </w:r>
      <w:r w:rsidRPr="00761653">
        <w:t xml:space="preserve">препаратов, наличие высокой резистентности. Для лечения используют цефоперазон/сульбактам, карбапенем антипсевдомонадный, полимиксин или колистин, тигециклин (дозирование как при инфекции, вызванной </w:t>
      </w:r>
      <w:r w:rsidRPr="00761653">
        <w:rPr>
          <w:i/>
        </w:rPr>
        <w:t>P. aeruginosa</w:t>
      </w:r>
      <w:r w:rsidRPr="00761653">
        <w:t>).</w:t>
      </w:r>
    </w:p>
    <w:p w14:paraId="3F2560AD" w14:textId="77777777" w:rsidR="006B1126" w:rsidRPr="006710A2" w:rsidRDefault="006B1126" w:rsidP="006B1126">
      <w:pPr>
        <w:widowControl w:val="0"/>
        <w:tabs>
          <w:tab w:val="left" w:pos="1134"/>
        </w:tabs>
        <w:autoSpaceDE w:val="0"/>
        <w:autoSpaceDN w:val="0"/>
        <w:adjustRightInd w:val="0"/>
        <w:ind w:right="49" w:firstLine="709"/>
        <w:contextualSpacing/>
        <w:rPr>
          <w:bCs/>
        </w:rPr>
      </w:pPr>
      <w:r w:rsidRPr="006710A2">
        <w:rPr>
          <w:bCs/>
          <w:i/>
          <w:u w:val="single"/>
        </w:rPr>
        <w:t>Stenotrophomonas maltophilia</w:t>
      </w:r>
    </w:p>
    <w:p w14:paraId="17FA9010" w14:textId="77777777" w:rsidR="006B1126" w:rsidRPr="00761653" w:rsidRDefault="006B1126" w:rsidP="006B1126">
      <w:pPr>
        <w:widowControl w:val="0"/>
        <w:tabs>
          <w:tab w:val="left" w:pos="1134"/>
        </w:tabs>
        <w:autoSpaceDE w:val="0"/>
        <w:autoSpaceDN w:val="0"/>
        <w:adjustRightInd w:val="0"/>
        <w:ind w:right="49" w:firstLine="709"/>
        <w:contextualSpacing/>
      </w:pPr>
      <w:r w:rsidRPr="00761653">
        <w:t>Препарат выбора – триметоприм/сульфаметоксазол, расчет дозы проводят по триметоприму 15 мг/кг/сутки.</w:t>
      </w:r>
    </w:p>
    <w:p w14:paraId="027566AB" w14:textId="77777777" w:rsidR="006B1126" w:rsidRPr="00761653" w:rsidRDefault="006B1126" w:rsidP="006B1126">
      <w:pPr>
        <w:widowControl w:val="0"/>
        <w:tabs>
          <w:tab w:val="left" w:pos="317"/>
          <w:tab w:val="left" w:pos="8715"/>
        </w:tabs>
        <w:autoSpaceDE w:val="0"/>
        <w:autoSpaceDN w:val="0"/>
        <w:adjustRightInd w:val="0"/>
        <w:ind w:right="49" w:firstLine="709"/>
        <w:contextualSpacing/>
        <w:rPr>
          <w:b/>
          <w:iCs/>
        </w:rPr>
      </w:pPr>
      <w:r w:rsidRPr="00761653">
        <w:rPr>
          <w:b/>
        </w:rPr>
        <w:t>Грамположительные возбудители</w:t>
      </w:r>
    </w:p>
    <w:p w14:paraId="6CF07214" w14:textId="77777777" w:rsidR="006B1126" w:rsidRPr="006710A2" w:rsidRDefault="006B1126" w:rsidP="006B1126">
      <w:pPr>
        <w:widowControl w:val="0"/>
        <w:tabs>
          <w:tab w:val="left" w:pos="317"/>
          <w:tab w:val="left" w:pos="8715"/>
        </w:tabs>
        <w:autoSpaceDE w:val="0"/>
        <w:autoSpaceDN w:val="0"/>
        <w:adjustRightInd w:val="0"/>
        <w:ind w:right="49" w:firstLine="709"/>
        <w:contextualSpacing/>
        <w:rPr>
          <w:i/>
          <w:iCs/>
          <w:u w:val="single"/>
        </w:rPr>
      </w:pPr>
      <w:r w:rsidRPr="006710A2">
        <w:rPr>
          <w:i/>
          <w:iCs/>
          <w:u w:val="single"/>
        </w:rPr>
        <w:t>Коагулазонегативные стафилококки</w:t>
      </w:r>
    </w:p>
    <w:p w14:paraId="5F555FCE" w14:textId="6EE3AB4A" w:rsidR="006B1126" w:rsidRPr="00761653" w:rsidRDefault="006B1126" w:rsidP="006B1126">
      <w:pPr>
        <w:widowControl w:val="0"/>
        <w:tabs>
          <w:tab w:val="left" w:pos="317"/>
          <w:tab w:val="left" w:pos="8715"/>
        </w:tabs>
        <w:autoSpaceDE w:val="0"/>
        <w:autoSpaceDN w:val="0"/>
        <w:adjustRightInd w:val="0"/>
        <w:ind w:right="49" w:firstLine="709"/>
        <w:contextualSpacing/>
        <w:rPr>
          <w:bCs/>
        </w:rPr>
      </w:pPr>
      <w:r w:rsidRPr="00761653">
        <w:rPr>
          <w:bCs/>
        </w:rPr>
        <w:t>Явялются причиной бактериемий (2</w:t>
      </w:r>
      <w:r w:rsidR="006710A2">
        <w:rPr>
          <w:bCs/>
        </w:rPr>
        <w:t>-</w:t>
      </w:r>
      <w:r w:rsidRPr="00761653">
        <w:rPr>
          <w:bCs/>
        </w:rPr>
        <w:t xml:space="preserve">е место) и катетер-ассоциированных инфекций. Подтверждают инфекцию двумя положительными гемокультурами. Около 80% штаммов устойчивые к оксациллину. Препарат выбора для лечения – ванкомицин. </w:t>
      </w:r>
    </w:p>
    <w:p w14:paraId="69493A06" w14:textId="77777777" w:rsidR="006B1126" w:rsidRPr="006710A2" w:rsidRDefault="006B1126" w:rsidP="006B1126">
      <w:pPr>
        <w:widowControl w:val="0"/>
        <w:tabs>
          <w:tab w:val="left" w:pos="317"/>
          <w:tab w:val="left" w:pos="8715"/>
        </w:tabs>
        <w:autoSpaceDE w:val="0"/>
        <w:autoSpaceDN w:val="0"/>
        <w:adjustRightInd w:val="0"/>
        <w:ind w:right="49" w:firstLine="709"/>
        <w:contextualSpacing/>
        <w:rPr>
          <w:u w:val="single"/>
        </w:rPr>
      </w:pPr>
      <w:r w:rsidRPr="006710A2">
        <w:rPr>
          <w:i/>
          <w:u w:val="single"/>
        </w:rPr>
        <w:t>Enterococcus</w:t>
      </w:r>
      <w:r w:rsidRPr="006710A2">
        <w:rPr>
          <w:u w:val="single"/>
        </w:rPr>
        <w:t xml:space="preserve"> spp. </w:t>
      </w:r>
    </w:p>
    <w:p w14:paraId="3943F05E" w14:textId="77777777" w:rsidR="006B1126" w:rsidRPr="00761653" w:rsidRDefault="006B1126" w:rsidP="006B1126">
      <w:pPr>
        <w:widowControl w:val="0"/>
        <w:tabs>
          <w:tab w:val="left" w:pos="317"/>
          <w:tab w:val="left" w:pos="8715"/>
        </w:tabs>
        <w:autoSpaceDE w:val="0"/>
        <w:autoSpaceDN w:val="0"/>
        <w:adjustRightInd w:val="0"/>
        <w:ind w:right="49" w:firstLine="709"/>
        <w:contextualSpacing/>
        <w:rPr>
          <w:bCs/>
        </w:rPr>
      </w:pPr>
      <w:r>
        <w:rPr>
          <w:bCs/>
        </w:rPr>
        <w:t xml:space="preserve">У гематологических пациентов в основном вызывают </w:t>
      </w:r>
      <w:r w:rsidRPr="00761653">
        <w:rPr>
          <w:bCs/>
        </w:rPr>
        <w:t xml:space="preserve">инфекции кровотока, далее следуют инфекции мочевыводящих путей, редко – эндокардиты. Штаммы </w:t>
      </w:r>
      <w:r w:rsidRPr="00761653">
        <w:rPr>
          <w:bCs/>
          <w:i/>
        </w:rPr>
        <w:t>E. faecium</w:t>
      </w:r>
      <w:r w:rsidRPr="00761653">
        <w:rPr>
          <w:bCs/>
        </w:rPr>
        <w:t xml:space="preserve"> (70%) преобладают над E</w:t>
      </w:r>
      <w:r w:rsidRPr="00761653">
        <w:rPr>
          <w:bCs/>
          <w:i/>
        </w:rPr>
        <w:t>. faecalis</w:t>
      </w:r>
      <w:r w:rsidRPr="00761653">
        <w:rPr>
          <w:bCs/>
        </w:rPr>
        <w:t xml:space="preserve"> (30%). Препарат выбора в лечении инфекций, вызванных E. faecalis - ампициллин (97% чувствительные). Антибиотикорезистентность более высокая среди </w:t>
      </w:r>
      <w:r w:rsidRPr="00761653">
        <w:rPr>
          <w:bCs/>
          <w:i/>
        </w:rPr>
        <w:t xml:space="preserve">E. faecium </w:t>
      </w:r>
      <w:r w:rsidRPr="00761653">
        <w:rPr>
          <w:bCs/>
        </w:rPr>
        <w:t xml:space="preserve">- около 15% устойчивые к ванкомицину. При выделении ванкомицин-резистентных </w:t>
      </w:r>
      <w:r w:rsidRPr="00761653">
        <w:rPr>
          <w:bCs/>
          <w:i/>
        </w:rPr>
        <w:t>E. faecium</w:t>
      </w:r>
      <w:r w:rsidRPr="00761653">
        <w:rPr>
          <w:bCs/>
        </w:rPr>
        <w:t xml:space="preserve"> из гемокультуры препаратами выбора являются даптомицин (доза </w:t>
      </w:r>
      <w:r w:rsidRPr="00761653">
        <w:rPr>
          <w:bCs/>
        </w:rPr>
        <w:lastRenderedPageBreak/>
        <w:t>10-12 мг/кг/сутки), линезолид.</w:t>
      </w:r>
    </w:p>
    <w:p w14:paraId="7E69071C" w14:textId="77777777" w:rsidR="006B1126" w:rsidRPr="006710A2" w:rsidRDefault="006B1126" w:rsidP="006B1126">
      <w:pPr>
        <w:widowControl w:val="0"/>
        <w:tabs>
          <w:tab w:val="left" w:pos="317"/>
          <w:tab w:val="left" w:pos="8715"/>
        </w:tabs>
        <w:autoSpaceDE w:val="0"/>
        <w:autoSpaceDN w:val="0"/>
        <w:adjustRightInd w:val="0"/>
        <w:ind w:right="49" w:firstLine="709"/>
        <w:contextualSpacing/>
        <w:rPr>
          <w:i/>
          <w:u w:val="single"/>
        </w:rPr>
      </w:pPr>
      <w:r w:rsidRPr="006710A2">
        <w:rPr>
          <w:i/>
          <w:u w:val="single"/>
        </w:rPr>
        <w:t>Staphylococcus aureus</w:t>
      </w:r>
    </w:p>
    <w:p w14:paraId="1E42A985" w14:textId="77777777" w:rsidR="006B1126" w:rsidRPr="00761653" w:rsidRDefault="006B1126" w:rsidP="006B1126">
      <w:pPr>
        <w:widowControl w:val="0"/>
        <w:tabs>
          <w:tab w:val="left" w:pos="317"/>
          <w:tab w:val="left" w:pos="8715"/>
        </w:tabs>
        <w:autoSpaceDE w:val="0"/>
        <w:autoSpaceDN w:val="0"/>
        <w:adjustRightInd w:val="0"/>
        <w:ind w:right="49" w:firstLine="709"/>
        <w:contextualSpacing/>
        <w:rPr>
          <w:bCs/>
        </w:rPr>
      </w:pPr>
      <w:r>
        <w:rPr>
          <w:bCs/>
        </w:rPr>
        <w:t xml:space="preserve">У гематологических пациентов могут быть причиной </w:t>
      </w:r>
      <w:r w:rsidRPr="00761653">
        <w:rPr>
          <w:bCs/>
        </w:rPr>
        <w:t>инфекции кровотока, пневмонии, инфекции к</w:t>
      </w:r>
      <w:r>
        <w:rPr>
          <w:bCs/>
        </w:rPr>
        <w:t>ожи и мягких тканей, эндокардита</w:t>
      </w:r>
      <w:r w:rsidRPr="00761653">
        <w:rPr>
          <w:bCs/>
        </w:rPr>
        <w:t>. Около 20%-30% штаммов являются устойчивыми к оксациллину. Антибиотики, используемые для лечения указаны в таблице 4. При тяжелом течении инфекции в отдельных случаях сочетают даптомицин с линезолидом. Длительность лечения не менее 2-х недель.</w:t>
      </w:r>
    </w:p>
    <w:p w14:paraId="7E6E1FF7" w14:textId="77777777" w:rsidR="006B1126" w:rsidRPr="00761653" w:rsidRDefault="006B1126" w:rsidP="006B1126">
      <w:pPr>
        <w:widowControl w:val="0"/>
        <w:tabs>
          <w:tab w:val="left" w:pos="317"/>
          <w:tab w:val="left" w:pos="8715"/>
        </w:tabs>
        <w:autoSpaceDE w:val="0"/>
        <w:autoSpaceDN w:val="0"/>
        <w:adjustRightInd w:val="0"/>
        <w:ind w:right="49" w:firstLine="709"/>
        <w:contextualSpacing/>
        <w:rPr>
          <w:bCs/>
        </w:rPr>
      </w:pPr>
      <w:r w:rsidRPr="00761653">
        <w:rPr>
          <w:bCs/>
        </w:rPr>
        <w:t xml:space="preserve">Другие грамположительные бактерии редко вызывают инфекции, лечение их </w:t>
      </w:r>
      <w:r>
        <w:rPr>
          <w:bCs/>
        </w:rPr>
        <w:t xml:space="preserve">такое же, </w:t>
      </w:r>
      <w:r w:rsidRPr="00761653">
        <w:rPr>
          <w:bCs/>
        </w:rPr>
        <w:t xml:space="preserve">как у других категорий </w:t>
      </w:r>
      <w:r>
        <w:rPr>
          <w:bCs/>
        </w:rPr>
        <w:t>пациентов.</w:t>
      </w:r>
    </w:p>
    <w:p w14:paraId="61CD3FF6" w14:textId="52C08F92" w:rsidR="006B1126" w:rsidRPr="00761653" w:rsidRDefault="006B1126" w:rsidP="006B1126">
      <w:pPr>
        <w:ind w:hanging="142"/>
        <w:rPr>
          <w:i/>
        </w:rPr>
      </w:pPr>
      <w:r w:rsidRPr="00761653">
        <w:t xml:space="preserve">Таблица </w:t>
      </w:r>
      <w:r w:rsidR="006710A2">
        <w:t>7.4.</w:t>
      </w:r>
      <w:r w:rsidRPr="00761653">
        <w:t xml:space="preserve">4. Лечение инфекций, вызванных </w:t>
      </w:r>
      <w:r w:rsidRPr="00761653">
        <w:rPr>
          <w:i/>
        </w:rPr>
        <w:t xml:space="preserve">Staphylococcus aureus </w:t>
      </w:r>
      <w:r w:rsidRPr="00761653">
        <w:t>и</w:t>
      </w:r>
      <w:r w:rsidRPr="00761653">
        <w:rPr>
          <w:i/>
        </w:rPr>
        <w:t xml:space="preserve"> Enterococcus faecium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4395"/>
      </w:tblGrid>
      <w:tr w:rsidR="006B1126" w:rsidRPr="00761653" w14:paraId="6BFFC3E8" w14:textId="77777777" w:rsidTr="00714673">
        <w:tc>
          <w:tcPr>
            <w:tcW w:w="2376" w:type="dxa"/>
            <w:vAlign w:val="center"/>
          </w:tcPr>
          <w:p w14:paraId="1A1BBCAD" w14:textId="77777777" w:rsidR="006B1126" w:rsidRPr="00761653" w:rsidRDefault="006B1126" w:rsidP="00714673">
            <w:pPr>
              <w:jc w:val="center"/>
              <w:rPr>
                <w:szCs w:val="24"/>
              </w:rPr>
            </w:pPr>
            <w:r w:rsidRPr="00761653">
              <w:rPr>
                <w:szCs w:val="24"/>
              </w:rPr>
              <w:t>Микроорганизм</w:t>
            </w:r>
          </w:p>
        </w:tc>
        <w:tc>
          <w:tcPr>
            <w:tcW w:w="2835" w:type="dxa"/>
            <w:vAlign w:val="center"/>
          </w:tcPr>
          <w:p w14:paraId="3521F970" w14:textId="77777777" w:rsidR="006B1126" w:rsidRPr="00761653" w:rsidRDefault="006B1126" w:rsidP="00714673">
            <w:pPr>
              <w:jc w:val="center"/>
              <w:rPr>
                <w:szCs w:val="24"/>
              </w:rPr>
            </w:pPr>
            <w:r w:rsidRPr="00761653">
              <w:rPr>
                <w:szCs w:val="24"/>
              </w:rPr>
              <w:t>Препарат</w:t>
            </w:r>
          </w:p>
        </w:tc>
        <w:tc>
          <w:tcPr>
            <w:tcW w:w="4395" w:type="dxa"/>
            <w:vAlign w:val="center"/>
          </w:tcPr>
          <w:p w14:paraId="736B0730" w14:textId="77777777" w:rsidR="006B1126" w:rsidRPr="00761653" w:rsidRDefault="006B1126" w:rsidP="00714673">
            <w:pPr>
              <w:jc w:val="center"/>
              <w:rPr>
                <w:szCs w:val="24"/>
              </w:rPr>
            </w:pPr>
            <w:r w:rsidRPr="00761653">
              <w:rPr>
                <w:szCs w:val="24"/>
              </w:rPr>
              <w:t>Доза</w:t>
            </w:r>
          </w:p>
        </w:tc>
      </w:tr>
      <w:tr w:rsidR="006B1126" w:rsidRPr="00975FC1" w14:paraId="68BB5145" w14:textId="77777777" w:rsidTr="00714673">
        <w:tc>
          <w:tcPr>
            <w:tcW w:w="2376" w:type="dxa"/>
            <w:vMerge w:val="restart"/>
          </w:tcPr>
          <w:p w14:paraId="4E0B84B4" w14:textId="77777777" w:rsidR="006B1126" w:rsidRPr="00761653" w:rsidRDefault="006B1126" w:rsidP="00714673">
            <w:pPr>
              <w:rPr>
                <w:szCs w:val="24"/>
                <w:highlight w:val="green"/>
              </w:rPr>
            </w:pPr>
            <w:r w:rsidRPr="00761653">
              <w:rPr>
                <w:i/>
                <w:szCs w:val="24"/>
              </w:rPr>
              <w:t>S. aureus</w:t>
            </w:r>
            <w:r w:rsidRPr="00761653">
              <w:rPr>
                <w:szCs w:val="24"/>
              </w:rPr>
              <w:t>, чувствительные к оксациллину</w:t>
            </w:r>
          </w:p>
        </w:tc>
        <w:tc>
          <w:tcPr>
            <w:tcW w:w="2835" w:type="dxa"/>
          </w:tcPr>
          <w:p w14:paraId="2AEEDD1C" w14:textId="77777777" w:rsidR="006B1126" w:rsidRPr="00761653" w:rsidRDefault="006B1126" w:rsidP="00714673">
            <w:pPr>
              <w:rPr>
                <w:szCs w:val="24"/>
              </w:rPr>
            </w:pPr>
            <w:r w:rsidRPr="00761653">
              <w:rPr>
                <w:szCs w:val="24"/>
              </w:rPr>
              <w:t>Оксациллин</w:t>
            </w:r>
          </w:p>
        </w:tc>
        <w:tc>
          <w:tcPr>
            <w:tcW w:w="4395" w:type="dxa"/>
          </w:tcPr>
          <w:p w14:paraId="28A54E58" w14:textId="77777777" w:rsidR="006B1126" w:rsidRPr="00761653" w:rsidRDefault="006B1126" w:rsidP="00714673">
            <w:pPr>
              <w:rPr>
                <w:szCs w:val="24"/>
              </w:rPr>
            </w:pPr>
            <w:r w:rsidRPr="00761653">
              <w:rPr>
                <w:szCs w:val="24"/>
              </w:rPr>
              <w:t>1-2 г каждые 4 часа, в/в</w:t>
            </w:r>
          </w:p>
        </w:tc>
      </w:tr>
      <w:tr w:rsidR="006B1126" w:rsidRPr="00975FC1" w14:paraId="485979FB" w14:textId="77777777" w:rsidTr="00714673">
        <w:tc>
          <w:tcPr>
            <w:tcW w:w="2376" w:type="dxa"/>
            <w:vMerge/>
          </w:tcPr>
          <w:p w14:paraId="7529B2F5" w14:textId="77777777" w:rsidR="006B1126" w:rsidRPr="00761653" w:rsidRDefault="006B1126" w:rsidP="00714673">
            <w:pPr>
              <w:rPr>
                <w:szCs w:val="24"/>
              </w:rPr>
            </w:pPr>
          </w:p>
        </w:tc>
        <w:tc>
          <w:tcPr>
            <w:tcW w:w="2835" w:type="dxa"/>
          </w:tcPr>
          <w:p w14:paraId="5BC35A9C" w14:textId="77777777" w:rsidR="006B1126" w:rsidRPr="00761653" w:rsidRDefault="006B1126" w:rsidP="00714673">
            <w:pPr>
              <w:rPr>
                <w:szCs w:val="24"/>
              </w:rPr>
            </w:pPr>
            <w:r w:rsidRPr="00761653">
              <w:rPr>
                <w:szCs w:val="24"/>
              </w:rPr>
              <w:t>Цефазолин</w:t>
            </w:r>
          </w:p>
        </w:tc>
        <w:tc>
          <w:tcPr>
            <w:tcW w:w="4395" w:type="dxa"/>
          </w:tcPr>
          <w:p w14:paraId="70780B61" w14:textId="77777777" w:rsidR="006B1126" w:rsidRPr="00761653" w:rsidRDefault="006B1126" w:rsidP="00714673">
            <w:pPr>
              <w:rPr>
                <w:szCs w:val="24"/>
              </w:rPr>
            </w:pPr>
            <w:r w:rsidRPr="00761653">
              <w:rPr>
                <w:szCs w:val="24"/>
              </w:rPr>
              <w:t>1-2 г каждые 8 часов (максимальная доза 12 г/сут), в/в</w:t>
            </w:r>
          </w:p>
        </w:tc>
      </w:tr>
      <w:tr w:rsidR="006B1126" w:rsidRPr="00265B67" w14:paraId="1D486C25" w14:textId="77777777" w:rsidTr="00714673">
        <w:tc>
          <w:tcPr>
            <w:tcW w:w="2376" w:type="dxa"/>
            <w:vMerge/>
          </w:tcPr>
          <w:p w14:paraId="2BA961D5" w14:textId="77777777" w:rsidR="006B1126" w:rsidRPr="00761653" w:rsidRDefault="006B1126" w:rsidP="00714673">
            <w:pPr>
              <w:rPr>
                <w:szCs w:val="24"/>
              </w:rPr>
            </w:pPr>
          </w:p>
        </w:tc>
        <w:tc>
          <w:tcPr>
            <w:tcW w:w="2835" w:type="dxa"/>
          </w:tcPr>
          <w:p w14:paraId="1C1B0571" w14:textId="77777777" w:rsidR="006B1126" w:rsidRPr="00761653" w:rsidRDefault="006B1126" w:rsidP="00714673">
            <w:pPr>
              <w:rPr>
                <w:szCs w:val="24"/>
              </w:rPr>
            </w:pPr>
            <w:r w:rsidRPr="00761653">
              <w:rPr>
                <w:szCs w:val="24"/>
              </w:rPr>
              <w:t>Цефтаролин</w:t>
            </w:r>
          </w:p>
        </w:tc>
        <w:tc>
          <w:tcPr>
            <w:tcW w:w="4395" w:type="dxa"/>
          </w:tcPr>
          <w:p w14:paraId="53AC8A74" w14:textId="77777777" w:rsidR="006B1126" w:rsidRPr="00761653" w:rsidRDefault="006B1126" w:rsidP="00714673">
            <w:pPr>
              <w:rPr>
                <w:szCs w:val="24"/>
              </w:rPr>
            </w:pPr>
            <w:r w:rsidRPr="00761653">
              <w:rPr>
                <w:szCs w:val="24"/>
              </w:rPr>
              <w:t>600 мг каждые 12 часов, инфузия в течение 5-60 минут</w:t>
            </w:r>
          </w:p>
        </w:tc>
      </w:tr>
      <w:tr w:rsidR="006B1126" w:rsidRPr="00265B67" w14:paraId="4FDDC619" w14:textId="77777777" w:rsidTr="00714673">
        <w:tc>
          <w:tcPr>
            <w:tcW w:w="2376" w:type="dxa"/>
            <w:vMerge/>
          </w:tcPr>
          <w:p w14:paraId="7E697F69" w14:textId="77777777" w:rsidR="006B1126" w:rsidRPr="00761653" w:rsidRDefault="006B1126" w:rsidP="00714673">
            <w:pPr>
              <w:rPr>
                <w:szCs w:val="24"/>
                <w:highlight w:val="yellow"/>
              </w:rPr>
            </w:pPr>
          </w:p>
        </w:tc>
        <w:tc>
          <w:tcPr>
            <w:tcW w:w="2835" w:type="dxa"/>
          </w:tcPr>
          <w:p w14:paraId="3049D349" w14:textId="77777777" w:rsidR="006B1126" w:rsidRPr="00761653" w:rsidRDefault="006B1126" w:rsidP="00714673">
            <w:pPr>
              <w:rPr>
                <w:szCs w:val="24"/>
              </w:rPr>
            </w:pPr>
            <w:r w:rsidRPr="00761653">
              <w:rPr>
                <w:szCs w:val="24"/>
              </w:rPr>
              <w:t>Ванкомицин</w:t>
            </w:r>
          </w:p>
        </w:tc>
        <w:tc>
          <w:tcPr>
            <w:tcW w:w="4395" w:type="dxa"/>
          </w:tcPr>
          <w:p w14:paraId="1B3B5FFA" w14:textId="77777777" w:rsidR="006B1126" w:rsidRPr="00761653" w:rsidRDefault="006B1126" w:rsidP="00714673">
            <w:pPr>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w:t>
            </w:r>
          </w:p>
        </w:tc>
      </w:tr>
      <w:tr w:rsidR="006B1126" w:rsidRPr="00265B67" w14:paraId="067ED4E3" w14:textId="77777777" w:rsidTr="00714673">
        <w:tc>
          <w:tcPr>
            <w:tcW w:w="2376" w:type="dxa"/>
            <w:vMerge w:val="restart"/>
          </w:tcPr>
          <w:p w14:paraId="0A05837A" w14:textId="77777777" w:rsidR="006B1126" w:rsidRPr="00761653" w:rsidRDefault="006B1126" w:rsidP="00714673">
            <w:pPr>
              <w:rPr>
                <w:szCs w:val="24"/>
              </w:rPr>
            </w:pPr>
            <w:r w:rsidRPr="00761653">
              <w:rPr>
                <w:i/>
                <w:szCs w:val="24"/>
              </w:rPr>
              <w:t>S. aureus,</w:t>
            </w:r>
            <w:r w:rsidRPr="00761653">
              <w:rPr>
                <w:szCs w:val="24"/>
              </w:rPr>
              <w:t xml:space="preserve"> устойчивые к оксациллину</w:t>
            </w:r>
          </w:p>
        </w:tc>
        <w:tc>
          <w:tcPr>
            <w:tcW w:w="2835" w:type="dxa"/>
          </w:tcPr>
          <w:p w14:paraId="1091A35C" w14:textId="77777777" w:rsidR="006B1126" w:rsidRPr="00761653" w:rsidRDefault="006B1126" w:rsidP="00714673">
            <w:pPr>
              <w:rPr>
                <w:szCs w:val="24"/>
              </w:rPr>
            </w:pPr>
            <w:r w:rsidRPr="00761653">
              <w:rPr>
                <w:szCs w:val="24"/>
              </w:rPr>
              <w:t>Ванкомицин</w:t>
            </w:r>
          </w:p>
        </w:tc>
        <w:tc>
          <w:tcPr>
            <w:tcW w:w="4395" w:type="dxa"/>
          </w:tcPr>
          <w:p w14:paraId="3E34B133" w14:textId="77777777" w:rsidR="006B1126" w:rsidRPr="00761653" w:rsidRDefault="006B1126" w:rsidP="00714673">
            <w:pPr>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(не рекомендован к назначению при инфекциях, вызванных </w:t>
            </w:r>
            <w:r w:rsidRPr="00761653">
              <w:rPr>
                <w:i/>
                <w:szCs w:val="24"/>
              </w:rPr>
              <w:t>S. aureus</w:t>
            </w:r>
            <w:r w:rsidRPr="00761653">
              <w:rPr>
                <w:szCs w:val="24"/>
              </w:rPr>
              <w:t xml:space="preserve"> с МПК ванкомицина &gt; 1 мкг/мл ввиду низкой клинической эффективности)</w:t>
            </w:r>
          </w:p>
        </w:tc>
      </w:tr>
      <w:tr w:rsidR="006B1126" w:rsidRPr="00975FC1" w14:paraId="2636004E" w14:textId="77777777" w:rsidTr="00714673">
        <w:tc>
          <w:tcPr>
            <w:tcW w:w="2376" w:type="dxa"/>
            <w:vMerge/>
          </w:tcPr>
          <w:p w14:paraId="4AB9B665" w14:textId="77777777" w:rsidR="006B1126" w:rsidRPr="00761653" w:rsidRDefault="006B1126" w:rsidP="00714673">
            <w:pPr>
              <w:rPr>
                <w:szCs w:val="24"/>
              </w:rPr>
            </w:pPr>
          </w:p>
        </w:tc>
        <w:tc>
          <w:tcPr>
            <w:tcW w:w="2835" w:type="dxa"/>
          </w:tcPr>
          <w:p w14:paraId="519727CB" w14:textId="77777777" w:rsidR="006B1126" w:rsidRPr="00761653" w:rsidRDefault="006B1126" w:rsidP="00714673">
            <w:pPr>
              <w:rPr>
                <w:szCs w:val="24"/>
              </w:rPr>
            </w:pPr>
            <w:r w:rsidRPr="00761653">
              <w:rPr>
                <w:szCs w:val="24"/>
              </w:rPr>
              <w:t>Линезолид</w:t>
            </w:r>
          </w:p>
        </w:tc>
        <w:tc>
          <w:tcPr>
            <w:tcW w:w="4395" w:type="dxa"/>
          </w:tcPr>
          <w:p w14:paraId="2EDE6E30" w14:textId="77777777" w:rsidR="006B1126" w:rsidRPr="00761653" w:rsidRDefault="006B1126" w:rsidP="00714673">
            <w:pPr>
              <w:rPr>
                <w:szCs w:val="24"/>
              </w:rPr>
            </w:pPr>
            <w:r w:rsidRPr="00761653">
              <w:rPr>
                <w:szCs w:val="24"/>
              </w:rPr>
              <w:t>600 мг каждые 12 часов, в/в или внутрь</w:t>
            </w:r>
          </w:p>
        </w:tc>
      </w:tr>
      <w:tr w:rsidR="006B1126" w:rsidRPr="00975FC1" w14:paraId="2B24067B" w14:textId="77777777" w:rsidTr="00714673">
        <w:tc>
          <w:tcPr>
            <w:tcW w:w="2376" w:type="dxa"/>
            <w:vMerge/>
          </w:tcPr>
          <w:p w14:paraId="00B67426" w14:textId="77777777" w:rsidR="006B1126" w:rsidRPr="00761653" w:rsidRDefault="006B1126" w:rsidP="00714673">
            <w:pPr>
              <w:rPr>
                <w:szCs w:val="24"/>
              </w:rPr>
            </w:pPr>
          </w:p>
        </w:tc>
        <w:tc>
          <w:tcPr>
            <w:tcW w:w="2835" w:type="dxa"/>
          </w:tcPr>
          <w:p w14:paraId="7292980A" w14:textId="77777777" w:rsidR="006B1126" w:rsidRPr="00761653" w:rsidRDefault="006B1126" w:rsidP="00714673">
            <w:pPr>
              <w:rPr>
                <w:szCs w:val="24"/>
              </w:rPr>
            </w:pPr>
            <w:r w:rsidRPr="00761653">
              <w:rPr>
                <w:szCs w:val="24"/>
              </w:rPr>
              <w:t>Тедизолид</w:t>
            </w:r>
          </w:p>
        </w:tc>
        <w:tc>
          <w:tcPr>
            <w:tcW w:w="4395" w:type="dxa"/>
          </w:tcPr>
          <w:p w14:paraId="7CDFA759" w14:textId="77777777" w:rsidR="006B1126" w:rsidRPr="00761653" w:rsidRDefault="006B1126" w:rsidP="00714673">
            <w:pPr>
              <w:rPr>
                <w:szCs w:val="24"/>
              </w:rPr>
            </w:pPr>
            <w:r w:rsidRPr="00761653">
              <w:rPr>
                <w:szCs w:val="24"/>
              </w:rPr>
              <w:t>200 мг каждые 24 часа, внутрь или в/в инфузия в течение 1 часа (не применяют для лечения инфекций кровотока и пневмонии)</w:t>
            </w:r>
          </w:p>
        </w:tc>
      </w:tr>
      <w:tr w:rsidR="006B1126" w:rsidRPr="00265B67" w14:paraId="5BBB851A" w14:textId="77777777" w:rsidTr="00714673">
        <w:tc>
          <w:tcPr>
            <w:tcW w:w="2376" w:type="dxa"/>
            <w:vMerge/>
          </w:tcPr>
          <w:p w14:paraId="20196DFC" w14:textId="77777777" w:rsidR="006B1126" w:rsidRPr="00761653" w:rsidRDefault="006B1126" w:rsidP="00714673">
            <w:pPr>
              <w:rPr>
                <w:szCs w:val="24"/>
              </w:rPr>
            </w:pPr>
          </w:p>
        </w:tc>
        <w:tc>
          <w:tcPr>
            <w:tcW w:w="2835" w:type="dxa"/>
          </w:tcPr>
          <w:p w14:paraId="0A9D1319" w14:textId="77777777" w:rsidR="006B1126" w:rsidRPr="00761653" w:rsidRDefault="006B1126" w:rsidP="00714673">
            <w:pPr>
              <w:rPr>
                <w:szCs w:val="24"/>
              </w:rPr>
            </w:pPr>
            <w:r w:rsidRPr="00761653">
              <w:rPr>
                <w:szCs w:val="24"/>
              </w:rPr>
              <w:t>Даптомицин</w:t>
            </w:r>
          </w:p>
        </w:tc>
        <w:tc>
          <w:tcPr>
            <w:tcW w:w="4395" w:type="dxa"/>
          </w:tcPr>
          <w:p w14:paraId="46F2628D" w14:textId="77777777" w:rsidR="006B1126" w:rsidRPr="00761653" w:rsidRDefault="006B1126" w:rsidP="00714673">
            <w:pPr>
              <w:rPr>
                <w:szCs w:val="24"/>
              </w:rPr>
            </w:pPr>
            <w:r w:rsidRPr="00761653">
              <w:rPr>
                <w:szCs w:val="24"/>
              </w:rPr>
              <w:t>10-12 мг/кг каждые 24 часа, инфузия в течение 30 минут (препарат не применяют для лечения пневмонии)</w:t>
            </w:r>
          </w:p>
        </w:tc>
      </w:tr>
      <w:tr w:rsidR="006B1126" w:rsidRPr="00265B67" w14:paraId="239F3F2B" w14:textId="77777777" w:rsidTr="00714673">
        <w:tc>
          <w:tcPr>
            <w:tcW w:w="2376" w:type="dxa"/>
            <w:vMerge/>
          </w:tcPr>
          <w:p w14:paraId="43EE1408" w14:textId="77777777" w:rsidR="006B1126" w:rsidRPr="00761653" w:rsidRDefault="006B1126" w:rsidP="00714673">
            <w:pPr>
              <w:rPr>
                <w:szCs w:val="24"/>
              </w:rPr>
            </w:pPr>
          </w:p>
        </w:tc>
        <w:tc>
          <w:tcPr>
            <w:tcW w:w="2835" w:type="dxa"/>
          </w:tcPr>
          <w:p w14:paraId="1F834BBA" w14:textId="77777777" w:rsidR="006B1126" w:rsidRPr="00761653" w:rsidRDefault="006B1126" w:rsidP="00714673">
            <w:pPr>
              <w:rPr>
                <w:szCs w:val="24"/>
              </w:rPr>
            </w:pPr>
            <w:r w:rsidRPr="00761653">
              <w:rPr>
                <w:szCs w:val="24"/>
              </w:rPr>
              <w:t>Телаванцин</w:t>
            </w:r>
          </w:p>
        </w:tc>
        <w:tc>
          <w:tcPr>
            <w:tcW w:w="4395" w:type="dxa"/>
          </w:tcPr>
          <w:p w14:paraId="0AFCE9BA" w14:textId="77777777" w:rsidR="006B1126" w:rsidRPr="00761653" w:rsidRDefault="006B1126" w:rsidP="00714673">
            <w:pPr>
              <w:rPr>
                <w:szCs w:val="24"/>
              </w:rPr>
            </w:pPr>
            <w:r w:rsidRPr="00761653">
              <w:rPr>
                <w:szCs w:val="24"/>
              </w:rPr>
              <w:t>10 мг/кг каждые 24 часа, инфузия в течение 1 часа</w:t>
            </w:r>
          </w:p>
        </w:tc>
      </w:tr>
      <w:tr w:rsidR="006B1126" w:rsidRPr="00265B67" w14:paraId="620DD08C" w14:textId="77777777" w:rsidTr="00714673">
        <w:tc>
          <w:tcPr>
            <w:tcW w:w="2376" w:type="dxa"/>
            <w:vMerge/>
          </w:tcPr>
          <w:p w14:paraId="2F4709BF" w14:textId="77777777" w:rsidR="006B1126" w:rsidRPr="00761653" w:rsidRDefault="006B1126" w:rsidP="00714673">
            <w:pPr>
              <w:rPr>
                <w:szCs w:val="24"/>
              </w:rPr>
            </w:pPr>
          </w:p>
        </w:tc>
        <w:tc>
          <w:tcPr>
            <w:tcW w:w="2835" w:type="dxa"/>
          </w:tcPr>
          <w:p w14:paraId="534DB5E8" w14:textId="77777777" w:rsidR="006B1126" w:rsidRPr="00761653" w:rsidRDefault="006B1126" w:rsidP="00714673">
            <w:pPr>
              <w:rPr>
                <w:szCs w:val="24"/>
              </w:rPr>
            </w:pPr>
            <w:r w:rsidRPr="00761653">
              <w:rPr>
                <w:szCs w:val="24"/>
              </w:rPr>
              <w:t>Далбаванцин</w:t>
            </w:r>
          </w:p>
        </w:tc>
        <w:tc>
          <w:tcPr>
            <w:tcW w:w="4395" w:type="dxa"/>
          </w:tcPr>
          <w:p w14:paraId="67487718" w14:textId="77777777" w:rsidR="006B1126" w:rsidRPr="00761653" w:rsidRDefault="006B1126" w:rsidP="00714673">
            <w:pPr>
              <w:rPr>
                <w:szCs w:val="24"/>
              </w:rPr>
            </w:pPr>
            <w:r w:rsidRPr="00761653">
              <w:rPr>
                <w:szCs w:val="24"/>
              </w:rPr>
              <w:t>1000 мг, инфузия в течение 30 мин, затем через неделю 500мг , инфузия в течение 30 мин</w:t>
            </w:r>
          </w:p>
        </w:tc>
      </w:tr>
      <w:tr w:rsidR="006B1126" w:rsidRPr="00975FC1" w14:paraId="271C6AC4" w14:textId="77777777" w:rsidTr="00714673">
        <w:tc>
          <w:tcPr>
            <w:tcW w:w="2376" w:type="dxa"/>
            <w:vMerge/>
          </w:tcPr>
          <w:p w14:paraId="47067C3A" w14:textId="77777777" w:rsidR="006B1126" w:rsidRPr="00761653" w:rsidRDefault="006B1126" w:rsidP="00714673">
            <w:pPr>
              <w:rPr>
                <w:szCs w:val="24"/>
              </w:rPr>
            </w:pPr>
          </w:p>
        </w:tc>
        <w:tc>
          <w:tcPr>
            <w:tcW w:w="2835" w:type="dxa"/>
          </w:tcPr>
          <w:p w14:paraId="5ED89017" w14:textId="77777777" w:rsidR="006B1126" w:rsidRPr="00761653" w:rsidRDefault="006B1126" w:rsidP="00714673">
            <w:pPr>
              <w:rPr>
                <w:szCs w:val="24"/>
              </w:rPr>
            </w:pPr>
            <w:r w:rsidRPr="00761653">
              <w:rPr>
                <w:szCs w:val="24"/>
              </w:rPr>
              <w:t>Тигециклин</w:t>
            </w:r>
          </w:p>
        </w:tc>
        <w:tc>
          <w:tcPr>
            <w:tcW w:w="4395" w:type="dxa"/>
          </w:tcPr>
          <w:p w14:paraId="351CA616" w14:textId="77777777" w:rsidR="006B1126" w:rsidRPr="00761653" w:rsidRDefault="006B1126" w:rsidP="00714673">
            <w:pPr>
              <w:rPr>
                <w:szCs w:val="24"/>
              </w:rPr>
            </w:pPr>
            <w:r w:rsidRPr="00761653">
              <w:rPr>
                <w:szCs w:val="24"/>
              </w:rPr>
              <w:t>Нагрузочная доза 100 мг, затем по 50 мг каждые 12 часов (не показан для лечения инфекций кровотока), в/в (применяют при интрабдоминальной инфекции, при инфекции кожи и мягких тканей)</w:t>
            </w:r>
          </w:p>
        </w:tc>
      </w:tr>
      <w:tr w:rsidR="006B1126" w:rsidRPr="00265B67" w14:paraId="3C43C6F2" w14:textId="77777777" w:rsidTr="00714673">
        <w:tc>
          <w:tcPr>
            <w:tcW w:w="2376" w:type="dxa"/>
            <w:vMerge/>
          </w:tcPr>
          <w:p w14:paraId="0838B3B4" w14:textId="77777777" w:rsidR="006B1126" w:rsidRPr="00761653" w:rsidRDefault="006B1126" w:rsidP="00714673">
            <w:pPr>
              <w:rPr>
                <w:szCs w:val="24"/>
              </w:rPr>
            </w:pPr>
          </w:p>
        </w:tc>
        <w:tc>
          <w:tcPr>
            <w:tcW w:w="2835" w:type="dxa"/>
          </w:tcPr>
          <w:p w14:paraId="0252B359" w14:textId="77777777" w:rsidR="006B1126" w:rsidRPr="00761653" w:rsidRDefault="006B1126" w:rsidP="00714673">
            <w:pPr>
              <w:rPr>
                <w:szCs w:val="24"/>
              </w:rPr>
            </w:pPr>
            <w:r w:rsidRPr="00761653">
              <w:rPr>
                <w:szCs w:val="24"/>
              </w:rPr>
              <w:t>Цефтаролин</w:t>
            </w:r>
          </w:p>
        </w:tc>
        <w:tc>
          <w:tcPr>
            <w:tcW w:w="4395" w:type="dxa"/>
          </w:tcPr>
          <w:p w14:paraId="39B6FE3A" w14:textId="77777777" w:rsidR="006B1126" w:rsidRPr="00761653" w:rsidRDefault="006B1126" w:rsidP="00714673">
            <w:pPr>
              <w:rPr>
                <w:szCs w:val="24"/>
              </w:rPr>
            </w:pPr>
            <w:r w:rsidRPr="00761653">
              <w:rPr>
                <w:szCs w:val="24"/>
              </w:rPr>
              <w:t>600 мг каждые 12 часов, инфузия в течение 5-60 минут</w:t>
            </w:r>
          </w:p>
        </w:tc>
      </w:tr>
      <w:tr w:rsidR="006B1126" w:rsidRPr="00265B67" w14:paraId="0953E619" w14:textId="77777777" w:rsidTr="00714673">
        <w:tc>
          <w:tcPr>
            <w:tcW w:w="2376" w:type="dxa"/>
          </w:tcPr>
          <w:p w14:paraId="0F341486" w14:textId="77777777" w:rsidR="006B1126" w:rsidRPr="00761653" w:rsidRDefault="006B1126" w:rsidP="00714673">
            <w:pPr>
              <w:rPr>
                <w:szCs w:val="24"/>
              </w:rPr>
            </w:pPr>
            <w:r w:rsidRPr="00761653">
              <w:rPr>
                <w:i/>
                <w:szCs w:val="24"/>
              </w:rPr>
              <w:t xml:space="preserve">E. faecium, </w:t>
            </w:r>
            <w:r w:rsidRPr="00761653">
              <w:rPr>
                <w:szCs w:val="24"/>
              </w:rPr>
              <w:t>чувствительные к ванкомицину</w:t>
            </w:r>
          </w:p>
        </w:tc>
        <w:tc>
          <w:tcPr>
            <w:tcW w:w="2835" w:type="dxa"/>
          </w:tcPr>
          <w:p w14:paraId="5C040DA7" w14:textId="77777777" w:rsidR="006B1126" w:rsidRPr="00761653" w:rsidRDefault="006B1126" w:rsidP="00714673">
            <w:pPr>
              <w:rPr>
                <w:szCs w:val="24"/>
              </w:rPr>
            </w:pPr>
            <w:r w:rsidRPr="00761653">
              <w:rPr>
                <w:szCs w:val="24"/>
              </w:rPr>
              <w:t>Ванкомицин</w:t>
            </w:r>
          </w:p>
        </w:tc>
        <w:tc>
          <w:tcPr>
            <w:tcW w:w="4395" w:type="dxa"/>
          </w:tcPr>
          <w:p w14:paraId="228CA99E" w14:textId="77777777" w:rsidR="006B1126" w:rsidRPr="00761653" w:rsidRDefault="006B1126" w:rsidP="00714673">
            <w:pPr>
              <w:rPr>
                <w:szCs w:val="24"/>
              </w:rPr>
            </w:pPr>
            <w:r w:rsidRPr="00761653">
              <w:rPr>
                <w:szCs w:val="24"/>
              </w:rPr>
              <w:t>Нагрузочная доза 25-30 мг/кг, затем 15-20 мг/кг каждые 8-12 часов, (разовая доза не должна превышать 2 г), инфузия в течение 1,5-2 часов</w:t>
            </w:r>
          </w:p>
        </w:tc>
      </w:tr>
      <w:tr w:rsidR="006B1126" w:rsidRPr="00265B67" w14:paraId="40829B1D" w14:textId="77777777" w:rsidTr="00714673">
        <w:tc>
          <w:tcPr>
            <w:tcW w:w="2376" w:type="dxa"/>
            <w:vMerge w:val="restart"/>
          </w:tcPr>
          <w:p w14:paraId="72AEFC6F" w14:textId="77777777" w:rsidR="006B1126" w:rsidRPr="00761653" w:rsidRDefault="006B1126" w:rsidP="00714673">
            <w:pPr>
              <w:rPr>
                <w:szCs w:val="24"/>
              </w:rPr>
            </w:pPr>
            <w:r w:rsidRPr="00761653">
              <w:rPr>
                <w:i/>
                <w:szCs w:val="24"/>
              </w:rPr>
              <w:t>E.faecium,</w:t>
            </w:r>
            <w:r w:rsidRPr="00761653">
              <w:rPr>
                <w:szCs w:val="24"/>
              </w:rPr>
              <w:t xml:space="preserve"> устойчивые к ванкомицину</w:t>
            </w:r>
          </w:p>
        </w:tc>
        <w:tc>
          <w:tcPr>
            <w:tcW w:w="2835" w:type="dxa"/>
          </w:tcPr>
          <w:p w14:paraId="3E1726BC" w14:textId="77777777" w:rsidR="006B1126" w:rsidRPr="00761653" w:rsidRDefault="006B1126" w:rsidP="00714673">
            <w:pPr>
              <w:rPr>
                <w:szCs w:val="24"/>
              </w:rPr>
            </w:pPr>
            <w:r w:rsidRPr="00761653">
              <w:rPr>
                <w:szCs w:val="24"/>
              </w:rPr>
              <w:t>Даптомицин</w:t>
            </w:r>
          </w:p>
        </w:tc>
        <w:tc>
          <w:tcPr>
            <w:tcW w:w="4395" w:type="dxa"/>
          </w:tcPr>
          <w:p w14:paraId="1935D03E" w14:textId="77777777" w:rsidR="006B1126" w:rsidRPr="00761653" w:rsidRDefault="006B1126" w:rsidP="00714673">
            <w:pPr>
              <w:rPr>
                <w:szCs w:val="24"/>
              </w:rPr>
            </w:pPr>
            <w:r w:rsidRPr="00761653">
              <w:rPr>
                <w:szCs w:val="24"/>
              </w:rPr>
              <w:t>10-12 мг/кг каждые 24 часа, инфузия в течение 30 мин</w:t>
            </w:r>
          </w:p>
        </w:tc>
      </w:tr>
      <w:tr w:rsidR="006B1126" w:rsidRPr="00975FC1" w14:paraId="19FF7646" w14:textId="77777777" w:rsidTr="00714673">
        <w:tc>
          <w:tcPr>
            <w:tcW w:w="2376" w:type="dxa"/>
            <w:vMerge/>
          </w:tcPr>
          <w:p w14:paraId="6D85710A" w14:textId="77777777" w:rsidR="006B1126" w:rsidRPr="00761653" w:rsidRDefault="006B1126" w:rsidP="00714673">
            <w:pPr>
              <w:rPr>
                <w:szCs w:val="24"/>
              </w:rPr>
            </w:pPr>
          </w:p>
        </w:tc>
        <w:tc>
          <w:tcPr>
            <w:tcW w:w="2835" w:type="dxa"/>
          </w:tcPr>
          <w:p w14:paraId="334E6DBE" w14:textId="77777777" w:rsidR="006B1126" w:rsidRPr="00761653" w:rsidRDefault="006B1126" w:rsidP="00714673">
            <w:pPr>
              <w:rPr>
                <w:szCs w:val="24"/>
              </w:rPr>
            </w:pPr>
            <w:r w:rsidRPr="00761653">
              <w:rPr>
                <w:szCs w:val="24"/>
              </w:rPr>
              <w:t>Линезолид</w:t>
            </w:r>
          </w:p>
        </w:tc>
        <w:tc>
          <w:tcPr>
            <w:tcW w:w="4395" w:type="dxa"/>
          </w:tcPr>
          <w:p w14:paraId="62D4D515" w14:textId="77777777" w:rsidR="006B1126" w:rsidRPr="00761653" w:rsidRDefault="006B1126" w:rsidP="00714673">
            <w:pPr>
              <w:rPr>
                <w:szCs w:val="24"/>
              </w:rPr>
            </w:pPr>
            <w:r w:rsidRPr="00761653">
              <w:rPr>
                <w:szCs w:val="24"/>
              </w:rPr>
              <w:t>600 мг каждые 12 часов, в/в или внутрь (следует применять при инфекциях, вызванных штаммами с МПК даптомицина &gt; 4 мкг/мл)</w:t>
            </w:r>
          </w:p>
        </w:tc>
      </w:tr>
      <w:tr w:rsidR="006B1126" w:rsidRPr="00975FC1" w14:paraId="2D77291F" w14:textId="77777777" w:rsidTr="00714673">
        <w:tc>
          <w:tcPr>
            <w:tcW w:w="2376" w:type="dxa"/>
            <w:vMerge/>
          </w:tcPr>
          <w:p w14:paraId="786927A1" w14:textId="77777777" w:rsidR="006B1126" w:rsidRPr="00761653" w:rsidRDefault="006B1126" w:rsidP="00714673">
            <w:pPr>
              <w:rPr>
                <w:szCs w:val="24"/>
              </w:rPr>
            </w:pPr>
          </w:p>
        </w:tc>
        <w:tc>
          <w:tcPr>
            <w:tcW w:w="2835" w:type="dxa"/>
          </w:tcPr>
          <w:p w14:paraId="75224146" w14:textId="77777777" w:rsidR="006B1126" w:rsidRPr="00761653" w:rsidRDefault="006B1126" w:rsidP="00714673">
            <w:pPr>
              <w:rPr>
                <w:szCs w:val="24"/>
              </w:rPr>
            </w:pPr>
            <w:r w:rsidRPr="00761653">
              <w:rPr>
                <w:szCs w:val="24"/>
              </w:rPr>
              <w:t>Тедизолид</w:t>
            </w:r>
          </w:p>
        </w:tc>
        <w:tc>
          <w:tcPr>
            <w:tcW w:w="4395" w:type="dxa"/>
          </w:tcPr>
          <w:p w14:paraId="3E2F08F3" w14:textId="77777777" w:rsidR="006B1126" w:rsidRPr="00761653" w:rsidRDefault="006B1126" w:rsidP="00714673">
            <w:pPr>
              <w:rPr>
                <w:szCs w:val="24"/>
              </w:rPr>
            </w:pPr>
            <w:r w:rsidRPr="00761653">
              <w:rPr>
                <w:szCs w:val="24"/>
              </w:rPr>
              <w:t>200 мг каждые 24 часа, внутрь или в/в инфузия в течение 1 часа (не применяют в лечении инфекций кровотока и пневмонии)</w:t>
            </w:r>
          </w:p>
        </w:tc>
      </w:tr>
      <w:tr w:rsidR="006B1126" w:rsidRPr="00265B67" w14:paraId="0AFDBE6F" w14:textId="77777777" w:rsidTr="00714673">
        <w:tc>
          <w:tcPr>
            <w:tcW w:w="2376" w:type="dxa"/>
            <w:vMerge/>
          </w:tcPr>
          <w:p w14:paraId="4F7151BE" w14:textId="77777777" w:rsidR="006B1126" w:rsidRPr="00761653" w:rsidRDefault="006B1126" w:rsidP="00714673">
            <w:pPr>
              <w:rPr>
                <w:szCs w:val="24"/>
              </w:rPr>
            </w:pPr>
          </w:p>
        </w:tc>
        <w:tc>
          <w:tcPr>
            <w:tcW w:w="2835" w:type="dxa"/>
          </w:tcPr>
          <w:p w14:paraId="4959CACD" w14:textId="77777777" w:rsidR="006B1126" w:rsidRPr="00761653" w:rsidRDefault="006B1126" w:rsidP="00714673">
            <w:pPr>
              <w:rPr>
                <w:szCs w:val="24"/>
              </w:rPr>
            </w:pPr>
            <w:r w:rsidRPr="00761653">
              <w:rPr>
                <w:szCs w:val="24"/>
              </w:rPr>
              <w:t>Тигециклин</w:t>
            </w:r>
          </w:p>
        </w:tc>
        <w:tc>
          <w:tcPr>
            <w:tcW w:w="4395" w:type="dxa"/>
          </w:tcPr>
          <w:p w14:paraId="14C60014" w14:textId="77777777" w:rsidR="006B1126" w:rsidRPr="00761653" w:rsidRDefault="006B1126" w:rsidP="00714673">
            <w:pPr>
              <w:rPr>
                <w:szCs w:val="24"/>
              </w:rPr>
            </w:pPr>
            <w:r w:rsidRPr="00761653">
              <w:rPr>
                <w:szCs w:val="24"/>
              </w:rPr>
              <w:t>Нагрузочная доза 100 мг, затем по 50 мг каждые 12 часов (не показан для лечения инфекций кровотока, инфекций мочевыводящих путей)</w:t>
            </w:r>
          </w:p>
        </w:tc>
      </w:tr>
    </w:tbl>
    <w:p w14:paraId="437F6085" w14:textId="77777777" w:rsidR="006B1126" w:rsidRDefault="006B1126" w:rsidP="006B1126">
      <w:pPr>
        <w:widowControl w:val="0"/>
        <w:autoSpaceDE w:val="0"/>
        <w:autoSpaceDN w:val="0"/>
        <w:adjustRightInd w:val="0"/>
        <w:ind w:right="49"/>
        <w:contextualSpacing/>
        <w:rPr>
          <w:b/>
          <w:bCs/>
          <w:iCs/>
        </w:rPr>
      </w:pPr>
    </w:p>
    <w:p w14:paraId="08A6B100" w14:textId="77777777" w:rsidR="006B1126" w:rsidRPr="00761653" w:rsidRDefault="006B1126" w:rsidP="006710A2">
      <w:pPr>
        <w:widowControl w:val="0"/>
        <w:autoSpaceDE w:val="0"/>
        <w:autoSpaceDN w:val="0"/>
        <w:adjustRightInd w:val="0"/>
        <w:ind w:left="709" w:right="49"/>
        <w:contextualSpacing/>
        <w:rPr>
          <w:bCs/>
          <w:iCs/>
        </w:rPr>
      </w:pPr>
      <w:r w:rsidRPr="00761653">
        <w:rPr>
          <w:b/>
          <w:bCs/>
          <w:iCs/>
        </w:rPr>
        <w:t xml:space="preserve">Отдельные инфекции, требующие особого лечения, у </w:t>
      </w:r>
      <w:r w:rsidRPr="00761653">
        <w:rPr>
          <w:b/>
          <w:bCs/>
          <w:iCs/>
        </w:rPr>
        <w:lastRenderedPageBreak/>
        <w:t>иммунокомпрометированных больных</w:t>
      </w:r>
      <w:r w:rsidRPr="00761653">
        <w:rPr>
          <w:bCs/>
          <w:iCs/>
        </w:rPr>
        <w:t xml:space="preserve">. </w:t>
      </w:r>
    </w:p>
    <w:p w14:paraId="7DE108F0" w14:textId="77777777" w:rsidR="006B1126" w:rsidRPr="00D86CB7" w:rsidRDefault="006B1126" w:rsidP="006B1126">
      <w:pPr>
        <w:widowControl w:val="0"/>
        <w:autoSpaceDE w:val="0"/>
        <w:autoSpaceDN w:val="0"/>
        <w:adjustRightInd w:val="0"/>
        <w:ind w:right="49" w:firstLine="709"/>
        <w:contextualSpacing/>
        <w:rPr>
          <w:i/>
          <w:iCs/>
        </w:rPr>
      </w:pPr>
      <w:r w:rsidRPr="00D86CB7">
        <w:rPr>
          <w:i/>
          <w:iCs/>
          <w:u w:val="single"/>
        </w:rPr>
        <w:t xml:space="preserve">Listeria monocytogenes </w:t>
      </w:r>
    </w:p>
    <w:p w14:paraId="3D20EB61" w14:textId="2EF0502D" w:rsidR="006B1126" w:rsidRPr="00761653" w:rsidRDefault="006B1126" w:rsidP="006B1126">
      <w:pPr>
        <w:widowControl w:val="0"/>
        <w:autoSpaceDE w:val="0"/>
        <w:autoSpaceDN w:val="0"/>
        <w:adjustRightInd w:val="0"/>
        <w:ind w:right="49" w:firstLine="709"/>
        <w:contextualSpacing/>
      </w:pPr>
      <w:r w:rsidRPr="00D27DBA">
        <w:rPr>
          <w:bCs/>
          <w:i/>
          <w:iCs/>
        </w:rPr>
        <w:t>Listeria monocytogenes (</w:t>
      </w:r>
      <w:r w:rsidRPr="00D27DBA">
        <w:rPr>
          <w:i/>
        </w:rPr>
        <w:t xml:space="preserve">L. monocytogenes) </w:t>
      </w:r>
      <w:r>
        <w:rPr>
          <w:bCs/>
          <w:iCs/>
        </w:rPr>
        <w:t>в</w:t>
      </w:r>
      <w:r w:rsidRPr="00761653">
        <w:rPr>
          <w:iCs/>
        </w:rPr>
        <w:t xml:space="preserve">ызывают </w:t>
      </w:r>
      <w:r w:rsidRPr="00761653">
        <w:t>инфекции кровотока и менингоэнцефалит. Инфекция возникает преимущественно у больных с нарушениями Т-клеточного звена иммунитета</w:t>
      </w:r>
      <w:r w:rsidRPr="00F674EC">
        <w:t xml:space="preserve"> </w:t>
      </w:r>
      <w:r>
        <w:fldChar w:fldCharType="begin" w:fldLock="1"/>
      </w:r>
      <w:r w:rsidR="00BA7FFC">
        <w:instrText>ADDIN CSL_CITATION {"citationItems":[{"id":"ITEM-1","itemData":{"DOI":"10.3324/haematol.2013.091330","ISSN":"15928721","PMID":"24323984","abstract":"The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12","1"]]},"page":"1836-1847","publisher":"Ferrata Storti Foundation","title":"Targeted therapy against multi-resistant bacteria in leukemic and hematopoietic stem cell transplant recipients: Guidelines of the 4th European conference on Infections in Leukemia (ECIL-4, 2011)","type":"article-journal","volume":"98"},"uris":["http://www.mendeley.com/documents/?uuid=49d65b4a-286f-48de-9fa8-11535bbffaa2"]}],"mendeley":{"formattedCitation":"[81]","plainTextFormattedCitation":"[81]","previouslyFormattedCitation":"[81]"},"properties":{"noteIndex":0},"schema":"https://github.com/citation-style-language/schema/raw/master/csl-citation.json"}</w:instrText>
      </w:r>
      <w:r>
        <w:fldChar w:fldCharType="separate"/>
      </w:r>
      <w:r w:rsidR="00225D7F" w:rsidRPr="00225D7F">
        <w:rPr>
          <w:noProof/>
        </w:rPr>
        <w:t>[81]</w:t>
      </w:r>
      <w:r>
        <w:fldChar w:fldCharType="end"/>
      </w:r>
      <w:r w:rsidRPr="00761653">
        <w:t xml:space="preserve">. Характерным является стремительное развитие инфекции – в течение 2-3 часов изменяется клиническая картина: возникает нарушение сознания вплоть до комы, определяются ригидность затылочных мышц и положительный симптом Кернига. Препарат выбора для лечения </w:t>
      </w:r>
      <w:r w:rsidRPr="00761653">
        <w:rPr>
          <w:bCs/>
        </w:rPr>
        <w:t xml:space="preserve">инфекции, вызванной </w:t>
      </w:r>
      <w:r w:rsidRPr="00761653">
        <w:rPr>
          <w:bCs/>
          <w:i/>
          <w:iCs/>
        </w:rPr>
        <w:t>L. monocytogenes</w:t>
      </w:r>
      <w:r w:rsidRPr="00761653">
        <w:rPr>
          <w:b/>
          <w:bCs/>
        </w:rPr>
        <w:t xml:space="preserve">, </w:t>
      </w:r>
      <w:r w:rsidRPr="00761653">
        <w:t xml:space="preserve">ампициллин по 2 г внутривенно 6 раз в сутки, при менингоэнцефалите – в сочетание с гентамицином 5мг/кг/сутки, внутривенно. </w:t>
      </w:r>
      <w:r w:rsidRPr="00761653">
        <w:rPr>
          <w:bCs/>
        </w:rPr>
        <w:t xml:space="preserve">Больным с нейтропенией и инфекцией ЦНС дополнительно назначают меропенем по 2 г х 3 раза. Меропенем отменяют при восстановлении гранулоцитов и продолжают лечение сочетанием ампициллина с гентамицином. </w:t>
      </w:r>
      <w:r w:rsidRPr="00761653">
        <w:rPr>
          <w:iCs/>
        </w:rPr>
        <w:t xml:space="preserve">Альтернативный препарат - </w:t>
      </w:r>
      <w:r w:rsidRPr="00761653">
        <w:t>триметоприм/сульфаметоксазол (расчет дозы по триметоприму 15 мг/кг в сутки, дозу разделяют на 3 приема). Такая доза используется у больных с вовлечением и без вовлечения ЦНС в инфекционный процесс.</w:t>
      </w:r>
      <w:r w:rsidRPr="00761653">
        <w:rPr>
          <w:bCs/>
        </w:rPr>
        <w:t xml:space="preserve"> Длительность лечения инфекции без вовлечения ЦНС составляет 14 дней, менингита - </w:t>
      </w:r>
      <w:r w:rsidRPr="00761653">
        <w:t>21 день, энцефалита или абсцессов в головном мозге - от 6 недель и более, эндокардита - 4-6 недель.</w:t>
      </w:r>
      <w:r w:rsidRPr="00761653">
        <w:rPr>
          <w:bCs/>
        </w:rPr>
        <w:t xml:space="preserve"> </w:t>
      </w:r>
      <w:r w:rsidRPr="00761653">
        <w:t>При инфекции ЦНС отмену антибиотиков выполняют только при полной регрессии изменений в головном мозге.</w:t>
      </w:r>
    </w:p>
    <w:p w14:paraId="32F2BC62" w14:textId="77777777" w:rsidR="006B1126" w:rsidRPr="00D86CB7" w:rsidRDefault="006B1126" w:rsidP="006B1126">
      <w:pPr>
        <w:widowControl w:val="0"/>
        <w:autoSpaceDE w:val="0"/>
        <w:autoSpaceDN w:val="0"/>
        <w:adjustRightInd w:val="0"/>
        <w:ind w:right="49" w:firstLine="709"/>
        <w:contextualSpacing/>
        <w:rPr>
          <w:bCs/>
          <w:i/>
          <w:u w:val="single"/>
        </w:rPr>
      </w:pPr>
      <w:r w:rsidRPr="00D86CB7">
        <w:rPr>
          <w:bCs/>
          <w:i/>
          <w:u w:val="single"/>
        </w:rPr>
        <w:t xml:space="preserve">Legionella pneumophila </w:t>
      </w:r>
    </w:p>
    <w:p w14:paraId="2531D4C5" w14:textId="77777777" w:rsidR="006B1126" w:rsidRPr="00761653" w:rsidRDefault="006B1126" w:rsidP="006B1126">
      <w:pPr>
        <w:ind w:firstLine="708"/>
      </w:pPr>
      <w:r w:rsidRPr="00761653">
        <w:rPr>
          <w:i/>
        </w:rPr>
        <w:t>Legionella</w:t>
      </w:r>
      <w:r w:rsidRPr="000D7B76">
        <w:rPr>
          <w:i/>
        </w:rPr>
        <w:t xml:space="preserve"> </w:t>
      </w:r>
      <w:r w:rsidRPr="00761653">
        <w:rPr>
          <w:i/>
        </w:rPr>
        <w:t>pneumophila</w:t>
      </w:r>
      <w:r w:rsidRPr="000D7B76">
        <w:rPr>
          <w:i/>
        </w:rPr>
        <w:t xml:space="preserve"> (</w:t>
      </w:r>
      <w:r w:rsidRPr="00761653">
        <w:rPr>
          <w:i/>
        </w:rPr>
        <w:t>L</w:t>
      </w:r>
      <w:r w:rsidRPr="000D7B76">
        <w:rPr>
          <w:i/>
        </w:rPr>
        <w:t xml:space="preserve">. </w:t>
      </w:r>
      <w:r w:rsidRPr="00761653">
        <w:rPr>
          <w:i/>
        </w:rPr>
        <w:t>pneumophila</w:t>
      </w:r>
      <w:r w:rsidRPr="000D7B76">
        <w:rPr>
          <w:i/>
        </w:rPr>
        <w:t>)</w:t>
      </w:r>
      <w:r w:rsidRPr="000D7B76">
        <w:t xml:space="preserve"> </w:t>
      </w:r>
      <w:r>
        <w:rPr>
          <w:i/>
        </w:rPr>
        <w:t>я</w:t>
      </w:r>
      <w:r w:rsidRPr="00761653">
        <w:t>вля</w:t>
      </w:r>
      <w:r>
        <w:t>ю</w:t>
      </w:r>
      <w:r w:rsidRPr="00761653">
        <w:t>тся</w:t>
      </w:r>
      <w:r w:rsidRPr="000D7B76">
        <w:t xml:space="preserve"> </w:t>
      </w:r>
      <w:r w:rsidRPr="00761653">
        <w:t>грамотрицательным</w:t>
      </w:r>
      <w:r w:rsidRPr="000D7B76">
        <w:t xml:space="preserve"> </w:t>
      </w:r>
      <w:r w:rsidRPr="00761653">
        <w:t>бактериями</w:t>
      </w:r>
      <w:r w:rsidRPr="000D7B76">
        <w:t xml:space="preserve">, </w:t>
      </w:r>
      <w:r>
        <w:t>в</w:t>
      </w:r>
      <w:r w:rsidRPr="00761653">
        <w:t>ызывают</w:t>
      </w:r>
      <w:r w:rsidRPr="000D7B76">
        <w:t xml:space="preserve"> </w:t>
      </w:r>
      <w:r w:rsidRPr="00761653">
        <w:t>пневмонии</w:t>
      </w:r>
      <w:r w:rsidRPr="000D7B76">
        <w:t xml:space="preserve">. </w:t>
      </w:r>
      <w:r w:rsidRPr="00761653">
        <w:t>Препараты выбора для лечения</w:t>
      </w:r>
      <w:r>
        <w:t xml:space="preserve"> </w:t>
      </w:r>
      <w:r w:rsidRPr="00761653">
        <w:rPr>
          <w:i/>
        </w:rPr>
        <w:t>L</w:t>
      </w:r>
      <w:r w:rsidRPr="00D27DBA">
        <w:rPr>
          <w:i/>
        </w:rPr>
        <w:t xml:space="preserve">. </w:t>
      </w:r>
      <w:r w:rsidRPr="00761653">
        <w:rPr>
          <w:i/>
        </w:rPr>
        <w:t>pneumophila</w:t>
      </w:r>
      <w:r w:rsidRPr="00D27DBA">
        <w:t xml:space="preserve"> – </w:t>
      </w:r>
      <w:r w:rsidRPr="00761653">
        <w:t xml:space="preserve"> - моксифлоксацин (400 мг 1 раз в сутки) или левофлоксацин (500 мг - 750 мг 1 раз в сутки) или азитромицин (500 мг 1 раз в сутки), альтернативный препарат - ципрофлоксацин (400 мг внутривенно 3 раза в сутки или 750 мг внутрь 2 раза в сутки), при тяжелом течении - сочетание фторхинолона с тигециклином (1-е введение 100 мг, далее по 50 мг каждые 12 часов). Длительность лечения составляет от 8 до 21 дня, при тяжелом течении и у реципиентов аллогенных ТГСК – более продолжительный период.</w:t>
      </w:r>
    </w:p>
    <w:p w14:paraId="03BC42E4" w14:textId="77777777" w:rsidR="006B1126" w:rsidRPr="00D86CB7" w:rsidRDefault="006B1126" w:rsidP="006B1126">
      <w:pPr>
        <w:widowControl w:val="0"/>
        <w:autoSpaceDE w:val="0"/>
        <w:autoSpaceDN w:val="0"/>
        <w:adjustRightInd w:val="0"/>
        <w:ind w:right="49" w:firstLine="709"/>
        <w:contextualSpacing/>
        <w:rPr>
          <w:i/>
          <w:iCs/>
          <w:u w:val="single"/>
        </w:rPr>
      </w:pPr>
      <w:r w:rsidRPr="00D86CB7">
        <w:rPr>
          <w:i/>
          <w:iCs/>
          <w:u w:val="single"/>
        </w:rPr>
        <w:t xml:space="preserve">Clostridioides difficile </w:t>
      </w:r>
    </w:p>
    <w:p w14:paraId="685ED694" w14:textId="48BCDC2C" w:rsidR="006B1126" w:rsidRPr="00761653" w:rsidRDefault="006B1126" w:rsidP="006B1126">
      <w:pPr>
        <w:widowControl w:val="0"/>
        <w:autoSpaceDE w:val="0"/>
        <w:autoSpaceDN w:val="0"/>
        <w:adjustRightInd w:val="0"/>
        <w:ind w:right="49" w:firstLine="709"/>
        <w:contextualSpacing/>
        <w:rPr>
          <w:strike/>
        </w:rPr>
      </w:pPr>
      <w:r w:rsidRPr="00761653">
        <w:t xml:space="preserve">Факторами патогенности </w:t>
      </w:r>
      <w:r w:rsidRPr="00D27DBA">
        <w:rPr>
          <w:bCs/>
          <w:i/>
          <w:iCs/>
        </w:rPr>
        <w:t>Clostridioides difficile</w:t>
      </w:r>
      <w:r>
        <w:rPr>
          <w:bCs/>
          <w:i/>
          <w:iCs/>
        </w:rPr>
        <w:t xml:space="preserve"> (</w:t>
      </w:r>
      <w:r w:rsidRPr="00761653">
        <w:rPr>
          <w:i/>
          <w:iCs/>
        </w:rPr>
        <w:t xml:space="preserve">C. </w:t>
      </w:r>
      <w:r>
        <w:rPr>
          <w:i/>
          <w:iCs/>
        </w:rPr>
        <w:t>d</w:t>
      </w:r>
      <w:r w:rsidRPr="00761653">
        <w:rPr>
          <w:i/>
          <w:iCs/>
        </w:rPr>
        <w:t>ifficile</w:t>
      </w:r>
      <w:r>
        <w:rPr>
          <w:i/>
          <w:iCs/>
        </w:rPr>
        <w:t>)</w:t>
      </w:r>
      <w:r w:rsidRPr="00761653">
        <w:t xml:space="preserve"> являются токсины A и В</w:t>
      </w:r>
      <w:r w:rsidRPr="00F674EC">
        <w:t xml:space="preserve"> </w:t>
      </w:r>
      <w:r>
        <w:fldChar w:fldCharType="begin" w:fldLock="1"/>
      </w:r>
      <w:r w:rsidR="00BA7FFC">
        <w:instrText>ADDIN CSL_CITATION {"citationItems":[{"id":"ITEM-1","itemData":{"DOI":"10.1111/1469-0691.12418","ISSN":"14690691","PMID":"24118601","abstract":"In 2009 the first European Society of Clinical Microbiology and Infection (ESCMID) treatment guidance document for Clostridium difficile infection (CDI) was published. The guideline has been applied widely in clinical practice. In this document an update and review on the comparative effectiveness of the currently available treatment modalities of CDI is given, thereby providing evidence-based recommendations on this issue. A computerized literature search was carried out to investigate randomized and non-randomized trials investigating the effect of an intervention on the clinical outcome of CDI. The Grades of Recommendation Assessment, Development and Evaluation (GRADE) system was used to grade the strength of our recommendations and the quality of the evidence. The ESCMID and an international team of experts from 11 European countries supported the process. To improve clinical guidance in the treatment of CDI, recommendations are specified for various patient groups, e.g. initial non-severe disease, severe CDI, first recurrence or risk for recurrent disease, multiple recurrences and treatment of CDI when oral administration is not possible. Treatment options that are reviewed include: antibiotics, toxin-binding resins and polymers, immunotherapy, probiotics, and faecal or bacterial intestinal transplantation. Except for very mild CDI that is clearly induced by antibiotic usage antibiotic treatment is advised. The main antibiotics that are recommended are metronidazole, vancomycin and fidaxomicin. Faecal transplantation is strongly recommended for multiple recurrent CDI. In case of perforation of the colon and/or systemic inflammation and deteriorating clinical condition despite antibiotic therapy, total abdominal colectomy or diverting loop ileostomy combined with colonic lavage is recommended. © 2013 The Authors Clinical Microbiology and Infection © 2013 European Society of Clinical Microbiology and Infectious Diseases.","author":[{"dropping-particle":"","family":"Debast","given":"S. B.","non-dropping-particle":"","parse-names":false,"suffix":""},{"dropping-particle":"","family":"Bauer","given":"M. P.","non-dropping-particle":"","parse-names":false,"suffix":""},{"dropping-particle":"","family":"Kuijper","given":"E. J.","non-dropping-particle":"","parse-names":false,"suffix":""},{"dropping-particle":"","family":"Allerberger","given":"F.","non-dropping-particle":"","parse-names":false,"suffix":""},{"dropping-particle":"","family":"Bouza","given":"E.","non-dropping-particle":"","parse-names":false,"suffix":""},{"dropping-particle":"","family":"Coia","given":"J. E.","non-dropping-particle":"","parse-names":false,"suffix":""},{"dropping-particle":"","family":"Cornely","given":"O. A.","non-dropping-particle":"","parse-names":false,"suffix":""},{"dropping-particle":"","family":"Fitzpatrick","given":"F.","non-dropping-particle":"","parse-names":false,"suffix":""},{"dropping-particle":"","family":"Guery","given":"B.","non-dropping-particle":"","parse-names":false,"suffix":""},{"dropping-particle":"","family":"Wilcox","given":"M.","non-dropping-particle":"","parse-names":false,"suffix":""},{"dropping-particle":"","family":"Nathwani","given":"D.","non-dropping-particle":"","parse-names":false,"suffix":""},{"dropping-particle":"","family":"Norén","given":"T.","non-dropping-particle":"","parse-names":false,"suffix":""},{"dropping-particle":"","family":"Olesen","given":"B.","non-dropping-particle":"","parse-names":false,"suffix":""},{"dropping-particle":"","family":"Rakoczi","given":"E.","non-dropping-particle":"","parse-names":false,"suffix":""},{"dropping-particle":"","family":"Welte","given":"T.","non-dropping-particle":"","parse-names":false,"suffix":""},{"dropping-particle":"","family":"Widmer","given":"A. F.","non-dropping-particle":"","parse-names":false,"suffix":""}],"container-title":"Clinical Microbiology and Infection","id":"ITEM-1","issue":"S2","issued":{"date-parts":[["2014"]]},"page":"1-26","publisher":"Blackwell Publishing Ltd","title":"European society of clinical microbiology and infectious diseases: Update of the treatment guidance document for Clostridium difficile infection","type":"article-journal","volume":"20"},"uris":["http://www.mendeley.com/documents/?uuid=e95ffe26-9199-3b8c-aa7a-4bac71d0214d"]}],"mendeley":{"formattedCitation":"[82]","plainTextFormattedCitation":"[82]","previouslyFormattedCitation":"[82]"},"properties":{"noteIndex":0},"schema":"https://github.com/citation-style-language/schema/raw/master/csl-citation.json"}</w:instrText>
      </w:r>
      <w:r>
        <w:fldChar w:fldCharType="separate"/>
      </w:r>
      <w:r w:rsidR="00225D7F" w:rsidRPr="00225D7F">
        <w:rPr>
          <w:noProof/>
        </w:rPr>
        <w:t>[82]</w:t>
      </w:r>
      <w:r>
        <w:fldChar w:fldCharType="end"/>
      </w:r>
      <w:r w:rsidRPr="00761653">
        <w:t>. Токсин А —</w:t>
      </w:r>
      <w:r>
        <w:t xml:space="preserve"> </w:t>
      </w:r>
      <w:r w:rsidRPr="00761653">
        <w:t xml:space="preserve">энтеротоксин, нарушает барьерную функцию слизистой оболочки кишечника. Токсин В — цитотоксин, оказывает цитопатический эффект, сильнее токсина А в 1000 раз, наличие его является обязательным для развития инфекции. Около 10% штаммов </w:t>
      </w:r>
      <w:r w:rsidRPr="00761653">
        <w:rPr>
          <w:i/>
          <w:iCs/>
        </w:rPr>
        <w:t>C. difficile</w:t>
      </w:r>
      <w:r w:rsidRPr="00761653">
        <w:t xml:space="preserve"> продуцируют бинарный токсин. Штаммы </w:t>
      </w:r>
      <w:r w:rsidRPr="00761653">
        <w:rPr>
          <w:i/>
          <w:iCs/>
        </w:rPr>
        <w:t>C. difficile</w:t>
      </w:r>
      <w:r w:rsidRPr="00761653">
        <w:t xml:space="preserve">, не продуцирующие токсины, не являются патогенными. Клиническими проявления </w:t>
      </w:r>
      <w:r w:rsidRPr="00761653">
        <w:lastRenderedPageBreak/>
        <w:t xml:space="preserve">инфекции, вызванной </w:t>
      </w:r>
      <w:r w:rsidRPr="00761653">
        <w:rPr>
          <w:i/>
          <w:iCs/>
        </w:rPr>
        <w:t>C. difficile</w:t>
      </w:r>
      <w:r w:rsidRPr="00761653">
        <w:rPr>
          <w:iCs/>
        </w:rPr>
        <w:t>,</w:t>
      </w:r>
      <w:r w:rsidRPr="00761653">
        <w:t xml:space="preserve"> являются диарея, ассоциированная с </w:t>
      </w:r>
      <w:r w:rsidRPr="00761653">
        <w:rPr>
          <w:i/>
          <w:iCs/>
        </w:rPr>
        <w:t>C. difficile</w:t>
      </w:r>
      <w:r w:rsidRPr="00761653">
        <w:t xml:space="preserve"> (наличие диареи + положительный токсин </w:t>
      </w:r>
      <w:r w:rsidRPr="00761653">
        <w:rPr>
          <w:i/>
          <w:iCs/>
        </w:rPr>
        <w:t>C.difficile</w:t>
      </w:r>
      <w:r w:rsidRPr="00761653">
        <w:t xml:space="preserve"> в кале), псевдомембранозный колит (эндоскопическая диагностика). Лечение диареи, обусловленной </w:t>
      </w:r>
      <w:r w:rsidRPr="00761653">
        <w:rPr>
          <w:i/>
          <w:iCs/>
        </w:rPr>
        <w:t>C. difficile</w:t>
      </w:r>
      <w:r w:rsidRPr="00761653">
        <w:t xml:space="preserve"> включает, помимо назначения антибиотиков, отмену, по-возможности, или/и сокращение числа используемых антибиотиков широкого спектра действия, ингибиторов протонной помпы</w:t>
      </w:r>
      <w:r w:rsidRPr="00F674EC">
        <w:t xml:space="preserve"> </w:t>
      </w:r>
      <w:r>
        <w:fldChar w:fldCharType="begin" w:fldLock="1"/>
      </w:r>
      <w:r w:rsidR="00BA7FFC">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[80]","plainTextFormattedCitation":"[80]","previouslyFormattedCitation":"[80]"},"properties":{"noteIndex":0},"schema":"https://github.com/citation-style-language/schema/raw/master/csl-citation.json"}</w:instrText>
      </w:r>
      <w:r>
        <w:fldChar w:fldCharType="separate"/>
      </w:r>
      <w:r w:rsidR="00225D7F" w:rsidRPr="00225D7F">
        <w:rPr>
          <w:noProof/>
        </w:rPr>
        <w:t>[80]</w:t>
      </w:r>
      <w:r>
        <w:fldChar w:fldCharType="end"/>
      </w:r>
      <w:r w:rsidRPr="00761653">
        <w:t xml:space="preserve">. </w:t>
      </w:r>
      <w:r w:rsidRPr="00761653">
        <w:rPr>
          <w:bCs/>
        </w:rPr>
        <w:t>При нетяжелом течении инфекции</w:t>
      </w:r>
      <w:r w:rsidRPr="00761653">
        <w:t xml:space="preserve"> (диарея, температура, боль в животе) - метронидазол по 500 мг 3 раза в сутки перорально или внутривенно, </w:t>
      </w:r>
      <w:r w:rsidRPr="00761653">
        <w:rPr>
          <w:bCs/>
        </w:rPr>
        <w:t>при тяжелом течении</w:t>
      </w:r>
      <w:r w:rsidRPr="00761653">
        <w:t xml:space="preserve"> (повышение уровня креатинина на 50% и более от исходного значения, снижение уровня альбумина) </w:t>
      </w:r>
      <w:r>
        <w:t>–</w:t>
      </w:r>
      <w:r w:rsidRPr="00761653">
        <w:t xml:space="preserve"> в</w:t>
      </w:r>
      <w:r>
        <w:t>а</w:t>
      </w:r>
      <w:r w:rsidRPr="00761653">
        <w:t xml:space="preserve">нкомицин по 125 мг 4 раза в день перорально или введение в зонд, оро – или назогастральный, при рефрактерном течении - используют сочетание метронидазола с ванкомицином (метронидазол по 500 мг 3 раза в сутки внутривенно, ванкомицин по 500 мг 4 раза в день через оро- или назогастральный зонд). </w:t>
      </w:r>
      <w:r w:rsidRPr="00761653">
        <w:rPr>
          <w:bCs/>
        </w:rPr>
        <w:t>Длительность лечения</w:t>
      </w:r>
      <w:r w:rsidRPr="00761653">
        <w:t xml:space="preserve"> составляет 10-14 дней.</w:t>
      </w:r>
    </w:p>
    <w:p w14:paraId="0FC24485" w14:textId="77777777" w:rsidR="00D86CB7" w:rsidRDefault="00D86CB7" w:rsidP="00D86CB7">
      <w:pPr>
        <w:widowControl w:val="0"/>
        <w:tabs>
          <w:tab w:val="left" w:pos="317"/>
          <w:tab w:val="left" w:pos="8715"/>
        </w:tabs>
        <w:autoSpaceDE w:val="0"/>
        <w:autoSpaceDN w:val="0"/>
        <w:adjustRightInd w:val="0"/>
        <w:ind w:right="49"/>
        <w:contextualSpacing/>
        <w:rPr>
          <w:b/>
          <w:iCs/>
        </w:rPr>
      </w:pPr>
    </w:p>
    <w:p w14:paraId="195ADCFC" w14:textId="44563E43" w:rsidR="006B1126" w:rsidRPr="00D86CB7" w:rsidRDefault="00D86CB7" w:rsidP="00D86CB7">
      <w:pPr>
        <w:widowControl w:val="0"/>
        <w:autoSpaceDE w:val="0"/>
        <w:autoSpaceDN w:val="0"/>
        <w:adjustRightInd w:val="0"/>
        <w:ind w:right="49"/>
        <w:contextualSpacing/>
        <w:rPr>
          <w:bCs/>
          <w:u w:val="single"/>
        </w:rPr>
      </w:pPr>
      <w:r>
        <w:rPr>
          <w:bCs/>
          <w:u w:val="single"/>
        </w:rPr>
        <w:t xml:space="preserve">7.4.8 </w:t>
      </w:r>
      <w:r w:rsidR="006B1126" w:rsidRPr="00D86CB7">
        <w:rPr>
          <w:bCs/>
          <w:u w:val="single"/>
        </w:rPr>
        <w:t>Назначение антибиотиков в зависимости от локализации инфекции</w:t>
      </w:r>
    </w:p>
    <w:p w14:paraId="4DDC74A1" w14:textId="77777777" w:rsidR="006B1126" w:rsidRPr="00D86CB7" w:rsidRDefault="006B1126" w:rsidP="006B1126">
      <w:pPr>
        <w:widowControl w:val="0"/>
        <w:tabs>
          <w:tab w:val="left" w:pos="0"/>
        </w:tabs>
        <w:autoSpaceDE w:val="0"/>
        <w:autoSpaceDN w:val="0"/>
        <w:adjustRightInd w:val="0"/>
        <w:ind w:right="49" w:firstLine="709"/>
        <w:contextualSpacing/>
        <w:rPr>
          <w:bCs/>
          <w:i/>
          <w:iCs/>
        </w:rPr>
      </w:pPr>
      <w:r w:rsidRPr="00D86CB7">
        <w:rPr>
          <w:bCs/>
          <w:i/>
          <w:iCs/>
          <w:u w:val="single"/>
        </w:rPr>
        <w:t>Мукозит. Гингивит</w:t>
      </w:r>
    </w:p>
    <w:p w14:paraId="1D733076" w14:textId="77777777" w:rsidR="006B1126" w:rsidRPr="00761653" w:rsidRDefault="006B1126" w:rsidP="006B1126">
      <w:pPr>
        <w:widowControl w:val="0"/>
        <w:tabs>
          <w:tab w:val="left" w:pos="0"/>
        </w:tabs>
        <w:autoSpaceDE w:val="0"/>
        <w:autoSpaceDN w:val="0"/>
        <w:adjustRightInd w:val="0"/>
        <w:ind w:right="49" w:firstLine="709"/>
        <w:contextualSpacing/>
      </w:pPr>
      <w:r w:rsidRPr="00761653">
        <w:t xml:space="preserve">Чаще обусловлен грибами рода </w:t>
      </w:r>
      <w:r w:rsidRPr="00761653">
        <w:rPr>
          <w:i/>
        </w:rPr>
        <w:t>Candida</w:t>
      </w:r>
      <w:r w:rsidRPr="00761653">
        <w:t xml:space="preserve"> и герпес-вирусами, реже грамотрицательными бактериями (</w:t>
      </w:r>
      <w:r w:rsidRPr="00761653">
        <w:rPr>
          <w:i/>
        </w:rPr>
        <w:t>P. aeruginosa</w:t>
      </w:r>
      <w:r w:rsidRPr="00761653">
        <w:t xml:space="preserve">, </w:t>
      </w:r>
      <w:r w:rsidRPr="00761653">
        <w:rPr>
          <w:i/>
        </w:rPr>
        <w:t>S. malthopilia</w:t>
      </w:r>
      <w:r w:rsidRPr="00761653">
        <w:t>, бактериями порядка Enterobacterales). Лечение согласно выделенным микроорганизмам. При мукозите III-IV степени - ванкомицин, или даптомицин, или линезолид ввиду высокой вероятности развития сепсиса, обусловленного стрептококками</w:t>
      </w:r>
      <w:r w:rsidRPr="00761653">
        <w:rPr>
          <w:b/>
          <w:bCs/>
        </w:rPr>
        <w:t xml:space="preserve"> </w:t>
      </w:r>
      <w:r w:rsidRPr="00761653">
        <w:t xml:space="preserve">группы </w:t>
      </w:r>
      <w:r w:rsidRPr="00761653">
        <w:rPr>
          <w:i/>
          <w:iCs/>
        </w:rPr>
        <w:t>viridans</w:t>
      </w:r>
      <w:r w:rsidRPr="00761653">
        <w:t xml:space="preserve">. </w:t>
      </w:r>
    </w:p>
    <w:p w14:paraId="6716EEE3" w14:textId="77777777" w:rsidR="006B1126" w:rsidRPr="00D86CB7" w:rsidRDefault="006B1126" w:rsidP="006B1126">
      <w:pPr>
        <w:widowControl w:val="0"/>
        <w:tabs>
          <w:tab w:val="left" w:pos="0"/>
        </w:tabs>
        <w:autoSpaceDE w:val="0"/>
        <w:autoSpaceDN w:val="0"/>
        <w:adjustRightInd w:val="0"/>
        <w:ind w:right="49" w:firstLine="709"/>
        <w:contextualSpacing/>
        <w:rPr>
          <w:bCs/>
          <w:i/>
          <w:iCs/>
        </w:rPr>
      </w:pPr>
      <w:r w:rsidRPr="00D86CB7">
        <w:rPr>
          <w:bCs/>
          <w:i/>
          <w:iCs/>
          <w:u w:val="single"/>
        </w:rPr>
        <w:t>Пневмония</w:t>
      </w:r>
    </w:p>
    <w:p w14:paraId="75D77A5D" w14:textId="77777777" w:rsidR="006B1126" w:rsidRPr="00761653" w:rsidRDefault="006B1126" w:rsidP="006B1126">
      <w:pPr>
        <w:widowControl w:val="0"/>
        <w:tabs>
          <w:tab w:val="left" w:pos="0"/>
        </w:tabs>
        <w:autoSpaceDE w:val="0"/>
        <w:autoSpaceDN w:val="0"/>
        <w:adjustRightInd w:val="0"/>
        <w:ind w:right="49" w:firstLine="709"/>
        <w:contextualSpacing/>
      </w:pPr>
      <w:r w:rsidRPr="00761653">
        <w:t xml:space="preserve">При стабильной ситуации выполняют БАЛ и дальнейшую модификацию антимикробной терапии осуществляют по результатам микробиологического исследования. При нестабильном соматическом состоянии или невозможности выполнения БАЛ назначают карбапенем (меропенем или имипенем/циластатин или дорипенем) и отменяют антибиотики первого этапа у больных с фебрильной нейтропенией. Вориконазол добавляют к лечению при пневмонии, резистентной к лечению антибиотиками, больным с нейтропенией от 10 дней и более или при лечении глюкокортикоидами, при условии, что не выявлены другие потенциальные возбудители пневмонии. Вориконазол назначают внутривенно, в 1-й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 </w:t>
      </w:r>
    </w:p>
    <w:p w14:paraId="667E444F" w14:textId="77777777" w:rsidR="006B1126" w:rsidRPr="00D86CB7" w:rsidRDefault="006B1126" w:rsidP="006B1126">
      <w:pPr>
        <w:widowControl w:val="0"/>
        <w:autoSpaceDE w:val="0"/>
        <w:autoSpaceDN w:val="0"/>
        <w:adjustRightInd w:val="0"/>
        <w:ind w:right="49" w:firstLine="709"/>
        <w:contextualSpacing/>
        <w:rPr>
          <w:bCs/>
          <w:i/>
          <w:u w:val="single"/>
        </w:rPr>
      </w:pPr>
      <w:r w:rsidRPr="00D86CB7">
        <w:rPr>
          <w:bCs/>
          <w:i/>
          <w:u w:val="single"/>
        </w:rPr>
        <w:t>Инфекция перианальной области (парапроктит, обострение геморроя и другие)</w:t>
      </w:r>
    </w:p>
    <w:p w14:paraId="150F74BA" w14:textId="77777777" w:rsidR="006B1126" w:rsidRPr="00761653" w:rsidRDefault="006B1126" w:rsidP="006B1126">
      <w:pPr>
        <w:widowControl w:val="0"/>
        <w:autoSpaceDE w:val="0"/>
        <w:autoSpaceDN w:val="0"/>
        <w:adjustRightInd w:val="0"/>
        <w:ind w:right="49" w:firstLine="709"/>
        <w:contextualSpacing/>
      </w:pPr>
      <w:r>
        <w:t xml:space="preserve">Диагностику и тактику лечения перианальной области – см. ниже в настоящей главе. </w:t>
      </w:r>
      <w:r w:rsidRPr="00761653">
        <w:lastRenderedPageBreak/>
        <w:t xml:space="preserve">Схемы антимикробной терапии включаяют препараты с активностью против грамотрицательных и анаэробных бактерий (цефоперазон/сульбактам + амикацин, или цефепим + амикацин + метронидазол или антипсевдомонадный карбапенем). При неэффективности добавляют антибиотики, активные против грамположительных бактерий (ванкомицин или телаванцин или линезолид или тедизолид или даптомицин), при выделении </w:t>
      </w:r>
      <w:r w:rsidRPr="00761653">
        <w:rPr>
          <w:i/>
        </w:rPr>
        <w:t>Candida</w:t>
      </w:r>
      <w:r w:rsidRPr="00761653">
        <w:t xml:space="preserve"> spp. из ректального мазка – флуконазол (400 мг в/в 1 раз в сутки). </w:t>
      </w:r>
    </w:p>
    <w:p w14:paraId="6F00E9A3" w14:textId="77777777" w:rsidR="00D86CB7" w:rsidRDefault="00D86CB7" w:rsidP="006B1126">
      <w:pPr>
        <w:widowControl w:val="0"/>
        <w:autoSpaceDE w:val="0"/>
        <w:autoSpaceDN w:val="0"/>
        <w:adjustRightInd w:val="0"/>
        <w:ind w:right="49" w:firstLine="709"/>
        <w:contextualSpacing/>
        <w:rPr>
          <w:b/>
          <w:bCs/>
        </w:rPr>
      </w:pPr>
    </w:p>
    <w:p w14:paraId="0CFDB7E0" w14:textId="5863EDC8" w:rsidR="006B1126" w:rsidRPr="00D86CB7" w:rsidRDefault="00D86CB7" w:rsidP="00D86CB7">
      <w:pPr>
        <w:widowControl w:val="0"/>
        <w:autoSpaceDE w:val="0"/>
        <w:autoSpaceDN w:val="0"/>
        <w:adjustRightInd w:val="0"/>
        <w:ind w:right="49"/>
        <w:contextualSpacing/>
        <w:rPr>
          <w:bCs/>
          <w:u w:val="single"/>
        </w:rPr>
      </w:pPr>
      <w:r>
        <w:rPr>
          <w:bCs/>
          <w:u w:val="single"/>
        </w:rPr>
        <w:t xml:space="preserve">7.4.9 </w:t>
      </w:r>
      <w:r w:rsidR="006B1126" w:rsidRPr="00D86CB7">
        <w:rPr>
          <w:bCs/>
          <w:u w:val="single"/>
        </w:rPr>
        <w:t>Критерии прекращения противомикробной терапии</w:t>
      </w:r>
    </w:p>
    <w:p w14:paraId="7C83B79B" w14:textId="77777777" w:rsidR="006B1126" w:rsidRPr="00761653" w:rsidRDefault="006B1126" w:rsidP="006B1126">
      <w:pPr>
        <w:widowControl w:val="0"/>
        <w:autoSpaceDE w:val="0"/>
        <w:autoSpaceDN w:val="0"/>
        <w:adjustRightInd w:val="0"/>
        <w:ind w:right="49" w:firstLine="709"/>
        <w:contextualSpacing/>
      </w:pPr>
      <w:r w:rsidRPr="00D86CB7">
        <w:rPr>
          <w:i/>
          <w:iCs/>
          <w:u w:val="single"/>
        </w:rPr>
        <w:t>При лихорадке неясной этиологии</w:t>
      </w:r>
      <w:r w:rsidRPr="00761653">
        <w:rPr>
          <w:b/>
          <w:bCs/>
        </w:rPr>
        <w:t xml:space="preserve"> </w:t>
      </w:r>
      <w:r w:rsidRPr="00761653">
        <w:t xml:space="preserve">в период нейтропении/лейкопении антибиотики отменяют через 72 часа, если у </w:t>
      </w:r>
      <w:r>
        <w:t>пациента</w:t>
      </w:r>
      <w:r w:rsidRPr="00761653">
        <w:t xml:space="preserve"> не было эпизода нестабильной гемодинамики в данный эпизод инфекции и нормальная температура отмечается в течение 48 ч. </w:t>
      </w:r>
    </w:p>
    <w:p w14:paraId="6427AE17" w14:textId="77777777" w:rsidR="006B1126" w:rsidRPr="00761653" w:rsidRDefault="006B1126" w:rsidP="006B1126">
      <w:pPr>
        <w:widowControl w:val="0"/>
        <w:autoSpaceDE w:val="0"/>
        <w:autoSpaceDN w:val="0"/>
        <w:adjustRightInd w:val="0"/>
        <w:ind w:right="49" w:firstLine="709"/>
        <w:contextualSpacing/>
      </w:pPr>
      <w:r w:rsidRPr="00D86CB7">
        <w:rPr>
          <w:i/>
          <w:iCs/>
          <w:u w:val="single"/>
        </w:rPr>
        <w:t>При клинически и микробиологически доказанной инфекции</w:t>
      </w:r>
      <w:r w:rsidRPr="00761653">
        <w:t xml:space="preserve"> длительность применения антибиотиков составляет не менее 7 дней, при соблюдении условий, что нормальная температура наблюдается не менее 4-х дней, очаги инфекции полностью регрессировали, достигнута (или предполагается) микробиологическая эрадикация возбудителя подтвержденной инфекции. После отмены антибиотиков продолжиют наблюдение </w:t>
      </w:r>
      <w:r>
        <w:t>пациента</w:t>
      </w:r>
      <w:r w:rsidRPr="00761653">
        <w:t xml:space="preserve"> с нейтропенией/лейкопенией в течение последующих 24-48 ч, и в случае появления температуры вновь назначают антибиотики. </w:t>
      </w:r>
    </w:p>
    <w:p w14:paraId="49B287A2" w14:textId="77777777" w:rsidR="00D86CB7" w:rsidRDefault="00D86CB7" w:rsidP="00D86CB7">
      <w:pPr>
        <w:widowControl w:val="0"/>
        <w:autoSpaceDE w:val="0"/>
        <w:autoSpaceDN w:val="0"/>
        <w:adjustRightInd w:val="0"/>
        <w:ind w:right="49"/>
        <w:contextualSpacing/>
        <w:rPr>
          <w:b/>
          <w:bCs/>
        </w:rPr>
      </w:pPr>
    </w:p>
    <w:p w14:paraId="614EA110" w14:textId="56A7C4DF" w:rsidR="006B1126" w:rsidRPr="00D86CB7" w:rsidRDefault="00D86CB7" w:rsidP="00D86CB7">
      <w:pPr>
        <w:widowControl w:val="0"/>
        <w:autoSpaceDE w:val="0"/>
        <w:autoSpaceDN w:val="0"/>
        <w:adjustRightInd w:val="0"/>
        <w:ind w:right="49"/>
        <w:contextualSpacing/>
        <w:rPr>
          <w:bCs/>
          <w:u w:val="single"/>
        </w:rPr>
      </w:pPr>
      <w:r>
        <w:rPr>
          <w:bCs/>
          <w:u w:val="single"/>
        </w:rPr>
        <w:t xml:space="preserve">7.4.10 </w:t>
      </w:r>
      <w:r w:rsidR="006B1126" w:rsidRPr="00D86CB7">
        <w:rPr>
          <w:bCs/>
          <w:u w:val="single"/>
        </w:rPr>
        <w:t>Лечение пациентов в амбулаторных условиях</w:t>
      </w:r>
    </w:p>
    <w:p w14:paraId="2085D48E" w14:textId="77777777" w:rsidR="006B1126" w:rsidRDefault="006B1126" w:rsidP="006B1126">
      <w:pPr>
        <w:widowControl w:val="0"/>
        <w:autoSpaceDE w:val="0"/>
        <w:autoSpaceDN w:val="0"/>
        <w:adjustRightInd w:val="0"/>
        <w:ind w:right="49" w:firstLine="709"/>
        <w:contextualSpacing/>
      </w:pPr>
      <w:r w:rsidRPr="00761653">
        <w:t xml:space="preserve">Амбулаторное лечение инфекционных осложнений в период нейтропении/лейкопении </w:t>
      </w:r>
      <w:r w:rsidRPr="00D40538">
        <w:t xml:space="preserve">проводят в большинстве случаев при условии, что ожидаемая длительность ее не будет превышать 5-10 дней и единственный симптом инфекции – температура менее 39,0°С; при этом нет значимых изменений в легких по данным радиологических исследований; отсутствует артериальная гипотензия и дыхательная недостаточность; нет клиники декомпенсации </w:t>
      </w:r>
      <w:r w:rsidRPr="00761653">
        <w:t xml:space="preserve">хронических заболеваний легких и сахарного диабета; нет нарушения сознания; отсутствует кровотечение; на предыдущих курсах химиотерапии не было инвазивного аспергиллеза. При ухудшении состояния больной должен быть </w:t>
      </w:r>
      <w:r w:rsidRPr="00D40538">
        <w:t xml:space="preserve">экстренно </w:t>
      </w:r>
      <w:r w:rsidRPr="00761653">
        <w:t xml:space="preserve">госпитализирован в стационар в любое время суток. </w:t>
      </w:r>
    </w:p>
    <w:p w14:paraId="49381B16" w14:textId="77777777" w:rsidR="006B1126" w:rsidRDefault="006B1126" w:rsidP="006B1126">
      <w:pPr>
        <w:widowControl w:val="0"/>
        <w:autoSpaceDE w:val="0"/>
        <w:autoSpaceDN w:val="0"/>
        <w:adjustRightInd w:val="0"/>
        <w:ind w:right="49" w:firstLine="709"/>
        <w:contextualSpacing/>
      </w:pPr>
      <w:r w:rsidRPr="00761653">
        <w:t xml:space="preserve">Амбулаторно назначают сочетание амоксициллина/клавуланата (625 мг внутрь 3 раза в сутки) с ципрофлоксацином (0,5 г внутрь 2 раза в сутки) </w:t>
      </w:r>
      <w:r w:rsidRPr="00761653">
        <w:rPr>
          <w:i/>
          <w:iCs/>
        </w:rPr>
        <w:t xml:space="preserve">или </w:t>
      </w:r>
      <w:r w:rsidRPr="00761653">
        <w:t xml:space="preserve">левофлоксацин (по 0,5 г внутрь 1 раз в сутки) </w:t>
      </w:r>
      <w:r w:rsidRPr="00761653">
        <w:rPr>
          <w:i/>
          <w:iCs/>
        </w:rPr>
        <w:t>или</w:t>
      </w:r>
      <w:r w:rsidRPr="00761653">
        <w:t xml:space="preserve"> моксифлоксацин (0,4 г внутрь1 раз в сутки).</w:t>
      </w:r>
    </w:p>
    <w:p w14:paraId="019917F5" w14:textId="77777777" w:rsidR="00D86CB7" w:rsidRDefault="00D86CB7" w:rsidP="00D86CB7">
      <w:pPr>
        <w:widowControl w:val="0"/>
        <w:autoSpaceDE w:val="0"/>
        <w:autoSpaceDN w:val="0"/>
        <w:adjustRightInd w:val="0"/>
        <w:ind w:right="49"/>
        <w:contextualSpacing/>
        <w:jc w:val="left"/>
        <w:rPr>
          <w:b/>
        </w:rPr>
      </w:pPr>
    </w:p>
    <w:p w14:paraId="0873EA1F" w14:textId="1CC41536" w:rsidR="006B1126" w:rsidRPr="00D86CB7" w:rsidRDefault="00D86CB7" w:rsidP="00D86CB7">
      <w:pPr>
        <w:widowControl w:val="0"/>
        <w:autoSpaceDE w:val="0"/>
        <w:autoSpaceDN w:val="0"/>
        <w:adjustRightInd w:val="0"/>
        <w:ind w:right="49"/>
        <w:contextualSpacing/>
        <w:rPr>
          <w:bCs/>
          <w:u w:val="single"/>
        </w:rPr>
      </w:pPr>
      <w:r>
        <w:rPr>
          <w:bCs/>
          <w:u w:val="single"/>
        </w:rPr>
        <w:t xml:space="preserve">7.4.11 </w:t>
      </w:r>
      <w:r w:rsidR="006B1126" w:rsidRPr="00D86CB7">
        <w:rPr>
          <w:bCs/>
          <w:u w:val="single"/>
        </w:rPr>
        <w:t xml:space="preserve">Перианальная инфекция </w:t>
      </w:r>
    </w:p>
    <w:p w14:paraId="61E9538B" w14:textId="77777777" w:rsidR="006B1126" w:rsidRPr="009A4DCC" w:rsidRDefault="006B1126" w:rsidP="006B1126">
      <w:pPr>
        <w:widowControl w:val="0"/>
        <w:autoSpaceDE w:val="0"/>
        <w:autoSpaceDN w:val="0"/>
        <w:adjustRightInd w:val="0"/>
        <w:ind w:right="49" w:firstLine="709"/>
        <w:contextualSpacing/>
      </w:pPr>
      <w:r>
        <w:t>Перианальная инфекция чаще встречается при нейтропении, которая</w:t>
      </w:r>
      <w:r w:rsidRPr="009A4DCC">
        <w:t xml:space="preserve"> существенным </w:t>
      </w:r>
      <w:r w:rsidRPr="009A4DCC">
        <w:lastRenderedPageBreak/>
        <w:t>образом меняет клинику и течение инфекционных процессов, формирование воспалительных изменений в тканях может быть отсроченным и иметь атипичные формы; так, формирование абсцессов в условиях нейтропении происходит редко, изменения в тканях могут представлять собой воспалител</w:t>
      </w:r>
      <w:r>
        <w:t>ьные инфильтраты и некрозы</w:t>
      </w:r>
      <w:r w:rsidRPr="009A4DCC">
        <w:t>. Кроме того, нейтропения определяет возможность для появления дополнительных механизмов инфицирования – распространения микроорганизмов в ткани и кровоток со слизистой кишечника, через повреждения кожи анального канала и перианальной области. Поэтому в условиях нейтропении частыми источниками инфицирования параректальной клетчатки становятся анальные трещины, язвы, эрозивные проктиты, дерматиты и другие процессы, нарушающие барьерну</w:t>
      </w:r>
      <w:r>
        <w:t>ю функцию кожи и слизистой</w:t>
      </w:r>
      <w:r w:rsidRPr="009A4DCC">
        <w:t>.</w:t>
      </w:r>
      <w:r>
        <w:t xml:space="preserve"> </w:t>
      </w:r>
      <w:r w:rsidRPr="009A4DCC">
        <w:t xml:space="preserve">Опасность перианальной инфекции на фоне нейтропении обусловлена высокой </w:t>
      </w:r>
      <w:r>
        <w:t>(до 30%) вероятностью сепсиса</w:t>
      </w:r>
      <w:r w:rsidRPr="009A4DCC">
        <w:t xml:space="preserve">. </w:t>
      </w:r>
    </w:p>
    <w:p w14:paraId="4F36E2BF" w14:textId="77777777" w:rsidR="006B1126" w:rsidRPr="00BE5258" w:rsidRDefault="006B1126" w:rsidP="00D86CB7">
      <w:pPr>
        <w:pStyle w:val="a4"/>
        <w:spacing w:before="0"/>
        <w:ind w:firstLine="709"/>
        <w:rPr>
          <w:bCs/>
          <w:i/>
          <w:iCs/>
          <w:u w:val="single"/>
        </w:rPr>
      </w:pPr>
      <w:r w:rsidRPr="00BE5258">
        <w:rPr>
          <w:bCs/>
          <w:i/>
          <w:iCs/>
          <w:u w:val="single"/>
        </w:rPr>
        <w:t>Клиническая картина.</w:t>
      </w:r>
    </w:p>
    <w:p w14:paraId="07A59EC5" w14:textId="77777777" w:rsidR="006B1126" w:rsidRPr="009A4DCC" w:rsidRDefault="006B1126" w:rsidP="006B1126">
      <w:pPr>
        <w:ind w:firstLine="708"/>
      </w:pPr>
      <w:r w:rsidRPr="009A4DCC">
        <w:t>Признаками перианальной инфекции обычно являются ан</w:t>
      </w:r>
      <w:r>
        <w:t>оректальная боль и лихорадка</w:t>
      </w:r>
      <w:r w:rsidRPr="009A4DCC">
        <w:t>. Оценка характера изменений в тканях является основой для выбора тактики лечения.</w:t>
      </w:r>
    </w:p>
    <w:p w14:paraId="77C895D3" w14:textId="77777777" w:rsidR="006B1126" w:rsidRPr="00BE5258" w:rsidRDefault="006B1126" w:rsidP="00BE5258">
      <w:pPr>
        <w:pStyle w:val="a4"/>
        <w:spacing w:before="0"/>
        <w:ind w:firstLine="709"/>
        <w:rPr>
          <w:bCs/>
          <w:i/>
          <w:iCs/>
          <w:u w:val="single"/>
        </w:rPr>
      </w:pPr>
      <w:r w:rsidRPr="00BE5258">
        <w:rPr>
          <w:bCs/>
          <w:i/>
          <w:iCs/>
          <w:u w:val="single"/>
        </w:rPr>
        <w:t>Диагностика.</w:t>
      </w:r>
    </w:p>
    <w:p w14:paraId="6528AA93" w14:textId="77777777" w:rsidR="006B1126" w:rsidRPr="009A4DCC" w:rsidRDefault="006B1126" w:rsidP="00D61785">
      <w:pPr>
        <w:pStyle w:val="a4"/>
        <w:numPr>
          <w:ilvl w:val="0"/>
          <w:numId w:val="41"/>
        </w:numPr>
        <w:spacing w:before="0"/>
        <w:contextualSpacing/>
      </w:pPr>
      <w:r w:rsidRPr="009A4DCC">
        <w:t>Осмотр колопроктолога (первичный и повторно в динамике)</w:t>
      </w:r>
    </w:p>
    <w:p w14:paraId="6424AB08" w14:textId="77777777" w:rsidR="006B1126" w:rsidRPr="009A4DCC" w:rsidRDefault="006B1126" w:rsidP="00D61785">
      <w:pPr>
        <w:pStyle w:val="a4"/>
        <w:numPr>
          <w:ilvl w:val="0"/>
          <w:numId w:val="41"/>
        </w:numPr>
        <w:spacing w:before="0"/>
        <w:contextualSpacing/>
      </w:pPr>
      <w:r w:rsidRPr="009A4DCC">
        <w:t>МРТ органов малого таза.</w:t>
      </w:r>
    </w:p>
    <w:p w14:paraId="6DC245BE" w14:textId="77777777" w:rsidR="006B1126" w:rsidRPr="009A4DCC" w:rsidRDefault="006B1126" w:rsidP="00D61785">
      <w:pPr>
        <w:pStyle w:val="a4"/>
        <w:numPr>
          <w:ilvl w:val="0"/>
          <w:numId w:val="41"/>
        </w:numPr>
        <w:spacing w:before="0"/>
        <w:contextualSpacing/>
      </w:pPr>
      <w:r>
        <w:t>КТ/СКТ</w:t>
      </w:r>
      <w:r w:rsidRPr="009A4DCC">
        <w:t xml:space="preserve"> органов малого таза</w:t>
      </w:r>
    </w:p>
    <w:p w14:paraId="50FA832F" w14:textId="77777777" w:rsidR="006B1126" w:rsidRPr="00AE580F" w:rsidRDefault="006B1126" w:rsidP="00D61785">
      <w:pPr>
        <w:pStyle w:val="a4"/>
        <w:numPr>
          <w:ilvl w:val="0"/>
          <w:numId w:val="41"/>
        </w:numPr>
        <w:spacing w:before="0"/>
        <w:contextualSpacing/>
      </w:pPr>
      <w:r>
        <w:t>Бактериологическое исследование</w:t>
      </w:r>
    </w:p>
    <w:p w14:paraId="358770FA" w14:textId="77777777" w:rsidR="006B1126" w:rsidRPr="009A4DCC" w:rsidRDefault="006B1126" w:rsidP="006B1126">
      <w:pPr>
        <w:ind w:firstLine="708"/>
      </w:pPr>
      <w:r w:rsidRPr="009A4DCC">
        <w:t>Диагноз перианальной инфекции устанавливается клинически на основании симптомов</w:t>
      </w:r>
      <w:r>
        <w:t>,</w:t>
      </w:r>
      <w:r w:rsidRPr="009A4DCC">
        <w:t xml:space="preserve"> характеризующих воспаление: перианальная боль, эритема, скопление жидк</w:t>
      </w:r>
      <w:r>
        <w:t>ости или образование свища</w:t>
      </w:r>
      <w:r w:rsidRPr="009A4DCC">
        <w:t>. При обследовании пациентов с нейтропенией важно учитывать, что инвазивные диагностические процедуры (ректальное исследование и ректоскопии) у этой категории больных связаны с опасностью диссеминации</w:t>
      </w:r>
      <w:r>
        <w:t xml:space="preserve"> инфекции в ткани и кровоток</w:t>
      </w:r>
      <w:r w:rsidRPr="009A4DCC">
        <w:t>. Если диагноз перианальной инфекции сомнителен у пациента с перианальной болью и недостаточностью клинических признаков, проводится визуализация с помощью МРТ или КТ</w:t>
      </w:r>
      <w:r>
        <w:t>/СКТ органов малого таза</w:t>
      </w:r>
      <w:r w:rsidRPr="009A4DCC">
        <w:t>. МРТ признаками перианальной инфекции является наличие полостей в параректальной клетчатке, скоплений жидкости, дефектов стенки прямой кишки и свищевых ходов. У больных с нейтропенией при наличии клинических данных достаточным МРТ-признаком перианальной инфекции является наличие отека па</w:t>
      </w:r>
      <w:r>
        <w:t>раректальной клетчатки</w:t>
      </w:r>
      <w:r w:rsidRPr="009A4DCC">
        <w:t>. Для выявления характера микрофлоры, назначения и модификации антибактериальной терапии проводят микробиологическое, молекулярное и др. исследования мазков со слизистой прямой кишки, отделяемого свища, поверхности раны</w:t>
      </w:r>
      <w:r>
        <w:t>, соскоба кожи перианальной области</w:t>
      </w:r>
      <w:r w:rsidRPr="009A4DCC">
        <w:t xml:space="preserve">. </w:t>
      </w:r>
    </w:p>
    <w:p w14:paraId="2805E490" w14:textId="79DA3112" w:rsidR="006B1126" w:rsidRPr="00BE5258" w:rsidRDefault="006B1126" w:rsidP="00BE5258">
      <w:pPr>
        <w:pStyle w:val="a4"/>
        <w:spacing w:before="0"/>
        <w:ind w:firstLine="709"/>
        <w:rPr>
          <w:bCs/>
          <w:i/>
          <w:iCs/>
          <w:u w:val="single"/>
        </w:rPr>
      </w:pPr>
      <w:r w:rsidRPr="00BE5258">
        <w:rPr>
          <w:bCs/>
          <w:i/>
          <w:iCs/>
          <w:u w:val="single"/>
        </w:rPr>
        <w:lastRenderedPageBreak/>
        <w:t>Лечение</w:t>
      </w:r>
    </w:p>
    <w:p w14:paraId="051E3591" w14:textId="57F55567" w:rsidR="006B1126" w:rsidRPr="00F36465" w:rsidRDefault="006B1126" w:rsidP="00D61785">
      <w:pPr>
        <w:pStyle w:val="a4"/>
        <w:numPr>
          <w:ilvl w:val="0"/>
          <w:numId w:val="42"/>
        </w:numPr>
        <w:spacing w:before="0"/>
        <w:contextualSpacing/>
      </w:pPr>
      <w:r w:rsidRPr="00F36465">
        <w:t>Антибактериальная терапия</w:t>
      </w:r>
      <w:r>
        <w:t xml:space="preserve"> (см. выше)</w:t>
      </w:r>
    </w:p>
    <w:p w14:paraId="72F9B990" w14:textId="77777777" w:rsidR="006B1126" w:rsidRPr="00F22A59" w:rsidRDefault="006B1126" w:rsidP="00D61785">
      <w:pPr>
        <w:pStyle w:val="a4"/>
        <w:numPr>
          <w:ilvl w:val="0"/>
          <w:numId w:val="42"/>
        </w:numPr>
        <w:spacing w:before="0"/>
        <w:contextualSpacing/>
      </w:pPr>
      <w:r>
        <w:t>Хирургическое пособие</w:t>
      </w:r>
    </w:p>
    <w:p w14:paraId="7150CADC" w14:textId="77777777" w:rsidR="006B1126" w:rsidRPr="009A4DCC" w:rsidRDefault="006B1126" w:rsidP="006B1126">
      <w:pPr>
        <w:ind w:firstLine="708"/>
      </w:pPr>
      <w:r w:rsidRPr="009A4DCC">
        <w:t>Для пациентов страдающих нейтропенией или иной формой иммуносупресии, аноректальные инфекции рассматриваются как состояние, требующее неотложного лечения с помощью антибиотиков, что позволяется остановить развитие аноректал</w:t>
      </w:r>
      <w:r>
        <w:t>ьной инфекции и сепсиса</w:t>
      </w:r>
      <w:r w:rsidRPr="009A4DCC">
        <w:t>. Показано применение на первом этапе антимикробных препаратов, проявляющих активность в отношении грамотрицательных бактерий, включа</w:t>
      </w:r>
      <w:r>
        <w:t>я синегнойную палочку</w:t>
      </w:r>
      <w:r w:rsidRPr="009A4DCC">
        <w:t xml:space="preserve">, введение антимикробных препаратов проводится только </w:t>
      </w:r>
      <w:r>
        <w:t xml:space="preserve">внутрь и </w:t>
      </w:r>
      <w:r w:rsidRPr="009A4DCC">
        <w:t xml:space="preserve">внутривенно. </w:t>
      </w:r>
    </w:p>
    <w:p w14:paraId="43835C5F" w14:textId="77777777" w:rsidR="006B1126" w:rsidRPr="009A4DCC" w:rsidRDefault="006B1126" w:rsidP="006B1126">
      <w:pPr>
        <w:ind w:firstLine="708"/>
      </w:pPr>
      <w:r w:rsidRPr="009A4DCC">
        <w:t>Показанием к операции является формировани</w:t>
      </w:r>
      <w:r>
        <w:t>е абсцесса или некроза</w:t>
      </w:r>
      <w:r w:rsidRPr="009A4DCC">
        <w:t>. Выполняют дрениро</w:t>
      </w:r>
      <w:r>
        <w:t>вание полостей, некрэктомию</w:t>
      </w:r>
      <w:r w:rsidRPr="009A4DCC">
        <w:t>. В ряде случаев (флегмона таза, свищи 3-4 степени сложности) оперативное дренирование сочетают с наложением отводящей колостомы. Хирургическое вмешательство должно быть проведено на фоне антибактериальной терапии под общим обезболиванием. Антибактериальная терапия должна быть продолжена в послеоперационном периоде до исче</w:t>
      </w:r>
      <w:r>
        <w:t>зновения признаков инфекции</w:t>
      </w:r>
      <w:r w:rsidRPr="009A4DCC">
        <w:t xml:space="preserve">. </w:t>
      </w:r>
    </w:p>
    <w:p w14:paraId="217B8B7F" w14:textId="77777777" w:rsidR="006B1126" w:rsidRPr="009A4DCC" w:rsidRDefault="006B1126" w:rsidP="006B1126">
      <w:pPr>
        <w:ind w:firstLine="708"/>
      </w:pPr>
      <w:r w:rsidRPr="009A4DCC">
        <w:t>Пациенты с абсолютным количеством нейтрофилов более 1000х10</w:t>
      </w:r>
      <w:r w:rsidRPr="009A4DCC">
        <w:rPr>
          <w:vertAlign w:val="superscript"/>
        </w:rPr>
        <w:t>9</w:t>
      </w:r>
      <w:r w:rsidRPr="009A4DCC">
        <w:t xml:space="preserve">/л имеют более высокие показатели излечения при хирургическом дренировании, пациенты с более низким количеством нейтрофилов и / или отсутствием флюктуации более успешно лечатся </w:t>
      </w:r>
      <w:r>
        <w:t xml:space="preserve">применением </w:t>
      </w:r>
      <w:r w:rsidRPr="009A4DCC">
        <w:t>только антибиотик</w:t>
      </w:r>
      <w:r>
        <w:t>ов</w:t>
      </w:r>
      <w:r w:rsidRPr="009A4DCC">
        <w:t xml:space="preserve">. </w:t>
      </w:r>
    </w:p>
    <w:p w14:paraId="1BA33898" w14:textId="55D3F3C2" w:rsidR="006B1126" w:rsidRDefault="006B1126" w:rsidP="006B1126">
      <w:pPr>
        <w:ind w:firstLine="708"/>
      </w:pPr>
      <w:r w:rsidRPr="009A4DCC">
        <w:t xml:space="preserve">Прогноз при перианальной инфекции зависит от клинической ситуации. Показатель летальности непосредственно связанный с перианальными инфекционными осложнениями среди онкогематологических пациентов </w:t>
      </w:r>
      <w:r>
        <w:t>при адекватных подходах составляет менее 5%</w:t>
      </w:r>
      <w:r w:rsidRPr="009A4DCC">
        <w:t>.</w:t>
      </w:r>
    </w:p>
    <w:p w14:paraId="3F3B4C44" w14:textId="60E9B108" w:rsidR="00A76E18" w:rsidRDefault="00A76E18" w:rsidP="006B1126">
      <w:pPr>
        <w:ind w:firstLine="708"/>
      </w:pPr>
    </w:p>
    <w:p w14:paraId="3473D7B4" w14:textId="39F079AE" w:rsidR="00A76E18" w:rsidRPr="00262806" w:rsidRDefault="00A76E18" w:rsidP="00A76E18">
      <w:pPr>
        <w:pStyle w:val="2"/>
      </w:pPr>
      <w:bookmarkStart w:id="76" w:name="_Toc65068821"/>
      <w:r>
        <w:t>7.5 Диагностика и лечение в</w:t>
      </w:r>
      <w:r w:rsidRPr="00262806">
        <w:t>ирусны</w:t>
      </w:r>
      <w:r>
        <w:t>х инфекций</w:t>
      </w:r>
      <w:r w:rsidRPr="00262806">
        <w:t xml:space="preserve"> у пациентов с </w:t>
      </w:r>
      <w:r>
        <w:t>ХЛЛ/ЛМЛ</w:t>
      </w:r>
      <w:bookmarkEnd w:id="76"/>
    </w:p>
    <w:p w14:paraId="3D0E1046" w14:textId="06C77FAC" w:rsidR="00A76E18" w:rsidRPr="00E9471C" w:rsidRDefault="00E9471C" w:rsidP="00E9471C">
      <w:pPr>
        <w:widowControl w:val="0"/>
        <w:autoSpaceDE w:val="0"/>
        <w:autoSpaceDN w:val="0"/>
        <w:adjustRightInd w:val="0"/>
        <w:ind w:right="49"/>
        <w:contextualSpacing/>
        <w:rPr>
          <w:bCs/>
          <w:u w:val="single"/>
        </w:rPr>
      </w:pPr>
      <w:r>
        <w:rPr>
          <w:bCs/>
          <w:u w:val="single"/>
        </w:rPr>
        <w:t xml:space="preserve">7.5.1 </w:t>
      </w:r>
      <w:r w:rsidR="00A76E18" w:rsidRPr="00E9471C">
        <w:rPr>
          <w:bCs/>
          <w:u w:val="single"/>
        </w:rPr>
        <w:t>Общие сведения.</w:t>
      </w:r>
    </w:p>
    <w:p w14:paraId="5F931B21" w14:textId="77777777" w:rsidR="00A76E18" w:rsidRDefault="00A76E18" w:rsidP="00A76E18">
      <w:pPr>
        <w:ind w:firstLine="708"/>
      </w:pPr>
      <w:r w:rsidRPr="0028579C">
        <w:t xml:space="preserve">Герпесвирусные инфекции </w:t>
      </w:r>
      <w:r>
        <w:t xml:space="preserve">наиболее часто </w:t>
      </w:r>
      <w:r w:rsidRPr="0028579C">
        <w:t xml:space="preserve">диагностируют у </w:t>
      </w:r>
      <w:r>
        <w:t>гематологических пациентов с</w:t>
      </w:r>
      <w:r w:rsidRPr="0028579C">
        <w:t xml:space="preserve"> лимфопролиферативными заболеваниями</w:t>
      </w:r>
      <w:r>
        <w:t>, в том числе, при ХЛЛ/ЛМЛ</w:t>
      </w:r>
      <w:r w:rsidRPr="0028579C">
        <w:t xml:space="preserve">. </w:t>
      </w:r>
      <w:r>
        <w:t xml:space="preserve">Также высока частота герпесвирусных инфекций после применения ТГСК для лечения пациентов с ХЛЛ/ЛМЛ. Для диагностики герпесвирусных инфекций проводят комплекс необходимых инструментальных исследований для получения материала – исследование полости рта, промежности, влагалища, прямой кишки, эзофагогастродуоденоскопия, бронхоальвеалярный лаваж, люмбальная пункция, пункция/биопсия ткани/очага </w:t>
      </w:r>
      <w:r>
        <w:lastRenderedPageBreak/>
        <w:t>поражения любой локализации, выявленных при УЗИ, КТ/СКТ, МРТ органов и полостей, или физикально (</w:t>
      </w:r>
      <w:r w:rsidRPr="0028579C">
        <w:t>везикул</w:t>
      </w:r>
      <w:r>
        <w:t>ы</w:t>
      </w:r>
      <w:r w:rsidRPr="0028579C">
        <w:t>, “корочки” с везикул</w:t>
      </w:r>
      <w:r>
        <w:t xml:space="preserve">), </w:t>
      </w:r>
      <w:r w:rsidRPr="0028579C">
        <w:t>сыворотк</w:t>
      </w:r>
      <w:r>
        <w:t>а</w:t>
      </w:r>
      <w:r w:rsidRPr="0028579C">
        <w:t xml:space="preserve"> крови</w:t>
      </w:r>
      <w:r>
        <w:t>, и др</w:t>
      </w:r>
      <w:r w:rsidRPr="0028579C">
        <w:t>.</w:t>
      </w:r>
    </w:p>
    <w:p w14:paraId="0C5EC5D5" w14:textId="77777777" w:rsidR="00E9471C" w:rsidRDefault="00E9471C" w:rsidP="00E9471C">
      <w:pPr>
        <w:widowControl w:val="0"/>
        <w:autoSpaceDE w:val="0"/>
        <w:autoSpaceDN w:val="0"/>
        <w:adjustRightInd w:val="0"/>
        <w:ind w:right="49"/>
        <w:contextualSpacing/>
        <w:rPr>
          <w:bCs/>
          <w:u w:val="single"/>
        </w:rPr>
      </w:pPr>
    </w:p>
    <w:p w14:paraId="2984A8B1" w14:textId="4A9306C3" w:rsidR="00A76E18" w:rsidRPr="00E9471C" w:rsidRDefault="00E9471C" w:rsidP="00E9471C">
      <w:pPr>
        <w:widowControl w:val="0"/>
        <w:autoSpaceDE w:val="0"/>
        <w:autoSpaceDN w:val="0"/>
        <w:adjustRightInd w:val="0"/>
        <w:ind w:right="49"/>
        <w:contextualSpacing/>
        <w:rPr>
          <w:bCs/>
          <w:u w:val="single"/>
        </w:rPr>
      </w:pPr>
      <w:r>
        <w:rPr>
          <w:bCs/>
          <w:u w:val="single"/>
        </w:rPr>
        <w:t xml:space="preserve">7.5.2 </w:t>
      </w:r>
      <w:r w:rsidR="00A76E18" w:rsidRPr="00E9471C">
        <w:rPr>
          <w:bCs/>
          <w:u w:val="single"/>
        </w:rPr>
        <w:t>Вирусы простого герпеса 1 и 2 типа (Herpes simplex virus, HSV)</w:t>
      </w:r>
    </w:p>
    <w:p w14:paraId="614850C3" w14:textId="665BB618" w:rsidR="00A76E18" w:rsidRPr="006B215F" w:rsidRDefault="00A76E18" w:rsidP="00A76E18">
      <w:pPr>
        <w:ind w:firstLine="708"/>
      </w:pPr>
      <w:r>
        <w:t>HSV</w:t>
      </w:r>
      <w:r w:rsidRPr="006B215F">
        <w:t xml:space="preserve"> вызывают у </w:t>
      </w:r>
      <w:r>
        <w:t>пациентов</w:t>
      </w:r>
      <w:r w:rsidRPr="006B215F">
        <w:t xml:space="preserve"> </w:t>
      </w:r>
      <w:r>
        <w:t>ХЛЛ/ЛМЛ</w:t>
      </w:r>
      <w:r w:rsidRPr="006B215F">
        <w:t xml:space="preserve"> прежде всего </w:t>
      </w:r>
      <w:r w:rsidRPr="0028579C">
        <w:t>повреждение слизистых оболочек (мукозиты), чаще HSV 1 тип. Мукозиты, вызванные HSV, являются</w:t>
      </w:r>
      <w:r>
        <w:t>,</w:t>
      </w:r>
      <w:r w:rsidRPr="0028579C">
        <w:t xml:space="preserve"> как правило</w:t>
      </w:r>
      <w:r>
        <w:t>,</w:t>
      </w:r>
      <w:r w:rsidRPr="0028579C">
        <w:t xml:space="preserve"> проявлением реактивации латентной вирусной инфекции во время курсов полихимиотерапии (ПХТ) и у реципиентов ТГСК. </w:t>
      </w:r>
      <w:r w:rsidRPr="006B215F">
        <w:t xml:space="preserve">При реактивации </w:t>
      </w:r>
      <w:r>
        <w:t>HSV</w:t>
      </w:r>
      <w:r w:rsidRPr="006B215F">
        <w:t xml:space="preserve"> орофарингеальные дефекты на слизистой оболочке возникают у 85-90%, в области промежности (генитальный гесрпес) – у 10-15% больных. Другая манифестация реактивации </w:t>
      </w:r>
      <w:r>
        <w:t>HSV</w:t>
      </w:r>
      <w:r w:rsidRPr="006B215F">
        <w:t xml:space="preserve"> – это эзофагит (10%). К редким проявлениям относят пневмонию (2-3% при отсутствии профилактики), гепатиты, менингит, энцефалит</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w:t>
      </w:r>
    </w:p>
    <w:p w14:paraId="2E4F271A" w14:textId="77777777" w:rsidR="00A76E18" w:rsidRPr="00E9471C" w:rsidRDefault="00A76E18" w:rsidP="00A76E18">
      <w:pPr>
        <w:ind w:firstLine="708"/>
        <w:rPr>
          <w:bCs/>
          <w:i/>
          <w:iCs/>
          <w:u w:val="single"/>
        </w:rPr>
      </w:pPr>
      <w:r w:rsidRPr="00E9471C">
        <w:rPr>
          <w:bCs/>
          <w:i/>
          <w:iCs/>
          <w:u w:val="single"/>
        </w:rPr>
        <w:t>Диагностика</w:t>
      </w:r>
    </w:p>
    <w:p w14:paraId="2D9BD741" w14:textId="0C6DFF35" w:rsidR="00A76E18" w:rsidRPr="006B215F" w:rsidRDefault="00A76E18" w:rsidP="00A76E18">
      <w:pPr>
        <w:ind w:firstLine="708"/>
      </w:pPr>
      <w:r w:rsidRPr="006B215F">
        <w:t>Серологические тесты (выявление антител</w:t>
      </w:r>
      <w:r>
        <w:t xml:space="preserve"> в крови, биологических жидкостях</w:t>
      </w:r>
      <w:r w:rsidRPr="006B215F">
        <w:t>) проводят до индукционного курса П</w:t>
      </w:r>
      <w:r>
        <w:t>ХТ и</w:t>
      </w:r>
      <w:r w:rsidRPr="006B215F">
        <w:t xml:space="preserve"> перед ТГСК с целью выявдения серопозитивных пациентов</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w:t>
      </w:r>
    </w:p>
    <w:p w14:paraId="4E9DA50A" w14:textId="432335A2" w:rsidR="00A76E18" w:rsidRPr="006B215F" w:rsidRDefault="00A76E18" w:rsidP="00A76E18">
      <w:pPr>
        <w:ind w:firstLine="708"/>
      </w:pPr>
      <w:r w:rsidRPr="006B215F">
        <w:t xml:space="preserve">Для диагностики инфекции необходимо выявление вирусного генома </w:t>
      </w:r>
      <w:r>
        <w:t xml:space="preserve">при молекулярно-биологическом исследовании </w:t>
      </w:r>
      <w:r w:rsidRPr="006B215F">
        <w:t xml:space="preserve">методом </w:t>
      </w:r>
      <w:r w:rsidRPr="0028579C">
        <w:t>полимеразной цепной реакции (ПЦР). Исследуемые</w:t>
      </w:r>
      <w:r w:rsidRPr="006B215F">
        <w:t xml:space="preserve"> образцы – сыворотка крови, отделяемой со слизистой ротогл</w:t>
      </w:r>
      <w:r>
        <w:t>отки (</w:t>
      </w:r>
      <w:r w:rsidRPr="006B215F">
        <w:t xml:space="preserve">при наличии признаков мукозита) или со слизистой пищевода, </w:t>
      </w:r>
      <w:r>
        <w:t xml:space="preserve">аспираты и </w:t>
      </w:r>
      <w:r w:rsidRPr="006B215F">
        <w:t>биоптаты слизистых и органов</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w:t>
      </w:r>
    </w:p>
    <w:p w14:paraId="10D154F7" w14:textId="77777777" w:rsidR="00A76E18" w:rsidRPr="00E9471C" w:rsidRDefault="00A76E18" w:rsidP="00A76E18">
      <w:pPr>
        <w:ind w:firstLine="708"/>
        <w:rPr>
          <w:bCs/>
          <w:i/>
          <w:iCs/>
          <w:u w:val="single"/>
        </w:rPr>
      </w:pPr>
      <w:r w:rsidRPr="00E9471C">
        <w:rPr>
          <w:bCs/>
          <w:i/>
          <w:iCs/>
          <w:u w:val="single"/>
        </w:rPr>
        <w:t>Лечение</w:t>
      </w:r>
    </w:p>
    <w:p w14:paraId="49B54386" w14:textId="5909926F" w:rsidR="00A76E18" w:rsidRPr="006B215F" w:rsidRDefault="00A76E18" w:rsidP="00A76E18">
      <w:pPr>
        <w:ind w:firstLine="708"/>
      </w:pPr>
      <w:r w:rsidRPr="006B215F">
        <w:t>Назначают ацикловир в дозе 250 мг/м</w:t>
      </w:r>
      <w:r w:rsidR="00E9471C" w:rsidRPr="00E9471C">
        <w:rPr>
          <w:vertAlign w:val="superscript"/>
        </w:rPr>
        <w:t>2</w:t>
      </w:r>
      <w:r w:rsidRPr="006B215F">
        <w:t xml:space="preserve"> или 5 мг/кг каждые 8 часов в течение 7-10 дней</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 При нетяжелых мукозитах проводят лечение пероральной формой препаратов- ацикловир по 200 и 5 раз или по 400 мг 5 раз в сутки, валацикловир – по 500 мг х 2 раза, фамцикловир по 500 мг 2 раза в течение 10 дней. При пневмонии или менингите используют высокие дозы ацикловира внутривенно 500 мг/м</w:t>
      </w:r>
      <w:r w:rsidRPr="006B215F">
        <w:rPr>
          <w:vertAlign w:val="superscript"/>
        </w:rPr>
        <w:t xml:space="preserve">2 </w:t>
      </w:r>
      <w:r w:rsidRPr="006B215F">
        <w:t>или 10 мг/кг каждые 8 часов в течение 14-21 дня</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w:t>
      </w:r>
    </w:p>
    <w:p w14:paraId="49EC4392" w14:textId="42905FDA" w:rsidR="00A76E18" w:rsidRPr="006B215F" w:rsidRDefault="00A76E18" w:rsidP="00A76E18">
      <w:pPr>
        <w:ind w:firstLine="708"/>
      </w:pPr>
      <w:r w:rsidRPr="006B215F">
        <w:t xml:space="preserve">Длительный прием ацикловира редко приводит к развитию резистентности. Резистентность к ацикловиру является следствием длительной реактивации </w:t>
      </w:r>
      <w:r>
        <w:t>HSV.</w:t>
      </w:r>
      <w:r w:rsidRPr="006B215F">
        <w:t xml:space="preserve"> В этих случаях назначают фоскарнет внутривенно 60 м</w:t>
      </w:r>
      <w:r>
        <w:t>г/кг каждые 12 час или 40 мг/кг</w:t>
      </w:r>
      <w:r w:rsidRPr="006B215F">
        <w:t xml:space="preserve"> каждые 8 час в течение 7-21 дня или до ликвидации симптомов инфекции</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rsidRPr="006B215F">
        <w:t>.</w:t>
      </w:r>
    </w:p>
    <w:p w14:paraId="242D9E53" w14:textId="77777777" w:rsidR="00BE54EA" w:rsidRDefault="00BE54EA" w:rsidP="00BE54EA">
      <w:pPr>
        <w:widowControl w:val="0"/>
        <w:autoSpaceDE w:val="0"/>
        <w:autoSpaceDN w:val="0"/>
        <w:adjustRightInd w:val="0"/>
        <w:ind w:right="49"/>
        <w:contextualSpacing/>
        <w:rPr>
          <w:bCs/>
          <w:u w:val="single"/>
        </w:rPr>
      </w:pPr>
    </w:p>
    <w:p w14:paraId="07E9145B" w14:textId="3DAA9A1F" w:rsidR="00A76E18" w:rsidRPr="00BE54EA" w:rsidRDefault="00BE54EA" w:rsidP="00BE54EA">
      <w:pPr>
        <w:widowControl w:val="0"/>
        <w:autoSpaceDE w:val="0"/>
        <w:autoSpaceDN w:val="0"/>
        <w:adjustRightInd w:val="0"/>
        <w:ind w:right="49"/>
        <w:contextualSpacing/>
        <w:rPr>
          <w:bCs/>
          <w:u w:val="single"/>
        </w:rPr>
      </w:pPr>
      <w:r>
        <w:rPr>
          <w:bCs/>
          <w:u w:val="single"/>
        </w:rPr>
        <w:t xml:space="preserve">7.5.3 </w:t>
      </w:r>
      <w:r w:rsidR="00A76E18" w:rsidRPr="00BE54EA">
        <w:rPr>
          <w:bCs/>
          <w:u w:val="single"/>
        </w:rPr>
        <w:t xml:space="preserve">Герпес зостер вирус (Herpes zoster virus, HZV) </w:t>
      </w:r>
    </w:p>
    <w:p w14:paraId="13BE9225" w14:textId="77777777" w:rsidR="00A76E18" w:rsidRPr="00EE012F" w:rsidRDefault="00A76E18" w:rsidP="00A76E18">
      <w:pPr>
        <w:ind w:firstLine="708"/>
      </w:pPr>
      <w:r>
        <w:lastRenderedPageBreak/>
        <w:t>Гематологические пациенты с лимфопролиферативными заболеваниями, в частности, с ХЛЛ/ЛМЛ, составляют группу повышенного риска возникновения инфекции</w:t>
      </w:r>
      <w:r w:rsidRPr="006B215F">
        <w:t>, вызванн</w:t>
      </w:r>
      <w:r>
        <w:t>ой</w:t>
      </w:r>
      <w:r w:rsidRPr="006B215F">
        <w:t xml:space="preserve"> </w:t>
      </w:r>
      <w:r>
        <w:t>HZV, независимо от этапа лечения / наблюдения пациента.</w:t>
      </w:r>
    </w:p>
    <w:p w14:paraId="10F959EE" w14:textId="77777777" w:rsidR="00A76E18" w:rsidRPr="006B215F" w:rsidRDefault="00A76E18" w:rsidP="00A76E18">
      <w:pPr>
        <w:ind w:firstLine="708"/>
      </w:pPr>
      <w:r w:rsidRPr="006B215F">
        <w:t xml:space="preserve">Инфекция, вызванная </w:t>
      </w:r>
      <w:r>
        <w:t>HZV</w:t>
      </w:r>
      <w:r w:rsidRPr="006B215F">
        <w:t xml:space="preserve">, характеризуется поражением межпозвоночных ганглиев, множественными высыпаниями на коже по ходу вовлеченных в процесс нервов, часто сопровождающимися сильными болями, возможно развитие энцефалита, гепатита, пневмонии. Описаны случаи локализации </w:t>
      </w:r>
      <w:r>
        <w:t>боли в эпигастральной области,</w:t>
      </w:r>
      <w:r w:rsidRPr="006B215F">
        <w:t xml:space="preserve"> абдоминальные с развитием паралитической кишечной непроходимости.</w:t>
      </w:r>
    </w:p>
    <w:p w14:paraId="48FBB3B0" w14:textId="77777777" w:rsidR="00A76E18" w:rsidRPr="006B215F" w:rsidRDefault="00A76E18" w:rsidP="00A76E18">
      <w:pPr>
        <w:ind w:firstLine="708"/>
      </w:pPr>
      <w:r w:rsidRPr="006B215F">
        <w:t xml:space="preserve">Диагностику проводят на основании </w:t>
      </w:r>
      <w:r>
        <w:t xml:space="preserve">выявления </w:t>
      </w:r>
      <w:r w:rsidRPr="0028579C">
        <w:t xml:space="preserve">дезоксирибонуклеиновой кислоты (ДНК) вируса </w:t>
      </w:r>
      <w:r>
        <w:t xml:space="preserve">при молекулярно-биологическом исследовании </w:t>
      </w:r>
      <w:r w:rsidRPr="0028579C">
        <w:t>методом ПЦР. Исследуют содержимое везикул, “корочки” с везикул, биоптаты тканей, мазки со слизистой зева, спинномозговую жидкость (СМЖ), сыворотку крови</w:t>
      </w:r>
      <w:r>
        <w:t>, и др</w:t>
      </w:r>
      <w:r w:rsidRPr="0028579C">
        <w:t>.</w:t>
      </w:r>
    </w:p>
    <w:p w14:paraId="7B293190" w14:textId="77777777" w:rsidR="00A76E18" w:rsidRDefault="00A76E18" w:rsidP="00A76E18">
      <w:pPr>
        <w:ind w:firstLine="708"/>
      </w:pPr>
      <w:r w:rsidRPr="006B215F">
        <w:t>Лечение проводят ацикловиром внутривенно в дозе 500 мг/м</w:t>
      </w:r>
      <w:r w:rsidRPr="006B215F">
        <w:rPr>
          <w:vertAlign w:val="superscript"/>
        </w:rPr>
        <w:t>2</w:t>
      </w:r>
      <w:r w:rsidRPr="006B215F">
        <w:t xml:space="preserve">, введение каждые 8 часов. При стабилизации состояния возможен переход на пероральный прием препаратов – валацикловир (по 100 мг 3 раза), фамцикловир (по 500 мг 3 раза), ацикловир (800 мг 5 раз). Общая длительность лечения составляет не менее 7 дней. В случае ацикловир-резистентных </w:t>
      </w:r>
      <w:r>
        <w:t xml:space="preserve">HZV используют фоскарнет (60 мг/кг каждые 12 час внутривенно) в течение 2х недель. </w:t>
      </w:r>
    </w:p>
    <w:p w14:paraId="563AD121" w14:textId="77777777" w:rsidR="00BE54EA" w:rsidRDefault="00BE54EA" w:rsidP="00BE54EA">
      <w:pPr>
        <w:contextualSpacing/>
        <w:rPr>
          <w:b/>
        </w:rPr>
      </w:pPr>
    </w:p>
    <w:p w14:paraId="765F5E37" w14:textId="64FD4EED" w:rsidR="00A76E18" w:rsidRPr="00BE54EA" w:rsidRDefault="00BE54EA" w:rsidP="00BE54EA">
      <w:pPr>
        <w:widowControl w:val="0"/>
        <w:autoSpaceDE w:val="0"/>
        <w:autoSpaceDN w:val="0"/>
        <w:adjustRightInd w:val="0"/>
        <w:ind w:right="49"/>
        <w:contextualSpacing/>
        <w:rPr>
          <w:bCs/>
          <w:u w:val="single"/>
        </w:rPr>
      </w:pPr>
      <w:r>
        <w:rPr>
          <w:bCs/>
          <w:u w:val="single"/>
        </w:rPr>
        <w:t xml:space="preserve">7.5.4 </w:t>
      </w:r>
      <w:r w:rsidR="00A76E18" w:rsidRPr="00BE54EA">
        <w:rPr>
          <w:bCs/>
          <w:u w:val="single"/>
        </w:rPr>
        <w:t>Цитомегаловирус (Cytomegalovirus, CMV)</w:t>
      </w:r>
    </w:p>
    <w:p w14:paraId="43AE5C64" w14:textId="6D1BB990" w:rsidR="00A76E18" w:rsidRPr="006B215F" w:rsidRDefault="00A76E18" w:rsidP="00A76E18">
      <w:pPr>
        <w:ind w:firstLine="708"/>
      </w:pPr>
      <w:r w:rsidRPr="0028579C">
        <w:t xml:space="preserve">CMV остается частым осложнением </w:t>
      </w:r>
      <w:r>
        <w:t xml:space="preserve">при ХЛЛ/ЛМЛ и </w:t>
      </w:r>
      <w:r w:rsidRPr="0028579C">
        <w:t>может быть причиной угнетени</w:t>
      </w:r>
      <w:r>
        <w:t>я</w:t>
      </w:r>
      <w:r w:rsidRPr="0028579C">
        <w:t xml:space="preserve"> костно-мозгового кровообращения. Виремия при </w:t>
      </w:r>
      <w:r>
        <w:t xml:space="preserve">ХЛЛ/ЛМЛ </w:t>
      </w:r>
      <w:r w:rsidRPr="0028579C">
        <w:t xml:space="preserve"> достигает 13,6%</w:t>
      </w:r>
      <w:r>
        <w:t>.</w:t>
      </w:r>
      <w:r w:rsidRPr="0028579C">
        <w:t xml:space="preserve"> </w:t>
      </w:r>
      <w:r>
        <w:t xml:space="preserve">Также высока частота CMV при проведении ТГСК. </w:t>
      </w:r>
      <w:r w:rsidRPr="0028579C">
        <w:t>Выделяют CMV</w:t>
      </w:r>
      <w:r>
        <w:t>-</w:t>
      </w:r>
      <w:r w:rsidRPr="0028579C">
        <w:t>инфекцию и CMV</w:t>
      </w:r>
      <w:r>
        <w:t>-</w:t>
      </w:r>
      <w:r w:rsidRPr="0028579C">
        <w:t>заболевание. При CMV</w:t>
      </w:r>
      <w:r>
        <w:t>-</w:t>
      </w:r>
      <w:r w:rsidRPr="0028579C">
        <w:t>инфекции определяется виремия и температура в сочетании или без подавления костно-мозгового кроветворения. В случае CMV</w:t>
      </w:r>
      <w:r>
        <w:t>-</w:t>
      </w:r>
      <w:r w:rsidRPr="0028579C">
        <w:t xml:space="preserve">заболевания вирус определяется в биоптате или из образцов, полученных в ходе инвазивных вмешательств (жидкость бронхоальвеолярного лаважа, СМЖ), </w:t>
      </w:r>
      <w:r>
        <w:t>с</w:t>
      </w:r>
      <w:r w:rsidRPr="0028579C">
        <w:t xml:space="preserve"> наличием</w:t>
      </w:r>
      <w:r w:rsidRPr="006B215F">
        <w:t xml:space="preserve"> симптомов, ассоциированных с </w:t>
      </w:r>
      <w:r>
        <w:t xml:space="preserve">локализацией мест получения </w:t>
      </w:r>
      <w:r w:rsidRPr="006B215F">
        <w:t>образц</w:t>
      </w:r>
      <w:r>
        <w:t>ов</w:t>
      </w:r>
      <w:r w:rsidRPr="006B215F">
        <w:t xml:space="preserve"> исследования. Наряду с пневмонией, энцефалитом, ретинитом может развиться </w:t>
      </w:r>
      <w:r>
        <w:t>CMV-</w:t>
      </w:r>
      <w:r w:rsidRPr="006B215F">
        <w:t>гастроинтестинальное заболевание, диагностика которого является наиболее трудной</w:t>
      </w:r>
      <w:r w:rsidR="00FC43B1" w:rsidRPr="00FC43B1">
        <w:t xml:space="preserve"> </w:t>
      </w:r>
      <w:r w:rsidR="00FC43B1">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FC43B1">
        <w:fldChar w:fldCharType="separate"/>
      </w:r>
      <w:r w:rsidR="00FC43B1" w:rsidRPr="00710C88">
        <w:rPr>
          <w:noProof/>
        </w:rPr>
        <w:t>[84]</w:t>
      </w:r>
      <w:r w:rsidR="00FC43B1">
        <w:fldChar w:fldCharType="end"/>
      </w:r>
      <w:r w:rsidRPr="006B215F">
        <w:t xml:space="preserve">. </w:t>
      </w:r>
    </w:p>
    <w:p w14:paraId="131B3E46" w14:textId="77777777" w:rsidR="00A76E18" w:rsidRPr="00BE54EA" w:rsidRDefault="00A76E18" w:rsidP="00A76E18">
      <w:pPr>
        <w:ind w:firstLine="708"/>
        <w:rPr>
          <w:bCs/>
          <w:i/>
          <w:iCs/>
          <w:u w:val="single"/>
        </w:rPr>
      </w:pPr>
      <w:r w:rsidRPr="00BE54EA">
        <w:rPr>
          <w:bCs/>
          <w:i/>
          <w:iCs/>
          <w:u w:val="single"/>
        </w:rPr>
        <w:t>Диагностика</w:t>
      </w:r>
    </w:p>
    <w:p w14:paraId="1730C405" w14:textId="5A4DE564" w:rsidR="00A76E18" w:rsidRPr="006B215F" w:rsidRDefault="00A76E18" w:rsidP="00A76E18">
      <w:pPr>
        <w:ind w:firstLine="708"/>
      </w:pPr>
      <w:r w:rsidRPr="006B215F">
        <w:t xml:space="preserve">Для диагностики инфекции или заболевания используют </w:t>
      </w:r>
      <w:r w:rsidRPr="00B67A55">
        <w:t>молекулярно-биологическое исследование на цитомегаловирус, включая количественное исследование</w:t>
      </w:r>
      <w:r>
        <w:t xml:space="preserve"> </w:t>
      </w:r>
      <w:r w:rsidRPr="006B215F">
        <w:t xml:space="preserve"> мето</w:t>
      </w:r>
      <w:r>
        <w:t>дом</w:t>
      </w:r>
      <w:r w:rsidRPr="006B215F">
        <w:t xml:space="preserve"> ПЦР</w:t>
      </w:r>
      <w:r w:rsidR="00C51C25">
        <w:t xml:space="preserve"> </w:t>
      </w:r>
      <w:r w:rsidR="00C51C25">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C51C25">
        <w:fldChar w:fldCharType="separate"/>
      </w:r>
      <w:r w:rsidR="00C51C25" w:rsidRPr="00710C88">
        <w:rPr>
          <w:noProof/>
        </w:rPr>
        <w:t>[84]</w:t>
      </w:r>
      <w:r w:rsidR="00C51C25">
        <w:fldChar w:fldCharType="end"/>
      </w:r>
      <w:r w:rsidRPr="006B215F">
        <w:t>. Всем реципиентам аллогенной ТГ</w:t>
      </w:r>
      <w:r>
        <w:t xml:space="preserve">СК следует до </w:t>
      </w:r>
      <w:r w:rsidRPr="006B215F">
        <w:t xml:space="preserve">ТГСК </w:t>
      </w:r>
      <w:r>
        <w:t>определить</w:t>
      </w:r>
      <w:r w:rsidRPr="006B215F">
        <w:t xml:space="preserve"> наличие антител </w:t>
      </w:r>
      <w:r>
        <w:t>CMV, затем проводить мониторинг</w:t>
      </w:r>
      <w:r w:rsidRPr="006B215F">
        <w:t xml:space="preserve"> определения ДНК </w:t>
      </w:r>
      <w:r>
        <w:t>CMV</w:t>
      </w:r>
      <w:r w:rsidRPr="006B215F">
        <w:t xml:space="preserve"> не реже чем 1 </w:t>
      </w:r>
      <w:r w:rsidRPr="006B215F">
        <w:lastRenderedPageBreak/>
        <w:t xml:space="preserve">раз в неделю. Длительность мониторинга составляет не менее 100 дней. Удлинение мониторинга рекомендовано у реципиентов с острой или хронической РТПХ, имевших </w:t>
      </w:r>
      <w:r>
        <w:t>CMV</w:t>
      </w:r>
      <w:r w:rsidRPr="006B215F">
        <w:t xml:space="preserve"> инфекцию в раннем периоде ТГСК, а также у реципиентов после несовместимой или неродственной ТГСК.</w:t>
      </w:r>
    </w:p>
    <w:p w14:paraId="44DCBD52" w14:textId="77777777" w:rsidR="00A76E18" w:rsidRPr="00BE54EA" w:rsidRDefault="00A76E18" w:rsidP="00A76E18">
      <w:pPr>
        <w:ind w:firstLine="708"/>
        <w:rPr>
          <w:bCs/>
          <w:i/>
          <w:iCs/>
          <w:u w:val="single"/>
        </w:rPr>
      </w:pPr>
      <w:r w:rsidRPr="00BE54EA">
        <w:rPr>
          <w:bCs/>
          <w:i/>
          <w:iCs/>
          <w:u w:val="single"/>
        </w:rPr>
        <w:t>Лечение</w:t>
      </w:r>
    </w:p>
    <w:p w14:paraId="6357D3E5" w14:textId="3B018F1A" w:rsidR="00A76E18" w:rsidRPr="006B215F" w:rsidRDefault="00A76E18" w:rsidP="00A76E18">
      <w:pPr>
        <w:ind w:firstLine="708"/>
      </w:pPr>
      <w:r w:rsidRPr="006B215F">
        <w:t>Препаратом 1й линии является ганцикловир (внутривенно, 10 мг/кг/сутки, дозу разделяют на два приема)</w:t>
      </w:r>
      <w:r w:rsidR="00C51C25">
        <w:t xml:space="preserve"> </w:t>
      </w:r>
      <w:r w:rsidR="00C51C25">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C51C25">
        <w:fldChar w:fldCharType="separate"/>
      </w:r>
      <w:r w:rsidR="00C51C25" w:rsidRPr="00710C88">
        <w:rPr>
          <w:noProof/>
        </w:rPr>
        <w:t>[84]</w:t>
      </w:r>
      <w:r w:rsidR="00C51C25">
        <w:fldChar w:fldCharType="end"/>
      </w:r>
      <w:r w:rsidRPr="006B215F">
        <w:t>. При резистентности назначают фоскарнет. Длительность лечения составляет не мене 2 недель. Назначают поддерживающую терапию ганцикловиром, если виремия продолжает определяться через 2 недели</w:t>
      </w:r>
      <w:r w:rsidR="00C51C25">
        <w:t xml:space="preserve"> </w:t>
      </w:r>
      <w:r w:rsidR="00C51C25">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C51C25">
        <w:fldChar w:fldCharType="separate"/>
      </w:r>
      <w:r w:rsidR="00C51C25" w:rsidRPr="00710C88">
        <w:rPr>
          <w:noProof/>
        </w:rPr>
        <w:t>[84]</w:t>
      </w:r>
      <w:r w:rsidR="00C51C25">
        <w:fldChar w:fldCharType="end"/>
      </w:r>
      <w:r w:rsidRPr="006B215F">
        <w:t>.</w:t>
      </w:r>
    </w:p>
    <w:p w14:paraId="4EDC9C78" w14:textId="77777777" w:rsidR="00BE54EA" w:rsidRDefault="00BE54EA" w:rsidP="00BE54EA">
      <w:pPr>
        <w:contextualSpacing/>
        <w:rPr>
          <w:b/>
        </w:rPr>
      </w:pPr>
    </w:p>
    <w:p w14:paraId="3B68E19E" w14:textId="2FEEA9D1" w:rsidR="00A76E18" w:rsidRPr="00BE54EA" w:rsidRDefault="00BE54EA" w:rsidP="00BE54EA">
      <w:pPr>
        <w:contextualSpacing/>
        <w:rPr>
          <w:bCs/>
          <w:u w:val="single"/>
        </w:rPr>
      </w:pPr>
      <w:r w:rsidRPr="00BE54EA">
        <w:rPr>
          <w:bCs/>
          <w:u w:val="single"/>
        </w:rPr>
        <w:t xml:space="preserve">7.5.5 </w:t>
      </w:r>
      <w:r w:rsidR="00A76E18" w:rsidRPr="00BE54EA">
        <w:rPr>
          <w:bCs/>
          <w:u w:val="single"/>
        </w:rPr>
        <w:t>Вирус Эпштейна-Барр (Epstein-Barr virus – EBV)</w:t>
      </w:r>
    </w:p>
    <w:p w14:paraId="41A433AE" w14:textId="4F054301" w:rsidR="00A76E18" w:rsidRDefault="00A76E18" w:rsidP="00A76E18">
      <w:pPr>
        <w:ind w:firstLine="708"/>
      </w:pPr>
      <w:r w:rsidRPr="003605AD">
        <w:t xml:space="preserve">Проявления </w:t>
      </w:r>
      <w:r>
        <w:t>EBV</w:t>
      </w:r>
      <w:r w:rsidRPr="00275E66">
        <w:t>-</w:t>
      </w:r>
      <w:r w:rsidRPr="003605AD">
        <w:t xml:space="preserve">инфекции могут быть в виде </w:t>
      </w:r>
      <w:r>
        <w:t>инфекционного мононуклеоза, хронической EBV</w:t>
      </w:r>
      <w:r w:rsidRPr="00275E66">
        <w:t>-</w:t>
      </w:r>
      <w:r>
        <w:t>инфекции, EBV-ассоциированной опухоли. В некоторых случаях проявлением реактивации бывает энцефалит, пневмония и гепатит. Частота EBV-ассоциированного лимфопролиферативного заболевания составляет у реципиентов аутологичных ТГСК около 0, 07%, аллогенных ТГСК – 0,45-4%</w:t>
      </w:r>
      <w:r w:rsidRPr="006B215F">
        <w:t>;</w:t>
      </w:r>
      <w:r>
        <w:t xml:space="preserve"> наиболее высокий показатель после гаплоидентичной ТГСК (до 25%) и после деплеции Т-клеток (12-29%). Реципиенты после неродственной или частично совместимой ТГСК или после деплеции Т-клеток составляют группу риска в отношении развития EBV</w:t>
      </w:r>
      <w:r w:rsidRPr="006B215F">
        <w:t xml:space="preserve"> </w:t>
      </w:r>
      <w:r>
        <w:t>ассоциированной опухоли</w:t>
      </w:r>
      <w:r w:rsidR="00BA7FFC">
        <w:t xml:space="preserve"> </w:t>
      </w:r>
      <w:r w:rsidR="00BA7FFC">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BA7FFC">
        <w:fldChar w:fldCharType="separate"/>
      </w:r>
      <w:r w:rsidR="00BA7FFC" w:rsidRPr="00BA7FFC">
        <w:rPr>
          <w:noProof/>
        </w:rPr>
        <w:t>[83]</w:t>
      </w:r>
      <w:r w:rsidR="00BA7FFC">
        <w:fldChar w:fldCharType="end"/>
      </w:r>
      <w:r>
        <w:t>.</w:t>
      </w:r>
    </w:p>
    <w:p w14:paraId="535F666A" w14:textId="77777777" w:rsidR="00A76E18" w:rsidRPr="006B215F" w:rsidRDefault="00A76E18" w:rsidP="00A76E18">
      <w:pPr>
        <w:ind w:firstLine="708"/>
      </w:pPr>
      <w:r>
        <w:t>Диагностика – детекция ДНК EBV</w:t>
      </w:r>
      <w:r w:rsidRPr="006B215F">
        <w:t xml:space="preserve"> методом ПЦР (количественный метод). Мониторинг </w:t>
      </w:r>
      <w:r>
        <w:t>ДНК EBV</w:t>
      </w:r>
      <w:r w:rsidRPr="006B215F">
        <w:t xml:space="preserve"> в группе высо</w:t>
      </w:r>
      <w:r>
        <w:t>ко</w:t>
      </w:r>
      <w:r w:rsidRPr="006B215F">
        <w:t xml:space="preserve">го риска (аллогенная ТГСК) необходимо проводить еженедельно в течение 3х месяцев после ТГСК, более продолжительный период – при хронической РТПХ, после </w:t>
      </w:r>
      <w:r>
        <w:t>гаплоидентичной ТГСК, а также среди пациентов с ранней реактивацией EBV</w:t>
      </w:r>
      <w:r w:rsidRPr="006B215F">
        <w:t>.</w:t>
      </w:r>
    </w:p>
    <w:p w14:paraId="0DE8BFEF" w14:textId="40A985DC" w:rsidR="00A76E18" w:rsidRPr="003605AD" w:rsidRDefault="00A76E18" w:rsidP="00A76E18">
      <w:pPr>
        <w:ind w:firstLine="708"/>
      </w:pPr>
      <w:r w:rsidRPr="006B215F">
        <w:t xml:space="preserve">Лечение </w:t>
      </w:r>
      <w:r>
        <w:t>EBV-ассоциированного лимфопролиферативного заболевания проводят ритуксимабом</w:t>
      </w:r>
      <w:r w:rsidR="007D6B93">
        <w:t xml:space="preserve"> </w:t>
      </w:r>
      <w:r w:rsidR="007D6B93">
        <w:fldChar w:fldCharType="begin" w:fldLock="1"/>
      </w:r>
      <w:r w:rsidR="00710C88">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[83]","plainTextFormattedCitation":"[83]","previouslyFormattedCitation":"[83]"},"properties":{"noteIndex":0},"schema":"https://github.com/citation-style-language/schema/raw/master/csl-citation.json"}</w:instrText>
      </w:r>
      <w:r w:rsidR="007D6B93">
        <w:fldChar w:fldCharType="separate"/>
      </w:r>
      <w:r w:rsidR="007D6B93" w:rsidRPr="00BA7FFC">
        <w:rPr>
          <w:noProof/>
        </w:rPr>
        <w:t>[83]</w:t>
      </w:r>
      <w:r w:rsidR="007D6B93">
        <w:fldChar w:fldCharType="end"/>
      </w:r>
      <w:r>
        <w:t>. Антивирусные препараты и иммуноглобулин не рекомендованы для лечения.</w:t>
      </w:r>
    </w:p>
    <w:p w14:paraId="0A5D3D23" w14:textId="77777777" w:rsidR="00BE54EA" w:rsidRDefault="00BE54EA" w:rsidP="00BE54EA">
      <w:pPr>
        <w:contextualSpacing/>
        <w:rPr>
          <w:b/>
        </w:rPr>
      </w:pPr>
    </w:p>
    <w:p w14:paraId="3517FBFB" w14:textId="238E28C3" w:rsidR="00A76E18" w:rsidRPr="00BE54EA" w:rsidRDefault="00BE54EA" w:rsidP="00BE54EA">
      <w:pPr>
        <w:widowControl w:val="0"/>
        <w:autoSpaceDE w:val="0"/>
        <w:autoSpaceDN w:val="0"/>
        <w:adjustRightInd w:val="0"/>
        <w:ind w:right="49"/>
        <w:contextualSpacing/>
        <w:rPr>
          <w:bCs/>
          <w:u w:val="single"/>
        </w:rPr>
      </w:pPr>
      <w:r>
        <w:rPr>
          <w:bCs/>
          <w:u w:val="single"/>
        </w:rPr>
        <w:t xml:space="preserve">7.5.6 </w:t>
      </w:r>
      <w:r w:rsidR="00A76E18" w:rsidRPr="00BE54EA">
        <w:rPr>
          <w:bCs/>
          <w:u w:val="single"/>
        </w:rPr>
        <w:t>Вирус герпеса человека 6 типа (Human herpes virus 6 – HHV-6)</w:t>
      </w:r>
    </w:p>
    <w:p w14:paraId="742AA2F3" w14:textId="5A05E17D" w:rsidR="00A76E18" w:rsidRPr="006B215F" w:rsidRDefault="00A76E18" w:rsidP="00A76E18">
      <w:pPr>
        <w:ind w:firstLine="708"/>
      </w:pPr>
      <w:r>
        <w:t>Среди</w:t>
      </w:r>
      <w:r w:rsidRPr="006B215F">
        <w:rPr>
          <w:b/>
        </w:rPr>
        <w:t xml:space="preserve"> </w:t>
      </w:r>
      <w:r w:rsidRPr="00620C7D">
        <w:t>HHV</w:t>
      </w:r>
      <w:r w:rsidRPr="006B215F">
        <w:t xml:space="preserve">6 выделяют тип А и тип В. </w:t>
      </w:r>
      <w:r>
        <w:t xml:space="preserve">Реактивация вируса может приводить к развитию энцефалита, угнетению костно-мозгового кроветворения, пневмонии, быть причиной диареи. Энцефалит, вызванный </w:t>
      </w:r>
      <w:r w:rsidRPr="005B1B4B">
        <w:t>HHV</w:t>
      </w:r>
      <w:r w:rsidRPr="006B215F">
        <w:t xml:space="preserve">6, является редким проявлением инфекции, описаны случаи при неродственной ТГСК. В СМЖ </w:t>
      </w:r>
      <w:r>
        <w:t>пациентов с</w:t>
      </w:r>
      <w:r w:rsidRPr="006B215F">
        <w:t xml:space="preserve"> энцефалитом </w:t>
      </w:r>
      <w:r w:rsidRPr="005B1B4B">
        <w:t>HHV</w:t>
      </w:r>
      <w:r>
        <w:t>-</w:t>
      </w:r>
      <w:r w:rsidRPr="006B215F">
        <w:t xml:space="preserve">6 определяется повышенный уровень белка, в половине случаев бывает плеоцитоз. </w:t>
      </w:r>
      <w:r w:rsidRPr="0028579C">
        <w:lastRenderedPageBreak/>
        <w:t>Компьютерная томография головного мозга</w:t>
      </w:r>
      <w:r w:rsidRPr="006B215F">
        <w:t xml:space="preserve"> может быть нормальной, изменения </w:t>
      </w:r>
      <w:r w:rsidRPr="0028579C">
        <w:t>определяются при магнитно-резонансной томографии</w:t>
      </w:r>
      <w:r w:rsidR="00710C88">
        <w:t xml:space="preserve"> </w:t>
      </w:r>
      <w:r w:rsidR="00710C88">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710C88">
        <w:fldChar w:fldCharType="separate"/>
      </w:r>
      <w:r w:rsidR="00710C88" w:rsidRPr="00710C88">
        <w:rPr>
          <w:noProof/>
        </w:rPr>
        <w:t>[84]</w:t>
      </w:r>
      <w:r w:rsidR="00710C88">
        <w:fldChar w:fldCharType="end"/>
      </w:r>
      <w:r w:rsidRPr="0028579C">
        <w:t>.</w:t>
      </w:r>
      <w:r w:rsidRPr="006B215F">
        <w:t xml:space="preserve"> </w:t>
      </w:r>
    </w:p>
    <w:p w14:paraId="22BA2B28" w14:textId="77777777" w:rsidR="00A76E18" w:rsidRDefault="00A76E18" w:rsidP="00A76E18">
      <w:pPr>
        <w:ind w:firstLine="708"/>
      </w:pPr>
      <w:r>
        <w:t xml:space="preserve">Диагностика проводится на основании молекулярно-биологического исследования на </w:t>
      </w:r>
      <w:r w:rsidRPr="00620C7D">
        <w:t>HHV</w:t>
      </w:r>
      <w:r w:rsidRPr="006B215F">
        <w:t>6</w:t>
      </w:r>
      <w:r>
        <w:t xml:space="preserve">, выявляющая ДНК вируса методом ПЦР в крови, в СМЖ, других биологических субстратах,  в том числе, количественным методом. </w:t>
      </w:r>
    </w:p>
    <w:p w14:paraId="5B166024" w14:textId="5404F6FC" w:rsidR="00A76E18" w:rsidRDefault="00A76E18" w:rsidP="00A76E18">
      <w:pPr>
        <w:ind w:firstLine="708"/>
      </w:pPr>
      <w:r>
        <w:t>Лечение включает назначение ганцикловира или фоскарнета, возможно сочетанное применение препаратов</w:t>
      </w:r>
      <w:r w:rsidR="00FC43B1">
        <w:t xml:space="preserve"> </w:t>
      </w:r>
      <w:r w:rsidR="00FC43B1">
        <w:fldChar w:fldCharType="begin" w:fldLock="1"/>
      </w:r>
      <w:r w:rsidR="00BA248A">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[84]","plainTextFormattedCitation":"[84]","previouslyFormattedCitation":"[84]"},"properties":{"noteIndex":0},"schema":"https://github.com/citation-style-language/schema/raw/master/csl-citation.json"}</w:instrText>
      </w:r>
      <w:r w:rsidR="00FC43B1">
        <w:fldChar w:fldCharType="separate"/>
      </w:r>
      <w:r w:rsidR="00FC43B1" w:rsidRPr="00710C88">
        <w:rPr>
          <w:noProof/>
        </w:rPr>
        <w:t>[84]</w:t>
      </w:r>
      <w:r w:rsidR="00FC43B1">
        <w:fldChar w:fldCharType="end"/>
      </w:r>
      <w:r>
        <w:t>. Профилактика в отношении HHV</w:t>
      </w:r>
      <w:r w:rsidRPr="006B215F">
        <w:t>-6</w:t>
      </w:r>
      <w:r>
        <w:t xml:space="preserve"> не проводится.</w:t>
      </w:r>
    </w:p>
    <w:p w14:paraId="7AB374FE" w14:textId="519C2D6F" w:rsidR="00C466A6" w:rsidRDefault="00C466A6" w:rsidP="00A76E18">
      <w:pPr>
        <w:ind w:firstLine="708"/>
      </w:pPr>
    </w:p>
    <w:p w14:paraId="4765D0D0" w14:textId="794514C8" w:rsidR="00C466A6" w:rsidRPr="007531B6" w:rsidRDefault="00C466A6" w:rsidP="00C466A6">
      <w:pPr>
        <w:pStyle w:val="2"/>
      </w:pPr>
      <w:bookmarkStart w:id="77" w:name="_Toc65068822"/>
      <w:r>
        <w:t>7.6</w:t>
      </w:r>
      <w:r w:rsidRPr="00710C88">
        <w:t xml:space="preserve">. </w:t>
      </w:r>
      <w:r>
        <w:t>Д</w:t>
      </w:r>
      <w:r w:rsidRPr="007531B6">
        <w:t>иагностика и лечение инфекций</w:t>
      </w:r>
      <w:r>
        <w:t xml:space="preserve">, </w:t>
      </w:r>
      <w:r w:rsidRPr="007531B6">
        <w:t>вызванных грибами</w:t>
      </w:r>
      <w:r>
        <w:t>, у пациентов с ХЛЛ/ЛМЛ</w:t>
      </w:r>
      <w:bookmarkEnd w:id="77"/>
    </w:p>
    <w:p w14:paraId="7025CABC" w14:textId="43E0987F" w:rsidR="00C466A6" w:rsidRPr="007368FB" w:rsidRDefault="007368FB" w:rsidP="007368FB">
      <w:pPr>
        <w:widowControl w:val="0"/>
        <w:autoSpaceDE w:val="0"/>
        <w:autoSpaceDN w:val="0"/>
        <w:adjustRightInd w:val="0"/>
        <w:ind w:right="49"/>
        <w:contextualSpacing/>
        <w:rPr>
          <w:bCs/>
          <w:u w:val="single"/>
        </w:rPr>
      </w:pPr>
      <w:r w:rsidRPr="007368FB">
        <w:rPr>
          <w:bCs/>
          <w:u w:val="single"/>
        </w:rPr>
        <w:t xml:space="preserve">7.6.1 </w:t>
      </w:r>
      <w:r w:rsidR="00C466A6" w:rsidRPr="007368FB">
        <w:rPr>
          <w:bCs/>
          <w:u w:val="single"/>
        </w:rPr>
        <w:t>Обшие сведения.</w:t>
      </w:r>
    </w:p>
    <w:p w14:paraId="74DF886D" w14:textId="77777777" w:rsidR="00C466A6" w:rsidRPr="0002711B" w:rsidRDefault="00C466A6" w:rsidP="00C466A6">
      <w:pPr>
        <w:ind w:firstLine="708"/>
      </w:pPr>
      <w:r>
        <w:t>Высокотехнологичные методы лечения и особенности иммунодефицита у пациентов с гематологическими заболеваниями, в том числе, пациентов с ХЛЛ/ЛМЛ, ассоциированы с увеличением частоты оппортунистических инфекций и прежде всего инфекционных осложнений, вызванных грибами. В структуре инвазивных микозов ведущую позицию занимает инвазивный аспергиллез, далее следует инвазивный кандидоз, возрастает частота микозов, вызванных другими плесневыми грибами. В приложении представлены характеристика инфекционного процесса, вызванного грибами, особенности диагностики и лечения в зависимости от выделенного возбудителя.</w:t>
      </w:r>
    </w:p>
    <w:p w14:paraId="5B683AAB" w14:textId="77777777" w:rsidR="00F87280" w:rsidRDefault="00F87280" w:rsidP="00F87280">
      <w:pPr>
        <w:widowControl w:val="0"/>
        <w:autoSpaceDE w:val="0"/>
        <w:autoSpaceDN w:val="0"/>
        <w:adjustRightInd w:val="0"/>
        <w:ind w:right="51"/>
        <w:contextualSpacing/>
        <w:rPr>
          <w:b/>
          <w:bCs/>
        </w:rPr>
      </w:pPr>
    </w:p>
    <w:p w14:paraId="3E81C0CC" w14:textId="3CF10F53" w:rsidR="00C466A6" w:rsidRPr="00084B8B" w:rsidRDefault="00F87280" w:rsidP="00F87280">
      <w:pPr>
        <w:widowControl w:val="0"/>
        <w:autoSpaceDE w:val="0"/>
        <w:autoSpaceDN w:val="0"/>
        <w:adjustRightInd w:val="0"/>
        <w:ind w:right="49"/>
        <w:contextualSpacing/>
        <w:rPr>
          <w:bCs/>
          <w:u w:val="single"/>
        </w:rPr>
      </w:pPr>
      <w:r>
        <w:rPr>
          <w:bCs/>
          <w:u w:val="single"/>
        </w:rPr>
        <w:t xml:space="preserve">7.6.2 </w:t>
      </w:r>
      <w:r w:rsidR="00C466A6" w:rsidRPr="00F87280">
        <w:rPr>
          <w:bCs/>
          <w:u w:val="single"/>
        </w:rPr>
        <w:t>Диагностика и лечение кандидоза</w:t>
      </w:r>
      <w:r w:rsidR="00084B8B">
        <w:rPr>
          <w:bCs/>
          <w:u w:val="single"/>
          <w:lang w:val="en-US"/>
        </w:rPr>
        <w:t xml:space="preserve"> </w:t>
      </w:r>
      <w:r w:rsidR="00084B8B">
        <w:rPr>
          <w:b/>
        </w:rPr>
        <w:fldChar w:fldCharType="begin" w:fldLock="1"/>
      </w:r>
      <w:r w:rsidR="0029367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[76,79,85,86]","plainTextFormattedCitation":"[76,79,85,86]","previouslyFormattedCitation":"[76,79,85,86]"},"properties":{"noteIndex":0},"schema":"https://github.com/citation-style-language/schema/raw/master/csl-citation.json"}</w:instrText>
      </w:r>
      <w:r w:rsidR="00084B8B">
        <w:rPr>
          <w:b/>
        </w:rPr>
        <w:fldChar w:fldCharType="separate"/>
      </w:r>
      <w:r w:rsidR="00FB256D" w:rsidRPr="00FB256D">
        <w:rPr>
          <w:noProof/>
        </w:rPr>
        <w:t>[76,79,85,86]</w:t>
      </w:r>
      <w:r w:rsidR="00084B8B">
        <w:rPr>
          <w:b/>
        </w:rPr>
        <w:fldChar w:fldCharType="end"/>
      </w:r>
    </w:p>
    <w:p w14:paraId="12CE2E0D" w14:textId="7CC5140D" w:rsidR="00C466A6" w:rsidRPr="0014445B" w:rsidRDefault="00C466A6" w:rsidP="00C466A6">
      <w:pPr>
        <w:widowControl w:val="0"/>
        <w:autoSpaceDE w:val="0"/>
        <w:autoSpaceDN w:val="0"/>
        <w:adjustRightInd w:val="0"/>
        <w:ind w:right="51" w:firstLine="709"/>
        <w:contextualSpacing/>
        <w:rPr>
          <w:b/>
          <w:bCs/>
        </w:rPr>
      </w:pPr>
      <w:r w:rsidRPr="0014445B">
        <w:rPr>
          <w:b/>
          <w:bCs/>
        </w:rPr>
        <w:t>Кандидоз полости рта и глотки (орофарингеальный кандидоз)</w:t>
      </w:r>
    </w:p>
    <w:p w14:paraId="0AC95755" w14:textId="77777777" w:rsidR="00C466A6" w:rsidRPr="00F87280" w:rsidRDefault="00C466A6" w:rsidP="00C466A6">
      <w:pPr>
        <w:widowControl w:val="0"/>
        <w:autoSpaceDE w:val="0"/>
        <w:autoSpaceDN w:val="0"/>
        <w:adjustRightInd w:val="0"/>
        <w:ind w:right="51" w:firstLine="709"/>
        <w:contextualSpacing/>
        <w:rPr>
          <w:i/>
          <w:iCs/>
        </w:rPr>
      </w:pPr>
      <w:r w:rsidRPr="00F87280">
        <w:rPr>
          <w:i/>
          <w:iCs/>
          <w:u w:val="single"/>
        </w:rPr>
        <w:t>Возбудители</w:t>
      </w:r>
    </w:p>
    <w:p w14:paraId="69280A9A" w14:textId="77777777" w:rsidR="00C466A6" w:rsidRPr="00DA2BC8" w:rsidRDefault="00C466A6" w:rsidP="00C466A6">
      <w:pPr>
        <w:widowControl w:val="0"/>
        <w:autoSpaceDE w:val="0"/>
        <w:autoSpaceDN w:val="0"/>
        <w:adjustRightInd w:val="0"/>
        <w:ind w:right="51" w:firstLine="709"/>
        <w:contextualSpacing/>
      </w:pPr>
      <w:r w:rsidRPr="00DA2BC8">
        <w:t xml:space="preserve">Среди возбудителей преобладают </w:t>
      </w:r>
      <w:r w:rsidRPr="00DA2BC8">
        <w:rPr>
          <w:i/>
          <w:iCs/>
        </w:rPr>
        <w:t>Candida albicans,</w:t>
      </w:r>
      <w:r w:rsidRPr="00DA2BC8">
        <w:t xml:space="preserve"> часто в сочетании с бактериями. Другие виды выделяют реже </w:t>
      </w:r>
      <w:r>
        <w:t>(в основном, у пациентов,</w:t>
      </w:r>
      <w:r w:rsidRPr="00DA2BC8">
        <w:t xml:space="preserve"> длительно принимающих противогрибковые препараты</w:t>
      </w:r>
      <w:r>
        <w:t>)</w:t>
      </w:r>
      <w:r w:rsidRPr="00DA2BC8">
        <w:t>.</w:t>
      </w:r>
    </w:p>
    <w:p w14:paraId="402BB506" w14:textId="77777777" w:rsidR="00C466A6" w:rsidRPr="00F87280" w:rsidRDefault="00C466A6" w:rsidP="00C466A6">
      <w:pPr>
        <w:widowControl w:val="0"/>
        <w:autoSpaceDE w:val="0"/>
        <w:autoSpaceDN w:val="0"/>
        <w:adjustRightInd w:val="0"/>
        <w:ind w:right="51" w:firstLine="709"/>
        <w:contextualSpacing/>
        <w:rPr>
          <w:i/>
          <w:iCs/>
          <w:u w:val="single"/>
        </w:rPr>
      </w:pPr>
      <w:r w:rsidRPr="00F87280">
        <w:rPr>
          <w:i/>
          <w:iCs/>
          <w:u w:val="single"/>
        </w:rPr>
        <w:t>Факторы риска</w:t>
      </w:r>
    </w:p>
    <w:p w14:paraId="67CC836A" w14:textId="77777777" w:rsidR="00C466A6" w:rsidRPr="00DA2BC8" w:rsidRDefault="00C466A6" w:rsidP="00C466A6">
      <w:pPr>
        <w:widowControl w:val="0"/>
        <w:autoSpaceDE w:val="0"/>
        <w:autoSpaceDN w:val="0"/>
        <w:adjustRightInd w:val="0"/>
        <w:ind w:right="51" w:firstLine="709"/>
        <w:contextualSpacing/>
      </w:pPr>
      <w:r w:rsidRPr="00DA2BC8">
        <w:t>Основными факторами риска являются нейтропения, применение антибиотиков, глюкокортикоидов, цитостатиков и иммунодепрессантов, проведение лучевой терапии.</w:t>
      </w:r>
    </w:p>
    <w:p w14:paraId="2BDA6A5A" w14:textId="77777777" w:rsidR="00C466A6" w:rsidRPr="00F87280" w:rsidRDefault="00C466A6" w:rsidP="00C466A6">
      <w:pPr>
        <w:widowControl w:val="0"/>
        <w:autoSpaceDE w:val="0"/>
        <w:autoSpaceDN w:val="0"/>
        <w:adjustRightInd w:val="0"/>
        <w:ind w:right="51" w:firstLine="709"/>
        <w:contextualSpacing/>
        <w:rPr>
          <w:i/>
          <w:iCs/>
          <w:u w:val="single"/>
        </w:rPr>
      </w:pPr>
      <w:r w:rsidRPr="00F87280">
        <w:rPr>
          <w:i/>
          <w:iCs/>
          <w:u w:val="single"/>
        </w:rPr>
        <w:t>Симптомы инфекции</w:t>
      </w:r>
    </w:p>
    <w:p w14:paraId="752EC74C" w14:textId="77777777" w:rsidR="00C466A6" w:rsidRPr="00DA2BC8" w:rsidRDefault="00C466A6" w:rsidP="00C466A6">
      <w:pPr>
        <w:widowControl w:val="0"/>
        <w:autoSpaceDE w:val="0"/>
        <w:autoSpaceDN w:val="0"/>
        <w:adjustRightInd w:val="0"/>
        <w:ind w:right="51" w:firstLine="709"/>
        <w:contextualSpacing/>
      </w:pPr>
      <w:r w:rsidRPr="00DA2BC8">
        <w:t>Клинические проявления орофарингеального кандидоза - налеты белого цвета или гиперемия слизистой оболочки ротоглотки, боль в полости рта.</w:t>
      </w:r>
    </w:p>
    <w:p w14:paraId="1EA0AF30" w14:textId="77777777" w:rsidR="00C466A6" w:rsidRPr="00F87280" w:rsidRDefault="00C466A6" w:rsidP="00C466A6">
      <w:pPr>
        <w:widowControl w:val="0"/>
        <w:autoSpaceDE w:val="0"/>
        <w:autoSpaceDN w:val="0"/>
        <w:adjustRightInd w:val="0"/>
        <w:ind w:right="51" w:firstLine="709"/>
        <w:contextualSpacing/>
        <w:rPr>
          <w:i/>
          <w:iCs/>
          <w:u w:val="single"/>
        </w:rPr>
      </w:pPr>
      <w:r w:rsidRPr="00F87280">
        <w:rPr>
          <w:i/>
          <w:iCs/>
          <w:u w:val="single"/>
        </w:rPr>
        <w:t>Диагностика</w:t>
      </w:r>
    </w:p>
    <w:p w14:paraId="156D9297" w14:textId="77777777" w:rsidR="00C466A6" w:rsidRPr="00DA2BC8" w:rsidRDefault="00C466A6" w:rsidP="00C466A6">
      <w:pPr>
        <w:widowControl w:val="0"/>
        <w:autoSpaceDE w:val="0"/>
        <w:autoSpaceDN w:val="0"/>
        <w:adjustRightInd w:val="0"/>
        <w:ind w:right="51" w:firstLine="709"/>
        <w:contextualSpacing/>
      </w:pPr>
      <w:r w:rsidRPr="00DA2BC8">
        <w:t>При наличии симптомов берут мазок с измененной слизистой оболочки для микробиологического исследования (</w:t>
      </w:r>
      <w:r>
        <w:t xml:space="preserve">культуральное исследование, </w:t>
      </w:r>
      <w:r w:rsidRPr="00DA2BC8">
        <w:t xml:space="preserve">посев). При выделении </w:t>
      </w:r>
      <w:r w:rsidRPr="00DA2BC8">
        <w:rPr>
          <w:i/>
          <w:iCs/>
        </w:rPr>
        <w:lastRenderedPageBreak/>
        <w:t>Candida</w:t>
      </w:r>
      <w:r w:rsidRPr="00DA2BC8">
        <w:t xml:space="preserve"> spp. проводят идентификацию до вида. Чувствительность к противогрибковым препаратам определяют при длительном, рецидивирующем орофарингеальном кандидозе </w:t>
      </w:r>
    </w:p>
    <w:p w14:paraId="279D6FA4" w14:textId="77777777" w:rsidR="00C466A6" w:rsidRPr="00F87280" w:rsidRDefault="00C466A6" w:rsidP="00C466A6">
      <w:pPr>
        <w:widowControl w:val="0"/>
        <w:autoSpaceDE w:val="0"/>
        <w:autoSpaceDN w:val="0"/>
        <w:adjustRightInd w:val="0"/>
        <w:ind w:right="51" w:firstLine="709"/>
        <w:contextualSpacing/>
        <w:rPr>
          <w:i/>
          <w:iCs/>
        </w:rPr>
      </w:pPr>
      <w:r w:rsidRPr="00F87280">
        <w:rPr>
          <w:i/>
          <w:iCs/>
          <w:u w:val="single"/>
        </w:rPr>
        <w:t>Показания к назначению противогрибковых препаратов</w:t>
      </w:r>
    </w:p>
    <w:p w14:paraId="5DD0B6AD" w14:textId="77777777" w:rsidR="00C466A6" w:rsidRPr="00DA2BC8" w:rsidRDefault="00C466A6" w:rsidP="00C466A6">
      <w:pPr>
        <w:widowControl w:val="0"/>
        <w:autoSpaceDE w:val="0"/>
        <w:autoSpaceDN w:val="0"/>
        <w:adjustRightInd w:val="0"/>
        <w:ind w:right="51" w:firstLine="709"/>
        <w:contextualSpacing/>
      </w:pPr>
      <w:r w:rsidRPr="00DA2BC8">
        <w:t xml:space="preserve">Наличие симптомов и выделение </w:t>
      </w:r>
      <w:r w:rsidRPr="00DA2BC8">
        <w:rPr>
          <w:i/>
          <w:iCs/>
        </w:rPr>
        <w:t xml:space="preserve">Candida </w:t>
      </w:r>
      <w:r w:rsidRPr="00DA2BC8">
        <w:t xml:space="preserve">spp. в мазках со слизистой ротоглотки. </w:t>
      </w:r>
    </w:p>
    <w:p w14:paraId="2AFCEB5B" w14:textId="77777777" w:rsidR="00C466A6" w:rsidRPr="00F87280" w:rsidRDefault="00C466A6" w:rsidP="00C466A6">
      <w:pPr>
        <w:widowControl w:val="0"/>
        <w:autoSpaceDE w:val="0"/>
        <w:autoSpaceDN w:val="0"/>
        <w:adjustRightInd w:val="0"/>
        <w:ind w:right="51" w:firstLine="709"/>
        <w:contextualSpacing/>
        <w:rPr>
          <w:i/>
          <w:iCs/>
          <w:u w:val="single"/>
        </w:rPr>
      </w:pPr>
      <w:r w:rsidRPr="00F87280">
        <w:rPr>
          <w:i/>
          <w:iCs/>
          <w:u w:val="single"/>
        </w:rPr>
        <w:t xml:space="preserve">Лечение </w:t>
      </w:r>
    </w:p>
    <w:p w14:paraId="43DDDA19" w14:textId="77777777" w:rsidR="00C466A6" w:rsidRPr="00DA2BC8" w:rsidRDefault="00C466A6" w:rsidP="00C466A6">
      <w:pPr>
        <w:widowControl w:val="0"/>
        <w:autoSpaceDE w:val="0"/>
        <w:autoSpaceDN w:val="0"/>
        <w:adjustRightInd w:val="0"/>
        <w:ind w:right="51" w:firstLine="709"/>
        <w:contextualSpacing/>
        <w:rPr>
          <w:b/>
          <w:bCs/>
        </w:rPr>
      </w:pPr>
      <w:r w:rsidRPr="00DA2BC8">
        <w:rPr>
          <w:bCs/>
        </w:rPr>
        <w:t>Препарат выбора</w:t>
      </w:r>
      <w:r w:rsidRPr="00DA2BC8">
        <w:t xml:space="preserve"> — флуконазол, по 400 мг 1 раз в сутки внутрь или внутривенно.</w:t>
      </w:r>
      <w:r w:rsidRPr="00DA2BC8">
        <w:rPr>
          <w:b/>
          <w:bCs/>
        </w:rPr>
        <w:t xml:space="preserve"> </w:t>
      </w:r>
      <w:r w:rsidRPr="00DA2BC8">
        <w:t xml:space="preserve">Флуконазол не назначают при выделении </w:t>
      </w:r>
      <w:r w:rsidRPr="00DA2BC8">
        <w:rPr>
          <w:i/>
          <w:iCs/>
        </w:rPr>
        <w:t>C. krusei</w:t>
      </w:r>
      <w:r w:rsidRPr="00DA2BC8">
        <w:t xml:space="preserve"> или </w:t>
      </w:r>
      <w:r w:rsidRPr="00DA2BC8">
        <w:rPr>
          <w:i/>
          <w:iCs/>
        </w:rPr>
        <w:t xml:space="preserve">C. glabrata. </w:t>
      </w:r>
      <w:r w:rsidRPr="00DA2BC8">
        <w:rPr>
          <w:iCs/>
        </w:rPr>
        <w:t>При</w:t>
      </w:r>
      <w:r w:rsidRPr="00DA2BC8">
        <w:rPr>
          <w:i/>
          <w:iCs/>
        </w:rPr>
        <w:t xml:space="preserve"> </w:t>
      </w:r>
      <w:r w:rsidRPr="00DA2BC8">
        <w:t xml:space="preserve">детекции </w:t>
      </w:r>
      <w:r w:rsidRPr="00DA2BC8">
        <w:rPr>
          <w:i/>
          <w:iCs/>
        </w:rPr>
        <w:t xml:space="preserve">С. krusei </w:t>
      </w:r>
      <w:r w:rsidRPr="00DA2BC8">
        <w:t>или</w:t>
      </w:r>
      <w:r w:rsidRPr="00DA2BC8">
        <w:rPr>
          <w:i/>
          <w:iCs/>
        </w:rPr>
        <w:t xml:space="preserve"> C. glabrata</w:t>
      </w:r>
      <w:r w:rsidRPr="00DA2BC8">
        <w:rPr>
          <w:iCs/>
        </w:rPr>
        <w:t xml:space="preserve"> применяют</w:t>
      </w:r>
      <w:r w:rsidRPr="00DA2BC8">
        <w:rPr>
          <w:i/>
          <w:iCs/>
        </w:rPr>
        <w:t xml:space="preserve"> </w:t>
      </w:r>
      <w:r w:rsidRPr="00DA2BC8">
        <w:t xml:space="preserve">нистатин (5-8 гр в сутки), при выраженном мукозите у больных с фебрильной лейкопенией – эхиноканадин (микафунгин или каспофунгин, или анидулафунгин). </w:t>
      </w:r>
      <w:r w:rsidRPr="00DA2BC8">
        <w:rPr>
          <w:bCs/>
        </w:rPr>
        <w:t xml:space="preserve">При неэффективном применении флуконазола проводят замену на </w:t>
      </w:r>
      <w:r w:rsidRPr="00DA2BC8">
        <w:t xml:space="preserve">эхиноканадин (микафунгин по 100 мг 1 раза в сутки или каспофунгин в 1-й день 70 мг, а затем 50 мг в сутки, анидулафунгин в 1-й день 200 мг, а затем по 100 мг в сутки), позаконазол (суспензия, внутрь после еды), по 400 мг 2 раза в сутки в течение 3 дней, затем по 400 мг 1 раз в день; или вориконазол (таблетки), по 200 мг 2 раза в сутки внутрь; или амфотерицин В, 0,3-0,5 мг/кг/сут внутривенно. </w:t>
      </w:r>
      <w:r w:rsidRPr="00DA2BC8">
        <w:rPr>
          <w:bCs/>
        </w:rPr>
        <w:t>Длительность лечения</w:t>
      </w:r>
      <w:r w:rsidRPr="00DA2BC8">
        <w:t xml:space="preserve"> составляет 7-10 дней. Более длительное применение системных противогрибковых препаратов приводит к появлению флуконазолрезистентных штаммов грибов.</w:t>
      </w:r>
    </w:p>
    <w:p w14:paraId="3104DB55" w14:textId="77777777" w:rsidR="00C466A6" w:rsidRPr="0014445B" w:rsidRDefault="00C466A6" w:rsidP="00C466A6">
      <w:pPr>
        <w:widowControl w:val="0"/>
        <w:autoSpaceDE w:val="0"/>
        <w:autoSpaceDN w:val="0"/>
        <w:adjustRightInd w:val="0"/>
        <w:ind w:right="50" w:firstLine="709"/>
        <w:contextualSpacing/>
        <w:rPr>
          <w:b/>
          <w:bCs/>
        </w:rPr>
      </w:pPr>
      <w:r w:rsidRPr="0014445B">
        <w:rPr>
          <w:b/>
          <w:bCs/>
        </w:rPr>
        <w:t>Кандидоз пищевода</w:t>
      </w:r>
    </w:p>
    <w:p w14:paraId="225F1516"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t>Возбудители</w:t>
      </w:r>
    </w:p>
    <w:p w14:paraId="34B8B23A" w14:textId="77777777" w:rsidR="00C466A6" w:rsidRPr="00DA2BC8" w:rsidRDefault="00C466A6" w:rsidP="00C466A6">
      <w:pPr>
        <w:widowControl w:val="0"/>
        <w:autoSpaceDE w:val="0"/>
        <w:autoSpaceDN w:val="0"/>
        <w:adjustRightInd w:val="0"/>
        <w:ind w:right="50" w:firstLine="709"/>
        <w:contextualSpacing/>
      </w:pPr>
      <w:r w:rsidRPr="00DA2BC8">
        <w:t xml:space="preserve">Среди возбудителей преобладают </w:t>
      </w:r>
      <w:r w:rsidRPr="00DA2BC8">
        <w:rPr>
          <w:i/>
          <w:iCs/>
        </w:rPr>
        <w:t>C. albicans.</w:t>
      </w:r>
    </w:p>
    <w:p w14:paraId="2C9A2E9E" w14:textId="77777777" w:rsidR="00C466A6" w:rsidRPr="00DA2BC8" w:rsidRDefault="00C466A6" w:rsidP="00C466A6">
      <w:pPr>
        <w:widowControl w:val="0"/>
        <w:autoSpaceDE w:val="0"/>
        <w:autoSpaceDN w:val="0"/>
        <w:adjustRightInd w:val="0"/>
        <w:ind w:right="50" w:firstLine="709"/>
        <w:contextualSpacing/>
      </w:pPr>
      <w:r w:rsidRPr="00F87280">
        <w:rPr>
          <w:i/>
          <w:iCs/>
          <w:u w:val="single"/>
        </w:rPr>
        <w:t>Факторы риска</w:t>
      </w:r>
      <w:r w:rsidRPr="00DA2BC8">
        <w:t xml:space="preserve"> те же, что при орофарингеальном кандидозе.</w:t>
      </w:r>
    </w:p>
    <w:p w14:paraId="31FB2B2E"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t>Симптомы инфекции</w:t>
      </w:r>
    </w:p>
    <w:p w14:paraId="0BB45E01" w14:textId="77777777" w:rsidR="00C466A6" w:rsidRPr="00DA2BC8" w:rsidRDefault="00C466A6" w:rsidP="00C466A6">
      <w:pPr>
        <w:widowControl w:val="0"/>
        <w:autoSpaceDE w:val="0"/>
        <w:autoSpaceDN w:val="0"/>
        <w:adjustRightInd w:val="0"/>
        <w:ind w:right="50" w:firstLine="709"/>
        <w:contextualSpacing/>
      </w:pPr>
      <w:r w:rsidRPr="00DA2BC8">
        <w:t>Клинические проявления кандидозного эзофагита — боль по ходу пищевода при глотании, боль или дискомфорт за грудиной в покое. Преобладает поражение дистального отдела пищевода.</w:t>
      </w:r>
    </w:p>
    <w:p w14:paraId="2186FB1F" w14:textId="77777777" w:rsidR="00C466A6" w:rsidRPr="00F87280" w:rsidRDefault="00C466A6" w:rsidP="00C466A6">
      <w:pPr>
        <w:widowControl w:val="0"/>
        <w:autoSpaceDE w:val="0"/>
        <w:autoSpaceDN w:val="0"/>
        <w:adjustRightInd w:val="0"/>
        <w:ind w:right="50" w:firstLine="709"/>
        <w:contextualSpacing/>
        <w:rPr>
          <w:i/>
          <w:iCs/>
        </w:rPr>
      </w:pPr>
      <w:r w:rsidRPr="00F87280">
        <w:rPr>
          <w:i/>
          <w:iCs/>
          <w:u w:val="single"/>
        </w:rPr>
        <w:t>Диагностика</w:t>
      </w:r>
    </w:p>
    <w:p w14:paraId="525C94ED" w14:textId="77777777" w:rsidR="00C466A6" w:rsidRPr="00DA2BC8" w:rsidRDefault="00C466A6" w:rsidP="00C466A6">
      <w:pPr>
        <w:widowControl w:val="0"/>
        <w:autoSpaceDE w:val="0"/>
        <w:autoSpaceDN w:val="0"/>
        <w:adjustRightInd w:val="0"/>
        <w:ind w:right="50" w:firstLine="709"/>
        <w:contextualSpacing/>
      </w:pPr>
      <w:r w:rsidRPr="00DA2BC8">
        <w:t>Проводят эзофагоскопию, при которой выявляют гиперемию или фибриновые налеты на слизистой оболочке пищевода. С измененной слизистой оболочки пищевода берут соскоб браш-методом (при гранулоцитопении и тромбоцитопении) или биоптат (если тромбоцитов в гемограмме более 50,0×10</w:t>
      </w:r>
      <w:r w:rsidRPr="00DA2BC8">
        <w:rPr>
          <w:vertAlign w:val="superscript"/>
        </w:rPr>
        <w:t>9</w:t>
      </w:r>
      <w:r w:rsidRPr="00DA2BC8">
        <w:t xml:space="preserve">/л) для микробиологического исследования. При выделении </w:t>
      </w:r>
      <w:r w:rsidRPr="00DA2BC8">
        <w:rPr>
          <w:i/>
          <w:iCs/>
        </w:rPr>
        <w:t>Candida</w:t>
      </w:r>
      <w:r w:rsidRPr="00DA2BC8">
        <w:t xml:space="preserve"> spp. проводят идентификацию до вида и определение чувствительности. Биоптат пищевода исследуют в лаборатории микробиологии (микроскопия и </w:t>
      </w:r>
      <w:r>
        <w:t>культуральное исследование/</w:t>
      </w:r>
      <w:r w:rsidRPr="00DA2BC8">
        <w:t>посев), вирусологии (</w:t>
      </w:r>
      <w:r>
        <w:t>молекулярно-биологическое определение</w:t>
      </w:r>
      <w:r w:rsidRPr="00DA2BC8">
        <w:t xml:space="preserve"> ДНК герпес-вирусов методом ПЦР) и гистологии</w:t>
      </w:r>
      <w:r>
        <w:t xml:space="preserve"> (гистологическое исследование биоптата)</w:t>
      </w:r>
      <w:r w:rsidRPr="00DA2BC8">
        <w:t>.</w:t>
      </w:r>
    </w:p>
    <w:p w14:paraId="44CA1892"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lastRenderedPageBreak/>
        <w:t>Показания к назначению противогрибковых препаратов</w:t>
      </w:r>
    </w:p>
    <w:p w14:paraId="181D7607" w14:textId="77777777" w:rsidR="00C466A6" w:rsidRPr="00DA2BC8" w:rsidRDefault="00C466A6" w:rsidP="00C466A6">
      <w:pPr>
        <w:widowControl w:val="0"/>
        <w:autoSpaceDE w:val="0"/>
        <w:autoSpaceDN w:val="0"/>
        <w:adjustRightInd w:val="0"/>
        <w:ind w:right="50" w:firstLine="709"/>
        <w:contextualSpacing/>
      </w:pPr>
      <w:r w:rsidRPr="00DA2BC8">
        <w:t xml:space="preserve">Наличие симптомов эзофагита и выделение дрожжевых грибов со слизистой оболочки пищевода при эзофагоскопии. Если невозможно провести эзофагоскопию, то противогрибковые препараты назначают на основании клинических проявлений эзофагита. </w:t>
      </w:r>
    </w:p>
    <w:p w14:paraId="3D45ADFB"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t>Лечение</w:t>
      </w:r>
    </w:p>
    <w:p w14:paraId="35303BF1" w14:textId="77777777" w:rsidR="00C466A6" w:rsidRPr="00DA2BC8" w:rsidRDefault="00C466A6" w:rsidP="00C466A6">
      <w:pPr>
        <w:widowControl w:val="0"/>
        <w:autoSpaceDE w:val="0"/>
        <w:autoSpaceDN w:val="0"/>
        <w:adjustRightInd w:val="0"/>
        <w:ind w:right="50" w:firstLine="709"/>
        <w:contextualSpacing/>
      </w:pPr>
      <w:r w:rsidRPr="00DA2BC8">
        <w:t>Во всех случаях назначают системные противогрибковые препараты. Препараты, обладающие местным действием, для лечения не используют. По возможности сокращают число используемых антибиотиков или отменяют их.</w:t>
      </w:r>
    </w:p>
    <w:p w14:paraId="16786A84" w14:textId="77777777" w:rsidR="00C466A6" w:rsidRPr="00DA2BC8" w:rsidRDefault="00C466A6" w:rsidP="00C466A6">
      <w:pPr>
        <w:widowControl w:val="0"/>
        <w:autoSpaceDE w:val="0"/>
        <w:autoSpaceDN w:val="0"/>
        <w:adjustRightInd w:val="0"/>
        <w:ind w:right="50" w:firstLine="709"/>
        <w:contextualSpacing/>
      </w:pPr>
      <w:r w:rsidRPr="00DA2BC8">
        <w:rPr>
          <w:bCs/>
        </w:rPr>
        <w:t xml:space="preserve">Препарат выбора (исключение </w:t>
      </w:r>
      <w:r w:rsidRPr="00DA2BC8">
        <w:rPr>
          <w:bCs/>
          <w:i/>
          <w:iCs/>
        </w:rPr>
        <w:t>C. krusei</w:t>
      </w:r>
      <w:r w:rsidRPr="00DA2BC8">
        <w:rPr>
          <w:bCs/>
        </w:rPr>
        <w:t xml:space="preserve"> или </w:t>
      </w:r>
      <w:r w:rsidRPr="00DA2BC8">
        <w:rPr>
          <w:bCs/>
          <w:i/>
          <w:iCs/>
        </w:rPr>
        <w:t>C. glabrata</w:t>
      </w:r>
      <w:r w:rsidRPr="00DA2BC8">
        <w:rPr>
          <w:bCs/>
        </w:rPr>
        <w:t>)</w:t>
      </w:r>
      <w:r w:rsidRPr="00DA2BC8">
        <w:t xml:space="preserve"> — флуконазол, по 400 мг 1 раз в сутки внутрь или внутривенно. </w:t>
      </w:r>
      <w:r w:rsidRPr="00DA2BC8">
        <w:rPr>
          <w:bCs/>
        </w:rPr>
        <w:t>Альтернативные препараты</w:t>
      </w:r>
      <w:r w:rsidRPr="00DA2BC8">
        <w:t xml:space="preserve"> - каспофунгин по 50 мг внутривенно 1 раз в сутки, в 1-й день 70 мг; микафунгин по 100 мг внутривенно 1 раз в сутки; анидулафунгин по 100 мг внутривенно 1 раз в сутки, в 1-й день 200 мг; вориконазол по 3 мг/кг внутривенно 2 раза в сутки, в 1-й день по 6 мг/кг 2 раза в сутки или по 200 мг внутрь 2 раза в сутки; итраконазол (суспензия) по 200 мг 2 раза в сутки внутрь (натощак); позаконазол (суспензия) по 400 мг 2 раза в сутки (после приема пищи); амфотерицин В по 0,5-0,7 мг/кг внутривенно 1 раз в сутки. </w:t>
      </w:r>
      <w:r w:rsidRPr="00DA2BC8">
        <w:rPr>
          <w:bCs/>
        </w:rPr>
        <w:t>При неэффективности флуконазола</w:t>
      </w:r>
      <w:r w:rsidRPr="00DA2BC8">
        <w:t xml:space="preserve"> выбор препарата проводят на основании видовой идентификации </w:t>
      </w:r>
      <w:r w:rsidRPr="00DA2BC8">
        <w:rPr>
          <w:i/>
          <w:iCs/>
        </w:rPr>
        <w:t>Candida</w:t>
      </w:r>
      <w:r w:rsidRPr="00DA2BC8">
        <w:t xml:space="preserve"> spp. и определения чувствительности. Препарат выбора при эзофагите, вызванном </w:t>
      </w:r>
      <w:r w:rsidRPr="00DA2BC8">
        <w:rPr>
          <w:i/>
        </w:rPr>
        <w:t>C. krusei</w:t>
      </w:r>
      <w:r w:rsidRPr="00DA2BC8">
        <w:t xml:space="preserve"> или </w:t>
      </w:r>
      <w:r w:rsidRPr="00DA2BC8">
        <w:rPr>
          <w:i/>
        </w:rPr>
        <w:t>C. glabrata</w:t>
      </w:r>
      <w:r w:rsidRPr="00DA2BC8">
        <w:t xml:space="preserve"> – эхинокандин (каспофунгин или микафунгин или анидулафунгин). Не проводят замену флуконазола на азолы (итраконазол или вориконазол, или позаконазол) ввиду перекрестной резистентности. Допустима замена флуконазола на вориконазол при выделении </w:t>
      </w:r>
      <w:r w:rsidRPr="00DA2BC8">
        <w:rPr>
          <w:i/>
          <w:iCs/>
        </w:rPr>
        <w:t>C. krusei.</w:t>
      </w:r>
      <w:r w:rsidRPr="00DA2BC8">
        <w:t xml:space="preserve"> </w:t>
      </w:r>
      <w:r w:rsidRPr="00DA2BC8">
        <w:rPr>
          <w:bCs/>
        </w:rPr>
        <w:t xml:space="preserve">Длительность лечения </w:t>
      </w:r>
      <w:r w:rsidRPr="00DA2BC8">
        <w:t>составляет 14-21 день.</w:t>
      </w:r>
    </w:p>
    <w:p w14:paraId="249AF4E4" w14:textId="77777777" w:rsidR="00C466A6" w:rsidRPr="0014445B" w:rsidRDefault="00C466A6" w:rsidP="00C466A6">
      <w:pPr>
        <w:widowControl w:val="0"/>
        <w:autoSpaceDE w:val="0"/>
        <w:autoSpaceDN w:val="0"/>
        <w:adjustRightInd w:val="0"/>
        <w:ind w:right="50" w:firstLine="709"/>
        <w:contextualSpacing/>
        <w:rPr>
          <w:b/>
          <w:bCs/>
        </w:rPr>
      </w:pPr>
      <w:r w:rsidRPr="0014445B">
        <w:rPr>
          <w:b/>
          <w:bCs/>
        </w:rPr>
        <w:t>Инвазивный кандидоз</w:t>
      </w:r>
    </w:p>
    <w:p w14:paraId="67B18560" w14:textId="77777777" w:rsidR="00C466A6" w:rsidRPr="00DA2BC8" w:rsidRDefault="00C466A6" w:rsidP="00C466A6">
      <w:pPr>
        <w:widowControl w:val="0"/>
        <w:autoSpaceDE w:val="0"/>
        <w:autoSpaceDN w:val="0"/>
        <w:adjustRightInd w:val="0"/>
        <w:ind w:right="50" w:firstLine="709"/>
        <w:contextualSpacing/>
      </w:pPr>
      <w:r w:rsidRPr="00DA2BC8">
        <w:rPr>
          <w:bCs/>
        </w:rPr>
        <w:t xml:space="preserve">Наличие симптомов инфекции и выделение  </w:t>
      </w:r>
      <w:r w:rsidRPr="00DA2BC8">
        <w:rPr>
          <w:bCs/>
          <w:i/>
        </w:rPr>
        <w:t>Candida</w:t>
      </w:r>
      <w:r w:rsidRPr="00DA2BC8">
        <w:rPr>
          <w:bCs/>
        </w:rPr>
        <w:t xml:space="preserve"> spp из стерильных в норме образцов (</w:t>
      </w:r>
      <w:r w:rsidRPr="00DA2BC8">
        <w:t xml:space="preserve">кровь, биоптаты органов и тканей, аспираты). Наиболее частым проявлениям является кандидемия. При кандидемии у больных с нейтропенией может развиться острый диссеминированный кандидоз в результате диссеминации кандид, септический шок, полиорганная недостаточность, смерть. Выделение </w:t>
      </w:r>
      <w:r w:rsidRPr="00DA2BC8">
        <w:rPr>
          <w:i/>
          <w:iCs/>
        </w:rPr>
        <w:t>Candida</w:t>
      </w:r>
      <w:r w:rsidRPr="00DA2BC8">
        <w:t xml:space="preserve"> spp. со слизистых оболочек, включая биоптаты слизистых, из мокроты, из жидкости БАЛ, из мочи не относят к инвазивному кандидозу. Диагноз кандидозной пневмонии не устанавливают на основании выделения </w:t>
      </w:r>
      <w:r w:rsidRPr="00DA2BC8">
        <w:rPr>
          <w:i/>
          <w:iCs/>
        </w:rPr>
        <w:t>Candida</w:t>
      </w:r>
      <w:r w:rsidRPr="00DA2BC8">
        <w:t xml:space="preserve"> spp. из мокроты или жидкости БАЛ, независимо от их количественного содержания в этих образцах. Выделение </w:t>
      </w:r>
      <w:r w:rsidRPr="00DA2BC8">
        <w:rPr>
          <w:i/>
          <w:iCs/>
        </w:rPr>
        <w:t>Candida</w:t>
      </w:r>
      <w:r w:rsidRPr="00DA2BC8">
        <w:t xml:space="preserve"> spp. из мокроты, жидкости БАЛ свидетельствует о колонизации дрожжевыми грибами слизистой оболочки дыхательных путей. Кандидозная пневмония может быть заподозрена только у больных с кандидемией.</w:t>
      </w:r>
    </w:p>
    <w:p w14:paraId="205696B5"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lastRenderedPageBreak/>
        <w:t>Возбудители</w:t>
      </w:r>
    </w:p>
    <w:p w14:paraId="34E067A2" w14:textId="77777777" w:rsidR="00C466A6" w:rsidRPr="005D3BBD" w:rsidRDefault="00C466A6" w:rsidP="00C466A6">
      <w:pPr>
        <w:widowControl w:val="0"/>
        <w:autoSpaceDE w:val="0"/>
        <w:autoSpaceDN w:val="0"/>
        <w:adjustRightInd w:val="0"/>
        <w:ind w:right="50" w:firstLine="709"/>
        <w:contextualSpacing/>
        <w:rPr>
          <w:lang w:val="en-US"/>
        </w:rPr>
      </w:pPr>
      <w:r w:rsidRPr="00DA2BC8">
        <w:t xml:space="preserve">Основными возбудителями являются </w:t>
      </w:r>
      <w:r w:rsidRPr="00DA2BC8">
        <w:rPr>
          <w:i/>
          <w:iCs/>
        </w:rPr>
        <w:t>C. albicans,</w:t>
      </w:r>
      <w:r w:rsidRPr="00DA2BC8">
        <w:t xml:space="preserve"> но частота их не превышает 30-40%. Возрастает</w:t>
      </w:r>
      <w:r w:rsidRPr="005D3BBD">
        <w:rPr>
          <w:lang w:val="en-US"/>
        </w:rPr>
        <w:t xml:space="preserve"> </w:t>
      </w:r>
      <w:r w:rsidRPr="00DA2BC8">
        <w:t>доля</w:t>
      </w:r>
      <w:r w:rsidRPr="005D3BBD">
        <w:rPr>
          <w:lang w:val="en-US"/>
        </w:rPr>
        <w:t xml:space="preserve"> </w:t>
      </w:r>
      <w:r w:rsidRPr="00DA2BC8">
        <w:t>выделения</w:t>
      </w:r>
      <w:r w:rsidRPr="005D3BBD">
        <w:rPr>
          <w:lang w:val="en-US"/>
        </w:rPr>
        <w:t xml:space="preserve"> </w:t>
      </w:r>
      <w:r w:rsidRPr="005D3BBD">
        <w:rPr>
          <w:i/>
          <w:iCs/>
          <w:lang w:val="en-US"/>
        </w:rPr>
        <w:t>Candida</w:t>
      </w:r>
      <w:r w:rsidRPr="005D3BBD">
        <w:rPr>
          <w:lang w:val="en-US"/>
        </w:rPr>
        <w:t xml:space="preserve"> non-</w:t>
      </w:r>
      <w:r w:rsidRPr="005D3BBD">
        <w:rPr>
          <w:i/>
          <w:iCs/>
          <w:lang w:val="en-US"/>
        </w:rPr>
        <w:t>albicans,</w:t>
      </w:r>
      <w:r w:rsidRPr="005D3BBD">
        <w:rPr>
          <w:lang w:val="en-US"/>
        </w:rPr>
        <w:t xml:space="preserve"> </w:t>
      </w:r>
      <w:r w:rsidRPr="00DA2BC8">
        <w:t>таких</w:t>
      </w:r>
      <w:r w:rsidRPr="005D3BBD">
        <w:rPr>
          <w:lang w:val="en-US"/>
        </w:rPr>
        <w:t xml:space="preserve"> </w:t>
      </w:r>
      <w:r w:rsidRPr="00DA2BC8">
        <w:t>как</w:t>
      </w:r>
      <w:r w:rsidRPr="005D3BBD">
        <w:rPr>
          <w:lang w:val="en-US"/>
        </w:rPr>
        <w:t xml:space="preserve"> </w:t>
      </w:r>
      <w:r w:rsidRPr="005D3BBD">
        <w:rPr>
          <w:i/>
          <w:iCs/>
          <w:lang w:val="en-US"/>
        </w:rPr>
        <w:t>Candida parapsilosis</w:t>
      </w:r>
      <w:r w:rsidRPr="005D3BBD">
        <w:rPr>
          <w:lang w:val="en-US"/>
        </w:rPr>
        <w:t xml:space="preserve"> (5-30%), </w:t>
      </w:r>
      <w:r w:rsidRPr="005D3BBD">
        <w:rPr>
          <w:i/>
          <w:iCs/>
          <w:lang w:val="en-US"/>
        </w:rPr>
        <w:t>Candida tropicalis</w:t>
      </w:r>
      <w:r w:rsidRPr="005D3BBD">
        <w:rPr>
          <w:lang w:val="en-US"/>
        </w:rPr>
        <w:t xml:space="preserve"> (5-10%), </w:t>
      </w:r>
      <w:r w:rsidRPr="005D3BBD">
        <w:rPr>
          <w:i/>
          <w:iCs/>
          <w:lang w:val="en-US"/>
        </w:rPr>
        <w:t>C. glabrata</w:t>
      </w:r>
      <w:r w:rsidRPr="005D3BBD">
        <w:rPr>
          <w:lang w:val="en-US"/>
        </w:rPr>
        <w:t xml:space="preserve"> (3-25%), </w:t>
      </w:r>
      <w:r w:rsidRPr="005D3BBD">
        <w:rPr>
          <w:i/>
          <w:iCs/>
          <w:lang w:val="en-US"/>
        </w:rPr>
        <w:t>C. krusei</w:t>
      </w:r>
      <w:r w:rsidRPr="005D3BBD">
        <w:rPr>
          <w:lang w:val="en-US"/>
        </w:rPr>
        <w:t xml:space="preserve"> (3-10%). </w:t>
      </w:r>
    </w:p>
    <w:p w14:paraId="1FF48F70" w14:textId="77777777" w:rsidR="00C466A6" w:rsidRPr="00F87280" w:rsidRDefault="00C466A6" w:rsidP="00C466A6">
      <w:pPr>
        <w:widowControl w:val="0"/>
        <w:autoSpaceDE w:val="0"/>
        <w:autoSpaceDN w:val="0"/>
        <w:adjustRightInd w:val="0"/>
        <w:ind w:right="50" w:firstLine="709"/>
        <w:contextualSpacing/>
        <w:rPr>
          <w:i/>
          <w:iCs/>
          <w:u w:val="single"/>
        </w:rPr>
      </w:pPr>
      <w:r w:rsidRPr="00F87280">
        <w:rPr>
          <w:i/>
          <w:iCs/>
          <w:u w:val="single"/>
        </w:rPr>
        <w:t>Факторы риска</w:t>
      </w:r>
    </w:p>
    <w:p w14:paraId="042F9083" w14:textId="77777777" w:rsidR="00C466A6" w:rsidRPr="00DA2BC8" w:rsidRDefault="00C466A6" w:rsidP="00C466A6">
      <w:pPr>
        <w:widowControl w:val="0"/>
        <w:autoSpaceDE w:val="0"/>
        <w:autoSpaceDN w:val="0"/>
        <w:adjustRightInd w:val="0"/>
        <w:ind w:right="50" w:firstLine="709"/>
        <w:contextualSpacing/>
      </w:pPr>
      <w:r w:rsidRPr="00DA2BC8">
        <w:t>Факторами риска являются нейтропения, колонизация кандидами слизистых оболочек, применение антибиотиков широкого спектра действия, а также глюкокортикоидов, цитостатиков, иммунодепрессантов; абдоминальные операции, наличие центральных венозных катетеров, проведение полного парентерального питания, прием антацидов, Н</w:t>
      </w:r>
      <w:r w:rsidRPr="00DA2BC8">
        <w:rPr>
          <w:vertAlign w:val="subscript"/>
        </w:rPr>
        <w:t>2</w:t>
      </w:r>
      <w:r w:rsidRPr="00DA2BC8">
        <w:t>-блокаторов и иных средств, снижающих кислотность желудочного сока.</w:t>
      </w:r>
    </w:p>
    <w:p w14:paraId="2FC79662" w14:textId="77777777" w:rsidR="00C466A6" w:rsidRPr="00F87280" w:rsidRDefault="00C466A6" w:rsidP="00C466A6">
      <w:pPr>
        <w:widowControl w:val="0"/>
        <w:autoSpaceDE w:val="0"/>
        <w:autoSpaceDN w:val="0"/>
        <w:adjustRightInd w:val="0"/>
        <w:ind w:right="50" w:firstLine="709"/>
        <w:contextualSpacing/>
        <w:rPr>
          <w:i/>
          <w:iCs/>
        </w:rPr>
      </w:pPr>
      <w:r w:rsidRPr="00F87280">
        <w:rPr>
          <w:i/>
          <w:iCs/>
          <w:u w:val="single"/>
        </w:rPr>
        <w:t>Симптомы инфекции</w:t>
      </w:r>
    </w:p>
    <w:p w14:paraId="16E0E833" w14:textId="77777777" w:rsidR="00C466A6" w:rsidRPr="00DA2BC8" w:rsidRDefault="00C466A6" w:rsidP="00C466A6">
      <w:pPr>
        <w:widowControl w:val="0"/>
        <w:autoSpaceDE w:val="0"/>
        <w:autoSpaceDN w:val="0"/>
        <w:adjustRightInd w:val="0"/>
        <w:ind w:right="50" w:firstLine="709"/>
        <w:contextualSpacing/>
      </w:pPr>
      <w:r w:rsidRPr="00DA2BC8">
        <w:t>Клинические симптомы кандидемии неспецифичны. Преобладает лихорадка, которая сохраняется или повторно возникает на фоне лечения антибиотиками широкого спектра действия. В 10-15% случаев отмечается диссеминация в дерму кожи (отсевы) в виде мелких 0,3—0,6 см папулезных образований розовато-красноватого цвета или подкожных абсцессов</w:t>
      </w:r>
      <w:r>
        <w:t>, в</w:t>
      </w:r>
      <w:r w:rsidRPr="00DA2BC8">
        <w:t xml:space="preserve"> части случаев беспокоит выраженная боль в мышца</w:t>
      </w:r>
      <w:r>
        <w:t>х</w:t>
      </w:r>
      <w:r w:rsidRPr="00DA2BC8">
        <w:t>. Диссеминация кандид происходит гематогенно в любой орган</w:t>
      </w:r>
      <w:r>
        <w:t>; у взрослых гематологических</w:t>
      </w:r>
      <w:r w:rsidRPr="00DA2BC8">
        <w:t xml:space="preserve"> </w:t>
      </w:r>
      <w:r>
        <w:t>пациентов</w:t>
      </w:r>
      <w:r w:rsidRPr="00DA2BC8">
        <w:t xml:space="preserve"> преобладает инвазия в печень и/или селезенку (гепатолиенальный кандидоз), у 9-15% возникает эндофтальмит (снижение остроты зрения вплоть до слепоты). </w:t>
      </w:r>
    </w:p>
    <w:p w14:paraId="4D38A1A7" w14:textId="77777777" w:rsidR="00C466A6" w:rsidRPr="00F87280" w:rsidRDefault="00C466A6" w:rsidP="00C466A6">
      <w:pPr>
        <w:widowControl w:val="0"/>
        <w:autoSpaceDE w:val="0"/>
        <w:autoSpaceDN w:val="0"/>
        <w:adjustRightInd w:val="0"/>
        <w:ind w:right="50" w:firstLine="709"/>
        <w:contextualSpacing/>
        <w:rPr>
          <w:i/>
          <w:iCs/>
        </w:rPr>
      </w:pPr>
      <w:r w:rsidRPr="00F87280">
        <w:rPr>
          <w:i/>
          <w:iCs/>
          <w:u w:val="single"/>
        </w:rPr>
        <w:t>Диагностика</w:t>
      </w:r>
    </w:p>
    <w:p w14:paraId="109E5531" w14:textId="77777777" w:rsidR="00C466A6" w:rsidRPr="00DA2BC8" w:rsidRDefault="00C466A6" w:rsidP="00C466A6">
      <w:pPr>
        <w:widowControl w:val="0"/>
        <w:autoSpaceDE w:val="0"/>
        <w:autoSpaceDN w:val="0"/>
        <w:adjustRightInd w:val="0"/>
        <w:ind w:right="50" w:firstLine="709"/>
        <w:contextualSpacing/>
      </w:pPr>
      <w:r w:rsidRPr="00DA2BC8">
        <w:t xml:space="preserve">Диагноз инвазивного кандидоза ставят на основании выделения грибов из стерильных в норме образцов при микроскопии (прямая микроскопия, цитология или гистология) или в культуре (посев). К стерильным образцам относят кровь, биоптаты органов и тканей, аспираты. При подозрении на кандидемию кровь для микробиолгического исследования берут в 4 флакона для гемокультур, при необходимости исследование повторяют. При выделении </w:t>
      </w:r>
      <w:r w:rsidRPr="00DA2BC8">
        <w:rPr>
          <w:i/>
          <w:iCs/>
        </w:rPr>
        <w:t>Candida</w:t>
      </w:r>
      <w:r w:rsidRPr="00DA2BC8">
        <w:t xml:space="preserve"> spp. из гемокультуры проводят ежедневно дополнительные посевы крови до получения двух отрицательных результатов подряд; для исключения диссеминации - офтальмоскопию с расширением зрачка (консультация офтальмолога), а также ультразвуковое исследование (УЗИ) или компьютерную томографию</w:t>
      </w:r>
      <w:r>
        <w:t>/спиральную компьютерную томографию</w:t>
      </w:r>
      <w:r w:rsidRPr="00DA2BC8">
        <w:t xml:space="preserve"> (КТ</w:t>
      </w:r>
      <w:r>
        <w:t>/СКТ</w:t>
      </w:r>
      <w:r w:rsidRPr="00DA2BC8">
        <w:t>) с контрастированием, или магнитно-резонансную томографию (МРТ) органов брюшной полости. Инструментальные исследования повторяют при восстановлении гранулоцитов (&gt;0,5×10</w:t>
      </w:r>
      <w:r w:rsidRPr="00DA2BC8">
        <w:rPr>
          <w:vertAlign w:val="superscript"/>
        </w:rPr>
        <w:t>9</w:t>
      </w:r>
      <w:r w:rsidRPr="00DA2BC8">
        <w:t xml:space="preserve">/л). Все штаммы </w:t>
      </w:r>
      <w:r w:rsidRPr="00DA2BC8">
        <w:rPr>
          <w:i/>
          <w:iCs/>
        </w:rPr>
        <w:t>Candida</w:t>
      </w:r>
      <w:r w:rsidRPr="00DA2BC8">
        <w:t xml:space="preserve"> spp., выделенные из стерильных в норме образцов, </w:t>
      </w:r>
      <w:r w:rsidRPr="00DA2BC8">
        <w:lastRenderedPageBreak/>
        <w:t>идентифицируют до вида и исследуют чувствительность к противогрибковым препаратам. На фоне лечения инвазивного кандидоза противогрибковыми препаратами может изменяться чувствительность (возможно формирование приобретенной резистентности) и вид возбудителя.</w:t>
      </w:r>
    </w:p>
    <w:p w14:paraId="25370441" w14:textId="77777777" w:rsidR="00C466A6" w:rsidRPr="00DA2BC8" w:rsidRDefault="00C466A6" w:rsidP="00C466A6">
      <w:pPr>
        <w:widowControl w:val="0"/>
        <w:autoSpaceDE w:val="0"/>
        <w:autoSpaceDN w:val="0"/>
        <w:adjustRightInd w:val="0"/>
        <w:ind w:right="50" w:firstLine="709"/>
        <w:contextualSpacing/>
      </w:pPr>
      <w:r w:rsidRPr="00DA2BC8">
        <w:t xml:space="preserve">Серологическими маркерами инвазивного кандидоза являются антиген </w:t>
      </w:r>
      <w:r w:rsidRPr="00DA2BC8">
        <w:rPr>
          <w:i/>
          <w:iCs/>
        </w:rPr>
        <w:t>Candida</w:t>
      </w:r>
      <w:r w:rsidRPr="00DA2BC8">
        <w:t xml:space="preserve"> (маннан) и антитела к </w:t>
      </w:r>
      <w:r w:rsidRPr="00DA2BC8">
        <w:rPr>
          <w:i/>
          <w:iCs/>
        </w:rPr>
        <w:t>Candida</w:t>
      </w:r>
      <w:r w:rsidRPr="00DA2BC8">
        <w:t xml:space="preserve"> (антиманнан). Чувствительность тестов выше, если определяют оба показателя одновременно и неоднократно. Для теста характерным является высокое отрицательное прогностическое значение. При гепатолиенальном кандидозе чувствительность серологических маркеров определяется выше. Тест не включен в критерии диагностики инвазивного кандидоза. </w:t>
      </w:r>
    </w:p>
    <w:p w14:paraId="4AAB0815" w14:textId="77777777" w:rsidR="00C466A6" w:rsidRPr="00DA2BC8" w:rsidRDefault="00C466A6" w:rsidP="00C466A6">
      <w:pPr>
        <w:widowControl w:val="0"/>
        <w:autoSpaceDE w:val="0"/>
        <w:autoSpaceDN w:val="0"/>
        <w:adjustRightInd w:val="0"/>
        <w:ind w:right="50" w:firstLine="709"/>
        <w:contextualSpacing/>
      </w:pPr>
      <w:r w:rsidRPr="00DA2BC8">
        <w:t xml:space="preserve">На основании положительных результатов определения серологических маркеров у </w:t>
      </w:r>
      <w:r>
        <w:t>пациента</w:t>
      </w:r>
      <w:r w:rsidRPr="00DA2BC8">
        <w:t xml:space="preserve"> можно лишь предполагать наличие инвазивного кандидоза. В клинической практике определение антигена (маннан) и антител (антиманнан) может быть существенным подспорьем для назначения современных противогрибковых препаратов больным с фебрильной нейтропенией.</w:t>
      </w:r>
    </w:p>
    <w:p w14:paraId="1E61D8A2" w14:textId="77777777" w:rsidR="00C466A6" w:rsidRPr="00DA2BC8" w:rsidRDefault="00C466A6" w:rsidP="00C466A6">
      <w:pPr>
        <w:widowControl w:val="0"/>
        <w:autoSpaceDE w:val="0"/>
        <w:autoSpaceDN w:val="0"/>
        <w:adjustRightInd w:val="0"/>
        <w:ind w:right="50" w:firstLine="709"/>
        <w:contextualSpacing/>
      </w:pPr>
      <w:r w:rsidRPr="00DA2BC8">
        <w:t xml:space="preserve">К диссеминированному кандидозу относят те случаи, когда в течение 2 недель после выделения </w:t>
      </w:r>
      <w:r w:rsidRPr="00DA2BC8">
        <w:rPr>
          <w:i/>
          <w:iCs/>
        </w:rPr>
        <w:t xml:space="preserve">Candida </w:t>
      </w:r>
      <w:r w:rsidRPr="00DA2BC8">
        <w:t xml:space="preserve">spp. из гемокультуры выявляют очаги в печени и/или селезенке либо экссудат в сетчатке при офтальмоскопии. Различают острый и хронический диссеминированный кандидоз. При остром диссеминированном кандидозе имеется непосредственная связь обнаруженных признаков с кандидозным сепсисом, а при хроническом диссеминированном кандидозе этой связи нет. </w:t>
      </w:r>
    </w:p>
    <w:p w14:paraId="2AC091E0" w14:textId="77777777" w:rsidR="00C466A6" w:rsidRPr="00F87280" w:rsidRDefault="00C466A6" w:rsidP="00C466A6">
      <w:pPr>
        <w:widowControl w:val="0"/>
        <w:autoSpaceDE w:val="0"/>
        <w:autoSpaceDN w:val="0"/>
        <w:adjustRightInd w:val="0"/>
        <w:ind w:right="50" w:firstLine="709"/>
        <w:contextualSpacing/>
        <w:rPr>
          <w:bCs/>
          <w:i/>
          <w:iCs/>
          <w:u w:val="single"/>
        </w:rPr>
      </w:pPr>
      <w:r w:rsidRPr="00F87280">
        <w:rPr>
          <w:bCs/>
          <w:i/>
          <w:iCs/>
          <w:u w:val="single"/>
        </w:rPr>
        <w:t>Лечение</w:t>
      </w:r>
    </w:p>
    <w:p w14:paraId="38A8FBBE" w14:textId="77777777" w:rsidR="00C466A6" w:rsidRDefault="00C466A6" w:rsidP="00C466A6">
      <w:pPr>
        <w:widowControl w:val="0"/>
        <w:autoSpaceDE w:val="0"/>
        <w:autoSpaceDN w:val="0"/>
        <w:adjustRightInd w:val="0"/>
        <w:ind w:right="50" w:firstLine="709"/>
        <w:contextualSpacing/>
        <w:rPr>
          <w:bCs/>
        </w:rPr>
      </w:pPr>
      <w:r w:rsidRPr="00DA2BC8">
        <w:rPr>
          <w:bCs/>
        </w:rPr>
        <w:t>Основными принципами лечения кандидемии (инвазивного кандидоза) являются</w:t>
      </w:r>
      <w:r>
        <w:rPr>
          <w:bCs/>
        </w:rPr>
        <w:t>:</w:t>
      </w:r>
    </w:p>
    <w:p w14:paraId="45CE78CC" w14:textId="77777777" w:rsidR="00C466A6" w:rsidRDefault="00C466A6" w:rsidP="00D61785">
      <w:pPr>
        <w:pStyle w:val="a4"/>
        <w:widowControl w:val="0"/>
        <w:numPr>
          <w:ilvl w:val="0"/>
          <w:numId w:val="43"/>
        </w:numPr>
        <w:autoSpaceDE w:val="0"/>
        <w:autoSpaceDN w:val="0"/>
        <w:adjustRightInd w:val="0"/>
        <w:spacing w:before="0"/>
        <w:ind w:right="50"/>
        <w:contextualSpacing/>
        <w:rPr>
          <w:bCs/>
        </w:rPr>
      </w:pPr>
      <w:r w:rsidRPr="007531B6">
        <w:t>назначение эффективного противогрибкового препарата;</w:t>
      </w:r>
      <w:r w:rsidRPr="007531B6">
        <w:rPr>
          <w:bCs/>
        </w:rPr>
        <w:t xml:space="preserve"> </w:t>
      </w:r>
    </w:p>
    <w:p w14:paraId="1CFCFC9C" w14:textId="77777777" w:rsidR="00C466A6" w:rsidRDefault="00C466A6" w:rsidP="00D61785">
      <w:pPr>
        <w:pStyle w:val="a4"/>
        <w:widowControl w:val="0"/>
        <w:numPr>
          <w:ilvl w:val="0"/>
          <w:numId w:val="43"/>
        </w:numPr>
        <w:autoSpaceDE w:val="0"/>
        <w:autoSpaceDN w:val="0"/>
        <w:adjustRightInd w:val="0"/>
        <w:spacing w:before="0"/>
        <w:ind w:right="50"/>
        <w:contextualSpacing/>
        <w:rPr>
          <w:bCs/>
        </w:rPr>
      </w:pPr>
      <w:r w:rsidRPr="007531B6">
        <w:t>удаление сосудистого катетера;</w:t>
      </w:r>
      <w:r w:rsidRPr="007531B6">
        <w:rPr>
          <w:bCs/>
        </w:rPr>
        <w:t xml:space="preserve"> </w:t>
      </w:r>
    </w:p>
    <w:p w14:paraId="30739FA0" w14:textId="77777777" w:rsidR="00C466A6" w:rsidRPr="007531B6" w:rsidRDefault="00C466A6" w:rsidP="00D61785">
      <w:pPr>
        <w:pStyle w:val="a4"/>
        <w:widowControl w:val="0"/>
        <w:numPr>
          <w:ilvl w:val="0"/>
          <w:numId w:val="43"/>
        </w:numPr>
        <w:autoSpaceDE w:val="0"/>
        <w:autoSpaceDN w:val="0"/>
        <w:adjustRightInd w:val="0"/>
        <w:spacing w:before="0"/>
        <w:ind w:right="50"/>
        <w:contextualSpacing/>
        <w:rPr>
          <w:bCs/>
        </w:rPr>
      </w:pPr>
      <w:r w:rsidRPr="007531B6">
        <w:t xml:space="preserve">устранение или уменьшение факторов риска, приведших к развитию кандидемии. </w:t>
      </w:r>
    </w:p>
    <w:p w14:paraId="5EBF8461" w14:textId="77777777" w:rsidR="00C466A6" w:rsidRPr="00DA2BC8" w:rsidRDefault="00C466A6" w:rsidP="00C466A6">
      <w:pPr>
        <w:widowControl w:val="0"/>
        <w:autoSpaceDE w:val="0"/>
        <w:autoSpaceDN w:val="0"/>
        <w:adjustRightInd w:val="0"/>
        <w:ind w:right="50" w:firstLine="709"/>
        <w:contextualSpacing/>
      </w:pPr>
      <w:r w:rsidRPr="00DA2BC8">
        <w:t xml:space="preserve">Препараты выбора для лечения инвазивного кандидоза (кандидемии) – эхинокандины, которые в отличие от азолов оказывают фунгицидное действие на кандиды. Замена эхинокандинов на флуконазол возможна только при выделении флуконазолчувствительных </w:t>
      </w:r>
      <w:r w:rsidRPr="00DA2BC8">
        <w:rPr>
          <w:i/>
          <w:iCs/>
        </w:rPr>
        <w:t xml:space="preserve">Candida </w:t>
      </w:r>
      <w:r w:rsidRPr="00DA2BC8">
        <w:t xml:space="preserve">spp. и стабильном состоянии пациента. </w:t>
      </w:r>
      <w:r w:rsidRPr="00DA2BC8">
        <w:rPr>
          <w:bCs/>
        </w:rPr>
        <w:t xml:space="preserve">Из группы эхинокандинов назначают один из препаратов – </w:t>
      </w:r>
      <w:r w:rsidRPr="00DA2BC8">
        <w:t xml:space="preserve">каспофунгин (в 1-й день 70 мг, далее по 50 мг внутривенно 1 раз в сутки); микафунгин (по 100 мг внутривенно 1 раз в сутки); анидулафунгин (в 1-й день 200 мг, далее по 100 мг внутривенно 1 раз в сутки). </w:t>
      </w:r>
      <w:r w:rsidRPr="00DA2BC8">
        <w:rPr>
          <w:iCs/>
        </w:rPr>
        <w:t xml:space="preserve">Эхинокандины – это единственные препараты, применение которых при инвазивном </w:t>
      </w:r>
      <w:r w:rsidRPr="00DA2BC8">
        <w:rPr>
          <w:iCs/>
        </w:rPr>
        <w:lastRenderedPageBreak/>
        <w:t>кандидозе привело к достоверно значимому увеличению числа излечений и к снижению летальности в сравнении с другими антимикотиками (азолами, липи</w:t>
      </w:r>
      <w:r>
        <w:rPr>
          <w:iCs/>
        </w:rPr>
        <w:t>дными формами амфотерицина В)</w:t>
      </w:r>
      <w:r w:rsidRPr="00DA2BC8">
        <w:rPr>
          <w:iCs/>
        </w:rPr>
        <w:t>. Не используют сочетание противогрибковых препаратов в 1-й линии терапии кандидемии (инвазивного кандидоза)</w:t>
      </w:r>
      <w:r w:rsidRPr="00DA2BC8">
        <w:t xml:space="preserve">. Альтернативные препараты для лечения инвазивного кандидоза - вориконазол ( в 1-й день по 6 мг/кг внутривенно 2 раза в сутки, в последующие дни по 3 мг/кг внутривенно 2 раза в сутки или по 200 мг внутрь 2 раза в сутки); амфотерицин В (0,7-1,0 мг/кг внутривенно 1 раз в сутки). </w:t>
      </w:r>
      <w:r w:rsidRPr="00DA2BC8">
        <w:rPr>
          <w:iCs/>
        </w:rPr>
        <w:t>Амфотерицин В назначают только при отсутствии других опций для лечения ввиду его высокой токсичности и низкой эффективности.</w:t>
      </w:r>
      <w:r w:rsidRPr="00DA2BC8">
        <w:t xml:space="preserve"> Флуконазол в качестве препарата 1-й линии не используют у больных с гематологическими заболеваниями. </w:t>
      </w:r>
      <w:r w:rsidRPr="00DA2BC8">
        <w:rPr>
          <w:iCs/>
        </w:rPr>
        <w:t>При сочетании</w:t>
      </w:r>
      <w:r w:rsidRPr="00DA2BC8">
        <w:rPr>
          <w:i/>
          <w:iCs/>
        </w:rPr>
        <w:t xml:space="preserve"> </w:t>
      </w:r>
      <w:r w:rsidRPr="00DA2BC8">
        <w:rPr>
          <w:iCs/>
        </w:rPr>
        <w:t>кандидемии и инвазивного аспергиллеза</w:t>
      </w:r>
      <w:r w:rsidRPr="00DA2BC8">
        <w:rPr>
          <w:i/>
          <w:iCs/>
        </w:rPr>
        <w:t xml:space="preserve"> </w:t>
      </w:r>
      <w:r w:rsidRPr="00DA2BC8">
        <w:rPr>
          <w:iCs/>
        </w:rPr>
        <w:t>назначают вориконазол</w:t>
      </w:r>
      <w:r w:rsidRPr="00DA2BC8">
        <w:t xml:space="preserve"> (в 1-й день по 6 мг/кг внутривенно 2 раза в сутки, в последующие дни по 3 мг/кг внутривенно 2 раза в сутки или по 200 мг 2 раза в сутки внутрь) или липидную форму амфотерицина В (5 мг/кг, внутривенно, 1 раз в сутки). </w:t>
      </w:r>
    </w:p>
    <w:p w14:paraId="74467379" w14:textId="61245D9A" w:rsidR="00C466A6" w:rsidRPr="00DA2BC8" w:rsidRDefault="00C466A6" w:rsidP="00C466A6">
      <w:pPr>
        <w:widowControl w:val="0"/>
        <w:autoSpaceDE w:val="0"/>
        <w:autoSpaceDN w:val="0"/>
        <w:adjustRightInd w:val="0"/>
        <w:ind w:right="50" w:firstLine="709"/>
        <w:contextualSpacing/>
        <w:rPr>
          <w:b/>
          <w:bCs/>
        </w:rPr>
      </w:pPr>
      <w:r w:rsidRPr="00DA2BC8">
        <w:t xml:space="preserve">Для штаммов </w:t>
      </w:r>
      <w:r w:rsidRPr="00DA2BC8">
        <w:rPr>
          <w:i/>
          <w:iCs/>
        </w:rPr>
        <w:t xml:space="preserve">Candida </w:t>
      </w:r>
      <w:r w:rsidRPr="00DA2BC8">
        <w:rPr>
          <w:iCs/>
        </w:rPr>
        <w:t xml:space="preserve">spp. характерным является высокая способность к формированию биопленок, которая составляет 50% и преобладает у </w:t>
      </w:r>
      <w:r w:rsidRPr="00DA2BC8">
        <w:rPr>
          <w:i/>
          <w:iCs/>
        </w:rPr>
        <w:t>C. tropicalis</w:t>
      </w:r>
      <w:r w:rsidRPr="00DA2BC8">
        <w:rPr>
          <w:iCs/>
        </w:rPr>
        <w:t xml:space="preserve"> и </w:t>
      </w:r>
      <w:r w:rsidRPr="00DA2BC8">
        <w:rPr>
          <w:i/>
          <w:iCs/>
        </w:rPr>
        <w:t>C. krusei</w:t>
      </w:r>
      <w:r w:rsidRPr="00DA2BC8">
        <w:rPr>
          <w:iCs/>
        </w:rPr>
        <w:t xml:space="preserve"> (80%)</w:t>
      </w:r>
      <w:r w:rsidR="004C011F">
        <w:rPr>
          <w:iCs/>
        </w:rPr>
        <w:t xml:space="preserve"> </w:t>
      </w:r>
      <w:r w:rsidR="004C011F">
        <w:rPr>
          <w:iCs/>
        </w:rPr>
        <w:fldChar w:fldCharType="begin" w:fldLock="1"/>
      </w:r>
      <w:r w:rsidR="00FB256D">
        <w:rPr>
          <w:iCs/>
        </w:rPr>
        <w:instrText>ADDIN CSL_CITATION {"citationItems":[{"id":"ITEM-1","itemData":{"author":[{"dropping-particle":"","family":"Мальчикова","given":"А.О.","non-dropping-particle":"","parse-names":false,"suffix":""},{"dropping-particle":"","family":"Клясова","given":"Г.А.","non-dropping-particle":"","parse-names":false,"suffix":""}],"container-title":"Клиническая микробиология и антимикробная химиотерапия","id":"ITEM-1","issue":"2","issued":{"date-parts":[["2018"]]},"page":"126-130","title":"Формирование биопленок у изолятов Candida spp, выделенных из гемокультуры от больных с опухолями системы крови","type":"article-journal","volume":"20"},"uris":["http://www.mendeley.com/documents/?uuid=14b71eb8-c05c-48f8-844b-d37bf0031d16"]}],"mendeley":{"formattedCitation":"[87]","plainTextFormattedCitation":"[87]","previouslyFormattedCitation":"[87]"},"properties":{"noteIndex":0},"schema":"https://github.com/citation-style-language/schema/raw/master/csl-citation.json"}</w:instrText>
      </w:r>
      <w:r w:rsidR="004C011F">
        <w:rPr>
          <w:iCs/>
        </w:rPr>
        <w:fldChar w:fldCharType="separate"/>
      </w:r>
      <w:r w:rsidR="00FB256D" w:rsidRPr="00FB256D">
        <w:rPr>
          <w:iCs/>
          <w:noProof/>
        </w:rPr>
        <w:t>[87]</w:t>
      </w:r>
      <w:r w:rsidR="004C011F">
        <w:rPr>
          <w:iCs/>
        </w:rPr>
        <w:fldChar w:fldCharType="end"/>
      </w:r>
      <w:r w:rsidRPr="00DA2BC8">
        <w:rPr>
          <w:iCs/>
        </w:rPr>
        <w:t xml:space="preserve">. Удаление центрального венозного катетера (ЦВК) является обязательным у больных вне гранулоцитопении и в случаях повторного выделения </w:t>
      </w:r>
      <w:r w:rsidRPr="00DA2BC8">
        <w:rPr>
          <w:i/>
          <w:iCs/>
        </w:rPr>
        <w:t xml:space="preserve">Candida </w:t>
      </w:r>
      <w:r w:rsidRPr="00DA2BC8">
        <w:rPr>
          <w:iCs/>
        </w:rPr>
        <w:t xml:space="preserve">spp. из гемокультуры на фоне терапиии противогрибковыми </w:t>
      </w:r>
      <w:r>
        <w:rPr>
          <w:iCs/>
        </w:rPr>
        <w:t>препаратами</w:t>
      </w:r>
      <w:r w:rsidRPr="005A06BE">
        <w:rPr>
          <w:iCs/>
        </w:rPr>
        <w:t>.</w:t>
      </w:r>
      <w:r w:rsidRPr="00DA2BC8">
        <w:rPr>
          <w:iCs/>
        </w:rPr>
        <w:t xml:space="preserve"> Не проводят замену ЦВК по проводнику.</w:t>
      </w:r>
    </w:p>
    <w:p w14:paraId="4DC8DAEC" w14:textId="77777777" w:rsidR="00C466A6" w:rsidRPr="00DA2BC8" w:rsidRDefault="00C466A6" w:rsidP="00C466A6">
      <w:pPr>
        <w:widowControl w:val="0"/>
        <w:autoSpaceDE w:val="0"/>
        <w:autoSpaceDN w:val="0"/>
        <w:adjustRightInd w:val="0"/>
        <w:ind w:right="50" w:firstLine="709"/>
        <w:contextualSpacing/>
      </w:pPr>
      <w:r w:rsidRPr="00DA2BC8">
        <w:rPr>
          <w:bCs/>
        </w:rPr>
        <w:t xml:space="preserve">Устранение или уменьшение факторов риска у </w:t>
      </w:r>
      <w:r>
        <w:rPr>
          <w:bCs/>
        </w:rPr>
        <w:t>пациентов</w:t>
      </w:r>
      <w:r w:rsidRPr="00DA2BC8">
        <w:rPr>
          <w:bCs/>
        </w:rPr>
        <w:t xml:space="preserve"> с инвазивным кандидозом включает </w:t>
      </w:r>
      <w:r w:rsidRPr="00DA2BC8">
        <w:t>сокращение по возможности используемых антибиотиков и изменение тактики цитостатической терапии.</w:t>
      </w:r>
    </w:p>
    <w:p w14:paraId="2D837437" w14:textId="77777777" w:rsidR="00C466A6" w:rsidRPr="00CB7689" w:rsidRDefault="00C466A6" w:rsidP="00C466A6">
      <w:pPr>
        <w:widowControl w:val="0"/>
        <w:autoSpaceDE w:val="0"/>
        <w:autoSpaceDN w:val="0"/>
        <w:adjustRightInd w:val="0"/>
        <w:ind w:right="50" w:firstLine="709"/>
        <w:contextualSpacing/>
        <w:rPr>
          <w:i/>
          <w:iCs/>
          <w:u w:val="single"/>
        </w:rPr>
      </w:pPr>
      <w:r w:rsidRPr="00CB7689">
        <w:rPr>
          <w:i/>
          <w:iCs/>
          <w:u w:val="single"/>
        </w:rPr>
        <w:t>Длительность лечения</w:t>
      </w:r>
    </w:p>
    <w:p w14:paraId="270E2BB6" w14:textId="77777777" w:rsidR="00C466A6" w:rsidRPr="00DA2BC8" w:rsidRDefault="00C466A6" w:rsidP="00C466A6">
      <w:pPr>
        <w:widowControl w:val="0"/>
        <w:autoSpaceDE w:val="0"/>
        <w:autoSpaceDN w:val="0"/>
        <w:adjustRightInd w:val="0"/>
        <w:ind w:right="50" w:firstLine="709"/>
        <w:contextualSpacing/>
      </w:pPr>
      <w:r w:rsidRPr="00DA2BC8">
        <w:t>Противогрибковый препарат отменяют при наличии всех следующих критериев - регрессия клинических проявлений инфекции; число гранулоцитов в гемограмме более 0,5×10</w:t>
      </w:r>
      <w:r w:rsidRPr="00DA2BC8">
        <w:rPr>
          <w:vertAlign w:val="superscript"/>
        </w:rPr>
        <w:t>9</w:t>
      </w:r>
      <w:r w:rsidRPr="00DA2BC8">
        <w:t xml:space="preserve">/л; не менее двух недель от последней положительной гемокультуры; регрессия очагов диссеминации кандидоза в случаях их развития. </w:t>
      </w:r>
    </w:p>
    <w:p w14:paraId="65AFB4C4" w14:textId="77777777" w:rsidR="00C466A6" w:rsidRPr="00DA2BC8" w:rsidRDefault="00C466A6" w:rsidP="00C466A6">
      <w:pPr>
        <w:widowControl w:val="0"/>
        <w:autoSpaceDE w:val="0"/>
        <w:autoSpaceDN w:val="0"/>
        <w:adjustRightInd w:val="0"/>
        <w:ind w:right="50" w:firstLine="709"/>
        <w:contextualSpacing/>
      </w:pPr>
      <w:r w:rsidRPr="00CB7689">
        <w:rPr>
          <w:i/>
          <w:iCs/>
          <w:u w:val="single"/>
        </w:rPr>
        <w:t>Персистирующая кандидемия включает</w:t>
      </w:r>
      <w:r w:rsidRPr="00DA2BC8">
        <w:rPr>
          <w:b/>
          <w:bCs/>
        </w:rPr>
        <w:t xml:space="preserve"> </w:t>
      </w:r>
      <w:r w:rsidRPr="00DA2BC8">
        <w:t xml:space="preserve">наличие симптомов сепсиса и повторное выделение </w:t>
      </w:r>
      <w:r w:rsidRPr="00DA2BC8">
        <w:rPr>
          <w:i/>
          <w:iCs/>
        </w:rPr>
        <w:t>Candida</w:t>
      </w:r>
      <w:r w:rsidRPr="00DA2BC8">
        <w:t xml:space="preserve"> spp. из гемокультуры.</w:t>
      </w:r>
      <w:r w:rsidRPr="00DA2BC8">
        <w:rPr>
          <w:b/>
          <w:bCs/>
        </w:rPr>
        <w:t xml:space="preserve"> </w:t>
      </w:r>
      <w:r w:rsidRPr="00DA2BC8">
        <w:t>При персистирующей кандидемии крайне важно исследовать чувствительность грибов к антимикотикам ввиду формирования вторичной резистентности; повторить инструментальные исследования с целью исключения диссеминации.</w:t>
      </w:r>
      <w:r w:rsidRPr="00DA2BC8">
        <w:rPr>
          <w:bCs/>
        </w:rPr>
        <w:t xml:space="preserve"> В этих случаях </w:t>
      </w:r>
      <w:r w:rsidRPr="00DA2BC8">
        <w:t xml:space="preserve">замену на антимикотик другой группы проводят согласно видовой принадлежности </w:t>
      </w:r>
      <w:r w:rsidRPr="00DA2BC8">
        <w:rPr>
          <w:i/>
        </w:rPr>
        <w:t>Candida</w:t>
      </w:r>
      <w:r w:rsidRPr="00DA2BC8">
        <w:t xml:space="preserve"> spp. и результатам чувствительностию.</w:t>
      </w:r>
    </w:p>
    <w:p w14:paraId="20B6A044" w14:textId="77777777" w:rsidR="00C466A6" w:rsidRPr="0014445B" w:rsidRDefault="00C466A6" w:rsidP="00C466A6">
      <w:pPr>
        <w:widowControl w:val="0"/>
        <w:autoSpaceDE w:val="0"/>
        <w:autoSpaceDN w:val="0"/>
        <w:adjustRightInd w:val="0"/>
        <w:ind w:right="50" w:firstLine="709"/>
        <w:contextualSpacing/>
        <w:rPr>
          <w:b/>
          <w:bCs/>
        </w:rPr>
      </w:pPr>
      <w:r w:rsidRPr="0014445B">
        <w:rPr>
          <w:b/>
          <w:bCs/>
        </w:rPr>
        <w:t>Хронический диссеминированный (гепатолиенальный) кандидоз</w:t>
      </w:r>
    </w:p>
    <w:p w14:paraId="192F1B1C" w14:textId="77777777" w:rsidR="00C466A6" w:rsidRPr="00CB7689" w:rsidRDefault="00C466A6" w:rsidP="00C466A6">
      <w:pPr>
        <w:widowControl w:val="0"/>
        <w:autoSpaceDE w:val="0"/>
        <w:autoSpaceDN w:val="0"/>
        <w:adjustRightInd w:val="0"/>
        <w:ind w:right="50" w:firstLine="709"/>
        <w:contextualSpacing/>
        <w:rPr>
          <w:i/>
          <w:iCs/>
        </w:rPr>
      </w:pPr>
      <w:r w:rsidRPr="00CB7689">
        <w:rPr>
          <w:i/>
          <w:iCs/>
          <w:u w:val="single"/>
        </w:rPr>
        <w:t>Симптомы</w:t>
      </w:r>
    </w:p>
    <w:p w14:paraId="3F2FC2CF" w14:textId="77777777" w:rsidR="00C466A6" w:rsidRPr="00DA2BC8" w:rsidRDefault="00C466A6" w:rsidP="00C466A6">
      <w:pPr>
        <w:widowControl w:val="0"/>
        <w:autoSpaceDE w:val="0"/>
        <w:autoSpaceDN w:val="0"/>
        <w:adjustRightInd w:val="0"/>
        <w:ind w:right="50" w:firstLine="709"/>
        <w:contextualSpacing/>
      </w:pPr>
      <w:r w:rsidRPr="00DA2BC8">
        <w:lastRenderedPageBreak/>
        <w:t>Ведущий симптом — лихорадка на фоне лечения антибиотиками, которая возникает в период гранулоцитопении и сохраняется при повышении уровня лейкоцитов (гранулоцитов &gt;0,5×10</w:t>
      </w:r>
      <w:r w:rsidRPr="00DA2BC8">
        <w:rPr>
          <w:vertAlign w:val="superscript"/>
        </w:rPr>
        <w:t>9</w:t>
      </w:r>
      <w:r w:rsidRPr="00DA2BC8">
        <w:t>/л). Для этого варианта инвазивного микоза очень характерной является температурная кривая –</w:t>
      </w:r>
      <w:r>
        <w:t xml:space="preserve"> </w:t>
      </w:r>
      <w:r w:rsidRPr="00DA2BC8">
        <w:t xml:space="preserve">колебания температуры от 36,7ºС-37,5°С утром до 39ºС-40ºС в вечернее время, которые возникают в период гранулоцитопении и сохраняются после восстановления гранулоцитов. </w:t>
      </w:r>
    </w:p>
    <w:p w14:paraId="26515D89" w14:textId="77777777" w:rsidR="00C466A6" w:rsidRPr="00CB7689" w:rsidRDefault="00C466A6" w:rsidP="00C466A6">
      <w:pPr>
        <w:widowControl w:val="0"/>
        <w:autoSpaceDE w:val="0"/>
        <w:autoSpaceDN w:val="0"/>
        <w:adjustRightInd w:val="0"/>
        <w:ind w:right="50" w:firstLine="709"/>
        <w:contextualSpacing/>
        <w:rPr>
          <w:i/>
          <w:iCs/>
        </w:rPr>
      </w:pPr>
      <w:r w:rsidRPr="00CB7689">
        <w:rPr>
          <w:i/>
          <w:iCs/>
          <w:u w:val="single"/>
        </w:rPr>
        <w:t>Диагностика</w:t>
      </w:r>
    </w:p>
    <w:p w14:paraId="1A7E1E8C" w14:textId="77777777" w:rsidR="00C466A6" w:rsidRPr="00DA2BC8" w:rsidRDefault="00C466A6" w:rsidP="00C466A6">
      <w:pPr>
        <w:widowControl w:val="0"/>
        <w:autoSpaceDE w:val="0"/>
        <w:autoSpaceDN w:val="0"/>
        <w:adjustRightInd w:val="0"/>
        <w:ind w:right="50" w:firstLine="709"/>
        <w:contextualSpacing/>
      </w:pPr>
      <w:r w:rsidRPr="00DA2BC8">
        <w:t>Проводят УЗИ, КТ или МРТ (наиболее высокая чувствительность) печени и селезенки. Характерным является обнаружение множественных очагов деструкции до 2 см. Чаще вовлекаются печень и селезенка, реже почки. По возможности проводят биопсию этих образований с проведением микробиологических (прямая микроскопия, посев) и гистологических иследований. Отрицательные результаты биопсии не исключают наличие гепатолиенального кандидоза. При лечении гепатолиенального кандидоза контрольные исследования (УЗИ, КТ или МРТ) проводят не ранее чем через 3-4 недели и обязательно вне нейтропении. Обращают внимание на размеры очагов и их плотность. Исследование в период нейтропении может дать ложноположительные результаты о сокращении размеров очагов.</w:t>
      </w:r>
    </w:p>
    <w:p w14:paraId="7366A92A" w14:textId="77777777" w:rsidR="00C466A6" w:rsidRPr="00DA2BC8" w:rsidRDefault="00C466A6" w:rsidP="00C466A6">
      <w:pPr>
        <w:widowControl w:val="0"/>
        <w:autoSpaceDE w:val="0"/>
        <w:autoSpaceDN w:val="0"/>
        <w:adjustRightInd w:val="0"/>
        <w:ind w:right="50" w:firstLine="709"/>
        <w:contextualSpacing/>
      </w:pPr>
      <w:r w:rsidRPr="00DA2BC8">
        <w:t>При гепатолиенальном кандидозе проводят определение серологичесик</w:t>
      </w:r>
      <w:r>
        <w:t>и</w:t>
      </w:r>
      <w:r w:rsidRPr="00DA2BC8">
        <w:t>х маркеров (маннан и антиманнан).</w:t>
      </w:r>
    </w:p>
    <w:p w14:paraId="447494F6" w14:textId="77777777" w:rsidR="00C466A6" w:rsidRPr="00DA2BC8" w:rsidRDefault="00C466A6" w:rsidP="00C466A6">
      <w:pPr>
        <w:widowControl w:val="0"/>
        <w:autoSpaceDE w:val="0"/>
        <w:autoSpaceDN w:val="0"/>
        <w:adjustRightInd w:val="0"/>
        <w:ind w:right="50" w:firstLine="709"/>
        <w:contextualSpacing/>
      </w:pPr>
      <w:r w:rsidRPr="00CB7689">
        <w:rPr>
          <w:i/>
          <w:iCs/>
          <w:u w:val="single"/>
        </w:rPr>
        <w:t>Показанием к назначению противогрибковых препаратов</w:t>
      </w:r>
      <w:r w:rsidRPr="00DA2BC8">
        <w:rPr>
          <w:b/>
          <w:bCs/>
        </w:rPr>
        <w:t xml:space="preserve"> </w:t>
      </w:r>
      <w:r w:rsidRPr="00DA2BC8">
        <w:rPr>
          <w:bCs/>
        </w:rPr>
        <w:t>являются</w:t>
      </w:r>
      <w:r w:rsidRPr="00DA2BC8">
        <w:rPr>
          <w:b/>
          <w:bCs/>
        </w:rPr>
        <w:t xml:space="preserve"> </w:t>
      </w:r>
      <w:r w:rsidRPr="00DA2BC8">
        <w:t>лихорадка на фоне лечения антибиотиками, которая сохраняется при повышении количества лейкоцитов (гранулоцитов более 0,5×10</w:t>
      </w:r>
      <w:r w:rsidRPr="00DA2BC8">
        <w:rPr>
          <w:vertAlign w:val="superscript"/>
        </w:rPr>
        <w:t>9</w:t>
      </w:r>
      <w:r w:rsidRPr="00DA2BC8">
        <w:t>/л) и выявление множественных очагов в печени и/или селезенке по данным УЗИ, КТ или МРТ. Препаратами выбора в лечении гепатолиенального кандидоза являются эхинокандин (каспофунгин или микафунгин) или липидная форма амфотерицина В (3 мг/кг в сутки, внутривенно); альтернативный препарат - амфотерицин В (0,7-1,0 мг/кг). Дозирование эхинокандина проводят как при кандидемии. После ликвидации температуры (через 1-2 недели) проводят замену этих препаратов на флуконазол (400 мг внутрь или внутривенно 1 раз в сутки) ввиду необходимости продолжительного периода лечения данной патологии.</w:t>
      </w:r>
    </w:p>
    <w:p w14:paraId="47838000" w14:textId="77777777" w:rsidR="00C466A6" w:rsidRPr="00DA2BC8" w:rsidRDefault="00C466A6" w:rsidP="00C466A6">
      <w:pPr>
        <w:widowControl w:val="0"/>
        <w:autoSpaceDE w:val="0"/>
        <w:autoSpaceDN w:val="0"/>
        <w:adjustRightInd w:val="0"/>
        <w:ind w:right="50" w:firstLine="709"/>
        <w:contextualSpacing/>
      </w:pPr>
      <w:r w:rsidRPr="00CB7689">
        <w:rPr>
          <w:i/>
          <w:iCs/>
          <w:u w:val="single"/>
        </w:rPr>
        <w:t>Длительность лечения</w:t>
      </w:r>
      <w:r w:rsidRPr="00DA2BC8">
        <w:t xml:space="preserve"> составляет от 3 до 6 месяцев. При ранней отмене противогрибкового препарата наблюдается высокая частота рецидивов инфекции. Критериями отмены противогрибкового препарата являются кальцификация или регрессия очагов.</w:t>
      </w:r>
    </w:p>
    <w:p w14:paraId="1AD269A7" w14:textId="77777777" w:rsidR="00C466A6" w:rsidRPr="0014445B" w:rsidRDefault="00C466A6" w:rsidP="00C466A6">
      <w:pPr>
        <w:widowControl w:val="0"/>
        <w:autoSpaceDE w:val="0"/>
        <w:autoSpaceDN w:val="0"/>
        <w:adjustRightInd w:val="0"/>
        <w:ind w:right="50" w:firstLine="709"/>
        <w:contextualSpacing/>
        <w:rPr>
          <w:b/>
          <w:bCs/>
        </w:rPr>
      </w:pPr>
      <w:r w:rsidRPr="0014445B">
        <w:rPr>
          <w:b/>
          <w:bCs/>
        </w:rPr>
        <w:t>Инвазивный кандидоз центральной нервной системы (ЦНС)</w:t>
      </w:r>
    </w:p>
    <w:p w14:paraId="152BE37E" w14:textId="77777777" w:rsidR="00C466A6" w:rsidRPr="00DA2BC8" w:rsidRDefault="00C466A6" w:rsidP="00C466A6">
      <w:pPr>
        <w:widowControl w:val="0"/>
        <w:autoSpaceDE w:val="0"/>
        <w:autoSpaceDN w:val="0"/>
        <w:adjustRightInd w:val="0"/>
        <w:ind w:right="50" w:firstLine="709"/>
        <w:contextualSpacing/>
        <w:rPr>
          <w:b/>
          <w:bCs/>
        </w:rPr>
      </w:pPr>
      <w:r w:rsidRPr="00DA2BC8">
        <w:t xml:space="preserve">У взрослых </w:t>
      </w:r>
      <w:r>
        <w:t>гематологических пациентов</w:t>
      </w:r>
      <w:r w:rsidRPr="00DA2BC8">
        <w:t xml:space="preserve"> инвазивный кандидоз ЦНС возникает при </w:t>
      </w:r>
      <w:r w:rsidRPr="00DA2BC8">
        <w:lastRenderedPageBreak/>
        <w:t xml:space="preserve">диссеминации кандид из крови или является осложнением нейрохирургических операций (шунтирование и др.). Проявления кандидоза ЦНС - менингит (ведущее), </w:t>
      </w:r>
      <w:r>
        <w:t xml:space="preserve">также </w:t>
      </w:r>
      <w:r w:rsidRPr="00DA2BC8">
        <w:t>возможны множественные абсцессы в веществе головного мозга, большого размера солитарный абсцесс, эпидуральные абсцессы.</w:t>
      </w:r>
    </w:p>
    <w:p w14:paraId="4FC3189D" w14:textId="77777777" w:rsidR="00C466A6" w:rsidRPr="00DA2BC8" w:rsidRDefault="00C466A6" w:rsidP="00C466A6">
      <w:pPr>
        <w:widowControl w:val="0"/>
        <w:autoSpaceDE w:val="0"/>
        <w:autoSpaceDN w:val="0"/>
        <w:adjustRightInd w:val="0"/>
        <w:ind w:right="50" w:firstLine="709"/>
        <w:contextualSpacing/>
      </w:pPr>
      <w:r w:rsidRPr="00CB7689">
        <w:rPr>
          <w:i/>
          <w:iCs/>
          <w:u w:val="single"/>
        </w:rPr>
        <w:t>Симптомы</w:t>
      </w:r>
      <w:r w:rsidRPr="00DA2BC8">
        <w:rPr>
          <w:b/>
          <w:bCs/>
        </w:rPr>
        <w:t xml:space="preserve"> </w:t>
      </w:r>
      <w:r w:rsidRPr="00DA2BC8">
        <w:t>аналогичны симптомам бактериального менингита. При абсцедировании появляется очаговая симптоматика поражения ЦНС.</w:t>
      </w:r>
    </w:p>
    <w:p w14:paraId="0A940F96" w14:textId="77777777" w:rsidR="00C466A6" w:rsidRPr="00CB7689" w:rsidRDefault="00C466A6" w:rsidP="00C466A6">
      <w:pPr>
        <w:widowControl w:val="0"/>
        <w:autoSpaceDE w:val="0"/>
        <w:autoSpaceDN w:val="0"/>
        <w:adjustRightInd w:val="0"/>
        <w:ind w:right="50" w:firstLine="709"/>
        <w:contextualSpacing/>
        <w:rPr>
          <w:i/>
          <w:iCs/>
        </w:rPr>
      </w:pPr>
      <w:r w:rsidRPr="00CB7689">
        <w:rPr>
          <w:i/>
          <w:iCs/>
          <w:u w:val="single"/>
        </w:rPr>
        <w:t>Диагностика</w:t>
      </w:r>
    </w:p>
    <w:p w14:paraId="6D26AB15" w14:textId="77777777" w:rsidR="00C466A6" w:rsidRPr="00DA2BC8" w:rsidRDefault="00C466A6" w:rsidP="00C466A6">
      <w:pPr>
        <w:widowControl w:val="0"/>
        <w:autoSpaceDE w:val="0"/>
        <w:autoSpaceDN w:val="0"/>
        <w:adjustRightInd w:val="0"/>
        <w:ind w:right="50" w:firstLine="709"/>
        <w:contextualSpacing/>
      </w:pPr>
      <w:r w:rsidRPr="00DA2BC8">
        <w:t xml:space="preserve">Обнаружение </w:t>
      </w:r>
      <w:r w:rsidRPr="00DA2BC8">
        <w:rPr>
          <w:i/>
          <w:iCs/>
        </w:rPr>
        <w:t>Candida</w:t>
      </w:r>
      <w:r w:rsidRPr="00DA2BC8">
        <w:t xml:space="preserve"> spp. при микроскопии либо в культуре спинномозговой жидкости (СМЖ) или биоптатов головного мозга. При кандидозном менингите, как и при бактериальном, в СМЖ определяется нейтрофильный плеоцитоз. </w:t>
      </w:r>
      <w:r>
        <w:t xml:space="preserve">Выполняется КТ/МРТ головного мозга (по показаниям с контрастированием) для оценки локализации, размеров, динамики очага (очагов) поражения. </w:t>
      </w:r>
      <w:r w:rsidRPr="00DA2BC8">
        <w:t>Специфические р</w:t>
      </w:r>
      <w:r>
        <w:t>адио</w:t>
      </w:r>
      <w:r w:rsidRPr="00DA2BC8">
        <w:t>логические признаки абсцессов кандидозной этиологии отсутствуют.</w:t>
      </w:r>
    </w:p>
    <w:p w14:paraId="7F7E2A4E" w14:textId="77777777" w:rsidR="00C466A6" w:rsidRPr="00CB7689" w:rsidRDefault="00C466A6" w:rsidP="00C466A6">
      <w:pPr>
        <w:widowControl w:val="0"/>
        <w:tabs>
          <w:tab w:val="left" w:pos="-90"/>
        </w:tabs>
        <w:autoSpaceDE w:val="0"/>
        <w:autoSpaceDN w:val="0"/>
        <w:adjustRightInd w:val="0"/>
        <w:ind w:right="50" w:firstLine="709"/>
        <w:contextualSpacing/>
        <w:rPr>
          <w:i/>
          <w:iCs/>
          <w:u w:val="single"/>
        </w:rPr>
      </w:pPr>
      <w:r w:rsidRPr="00CB7689">
        <w:rPr>
          <w:i/>
          <w:iCs/>
          <w:u w:val="single"/>
        </w:rPr>
        <w:t>Лечение</w:t>
      </w:r>
    </w:p>
    <w:p w14:paraId="2629DEE9" w14:textId="77777777" w:rsidR="00C466A6" w:rsidRPr="00DA2BC8" w:rsidRDefault="00C466A6" w:rsidP="00C466A6">
      <w:pPr>
        <w:widowControl w:val="0"/>
        <w:tabs>
          <w:tab w:val="left" w:pos="-90"/>
        </w:tabs>
        <w:autoSpaceDE w:val="0"/>
        <w:autoSpaceDN w:val="0"/>
        <w:adjustRightInd w:val="0"/>
        <w:ind w:right="50" w:firstLine="709"/>
        <w:contextualSpacing/>
      </w:pPr>
      <w:r w:rsidRPr="00DA2BC8">
        <w:rPr>
          <w:bCs/>
        </w:rPr>
        <w:t xml:space="preserve">Стартовая терапия (первые недели) – монотерапия липидной формы амфотерицина В (3-5 мг/кг </w:t>
      </w:r>
      <w:r w:rsidRPr="00DA2BC8">
        <w:t xml:space="preserve">внутривенно 1 раз в сутки) или в сочетании в течение первых недель с флуцитозином (25 мг/кг внутривенно 4 раза в сутки). Альтернативный препарат – вориконазол (в 1-й день по 6 мг/кг внутривенно 2 раза в сутки, затем по 4 мг/кг 2 раза в сутки с последующим переходом на пероральную форму по 200 мг внутрь 2 раза в сутки). </w:t>
      </w:r>
      <w:r w:rsidRPr="00DA2BC8">
        <w:rPr>
          <w:bCs/>
        </w:rPr>
        <w:t>При стабилизации</w:t>
      </w:r>
      <w:r w:rsidRPr="00DA2BC8">
        <w:rPr>
          <w:b/>
          <w:bCs/>
        </w:rPr>
        <w:t xml:space="preserve"> </w:t>
      </w:r>
      <w:r w:rsidRPr="00DA2BC8">
        <w:t xml:space="preserve">состояния после лечения липидной формой амфотерицина В назначают флуконазол при выделении флуконазолчувствительных </w:t>
      </w:r>
      <w:r w:rsidRPr="00DA2BC8">
        <w:rPr>
          <w:i/>
          <w:iCs/>
        </w:rPr>
        <w:t>Candida</w:t>
      </w:r>
      <w:r w:rsidRPr="00DA2BC8">
        <w:t xml:space="preserve"> spp (400-800 мг внутривенно 1 раз в сутки). </w:t>
      </w:r>
    </w:p>
    <w:p w14:paraId="2F594BC4" w14:textId="77777777" w:rsidR="00C466A6" w:rsidRPr="00DA2BC8" w:rsidRDefault="00C466A6" w:rsidP="00C466A6">
      <w:pPr>
        <w:widowControl w:val="0"/>
        <w:tabs>
          <w:tab w:val="left" w:pos="-90"/>
        </w:tabs>
        <w:autoSpaceDE w:val="0"/>
        <w:autoSpaceDN w:val="0"/>
        <w:adjustRightInd w:val="0"/>
        <w:ind w:right="50" w:firstLine="709"/>
        <w:contextualSpacing/>
      </w:pPr>
      <w:r w:rsidRPr="00DA2BC8">
        <w:t>Вориконазол и флуконазол хорошо проникают через гематоэнцефалический барьер. Итраконазол, позаконазол, амфотерицин В и его липидные формы плохо проходят через гематоэнцефалический барьер. При лечении липидными формами амфотерицина В в веществе головного мозга создаются высокие концентрации, причем у липосомального амфотерицина В они выше, чем у липидного комплекса или обычного амфотерицина В. Комбинация амфотерицина В с флуцитозином обладает синергидным действием. Лечение кандидоза ЦНС не проводят эхинокандинами.</w:t>
      </w:r>
    </w:p>
    <w:p w14:paraId="0FBC5DBF" w14:textId="77777777" w:rsidR="00C466A6" w:rsidRPr="00CB7689" w:rsidRDefault="00C466A6" w:rsidP="00C466A6">
      <w:pPr>
        <w:widowControl w:val="0"/>
        <w:autoSpaceDE w:val="0"/>
        <w:autoSpaceDN w:val="0"/>
        <w:adjustRightInd w:val="0"/>
        <w:ind w:right="50" w:firstLine="709"/>
        <w:contextualSpacing/>
        <w:rPr>
          <w:i/>
          <w:iCs/>
          <w:u w:val="single"/>
        </w:rPr>
      </w:pPr>
      <w:r w:rsidRPr="00CB7689">
        <w:rPr>
          <w:i/>
          <w:iCs/>
          <w:u w:val="single"/>
        </w:rPr>
        <w:t>Длительность лечения</w:t>
      </w:r>
    </w:p>
    <w:p w14:paraId="48651D10" w14:textId="77777777" w:rsidR="00C466A6" w:rsidRPr="00DA2BC8" w:rsidRDefault="00C466A6" w:rsidP="00C466A6">
      <w:pPr>
        <w:widowControl w:val="0"/>
        <w:autoSpaceDE w:val="0"/>
        <w:autoSpaceDN w:val="0"/>
        <w:adjustRightInd w:val="0"/>
        <w:ind w:right="50" w:firstLine="709"/>
        <w:contextualSpacing/>
      </w:pPr>
      <w:r w:rsidRPr="00DA2BC8">
        <w:t>Лечение занимает продолжительный период — до ликвидации всех клинических и р</w:t>
      </w:r>
      <w:r>
        <w:t>адио</w:t>
      </w:r>
      <w:r w:rsidRPr="00DA2BC8">
        <w:t>логических симптомов инфекции, нормализации состава СМЖ. Нейрохирургическим больным удаляют инфицированные шунты.</w:t>
      </w:r>
    </w:p>
    <w:p w14:paraId="6A18BCE3" w14:textId="77777777" w:rsidR="00C466A6" w:rsidRPr="00444F93" w:rsidRDefault="00C466A6" w:rsidP="00C466A6">
      <w:pPr>
        <w:widowControl w:val="0"/>
        <w:autoSpaceDE w:val="0"/>
        <w:autoSpaceDN w:val="0"/>
        <w:adjustRightInd w:val="0"/>
        <w:ind w:right="50" w:firstLine="709"/>
        <w:contextualSpacing/>
        <w:rPr>
          <w:b/>
          <w:bCs/>
        </w:rPr>
      </w:pPr>
      <w:r w:rsidRPr="00444F93">
        <w:rPr>
          <w:b/>
          <w:bCs/>
        </w:rPr>
        <w:t>Кандидозный эндофтальмит</w:t>
      </w:r>
    </w:p>
    <w:p w14:paraId="521334A5" w14:textId="77777777" w:rsidR="00C466A6" w:rsidRDefault="00C466A6" w:rsidP="00C466A6">
      <w:pPr>
        <w:widowControl w:val="0"/>
        <w:autoSpaceDE w:val="0"/>
        <w:autoSpaceDN w:val="0"/>
        <w:adjustRightInd w:val="0"/>
        <w:ind w:right="50" w:firstLine="709"/>
        <w:contextualSpacing/>
      </w:pPr>
      <w:r w:rsidRPr="00DA2BC8">
        <w:t xml:space="preserve">Кандидозный эндофтальмит - воспаление внутренних оболочек глаза с </w:t>
      </w:r>
      <w:r w:rsidRPr="00DA2BC8">
        <w:lastRenderedPageBreak/>
        <w:t>формированием абсцесса (абсцессов) в стекловидном теле</w:t>
      </w:r>
      <w:r>
        <w:t>, в</w:t>
      </w:r>
      <w:r w:rsidRPr="00DA2BC8">
        <w:t>озникает при диссеминации кандид из крови.</w:t>
      </w:r>
      <w:r>
        <w:t xml:space="preserve"> </w:t>
      </w:r>
      <w:r w:rsidRPr="00DA2BC8">
        <w:t xml:space="preserve">Основной симптом - снижение остроты зрения вплоть до развития слепоты. Во всех случаях необходима консультация офтальмолога. При офтальмоскопии на сетчатке определяют множественные белесоватые очаги. </w:t>
      </w:r>
      <w:r>
        <w:t>Выполняют КТ/МРТ головы (по показаниям с контрастированием) для оценки локализации, размеров, динамики очага (очагов) поражения.</w:t>
      </w:r>
    </w:p>
    <w:p w14:paraId="45D77229" w14:textId="77777777" w:rsidR="00C466A6" w:rsidRPr="00DA2BC8" w:rsidRDefault="00C466A6" w:rsidP="00C466A6">
      <w:pPr>
        <w:widowControl w:val="0"/>
        <w:autoSpaceDE w:val="0"/>
        <w:autoSpaceDN w:val="0"/>
        <w:adjustRightInd w:val="0"/>
        <w:ind w:right="50" w:firstLine="709"/>
        <w:contextualSpacing/>
      </w:pPr>
      <w:r w:rsidRPr="00DA2BC8">
        <w:rPr>
          <w:bCs/>
        </w:rPr>
        <w:t xml:space="preserve">При обширном поражении назначают </w:t>
      </w:r>
      <w:r w:rsidRPr="00DA2BC8">
        <w:t xml:space="preserve">амфотерицин В (0,7-1 мг/кг внутривенно 1 раз в сутки) в сочетании с флуцитозином (25 мг/кг внутривенно 4 раза в сутки), </w:t>
      </w:r>
      <w:r w:rsidRPr="00DA2BC8">
        <w:rPr>
          <w:bCs/>
        </w:rPr>
        <w:t xml:space="preserve">при нетяжелых проявлениях - </w:t>
      </w:r>
      <w:r w:rsidRPr="00DA2BC8">
        <w:t xml:space="preserve">флуконазол (400-800 мг внутривенно или внутрь 1 раз в сутки), при </w:t>
      </w:r>
      <w:r w:rsidRPr="00DA2BC8">
        <w:rPr>
          <w:bCs/>
        </w:rPr>
        <w:t xml:space="preserve">отсутствие эффекта </w:t>
      </w:r>
      <w:r w:rsidRPr="00DA2BC8">
        <w:t xml:space="preserve">- вориконазол, липидные формы амфотерицина В. Не используют эхинокандины. В стекловидном теле создается высокая концентрация вориконазола, низкая концентрация - эхинокандинов (каспофунгина, микафунгина, анидулафунгина). </w:t>
      </w:r>
      <w:r w:rsidRPr="00DA2BC8">
        <w:rPr>
          <w:bCs/>
        </w:rPr>
        <w:t>Длительность лечения</w:t>
      </w:r>
      <w:r w:rsidRPr="00DA2BC8">
        <w:t xml:space="preserve"> составляет 4-6 недель. Критерии отмены противогрибковых препаратов - ликвидация клинических симптомов инфекции и регрессия или стабилизация размеров очагов, выявляемых при офтальмоскопии.</w:t>
      </w:r>
    </w:p>
    <w:p w14:paraId="75436F06" w14:textId="77777777" w:rsidR="00C466A6" w:rsidRPr="00444F93" w:rsidRDefault="00C466A6" w:rsidP="00C466A6">
      <w:pPr>
        <w:widowControl w:val="0"/>
        <w:autoSpaceDE w:val="0"/>
        <w:autoSpaceDN w:val="0"/>
        <w:adjustRightInd w:val="0"/>
        <w:ind w:right="51" w:firstLine="709"/>
        <w:contextualSpacing/>
        <w:rPr>
          <w:b/>
          <w:bCs/>
        </w:rPr>
      </w:pPr>
      <w:r w:rsidRPr="00444F93">
        <w:rPr>
          <w:b/>
          <w:bCs/>
        </w:rPr>
        <w:t>Кандидозный эндокардит, перикардит, миокардит, тромбофлебит</w:t>
      </w:r>
    </w:p>
    <w:p w14:paraId="37073B1B" w14:textId="77777777" w:rsidR="00C466A6" w:rsidRPr="00DA2BC8" w:rsidRDefault="00C466A6" w:rsidP="00C466A6">
      <w:pPr>
        <w:widowControl w:val="0"/>
        <w:tabs>
          <w:tab w:val="left" w:pos="-90"/>
        </w:tabs>
        <w:autoSpaceDE w:val="0"/>
        <w:autoSpaceDN w:val="0"/>
        <w:adjustRightInd w:val="0"/>
        <w:ind w:left="90" w:right="51" w:firstLine="709"/>
        <w:contextualSpacing/>
      </w:pPr>
      <w:r w:rsidRPr="00DA2BC8">
        <w:t xml:space="preserve">У иммунокомпрометированных </w:t>
      </w:r>
      <w:r>
        <w:t xml:space="preserve">пацентов  ХЛЛ/ЛМЛ </w:t>
      </w:r>
      <w:r w:rsidRPr="00DA2BC8">
        <w:t xml:space="preserve">эти осложнения возникают при гематогенной диссеминации </w:t>
      </w:r>
      <w:r w:rsidRPr="00DA2BC8">
        <w:rPr>
          <w:i/>
          <w:iCs/>
        </w:rPr>
        <w:t>Candida</w:t>
      </w:r>
      <w:r w:rsidRPr="00DA2BC8">
        <w:t xml:space="preserve"> spp.</w:t>
      </w:r>
      <w:r>
        <w:t>; с</w:t>
      </w:r>
      <w:r w:rsidRPr="00DA2BC8">
        <w:rPr>
          <w:bCs/>
        </w:rPr>
        <w:t>имптомы</w:t>
      </w:r>
      <w:r w:rsidRPr="00DA2BC8">
        <w:t xml:space="preserve"> </w:t>
      </w:r>
      <w:r>
        <w:t xml:space="preserve">соответствуют аналогичной локализации инфекции </w:t>
      </w:r>
      <w:r w:rsidRPr="00DA2BC8">
        <w:t>бактериальн</w:t>
      </w:r>
      <w:r>
        <w:t>ой</w:t>
      </w:r>
      <w:r w:rsidRPr="00DA2BC8">
        <w:t xml:space="preserve"> </w:t>
      </w:r>
      <w:r>
        <w:t>природы</w:t>
      </w:r>
      <w:r w:rsidRPr="00DA2BC8">
        <w:t xml:space="preserve">. </w:t>
      </w:r>
      <w:r>
        <w:t xml:space="preserve">Для диагностики проводят необходимые инструменитальные и лабораторные исследования – ЭКГ, ЭхоКГ, КТ/МРТ органов грудной полости, доплерографические исследования, УЗИ сосудов, консультация кардиолога, кардиохирурга, ангиохирурга, микробиологические (бактериологические) исследования крови, микробиологические (бактериологические), цитологические и гистологические исследования биоптататов. </w:t>
      </w:r>
      <w:r w:rsidRPr="00DA2BC8">
        <w:t xml:space="preserve">Диагноз устанавливают на основании обнаружения </w:t>
      </w:r>
      <w:r w:rsidRPr="00DA2BC8">
        <w:rPr>
          <w:i/>
          <w:iCs/>
        </w:rPr>
        <w:t>Candida</w:t>
      </w:r>
      <w:r w:rsidRPr="00DA2BC8">
        <w:t xml:space="preserve"> spp. в материале из пораженных клапанов сердца или присутствия непосредственной связи между выделением </w:t>
      </w:r>
      <w:r w:rsidRPr="00DA2BC8">
        <w:rPr>
          <w:i/>
          <w:iCs/>
        </w:rPr>
        <w:t xml:space="preserve">Candida </w:t>
      </w:r>
      <w:r w:rsidRPr="00DA2BC8">
        <w:t xml:space="preserve">spp. из гемокультуры и появлением симптомов диссеминации инфекционного процесса. </w:t>
      </w:r>
      <w:r w:rsidRPr="00DA2BC8">
        <w:rPr>
          <w:bCs/>
        </w:rPr>
        <w:t xml:space="preserve">Препарат выбора - </w:t>
      </w:r>
      <w:r w:rsidRPr="00DA2BC8">
        <w:t xml:space="preserve">каспофунгин, </w:t>
      </w:r>
      <w:r w:rsidRPr="00DA2BC8">
        <w:rPr>
          <w:bCs/>
        </w:rPr>
        <w:t>альтернативный препарат – липидные формы амфотерицина В.</w:t>
      </w:r>
      <w:r w:rsidRPr="00DA2BC8">
        <w:t xml:space="preserve"> Флуконазол назначают </w:t>
      </w:r>
      <w:r w:rsidRPr="00DA2BC8">
        <w:rPr>
          <w:bCs/>
        </w:rPr>
        <w:t xml:space="preserve">при стабилизации симптомов инфекции и выделении флуконазолчувствительных </w:t>
      </w:r>
      <w:r w:rsidRPr="00DA2BC8">
        <w:rPr>
          <w:bCs/>
          <w:i/>
          <w:iCs/>
        </w:rPr>
        <w:t>Candida</w:t>
      </w:r>
      <w:r w:rsidRPr="00DA2BC8">
        <w:rPr>
          <w:bCs/>
        </w:rPr>
        <w:t xml:space="preserve"> spp.</w:t>
      </w:r>
      <w:r w:rsidRPr="00DA2BC8">
        <w:t xml:space="preserve"> </w:t>
      </w:r>
      <w:r w:rsidRPr="00DA2BC8">
        <w:rPr>
          <w:bCs/>
        </w:rPr>
        <w:t xml:space="preserve">Оперативное лечение включает </w:t>
      </w:r>
      <w:r w:rsidRPr="00DA2BC8">
        <w:t xml:space="preserve">удаление инфицированных клапанов сердца, перикардэктомия при перикардите. </w:t>
      </w:r>
      <w:r w:rsidRPr="00DA2BC8">
        <w:rPr>
          <w:bCs/>
        </w:rPr>
        <w:t>Длительность лечения</w:t>
      </w:r>
      <w:r w:rsidRPr="00DA2BC8">
        <w:t xml:space="preserve"> кандидозного эндокардита после хирургического вмешательства составляет не менее 6 недель; при наличии абсцессов и других осложнений - более продолжительный период. Если операцию на клапанах не проводят, то назначают пожизненно флуконазол в дозе 400-800 мг в сутки внутрь или внутривенно 1 раз в сутки. Лечение кандидозного перикардита и миокардита </w:t>
      </w:r>
      <w:r w:rsidRPr="00DA2BC8">
        <w:lastRenderedPageBreak/>
        <w:t>продолжается несколько месяцев.</w:t>
      </w:r>
    </w:p>
    <w:p w14:paraId="2B735373" w14:textId="77777777" w:rsidR="00C466A6" w:rsidRPr="00444F93" w:rsidRDefault="00C466A6" w:rsidP="00C466A6">
      <w:pPr>
        <w:widowControl w:val="0"/>
        <w:autoSpaceDE w:val="0"/>
        <w:autoSpaceDN w:val="0"/>
        <w:adjustRightInd w:val="0"/>
        <w:ind w:right="51" w:firstLine="709"/>
        <w:contextualSpacing/>
        <w:rPr>
          <w:b/>
          <w:bCs/>
        </w:rPr>
      </w:pPr>
      <w:r w:rsidRPr="00444F93">
        <w:rPr>
          <w:b/>
          <w:bCs/>
        </w:rPr>
        <w:t>Кандидоз мочевыводящих путей</w:t>
      </w:r>
    </w:p>
    <w:p w14:paraId="0255380D" w14:textId="77777777" w:rsidR="00C466A6" w:rsidRPr="00DA2BC8" w:rsidRDefault="00C466A6" w:rsidP="00C466A6">
      <w:pPr>
        <w:widowControl w:val="0"/>
        <w:autoSpaceDE w:val="0"/>
        <w:autoSpaceDN w:val="0"/>
        <w:adjustRightInd w:val="0"/>
        <w:ind w:right="51" w:firstLine="709"/>
        <w:contextualSpacing/>
      </w:pPr>
      <w:r w:rsidRPr="00DA2BC8">
        <w:t xml:space="preserve">Клинические проявления </w:t>
      </w:r>
      <w:r>
        <w:t xml:space="preserve">кандидоза мочевых путей – </w:t>
      </w:r>
      <w:r w:rsidRPr="00DA2BC8">
        <w:t xml:space="preserve">цистит, пиелонефорит, </w:t>
      </w:r>
      <w:r w:rsidRPr="00444F93">
        <w:t>острый диссеминированный кандидоз</w:t>
      </w:r>
      <w:r w:rsidRPr="00DA2BC8">
        <w:t xml:space="preserve">. К факторам риска относят факторы, индуцирующие развитие инвазивного кандидоза, дополнительный фактор </w:t>
      </w:r>
      <w:r>
        <w:t>–</w:t>
      </w:r>
      <w:r w:rsidRPr="00DA2BC8">
        <w:t xml:space="preserve"> катетеризация мочевого пузыря. При кандидозном цистите </w:t>
      </w:r>
      <w:r>
        <w:t>характерны</w:t>
      </w:r>
      <w:r w:rsidRPr="00DA2BC8">
        <w:t xml:space="preserve"> частые болезненные мочеиспускания; при пиелонефрите </w:t>
      </w:r>
      <w:r>
        <w:t>–</w:t>
      </w:r>
      <w:r w:rsidRPr="00DA2BC8">
        <w:t xml:space="preserve"> боль в поясничной области, боль при мочеиспускании, температура; при гематогенной диссеминации кандид может быть только лихорадка. </w:t>
      </w:r>
      <w:r>
        <w:t xml:space="preserve">Для диагностики проводят необходимые иснтрументальные и лабораторные исследования – клинический, микробиологический анализы мочи, УЗИ почек и мочевыводящих путей, мочевого пузыря, КТ/МРТ почек и мочевыводящих путей, мочевого пузыря, органов малого таза у мужчин и женщин. </w:t>
      </w:r>
      <w:r w:rsidRPr="00DA2BC8">
        <w:t xml:space="preserve">Диагноз ставят на основании выделения </w:t>
      </w:r>
      <w:r w:rsidRPr="00DA2BC8">
        <w:rPr>
          <w:i/>
          <w:iCs/>
        </w:rPr>
        <w:t>Candida</w:t>
      </w:r>
      <w:r w:rsidRPr="00DA2BC8">
        <w:t xml:space="preserve"> spp. из мочи. Необходимо провести идентификацию возбудителя до вида и определить его чувствительность.</w:t>
      </w:r>
    </w:p>
    <w:p w14:paraId="1A53F2F6" w14:textId="77777777" w:rsidR="00C466A6" w:rsidRDefault="00C466A6" w:rsidP="00C466A6">
      <w:pPr>
        <w:widowControl w:val="0"/>
        <w:autoSpaceDE w:val="0"/>
        <w:autoSpaceDN w:val="0"/>
        <w:adjustRightInd w:val="0"/>
        <w:ind w:right="51" w:firstLine="709"/>
        <w:contextualSpacing/>
      </w:pPr>
      <w:r w:rsidRPr="00DA2BC8">
        <w:rPr>
          <w:bCs/>
        </w:rPr>
        <w:t xml:space="preserve">Показанием к назначению противогрибковых препаратов являются </w:t>
      </w:r>
      <w:r w:rsidRPr="00DA2BC8">
        <w:t xml:space="preserve">наличие признаков инфекции и неоднократное (не менее двух раз) выделение </w:t>
      </w:r>
      <w:r w:rsidRPr="00DA2BC8">
        <w:rPr>
          <w:i/>
          <w:iCs/>
        </w:rPr>
        <w:t>Candida</w:t>
      </w:r>
      <w:r w:rsidRPr="00DA2BC8">
        <w:t xml:space="preserve"> spp. из мочи, а также бессимптомная кандидурия у больных с нейтропенией. Бессимптомная кандидурия у больных </w:t>
      </w:r>
      <w:r w:rsidRPr="00DA2BC8">
        <w:rPr>
          <w:bCs/>
        </w:rPr>
        <w:t>вне нейтропении</w:t>
      </w:r>
      <w:r w:rsidRPr="00DA2BC8">
        <w:t xml:space="preserve"> свидетельствует о колонизации слизистой оболочки нижних отделов мочевыводящих путей кандидами, лечение противогрибковым</w:t>
      </w:r>
      <w:r>
        <w:t>и препаратами не проводят. У этой категории</w:t>
      </w:r>
      <w:r w:rsidRPr="00DA2BC8">
        <w:t xml:space="preserve"> </w:t>
      </w:r>
      <w:r>
        <w:t>пациентов</w:t>
      </w:r>
      <w:r w:rsidRPr="00DA2BC8">
        <w:t xml:space="preserve"> устранение факторов риска, например отмена антибиотиков или глюкокортикоидов, либо удаление катетера из мочевого пузыря, приводит к прекращению выделения кандид из мочи. </w:t>
      </w:r>
    </w:p>
    <w:p w14:paraId="219C8F9A" w14:textId="77777777" w:rsidR="00C466A6" w:rsidRPr="00DA2BC8" w:rsidRDefault="00C466A6" w:rsidP="00C466A6">
      <w:pPr>
        <w:widowControl w:val="0"/>
        <w:autoSpaceDE w:val="0"/>
        <w:autoSpaceDN w:val="0"/>
        <w:adjustRightInd w:val="0"/>
        <w:ind w:right="51" w:firstLine="709"/>
        <w:contextualSpacing/>
        <w:rPr>
          <w:b/>
        </w:rPr>
      </w:pPr>
      <w:r w:rsidRPr="00DA2BC8">
        <w:rPr>
          <w:bCs/>
        </w:rPr>
        <w:t xml:space="preserve">Лечение </w:t>
      </w:r>
      <w:r w:rsidRPr="00DA2BC8">
        <w:rPr>
          <w:bCs/>
          <w:iCs/>
        </w:rPr>
        <w:t>кандидозного цистита включает назначение флуконазола (400 мг) в случаях детекции</w:t>
      </w:r>
      <w:r w:rsidRPr="00DA2BC8">
        <w:rPr>
          <w:bCs/>
        </w:rPr>
        <w:t xml:space="preserve"> флуконазолчувствительных </w:t>
      </w:r>
      <w:r w:rsidRPr="00DA2BC8">
        <w:rPr>
          <w:bCs/>
          <w:i/>
          <w:iCs/>
        </w:rPr>
        <w:t xml:space="preserve">Candida </w:t>
      </w:r>
      <w:r w:rsidRPr="00DA2BC8">
        <w:rPr>
          <w:bCs/>
        </w:rPr>
        <w:t>spp., применение</w:t>
      </w:r>
      <w:r w:rsidRPr="00DA2BC8">
        <w:t xml:space="preserve"> амфотерицин В (0,3-0,6 мг/кг внутривенно 1 раз в сутки) – при флуконазолустойчивых </w:t>
      </w:r>
      <w:r w:rsidRPr="00DA2BC8">
        <w:rPr>
          <w:bCs/>
          <w:i/>
          <w:iCs/>
        </w:rPr>
        <w:t xml:space="preserve">Candida </w:t>
      </w:r>
      <w:r w:rsidRPr="00DA2BC8">
        <w:rPr>
          <w:bCs/>
        </w:rPr>
        <w:t>spp</w:t>
      </w:r>
      <w:r w:rsidRPr="00DA2BC8">
        <w:t xml:space="preserve">. Орошение мочевого пузыря амфотерицином В допустимо лишь при выделении флуконазолрезистентных </w:t>
      </w:r>
      <w:r w:rsidRPr="00DA2BC8">
        <w:rPr>
          <w:i/>
          <w:iCs/>
        </w:rPr>
        <w:t xml:space="preserve">Candida </w:t>
      </w:r>
      <w:r w:rsidRPr="00DA2BC8">
        <w:t xml:space="preserve">spp., например </w:t>
      </w:r>
      <w:r w:rsidRPr="00DA2BC8">
        <w:rPr>
          <w:i/>
          <w:iCs/>
        </w:rPr>
        <w:t>С</w:t>
      </w:r>
      <w:r w:rsidRPr="00DA2BC8">
        <w:rPr>
          <w:iCs/>
          <w:strike/>
        </w:rPr>
        <w:t>.</w:t>
      </w:r>
      <w:r w:rsidRPr="00DA2BC8">
        <w:rPr>
          <w:i/>
          <w:iCs/>
        </w:rPr>
        <w:t xml:space="preserve"> glabrata</w:t>
      </w:r>
      <w:r w:rsidRPr="00DA2BC8">
        <w:t xml:space="preserve">. Необходимо отметить, что при таком методе лечения наблюдается высокая частота рецидивов. Лечение </w:t>
      </w:r>
      <w:r w:rsidRPr="00DA2BC8">
        <w:rPr>
          <w:bCs/>
          <w:iCs/>
        </w:rPr>
        <w:t>кандидозного пиелонефрита проводят теми же антимикотиками.</w:t>
      </w:r>
      <w:r w:rsidRPr="00DA2BC8">
        <w:t xml:space="preserve"> Липидные формы амфотерицина В не применяют для лечения кандидозного пиелонефрита по причине низкой концентрации препарата в паренхиме почек. По той же причине не назначают эхинокандиды и вориконазол.</w:t>
      </w:r>
    </w:p>
    <w:p w14:paraId="0E3DD553" w14:textId="5D221D00" w:rsidR="00C466A6" w:rsidRDefault="00C466A6" w:rsidP="00C466A6">
      <w:pPr>
        <w:widowControl w:val="0"/>
        <w:autoSpaceDE w:val="0"/>
        <w:autoSpaceDN w:val="0"/>
        <w:adjustRightInd w:val="0"/>
        <w:ind w:right="51" w:firstLine="709"/>
        <w:contextualSpacing/>
      </w:pPr>
      <w:r w:rsidRPr="00DA2BC8">
        <w:rPr>
          <w:bCs/>
        </w:rPr>
        <w:t>Длительность лечения</w:t>
      </w:r>
      <w:r w:rsidRPr="00DA2BC8">
        <w:rPr>
          <w:b/>
          <w:bCs/>
        </w:rPr>
        <w:t xml:space="preserve"> </w:t>
      </w:r>
      <w:r w:rsidRPr="00DA2BC8">
        <w:t xml:space="preserve">кандидозного цистита флуконазолом составляет 2 недели. Если цистит вызван флуконазолрезистентными </w:t>
      </w:r>
      <w:r w:rsidRPr="00DA2BC8">
        <w:rPr>
          <w:i/>
          <w:iCs/>
        </w:rPr>
        <w:t xml:space="preserve">Candida </w:t>
      </w:r>
      <w:r w:rsidRPr="00DA2BC8">
        <w:t>spp., то лечение амфотерицином В проводят в течение 7-10 дней. Продолжительность лечения кандидозного пиелонефрита составляет 2 недели.</w:t>
      </w:r>
    </w:p>
    <w:p w14:paraId="00BF7B45" w14:textId="77777777" w:rsidR="00084B8B" w:rsidRPr="00DA2BC8" w:rsidRDefault="00084B8B" w:rsidP="00C466A6">
      <w:pPr>
        <w:widowControl w:val="0"/>
        <w:autoSpaceDE w:val="0"/>
        <w:autoSpaceDN w:val="0"/>
        <w:adjustRightInd w:val="0"/>
        <w:ind w:right="51" w:firstLine="709"/>
        <w:contextualSpacing/>
      </w:pPr>
    </w:p>
    <w:p w14:paraId="752D847A" w14:textId="626D54A4" w:rsidR="00C466A6" w:rsidRPr="00084B8B" w:rsidRDefault="00CB7689" w:rsidP="00CB7689">
      <w:pPr>
        <w:widowControl w:val="0"/>
        <w:autoSpaceDE w:val="0"/>
        <w:autoSpaceDN w:val="0"/>
        <w:adjustRightInd w:val="0"/>
        <w:ind w:right="49"/>
        <w:contextualSpacing/>
        <w:rPr>
          <w:bCs/>
          <w:u w:val="single"/>
        </w:rPr>
      </w:pPr>
      <w:r>
        <w:rPr>
          <w:bCs/>
          <w:u w:val="single"/>
        </w:rPr>
        <w:t xml:space="preserve">7.6.3. </w:t>
      </w:r>
      <w:r w:rsidR="00C466A6" w:rsidRPr="00CB7689">
        <w:rPr>
          <w:bCs/>
          <w:u w:val="single"/>
        </w:rPr>
        <w:t>Диагностика и лечение криптококкоза</w:t>
      </w:r>
      <w:r w:rsidR="00084B8B" w:rsidRPr="00144984">
        <w:rPr>
          <w:bCs/>
          <w:u w:val="single"/>
        </w:rPr>
        <w:t xml:space="preserve"> </w:t>
      </w:r>
      <w:r w:rsidR="00084B8B">
        <w:rPr>
          <w:b/>
        </w:rPr>
        <w:fldChar w:fldCharType="begin" w:fldLock="1"/>
      </w:r>
      <w:r w:rsidR="0029367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[76,79,85]","plainTextFormattedCitation":"[76,79,85]","previouslyFormattedCitation":"[76,79,85]"},"properties":{"noteIndex":0},"schema":"https://github.com/citation-style-language/schema/raw/master/csl-citation.json"}</w:instrText>
      </w:r>
      <w:r w:rsidR="00084B8B">
        <w:rPr>
          <w:b/>
        </w:rPr>
        <w:fldChar w:fldCharType="separate"/>
      </w:r>
      <w:r w:rsidR="00FB256D" w:rsidRPr="00FB256D">
        <w:rPr>
          <w:noProof/>
        </w:rPr>
        <w:t>[76,79,85]</w:t>
      </w:r>
      <w:r w:rsidR="00084B8B">
        <w:rPr>
          <w:b/>
        </w:rPr>
        <w:fldChar w:fldCharType="end"/>
      </w:r>
    </w:p>
    <w:p w14:paraId="6E40266B" w14:textId="77777777" w:rsidR="00C466A6" w:rsidRPr="00DA2BC8" w:rsidRDefault="00C466A6" w:rsidP="00C466A6">
      <w:pPr>
        <w:widowControl w:val="0"/>
        <w:autoSpaceDE w:val="0"/>
        <w:autoSpaceDN w:val="0"/>
        <w:adjustRightInd w:val="0"/>
        <w:ind w:right="50" w:firstLine="709"/>
        <w:contextualSpacing/>
      </w:pPr>
      <w:r w:rsidRPr="00DA2BC8">
        <w:t xml:space="preserve">Инфекция возникает преимущественно у </w:t>
      </w:r>
      <w:r>
        <w:t>пациентов</w:t>
      </w:r>
      <w:r w:rsidRPr="00DA2BC8">
        <w:t xml:space="preserve"> с Т-клеточным иммунодефицитом, </w:t>
      </w:r>
      <w:r>
        <w:t>в первую очередь,</w:t>
      </w:r>
      <w:r w:rsidRPr="00DA2BC8">
        <w:t xml:space="preserve"> у </w:t>
      </w:r>
      <w:r>
        <w:t>гематологических пациентов</w:t>
      </w:r>
      <w:r w:rsidRPr="00DA2BC8">
        <w:t xml:space="preserve"> с лимфатическими опухолями</w:t>
      </w:r>
      <w:r>
        <w:t>, в том числе, ХЛЛ/ЛМЛ,</w:t>
      </w:r>
      <w:r w:rsidRPr="00DA2BC8">
        <w:t xml:space="preserve"> и характеризуется частым поражением ЦНС в виде менингита или менингоэнцефалита. Основным возбудителем криптококкоза является </w:t>
      </w:r>
      <w:r w:rsidRPr="00DA2BC8">
        <w:rPr>
          <w:i/>
          <w:iCs/>
        </w:rPr>
        <w:t>Cryptococcus neoformans</w:t>
      </w:r>
      <w:r w:rsidRPr="00DA2BC8">
        <w:t xml:space="preserve">, реже заболевание вызывают </w:t>
      </w:r>
      <w:r w:rsidRPr="00DA2BC8">
        <w:rPr>
          <w:i/>
          <w:iCs/>
        </w:rPr>
        <w:t>C. gattii</w:t>
      </w:r>
      <w:r w:rsidRPr="00DA2BC8">
        <w:t xml:space="preserve">, крайне редко – </w:t>
      </w:r>
      <w:r w:rsidRPr="00DA2BC8">
        <w:rPr>
          <w:i/>
          <w:iCs/>
        </w:rPr>
        <w:t>C. laurentii</w:t>
      </w:r>
      <w:r w:rsidRPr="00DA2BC8">
        <w:t xml:space="preserve"> и </w:t>
      </w:r>
      <w:r w:rsidRPr="00DA2BC8">
        <w:rPr>
          <w:i/>
          <w:iCs/>
        </w:rPr>
        <w:t>С. albidus</w:t>
      </w:r>
      <w:r w:rsidRPr="00DA2BC8">
        <w:t>. К факторам риска относят применение глюкокортикоидных и иммуносупрессивных препаратов, таких как флударабин</w:t>
      </w:r>
      <w:r>
        <w:t xml:space="preserve"> и др</w:t>
      </w:r>
      <w:r w:rsidRPr="00DA2BC8">
        <w:t>.</w:t>
      </w:r>
    </w:p>
    <w:p w14:paraId="2E0EB881" w14:textId="77777777" w:rsidR="00C466A6" w:rsidRPr="00CB7689" w:rsidRDefault="00C466A6" w:rsidP="00C466A6">
      <w:pPr>
        <w:widowControl w:val="0"/>
        <w:autoSpaceDE w:val="0"/>
        <w:autoSpaceDN w:val="0"/>
        <w:adjustRightInd w:val="0"/>
        <w:ind w:right="50" w:firstLine="709"/>
        <w:contextualSpacing/>
        <w:rPr>
          <w:i/>
          <w:iCs/>
          <w:u w:val="single"/>
        </w:rPr>
      </w:pPr>
      <w:r w:rsidRPr="00CB7689">
        <w:rPr>
          <w:i/>
          <w:iCs/>
          <w:u w:val="single"/>
        </w:rPr>
        <w:t>Симптомы</w:t>
      </w:r>
    </w:p>
    <w:p w14:paraId="05C8FA6B" w14:textId="77777777" w:rsidR="00C466A6" w:rsidRPr="00DA2BC8" w:rsidRDefault="00C466A6" w:rsidP="00C466A6">
      <w:pPr>
        <w:widowControl w:val="0"/>
        <w:autoSpaceDE w:val="0"/>
        <w:autoSpaceDN w:val="0"/>
        <w:adjustRightInd w:val="0"/>
        <w:ind w:right="50" w:firstLine="709"/>
        <w:contextualSpacing/>
      </w:pPr>
      <w:r w:rsidRPr="00DA2BC8">
        <w:t xml:space="preserve">Основное проявление – менингоэнцефалит. У </w:t>
      </w:r>
      <w:r>
        <w:t>гематологических пациентов</w:t>
      </w:r>
      <w:r w:rsidRPr="00DA2BC8">
        <w:t xml:space="preserve">, в отличие от ВИЧ-инфицированных пациентов, симптомы криптококкового менингита и менигоэнцефалита не столь выражены, чаще всего беспокоят повышение температуры, головная боль, нарушение сознания, а при запоздалом лечении развивается сопор. У 30-50% </w:t>
      </w:r>
      <w:r>
        <w:t>пациентов</w:t>
      </w:r>
      <w:r w:rsidRPr="00DA2BC8">
        <w:t xml:space="preserve"> с криптококкозом удается выделить </w:t>
      </w:r>
      <w:r w:rsidRPr="00DA2BC8">
        <w:rPr>
          <w:i/>
          <w:iCs/>
        </w:rPr>
        <w:t>Cryptococcus</w:t>
      </w:r>
      <w:r w:rsidRPr="00DA2BC8">
        <w:t xml:space="preserve"> spp</w:t>
      </w:r>
      <w:r>
        <w:t>. из гемокультуры. У 25-50% пациентов с</w:t>
      </w:r>
      <w:r w:rsidRPr="00DA2BC8">
        <w:t xml:space="preserve"> криптококкозом возникает диссеминация в других органов, такие как простата, кожа, печень, почки, селезенка и кости. Инфицирование простаты может являться источником реактивации криптококкоза после прекращения лечения. Клинические проявления криптококкоза неспецифичны и зависят от локализации процесса. </w:t>
      </w:r>
    </w:p>
    <w:p w14:paraId="0A3B8E47" w14:textId="77777777" w:rsidR="00C466A6" w:rsidRPr="00CB7689" w:rsidRDefault="00C466A6" w:rsidP="00C466A6">
      <w:pPr>
        <w:widowControl w:val="0"/>
        <w:autoSpaceDE w:val="0"/>
        <w:autoSpaceDN w:val="0"/>
        <w:adjustRightInd w:val="0"/>
        <w:ind w:right="50" w:firstLine="709"/>
        <w:contextualSpacing/>
        <w:rPr>
          <w:i/>
          <w:iCs/>
          <w:u w:val="single"/>
        </w:rPr>
      </w:pPr>
      <w:r w:rsidRPr="00CB7689">
        <w:rPr>
          <w:i/>
          <w:iCs/>
          <w:u w:val="single"/>
        </w:rPr>
        <w:t>Диагностика</w:t>
      </w:r>
    </w:p>
    <w:p w14:paraId="29CDDE23" w14:textId="77777777" w:rsidR="00C466A6" w:rsidRPr="00C17F87" w:rsidRDefault="00C466A6" w:rsidP="00C466A6">
      <w:pPr>
        <w:widowControl w:val="0"/>
        <w:autoSpaceDE w:val="0"/>
        <w:autoSpaceDN w:val="0"/>
        <w:adjustRightInd w:val="0"/>
        <w:ind w:right="50" w:firstLine="709"/>
        <w:contextualSpacing/>
      </w:pPr>
      <w:r>
        <w:t xml:space="preserve">Для диагностики проводят необходимые иснтрументальные и лабораторные исследования, манипуляции – КТ/МРТ грудной, брюшной полостей, малого таза, костей, головного и спинного мозга (по показаниям с контрастированием), люмбальные пункции с исследованием физико-химических свойств ликвора, а также цитологическим, молекулярно-биологическим исследованием, посевы (микробиологические / бактериологические исследования) крови и ликвора, другие исследования и консультации специалистов (невролога, окулиста, нейрохирурга, уролога, хирурга  и др. по показаниям). </w:t>
      </w:r>
    </w:p>
    <w:p w14:paraId="59CF9BDC" w14:textId="77777777" w:rsidR="00C466A6" w:rsidRDefault="00C466A6" w:rsidP="00C466A6">
      <w:pPr>
        <w:widowControl w:val="0"/>
        <w:autoSpaceDE w:val="0"/>
        <w:autoSpaceDN w:val="0"/>
        <w:adjustRightInd w:val="0"/>
        <w:ind w:right="50" w:firstLine="709"/>
        <w:contextualSpacing/>
      </w:pPr>
      <w:r w:rsidRPr="00DA2BC8">
        <w:t>Диагноз устанавливают на основании</w:t>
      </w:r>
      <w:r>
        <w:t>:</w:t>
      </w:r>
    </w:p>
    <w:p w14:paraId="0C9B3B24" w14:textId="77777777" w:rsidR="00C466A6" w:rsidRDefault="00C466A6" w:rsidP="00D61785">
      <w:pPr>
        <w:pStyle w:val="a4"/>
        <w:widowControl w:val="0"/>
        <w:numPr>
          <w:ilvl w:val="0"/>
          <w:numId w:val="44"/>
        </w:numPr>
        <w:autoSpaceDE w:val="0"/>
        <w:autoSpaceDN w:val="0"/>
        <w:adjustRightInd w:val="0"/>
        <w:spacing w:before="0"/>
        <w:ind w:right="50"/>
        <w:contextualSpacing/>
      </w:pPr>
      <w:r w:rsidRPr="00444F93">
        <w:t xml:space="preserve">выделения </w:t>
      </w:r>
      <w:r w:rsidRPr="00444F93">
        <w:rPr>
          <w:i/>
          <w:iCs/>
        </w:rPr>
        <w:t xml:space="preserve">Cryptococcus </w:t>
      </w:r>
      <w:r w:rsidRPr="00444F93">
        <w:t xml:space="preserve">spp. из гемокультуры или СМЖ, или обнаружения дрожжеподобных грибов в СМЖ при микроскопии; </w:t>
      </w:r>
    </w:p>
    <w:p w14:paraId="3A387CFD" w14:textId="77777777" w:rsidR="00C466A6" w:rsidRDefault="00C466A6" w:rsidP="00D61785">
      <w:pPr>
        <w:pStyle w:val="a4"/>
        <w:widowControl w:val="0"/>
        <w:numPr>
          <w:ilvl w:val="0"/>
          <w:numId w:val="44"/>
        </w:numPr>
        <w:autoSpaceDE w:val="0"/>
        <w:autoSpaceDN w:val="0"/>
        <w:adjustRightInd w:val="0"/>
        <w:spacing w:before="0"/>
        <w:ind w:right="50"/>
        <w:contextualSpacing/>
      </w:pPr>
      <w:r w:rsidRPr="00444F93">
        <w:t xml:space="preserve">определения положительного антигена </w:t>
      </w:r>
      <w:r w:rsidRPr="00444F93">
        <w:rPr>
          <w:i/>
          <w:iCs/>
        </w:rPr>
        <w:t xml:space="preserve">Cryptococcus </w:t>
      </w:r>
      <w:r w:rsidRPr="00444F93">
        <w:t xml:space="preserve">(глюкуроноксиломаннан) в СМЖ. </w:t>
      </w:r>
    </w:p>
    <w:p w14:paraId="241FD67F" w14:textId="77777777" w:rsidR="00C466A6" w:rsidRPr="00444F93" w:rsidRDefault="00C466A6" w:rsidP="00C466A6">
      <w:pPr>
        <w:widowControl w:val="0"/>
        <w:autoSpaceDE w:val="0"/>
        <w:autoSpaceDN w:val="0"/>
        <w:adjustRightInd w:val="0"/>
        <w:ind w:right="50" w:firstLine="708"/>
      </w:pPr>
      <w:r w:rsidRPr="00444F93">
        <w:t xml:space="preserve">Ложноположительные результаты антигена </w:t>
      </w:r>
      <w:r w:rsidRPr="00444F93">
        <w:rPr>
          <w:i/>
          <w:iCs/>
        </w:rPr>
        <w:t xml:space="preserve">Cryptococcus </w:t>
      </w:r>
      <w:r w:rsidRPr="00444F93">
        <w:t xml:space="preserve">могут быть при инфекциях, вызванными </w:t>
      </w:r>
      <w:r w:rsidRPr="00444F93">
        <w:rPr>
          <w:i/>
          <w:iCs/>
        </w:rPr>
        <w:t>Trichosporon</w:t>
      </w:r>
      <w:r w:rsidRPr="00444F93">
        <w:t xml:space="preserve"> или </w:t>
      </w:r>
      <w:r w:rsidRPr="00444F93">
        <w:rPr>
          <w:i/>
          <w:iCs/>
        </w:rPr>
        <w:t>Capnocytophaga canimorsus</w:t>
      </w:r>
      <w:r w:rsidRPr="00444F93">
        <w:t xml:space="preserve">, или </w:t>
      </w:r>
      <w:r w:rsidRPr="00444F93">
        <w:rPr>
          <w:i/>
          <w:iCs/>
        </w:rPr>
        <w:t xml:space="preserve">Stomatococcus </w:t>
      </w:r>
      <w:r w:rsidRPr="00444F93">
        <w:rPr>
          <w:i/>
          <w:iCs/>
        </w:rPr>
        <w:lastRenderedPageBreak/>
        <w:t>mucilaginosis,</w:t>
      </w:r>
      <w:r w:rsidRPr="00444F93">
        <w:t xml:space="preserve"> или при обнаружении ревматоидного фактора. </w:t>
      </w:r>
    </w:p>
    <w:p w14:paraId="74747EC8" w14:textId="77777777" w:rsidR="00C466A6" w:rsidRPr="00CB7689" w:rsidRDefault="00C466A6" w:rsidP="00C466A6">
      <w:pPr>
        <w:widowControl w:val="0"/>
        <w:autoSpaceDE w:val="0"/>
        <w:autoSpaceDN w:val="0"/>
        <w:adjustRightInd w:val="0"/>
        <w:ind w:right="50" w:firstLine="709"/>
        <w:contextualSpacing/>
        <w:rPr>
          <w:i/>
          <w:iCs/>
          <w:u w:val="single"/>
        </w:rPr>
      </w:pPr>
      <w:r w:rsidRPr="00CB7689">
        <w:rPr>
          <w:i/>
          <w:iCs/>
          <w:u w:val="single"/>
        </w:rPr>
        <w:t>Лечение</w:t>
      </w:r>
    </w:p>
    <w:p w14:paraId="3430A4C9" w14:textId="77777777" w:rsidR="00C466A6" w:rsidRPr="00DA2BC8" w:rsidRDefault="00C466A6" w:rsidP="00C466A6">
      <w:pPr>
        <w:widowControl w:val="0"/>
        <w:autoSpaceDE w:val="0"/>
        <w:autoSpaceDN w:val="0"/>
        <w:adjustRightInd w:val="0"/>
        <w:ind w:right="50" w:firstLine="709"/>
        <w:contextualSpacing/>
      </w:pPr>
      <w:r w:rsidRPr="00DA2BC8">
        <w:t xml:space="preserve">Лечение криптококкоза длительное и включает этапы индукции, консолидации и поддерживания. </w:t>
      </w:r>
      <w:r w:rsidRPr="00DA2BC8">
        <w:rPr>
          <w:bCs/>
        </w:rPr>
        <w:t>Этап индукции составляет</w:t>
      </w:r>
      <w:r w:rsidRPr="00DA2BC8">
        <w:t xml:space="preserve"> от 2 до 6 недель и включает назначение амфотерицина В (0,7-1,0 мг/кг внутривенно в сутки) или сочетание амфотерицина В (0,7-1,0 мг/кг) с флуцитозином (100 мг/кг в сутки, эту дозу разделяют на 4 приема). Флуцитозин вводят не более 2 недель. При криптококкозе ЦНС длительность этого этапа лечения составляет 6 недель. Липидную форму амфотерицина В (липосомальный амфотерицин В 3-4 мг/кг или липидный комплекс амфотерицина В 5 мг/кг) назначают при непереносимости или токсичности, возникшей при использовании обычного амфотерцина В. </w:t>
      </w:r>
      <w:r w:rsidRPr="00DA2BC8">
        <w:rPr>
          <w:bCs/>
        </w:rPr>
        <w:t>Этап консолидации</w:t>
      </w:r>
      <w:r w:rsidRPr="00DA2BC8">
        <w:t xml:space="preserve"> длится 8 недель</w:t>
      </w:r>
      <w:r>
        <w:t xml:space="preserve">, </w:t>
      </w:r>
      <w:r w:rsidRPr="00DA2BC8">
        <w:t xml:space="preserve">для лечнения используют флуконазол (400 мг 1 раз в сутки внутривенно или перорально), далее на </w:t>
      </w:r>
      <w:r w:rsidRPr="00DA2BC8">
        <w:rPr>
          <w:bCs/>
        </w:rPr>
        <w:t>этапе поддерживания доза флуконазола составляет</w:t>
      </w:r>
      <w:r w:rsidRPr="00DA2BC8">
        <w:t xml:space="preserve"> 200 мг 1 раз в сутки внутривенно или перорально. Альтернативный препарат для лечения криптококкоза – вориконазол (дозирование как при инвазивном аспергиллезе).</w:t>
      </w:r>
    </w:p>
    <w:p w14:paraId="7DB9AE6B" w14:textId="77777777" w:rsidR="00CB7689" w:rsidRDefault="00CB7689" w:rsidP="00CB7689">
      <w:pPr>
        <w:pStyle w:val="a4"/>
        <w:widowControl w:val="0"/>
        <w:autoSpaceDE w:val="0"/>
        <w:autoSpaceDN w:val="0"/>
        <w:adjustRightInd w:val="0"/>
        <w:spacing w:before="0"/>
        <w:ind w:left="1069" w:right="50" w:firstLine="0"/>
        <w:contextualSpacing/>
        <w:rPr>
          <w:b/>
          <w:bCs/>
        </w:rPr>
      </w:pPr>
    </w:p>
    <w:p w14:paraId="492E7CAC" w14:textId="600D8E10" w:rsidR="00C466A6" w:rsidRPr="00084B8B" w:rsidRDefault="00CB7689" w:rsidP="00CB7689">
      <w:pPr>
        <w:widowControl w:val="0"/>
        <w:autoSpaceDE w:val="0"/>
        <w:autoSpaceDN w:val="0"/>
        <w:adjustRightInd w:val="0"/>
        <w:ind w:right="49"/>
        <w:contextualSpacing/>
        <w:rPr>
          <w:bCs/>
          <w:u w:val="single"/>
        </w:rPr>
      </w:pPr>
      <w:r>
        <w:rPr>
          <w:bCs/>
          <w:u w:val="single"/>
        </w:rPr>
        <w:t xml:space="preserve">7.6.4. </w:t>
      </w:r>
      <w:r w:rsidR="00C466A6" w:rsidRPr="00CB7689">
        <w:rPr>
          <w:bCs/>
          <w:u w:val="single"/>
        </w:rPr>
        <w:t>Микозы, вызванные редкими дрожжеподобными грибами</w:t>
      </w:r>
      <w:r w:rsidR="00084B8B" w:rsidRPr="00084B8B">
        <w:rPr>
          <w:bCs/>
          <w:u w:val="single"/>
        </w:rPr>
        <w:t xml:space="preserve"> </w:t>
      </w:r>
      <w:r w:rsidR="00084B8B">
        <w:rPr>
          <w:b/>
        </w:rPr>
        <w:fldChar w:fldCharType="begin" w:fldLock="1"/>
      </w:r>
      <w:r w:rsidR="0029367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[76,79,85]","plainTextFormattedCitation":"[76,79,85]","previouslyFormattedCitation":"[76,79,85]"},"properties":{"noteIndex":0},"schema":"https://github.com/citation-style-language/schema/raw/master/csl-citation.json"}</w:instrText>
      </w:r>
      <w:r w:rsidR="00084B8B">
        <w:rPr>
          <w:b/>
        </w:rPr>
        <w:fldChar w:fldCharType="separate"/>
      </w:r>
      <w:r w:rsidR="00FB256D" w:rsidRPr="00FB256D">
        <w:rPr>
          <w:noProof/>
        </w:rPr>
        <w:t>[76,79,85]</w:t>
      </w:r>
      <w:r w:rsidR="00084B8B">
        <w:rPr>
          <w:b/>
        </w:rPr>
        <w:fldChar w:fldCharType="end"/>
      </w:r>
    </w:p>
    <w:p w14:paraId="1771C188" w14:textId="77777777" w:rsidR="00C466A6" w:rsidRPr="00DA2BC8" w:rsidRDefault="00C466A6" w:rsidP="00C466A6">
      <w:pPr>
        <w:widowControl w:val="0"/>
        <w:autoSpaceDE w:val="0"/>
        <w:autoSpaceDN w:val="0"/>
        <w:adjustRightInd w:val="0"/>
        <w:ind w:right="50" w:firstLine="709"/>
        <w:contextualSpacing/>
      </w:pPr>
      <w:r w:rsidRPr="00DA2BC8">
        <w:t>Общая характеристика для грибов этой группы –</w:t>
      </w:r>
      <w:r>
        <w:t xml:space="preserve"> </w:t>
      </w:r>
      <w:r w:rsidRPr="00DA2BC8">
        <w:t xml:space="preserve">низкая вирулентность, широкое распространение в природе, частая колонизация кожи и слизистых оболочек человека, природная устойчивость к эхинокандинам, за исключением </w:t>
      </w:r>
      <w:r w:rsidRPr="00DA2BC8">
        <w:rPr>
          <w:i/>
          <w:iCs/>
        </w:rPr>
        <w:t>Saccharomyces</w:t>
      </w:r>
      <w:r w:rsidRPr="00DA2BC8">
        <w:t xml:space="preserve"> spp., вызывают поверхностные инфекции в общей популяции </w:t>
      </w:r>
      <w:r>
        <w:t>пациентов</w:t>
      </w:r>
      <w:r w:rsidRPr="00DA2BC8">
        <w:t xml:space="preserve">. Грибы этой категории редко вызывают инвазивные микозы у имммунокомпрометированных </w:t>
      </w:r>
      <w:r>
        <w:t>пациентов</w:t>
      </w:r>
      <w:r w:rsidRPr="00DA2BC8">
        <w:t xml:space="preserve">х. В общей структуре фунгемий редкие дрожжеподобные грибы занимают от 1% до 5%. Как правило, микробиологическим подтверждением является выделение грибов из гемокультуры. Заболевание возникает у тяжелой категории </w:t>
      </w:r>
      <w:r>
        <w:t>гематологических пациентов</w:t>
      </w:r>
      <w:r w:rsidRPr="00DA2BC8">
        <w:t xml:space="preserve">, включая </w:t>
      </w:r>
      <w:r>
        <w:t>пациентов с</w:t>
      </w:r>
      <w:r w:rsidRPr="00DA2BC8">
        <w:t xml:space="preserve"> острыми л</w:t>
      </w:r>
      <w:r>
        <w:t>ейкозами, реципиентов аллогенных</w:t>
      </w:r>
      <w:r w:rsidRPr="00DA2BC8">
        <w:t xml:space="preserve"> СГК</w:t>
      </w:r>
      <w:r>
        <w:t xml:space="preserve"> и др.</w:t>
      </w:r>
      <w:r w:rsidRPr="00DA2BC8">
        <w:t xml:space="preserve"> Крайне важно провести идентификацию до вида всех дрожжеподобных грибов, выделенных из стерильных локусов, с помощью современных тест-систем или масс-спектрометрии. К редким дрожжеподобным грибам относят </w:t>
      </w:r>
      <w:r w:rsidRPr="00DA2BC8">
        <w:rPr>
          <w:i/>
          <w:iCs/>
        </w:rPr>
        <w:t xml:space="preserve">Geotrichum </w:t>
      </w:r>
      <w:r w:rsidRPr="00DA2BC8">
        <w:t xml:space="preserve">spp., </w:t>
      </w:r>
      <w:r w:rsidRPr="00DA2BC8">
        <w:rPr>
          <w:i/>
          <w:iCs/>
        </w:rPr>
        <w:t>Rhodotorula</w:t>
      </w:r>
      <w:r w:rsidRPr="00DA2BC8">
        <w:t xml:space="preserve"> spp., </w:t>
      </w:r>
      <w:r w:rsidRPr="00DA2BC8">
        <w:rPr>
          <w:i/>
          <w:iCs/>
        </w:rPr>
        <w:t>Saccharomyces</w:t>
      </w:r>
      <w:r w:rsidRPr="00DA2BC8">
        <w:t xml:space="preserve"> spp., </w:t>
      </w:r>
      <w:r w:rsidRPr="00DA2BC8">
        <w:rPr>
          <w:i/>
          <w:iCs/>
        </w:rPr>
        <w:t>Trichosporon</w:t>
      </w:r>
      <w:r w:rsidRPr="00DA2BC8">
        <w:t xml:space="preserve"> spp., </w:t>
      </w:r>
      <w:r w:rsidRPr="00DA2BC8">
        <w:rPr>
          <w:i/>
          <w:iCs/>
        </w:rPr>
        <w:t>Malassezia</w:t>
      </w:r>
      <w:r w:rsidRPr="00DA2BC8">
        <w:t xml:space="preserve"> spp., </w:t>
      </w:r>
      <w:r w:rsidRPr="00DA2BC8">
        <w:rPr>
          <w:i/>
          <w:iCs/>
        </w:rPr>
        <w:t>Pichia anomala, Saprochaete capitata</w:t>
      </w:r>
    </w:p>
    <w:p w14:paraId="021A393B" w14:textId="27B747E3" w:rsidR="00C466A6" w:rsidRPr="009213CB" w:rsidRDefault="00C466A6" w:rsidP="00C466A6">
      <w:pPr>
        <w:widowControl w:val="0"/>
        <w:autoSpaceDE w:val="0"/>
        <w:autoSpaceDN w:val="0"/>
        <w:adjustRightInd w:val="0"/>
        <w:ind w:right="50" w:firstLine="709"/>
        <w:contextualSpacing/>
        <w:rPr>
          <w:i/>
          <w:iCs/>
          <w:lang w:val="en-US"/>
        </w:rPr>
      </w:pPr>
      <w:r w:rsidRPr="00C553B6">
        <w:rPr>
          <w:i/>
          <w:iCs/>
          <w:u w:val="single"/>
        </w:rPr>
        <w:t>Микозы</w:t>
      </w:r>
      <w:r w:rsidRPr="009213CB">
        <w:rPr>
          <w:i/>
          <w:iCs/>
          <w:u w:val="single"/>
          <w:lang w:val="en-US"/>
        </w:rPr>
        <w:t xml:space="preserve">, </w:t>
      </w:r>
      <w:r w:rsidRPr="00C553B6">
        <w:rPr>
          <w:i/>
          <w:iCs/>
          <w:u w:val="single"/>
        </w:rPr>
        <w:t>вызванные</w:t>
      </w:r>
      <w:r w:rsidRPr="009213CB">
        <w:rPr>
          <w:i/>
          <w:iCs/>
          <w:u w:val="single"/>
          <w:lang w:val="en-US"/>
        </w:rPr>
        <w:t xml:space="preserve"> </w:t>
      </w:r>
      <w:r w:rsidRPr="00C553B6">
        <w:rPr>
          <w:i/>
          <w:iCs/>
          <w:u w:val="single"/>
          <w:lang w:val="en-US"/>
        </w:rPr>
        <w:t>Saprochaete</w:t>
      </w:r>
      <w:r w:rsidRPr="009213CB">
        <w:rPr>
          <w:i/>
          <w:iCs/>
          <w:u w:val="single"/>
          <w:lang w:val="en-US"/>
        </w:rPr>
        <w:t xml:space="preserve"> </w:t>
      </w:r>
      <w:r w:rsidRPr="00C553B6">
        <w:rPr>
          <w:i/>
          <w:iCs/>
          <w:u w:val="single"/>
          <w:lang w:val="en-US"/>
        </w:rPr>
        <w:t>capitat</w:t>
      </w:r>
      <w:r w:rsidRPr="00C553B6">
        <w:rPr>
          <w:i/>
          <w:iCs/>
          <w:lang w:val="en-US"/>
        </w:rPr>
        <w:t>a</w:t>
      </w:r>
      <w:r w:rsidRPr="009213CB">
        <w:rPr>
          <w:i/>
          <w:iCs/>
          <w:u w:val="single"/>
          <w:lang w:val="en-US"/>
        </w:rPr>
        <w:t xml:space="preserve"> (</w:t>
      </w:r>
      <w:r w:rsidRPr="00C553B6">
        <w:rPr>
          <w:i/>
          <w:iCs/>
          <w:u w:val="single"/>
        </w:rPr>
        <w:t>синонимы</w:t>
      </w:r>
      <w:r w:rsidRPr="009213CB">
        <w:rPr>
          <w:i/>
          <w:iCs/>
          <w:u w:val="single"/>
          <w:lang w:val="en-US"/>
        </w:rPr>
        <w:t xml:space="preserve"> </w:t>
      </w:r>
      <w:r w:rsidRPr="00C553B6">
        <w:rPr>
          <w:i/>
          <w:iCs/>
          <w:u w:val="single"/>
          <w:lang w:val="en-US"/>
        </w:rPr>
        <w:t>Trichosporon</w:t>
      </w:r>
      <w:r w:rsidRPr="009213CB">
        <w:rPr>
          <w:i/>
          <w:iCs/>
          <w:u w:val="single"/>
          <w:lang w:val="en-US"/>
        </w:rPr>
        <w:t xml:space="preserve"> </w:t>
      </w:r>
      <w:r w:rsidRPr="00C553B6">
        <w:rPr>
          <w:i/>
          <w:iCs/>
          <w:u w:val="single"/>
          <w:lang w:val="en-US"/>
        </w:rPr>
        <w:t>capitatum</w:t>
      </w:r>
      <w:r w:rsidRPr="009213CB">
        <w:rPr>
          <w:i/>
          <w:iCs/>
          <w:u w:val="single"/>
          <w:lang w:val="en-US"/>
        </w:rPr>
        <w:t xml:space="preserve">, </w:t>
      </w:r>
      <w:r w:rsidRPr="00C553B6">
        <w:rPr>
          <w:i/>
          <w:iCs/>
          <w:u w:val="single"/>
          <w:lang w:val="en-US"/>
        </w:rPr>
        <w:t>Geotrichum</w:t>
      </w:r>
      <w:r w:rsidRPr="009213CB">
        <w:rPr>
          <w:i/>
          <w:iCs/>
          <w:u w:val="single"/>
          <w:lang w:val="en-US"/>
        </w:rPr>
        <w:t xml:space="preserve"> </w:t>
      </w:r>
      <w:r w:rsidRPr="00C553B6">
        <w:rPr>
          <w:i/>
          <w:iCs/>
          <w:u w:val="single"/>
          <w:lang w:val="en-US"/>
        </w:rPr>
        <w:t>capitatum</w:t>
      </w:r>
      <w:r w:rsidRPr="009213CB">
        <w:rPr>
          <w:i/>
          <w:iCs/>
          <w:u w:val="single"/>
          <w:lang w:val="en-US"/>
        </w:rPr>
        <w:t xml:space="preserve">, </w:t>
      </w:r>
      <w:r w:rsidRPr="00C553B6">
        <w:rPr>
          <w:i/>
          <w:iCs/>
          <w:u w:val="single"/>
          <w:lang w:val="en-US"/>
        </w:rPr>
        <w:t>Ascotrichosporon</w:t>
      </w:r>
      <w:r w:rsidRPr="009213CB">
        <w:rPr>
          <w:i/>
          <w:iCs/>
          <w:u w:val="single"/>
          <w:lang w:val="en-US"/>
        </w:rPr>
        <w:t xml:space="preserve"> </w:t>
      </w:r>
      <w:r w:rsidRPr="00C553B6">
        <w:rPr>
          <w:i/>
          <w:iCs/>
          <w:u w:val="single"/>
          <w:lang w:val="en-US"/>
        </w:rPr>
        <w:t>capitatum</w:t>
      </w:r>
      <w:r w:rsidRPr="009213CB">
        <w:rPr>
          <w:i/>
          <w:iCs/>
          <w:u w:val="single"/>
          <w:lang w:val="en-US"/>
        </w:rPr>
        <w:t xml:space="preserve">, </w:t>
      </w:r>
      <w:r w:rsidRPr="00C553B6">
        <w:rPr>
          <w:i/>
          <w:iCs/>
          <w:u w:val="single"/>
          <w:lang w:val="en-US"/>
        </w:rPr>
        <w:t>Blastoschizomyces</w:t>
      </w:r>
      <w:r w:rsidRPr="009213CB">
        <w:rPr>
          <w:i/>
          <w:iCs/>
          <w:u w:val="single"/>
          <w:lang w:val="en-US"/>
        </w:rPr>
        <w:t xml:space="preserve"> </w:t>
      </w:r>
      <w:r w:rsidRPr="00C553B6">
        <w:rPr>
          <w:i/>
          <w:iCs/>
          <w:u w:val="single"/>
          <w:lang w:val="en-US"/>
        </w:rPr>
        <w:t>capitatus</w:t>
      </w:r>
      <w:r w:rsidRPr="009213CB">
        <w:rPr>
          <w:i/>
          <w:iCs/>
          <w:u w:val="single"/>
          <w:lang w:val="en-US"/>
        </w:rPr>
        <w:t>)</w:t>
      </w:r>
    </w:p>
    <w:p w14:paraId="43123019" w14:textId="77777777" w:rsidR="00C466A6" w:rsidRPr="00DA2BC8" w:rsidRDefault="00C466A6" w:rsidP="00C466A6">
      <w:pPr>
        <w:widowControl w:val="0"/>
        <w:autoSpaceDE w:val="0"/>
        <w:autoSpaceDN w:val="0"/>
        <w:adjustRightInd w:val="0"/>
        <w:ind w:right="50" w:firstLine="709"/>
        <w:contextualSpacing/>
        <w:rPr>
          <w:b/>
          <w:bCs/>
          <w:i/>
          <w:iCs/>
        </w:rPr>
      </w:pPr>
      <w:r w:rsidRPr="00DA2BC8">
        <w:t xml:space="preserve">В структуре фунгемий не превышают 0,5%. Фунгемии, вызванные </w:t>
      </w:r>
      <w:r w:rsidRPr="00DA2BC8">
        <w:rPr>
          <w:i/>
          <w:iCs/>
        </w:rPr>
        <w:t>S. capitat</w:t>
      </w:r>
      <w:r w:rsidRPr="00DA2BC8">
        <w:rPr>
          <w:i/>
        </w:rPr>
        <w:t>a</w:t>
      </w:r>
      <w:r w:rsidRPr="00DA2BC8">
        <w:t xml:space="preserve"> в сравнении с </w:t>
      </w:r>
      <w:r w:rsidRPr="00DA2BC8">
        <w:rPr>
          <w:i/>
          <w:iCs/>
        </w:rPr>
        <w:t>Candida</w:t>
      </w:r>
      <w:r w:rsidRPr="00DA2BC8">
        <w:t xml:space="preserve"> spp, характеризуются высокой частотой диссеминации в паренхиматозные органы (60-80%) и высокой летальностью (50-60%). К факторам риска относят нейтропению, наличие ЦВК.</w:t>
      </w:r>
      <w:r w:rsidRPr="00DA2BC8">
        <w:rPr>
          <w:b/>
          <w:bCs/>
          <w:i/>
          <w:iCs/>
        </w:rPr>
        <w:t xml:space="preserve"> </w:t>
      </w:r>
      <w:r w:rsidRPr="00DA2BC8">
        <w:rPr>
          <w:bCs/>
        </w:rPr>
        <w:t>Диагноз ставят на основании выделения</w:t>
      </w:r>
      <w:r w:rsidRPr="00DA2BC8">
        <w:rPr>
          <w:b/>
          <w:bCs/>
        </w:rPr>
        <w:t xml:space="preserve"> </w:t>
      </w:r>
      <w:r w:rsidRPr="00DA2BC8">
        <w:rPr>
          <w:i/>
          <w:iCs/>
        </w:rPr>
        <w:t>S. capitat</w:t>
      </w:r>
      <w:r w:rsidRPr="00DA2BC8">
        <w:rPr>
          <w:i/>
        </w:rPr>
        <w:t>a</w:t>
      </w:r>
      <w:r w:rsidRPr="00DA2BC8">
        <w:t xml:space="preserve"> из </w:t>
      </w:r>
      <w:r w:rsidRPr="00DA2BC8">
        <w:lastRenderedPageBreak/>
        <w:t xml:space="preserve">гемокультуры, хотя бы однократном, или из биоптатов органов и тканей. Идентификацию до вида проводят с помощью современных тест-систем или масс-спектрометрии, а не на основании микроскопии или культуральных свойств. </w:t>
      </w:r>
      <w:r w:rsidRPr="00DA2BC8">
        <w:rPr>
          <w:bCs/>
          <w:iCs/>
        </w:rPr>
        <w:t xml:space="preserve">Во всех случаях </w:t>
      </w:r>
      <w:r w:rsidRPr="00DA2BC8">
        <w:t xml:space="preserve">выделении </w:t>
      </w:r>
      <w:r w:rsidRPr="00DA2BC8">
        <w:rPr>
          <w:i/>
          <w:iCs/>
        </w:rPr>
        <w:t>S. capitat</w:t>
      </w:r>
      <w:r w:rsidRPr="00DA2BC8">
        <w:rPr>
          <w:i/>
        </w:rPr>
        <w:t>a</w:t>
      </w:r>
      <w:r w:rsidRPr="00DA2BC8">
        <w:t xml:space="preserve"> из гемокультуры выполняют КТ (с контрастированием) или МРТ органов брюшной полости ввиду высокой вероятности диссеминации. Симптомы инфекции, вызванной </w:t>
      </w:r>
      <w:r w:rsidRPr="00DA2BC8">
        <w:rPr>
          <w:i/>
          <w:iCs/>
        </w:rPr>
        <w:t>S. capitat</w:t>
      </w:r>
      <w:r w:rsidRPr="00DA2BC8">
        <w:rPr>
          <w:i/>
        </w:rPr>
        <w:t>a</w:t>
      </w:r>
      <w:r w:rsidRPr="00DA2BC8">
        <w:t xml:space="preserve">, аналогичны симптомам при кандидемии – высокая температура, озноб, гипотензия. </w:t>
      </w:r>
      <w:r w:rsidRPr="00DA2BC8">
        <w:rPr>
          <w:bCs/>
        </w:rPr>
        <w:t>Лечение включает</w:t>
      </w:r>
      <w:r w:rsidRPr="00DA2BC8">
        <w:rPr>
          <w:b/>
          <w:bCs/>
        </w:rPr>
        <w:t xml:space="preserve"> </w:t>
      </w:r>
      <w:r w:rsidRPr="00DA2BC8">
        <w:t>удаление ЦВК во всех случаях, назначение вориконазола (1-й день 12 мг/кг/сутки, внутривенно, доза разделяется на два приема, далее – 8 мг/кг/сутки, при стабилизации состояния – перевод на пероральную форму вориконазола по 200 мг х 2 раза в сутки) или амфотерицина В (1 мг/кг/сутки (+/- флуцитозин)). При отсутствиии эффекта от монотерапии можно использовать сочетание вориконазола с амфотерицином В. Амфотерицина В заменяют на липидные формы амфотерицина В (доза 3-5 мг/кг/сутки) в случаях повышения креатинина, непереносимости амофотерицина В, неэффективности.</w:t>
      </w:r>
      <w:r w:rsidRPr="00DA2BC8">
        <w:rPr>
          <w:b/>
          <w:bCs/>
          <w:i/>
          <w:iCs/>
        </w:rPr>
        <w:t xml:space="preserve"> </w:t>
      </w:r>
      <w:r w:rsidRPr="00DA2BC8">
        <w:t xml:space="preserve">Против </w:t>
      </w:r>
      <w:r w:rsidRPr="00DA2BC8">
        <w:rPr>
          <w:i/>
          <w:iCs/>
        </w:rPr>
        <w:t>S. capitata</w:t>
      </w:r>
      <w:r w:rsidRPr="00DA2BC8">
        <w:t xml:space="preserve"> проявляют активность </w:t>
      </w:r>
      <w:r w:rsidRPr="00DA2BC8">
        <w:rPr>
          <w:i/>
          <w:iCs/>
        </w:rPr>
        <w:t>in vitro</w:t>
      </w:r>
      <w:r w:rsidRPr="00DA2BC8">
        <w:t xml:space="preserve"> также итраконазол и позаконазол, не активен -- флуконазол.</w:t>
      </w:r>
      <w:r w:rsidRPr="00DA2BC8">
        <w:rPr>
          <w:b/>
          <w:bCs/>
          <w:i/>
          <w:iCs/>
        </w:rPr>
        <w:t xml:space="preserve"> </w:t>
      </w:r>
      <w:r w:rsidRPr="00DA2BC8">
        <w:t xml:space="preserve">Не рекомендовано применение эхинокандины по причине природной резистентности </w:t>
      </w:r>
      <w:r w:rsidRPr="00DA2BC8">
        <w:rPr>
          <w:i/>
          <w:iCs/>
        </w:rPr>
        <w:t>S. capitata.</w:t>
      </w:r>
    </w:p>
    <w:p w14:paraId="2BCC1A9C" w14:textId="77777777" w:rsidR="00C466A6" w:rsidRPr="00C553B6" w:rsidRDefault="00C466A6" w:rsidP="00C466A6">
      <w:pPr>
        <w:widowControl w:val="0"/>
        <w:autoSpaceDE w:val="0"/>
        <w:autoSpaceDN w:val="0"/>
        <w:adjustRightInd w:val="0"/>
        <w:ind w:right="50" w:firstLine="709"/>
        <w:contextualSpacing/>
        <w:rPr>
          <w:i/>
          <w:iCs/>
          <w:u w:val="single"/>
        </w:rPr>
      </w:pPr>
      <w:r w:rsidRPr="00C553B6">
        <w:rPr>
          <w:i/>
          <w:iCs/>
          <w:u w:val="single"/>
        </w:rPr>
        <w:t>Микозы, вызванные Malassezia spp.</w:t>
      </w:r>
    </w:p>
    <w:p w14:paraId="50258FE3" w14:textId="77777777" w:rsidR="00C466A6" w:rsidRPr="00DA2BC8" w:rsidRDefault="00C466A6" w:rsidP="00C466A6">
      <w:pPr>
        <w:widowControl w:val="0"/>
        <w:autoSpaceDE w:val="0"/>
        <w:autoSpaceDN w:val="0"/>
        <w:adjustRightInd w:val="0"/>
        <w:ind w:right="50" w:firstLine="709"/>
        <w:contextualSpacing/>
      </w:pPr>
      <w:r w:rsidRPr="00DA2BC8">
        <w:t xml:space="preserve">Ведущие возбудителями инвазивных микозов у человека - </w:t>
      </w:r>
      <w:r w:rsidRPr="00DA2BC8">
        <w:rPr>
          <w:i/>
          <w:iCs/>
        </w:rPr>
        <w:t xml:space="preserve">M. furfur </w:t>
      </w:r>
      <w:r w:rsidRPr="00DA2BC8">
        <w:t xml:space="preserve">и </w:t>
      </w:r>
      <w:r w:rsidRPr="00DA2BC8">
        <w:rPr>
          <w:i/>
          <w:iCs/>
        </w:rPr>
        <w:t>M.</w:t>
      </w:r>
      <w:r w:rsidRPr="00DA2BC8">
        <w:t xml:space="preserve"> </w:t>
      </w:r>
      <w:r w:rsidRPr="00DA2BC8">
        <w:rPr>
          <w:i/>
          <w:iCs/>
        </w:rPr>
        <w:t>pachydermatis</w:t>
      </w:r>
      <w:r w:rsidRPr="00DA2BC8">
        <w:t xml:space="preserve">, являются липофильными грибами. Основным проявлением инфекции служит фунгемия, также могут возникать перитонит, эндокардит, пневмония, остеомиелит, менингит. Инфекции, вызванные </w:t>
      </w:r>
      <w:r w:rsidRPr="00DA2BC8">
        <w:rPr>
          <w:i/>
          <w:iCs/>
        </w:rPr>
        <w:t>Malassezia</w:t>
      </w:r>
      <w:r w:rsidRPr="00DA2BC8">
        <w:t xml:space="preserve"> spp. характеризуются нетяжелым течением и низкой летальностью. Ввиду липофильной природы большинства </w:t>
      </w:r>
      <w:r w:rsidRPr="00DA2BC8">
        <w:rPr>
          <w:i/>
          <w:iCs/>
        </w:rPr>
        <w:t xml:space="preserve">Malassezia </w:t>
      </w:r>
      <w:r w:rsidRPr="00DA2BC8">
        <w:t xml:space="preserve">spp., инфекция развивается у больных, получающих парентеральное питание, содержащее жирные кислоты. К другим факторам риска относят наличие ЦВК, перитонеального диализа, иммуносупрессии, тяжелой сопутствующей патологии. Возможны эпидемические вспышки в стационаре. </w:t>
      </w:r>
      <w:r w:rsidRPr="00DA2BC8">
        <w:rPr>
          <w:bCs/>
        </w:rPr>
        <w:t>Диагностика включает</w:t>
      </w:r>
      <w:r w:rsidRPr="00DA2BC8">
        <w:t xml:space="preserve"> выделение </w:t>
      </w:r>
      <w:r w:rsidRPr="00DA2BC8">
        <w:rPr>
          <w:i/>
          <w:iCs/>
        </w:rPr>
        <w:t>Malassezia</w:t>
      </w:r>
      <w:r w:rsidRPr="00DA2BC8">
        <w:t xml:space="preserve"> spp. из гемокультуры или других стерильных образцов (асцитическая жидкость, ликвор, биоптаты органов). Для детекции </w:t>
      </w:r>
      <w:r w:rsidRPr="00DA2BC8">
        <w:rPr>
          <w:i/>
          <w:iCs/>
        </w:rPr>
        <w:t>Malassezia</w:t>
      </w:r>
      <w:r w:rsidRPr="00DA2BC8">
        <w:t xml:space="preserve"> spp. необходимо в питательную среду добавлять жиры (например, стерильное оливковое масло) ввиду их липофильной природы. </w:t>
      </w:r>
      <w:r w:rsidRPr="00DA2BC8">
        <w:rPr>
          <w:bCs/>
        </w:rPr>
        <w:t>Лечение</w:t>
      </w:r>
      <w:r w:rsidRPr="00DA2BC8">
        <w:rPr>
          <w:b/>
          <w:bCs/>
        </w:rPr>
        <w:t xml:space="preserve"> </w:t>
      </w:r>
      <w:r w:rsidRPr="00DA2BC8">
        <w:rPr>
          <w:bCs/>
        </w:rPr>
        <w:t>включает у</w:t>
      </w:r>
      <w:r w:rsidRPr="00DA2BC8">
        <w:t xml:space="preserve">даление ЦВК, прекращение парентерального питания, </w:t>
      </w:r>
      <w:r w:rsidRPr="00DA2BC8">
        <w:rPr>
          <w:bCs/>
        </w:rPr>
        <w:t xml:space="preserve">назначение </w:t>
      </w:r>
      <w:r w:rsidRPr="00DA2BC8">
        <w:t xml:space="preserve">флуконазола  (400 мг), или амфотерицин В (1 мг/кг), или вориконазола (1-й день 12 мг/кг, далее 8 мг/кг). Не рекомендовано назначать эхинокандины ввиду природной резистентности </w:t>
      </w:r>
      <w:r w:rsidRPr="00DA2BC8">
        <w:rPr>
          <w:i/>
          <w:iCs/>
        </w:rPr>
        <w:t>Malassezia</w:t>
      </w:r>
      <w:r w:rsidRPr="00DA2BC8">
        <w:t xml:space="preserve"> spp.</w:t>
      </w:r>
    </w:p>
    <w:p w14:paraId="4C0DE0AA" w14:textId="77777777" w:rsidR="00C466A6" w:rsidRPr="00C553B6" w:rsidRDefault="00C466A6" w:rsidP="00C466A6">
      <w:pPr>
        <w:widowControl w:val="0"/>
        <w:autoSpaceDE w:val="0"/>
        <w:autoSpaceDN w:val="0"/>
        <w:adjustRightInd w:val="0"/>
        <w:ind w:right="50" w:firstLine="709"/>
        <w:contextualSpacing/>
        <w:rPr>
          <w:i/>
          <w:iCs/>
          <w:u w:val="single"/>
        </w:rPr>
      </w:pPr>
      <w:r w:rsidRPr="00C553B6">
        <w:rPr>
          <w:i/>
          <w:iCs/>
          <w:u w:val="single"/>
        </w:rPr>
        <w:t>Микозы, вызванные Trichosporon spp.</w:t>
      </w:r>
    </w:p>
    <w:p w14:paraId="4B70B47F" w14:textId="77777777" w:rsidR="00C466A6" w:rsidRPr="00DA2BC8" w:rsidRDefault="00C466A6" w:rsidP="00C466A6">
      <w:pPr>
        <w:widowControl w:val="0"/>
        <w:autoSpaceDE w:val="0"/>
        <w:autoSpaceDN w:val="0"/>
        <w:adjustRightInd w:val="0"/>
        <w:ind w:right="50" w:firstLine="709"/>
        <w:contextualSpacing/>
      </w:pPr>
      <w:r w:rsidRPr="00DA2BC8">
        <w:t xml:space="preserve">Эти грибы очень широко распространены в окружающей среде, часто колонизируют кожу, особенно перианальную область, иногда слизистые оболочки верхних дыхательных </w:t>
      </w:r>
      <w:r w:rsidRPr="00DA2BC8">
        <w:lastRenderedPageBreak/>
        <w:t xml:space="preserve">путей и желудочно-кишечного тракта. Основным проявлением инвазивных микозов, вызванных </w:t>
      </w:r>
      <w:r w:rsidRPr="00DA2BC8">
        <w:rPr>
          <w:i/>
          <w:iCs/>
        </w:rPr>
        <w:t>Trichosporon</w:t>
      </w:r>
      <w:r w:rsidRPr="00DA2BC8">
        <w:t xml:space="preserve"> spp. у </w:t>
      </w:r>
      <w:r>
        <w:t>гематологических пациентов</w:t>
      </w:r>
      <w:r w:rsidRPr="00DA2BC8">
        <w:t xml:space="preserve"> является фунгемия (75%) с последующей диссеминацией в различные органы и ткани организма. Наиболее часто инфекция сопровождается появлением септико-пиемических очагов на коже (50%). Возможны и другие проявления, такие как эндокардит, перитонит, менингит, пиелонефрит и т.д. Для инвазивных микозов, вызванных </w:t>
      </w:r>
      <w:r w:rsidRPr="00DA2BC8">
        <w:rPr>
          <w:i/>
          <w:iCs/>
        </w:rPr>
        <w:t>Trichosporon</w:t>
      </w:r>
      <w:r w:rsidRPr="00DA2BC8">
        <w:t xml:space="preserve"> spp. у больных гемобластозами, характерна высокая летальность (55-80%). Основные возбудители - </w:t>
      </w:r>
      <w:r w:rsidRPr="00DA2BC8">
        <w:rPr>
          <w:i/>
          <w:iCs/>
        </w:rPr>
        <w:t>Trichosporon asahii</w:t>
      </w:r>
      <w:r w:rsidRPr="00DA2BC8">
        <w:t xml:space="preserve"> и </w:t>
      </w:r>
      <w:r w:rsidRPr="00DA2BC8">
        <w:rPr>
          <w:i/>
          <w:iCs/>
        </w:rPr>
        <w:t>Trichosporon dermatis</w:t>
      </w:r>
      <w:r w:rsidRPr="00DA2BC8">
        <w:t xml:space="preserve">. Основными факторами риска развития инфекции являются наличие ЦВК, пребывание в ОРИТ, перитонеальный диализ, лечение глюкокортикостероидами, химиотерапия, внутривенные инъекции наркотических веществ. </w:t>
      </w:r>
      <w:r w:rsidRPr="00DA2BC8">
        <w:rPr>
          <w:bCs/>
        </w:rPr>
        <w:t>Диагностика включает</w:t>
      </w:r>
      <w:r w:rsidRPr="00DA2BC8">
        <w:rPr>
          <w:b/>
          <w:bCs/>
        </w:rPr>
        <w:t xml:space="preserve"> </w:t>
      </w:r>
      <w:r w:rsidRPr="00DA2BC8">
        <w:t xml:space="preserve">выделение </w:t>
      </w:r>
      <w:r w:rsidRPr="00DA2BC8">
        <w:rPr>
          <w:i/>
          <w:iCs/>
        </w:rPr>
        <w:t>Trichosporon</w:t>
      </w:r>
      <w:r w:rsidRPr="00DA2BC8">
        <w:t xml:space="preserve"> spp. из гемокультуры </w:t>
      </w:r>
      <w:r>
        <w:t xml:space="preserve">(кровь) </w:t>
      </w:r>
      <w:r w:rsidRPr="00DA2BC8">
        <w:t>или других стерильных образцов (асцитическая жидкость, ликвор, биоптаты органов</w:t>
      </w:r>
      <w:r>
        <w:t>, и др.</w:t>
      </w:r>
      <w:r w:rsidRPr="00DA2BC8">
        <w:t xml:space="preserve">). Выделение </w:t>
      </w:r>
      <w:r w:rsidRPr="00DA2BC8">
        <w:rPr>
          <w:i/>
          <w:iCs/>
        </w:rPr>
        <w:t>Trichosporon</w:t>
      </w:r>
      <w:r w:rsidRPr="00DA2BC8">
        <w:t xml:space="preserve"> spp. из мочи при наличии гематурии может свидетельствовать о наличии пиелонефрита. Дрожжеподобные грибы </w:t>
      </w:r>
      <w:r w:rsidRPr="00DA2BC8">
        <w:rPr>
          <w:i/>
          <w:iCs/>
        </w:rPr>
        <w:t>Trichosporon</w:t>
      </w:r>
      <w:r w:rsidRPr="00DA2BC8">
        <w:t xml:space="preserve"> spp. продуцируют антигены </w:t>
      </w:r>
      <w:r w:rsidRPr="00DA2BC8">
        <w:rPr>
          <w:i/>
          <w:iCs/>
        </w:rPr>
        <w:t>Cryptococcus</w:t>
      </w:r>
      <w:r w:rsidRPr="00DA2BC8">
        <w:t xml:space="preserve"> spp. (глюкуроноксоломаннан) и </w:t>
      </w:r>
      <w:r w:rsidRPr="00DA2BC8">
        <w:rPr>
          <w:i/>
          <w:iCs/>
        </w:rPr>
        <w:t xml:space="preserve">Aspergillus </w:t>
      </w:r>
      <w:r w:rsidRPr="00DA2BC8">
        <w:t xml:space="preserve">(галактоманнан), поэтому может быть перекрестная реакция для этих антигенов при инфекции, вызванной </w:t>
      </w:r>
      <w:r w:rsidRPr="00DA2BC8">
        <w:rPr>
          <w:i/>
          <w:iCs/>
        </w:rPr>
        <w:t xml:space="preserve">Trichosporon </w:t>
      </w:r>
      <w:r w:rsidRPr="00DA2BC8">
        <w:t xml:space="preserve">spp. На основании обнаружения одновременно положительных антигенов глюкуроноксоломаннана и галактоманнана можно заподозрить инфекцию, вызванную </w:t>
      </w:r>
      <w:r w:rsidRPr="00DA2BC8">
        <w:rPr>
          <w:i/>
          <w:iCs/>
        </w:rPr>
        <w:t>Trichosporon</w:t>
      </w:r>
      <w:r w:rsidRPr="00DA2BC8">
        <w:t xml:space="preserve"> spp., и провести дополнительные исследования гемокультуры. </w:t>
      </w:r>
    </w:p>
    <w:p w14:paraId="3DC944B4" w14:textId="77777777" w:rsidR="00C466A6" w:rsidRPr="00DA2BC8" w:rsidRDefault="00C466A6" w:rsidP="00C466A6">
      <w:pPr>
        <w:widowControl w:val="0"/>
        <w:autoSpaceDE w:val="0"/>
        <w:autoSpaceDN w:val="0"/>
        <w:adjustRightInd w:val="0"/>
        <w:ind w:right="50" w:firstLine="709"/>
        <w:contextualSpacing/>
        <w:rPr>
          <w:b/>
          <w:bCs/>
        </w:rPr>
      </w:pPr>
      <w:r w:rsidRPr="00DA2BC8">
        <w:rPr>
          <w:bCs/>
        </w:rPr>
        <w:t xml:space="preserve">Лечение включает </w:t>
      </w:r>
      <w:r w:rsidRPr="00DA2BC8">
        <w:t xml:space="preserve">удаление ЦВК, </w:t>
      </w:r>
      <w:r w:rsidRPr="00DA2BC8">
        <w:rPr>
          <w:bCs/>
        </w:rPr>
        <w:t xml:space="preserve">назначение </w:t>
      </w:r>
      <w:r w:rsidRPr="00DA2BC8">
        <w:t xml:space="preserve">вориконазола в стандартных дозах, альтернативный препарат – флуконазол. Активность флуконазола в отношении </w:t>
      </w:r>
      <w:r w:rsidRPr="00DA2BC8">
        <w:rPr>
          <w:i/>
          <w:iCs/>
        </w:rPr>
        <w:t>Trichosporon</w:t>
      </w:r>
      <w:r w:rsidRPr="00DA2BC8">
        <w:t xml:space="preserve"> spp. вариабельная. Назначение амфотерицина В не рекомендовано ввиду низкой активности в лечении этих инфекций (16-24%).</w:t>
      </w:r>
      <w:r w:rsidRPr="00DA2BC8">
        <w:rPr>
          <w:b/>
          <w:bCs/>
        </w:rPr>
        <w:t xml:space="preserve"> </w:t>
      </w:r>
      <w:r w:rsidRPr="00DA2BC8">
        <w:t xml:space="preserve">Изоляты </w:t>
      </w:r>
      <w:r w:rsidRPr="00DA2BC8">
        <w:rPr>
          <w:i/>
          <w:iCs/>
        </w:rPr>
        <w:t xml:space="preserve">Trichosporon </w:t>
      </w:r>
      <w:r w:rsidRPr="00DA2BC8">
        <w:t>spp. проявляют природную устойчивость к эхинокандинам.</w:t>
      </w:r>
    </w:p>
    <w:p w14:paraId="6D5D7BB0" w14:textId="77777777" w:rsidR="00C466A6" w:rsidRPr="00C553B6" w:rsidRDefault="00C466A6" w:rsidP="00C466A6">
      <w:pPr>
        <w:widowControl w:val="0"/>
        <w:autoSpaceDE w:val="0"/>
        <w:autoSpaceDN w:val="0"/>
        <w:adjustRightInd w:val="0"/>
        <w:ind w:right="50" w:firstLine="709"/>
        <w:contextualSpacing/>
        <w:rPr>
          <w:i/>
          <w:iCs/>
          <w:u w:val="single"/>
        </w:rPr>
      </w:pPr>
      <w:r w:rsidRPr="00C553B6">
        <w:rPr>
          <w:i/>
          <w:iCs/>
          <w:u w:val="single"/>
        </w:rPr>
        <w:t>Микозы, вызванные Rhodotorula spp.</w:t>
      </w:r>
    </w:p>
    <w:p w14:paraId="365F0806" w14:textId="77777777" w:rsidR="00C466A6" w:rsidRPr="00DA2BC8" w:rsidRDefault="00C466A6" w:rsidP="00C466A6">
      <w:pPr>
        <w:widowControl w:val="0"/>
        <w:autoSpaceDE w:val="0"/>
        <w:autoSpaceDN w:val="0"/>
        <w:adjustRightInd w:val="0"/>
        <w:ind w:right="50" w:firstLine="709"/>
        <w:contextualSpacing/>
      </w:pPr>
      <w:r>
        <w:t>Эта разновидность грибов ч</w:t>
      </w:r>
      <w:r w:rsidRPr="00DA2BC8">
        <w:t>асто образу</w:t>
      </w:r>
      <w:r>
        <w:t>е</w:t>
      </w:r>
      <w:r w:rsidRPr="00DA2BC8">
        <w:t>т биопленки и способн</w:t>
      </w:r>
      <w:r>
        <w:t>а</w:t>
      </w:r>
      <w:r w:rsidRPr="00DA2BC8">
        <w:t xml:space="preserve"> колонизировать продукты питания, предметы личной гигиены (зубные щетки, душевые принадлежности), различное медицинское оборудование. Основным проявлением инфекции является инфекция кровотока (79%) и в большинстве случаев она ассоциирована с инфицированием ЦВК. Также описаны случаи перитонита, эндокардита, менингита и др. Летальность при инвазивных микозах, вызванных </w:t>
      </w:r>
      <w:r w:rsidRPr="00DA2BC8">
        <w:rPr>
          <w:i/>
          <w:iCs/>
        </w:rPr>
        <w:t>Rhodotorula</w:t>
      </w:r>
      <w:r w:rsidRPr="00DA2BC8">
        <w:t xml:space="preserve"> spp., составляет 12%-14%. Основной возбудитель – </w:t>
      </w:r>
      <w:r w:rsidRPr="00DA2BC8">
        <w:rPr>
          <w:i/>
          <w:iCs/>
        </w:rPr>
        <w:t>R. mucilaginosa (R. rubra)</w:t>
      </w:r>
      <w:r w:rsidRPr="00DA2BC8">
        <w:t xml:space="preserve">, реже </w:t>
      </w:r>
      <w:r w:rsidRPr="00DA2BC8">
        <w:rPr>
          <w:i/>
          <w:iCs/>
        </w:rPr>
        <w:t>R. glutinis</w:t>
      </w:r>
      <w:r w:rsidRPr="00DA2BC8">
        <w:t xml:space="preserve"> и </w:t>
      </w:r>
      <w:r w:rsidRPr="00DA2BC8">
        <w:rPr>
          <w:i/>
          <w:iCs/>
        </w:rPr>
        <w:t>R. minuta.</w:t>
      </w:r>
      <w:r w:rsidRPr="00DA2BC8">
        <w:t xml:space="preserve"> </w:t>
      </w:r>
      <w:r w:rsidRPr="00DA2BC8">
        <w:rPr>
          <w:bCs/>
        </w:rPr>
        <w:t>Факторами риска являются н</w:t>
      </w:r>
      <w:r w:rsidRPr="00DA2BC8">
        <w:t xml:space="preserve">аличие ЦВК, иммуносупрессия, обширные ожоги, перитонеальный диализ, цирроз печени, абдоминальные операции, введение наркотических препаратов. </w:t>
      </w:r>
      <w:r w:rsidRPr="00DA2BC8">
        <w:rPr>
          <w:bCs/>
        </w:rPr>
        <w:t xml:space="preserve">Диагностика основана на </w:t>
      </w:r>
      <w:r w:rsidRPr="00DA2BC8">
        <w:t xml:space="preserve">выделении </w:t>
      </w:r>
      <w:r w:rsidRPr="00DA2BC8">
        <w:rPr>
          <w:i/>
          <w:iCs/>
        </w:rPr>
        <w:t>Rhodotorula</w:t>
      </w:r>
      <w:r w:rsidRPr="00DA2BC8">
        <w:t xml:space="preserve"> spp. из гемокультуры или других </w:t>
      </w:r>
      <w:r w:rsidRPr="00DA2BC8">
        <w:lastRenderedPageBreak/>
        <w:t>стерильных образцов (асцитическая жидкость, ликвор, биоптаты органов).</w:t>
      </w:r>
    </w:p>
    <w:p w14:paraId="76C39608" w14:textId="77777777" w:rsidR="00C466A6" w:rsidRPr="00DA2BC8" w:rsidRDefault="00C466A6" w:rsidP="00C466A6">
      <w:pPr>
        <w:widowControl w:val="0"/>
        <w:autoSpaceDE w:val="0"/>
        <w:autoSpaceDN w:val="0"/>
        <w:adjustRightInd w:val="0"/>
        <w:ind w:right="50" w:firstLine="709"/>
        <w:contextualSpacing/>
      </w:pPr>
      <w:r w:rsidRPr="00DA2BC8">
        <w:rPr>
          <w:bCs/>
        </w:rPr>
        <w:t>Лечение включает</w:t>
      </w:r>
      <w:r w:rsidRPr="00DA2BC8">
        <w:rPr>
          <w:b/>
          <w:bCs/>
        </w:rPr>
        <w:t xml:space="preserve"> </w:t>
      </w:r>
      <w:r w:rsidRPr="00DA2BC8">
        <w:t xml:space="preserve">удаление ЦВК, назначение </w:t>
      </w:r>
      <w:r w:rsidRPr="00DA2BC8">
        <w:rPr>
          <w:bCs/>
        </w:rPr>
        <w:t>а</w:t>
      </w:r>
      <w:r w:rsidRPr="00DA2BC8">
        <w:t>мфотерицина В (1 мг/кг/сутки) в монотерапии или в сочетании с флуцитозином,</w:t>
      </w:r>
      <w:r w:rsidRPr="00DA2BC8">
        <w:rPr>
          <w:bCs/>
        </w:rPr>
        <w:t xml:space="preserve"> альтернативный препарат – липидная форма</w:t>
      </w:r>
      <w:r w:rsidRPr="00DA2BC8">
        <w:rPr>
          <w:b/>
          <w:bCs/>
        </w:rPr>
        <w:t xml:space="preserve"> </w:t>
      </w:r>
      <w:r w:rsidRPr="00DA2BC8">
        <w:t>амфотерицина В (3 мг/кг/сутки).</w:t>
      </w:r>
    </w:p>
    <w:p w14:paraId="485FB887" w14:textId="77777777" w:rsidR="00C466A6" w:rsidRPr="00C553B6" w:rsidRDefault="00C466A6" w:rsidP="00C466A6">
      <w:pPr>
        <w:widowControl w:val="0"/>
        <w:autoSpaceDE w:val="0"/>
        <w:autoSpaceDN w:val="0"/>
        <w:adjustRightInd w:val="0"/>
        <w:ind w:right="50" w:firstLine="709"/>
        <w:contextualSpacing/>
        <w:rPr>
          <w:i/>
          <w:iCs/>
          <w:u w:val="single"/>
        </w:rPr>
      </w:pPr>
      <w:r w:rsidRPr="00C553B6">
        <w:rPr>
          <w:i/>
          <w:iCs/>
          <w:u w:val="single"/>
        </w:rPr>
        <w:t>Микозы, вызванные Saccharomyces spp.</w:t>
      </w:r>
    </w:p>
    <w:p w14:paraId="1B36E431" w14:textId="77777777" w:rsidR="00C466A6" w:rsidRPr="00DA2BC8" w:rsidRDefault="00C466A6" w:rsidP="00C466A6">
      <w:pPr>
        <w:widowControl w:val="0"/>
        <w:autoSpaceDE w:val="0"/>
        <w:autoSpaceDN w:val="0"/>
        <w:adjustRightInd w:val="0"/>
        <w:ind w:right="50" w:firstLine="709"/>
        <w:contextualSpacing/>
      </w:pPr>
      <w:r w:rsidRPr="00DA2BC8">
        <w:t xml:space="preserve">Основные представители - </w:t>
      </w:r>
      <w:r w:rsidRPr="00DA2BC8">
        <w:rPr>
          <w:i/>
          <w:iCs/>
        </w:rPr>
        <w:t>Saccharomyces cerevisiae</w:t>
      </w:r>
      <w:r w:rsidRPr="00DA2BC8">
        <w:t xml:space="preserve"> (пекарские дрожжи) и </w:t>
      </w:r>
      <w:r w:rsidRPr="00DA2BC8">
        <w:rPr>
          <w:i/>
          <w:iCs/>
        </w:rPr>
        <w:t>Saccharomyces boulardii</w:t>
      </w:r>
      <w:r w:rsidRPr="00DA2BC8">
        <w:t xml:space="preserve"> (используют в качестве пробиотика при лечении диареи). Оба этих вида филогенетически родственны </w:t>
      </w:r>
      <w:r w:rsidRPr="00DA2BC8">
        <w:rPr>
          <w:i/>
          <w:iCs/>
        </w:rPr>
        <w:t>C. glabrata</w:t>
      </w:r>
      <w:r w:rsidRPr="00DA2BC8">
        <w:t xml:space="preserve">. В этой связи, клинические проявления, диагностика и лечение инфекции схожи с таковыми при кандидемии. Ведущими факторами риска инфекции являются прием пробиотиков, содержащих возбудитель, или пребывание в одной палате с </w:t>
      </w:r>
      <w:r>
        <w:t>пациентом</w:t>
      </w:r>
      <w:r w:rsidRPr="00DA2BC8">
        <w:t xml:space="preserve">, получающим пробиотики. Другими факторами являются нейтропения, кахексия, наличие ЦВК. </w:t>
      </w:r>
      <w:r w:rsidRPr="00DA2BC8">
        <w:rPr>
          <w:bCs/>
        </w:rPr>
        <w:t xml:space="preserve">Диагностика основана на </w:t>
      </w:r>
      <w:r w:rsidRPr="00DA2BC8">
        <w:t xml:space="preserve">выделении </w:t>
      </w:r>
      <w:r w:rsidRPr="00DA2BC8">
        <w:rPr>
          <w:i/>
          <w:iCs/>
        </w:rPr>
        <w:t>Saccharomyces</w:t>
      </w:r>
      <w:r w:rsidRPr="00DA2BC8">
        <w:t xml:space="preserve"> spp., из гемокультуры или других стерильных образцов (асцитическая жидкость, ликвор, биоптаты органов). </w:t>
      </w:r>
      <w:r w:rsidRPr="00DA2BC8">
        <w:rPr>
          <w:bCs/>
        </w:rPr>
        <w:t>Лечение включает отмену</w:t>
      </w:r>
      <w:r w:rsidRPr="00DA2BC8">
        <w:rPr>
          <w:b/>
          <w:bCs/>
        </w:rPr>
        <w:t xml:space="preserve"> </w:t>
      </w:r>
      <w:r w:rsidRPr="00DA2BC8">
        <w:t xml:space="preserve">пробиотика, содержащего </w:t>
      </w:r>
      <w:r w:rsidRPr="00DA2BC8">
        <w:rPr>
          <w:i/>
          <w:iCs/>
        </w:rPr>
        <w:t>S. boulardii</w:t>
      </w:r>
      <w:r w:rsidRPr="00DA2BC8">
        <w:t xml:space="preserve"> (если назначали), назначение препарата выбора - амфотерицина В (1 мг/кг/сутки) или </w:t>
      </w:r>
      <w:r w:rsidRPr="00DA2BC8">
        <w:rPr>
          <w:bCs/>
        </w:rPr>
        <w:t>альтернативного препарата</w:t>
      </w:r>
      <w:r w:rsidRPr="00DA2BC8">
        <w:rPr>
          <w:b/>
          <w:bCs/>
        </w:rPr>
        <w:t xml:space="preserve"> </w:t>
      </w:r>
      <w:r w:rsidRPr="00DA2BC8">
        <w:t>-</w:t>
      </w:r>
      <w:r w:rsidRPr="00DA2BC8">
        <w:rPr>
          <w:bCs/>
        </w:rPr>
        <w:t xml:space="preserve"> липидной формы </w:t>
      </w:r>
      <w:r w:rsidRPr="00DA2BC8">
        <w:t xml:space="preserve">амфотерицина В (3 мг/кг/сутки) или эхинокандина (каспофунгин или микафунгин, или анидулафунгин, в стандартных дозах). </w:t>
      </w:r>
    </w:p>
    <w:p w14:paraId="23DCFAC7" w14:textId="77777777" w:rsidR="00C466A6" w:rsidRPr="00C553B6" w:rsidRDefault="00C466A6" w:rsidP="00C466A6">
      <w:pPr>
        <w:widowControl w:val="0"/>
        <w:autoSpaceDE w:val="0"/>
        <w:autoSpaceDN w:val="0"/>
        <w:adjustRightInd w:val="0"/>
        <w:ind w:right="50" w:firstLine="709"/>
        <w:contextualSpacing/>
        <w:rPr>
          <w:i/>
          <w:iCs/>
          <w:u w:val="single"/>
          <w:lang w:val="en-US"/>
        </w:rPr>
      </w:pPr>
      <w:r w:rsidRPr="00C553B6">
        <w:rPr>
          <w:i/>
          <w:iCs/>
          <w:u w:val="single"/>
        </w:rPr>
        <w:t>Микозы</w:t>
      </w:r>
      <w:r w:rsidRPr="00C553B6">
        <w:rPr>
          <w:i/>
          <w:iCs/>
          <w:u w:val="single"/>
          <w:lang w:val="en-US"/>
        </w:rPr>
        <w:t xml:space="preserve">, </w:t>
      </w:r>
      <w:r w:rsidRPr="00C553B6">
        <w:rPr>
          <w:i/>
          <w:iCs/>
          <w:u w:val="single"/>
        </w:rPr>
        <w:t>вызванные</w:t>
      </w:r>
      <w:r w:rsidRPr="00C553B6">
        <w:rPr>
          <w:i/>
          <w:iCs/>
          <w:u w:val="single"/>
          <w:lang w:val="en-US"/>
        </w:rPr>
        <w:t xml:space="preserve"> Geotrichum candidum (Galactomyces candidus)</w:t>
      </w:r>
    </w:p>
    <w:p w14:paraId="6F8D6900" w14:textId="77777777" w:rsidR="00C466A6" w:rsidRPr="00453773" w:rsidRDefault="00C466A6" w:rsidP="00C466A6">
      <w:pPr>
        <w:widowControl w:val="0"/>
        <w:autoSpaceDE w:val="0"/>
        <w:autoSpaceDN w:val="0"/>
        <w:adjustRightInd w:val="0"/>
        <w:ind w:right="50" w:firstLine="709"/>
        <w:contextualSpacing/>
        <w:rPr>
          <w:bCs/>
        </w:rPr>
      </w:pPr>
      <w:r w:rsidRPr="00DA2BC8">
        <w:t xml:space="preserve">Генетически родственны </w:t>
      </w:r>
      <w:r w:rsidRPr="00DA2BC8">
        <w:rPr>
          <w:i/>
          <w:iCs/>
        </w:rPr>
        <w:t>S. Capitata</w:t>
      </w:r>
      <w:r>
        <w:rPr>
          <w:i/>
          <w:iCs/>
        </w:rPr>
        <w:t xml:space="preserve">; </w:t>
      </w:r>
      <w:r w:rsidRPr="00453773">
        <w:rPr>
          <w:iCs/>
        </w:rPr>
        <w:t>о</w:t>
      </w:r>
      <w:r w:rsidRPr="00DA2BC8">
        <w:t xml:space="preserve">писаны единичные случаи инвазивной инфекции у </w:t>
      </w:r>
      <w:r>
        <w:t>гематологических пациентов, с</w:t>
      </w:r>
      <w:r w:rsidRPr="00DA2BC8">
        <w:t xml:space="preserve">пособны вызывать эпидемические вспышки в стационарах. </w:t>
      </w:r>
      <w:r w:rsidRPr="00DA2BC8">
        <w:rPr>
          <w:bCs/>
        </w:rPr>
        <w:t xml:space="preserve">В основе диагностики </w:t>
      </w:r>
      <w:r w:rsidRPr="00DA2BC8">
        <w:t xml:space="preserve">выделение грибов из гемокультуры </w:t>
      </w:r>
      <w:r>
        <w:t xml:space="preserve">(кровь) </w:t>
      </w:r>
      <w:r w:rsidRPr="00DA2BC8">
        <w:t>или других стерильных образцов (асцитическая жидкость, ликвор, биоптаты органов</w:t>
      </w:r>
      <w:r>
        <w:t xml:space="preserve"> и др.</w:t>
      </w:r>
      <w:r w:rsidRPr="00DA2BC8">
        <w:t xml:space="preserve">). </w:t>
      </w:r>
      <w:r w:rsidRPr="00DA2BC8">
        <w:rPr>
          <w:bCs/>
        </w:rPr>
        <w:t>Препаратом выбора является а</w:t>
      </w:r>
      <w:r w:rsidRPr="00DA2BC8">
        <w:t xml:space="preserve">мфотерицин В (1 мг/кг/сутки), </w:t>
      </w:r>
      <w:r w:rsidRPr="00DA2BC8">
        <w:rPr>
          <w:bCs/>
        </w:rPr>
        <w:t>альтернатив</w:t>
      </w:r>
      <w:r>
        <w:rPr>
          <w:bCs/>
        </w:rPr>
        <w:t>а</w:t>
      </w:r>
      <w:r w:rsidRPr="00DA2BC8">
        <w:rPr>
          <w:bCs/>
        </w:rPr>
        <w:t xml:space="preserve"> </w:t>
      </w:r>
      <w:r>
        <w:rPr>
          <w:bCs/>
        </w:rPr>
        <w:t>–</w:t>
      </w:r>
      <w:r w:rsidRPr="00DA2BC8">
        <w:rPr>
          <w:bCs/>
        </w:rPr>
        <w:t xml:space="preserve"> липидные формы </w:t>
      </w:r>
      <w:r w:rsidRPr="00DA2BC8">
        <w:t>амфотерицина В (3 мг/кг/сутки). Применение флуконазола, вориконазола и эхинокандинов не рекомендовано.</w:t>
      </w:r>
    </w:p>
    <w:p w14:paraId="1BE3E6DF" w14:textId="77777777" w:rsidR="009B5EC6" w:rsidRDefault="009B5EC6" w:rsidP="009B5EC6">
      <w:pPr>
        <w:widowControl w:val="0"/>
        <w:autoSpaceDE w:val="0"/>
        <w:autoSpaceDN w:val="0"/>
        <w:adjustRightInd w:val="0"/>
        <w:ind w:right="50"/>
        <w:contextualSpacing/>
        <w:rPr>
          <w:b/>
          <w:bCs/>
        </w:rPr>
      </w:pPr>
    </w:p>
    <w:p w14:paraId="1F02147F" w14:textId="47A57425" w:rsidR="00C466A6" w:rsidRPr="00084B8B" w:rsidRDefault="009B5EC6" w:rsidP="009B5EC6">
      <w:pPr>
        <w:widowControl w:val="0"/>
        <w:autoSpaceDE w:val="0"/>
        <w:autoSpaceDN w:val="0"/>
        <w:adjustRightInd w:val="0"/>
        <w:ind w:right="49"/>
        <w:contextualSpacing/>
        <w:rPr>
          <w:bCs/>
          <w:u w:val="single"/>
        </w:rPr>
      </w:pPr>
      <w:r>
        <w:rPr>
          <w:bCs/>
          <w:u w:val="single"/>
        </w:rPr>
        <w:t xml:space="preserve">7.6.5. </w:t>
      </w:r>
      <w:r w:rsidR="00C466A6" w:rsidRPr="009B5EC6">
        <w:rPr>
          <w:bCs/>
          <w:u w:val="single"/>
        </w:rPr>
        <w:t>Инвазивный аспергиллез</w:t>
      </w:r>
      <w:r w:rsidR="00084B8B">
        <w:rPr>
          <w:bCs/>
          <w:u w:val="single"/>
          <w:lang w:val="en-US"/>
        </w:rPr>
        <w:t xml:space="preserve"> </w:t>
      </w:r>
      <w:r w:rsidR="00084B8B">
        <w:rPr>
          <w:b/>
        </w:rPr>
        <w:fldChar w:fldCharType="begin" w:fldLock="1"/>
      </w:r>
      <w:r w:rsidR="0029367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patients","type":"article-journal","volume":"102"},"uris":["http://www.mendeley.com/documents/?uuid=56063fed-25f6-3324-a2f1-f316166613f0"]},{"id":"ITEM-5","itemData":{"DOI":"10.1016/j.cmi.2018.01.002","ISSN":"14690691","PMID":"29544767","abstract":"The European Society for Clinical Microbiology and Infectious Diseases, the European Confederation of Medical Mycology and the European Respiratory Society Joint Clinical Guidelines focus on diagnosis and management of aspergillosis. Of the numerous recommendations, a few are summarized here. Chest computed tomography as well as bronchoscopy with bronchoalveolar lavage (BAL) in patients with suspicion of pulmonary invasive aspergillosis (IA) are strongly recommended. For diagnosis, direct microscopy, preferably using optical brighteners, histopathology and culture are strongly recommended. Serum and BAL galactomannan measures are recommended as markers for the diagnosis of IA. PCR should be considered in conjunction with other diagnostic tests. Pathogen identification to species complex level is strongly recommended for all clinically relevant Aspergillus isolates; antifungal susceptibility testing should be performed in patients with invasive disease in regions with resistance found in contemporary surveillance programmes. Isavuconazole and voriconazole are the preferred agents for first-line treatment of pulmonary IA, whereas liposomal amphotericin B is moderately supported. Combinations of antifungals as primary treatment options are not recommended. Therapeutic drug monitoring is strongly recommended for patients receiving posaconazole suspension or any form of voriconazole for IA treatment, and in refractory disease, where a personalized approach considering reversal of predisposing factors, switching drug class and surgical intervention is also strongly recommended. Primary prophylaxis with posaconazole is strongly recommended in patients with acute myelogenous leukaemia or myelodysplastic syndrome receiving induction chemotherapy. Secondary prophylaxis is strongly recommended in high-risk patients. We strongly recommend treatment duration based on clinical improvement, degree of immunosuppression and response on imaging.","author":[{"dropping-particle":"","family":"Ullmann","given":"A. J.","non-dropping-particle":"","parse-names":false,"suffix":""},{"dropping-particle":"","family":"Aguado","given":"J. M.","non-dropping-particle":"","parse-names":false,"suffix":""},{"dropping-particle":"","family":"Arikan-Akdagli","given":"S.","non-dropping-particle":"","parse-names":false,"suffix":""},{"dropping-particle":"","family":"Denning","given":"D. W.","non-dropping-particle":"","parse-names":false,"suffix":""},{"dropping-particle":"","family":"Groll","given":"A. H.","non-dropping-particle":"","parse-names":false,"suffix":""},{"dropping-particle":"","family":"Lagrou","given":"K.","non-dropping-particle":"","parse-names":false,"suffix":""},{"dropping-particle":"","family":"Lass-Flörl","given":"C.","non-dropping-particle":"","parse-names":false,"suffix":""},{"dropping-particle":"","family":"Lewis","given":"R. E.","non-dropping-particle":"","parse-names":false,"suffix":""},{"dropping-particle":"","family":"Munoz","given":"P.","non-dropping-particle":"","parse-names":false,"suffix":""},{"dropping-particle":"","family":"Verweij","given":"P. E.","non-dropping-particle":"","parse-names":false,"suffix":""},{"dropping-particle":"","family":"Warris","given":"A.","non-dropping-particle":"","parse-names":false,"suffix":""},{"dropping-particle":"","family":"Ader","given":"F.","non-dropping-particle":"","parse-names":false,"suffix":""},{"dropping-particle":"","family":"Akova","given":"M.","non-dropping-particle":"","parse-names":false,"suffix":""},{"dropping-particle":"","family":"Arendrup","given":"M. C.","non-dropping-particle":"","parse-names":false,"suffix":""},{"dropping-particle":"","family":"Barnes","given":"R. A.","non-dropping-particle":"","parse-names":false,"suffix":""},{"dropping-particle":"","family":"Beigelman-Aubry","given":"C.","non-dropping-particle":"","parse-names":false,"suffix":""},{"dropping-particle":"","family":"Blot","given":"S.","non-dropping-particle":"","parse-names":false,"suffix":""},{"dropping-particle":"","family":"Bouza","given":"E.","non-dropping-particle":"","parse-names":false,"suffix":""},{"dropping-particle":"","family":"Brüggemann","given":"R. J.M.","non-dropping-particle":"","parse-names":false,"suffix":""},{"dropping-particle":"","family":"Buchheidt","given":"D.","non-dropping-particle":"","parse-names":false,"suffix":""},{"dropping-particle":"","family":"Cadranel","given":"J.","non-dropping-particle":"","parse-names":false,"suffix":""},{"dropping-particle":"","family":"Castagnola","given":"E.","non-dropping-particle":"","parse-names":false,"suffix":""},{"dropping-particle":"","family":"Chakrabarti","given":"A.","non-dropping-particle":"","parse-names":false,"suffix":""},{"dropping-particle":"","family":"Cuenca-Estrella","given":"M.","non-dropping-particle":"","parse-names":false,"suffix":""},{"dropping-particle":"","family":"Dimopoulos","given":"G.","non-dropping-particle":"","parse-names":false,"suffix":""},{"dropping-particle":"","family":"Fortun","given":"J.","non-dropping-particle":"","parse-names":false,"suffix":""},{"dropping-particle":"","family":"Gangneux","given":"J. P.","non-dropping-particle":"","parse-names":false,"suffix":""},{"dropping-particle":"","family":"Garbino","given":"J.","non-dropping-particle":"","parse-names":false,"suffix":""},{"dropping-particle":"","family":"Heinz","given":"W. J.","non-dropping-particle":"","parse-names":false,"suffix":""},{"dropping-particle":"","family":"Herbrecht","given":"R.","non-dropping-particle":"","parse-names":false,"suffix":""},{"dropping-particle":"","family":"Heussel","given":"C. P.","non-dropping-particle":"","parse-names":false,"suffix":""},{"dropping-particle":"","family":"Kibbler","given":"C. C.","non-dropping-particle":"","parse-names":false,"suffix":""},{"dropping-particle":"","family":"Klimko","given":"N.","non-dropping-particle":"","parse-names":false,"suffix":""},{"dropping-particle":"","family":"Kullberg","given":"B. J.","non-dropping-particle":"","parse-names":false,"suffix":""},{"dropping-particle":"","family":"Lange","given":"C.","non-dropping-particle":"","parse-names":false,"suffix":""},{"dropping-particle":"","family":"Lehrnbecher","given":"T.","non-dropping-particle":"","parse-names":false,"suffix":""},{"dropping-particle":"","family":"Löffler","given":"J.","non-dropping-particle":"","parse-names":false,"suffix":""},{"dropping-particle":"","family":"Lortholary","given":"O.","non-dropping-particle":"","parse-names":false,"suffix":""},{"dropping-particle":"","family":"Maertens","given":"J.","non-dropping-particle":"","parse-names":false,"suffix":""},{"dropping-particle":"","family":"Marchetti","given":"O.","non-dropping-particle":"","parse-names":false,"suffix":""},{"dropping-particle":"","family":"Meis","given":"J. F.","non-dropping-particle":"","parse-names":false,"suffix":""},{"dropping-particle":"","family":"Pagano","given":"L.","non-dropping-particle":"","parse-names":false,"suffix":""},{"dropping-particle":"","family":"Ribaud","given":"P.","non-dropping-particle":"","parse-names":false,"suffix":""},{"dropping-particle":"","family":"Richardson","given":"M.","non-dropping-particle":"","parse-names":false,"suffix":""},{"dropping-particle":"","family":"Roilides","given":"E.","non-dropping-particle":"","parse-names":false,"suffix":""},{"dropping-particle":"","family":"Ruhnke","given":"M.","non-dropping-particle":"","parse-names":false,"suffix":""},{"dropping-particle":"","family":"Sanguinetti","given":"M.","non-dropping-particle":"","parse-names":false,"suffix":""},{"dropping-particle":"","family":"Sheppard","given":"D. C.","non-dropping-particle":"","parse-names":false,"suffix":""},{"dropping-particle":"","family":"Sinkó","given":"J.","non-dropping-particle":"","parse-names":false,"suffix":""},{"dropping-particle":"","family":"Skiada","given":"A.","non-dropping-particle":"","parse-names":false,"suffix":""},{"dropping-particle":"","family":"Vehreschild","given":"M. J.G.T.","non-dropping-particle":"","parse-names":false,"suffix":""},{"dropping-particle":"","family":"Viscoli","given":"C.","non-dropping-particle":"","parse-names":false,"suffix":""},{"dropping-particle":"","family":"Cornely","given":"O. A.","non-dropping-particle":"","parse-names":false,"suffix":""}],"container-title":"Clinical Microbiology and Infection","id":"ITEM-5","issued":{"date-parts":[["2018","5","1"]]},"page":"e1-e38","publisher":"Elsevier B.V.","title":"Diagnosis and management of Aspergillus diseases: executive summary of the 2017 ESCMID-ECMM-ERS guideline","type":"article-journal","volume":"24"},"uris":["http://www.mendeley.com/documents/?uuid=5eaef361-0e16-3d87-bd2e-021d8493d891"]}],"mendeley":{"formattedCitation":"[76,79,85,86,88]","plainTextFormattedCitation":"[76,79,85,86,88]","previouslyFormattedCitation":"[76,79,85,86,88]"},"properties":{"noteIndex":0},"schema":"https://github.com/citation-style-language/schema/raw/master/csl-citation.json"}</w:instrText>
      </w:r>
      <w:r w:rsidR="00084B8B">
        <w:rPr>
          <w:b/>
        </w:rPr>
        <w:fldChar w:fldCharType="separate"/>
      </w:r>
      <w:r w:rsidR="00FB256D" w:rsidRPr="00FB256D">
        <w:rPr>
          <w:noProof/>
        </w:rPr>
        <w:t>[76,79,85,86,88]</w:t>
      </w:r>
      <w:r w:rsidR="00084B8B">
        <w:rPr>
          <w:b/>
        </w:rPr>
        <w:fldChar w:fldCharType="end"/>
      </w:r>
    </w:p>
    <w:p w14:paraId="2DD90A67" w14:textId="6FEED6CD" w:rsidR="00C466A6" w:rsidRPr="00DA2BC8" w:rsidRDefault="00C466A6" w:rsidP="00C466A6">
      <w:pPr>
        <w:widowControl w:val="0"/>
        <w:autoSpaceDE w:val="0"/>
        <w:autoSpaceDN w:val="0"/>
        <w:adjustRightInd w:val="0"/>
        <w:ind w:right="50" w:firstLine="709"/>
        <w:contextualSpacing/>
      </w:pPr>
      <w:r w:rsidRPr="00DA2BC8">
        <w:t xml:space="preserve">Инвазивный аспергиллез является ведущей грибковой инфекцией в современной гематологии. В структуре инвазивных микозов у </w:t>
      </w:r>
      <w:r>
        <w:t xml:space="preserve">гематологических пациентов </w:t>
      </w:r>
      <w:r w:rsidRPr="00DA2BC8">
        <w:t xml:space="preserve">доля инвазивного аспергиллеза достигает 80%. Первичный очаг локализуется в легких (90-95%) и в придаточных пазухах носа (5-10%). Инвазивный аспергиллез преобладает у реципиентов аллогенных ТСГК, особенно неродственных, у </w:t>
      </w:r>
      <w:r>
        <w:t>пациентов с</w:t>
      </w:r>
      <w:r w:rsidRPr="00DA2BC8">
        <w:t xml:space="preserve"> острыми миелоидными лейкозами и миелодиспластическом синдром</w:t>
      </w:r>
      <w:r>
        <w:t>ом</w:t>
      </w:r>
      <w:r w:rsidRPr="00DA2BC8">
        <w:t xml:space="preserve">. </w:t>
      </w:r>
      <w:r w:rsidRPr="00DA2BC8">
        <w:rPr>
          <w:bCs/>
        </w:rPr>
        <w:t xml:space="preserve">Основные возбудители </w:t>
      </w:r>
      <w:r w:rsidRPr="00DA2BC8">
        <w:rPr>
          <w:i/>
          <w:iCs/>
        </w:rPr>
        <w:t>Aspergillus fumigatus</w:t>
      </w:r>
      <w:r w:rsidRPr="00DA2BC8">
        <w:t xml:space="preserve"> и </w:t>
      </w:r>
      <w:r w:rsidRPr="00DA2BC8">
        <w:rPr>
          <w:i/>
          <w:iCs/>
        </w:rPr>
        <w:t>Aspergillus flavus</w:t>
      </w:r>
      <w:r w:rsidRPr="00DA2BC8">
        <w:t xml:space="preserve">, реже - </w:t>
      </w:r>
      <w:r w:rsidRPr="00DA2BC8">
        <w:rPr>
          <w:i/>
          <w:iCs/>
        </w:rPr>
        <w:t>Aspergillus niger</w:t>
      </w:r>
      <w:r w:rsidRPr="00DA2BC8">
        <w:t xml:space="preserve"> и другие виды.</w:t>
      </w:r>
    </w:p>
    <w:p w14:paraId="7A70E915" w14:textId="77777777" w:rsidR="00C466A6" w:rsidRPr="009B5EC6" w:rsidRDefault="00C466A6" w:rsidP="00C466A6">
      <w:pPr>
        <w:widowControl w:val="0"/>
        <w:autoSpaceDE w:val="0"/>
        <w:autoSpaceDN w:val="0"/>
        <w:adjustRightInd w:val="0"/>
        <w:ind w:right="50" w:firstLine="709"/>
        <w:contextualSpacing/>
        <w:rPr>
          <w:i/>
          <w:iCs/>
          <w:u w:val="single"/>
        </w:rPr>
      </w:pPr>
      <w:r w:rsidRPr="009B5EC6">
        <w:rPr>
          <w:i/>
          <w:iCs/>
          <w:u w:val="single"/>
        </w:rPr>
        <w:lastRenderedPageBreak/>
        <w:t>Факторы риска</w:t>
      </w:r>
    </w:p>
    <w:p w14:paraId="58AAB866" w14:textId="77777777" w:rsidR="00C466A6" w:rsidRPr="00DA2BC8" w:rsidRDefault="00C466A6" w:rsidP="00C466A6">
      <w:pPr>
        <w:widowControl w:val="0"/>
        <w:autoSpaceDE w:val="0"/>
        <w:autoSpaceDN w:val="0"/>
        <w:adjustRightInd w:val="0"/>
        <w:ind w:right="50" w:firstLine="709"/>
        <w:contextualSpacing/>
      </w:pPr>
      <w:r w:rsidRPr="00DA2BC8">
        <w:t>Основными факторами, индуцирующими развитие инвазивного аспергиллеза, являются гранулоцитопения (нейтрофилов менее 0,5×10</w:t>
      </w:r>
      <w:r w:rsidRPr="00DA2BC8">
        <w:rPr>
          <w:vertAlign w:val="superscript"/>
        </w:rPr>
        <w:t>9</w:t>
      </w:r>
      <w:r w:rsidRPr="00DA2BC8">
        <w:t>/л) длительностью от 10 дней и более на момент диагностики или в течение 60 дней до развития инвазивного аспергиллеза; трансплантация аллогенных ТГСК, лечение глюкокортикоидами и другими препаратами, приводящими к подавлению функции T-лимфоцитов. Частота инвазивного аспергиллеза возрастает в период эпидемии вирусных инфекций.</w:t>
      </w:r>
    </w:p>
    <w:p w14:paraId="2870FEF1" w14:textId="77777777" w:rsidR="00C466A6" w:rsidRPr="00453773" w:rsidRDefault="00C466A6" w:rsidP="00C466A6">
      <w:pPr>
        <w:widowControl w:val="0"/>
        <w:autoSpaceDE w:val="0"/>
        <w:autoSpaceDN w:val="0"/>
        <w:adjustRightInd w:val="0"/>
        <w:ind w:right="50" w:firstLine="709"/>
        <w:contextualSpacing/>
        <w:rPr>
          <w:b/>
          <w:bCs/>
        </w:rPr>
      </w:pPr>
      <w:r w:rsidRPr="00453773">
        <w:rPr>
          <w:b/>
          <w:bCs/>
        </w:rPr>
        <w:t>Инвазивный аспергиллез легких</w:t>
      </w:r>
    </w:p>
    <w:p w14:paraId="11F12DE2" w14:textId="77777777" w:rsidR="00C466A6" w:rsidRPr="009B5EC6" w:rsidRDefault="00C466A6" w:rsidP="00C466A6">
      <w:pPr>
        <w:widowControl w:val="0"/>
        <w:autoSpaceDE w:val="0"/>
        <w:autoSpaceDN w:val="0"/>
        <w:adjustRightInd w:val="0"/>
        <w:ind w:right="50" w:firstLine="709"/>
        <w:contextualSpacing/>
        <w:rPr>
          <w:i/>
          <w:iCs/>
        </w:rPr>
      </w:pPr>
      <w:r w:rsidRPr="009B5EC6">
        <w:rPr>
          <w:i/>
          <w:iCs/>
          <w:u w:val="single"/>
        </w:rPr>
        <w:t>Симптомы</w:t>
      </w:r>
      <w:r w:rsidRPr="009B5EC6">
        <w:rPr>
          <w:i/>
          <w:iCs/>
        </w:rPr>
        <w:t xml:space="preserve"> </w:t>
      </w:r>
    </w:p>
    <w:p w14:paraId="6C79F1C5" w14:textId="77777777" w:rsidR="00C466A6" w:rsidRPr="00DA2BC8" w:rsidRDefault="00C466A6" w:rsidP="00C466A6">
      <w:pPr>
        <w:widowControl w:val="0"/>
        <w:autoSpaceDE w:val="0"/>
        <w:autoSpaceDN w:val="0"/>
        <w:adjustRightInd w:val="0"/>
        <w:ind w:right="50" w:firstLine="709"/>
        <w:contextualSpacing/>
      </w:pPr>
      <w:r w:rsidRPr="00DA2BC8">
        <w:t xml:space="preserve">Начальные признаки скудные, в большинстве случаев бывает только лихорадка. У 15-20% </w:t>
      </w:r>
      <w:r>
        <w:t>пациентов</w:t>
      </w:r>
      <w:r w:rsidRPr="00DA2BC8">
        <w:t xml:space="preserve"> инвазивным аспергиллезом температура быва</w:t>
      </w:r>
      <w:r>
        <w:t>ет нормальной или субфебрильной</w:t>
      </w:r>
      <w:r w:rsidRPr="00DA2BC8">
        <w:t xml:space="preserve">. Другими симптомами являются кашель, сухой или с мокротой, кровохарканье, боль в грудной клетке, одышка. При прогрессировании инфекции может возникнуть легочное кровотечение, дыхательная недостаточность, спонтанный пневмоторакс. У 30-40% больных происходит диссеминация инвазивного аспергиллеза, чаще в головной мозг или печень. </w:t>
      </w:r>
    </w:p>
    <w:p w14:paraId="1D3CF506" w14:textId="77777777" w:rsidR="00C466A6" w:rsidRPr="009B5EC6" w:rsidRDefault="00C466A6" w:rsidP="00C466A6">
      <w:pPr>
        <w:widowControl w:val="0"/>
        <w:autoSpaceDE w:val="0"/>
        <w:autoSpaceDN w:val="0"/>
        <w:adjustRightInd w:val="0"/>
        <w:ind w:right="50" w:firstLine="709"/>
        <w:contextualSpacing/>
        <w:rPr>
          <w:i/>
          <w:iCs/>
          <w:u w:val="single"/>
        </w:rPr>
      </w:pPr>
      <w:r w:rsidRPr="009B5EC6">
        <w:rPr>
          <w:i/>
          <w:iCs/>
          <w:u w:val="single"/>
        </w:rPr>
        <w:t>Диагностика инвазивного аспергиллеза легких</w:t>
      </w:r>
    </w:p>
    <w:p w14:paraId="4690B4BB" w14:textId="77777777" w:rsidR="00C466A6" w:rsidRPr="00DA2BC8" w:rsidRDefault="00C466A6" w:rsidP="00C466A6">
      <w:pPr>
        <w:widowControl w:val="0"/>
        <w:autoSpaceDE w:val="0"/>
        <w:autoSpaceDN w:val="0"/>
        <w:adjustRightInd w:val="0"/>
        <w:ind w:right="50" w:firstLine="709"/>
        <w:contextualSpacing/>
      </w:pPr>
      <w:r w:rsidRPr="00DA2BC8">
        <w:rPr>
          <w:bCs/>
        </w:rPr>
        <w:t>Диагноз инвазивного аспергиллеза устанавливают</w:t>
      </w:r>
      <w:r w:rsidRPr="00DA2BC8">
        <w:t xml:space="preserve"> на основании наличия факторов риска, характерных изменений</w:t>
      </w:r>
      <w:r>
        <w:t xml:space="preserve"> при радиологическом исследовании (КТ/СКТ легких)</w:t>
      </w:r>
      <w:r w:rsidRPr="00DA2BC8">
        <w:t>, микологического подтвержден</w:t>
      </w:r>
      <w:r>
        <w:t>и</w:t>
      </w:r>
      <w:r w:rsidRPr="00DA2BC8">
        <w:t xml:space="preserve">я, включающего культуральное и/или серологические исследования. </w:t>
      </w:r>
    </w:p>
    <w:p w14:paraId="387243B3" w14:textId="77777777" w:rsidR="00C466A6" w:rsidRPr="009B5EC6" w:rsidRDefault="00C466A6" w:rsidP="00C466A6">
      <w:pPr>
        <w:widowControl w:val="0"/>
        <w:autoSpaceDE w:val="0"/>
        <w:autoSpaceDN w:val="0"/>
        <w:adjustRightInd w:val="0"/>
        <w:ind w:right="50" w:firstLine="709"/>
        <w:contextualSpacing/>
        <w:rPr>
          <w:i/>
          <w:iCs/>
          <w:u w:val="single"/>
        </w:rPr>
      </w:pPr>
      <w:r w:rsidRPr="009B5EC6">
        <w:rPr>
          <w:i/>
          <w:iCs/>
          <w:u w:val="single"/>
        </w:rPr>
        <w:t>Радиологические особенности инвазивного аспергиллеза легких</w:t>
      </w:r>
    </w:p>
    <w:p w14:paraId="129BF4BC" w14:textId="4ED4ECD1" w:rsidR="00C466A6" w:rsidRPr="00DA2BC8" w:rsidRDefault="00C466A6" w:rsidP="00C466A6">
      <w:pPr>
        <w:widowControl w:val="0"/>
        <w:tabs>
          <w:tab w:val="left" w:pos="317"/>
        </w:tabs>
        <w:autoSpaceDE w:val="0"/>
        <w:autoSpaceDN w:val="0"/>
        <w:adjustRightInd w:val="0"/>
        <w:ind w:right="50" w:firstLine="709"/>
        <w:contextualSpacing/>
      </w:pPr>
      <w:r w:rsidRPr="00DA2BC8">
        <w:t xml:space="preserve">Ранняя диагностика инвазивного аспергиллеза легких возможна только по данным </w:t>
      </w:r>
      <w:r>
        <w:t>КТ</w:t>
      </w:r>
      <w:r w:rsidRPr="00DA2BC8">
        <w:t xml:space="preserve">. Рентгенографию </w:t>
      </w:r>
      <w:r>
        <w:t xml:space="preserve">рутинно </w:t>
      </w:r>
      <w:r w:rsidRPr="00DA2BC8">
        <w:t xml:space="preserve">не используют в диагностике инвазивного аспергиллеза по причине позднего выявления изменений в легких. Радиологические проявления инвазивного аспергиллеза легких не являются строго специфичными. На раннем этапе инфекции определяется симптом «ореола» (область разрежения, которая представляет собой геморрагический инфильтрат, окружающий некротизированную ткань легкого), в более отдаленные сроки - симптом «серпа» (формирование воздушной полости в виде полумесяца) или образование полости. Характерными также являются очаги с ровными контурами или инфильтраты треугольной формы, обращенные основанием к плевре, преобладает субплевральное расположение очагов. У реципиентов аллогенных ГСК вне нейтропении, получающих лечение преднизолоном по поводу РТПХ доминируют изменения в легких, неспецифичные для инвазивного аспергиллеза, – это центролобулярные очаги небольших размеров или изменения по типу бронхиолита. При </w:t>
      </w:r>
      <w:r w:rsidRPr="00DA2BC8">
        <w:lastRenderedPageBreak/>
        <w:t>диагностике инвазивного аспергиллеза следует провести КТ или МРТ головного мозга с целью исключения диссеминации. У больных, излеченных от инвазивного аспергиллеза, могут определяться в легких остаточные изменения в виде паренхиматозных тяжей или небольших полостей.</w:t>
      </w:r>
    </w:p>
    <w:p w14:paraId="04088773" w14:textId="77777777" w:rsidR="00C466A6" w:rsidRPr="00DA2BC8" w:rsidRDefault="00C466A6" w:rsidP="00C466A6">
      <w:pPr>
        <w:widowControl w:val="0"/>
        <w:autoSpaceDE w:val="0"/>
        <w:autoSpaceDN w:val="0"/>
        <w:adjustRightInd w:val="0"/>
        <w:ind w:right="50" w:firstLine="709"/>
        <w:contextualSpacing/>
      </w:pPr>
      <w:r w:rsidRPr="00EB3571">
        <w:rPr>
          <w:bCs/>
          <w:i/>
          <w:iCs/>
          <w:u w:val="single"/>
        </w:rPr>
        <w:t>Микологические исследования</w:t>
      </w:r>
      <w:r w:rsidRPr="00DA2BC8">
        <w:t xml:space="preserve"> включают выделение культуры </w:t>
      </w:r>
      <w:r w:rsidRPr="00DA2BC8">
        <w:rPr>
          <w:i/>
          <w:iCs/>
        </w:rPr>
        <w:t>Aspergillus</w:t>
      </w:r>
      <w:r w:rsidRPr="00DA2BC8">
        <w:t xml:space="preserve"> из мокроты, жидкости БАЛ или биоптата легкого либо обнаружение истинного септированного мицелия из биоптата (аспирата) при гистологическом или цитологическом исследовании; определение положительного антигена </w:t>
      </w:r>
      <w:r w:rsidRPr="00DA2BC8">
        <w:rPr>
          <w:i/>
          <w:iCs/>
        </w:rPr>
        <w:t>Aspergillus</w:t>
      </w:r>
      <w:r w:rsidRPr="00DA2BC8">
        <w:t xml:space="preserve"> (галактоманнан) в сыворотке (индекс оптической плотности ≥0,5) и/или в жидкости БАЛ (индекс оптической плотности от 1,0 и более).</w:t>
      </w:r>
    </w:p>
    <w:p w14:paraId="5640EE43" w14:textId="77777777" w:rsidR="00C466A6" w:rsidRPr="00EB3571" w:rsidRDefault="00C466A6" w:rsidP="00C466A6">
      <w:pPr>
        <w:widowControl w:val="0"/>
        <w:autoSpaceDE w:val="0"/>
        <w:autoSpaceDN w:val="0"/>
        <w:adjustRightInd w:val="0"/>
        <w:ind w:right="50" w:firstLine="709"/>
        <w:contextualSpacing/>
        <w:rPr>
          <w:i/>
          <w:iCs/>
          <w:u w:val="single"/>
        </w:rPr>
      </w:pPr>
      <w:r w:rsidRPr="00EB3571">
        <w:rPr>
          <w:i/>
          <w:iCs/>
          <w:u w:val="single"/>
        </w:rPr>
        <w:t>Мониторинг исследований</w:t>
      </w:r>
    </w:p>
    <w:p w14:paraId="140175FB" w14:textId="77777777" w:rsidR="00C466A6" w:rsidRPr="00DA2BC8" w:rsidRDefault="00C466A6" w:rsidP="00C466A6">
      <w:pPr>
        <w:widowControl w:val="0"/>
        <w:tabs>
          <w:tab w:val="left" w:pos="317"/>
        </w:tabs>
        <w:autoSpaceDE w:val="0"/>
        <w:autoSpaceDN w:val="0"/>
        <w:adjustRightInd w:val="0"/>
        <w:ind w:right="50" w:firstLine="709"/>
        <w:contextualSpacing/>
      </w:pPr>
      <w:r w:rsidRPr="00DA2BC8">
        <w:t>В процессе лечения инвазивного аспергиллеза повторяют КТ</w:t>
      </w:r>
      <w:r>
        <w:t xml:space="preserve">/СКТ легких </w:t>
      </w:r>
      <w:r w:rsidRPr="00DA2BC8">
        <w:t xml:space="preserve"> каждые 2-3 недели, при клинической неэффективности лечения - через 1 неделю от начала терапии, при стабилизации клинических проявлений инфекции – реже; определение антигена </w:t>
      </w:r>
      <w:r w:rsidRPr="00DA2BC8">
        <w:rPr>
          <w:i/>
          <w:iCs/>
        </w:rPr>
        <w:t>Aspergillus</w:t>
      </w:r>
      <w:r w:rsidRPr="00DA2BC8">
        <w:t xml:space="preserve"> (галактоманнан) в крови - 1 раз в неделю, если тест был положительным. Повторные положительные результаты определения галактоманнана (индекс оптической плотности &gt;0,5) в период лечения инвазивного аспергиллеза относятся к неблагоприятным факторам прогноза и свидетельсвуют об отсутствии контроля над инфекцией. </w:t>
      </w:r>
    </w:p>
    <w:p w14:paraId="1717D868" w14:textId="77777777" w:rsidR="00C466A6" w:rsidRPr="00DA2BC8" w:rsidRDefault="00C466A6" w:rsidP="00C466A6">
      <w:pPr>
        <w:widowControl w:val="0"/>
        <w:autoSpaceDE w:val="0"/>
        <w:autoSpaceDN w:val="0"/>
        <w:adjustRightInd w:val="0"/>
        <w:ind w:right="50" w:firstLine="709"/>
        <w:contextualSpacing/>
      </w:pPr>
      <w:r w:rsidRPr="00DA2BC8">
        <w:t>При повышении нейтрофилов (более 0,5×10</w:t>
      </w:r>
      <w:r w:rsidRPr="00DA2BC8">
        <w:rPr>
          <w:vertAlign w:val="superscript"/>
        </w:rPr>
        <w:t>9</w:t>
      </w:r>
      <w:r w:rsidRPr="00DA2BC8">
        <w:t xml:space="preserve">/л) объем поражения в легких может увеличиваться на фоне улучшения клинического состояния </w:t>
      </w:r>
      <w:r>
        <w:t>пациента</w:t>
      </w:r>
      <w:r w:rsidRPr="00DA2BC8">
        <w:t>. Модификацию противогрибковой терапии не проводят.</w:t>
      </w:r>
    </w:p>
    <w:p w14:paraId="08D5C66E" w14:textId="77777777" w:rsidR="00C466A6" w:rsidRPr="00DA2BC8" w:rsidRDefault="00C466A6" w:rsidP="00C466A6">
      <w:pPr>
        <w:widowControl w:val="0"/>
        <w:autoSpaceDE w:val="0"/>
        <w:autoSpaceDN w:val="0"/>
        <w:adjustRightInd w:val="0"/>
        <w:ind w:right="50" w:firstLine="709"/>
        <w:contextualSpacing/>
      </w:pPr>
      <w:r w:rsidRPr="00DA2BC8">
        <w:t xml:space="preserve">Радиологические проявления, характерные для инвазивного аспергиллеза, могут быть при инфекции, вызванной другими микроорганизмами, или при иных патологических состояниях. Это следует учитывать, особенно когда диагноз инвазивного аспергиллеза установлен только на основании данных радиологического исследования без микологического подтверждения. </w:t>
      </w:r>
    </w:p>
    <w:p w14:paraId="0C2A29BA" w14:textId="77777777" w:rsidR="00C466A6" w:rsidRPr="00EB3571" w:rsidRDefault="00C466A6" w:rsidP="00C466A6">
      <w:pPr>
        <w:widowControl w:val="0"/>
        <w:autoSpaceDE w:val="0"/>
        <w:autoSpaceDN w:val="0"/>
        <w:adjustRightInd w:val="0"/>
        <w:ind w:right="50" w:firstLine="709"/>
        <w:contextualSpacing/>
        <w:rPr>
          <w:i/>
        </w:rPr>
      </w:pPr>
      <w:r w:rsidRPr="00EB3571">
        <w:rPr>
          <w:i/>
          <w:u w:val="single"/>
        </w:rPr>
        <w:t xml:space="preserve">Лечение инвазивного аспергиллеза </w:t>
      </w:r>
    </w:p>
    <w:p w14:paraId="488F8E26" w14:textId="77777777" w:rsidR="00C466A6" w:rsidRPr="00DA2BC8" w:rsidRDefault="00C466A6" w:rsidP="00C466A6">
      <w:pPr>
        <w:widowControl w:val="0"/>
        <w:autoSpaceDE w:val="0"/>
        <w:autoSpaceDN w:val="0"/>
        <w:adjustRightInd w:val="0"/>
        <w:ind w:right="50" w:firstLine="709"/>
        <w:contextualSpacing/>
      </w:pPr>
      <w:r w:rsidRPr="00DA2BC8">
        <w:t>Основными принципами эффективной терапии инвазивного аспергиллеза являются своевременная диагностика; незамедлительное назначение антимикотиков при подозрении на инвазивный аспергиллез; назначение эффективных препаратов на первом этапе лечения.</w:t>
      </w:r>
    </w:p>
    <w:p w14:paraId="464D2FE1" w14:textId="77777777" w:rsidR="00C466A6" w:rsidRPr="00DA2BC8" w:rsidRDefault="00C466A6" w:rsidP="00C466A6">
      <w:pPr>
        <w:widowControl w:val="0"/>
        <w:tabs>
          <w:tab w:val="left" w:pos="317"/>
        </w:tabs>
        <w:autoSpaceDE w:val="0"/>
        <w:autoSpaceDN w:val="0"/>
        <w:adjustRightInd w:val="0"/>
        <w:ind w:right="50" w:firstLine="709"/>
        <w:contextualSpacing/>
      </w:pPr>
      <w:r w:rsidRPr="00DA2BC8">
        <w:rPr>
          <w:bCs/>
        </w:rPr>
        <w:t>Препаратами выбора являются</w:t>
      </w:r>
      <w:r w:rsidRPr="00DA2BC8">
        <w:rPr>
          <w:b/>
          <w:bCs/>
        </w:rPr>
        <w:t xml:space="preserve"> </w:t>
      </w:r>
      <w:r w:rsidRPr="00DA2BC8">
        <w:t xml:space="preserve">вориконазол (в 1-й первый день по 6 мг/кг внутривенно 2 раза в сутки, в последующие дни по 4 мг/кг внутривенно 2 раза в сутки, с переходом в дальнейшем на пероральную форму по 200 мг 2 раза в сутки, у больных с высокой массой тела пероральная доза составляет 8 мг/кг, максимально - по 300 мг х 2 раза, прием натощак или через 1 час после еды), изавуконазол по 200 мг каждые 8 час в течение </w:t>
      </w:r>
      <w:r>
        <w:lastRenderedPageBreak/>
        <w:t xml:space="preserve">2 дней, далее по </w:t>
      </w:r>
      <w:r w:rsidRPr="00DA2BC8">
        <w:t>200 мг 1 раз в сутки внутривенно или перорально [</w:t>
      </w:r>
      <w:r w:rsidRPr="00EC3182">
        <w:t>6</w:t>
      </w:r>
      <w:r w:rsidRPr="00DA2BC8">
        <w:t xml:space="preserve">]. Изавуконазол в сравнении с вориконазолом имеет достоверно ниже токсичность, разрешен больным с отклонениями в функции печени, проявляет активность не только против </w:t>
      </w:r>
      <w:r w:rsidRPr="00DA2BC8">
        <w:rPr>
          <w:i/>
        </w:rPr>
        <w:t>Aspergillus</w:t>
      </w:r>
      <w:r w:rsidRPr="00DA2BC8">
        <w:t xml:space="preserve">, но и грибов рода </w:t>
      </w:r>
      <w:r w:rsidRPr="00DA2BC8">
        <w:rPr>
          <w:i/>
        </w:rPr>
        <w:t>Mucorales</w:t>
      </w:r>
      <w:r w:rsidRPr="00DA2BC8">
        <w:t xml:space="preserve">. Больным печеночными порфириями не назначают азолы, для лечения используют эхинокандин. </w:t>
      </w:r>
      <w:r w:rsidRPr="00DA2BC8">
        <w:rPr>
          <w:bCs/>
        </w:rPr>
        <w:t xml:space="preserve">Альтернативные антимикотики для лечения инвазивного аспергиллеза легких - </w:t>
      </w:r>
      <w:r w:rsidRPr="00DA2BC8">
        <w:t>липидный комплекс амфотерицина В (5 мг/кг/сутки внутривенно), липосомальный амфотерициин В (3 мг/кг/сутки), каспофунгин (в 1-й день 70 мг, затем 50 мг внутривенно 1 раз в сутки), микафунгин (100 мг 1 раз в сутки внутривенно). Лечение амфотерицином В инвазивного аспергиллеза легких не показано.</w:t>
      </w:r>
    </w:p>
    <w:p w14:paraId="1A32B00B" w14:textId="77777777" w:rsidR="00C466A6" w:rsidRPr="00DA2BC8" w:rsidRDefault="00C466A6" w:rsidP="00C466A6">
      <w:pPr>
        <w:widowControl w:val="0"/>
        <w:tabs>
          <w:tab w:val="left" w:pos="317"/>
        </w:tabs>
        <w:autoSpaceDE w:val="0"/>
        <w:autoSpaceDN w:val="0"/>
        <w:adjustRightInd w:val="0"/>
        <w:ind w:right="50" w:firstLine="709"/>
        <w:contextualSpacing/>
      </w:pPr>
      <w:r w:rsidRPr="00DA2BC8">
        <w:rPr>
          <w:iCs/>
        </w:rPr>
        <w:t>Не используют сочетание противогрибковых препаратов в качестве терапии первой линии инвазивного аспергиллеза.</w:t>
      </w:r>
    </w:p>
    <w:p w14:paraId="25985FA7" w14:textId="77777777" w:rsidR="00C466A6" w:rsidRPr="00DA2BC8" w:rsidRDefault="00C466A6" w:rsidP="00C466A6">
      <w:pPr>
        <w:widowControl w:val="0"/>
        <w:autoSpaceDE w:val="0"/>
        <w:autoSpaceDN w:val="0"/>
        <w:adjustRightInd w:val="0"/>
        <w:ind w:right="50" w:firstLine="709"/>
        <w:contextualSpacing/>
        <w:rPr>
          <w:bCs/>
        </w:rPr>
      </w:pPr>
      <w:r w:rsidRPr="00DA2BC8">
        <w:rPr>
          <w:bCs/>
        </w:rPr>
        <w:t xml:space="preserve">Хирургическое лечение инвазивного аспергиллеза легких включает удаление очага, который </w:t>
      </w:r>
      <w:r w:rsidRPr="00DA2BC8">
        <w:t>расположен около крупных сосудов или перикарда, или в наличии активное кровохарканье из отдельного очага, или инвазия в плевральную полость/ребра.</w:t>
      </w:r>
    </w:p>
    <w:p w14:paraId="619A5259" w14:textId="77777777" w:rsidR="00C466A6" w:rsidRPr="00DA2BC8" w:rsidRDefault="00C466A6" w:rsidP="00C466A6">
      <w:pPr>
        <w:widowControl w:val="0"/>
        <w:autoSpaceDE w:val="0"/>
        <w:autoSpaceDN w:val="0"/>
        <w:adjustRightInd w:val="0"/>
        <w:ind w:right="50" w:firstLine="709"/>
        <w:contextualSpacing/>
      </w:pPr>
      <w:r w:rsidRPr="00DA2BC8">
        <w:rPr>
          <w:bCs/>
        </w:rPr>
        <w:t xml:space="preserve">Применение противогрибковых препаратов длительное и </w:t>
      </w:r>
      <w:r w:rsidRPr="00DA2BC8">
        <w:t>составляет не менее 6-12 недель. Критерием для отмены антимиоктиков является регрессия очагов в легких. Отрицательные результаты определения галактоманнана в сыворотке крови или в жидкости БАЛ в процессе лечения не являются основанием для прекращения противогрибковой терапии.</w:t>
      </w:r>
    </w:p>
    <w:p w14:paraId="78560183" w14:textId="77777777" w:rsidR="00C466A6" w:rsidRPr="008F73A5" w:rsidRDefault="00C466A6" w:rsidP="00C466A6">
      <w:pPr>
        <w:widowControl w:val="0"/>
        <w:autoSpaceDE w:val="0"/>
        <w:autoSpaceDN w:val="0"/>
        <w:adjustRightInd w:val="0"/>
        <w:ind w:right="50" w:firstLine="709"/>
        <w:contextualSpacing/>
        <w:rPr>
          <w:b/>
          <w:bCs/>
        </w:rPr>
      </w:pPr>
      <w:r w:rsidRPr="008F73A5">
        <w:rPr>
          <w:b/>
          <w:bCs/>
        </w:rPr>
        <w:t>Инвазивный аспергиллезный риносинусит</w:t>
      </w:r>
    </w:p>
    <w:p w14:paraId="1684EEFC" w14:textId="77777777" w:rsidR="00C466A6" w:rsidRPr="00DA2BC8" w:rsidRDefault="00C466A6" w:rsidP="00C466A6">
      <w:pPr>
        <w:widowControl w:val="0"/>
        <w:autoSpaceDE w:val="0"/>
        <w:autoSpaceDN w:val="0"/>
        <w:adjustRightInd w:val="0"/>
        <w:ind w:right="50" w:firstLine="709"/>
        <w:contextualSpacing/>
      </w:pPr>
      <w:r w:rsidRPr="00EB3571">
        <w:rPr>
          <w:i/>
          <w:iCs/>
          <w:u w:val="single"/>
        </w:rPr>
        <w:t>Симптомы</w:t>
      </w:r>
      <w:r w:rsidRPr="00DA2BC8">
        <w:rPr>
          <w:bCs/>
        </w:rPr>
        <w:t xml:space="preserve"> включают </w:t>
      </w:r>
      <w:r w:rsidRPr="00DA2BC8">
        <w:t xml:space="preserve">затруднение носового дыхания, выраженную локальную боль в области пораженной околоносовой пазухи, периорбитальный отек на стороне поражения, асимметрию лица. </w:t>
      </w:r>
      <w:r>
        <w:t>При осмотре оториноларинголом н</w:t>
      </w:r>
      <w:r w:rsidRPr="00DA2BC8">
        <w:t>а слизистой оболочке нижней стенки и/или перегородки носового хода определяют некроз или изъязвления. В дальнейшем возникает деструкция мягкого и твердого неба, деструкция костей лицевой части черепа.</w:t>
      </w:r>
    </w:p>
    <w:p w14:paraId="04D0FEB6" w14:textId="77777777" w:rsidR="00C466A6" w:rsidRDefault="00C466A6" w:rsidP="00C466A6">
      <w:pPr>
        <w:widowControl w:val="0"/>
        <w:autoSpaceDE w:val="0"/>
        <w:autoSpaceDN w:val="0"/>
        <w:adjustRightInd w:val="0"/>
        <w:ind w:right="50" w:firstLine="709"/>
        <w:contextualSpacing/>
      </w:pPr>
      <w:r w:rsidRPr="00EB3571">
        <w:rPr>
          <w:i/>
          <w:iCs/>
          <w:u w:val="single"/>
        </w:rPr>
        <w:t>Диагноз аспергиллезного риносинусита</w:t>
      </w:r>
      <w:r w:rsidRPr="00DA2BC8">
        <w:rPr>
          <w:b/>
          <w:bCs/>
        </w:rPr>
        <w:t xml:space="preserve"> </w:t>
      </w:r>
      <w:r w:rsidRPr="00DA2BC8">
        <w:rPr>
          <w:bCs/>
        </w:rPr>
        <w:t>устанавливают на основании</w:t>
      </w:r>
      <w:r w:rsidRPr="00DA2BC8">
        <w:rPr>
          <w:b/>
          <w:bCs/>
        </w:rPr>
        <w:t xml:space="preserve"> </w:t>
      </w:r>
      <w:r w:rsidRPr="00DA2BC8">
        <w:t>радиологических призна</w:t>
      </w:r>
      <w:r>
        <w:t>ков (МРТ носоротоглотки)</w:t>
      </w:r>
      <w:r w:rsidRPr="00DA2BC8">
        <w:t xml:space="preserve"> и выделения культуры </w:t>
      </w:r>
      <w:r w:rsidRPr="00DA2BC8">
        <w:rPr>
          <w:i/>
          <w:iCs/>
        </w:rPr>
        <w:t xml:space="preserve">Aspergillus </w:t>
      </w:r>
      <w:r w:rsidRPr="00DA2BC8">
        <w:t>spp. из биоптата некротизированной слизистой оболочки носа или аспирата придаточных пазух носа либо обнаружение мицелия грибов при гистологическом или цитологическом исследовании биоптата (аспирата).</w:t>
      </w:r>
    </w:p>
    <w:p w14:paraId="60C83254" w14:textId="77777777" w:rsidR="00C466A6" w:rsidRPr="00DA2BC8" w:rsidRDefault="00C466A6" w:rsidP="00C466A6">
      <w:pPr>
        <w:widowControl w:val="0"/>
        <w:autoSpaceDE w:val="0"/>
        <w:autoSpaceDN w:val="0"/>
        <w:adjustRightInd w:val="0"/>
        <w:ind w:right="50" w:firstLine="709"/>
        <w:contextualSpacing/>
      </w:pPr>
      <w:r w:rsidRPr="00EB3571">
        <w:rPr>
          <w:i/>
          <w:iCs/>
          <w:u w:val="single"/>
        </w:rPr>
        <w:t>Для лечения</w:t>
      </w:r>
      <w:r w:rsidRPr="00DA2BC8">
        <w:rPr>
          <w:b/>
          <w:bCs/>
        </w:rPr>
        <w:t xml:space="preserve"> </w:t>
      </w:r>
      <w:r w:rsidRPr="00DA2BC8">
        <w:t>используют те же препараты, что при инвазивном аспергиллезе легких.</w:t>
      </w:r>
    </w:p>
    <w:p w14:paraId="7B3FB2C7" w14:textId="77777777" w:rsidR="00C466A6" w:rsidRPr="001828E6" w:rsidRDefault="00C466A6" w:rsidP="00C466A6">
      <w:pPr>
        <w:widowControl w:val="0"/>
        <w:autoSpaceDE w:val="0"/>
        <w:autoSpaceDN w:val="0"/>
        <w:adjustRightInd w:val="0"/>
        <w:ind w:right="50" w:firstLine="709"/>
        <w:contextualSpacing/>
        <w:rPr>
          <w:b/>
          <w:bCs/>
        </w:rPr>
      </w:pPr>
      <w:r w:rsidRPr="001828E6">
        <w:rPr>
          <w:b/>
          <w:bCs/>
        </w:rPr>
        <w:t xml:space="preserve">Резистентный инвазивный аспергиллез </w:t>
      </w:r>
    </w:p>
    <w:p w14:paraId="55BA7C92" w14:textId="77777777" w:rsidR="00C466A6" w:rsidRPr="00DA2BC8" w:rsidRDefault="00C466A6" w:rsidP="00C466A6">
      <w:pPr>
        <w:widowControl w:val="0"/>
        <w:autoSpaceDE w:val="0"/>
        <w:autoSpaceDN w:val="0"/>
        <w:adjustRightInd w:val="0"/>
        <w:ind w:right="50" w:firstLine="709"/>
        <w:contextualSpacing/>
      </w:pPr>
      <w:r w:rsidRPr="00DA2BC8">
        <w:rPr>
          <w:bCs/>
        </w:rPr>
        <w:t>В критерии резистентного течения входят</w:t>
      </w:r>
      <w:r w:rsidRPr="00DA2BC8">
        <w:rPr>
          <w:b/>
          <w:bCs/>
        </w:rPr>
        <w:t xml:space="preserve"> </w:t>
      </w:r>
      <w:r w:rsidRPr="00DA2BC8">
        <w:t>сохранение клинических признаков инфекции и отрицательная динамика в легких по данным КТВР не ранее чем через 7-14 дней от начала лечения.</w:t>
      </w:r>
    </w:p>
    <w:p w14:paraId="6E49C5AD" w14:textId="77777777" w:rsidR="00C466A6" w:rsidRPr="00DA2BC8" w:rsidRDefault="00C466A6" w:rsidP="00C466A6">
      <w:pPr>
        <w:widowControl w:val="0"/>
        <w:autoSpaceDE w:val="0"/>
        <w:autoSpaceDN w:val="0"/>
        <w:adjustRightInd w:val="0"/>
        <w:ind w:right="50" w:firstLine="709"/>
        <w:contextualSpacing/>
        <w:rPr>
          <w:b/>
          <w:bCs/>
          <w:i/>
          <w:iCs/>
        </w:rPr>
      </w:pPr>
      <w:r w:rsidRPr="00DA2BC8">
        <w:rPr>
          <w:bCs/>
          <w:iCs/>
        </w:rPr>
        <w:lastRenderedPageBreak/>
        <w:t>Проводят модификацию противогрибковой терапии, которая включает</w:t>
      </w:r>
      <w:r w:rsidRPr="00DA2BC8">
        <w:rPr>
          <w:b/>
          <w:bCs/>
          <w:i/>
          <w:iCs/>
        </w:rPr>
        <w:t xml:space="preserve"> </w:t>
      </w:r>
      <w:r w:rsidRPr="00DA2BC8">
        <w:t>добавление второго антимикотика к ранее назначенному (например, к вориконазолу добавляют эхинокандин), или назначают противогрибковый препарат другой группы, отменяя препарат первой линии (назначение липидного комплекса амфотерицина В 5 мг/кг/сутки или липосомального амфотерицина В 5 мг/кг/сутки).</w:t>
      </w:r>
    </w:p>
    <w:p w14:paraId="1F31797B" w14:textId="77777777" w:rsidR="00C466A6" w:rsidRPr="00047807" w:rsidRDefault="00C466A6" w:rsidP="00C466A6">
      <w:pPr>
        <w:widowControl w:val="0"/>
        <w:autoSpaceDE w:val="0"/>
        <w:autoSpaceDN w:val="0"/>
        <w:adjustRightInd w:val="0"/>
        <w:ind w:right="50" w:firstLine="709"/>
        <w:contextualSpacing/>
        <w:rPr>
          <w:b/>
          <w:bCs/>
        </w:rPr>
      </w:pPr>
      <w:r w:rsidRPr="00047807">
        <w:rPr>
          <w:b/>
          <w:bCs/>
        </w:rPr>
        <w:t>Инвазивный аспергиллез ЦНС</w:t>
      </w:r>
    </w:p>
    <w:p w14:paraId="480E326F" w14:textId="77777777" w:rsidR="00C466A6" w:rsidRPr="00DA2BC8" w:rsidRDefault="00C466A6" w:rsidP="00C466A6">
      <w:pPr>
        <w:widowControl w:val="0"/>
        <w:autoSpaceDE w:val="0"/>
        <w:autoSpaceDN w:val="0"/>
        <w:adjustRightInd w:val="0"/>
        <w:ind w:right="50" w:firstLine="709"/>
        <w:contextualSpacing/>
        <w:rPr>
          <w:bCs/>
        </w:rPr>
      </w:pPr>
      <w:r w:rsidRPr="00DA2BC8">
        <w:t xml:space="preserve">Поражение аспергиллами ЦНС происходит в результате диссеминации - гематогенной или из соседнего органа (инвазия грибов из околоносовых пазух). </w:t>
      </w:r>
      <w:r w:rsidRPr="00DA2BC8">
        <w:rPr>
          <w:bCs/>
        </w:rPr>
        <w:t xml:space="preserve">В критерии диагностики входят </w:t>
      </w:r>
      <w:r w:rsidRPr="00DA2BC8">
        <w:t xml:space="preserve">неврологические симптомы, выявление очагов в головном мозге при </w:t>
      </w:r>
      <w:r>
        <w:t>КТ/СКТ</w:t>
      </w:r>
      <w:r w:rsidRPr="00DA2BC8">
        <w:t xml:space="preserve"> или МРТ</w:t>
      </w:r>
      <w:r>
        <w:t xml:space="preserve"> (по показаниям с контрастированием)</w:t>
      </w:r>
      <w:r w:rsidRPr="00DA2BC8">
        <w:t>;</w:t>
      </w:r>
      <w:r w:rsidRPr="00DA2BC8">
        <w:rPr>
          <w:bCs/>
        </w:rPr>
        <w:t xml:space="preserve"> </w:t>
      </w:r>
      <w:r w:rsidRPr="00DA2BC8">
        <w:t xml:space="preserve">наличие первичного очага инвазии аспергиллами в легких или околоносовых пазухах. В части случаев может быть определен положительный антиген </w:t>
      </w:r>
      <w:r w:rsidRPr="00DA2BC8">
        <w:rPr>
          <w:i/>
          <w:iCs/>
        </w:rPr>
        <w:t>Aspergillus</w:t>
      </w:r>
      <w:r w:rsidRPr="00DA2BC8">
        <w:t xml:space="preserve"> (галактоманнана) в СМЖ (индекс оптической плотности ≥1</w:t>
      </w:r>
      <w:r>
        <w:t>)</w:t>
      </w:r>
      <w:r w:rsidRPr="00EC3182">
        <w:t>.</w:t>
      </w:r>
      <w:r w:rsidRPr="00DA2BC8">
        <w:rPr>
          <w:b/>
          <w:bCs/>
          <w:i/>
          <w:iCs/>
        </w:rPr>
        <w:t xml:space="preserve"> </w:t>
      </w:r>
      <w:r w:rsidRPr="00DA2BC8">
        <w:t>Препарат выбора для лечения инвазивного аспергиллеза ЦНС – липосомальный амфотерицин В (5-10 мг/кг/сутки) или липидный комплекс амфотерицина В (5 мг/кг /сутки); альтернативный – вориконазол (дозы как при лечении инвазивного аспергиллеза легких) или изавуконазол.</w:t>
      </w:r>
      <w:r w:rsidRPr="00DA2BC8">
        <w:rPr>
          <w:b/>
          <w:bCs/>
        </w:rPr>
        <w:t xml:space="preserve"> </w:t>
      </w:r>
      <w:r w:rsidRPr="00DA2BC8">
        <w:rPr>
          <w:bCs/>
        </w:rPr>
        <w:t xml:space="preserve">Если лечение проводили липидной формой амфотерицина В, то после стабилизации состояния, но не ранее чем через 2 недели, можно перейти на пероральный прием азолов (вориконазол, изавуконазол, позаконазол). </w:t>
      </w:r>
      <w:r w:rsidRPr="00DA2BC8">
        <w:t>Противогрибковые препараты, включая амфотерицин В, интратекально или в очаг поражения не вводят.</w:t>
      </w:r>
      <w:r w:rsidRPr="00DA2BC8">
        <w:rPr>
          <w:bCs/>
        </w:rPr>
        <w:t xml:space="preserve"> Хирургическое лечение</w:t>
      </w:r>
      <w:r w:rsidRPr="00DA2BC8">
        <w:t xml:space="preserve"> заключается в резекции очага в головном мозге, которую проводят при условии, что не будет усугубления неврологических нарушений. Лечение длительное, составляет несколько месяцев.</w:t>
      </w:r>
    </w:p>
    <w:p w14:paraId="38BCED9E" w14:textId="77777777" w:rsidR="00EB3571" w:rsidRDefault="00EB3571" w:rsidP="00EB3571">
      <w:pPr>
        <w:widowControl w:val="0"/>
        <w:autoSpaceDE w:val="0"/>
        <w:autoSpaceDN w:val="0"/>
        <w:adjustRightInd w:val="0"/>
        <w:ind w:right="50"/>
        <w:contextualSpacing/>
        <w:rPr>
          <w:b/>
          <w:bCs/>
        </w:rPr>
      </w:pPr>
    </w:p>
    <w:p w14:paraId="63B1A27D" w14:textId="141DD16A" w:rsidR="00C466A6" w:rsidRPr="00084B8B" w:rsidRDefault="00686506" w:rsidP="00EB3571">
      <w:pPr>
        <w:widowControl w:val="0"/>
        <w:autoSpaceDE w:val="0"/>
        <w:autoSpaceDN w:val="0"/>
        <w:adjustRightInd w:val="0"/>
        <w:ind w:right="49"/>
        <w:contextualSpacing/>
        <w:rPr>
          <w:bCs/>
          <w:u w:val="single"/>
        </w:rPr>
      </w:pPr>
      <w:r>
        <w:rPr>
          <w:bCs/>
          <w:u w:val="single"/>
        </w:rPr>
        <w:t xml:space="preserve">7.6.6. </w:t>
      </w:r>
      <w:r w:rsidR="00C466A6" w:rsidRPr="00EB3571">
        <w:rPr>
          <w:bCs/>
          <w:u w:val="single"/>
        </w:rPr>
        <w:t>Диагностика и лечение мукормикоза</w:t>
      </w:r>
      <w:r w:rsidR="00084B8B">
        <w:rPr>
          <w:bCs/>
          <w:u w:val="single"/>
          <w:lang w:val="en-US"/>
        </w:rPr>
        <w:t xml:space="preserve"> </w:t>
      </w:r>
      <w:r w:rsidR="00084B8B">
        <w:rPr>
          <w:b/>
        </w:rPr>
        <w:fldChar w:fldCharType="begin" w:fldLock="1"/>
      </w:r>
      <w:r w:rsidR="0029367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patients","type":"article-journal","volume":"102"},"uris":["http://www.mendeley.com/documents/?uuid=56063fed-25f6-3324-a2f1-f316166613f0"]},{"id":"ITEM-5","itemData":{"DOI":"10.1016/S1473-3099(19)30312-3","ISSN":"14744457","PMID":"31699664","abstract":"Mucormycosis is a difficult to diagnose rare disease with high morbidity and mortality. Diagnosis is often delayed, and disease tends to progress rapidly. Urgent surgical and medical intervention is lifesaving. Guidance on the complex multidisciplinary management has potential to improve prognosis, but approaches differ between health-care settings. From January, 2018, authors from 33 countries in all United Nations regions analysed the published evidence on mucormycosis management and provided consensus recommendations addressing differences between the regions of the world as part of the “One World One Guideline” initiative of the European Confederation of Medical Mycology (ECMM). Diagnostic management does not differ greatly between world regions. Upon suspicion of mucormycosis appropriate imaging is strongly recommended to document extent of disease and is followed by strongly recommended surgical intervention. First-line treatment with high-dose liposomal amphotericin B is strongly recommended, while intravenous isavuconazole and intravenous or delayed release tablet posaconazole are recommended with moderate strength. Both triazoles are strongly recommended salvage treatments. Amphotericin B deoxycholate is recommended against, because of substantial toxicity, but may be the only option in resource limited settings. Management of mucormycosis depends on recognising disease patterns and on early diagnosis. Limited availability of contemporary treatments burdens patients in low and middle income settings. Areas of uncertainty were identified and future research directions specified.","author":[{"dropping-particle":"","family":"Cornely","given":"Oliver A.","non-dropping-particle":"","parse-names":false,"suffix":""},{"dropping-particle":"","family":"Alastruey-Izquierdo","given":"Ana","non-dropping-particle":"","parse-names":false,"suffix":""},{"dropping-particle":"","family":"Arenz","given":"Dorothee","non-dropping-particle":"","parse-names":false,"suffix":""},{"dropping-particle":"","family":"Chen","given":"Sharon C.A.","non-dropping-particle":"","parse-names":false,"suffix":""},{"dropping-particle":"","family":"Dannaoui","given":"Eric","non-dropping-particle":"","parse-names":false,"suffix":""},{"dropping-particle":"","family":"Hochhegger","given":"Bruno","non-dropping-particle":"","parse-names":false,"suffix":""},{"dropping-particle":"","family":"Hoenigl","given":"Martin","non-dropping-particle":"","parse-names":false,"suffix":""},{"dropping-particle":"","family":"Jensen","given":"Henrik E.","non-dropping-particle":"","parse-names":false,"suffix":""},{"dropping-particle":"","family":"Lagrou","given":"Katrien","non-dropping-particle":"","parse-names":false,"suffix":""},{"dropping-particle":"","family":"Lewis","given":"Russell E.","non-dropping-particle":"","parse-names":false,"suffix":""},{"dropping-particle":"","family":"Mellinghoff","given":"Sibylle C.","non-dropping-particle":"","parse-names":false,"suffix":""},{"dropping-particle":"","family":"Mer","given":"Mervyn","non-dropping-particle":"","parse-names":false,"suffix":""},{"dropping-particle":"","family":"Pana","given":"Zoi D.","non-dropping-particle":"","parse-names":false,"suffix":""},{"dropping-particle":"","family":"Seidel","given":"Danila","non-dropping-particle":"","parse-names":false,"suffix":""},{"dropping-particle":"","family":"Sheppard","given":"Donald C.","non-dropping-particle":"","parse-names":false,"suffix":""},{"dropping-particle":"","family":"Wahba","given":"Roger","non-dropping-particle":"","parse-names":false,"suffix":""},{"dropping-particle":"","family":"Akova","given":"Murat","non-dropping-particle":"","parse-names":false,"suffix":""},{"dropping-particle":"","family":"Alanio","given":"Alexandre","non-dropping-particle":"","parse-names":false,"suffix":""},{"dropping-particle":"","family":"Al-Hatmi","given":"Abdullah M.S.","non-dropping-particle":"","parse-names":false,"suffix":""},{"dropping-particle":"","family":"Arikan-Akdagli","given":"Sevtap","non-dropping-particle":"","parse-names":false,"suffix":""},{"dropping-particle":"","family":"Badali","given":"Hamid","non-dropping-particle":"","parse-names":false,"suffix":""},{"dropping-particle":"","family":"Ben-Ami","given":"Ronen","non-dropping-particle":"","parse-names":false,"suffix":""},{"dropping-particle":"","family":"Bonifaz","given":"Alexandro","non-dropping-particle":"","parse-names":false,"suffix":""},{"dropping-particle":"","family":"Bretagne","given":"Stéphane","non-dropping-particle":"","parse-names":false,"suffix":""},{"dropping-particle":"","family":"Castagnola","given":"Elio","non-dropping-particle":"","parse-names":false,"suffix":""},{"dropping-particle":"","family":"Chayakulkeeree","given":"Methee","non-dropping-particle":"","parse-names":false,"suffix":""},{"dropping-particle":"","family":"Colombo","given":"Arnaldo L.","non-dropping-particle":"","parse-names":false,"suffix":""},{"dropping-particle":"","family":"Corzo-León","given":"Dora E.","non-dropping-particle":"","parse-names":false,"suffix":""},{"dropping-particle":"","family":"Drgona","given":"Lubos","non-dropping-particle":"","parse-names":false,"suffix":""},{"dropping-particle":"","family":"Groll","given":"Andreas H.","non-dropping-particle":"","parse-names":false,"suffix":""},{"dropping-particle":"","family":"Guinea","given":"Jesus","non-dropping-particle":"","parse-names":false,"suffix":""},{"dropping-particle":"","family":"Heussel","given":"Claus Peter","non-dropping-particle":"","parse-names":false,"suffix":""},{"dropping-particle":"","family":"Ibrahim","given":"Ashraf S.","non-dropping-particle":"","parse-names":false,"suffix":""},{"dropping-particle":"","family":"Kanj","given":"Souha S.","non-dropping-particle":"","parse-names":false,"suffix":""},{"dropping-particle":"","family":"Klimko","given":"Nikolay","non-dropping-particle":"","parse-names":false,"suffix":""},{"dropping-particle":"","family":"Lackner","given":"Michaela","non-dropping-particle":"","parse-names":false,"suffix":""},{"dropping-particle":"","family":"Lamoth","given":"Frederic","non-dropping-particle":"","parse-names":false,"suffix":""},{"dropping-particle":"","family":"Lanternier","given":"Fanny","non-dropping-particle":"","parse-names":false,"suffix":""},{"dropping-particle":"","family":"Lass-Floerl","given":"Cornelia","non-dropping-particle":"","parse-names":false,"suffix":""},{"dropping-particle":"","family":"Lee","given":"Dong Gun","non-dropping-particle":"","parse-names":false,"suffix":""},{"dropping-particle":"","family":"Lehrnbecher","given":"Thomas","non-dropping-particle":"","parse-names":false,"suffix":""},{"dropping-particle":"","family":"Lmimouni","given":"Badre E.","non-dropping-particle":"","parse-names":false,"suffix":""},{"dropping-particle":"","family":"Mares","given":"Mihai","non-dropping-particle":"","parse-names":false,"suffix":""},{"dropping-particle":"","family":"Maschmeyer","given":"Georg","non-dropping-particle":"","parse-names":false,"suffix":""},{"dropping-particle":"","family":"Meis","given":"Jacques F.","non-dropping-particle":"","parse-names":false,"suffix":""},{"dropping-particle":"","family":"Meletiadis","given":"Joseph","non-dropping-particle":"","parse-names":false,"suffix":""},{"dropping-particle":"","family":"Morrissey","given":"C. Orla","non-dropping-particle":"","parse-names":false,"suffix":""},{"dropping-particle":"","family":"Nucci","given":"Marcio","non-dropping-particle":"","parse-names":false,"suffix":""},{"dropping-particle":"","family":"Oladele","given":"Rita","non-dropping-particle":"","parse-names":false,"suffix":""},{"dropping-particle":"","family":"Pagano","given":"Livio","non-dropping-particle":"","parse-names":false,"suffix":""},{"dropping-particle":"","family":"Pasqualotto","given":"Alessandro","non-dropping-particle":"","parse-names":false,"suffix":""},{"dropping-particle":"","family":"Patel","given":"Atul","non-dropping-particle":"","parse-names":false,"suffix":""},{"dropping-particle":"","family":"Racil","given":"Zdenek","non-dropping-particle":"","parse-names":false,"suffix":""},{"dropping-particle":"","family":"Richardson","given":"Malcolm","non-dropping-particle":"","parse-names":false,"suffix":""},{"dropping-particle":"","family":"Roilides","given":"Emmanuel","non-dropping-particle":"","parse-names":false,"suffix":""},{"dropping-particle":"","family":"Ruhnke","given":"Markus","non-dropping-particle":"","parse-names":false,"suffix":""},{"dropping-particle":"","family":"Seyedmousavi","given":"Seyedmojtaba","non-dropping-particle":"","parse-names":false,"suffix":""},{"dropping-particle":"","family":"Sidharthan","given":"Neeraj","non-dropping-particle":"","parse-names":false,"suffix":""},{"dropping-particle":"","family":"Singh","given":"Nina","non-dropping-particle":"","parse-names":false,"suffix":""},{"dropping-particle":"","family":"Sinko","given":"János","non-dropping-particle":"","parse-names":false,"suffix":""},{"dropping-particle":"","family":"Skiada","given":"Anna","non-dropping-particle":"","parse-names":false,"suffix":""},{"dropping-particle":"","family":"Slavin","given":"Monica","non-dropping-particle":"","parse-names":false,"suffix":""},{"dropping-particle":"","family":"Soman","given":"Rajeev","non-dropping-particle":"","parse-names":false,"suffix":""},{"dropping-particle":"","family":"Spellberg","given":"Brad","non-dropping-particle":"","parse-names":false,"suffix":""},{"dropping-particle":"","family":"Steinbach","given":"William","non-dropping-particle":"","parse-names":false,"suffix":""},{"dropping-particle":"","family":"Tan","given":"Ban Hock","non-dropping-particle":"","parse-names":false,"suffix":""},{"dropping-particle":"","family":"Ullmann","given":"Andrew J.","non-dropping-particle":"","parse-names":false,"suffix":""},{"dropping-particle":"","family":"Vehreschild","given":"Jörg J.","non-dropping-particle":"","parse-names":false,"suffix":""},{"dropping-particle":"","family":"Vehreschild","given":"Maria J.G.T.","non-dropping-particle":"","parse-names":false,"suffix":""},{"dropping-particle":"","family":"Walsh","given":"Thomas J.","non-dropping-particle":"","parse-names":false,"suffix":""},{"dropping-particle":"","family":"White","given":"P. Lewis","non-dropping-particle":"","parse-names":false,"suffix":""},{"dropping-particle":"","family":"Wiederhold","given":"Nathan P.","non-dropping-particle":"","parse-names":false,"suffix":""},{"dropping-particle":"","family":"Zaoutis","given":"Theoklis","non-dropping-particle":"","parse-names":false,"suffix":""},{"dropping-particle":"","family":"Chakrabarti","given":"Arunaloke","non-dropping-particle":"","parse-names":false,"suffix":""}],"container-title":"The Lancet Infectious Diseases","id":"ITEM-5","issue":"12","issued":{"date-parts":[["2019","12","1"]]},"page":"e405-e421","publisher":"Lancet Publishing Group","title":"Global guideline for the diagnosis and management of mucormycosis: an initiative of the European Confederation of Medical Mycology in cooperation with the Mycoses Study Group Education and Research Consortium","type":"article","volume":"19"},"uris":["http://www.mendeley.com/documents/?uuid=fc978cfc-9076-3684-a701-eca666f38a46"]}],"mendeley":{"formattedCitation":"[76,79,85,86,89]","plainTextFormattedCitation":"[76,79,85,86,89]","previouslyFormattedCitation":"[76,79,85,86,89]"},"properties":{"noteIndex":0},"schema":"https://github.com/citation-style-language/schema/raw/master/csl-citation.json"}</w:instrText>
      </w:r>
      <w:r w:rsidR="00084B8B">
        <w:rPr>
          <w:b/>
        </w:rPr>
        <w:fldChar w:fldCharType="separate"/>
      </w:r>
      <w:r w:rsidR="00FB256D" w:rsidRPr="00FB256D">
        <w:rPr>
          <w:noProof/>
        </w:rPr>
        <w:t>[76,79,85,86,89]</w:t>
      </w:r>
      <w:r w:rsidR="00084B8B">
        <w:rPr>
          <w:b/>
        </w:rPr>
        <w:fldChar w:fldCharType="end"/>
      </w:r>
    </w:p>
    <w:p w14:paraId="30B39145" w14:textId="60F0A400" w:rsidR="00C466A6" w:rsidRPr="00DA2BC8" w:rsidRDefault="00C466A6" w:rsidP="00C466A6">
      <w:pPr>
        <w:widowControl w:val="0"/>
        <w:autoSpaceDE w:val="0"/>
        <w:autoSpaceDN w:val="0"/>
        <w:adjustRightInd w:val="0"/>
        <w:ind w:right="50" w:firstLine="709"/>
        <w:contextualSpacing/>
      </w:pPr>
      <w:r w:rsidRPr="00DA2BC8">
        <w:t>Мукормикоз занимает вторую позицию после инвазивного аспергиллеза в спектре инвазивных микозо</w:t>
      </w:r>
      <w:r>
        <w:t>в, вызванных плесневыми грибами</w:t>
      </w:r>
      <w:r w:rsidRPr="00DA2BC8">
        <w:t xml:space="preserve"> у </w:t>
      </w:r>
      <w:r>
        <w:t>гематологических пациентов</w:t>
      </w:r>
      <w:r w:rsidRPr="00DA2BC8">
        <w:t xml:space="preserve">. Частота мукормикоза у </w:t>
      </w:r>
      <w:r>
        <w:t>гематологических пациентов</w:t>
      </w:r>
      <w:r w:rsidRPr="00DA2BC8">
        <w:t xml:space="preserve"> не превышает 0,5%, в структуре инвазивных микозов составляет </w:t>
      </w:r>
      <w:r>
        <w:t>3-5</w:t>
      </w:r>
      <w:r w:rsidRPr="00DA2BC8">
        <w:t xml:space="preserve">. Мукормикоз преобладает у больных острыми лейкозами и реципиентов аллогенных СГК, характеризуется агрессивным течением с преимущественным поражением легких, частой диссеминацией (25-40%), высокой летальностью (50—60%). </w:t>
      </w:r>
      <w:r w:rsidRPr="00DA2BC8">
        <w:rPr>
          <w:bCs/>
        </w:rPr>
        <w:t xml:space="preserve">Возбудители </w:t>
      </w:r>
      <w:r w:rsidRPr="00DA2BC8">
        <w:t xml:space="preserve">– мицелиальные грибы </w:t>
      </w:r>
      <w:r w:rsidRPr="00DA2BC8">
        <w:rPr>
          <w:i/>
          <w:iCs/>
        </w:rPr>
        <w:t>Mucorales</w:t>
      </w:r>
      <w:r w:rsidRPr="00DA2BC8">
        <w:t xml:space="preserve">, среди них наиболее часто инфекцию у человека вызывают </w:t>
      </w:r>
      <w:r w:rsidRPr="00DA2BC8">
        <w:rPr>
          <w:i/>
          <w:iCs/>
        </w:rPr>
        <w:t>Rhizopus</w:t>
      </w:r>
      <w:r w:rsidRPr="00DA2BC8">
        <w:t xml:space="preserve"> spp., </w:t>
      </w:r>
      <w:r w:rsidRPr="00DA2BC8">
        <w:rPr>
          <w:i/>
          <w:iCs/>
        </w:rPr>
        <w:t>Mucor</w:t>
      </w:r>
      <w:r w:rsidRPr="00DA2BC8">
        <w:t xml:space="preserve"> spp., </w:t>
      </w:r>
      <w:r w:rsidRPr="00DA2BC8">
        <w:rPr>
          <w:i/>
          <w:iCs/>
        </w:rPr>
        <w:t>Lichtheimia</w:t>
      </w:r>
      <w:r w:rsidRPr="00DA2BC8">
        <w:t xml:space="preserve"> (</w:t>
      </w:r>
      <w:r w:rsidRPr="00DA2BC8">
        <w:rPr>
          <w:i/>
          <w:iCs/>
        </w:rPr>
        <w:t>Absidia</w:t>
      </w:r>
      <w:r w:rsidRPr="00DA2BC8">
        <w:t xml:space="preserve">) spp., </w:t>
      </w:r>
      <w:r w:rsidRPr="00DA2BC8">
        <w:rPr>
          <w:i/>
          <w:iCs/>
        </w:rPr>
        <w:t>Cunninghamella</w:t>
      </w:r>
      <w:r w:rsidRPr="00DA2BC8">
        <w:t xml:space="preserve"> spp., </w:t>
      </w:r>
      <w:r w:rsidRPr="00DA2BC8">
        <w:rPr>
          <w:i/>
          <w:iCs/>
        </w:rPr>
        <w:t>Rhizomucor</w:t>
      </w:r>
      <w:r w:rsidRPr="00DA2BC8">
        <w:t xml:space="preserve"> spp., </w:t>
      </w:r>
      <w:r w:rsidRPr="00DA2BC8">
        <w:rPr>
          <w:i/>
          <w:iCs/>
        </w:rPr>
        <w:t>Apophysomyces</w:t>
      </w:r>
      <w:r w:rsidRPr="00DA2BC8">
        <w:t xml:space="preserve"> spp., </w:t>
      </w:r>
      <w:r w:rsidRPr="00DA2BC8">
        <w:rPr>
          <w:i/>
          <w:iCs/>
        </w:rPr>
        <w:t>Saksenaea</w:t>
      </w:r>
      <w:r w:rsidRPr="00DA2BC8">
        <w:t xml:space="preserve"> spp.</w:t>
      </w:r>
    </w:p>
    <w:p w14:paraId="73D8C134" w14:textId="77777777" w:rsidR="00C466A6" w:rsidRPr="00DA2BC8" w:rsidRDefault="00C466A6" w:rsidP="00C466A6">
      <w:pPr>
        <w:widowControl w:val="0"/>
        <w:autoSpaceDE w:val="0"/>
        <w:autoSpaceDN w:val="0"/>
        <w:adjustRightInd w:val="0"/>
        <w:ind w:right="50" w:firstLine="709"/>
        <w:contextualSpacing/>
      </w:pPr>
      <w:r w:rsidRPr="00686506">
        <w:rPr>
          <w:i/>
          <w:iCs/>
          <w:u w:val="single"/>
        </w:rPr>
        <w:t>Факторы риска</w:t>
      </w:r>
      <w:r w:rsidRPr="00DA2BC8">
        <w:t xml:space="preserve"> возникновения мукормикоза во многом схожи с таковыми для инвазивного аспергиллеза и включают длительную гранулоцитопению (нейтрофилов </w:t>
      </w:r>
      <w:r w:rsidRPr="00DA2BC8">
        <w:lastRenderedPageBreak/>
        <w:t>менее 0,5 × 10</w:t>
      </w:r>
      <w:r w:rsidRPr="00DA2BC8">
        <w:rPr>
          <w:vertAlign w:val="superscript"/>
        </w:rPr>
        <w:t>9</w:t>
      </w:r>
      <w:r w:rsidRPr="00DA2BC8">
        <w:t xml:space="preserve">/л), трансплантацию аллогенных СГК, отсутствие ремиссии гемобластоза, лечение глюкокортикостероидами и другими иммуносупрессивными препаратами. К дополнительным факторам риска, ассоциированным с развитием мукормикоза, относят сахарный диабет, тяжелые травмы и обширные ожоги. Следует отметить, что вориконазол не активен в отношении </w:t>
      </w:r>
      <w:r w:rsidRPr="00DA2BC8">
        <w:rPr>
          <w:i/>
          <w:iCs/>
        </w:rPr>
        <w:t>Mucorale</w:t>
      </w:r>
      <w:r w:rsidRPr="00DA2BC8">
        <w:t xml:space="preserve">s, и в период его применения может возникать мукормикоз. Важным компонентом метаболизма </w:t>
      </w:r>
      <w:r w:rsidRPr="00DA2BC8">
        <w:rPr>
          <w:i/>
          <w:iCs/>
        </w:rPr>
        <w:t xml:space="preserve">Mucorales </w:t>
      </w:r>
      <w:r w:rsidRPr="00DA2BC8">
        <w:t xml:space="preserve">является железо, поэтому </w:t>
      </w:r>
      <w:r>
        <w:t>пациентов</w:t>
      </w:r>
      <w:r w:rsidRPr="00DA2BC8">
        <w:t xml:space="preserve"> с гемосидерозом относят к группе высокого риска по возникновению мукормикоза, как и пациентов, получающих лечение дефероксамином. </w:t>
      </w:r>
    </w:p>
    <w:p w14:paraId="5D78F07C" w14:textId="77777777" w:rsidR="00C466A6" w:rsidRPr="00047807" w:rsidRDefault="00C466A6" w:rsidP="00C466A6">
      <w:pPr>
        <w:widowControl w:val="0"/>
        <w:autoSpaceDE w:val="0"/>
        <w:autoSpaceDN w:val="0"/>
        <w:adjustRightInd w:val="0"/>
        <w:ind w:right="50" w:firstLine="709"/>
        <w:contextualSpacing/>
        <w:rPr>
          <w:b/>
          <w:bCs/>
        </w:rPr>
      </w:pPr>
      <w:r w:rsidRPr="00047807">
        <w:rPr>
          <w:b/>
          <w:bCs/>
        </w:rPr>
        <w:t>Мукормикоз легких</w:t>
      </w:r>
    </w:p>
    <w:p w14:paraId="03AEA3FC" w14:textId="5E32BC6F" w:rsidR="00C466A6" w:rsidRPr="00686506" w:rsidRDefault="00C466A6" w:rsidP="00C466A6">
      <w:pPr>
        <w:widowControl w:val="0"/>
        <w:autoSpaceDE w:val="0"/>
        <w:autoSpaceDN w:val="0"/>
        <w:adjustRightInd w:val="0"/>
        <w:ind w:right="50" w:firstLine="709"/>
        <w:contextualSpacing/>
        <w:rPr>
          <w:i/>
          <w:iCs/>
          <w:u w:val="single"/>
        </w:rPr>
      </w:pPr>
      <w:r w:rsidRPr="00686506">
        <w:rPr>
          <w:i/>
          <w:iCs/>
          <w:u w:val="single"/>
        </w:rPr>
        <w:t>Симптомы</w:t>
      </w:r>
    </w:p>
    <w:p w14:paraId="5DD5B357" w14:textId="77777777" w:rsidR="00C466A6" w:rsidRPr="00DA2BC8" w:rsidRDefault="00C466A6" w:rsidP="00C466A6">
      <w:pPr>
        <w:widowControl w:val="0"/>
        <w:autoSpaceDE w:val="0"/>
        <w:autoSpaceDN w:val="0"/>
        <w:adjustRightInd w:val="0"/>
        <w:ind w:right="50" w:firstLine="709"/>
        <w:contextualSpacing/>
      </w:pPr>
      <w:r w:rsidRPr="00DA2BC8">
        <w:t xml:space="preserve">Клинические проявления скудные, неспецифичные, схожи с таковыми при инвазивном аспергиллезе легких. Нередко присутствует непродуктивный кашель, прогрессирующая дыхательная недостаточность, плевральная боль. При наличии плеврита может выслушиваться шум трения плевры. Инвазия мицелия грибов в сосуды вызывает некроз окружающих тканей и приводит к образованию полостей и фатальным легочным кровотечениям. У </w:t>
      </w:r>
      <w:r>
        <w:t>гематологических пациентов</w:t>
      </w:r>
      <w:r w:rsidRPr="00DA2BC8">
        <w:t xml:space="preserve"> часто бывает диссеминация инфекции вследствие инвазии грибов в окружающие ткани и органы (бронхи, плевру, грудную стенку, диафрагму, печень и др.), или гематогенно (в головной мозг, селезенку, почки, сердце, мягкие ткани и т. д.). Для диссеминированной формы инфекции характерны симптомы, соответствующие локализации очагов поражения. </w:t>
      </w:r>
    </w:p>
    <w:p w14:paraId="6A4E04AB" w14:textId="77777777" w:rsidR="00C466A6" w:rsidRPr="00DA2BC8" w:rsidRDefault="00C466A6" w:rsidP="00C466A6">
      <w:pPr>
        <w:widowControl w:val="0"/>
        <w:autoSpaceDE w:val="0"/>
        <w:autoSpaceDN w:val="0"/>
        <w:adjustRightInd w:val="0"/>
        <w:ind w:right="50" w:firstLine="709"/>
        <w:contextualSpacing/>
        <w:rPr>
          <w:b/>
          <w:bCs/>
        </w:rPr>
      </w:pPr>
      <w:r w:rsidRPr="00686506">
        <w:rPr>
          <w:i/>
          <w:iCs/>
          <w:u w:val="single"/>
        </w:rPr>
        <w:t>Диагностика мукормикоза легких</w:t>
      </w:r>
      <w:r w:rsidRPr="00DA2BC8">
        <w:rPr>
          <w:b/>
          <w:bCs/>
        </w:rPr>
        <w:t xml:space="preserve"> </w:t>
      </w:r>
      <w:r w:rsidRPr="00DA2BC8">
        <w:rPr>
          <w:bCs/>
        </w:rPr>
        <w:t xml:space="preserve">включает присутствие факторов риска, радиологические изменения в легких и наличие микологического подтверждения инфекции. </w:t>
      </w:r>
    </w:p>
    <w:p w14:paraId="4E15FBD2" w14:textId="77777777" w:rsidR="00C466A6" w:rsidRPr="00686506" w:rsidRDefault="00C466A6" w:rsidP="00C466A6">
      <w:pPr>
        <w:widowControl w:val="0"/>
        <w:autoSpaceDE w:val="0"/>
        <w:autoSpaceDN w:val="0"/>
        <w:adjustRightInd w:val="0"/>
        <w:ind w:right="50" w:firstLine="709"/>
        <w:contextualSpacing/>
        <w:rPr>
          <w:i/>
          <w:iCs/>
          <w:u w:val="single"/>
        </w:rPr>
      </w:pPr>
      <w:r w:rsidRPr="00686506">
        <w:rPr>
          <w:i/>
          <w:iCs/>
          <w:u w:val="single"/>
        </w:rPr>
        <w:t>Радиологические особенности мукормикоза легких</w:t>
      </w:r>
    </w:p>
    <w:p w14:paraId="3C6A901D" w14:textId="77777777" w:rsidR="00C466A6" w:rsidRPr="00DA2BC8" w:rsidRDefault="00C466A6" w:rsidP="00C466A6">
      <w:pPr>
        <w:widowControl w:val="0"/>
        <w:autoSpaceDE w:val="0"/>
        <w:autoSpaceDN w:val="0"/>
        <w:adjustRightInd w:val="0"/>
        <w:ind w:right="50" w:firstLine="709"/>
        <w:contextualSpacing/>
      </w:pPr>
      <w:r w:rsidRPr="00DA2BC8">
        <w:t>Основа радиологической диагностики – это КТ</w:t>
      </w:r>
      <w:r>
        <w:t>/СКТ</w:t>
      </w:r>
      <w:r w:rsidRPr="00DA2BC8">
        <w:t>. Радиологические проявления мукормикоза неспецифичны и часто схожи с инвазивным аспергиллезом. Выделяют ряд радиологических признаков, которые в большей степени характерны для мукормикоза, чем для инвазивного аспергиллеза, и включают симптом «обратного ореола» (просветление в центре очага или зоны консолидации), плевральный выпот, наличие от 10 и более очагов в легких.</w:t>
      </w:r>
    </w:p>
    <w:p w14:paraId="5F2786CB" w14:textId="77777777" w:rsidR="00C466A6" w:rsidRPr="00686506" w:rsidRDefault="00C466A6" w:rsidP="00C466A6">
      <w:pPr>
        <w:widowControl w:val="0"/>
        <w:autoSpaceDE w:val="0"/>
        <w:autoSpaceDN w:val="0"/>
        <w:adjustRightInd w:val="0"/>
        <w:ind w:right="50" w:firstLine="709"/>
        <w:contextualSpacing/>
        <w:rPr>
          <w:bCs/>
          <w:i/>
          <w:iCs/>
        </w:rPr>
      </w:pPr>
      <w:r w:rsidRPr="00686506">
        <w:rPr>
          <w:bCs/>
          <w:i/>
          <w:iCs/>
          <w:u w:val="single"/>
        </w:rPr>
        <w:t>Микологическая диагностика мукормикоза</w:t>
      </w:r>
    </w:p>
    <w:p w14:paraId="0A6B06EC" w14:textId="77777777" w:rsidR="00C466A6" w:rsidRPr="00DA2BC8" w:rsidRDefault="00C466A6" w:rsidP="00C466A6">
      <w:pPr>
        <w:widowControl w:val="0"/>
        <w:autoSpaceDE w:val="0"/>
        <w:autoSpaceDN w:val="0"/>
        <w:adjustRightInd w:val="0"/>
        <w:ind w:right="50" w:firstLine="709"/>
        <w:contextualSpacing/>
      </w:pPr>
      <w:r w:rsidRPr="00DA2BC8">
        <w:t xml:space="preserve">Нет серологических маркеров диагностики. Исследуют жидкость БАЛ или биоптаты органов. Диагноз устанавливают на основании обнаружения несептированного мицелия при флуоресцентной микроскопии либо при гистологическом исследовании биоптата, или детекции культуры грибов </w:t>
      </w:r>
      <w:r w:rsidRPr="00DA2BC8">
        <w:rPr>
          <w:i/>
          <w:iCs/>
        </w:rPr>
        <w:t>Mucorales</w:t>
      </w:r>
      <w:r w:rsidRPr="00DA2BC8">
        <w:t xml:space="preserve"> из исследуемых образцов. Вероятность </w:t>
      </w:r>
      <w:r w:rsidRPr="00DA2BC8">
        <w:lastRenderedPageBreak/>
        <w:t xml:space="preserve">получения культуры </w:t>
      </w:r>
      <w:r w:rsidRPr="00DA2BC8">
        <w:rPr>
          <w:i/>
          <w:iCs/>
        </w:rPr>
        <w:t xml:space="preserve">Mucorales </w:t>
      </w:r>
      <w:r w:rsidRPr="00DA2BC8">
        <w:rPr>
          <w:iCs/>
        </w:rPr>
        <w:t xml:space="preserve">выше из биоптатов, чем из жидкости БАЛ. </w:t>
      </w:r>
    </w:p>
    <w:p w14:paraId="46F531CC" w14:textId="77777777" w:rsidR="00C466A6" w:rsidRPr="00686506" w:rsidRDefault="00C466A6" w:rsidP="00C466A6">
      <w:pPr>
        <w:widowControl w:val="0"/>
        <w:autoSpaceDE w:val="0"/>
        <w:autoSpaceDN w:val="0"/>
        <w:adjustRightInd w:val="0"/>
        <w:ind w:right="50" w:firstLine="709"/>
        <w:contextualSpacing/>
        <w:rPr>
          <w:i/>
          <w:iCs/>
          <w:u w:val="single"/>
        </w:rPr>
      </w:pPr>
      <w:r w:rsidRPr="00686506">
        <w:rPr>
          <w:i/>
          <w:iCs/>
          <w:u w:val="single"/>
        </w:rPr>
        <w:t>Лечение мукормикоза легких</w:t>
      </w:r>
    </w:p>
    <w:p w14:paraId="47844370" w14:textId="77777777" w:rsidR="00C466A6" w:rsidRPr="00DA2BC8" w:rsidRDefault="00C466A6" w:rsidP="00C466A6">
      <w:pPr>
        <w:widowControl w:val="0"/>
        <w:autoSpaceDE w:val="0"/>
        <w:autoSpaceDN w:val="0"/>
        <w:adjustRightInd w:val="0"/>
        <w:ind w:right="50" w:firstLine="709"/>
        <w:contextualSpacing/>
      </w:pPr>
      <w:r w:rsidRPr="00DA2BC8">
        <w:t xml:space="preserve">Мукормикоз характеризуется крайне агрессивным течением. Лечение необходимо начинать при первых признаках инфекции, поскольку промедление в назначении антимикотиков приводит к увеличению частоты летальных исходов. </w:t>
      </w:r>
      <w:r w:rsidRPr="00DA2BC8">
        <w:rPr>
          <w:bCs/>
        </w:rPr>
        <w:t>Препаратами выбора для лечения являются липидные формы амфотерицина В (</w:t>
      </w:r>
      <w:r w:rsidRPr="00DA2BC8">
        <w:t>липосомальный амфотерицин или липидный комплекс амфотерицина В 5 мг/кг/сутки), альтернативный - изавуконазол (изавуконазол по 200 мг каждые 8 час в течение 2 дней (6 доз), далее по 200 мг 1 раз в сутки внутривенно или перорально). Замену липидной формы амфотерицина В на позаконазол проводят при одновременном наличии следующих условий: положительная динамика в легких по данным КТВР, стабильном состоянии больного, отсутствии мукозита и диареи, полноценном питании, отсутствии нарушения функции печени.</w:t>
      </w:r>
    </w:p>
    <w:p w14:paraId="381C01D8" w14:textId="77777777" w:rsidR="00C466A6" w:rsidRPr="00DA2BC8" w:rsidRDefault="00C466A6" w:rsidP="00C466A6">
      <w:pPr>
        <w:widowControl w:val="0"/>
        <w:autoSpaceDE w:val="0"/>
        <w:autoSpaceDN w:val="0"/>
        <w:adjustRightInd w:val="0"/>
        <w:ind w:right="50" w:firstLine="709"/>
        <w:contextualSpacing/>
      </w:pPr>
      <w:r w:rsidRPr="00DA2BC8">
        <w:t>При диссеминации Mucorales в головной мозг препаратом выбора является липосомальный амфотерицин, дозирование может быть увеличено до 10 мг/кг в сутки. При неэффективности к липидным формам амфотерицина В добавляют эхинокандин или позаконазол.</w:t>
      </w:r>
    </w:p>
    <w:p w14:paraId="257F935D" w14:textId="77777777" w:rsidR="00C466A6" w:rsidRPr="00686506" w:rsidRDefault="00C466A6" w:rsidP="00C466A6">
      <w:pPr>
        <w:widowControl w:val="0"/>
        <w:autoSpaceDE w:val="0"/>
        <w:autoSpaceDN w:val="0"/>
        <w:adjustRightInd w:val="0"/>
        <w:ind w:right="50" w:firstLine="709"/>
        <w:contextualSpacing/>
        <w:rPr>
          <w:i/>
          <w:iCs/>
          <w:u w:val="single"/>
        </w:rPr>
      </w:pPr>
      <w:r w:rsidRPr="00686506">
        <w:rPr>
          <w:i/>
          <w:iCs/>
          <w:u w:val="single"/>
        </w:rPr>
        <w:t>Хирургическое лечение мукормикоза легких</w:t>
      </w:r>
    </w:p>
    <w:p w14:paraId="2A450CBC" w14:textId="77777777" w:rsidR="00C466A6" w:rsidRPr="00DA2BC8" w:rsidRDefault="00C466A6" w:rsidP="00C466A6">
      <w:pPr>
        <w:widowControl w:val="0"/>
        <w:autoSpaceDE w:val="0"/>
        <w:autoSpaceDN w:val="0"/>
        <w:adjustRightInd w:val="0"/>
        <w:ind w:right="50" w:firstLine="709"/>
        <w:contextualSpacing/>
      </w:pPr>
      <w:r w:rsidRPr="00DA2BC8">
        <w:rPr>
          <w:i/>
          <w:iCs/>
        </w:rPr>
        <w:t>При локализованной форме</w:t>
      </w:r>
      <w:r w:rsidRPr="00DA2BC8">
        <w:t xml:space="preserve"> мукормикоза легких показано хирургическое лечение во всех случаях, если позволяет состояние </w:t>
      </w:r>
      <w:r>
        <w:t>пациента</w:t>
      </w:r>
      <w:r w:rsidRPr="00DA2BC8">
        <w:t xml:space="preserve">. Операцию выполняют при стабилизации состояния больного. </w:t>
      </w:r>
      <w:r w:rsidRPr="00DA2BC8">
        <w:rPr>
          <w:i/>
          <w:iCs/>
        </w:rPr>
        <w:t>При диссеминации</w:t>
      </w:r>
      <w:r w:rsidRPr="00DA2BC8">
        <w:t xml:space="preserve"> необходимость хирургического лечения определяется индивидуально.</w:t>
      </w:r>
    </w:p>
    <w:p w14:paraId="360659BF" w14:textId="77777777" w:rsidR="00C466A6" w:rsidRPr="00DA2BC8" w:rsidRDefault="00C466A6" w:rsidP="00C466A6">
      <w:pPr>
        <w:widowControl w:val="0"/>
        <w:autoSpaceDE w:val="0"/>
        <w:autoSpaceDN w:val="0"/>
        <w:adjustRightInd w:val="0"/>
        <w:ind w:right="50" w:firstLine="709"/>
        <w:contextualSpacing/>
      </w:pPr>
      <w:r w:rsidRPr="00686506">
        <w:t>Лечение</w:t>
      </w:r>
      <w:r w:rsidRPr="00DA2BC8">
        <w:rPr>
          <w:b/>
          <w:bCs/>
        </w:rPr>
        <w:t xml:space="preserve"> </w:t>
      </w:r>
      <w:r w:rsidRPr="00DA2BC8">
        <w:t xml:space="preserve">мукормикоза антимикотиками длительное, несколько месяцев. Критерием для отмены противогрибковых препаратов является регрессия очагов в легких. Всем больных, имевших мукормикоз в анамнезе, во время очередных курсов ПХТ проводят профилактику позаконазолом по 200 мг 3 раза в сутки в суспензии или изавуконазолом (см. вторичная профилактика). </w:t>
      </w:r>
    </w:p>
    <w:p w14:paraId="2CADB8DF" w14:textId="77777777" w:rsidR="00C466A6" w:rsidRPr="00047807" w:rsidRDefault="00C466A6" w:rsidP="00C466A6">
      <w:pPr>
        <w:widowControl w:val="0"/>
        <w:autoSpaceDE w:val="0"/>
        <w:autoSpaceDN w:val="0"/>
        <w:adjustRightInd w:val="0"/>
        <w:ind w:right="51" w:firstLine="709"/>
        <w:contextualSpacing/>
        <w:rPr>
          <w:b/>
          <w:bCs/>
        </w:rPr>
      </w:pPr>
      <w:r w:rsidRPr="00047807">
        <w:rPr>
          <w:b/>
          <w:bCs/>
        </w:rPr>
        <w:t>Мукормикоз придаточных пазух носа</w:t>
      </w:r>
    </w:p>
    <w:p w14:paraId="1F9A1D9A" w14:textId="77777777" w:rsidR="00C466A6" w:rsidRPr="00DA2BC8" w:rsidRDefault="00C466A6" w:rsidP="00C466A6">
      <w:pPr>
        <w:widowControl w:val="0"/>
        <w:autoSpaceDE w:val="0"/>
        <w:autoSpaceDN w:val="0"/>
        <w:adjustRightInd w:val="0"/>
        <w:ind w:right="51" w:firstLine="709"/>
        <w:contextualSpacing/>
      </w:pPr>
      <w:r w:rsidRPr="00DA2BC8">
        <w:t xml:space="preserve">Эта локализация инфекции наиболее характерна для </w:t>
      </w:r>
      <w:r>
        <w:t xml:space="preserve">гематологических пациентов с </w:t>
      </w:r>
      <w:r w:rsidRPr="00DA2BC8">
        <w:t xml:space="preserve">сахарным диабетом. Клиническая картина аналогична инвазивному аспергиллезному риносинуситу, но мукормикоз протекает более агрессивно, и в течение нескольких дней происходит вовлечение в инфекционный процесс окружающих мягких тканей (некроз) с деструкцией костей черепа и инвазией грибов в орбиту и головной мозг. Как правило, наблюдается одностороннее поражение грибами </w:t>
      </w:r>
      <w:r w:rsidRPr="00DA2BC8">
        <w:rPr>
          <w:i/>
        </w:rPr>
        <w:t>Mucorale</w:t>
      </w:r>
      <w:r w:rsidRPr="00DA2BC8">
        <w:rPr>
          <w:i/>
          <w:iCs/>
        </w:rPr>
        <w:t>s</w:t>
      </w:r>
      <w:r w:rsidRPr="00DA2BC8">
        <w:t xml:space="preserve"> придаточных пазух носа. </w:t>
      </w:r>
    </w:p>
    <w:p w14:paraId="766E6792" w14:textId="77777777" w:rsidR="00C466A6" w:rsidRPr="00DA2BC8" w:rsidRDefault="00C466A6" w:rsidP="00C466A6">
      <w:pPr>
        <w:widowControl w:val="0"/>
        <w:autoSpaceDE w:val="0"/>
        <w:autoSpaceDN w:val="0"/>
        <w:adjustRightInd w:val="0"/>
        <w:ind w:right="51" w:firstLine="709"/>
        <w:contextualSpacing/>
      </w:pPr>
      <w:r w:rsidRPr="00DA2BC8">
        <w:t xml:space="preserve">Начальные симптомы заболевания включают боль, отек и покраснение на стороне поражения. В дальнейшем возникает некроз или изъязвления на слизистой оболочке </w:t>
      </w:r>
      <w:r w:rsidRPr="00DA2BC8">
        <w:lastRenderedPageBreak/>
        <w:t xml:space="preserve">носовых ходов, коже. Часто бывает гематогенненная диссеминация. Клиническая картина соответствует локализации очага поражения. </w:t>
      </w:r>
    </w:p>
    <w:p w14:paraId="048848F3" w14:textId="77777777" w:rsidR="00C466A6" w:rsidRPr="00DA2BC8" w:rsidRDefault="00C466A6" w:rsidP="00C466A6">
      <w:pPr>
        <w:widowControl w:val="0"/>
        <w:autoSpaceDE w:val="0"/>
        <w:autoSpaceDN w:val="0"/>
        <w:adjustRightInd w:val="0"/>
        <w:ind w:right="51" w:firstLine="709"/>
        <w:contextualSpacing/>
      </w:pPr>
      <w:r w:rsidRPr="00686506">
        <w:rPr>
          <w:i/>
          <w:iCs/>
          <w:u w:val="single"/>
        </w:rPr>
        <w:t>Диагностика мукормикозного риносинусита</w:t>
      </w:r>
      <w:r w:rsidRPr="00DA2BC8">
        <w:rPr>
          <w:b/>
          <w:bCs/>
        </w:rPr>
        <w:t xml:space="preserve"> </w:t>
      </w:r>
      <w:r w:rsidRPr="00DA2BC8">
        <w:rPr>
          <w:bCs/>
        </w:rPr>
        <w:t>включает наличие</w:t>
      </w:r>
      <w:r w:rsidRPr="00DA2BC8">
        <w:rPr>
          <w:b/>
          <w:bCs/>
        </w:rPr>
        <w:t xml:space="preserve"> </w:t>
      </w:r>
      <w:r w:rsidRPr="00DA2BC8">
        <w:t>радиологических признаков риносинусита, деструкции костей черепа</w:t>
      </w:r>
      <w:r>
        <w:t xml:space="preserve"> при КТ/СКТ/МРТ</w:t>
      </w:r>
      <w:r w:rsidRPr="00DA2BC8">
        <w:t>;</w:t>
      </w:r>
      <w:r w:rsidRPr="00DA2BC8">
        <w:rPr>
          <w:b/>
          <w:bCs/>
        </w:rPr>
        <w:t xml:space="preserve"> </w:t>
      </w:r>
      <w:r w:rsidRPr="00DA2BC8">
        <w:t xml:space="preserve">выделение культуры </w:t>
      </w:r>
      <w:r w:rsidRPr="00DA2BC8">
        <w:rPr>
          <w:i/>
        </w:rPr>
        <w:t>Mucorales</w:t>
      </w:r>
      <w:r w:rsidRPr="00DA2BC8">
        <w:t xml:space="preserve"> из биоптата некротизированной слизистой оболочки носа или аспирата придаточных пазух носа или обнаружение несептированного мицелия грибов при гистологическом или цитологическом исследовании биоптата (аспирата). </w:t>
      </w:r>
    </w:p>
    <w:p w14:paraId="7B633DF5" w14:textId="77777777" w:rsidR="00C466A6" w:rsidRPr="00DA2BC8" w:rsidRDefault="00C466A6" w:rsidP="00C466A6">
      <w:pPr>
        <w:widowControl w:val="0"/>
        <w:autoSpaceDE w:val="0"/>
        <w:autoSpaceDN w:val="0"/>
        <w:adjustRightInd w:val="0"/>
        <w:ind w:right="51" w:firstLine="709"/>
        <w:contextualSpacing/>
        <w:rPr>
          <w:b/>
          <w:bCs/>
        </w:rPr>
      </w:pPr>
      <w:r w:rsidRPr="00686506">
        <w:rPr>
          <w:i/>
          <w:iCs/>
          <w:u w:val="single"/>
        </w:rPr>
        <w:t>Лечение мукормикоза придаточных пазух носа</w:t>
      </w:r>
      <w:r w:rsidRPr="00DA2BC8">
        <w:t xml:space="preserve"> является комбинированным и включает назначение противогрибковых препаратов в сочетании с оперативным лечением. Применяют те же антимикотики, что при мукормикозе легких.</w:t>
      </w:r>
      <w:r w:rsidRPr="00DA2BC8">
        <w:rPr>
          <w:bCs/>
        </w:rPr>
        <w:t xml:space="preserve"> </w:t>
      </w:r>
      <w:r w:rsidRPr="00DA2BC8">
        <w:t xml:space="preserve">Хирургическую резекцию очага поражения обязательно выполняют в пределах здоровых тканей. </w:t>
      </w:r>
    </w:p>
    <w:p w14:paraId="294CDC3D" w14:textId="77777777" w:rsidR="00C466A6" w:rsidRPr="00047807" w:rsidRDefault="00C466A6" w:rsidP="00C466A6">
      <w:pPr>
        <w:widowControl w:val="0"/>
        <w:autoSpaceDE w:val="0"/>
        <w:autoSpaceDN w:val="0"/>
        <w:adjustRightInd w:val="0"/>
        <w:ind w:right="51" w:firstLine="709"/>
        <w:contextualSpacing/>
        <w:rPr>
          <w:b/>
          <w:bCs/>
        </w:rPr>
      </w:pPr>
      <w:r w:rsidRPr="00047807">
        <w:rPr>
          <w:b/>
          <w:bCs/>
        </w:rPr>
        <w:t>Мукормикоз кожи и мягких тканей</w:t>
      </w:r>
    </w:p>
    <w:p w14:paraId="04A9C9EF" w14:textId="77777777" w:rsidR="00C466A6" w:rsidRPr="00DA2BC8" w:rsidRDefault="00C466A6" w:rsidP="00C466A6">
      <w:pPr>
        <w:widowControl w:val="0"/>
        <w:autoSpaceDE w:val="0"/>
        <w:autoSpaceDN w:val="0"/>
        <w:adjustRightInd w:val="0"/>
        <w:ind w:right="51" w:firstLine="709"/>
        <w:contextualSpacing/>
      </w:pPr>
      <w:r w:rsidRPr="00DA2BC8">
        <w:t xml:space="preserve">Такая локализация инфекции преобладает у </w:t>
      </w:r>
      <w:r>
        <w:t>пациентов</w:t>
      </w:r>
      <w:r w:rsidRPr="00DA2BC8">
        <w:t xml:space="preserve"> с обширными травмами и ожогами. В некоторых случаях может быть следствием инвазивных медицинских процедур при использовании медицинского оборудования, контаминированного грибами </w:t>
      </w:r>
      <w:r w:rsidRPr="00DA2BC8">
        <w:rPr>
          <w:i/>
        </w:rPr>
        <w:t>Mucorales</w:t>
      </w:r>
      <w:r w:rsidRPr="00DA2BC8">
        <w:t xml:space="preserve">. </w:t>
      </w:r>
    </w:p>
    <w:p w14:paraId="00B48B07" w14:textId="77777777" w:rsidR="00C466A6" w:rsidRPr="00DA2BC8" w:rsidRDefault="00C466A6" w:rsidP="00C466A6">
      <w:pPr>
        <w:widowControl w:val="0"/>
        <w:autoSpaceDE w:val="0"/>
        <w:autoSpaceDN w:val="0"/>
        <w:adjustRightInd w:val="0"/>
        <w:ind w:right="51" w:firstLine="709"/>
        <w:contextualSpacing/>
      </w:pPr>
      <w:r w:rsidRPr="00DA2BC8">
        <w:t xml:space="preserve">Симптомы мукормикоза кожи и мягких тканей включают наличие признаков воспаления (гиперемии, болезненности, уплотнения) в области очага инфекции с некрозом в центре, который появляется в течение короткого временного промежутка (1-4 суток). Инвазия грибов происходит в окружающие ткани, включая подкожно-жировую клетчатку и мышцы. При прорастании сосудов происходит гематогенная диссеминация мукормикоза в другие органы и ткани. Для диагностики мукормикоза мягких тканей необходимо провести краевую биопсию области поражения. </w:t>
      </w:r>
      <w:r w:rsidRPr="00DA2BC8">
        <w:rPr>
          <w:bCs/>
        </w:rPr>
        <w:t xml:space="preserve">Диагноз устанавливают на основании </w:t>
      </w:r>
      <w:r w:rsidRPr="00DA2BC8">
        <w:t xml:space="preserve">выделения культуры </w:t>
      </w:r>
      <w:r w:rsidRPr="00DA2BC8">
        <w:rPr>
          <w:i/>
        </w:rPr>
        <w:t>Mucorales</w:t>
      </w:r>
      <w:r w:rsidRPr="00DA2BC8">
        <w:t xml:space="preserve"> из биоптата некротизированной ткани либо обнаружения несептированного мицелия грибов при флуоресцентной микроскопии или гистологическом исследовании. </w:t>
      </w:r>
      <w:r w:rsidRPr="00DA2BC8">
        <w:rPr>
          <w:bCs/>
        </w:rPr>
        <w:t xml:space="preserve">Лечение мукормикоза мягких тканей во всех случяах комбринированное, включающее обязательную резекцию некроза до здоровых фрагментов и назначение антимикотиков, как </w:t>
      </w:r>
      <w:r w:rsidRPr="00DA2BC8">
        <w:t>при мукормикозе легких.</w:t>
      </w:r>
    </w:p>
    <w:p w14:paraId="671422D7" w14:textId="77777777" w:rsidR="00686506" w:rsidRDefault="00686506" w:rsidP="00686506">
      <w:pPr>
        <w:widowControl w:val="0"/>
        <w:autoSpaceDE w:val="0"/>
        <w:autoSpaceDN w:val="0"/>
        <w:adjustRightInd w:val="0"/>
        <w:ind w:right="50"/>
        <w:contextualSpacing/>
        <w:rPr>
          <w:b/>
          <w:bCs/>
        </w:rPr>
      </w:pPr>
    </w:p>
    <w:p w14:paraId="29463DAC" w14:textId="2472FD25" w:rsidR="00C466A6" w:rsidRPr="00144984" w:rsidRDefault="00686506" w:rsidP="00686506">
      <w:pPr>
        <w:widowControl w:val="0"/>
        <w:autoSpaceDE w:val="0"/>
        <w:autoSpaceDN w:val="0"/>
        <w:adjustRightInd w:val="0"/>
        <w:ind w:right="49"/>
        <w:contextualSpacing/>
        <w:rPr>
          <w:bCs/>
          <w:u w:val="single"/>
        </w:rPr>
      </w:pPr>
      <w:r>
        <w:rPr>
          <w:bCs/>
          <w:u w:val="single"/>
        </w:rPr>
        <w:t xml:space="preserve">7.6.7 </w:t>
      </w:r>
      <w:r w:rsidR="00C466A6" w:rsidRPr="00686506">
        <w:rPr>
          <w:bCs/>
          <w:u w:val="single"/>
        </w:rPr>
        <w:t xml:space="preserve">Диагностика и лечение инвазивных микозов, вызванных редкими плесневыми грибами </w:t>
      </w:r>
      <w:r w:rsidR="00084B8B">
        <w:rPr>
          <w:b/>
        </w:rPr>
        <w:fldChar w:fldCharType="begin" w:fldLock="1"/>
      </w:r>
      <w:r w:rsidR="0029367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infections","type":"article-journal","volume":"20"},"uris":["http://www.mendeley.com/documents/?uuid=5a6b3e24-e337-3cd9-bb20-08cd60455554"]},{"id":"ITEM-4","itemData":{"DOI":"10.1111/1469-0691.12465","ISSN":"14690691","PMID":"24548001","abstract":"Mycoses summarized in the hyalohyphomycosis group are heterogeneous, defined by the presence of hyaline (non-dematiaceous) hyphae. The number of organisms implicated in hyalohyphomycosis is increasing and the most clinically important species belong to the genera Fusarium, Scedosporium, Acremonium, Scopulariopsis, Purpureocillium and Paecilomyces. Severely immunocompromised patients are particularly vulnerable to infection, and clinical manifestations range from colonization to chronic localized lesions to acute invasive and/or disseminated diseases. Diagnosis usually requires isolation and identification of the infecting pathogen. A poor prognosis is associated with fusariosis and early therapy of localized disease is important to prevent progression to a more aggressive or disseminated infection. Therapy should include voriconazole and surgical debridement where possible or posaconazole as salvage treatment. Voriconazole represents the first-line treatment of infections due to members of the genus Scedosporium. For Acremonium spp., Scopulariopsis spp., Purpureocillium spp. and Paecilomyces spp. the optimal antifungal treatment has not been established. Management usually consists of surgery and antifungal treatment, depending on the clinical presentation. © 2014 European Society of Clinical Microbiology and Infectious Diseases.","author":[{"dropping-particle":"","family":"Tortorano","given":"A. M.","non-dropping-particle":"","parse-names":false,"suffix":""},{"dropping-particle":"","family":"Richardson","given":"M.","non-dropping-particle":"","parse-names":false,"suffix":""},{"dropping-particle":"","family":"Roilides","given":"E.","non-dropping-particle":"","parse-names":false,"suffix":""},{"dropping-particle":"","family":"Diepeningen","given":"A.","non-dropping-particle":"van","parse-names":false,"suffix":""},{"dropping-particle":"","family":"Caira","given":"M.","non-dropping-particle":"","parse-names":false,"suffix":""},{"dropping-particle":"","family":"Munoz","given":"P.","non-dropping-particle":"","parse-names":false,"suffix":""},{"dropping-particle":"","family":"Johnson","given":"E.","non-dropping-particle":"","parse-names":false,"suffix":""},{"dropping-particle":"","family":"Meletiadis","given":"J.","non-dropping-particle":"","parse-names":false,"suffix":""},{"dropping-particle":"","family":"Pana","given":"Z. D.","non-dropping-particle":"","parse-names":false,"suffix":""},{"dropping-particle":"","family":"Lackner","given":"M.","non-dropping-particle":"","parse-names":false,"suffix":""},{"dropping-particle":"","family":"Verweij","given":"P.","non-dropping-particle":"","parse-names":false,"suffix":""},{"dropping-particle":"","family":"Freiberger","given":"T.","non-dropping-particle":"","parse-names":false,"suffix":""},{"dropping-particle":"","family":"Cornely","given":"O. A.","non-dropping-particle":"","parse-names":false,"suffix":""},{"dropping-particle":"","family":"Arikan-Akdagli","given":"S.","non-dropping-particle":"","parse-names":false,"suffix":""},{"dropping-particle":"","family":"Dannaoui","given":"E.","non-dropping-particle":"","parse-names":false,"suffix":""},{"dropping-particle":"","family":"Groll","given":"A. H.","non-dropping-particle":"","parse-names":false,"suffix":""},{"dropping-particle":"","family":"Lagrou","given":"K.","non-dropping-particle":"","parse-names":false,"suffix":""},{"dropping-particle":"","family":"Chakrabarti","given":"A.","non-dropping-particle":"","parse-names":false,"suffix":""},{"dropping-particle":"","family":"Lanternier","given":"F.","non-dropping-particle":"","parse-names":false,"suffix":""},{"dropping-particle":"","family":"Pagano","given":"L.","non-dropping-particle":"","parse-names":false,"suffix":""},{"dropping-particle":"","family":"Skiada","given":"A.","non-dropping-particle":"","parse-names":false,"suffix":""},{"dropping-particle":"","family":"Akova","given":"M.","non-dropping-particle":"","parse-names":false,"suffix":""},{"dropping-particle":"","family":"Arendrup","given":"M. C.","non-dropping-particle":"","parse-names":false,"suffix":""},{"dropping-particle":"","family":"Boekhout","given":"T.","non-dropping-particle":"","parse-names":false,"suffix":""},{"dropping-particle":"","family":"Chowdhary","given":"A.","non-dropping-particle":"","parse-names":false,"suffix":""},{"dropping-particle":"","family":"Cuenca-Estrella","given":"M.","non-dropping-particle":"","parse-names":false,"suffix":""},{"dropping-particle":"","family":"Guinea","given":"J.","non-dropping-particle":"","parse-names":false,"suffix":""},{"dropping-particle":"","family":"Guarro","given":"J.","non-dropping-particle":"","parse-names":false,"suffix":""},{"dropping-particle":"","family":"Hoog","given":"S.","non-dropping-particle":"de","parse-names":false,"suffix":""},{"dropping-particle":"","family":"Hope","given":"W.","non-dropping-particle":"","parse-names":false,"suffix":""},{"dropping-particle":"","family":"Kathuria","given":"S.","non-dropping-particle":"","parse-names":false,"suffix":""},{"dropping-particle":"","family":"Lortholary","given":"O.","non-dropping-particle":"","parse-names":false,"suffix":""},{"dropping-particle":"","family":"Meis","given":"J. F.","non-dropping-particle":"","parse-names":false,"suffix":""},{"dropping-particle":"","family":"Ullmann","given":"A. J.","non-dropping-particle":"","parse-names":false,"suffix":""},{"dropping-particle":"","family":"Petrikkos","given":"G.","non-dropping-particle":"","parse-names":false,"suffix":""},{"dropping-particle":"","family":"Lass-Flörl","given":"C.","non-dropping-particle":"","parse-names":false,"suffix":""}],"container-title":"Clinical Microbiology and Infection","id":"ITEM-4","issue":"S3","issued":{"date-parts":[["2014"]]},"page":"27-46","publisher":"Blackwell Publishing Ltd","title":"ESCMID and ECMM joint guidelines on diagnosis and management of hyalohyphomycosis: Fusarium spp., Scedosporium spp. and others","type":"article-journal","volume":"20"},"uris":["http://www.mendeley.com/documents/?uuid=a2a77bc6-7c62-3766-9352-c711579a66f5"]}],"mendeley":{"formattedCitation":"[76,79,85,90]","plainTextFormattedCitation":"[76,79,85,90]","previouslyFormattedCitation":"[76,79,85,90]"},"properties":{"noteIndex":0},"schema":"https://github.com/citation-style-language/schema/raw/master/csl-citation.json"}</w:instrText>
      </w:r>
      <w:r w:rsidR="00084B8B">
        <w:rPr>
          <w:b/>
        </w:rPr>
        <w:fldChar w:fldCharType="separate"/>
      </w:r>
      <w:r w:rsidR="00FB256D" w:rsidRPr="00144984">
        <w:rPr>
          <w:noProof/>
        </w:rPr>
        <w:t>[76,79,85,90]</w:t>
      </w:r>
      <w:r w:rsidR="00084B8B">
        <w:rPr>
          <w:b/>
        </w:rPr>
        <w:fldChar w:fldCharType="end"/>
      </w:r>
    </w:p>
    <w:p w14:paraId="06B8B6D2" w14:textId="7C662FDD" w:rsidR="00C466A6" w:rsidRPr="00144984" w:rsidRDefault="00C466A6" w:rsidP="00C466A6">
      <w:pPr>
        <w:widowControl w:val="0"/>
        <w:autoSpaceDE w:val="0"/>
        <w:autoSpaceDN w:val="0"/>
        <w:adjustRightInd w:val="0"/>
        <w:ind w:right="50" w:firstLine="708"/>
        <w:rPr>
          <w:b/>
          <w:bCs/>
        </w:rPr>
      </w:pPr>
      <w:r>
        <w:rPr>
          <w:bCs/>
        </w:rPr>
        <w:t>У</w:t>
      </w:r>
      <w:r w:rsidRPr="00144984">
        <w:rPr>
          <w:bCs/>
        </w:rPr>
        <w:t xml:space="preserve"> </w:t>
      </w:r>
      <w:r>
        <w:rPr>
          <w:bCs/>
        </w:rPr>
        <w:t>гематологических</w:t>
      </w:r>
      <w:r w:rsidRPr="00144984">
        <w:rPr>
          <w:bCs/>
        </w:rPr>
        <w:t xml:space="preserve"> </w:t>
      </w:r>
      <w:r>
        <w:rPr>
          <w:bCs/>
        </w:rPr>
        <w:t>пациентов</w:t>
      </w:r>
      <w:r w:rsidRPr="00144984">
        <w:rPr>
          <w:bCs/>
        </w:rPr>
        <w:t xml:space="preserve"> </w:t>
      </w:r>
      <w:r>
        <w:rPr>
          <w:bCs/>
        </w:rPr>
        <w:t>ввиду</w:t>
      </w:r>
      <w:r w:rsidRPr="00144984">
        <w:rPr>
          <w:bCs/>
        </w:rPr>
        <w:t xml:space="preserve"> </w:t>
      </w:r>
      <w:r>
        <w:rPr>
          <w:bCs/>
        </w:rPr>
        <w:t>иммуносупрессии</w:t>
      </w:r>
      <w:r w:rsidRPr="00144984">
        <w:rPr>
          <w:bCs/>
        </w:rPr>
        <w:t xml:space="preserve">, </w:t>
      </w:r>
      <w:r>
        <w:rPr>
          <w:bCs/>
        </w:rPr>
        <w:t>вызванной</w:t>
      </w:r>
      <w:r w:rsidRPr="00144984">
        <w:rPr>
          <w:bCs/>
        </w:rPr>
        <w:t xml:space="preserve"> </w:t>
      </w:r>
      <w:r>
        <w:rPr>
          <w:bCs/>
        </w:rPr>
        <w:t>как</w:t>
      </w:r>
      <w:r w:rsidRPr="00144984">
        <w:rPr>
          <w:bCs/>
        </w:rPr>
        <w:t xml:space="preserve"> </w:t>
      </w:r>
      <w:r>
        <w:rPr>
          <w:bCs/>
        </w:rPr>
        <w:t>самим</w:t>
      </w:r>
      <w:r w:rsidRPr="00144984">
        <w:rPr>
          <w:bCs/>
        </w:rPr>
        <w:t xml:space="preserve"> </w:t>
      </w:r>
      <w:r>
        <w:rPr>
          <w:bCs/>
        </w:rPr>
        <w:t>заболеванием</w:t>
      </w:r>
      <w:r w:rsidRPr="00144984">
        <w:rPr>
          <w:bCs/>
        </w:rPr>
        <w:t xml:space="preserve">, </w:t>
      </w:r>
      <w:r>
        <w:rPr>
          <w:bCs/>
        </w:rPr>
        <w:t>так</w:t>
      </w:r>
      <w:r w:rsidRPr="00144984">
        <w:rPr>
          <w:bCs/>
        </w:rPr>
        <w:t xml:space="preserve"> </w:t>
      </w:r>
      <w:r>
        <w:rPr>
          <w:bCs/>
        </w:rPr>
        <w:t>и</w:t>
      </w:r>
      <w:r w:rsidRPr="00144984">
        <w:rPr>
          <w:bCs/>
        </w:rPr>
        <w:t xml:space="preserve"> </w:t>
      </w:r>
      <w:r>
        <w:rPr>
          <w:bCs/>
        </w:rPr>
        <w:t>специфической</w:t>
      </w:r>
      <w:r w:rsidRPr="00144984">
        <w:rPr>
          <w:bCs/>
        </w:rPr>
        <w:t xml:space="preserve"> </w:t>
      </w:r>
      <w:r>
        <w:rPr>
          <w:bCs/>
        </w:rPr>
        <w:t>терапией</w:t>
      </w:r>
      <w:r w:rsidRPr="00144984">
        <w:rPr>
          <w:bCs/>
        </w:rPr>
        <w:t xml:space="preserve">  </w:t>
      </w:r>
      <w:r>
        <w:rPr>
          <w:bCs/>
        </w:rPr>
        <w:t>гематологического</w:t>
      </w:r>
      <w:r w:rsidRPr="00144984">
        <w:rPr>
          <w:bCs/>
        </w:rPr>
        <w:t xml:space="preserve"> </w:t>
      </w:r>
      <w:r>
        <w:rPr>
          <w:bCs/>
        </w:rPr>
        <w:t>заболевания</w:t>
      </w:r>
      <w:r w:rsidRPr="00144984">
        <w:rPr>
          <w:bCs/>
        </w:rPr>
        <w:t xml:space="preserve">, </w:t>
      </w:r>
      <w:r>
        <w:rPr>
          <w:bCs/>
        </w:rPr>
        <w:t>могут</w:t>
      </w:r>
      <w:r w:rsidRPr="00144984">
        <w:rPr>
          <w:bCs/>
        </w:rPr>
        <w:t xml:space="preserve"> </w:t>
      </w:r>
      <w:r>
        <w:rPr>
          <w:bCs/>
        </w:rPr>
        <w:t>встречаться</w:t>
      </w:r>
      <w:r w:rsidRPr="00144984">
        <w:rPr>
          <w:bCs/>
        </w:rPr>
        <w:t xml:space="preserve"> </w:t>
      </w:r>
      <w:r w:rsidRPr="00E41F19">
        <w:rPr>
          <w:bCs/>
        </w:rPr>
        <w:t>инвазивные</w:t>
      </w:r>
      <w:r w:rsidRPr="00144984">
        <w:rPr>
          <w:bCs/>
        </w:rPr>
        <w:t xml:space="preserve"> </w:t>
      </w:r>
      <w:r w:rsidRPr="00E41F19">
        <w:rPr>
          <w:bCs/>
        </w:rPr>
        <w:t>микозы</w:t>
      </w:r>
      <w:r w:rsidRPr="00144984">
        <w:rPr>
          <w:bCs/>
        </w:rPr>
        <w:t xml:space="preserve">, </w:t>
      </w:r>
      <w:r w:rsidRPr="00E41F19">
        <w:rPr>
          <w:bCs/>
        </w:rPr>
        <w:t>вызванные</w:t>
      </w:r>
      <w:r w:rsidRPr="00144984">
        <w:rPr>
          <w:bCs/>
        </w:rPr>
        <w:t xml:space="preserve"> </w:t>
      </w:r>
      <w:r w:rsidRPr="00E41F19">
        <w:rPr>
          <w:bCs/>
        </w:rPr>
        <w:t>редкими</w:t>
      </w:r>
      <w:r w:rsidRPr="00144984">
        <w:rPr>
          <w:bCs/>
        </w:rPr>
        <w:t xml:space="preserve"> </w:t>
      </w:r>
      <w:r w:rsidRPr="00E41F19">
        <w:rPr>
          <w:bCs/>
        </w:rPr>
        <w:t>плесневыми</w:t>
      </w:r>
      <w:r w:rsidRPr="00144984">
        <w:rPr>
          <w:bCs/>
        </w:rPr>
        <w:t xml:space="preserve"> </w:t>
      </w:r>
      <w:r w:rsidRPr="00E41F19">
        <w:rPr>
          <w:bCs/>
        </w:rPr>
        <w:t>грибами</w:t>
      </w:r>
      <w:r w:rsidRPr="00144984">
        <w:rPr>
          <w:bCs/>
        </w:rPr>
        <w:t>.</w:t>
      </w:r>
    </w:p>
    <w:p w14:paraId="774A5244" w14:textId="77777777" w:rsidR="00C466A6" w:rsidRPr="00144984" w:rsidRDefault="00C466A6" w:rsidP="00C466A6">
      <w:pPr>
        <w:widowControl w:val="0"/>
        <w:autoSpaceDE w:val="0"/>
        <w:autoSpaceDN w:val="0"/>
        <w:adjustRightInd w:val="0"/>
        <w:ind w:right="50" w:firstLine="709"/>
        <w:contextualSpacing/>
        <w:rPr>
          <w:i/>
          <w:iCs/>
          <w:u w:val="single"/>
        </w:rPr>
      </w:pPr>
      <w:r w:rsidRPr="00686506">
        <w:rPr>
          <w:i/>
          <w:iCs/>
          <w:u w:val="single"/>
        </w:rPr>
        <w:t>Фузариоз</w:t>
      </w:r>
      <w:r w:rsidRPr="00144984">
        <w:rPr>
          <w:i/>
          <w:iCs/>
          <w:u w:val="single"/>
        </w:rPr>
        <w:t xml:space="preserve"> </w:t>
      </w:r>
    </w:p>
    <w:p w14:paraId="7942F731" w14:textId="77777777" w:rsidR="00C466A6" w:rsidRPr="00DA2BC8" w:rsidRDefault="00C466A6" w:rsidP="00C466A6">
      <w:pPr>
        <w:widowControl w:val="0"/>
        <w:autoSpaceDE w:val="0"/>
        <w:autoSpaceDN w:val="0"/>
        <w:adjustRightInd w:val="0"/>
        <w:ind w:right="50" w:firstLine="709"/>
        <w:contextualSpacing/>
      </w:pPr>
      <w:r w:rsidRPr="00DA2BC8">
        <w:t>Основными</w:t>
      </w:r>
      <w:r w:rsidRPr="00144984">
        <w:t xml:space="preserve"> </w:t>
      </w:r>
      <w:r w:rsidRPr="00DA2BC8">
        <w:t>возбудителями</w:t>
      </w:r>
      <w:r w:rsidRPr="00144984">
        <w:t xml:space="preserve"> </w:t>
      </w:r>
      <w:r w:rsidRPr="00DA2BC8">
        <w:t>являются</w:t>
      </w:r>
      <w:r w:rsidRPr="00144984">
        <w:t xml:space="preserve"> </w:t>
      </w:r>
      <w:r w:rsidRPr="00FB256D">
        <w:rPr>
          <w:i/>
          <w:iCs/>
          <w:lang w:val="en-US"/>
        </w:rPr>
        <w:t>Fusarium</w:t>
      </w:r>
      <w:r w:rsidRPr="00144984">
        <w:rPr>
          <w:i/>
          <w:iCs/>
        </w:rPr>
        <w:t xml:space="preserve"> </w:t>
      </w:r>
      <w:r w:rsidRPr="00FB256D">
        <w:rPr>
          <w:i/>
          <w:iCs/>
          <w:lang w:val="en-US"/>
        </w:rPr>
        <w:t>solani</w:t>
      </w:r>
      <w:r w:rsidRPr="00144984">
        <w:t xml:space="preserve"> </w:t>
      </w:r>
      <w:r w:rsidRPr="00DA2BC8">
        <w:t>и</w:t>
      </w:r>
      <w:r w:rsidRPr="00144984">
        <w:t xml:space="preserve"> </w:t>
      </w:r>
      <w:r w:rsidRPr="00FB256D">
        <w:rPr>
          <w:i/>
          <w:iCs/>
          <w:lang w:val="en-US"/>
        </w:rPr>
        <w:t>Fusarium</w:t>
      </w:r>
      <w:r w:rsidRPr="00144984">
        <w:rPr>
          <w:i/>
          <w:iCs/>
        </w:rPr>
        <w:t xml:space="preserve"> </w:t>
      </w:r>
      <w:r w:rsidRPr="00FB256D">
        <w:rPr>
          <w:i/>
          <w:iCs/>
          <w:lang w:val="en-US"/>
        </w:rPr>
        <w:t>oxysporum</w:t>
      </w:r>
      <w:r w:rsidRPr="00144984">
        <w:t xml:space="preserve">. </w:t>
      </w:r>
      <w:r w:rsidRPr="00DA2BC8">
        <w:t>Фузариоз</w:t>
      </w:r>
      <w:r w:rsidRPr="00144984">
        <w:t xml:space="preserve"> </w:t>
      </w:r>
      <w:r w:rsidRPr="00DA2BC8">
        <w:t>развивается</w:t>
      </w:r>
      <w:r w:rsidRPr="00144984">
        <w:t xml:space="preserve"> </w:t>
      </w:r>
      <w:r w:rsidRPr="00DA2BC8">
        <w:t>преимущественно</w:t>
      </w:r>
      <w:r w:rsidRPr="00144984">
        <w:t xml:space="preserve"> </w:t>
      </w:r>
      <w:r w:rsidRPr="00DA2BC8">
        <w:t>у</w:t>
      </w:r>
      <w:r w:rsidRPr="00144984">
        <w:t xml:space="preserve"> </w:t>
      </w:r>
      <w:r>
        <w:t>онкогематологических</w:t>
      </w:r>
      <w:r w:rsidRPr="00144984">
        <w:t xml:space="preserve"> </w:t>
      </w:r>
      <w:r>
        <w:t>пациентов</w:t>
      </w:r>
      <w:r w:rsidRPr="00DA2BC8">
        <w:t xml:space="preserve">, в основном у </w:t>
      </w:r>
      <w:r>
        <w:t>пациентов с острыми миелоидными лейкозами</w:t>
      </w:r>
      <w:r w:rsidRPr="00DA2BC8">
        <w:t xml:space="preserve"> и у реципиентов аллогенных СГК. Ведущим фактором риска возникновения фузариоза является наличие гранулоцитопении. В отличие от других видов мицелиальных грибов, основным проявлением инфекции, вызванной </w:t>
      </w:r>
      <w:r w:rsidRPr="00DA2BC8">
        <w:rPr>
          <w:i/>
          <w:iCs/>
        </w:rPr>
        <w:t xml:space="preserve">Fusarium </w:t>
      </w:r>
      <w:r w:rsidRPr="00DA2BC8">
        <w:t xml:space="preserve">spp., является фунгемия (40-60%) с образованием септико-пиемических очагов на коже (60-80%), а также вовлечение в инфекционный процесс легких и придаточных пазух носа. Для фузариоза характерно наличие на коже множества септико-пиемических очагов в виде уплотненных эритематозных макул или папул, болезненных, с некрозом в центре. Летальность при фузариозе высокая и достигает 50-70% у иммунокомпрометированных больных. </w:t>
      </w:r>
      <w:r w:rsidRPr="00DA2BC8">
        <w:rPr>
          <w:bCs/>
        </w:rPr>
        <w:t xml:space="preserve">Для диагностики фузариоза должна быть получена культура </w:t>
      </w:r>
      <w:r w:rsidRPr="00DA2BC8">
        <w:rPr>
          <w:i/>
          <w:iCs/>
        </w:rPr>
        <w:t>Fusarium</w:t>
      </w:r>
      <w:r w:rsidRPr="00DA2BC8">
        <w:t xml:space="preserve"> spp. из крови или других стерильных образцов (биоптаты кожи и органов, аспират придаточных пазух носа), жидкости БАЛ или мокроты. При фузариозе может быть определен ложно-положительный антиген </w:t>
      </w:r>
      <w:r w:rsidRPr="00DA2BC8">
        <w:rPr>
          <w:i/>
          <w:iCs/>
        </w:rPr>
        <w:t>Aspergillus</w:t>
      </w:r>
      <w:r w:rsidRPr="00DA2BC8">
        <w:t xml:space="preserve"> (галактоманнан). Радиологические изменения в легких и придаточных пазухах носа при фузариозе неспецифичны и схожи с инвазивным аспергиллезом. </w:t>
      </w:r>
      <w:r w:rsidRPr="00DA2BC8">
        <w:rPr>
          <w:iCs/>
        </w:rPr>
        <w:t>Грибы</w:t>
      </w:r>
      <w:r w:rsidRPr="00DA2BC8">
        <w:rPr>
          <w:i/>
          <w:iCs/>
        </w:rPr>
        <w:t xml:space="preserve"> Fusaruim </w:t>
      </w:r>
      <w:r w:rsidRPr="00DA2BC8">
        <w:t xml:space="preserve">spp. характеризуются низкими параметрами чувствительности и могут быть устойчивыми ко всем препаратам из группы азолов. </w:t>
      </w:r>
    </w:p>
    <w:p w14:paraId="19121E65" w14:textId="77777777" w:rsidR="00C466A6" w:rsidRPr="00DA2BC8" w:rsidRDefault="00C466A6" w:rsidP="00C466A6">
      <w:pPr>
        <w:widowControl w:val="0"/>
        <w:autoSpaceDE w:val="0"/>
        <w:autoSpaceDN w:val="0"/>
        <w:adjustRightInd w:val="0"/>
        <w:ind w:right="50" w:firstLine="709"/>
        <w:contextualSpacing/>
        <w:rPr>
          <w:b/>
          <w:bCs/>
        </w:rPr>
      </w:pPr>
      <w:r w:rsidRPr="00DA2BC8">
        <w:rPr>
          <w:bCs/>
        </w:rPr>
        <w:t xml:space="preserve">Препаратом выбора для лечения является </w:t>
      </w:r>
      <w:r w:rsidRPr="00DA2BC8">
        <w:t xml:space="preserve">вориконазол (в 1-й день по 6 мг/кг внутривенно 2 раза в сутки, затем по 4 мг/кг внутривенно 2 раза в сутки, с переходом на пероральную форму по 200 мг 2 раза в сутки, прием натощак или через 1 час после еды), </w:t>
      </w:r>
      <w:r w:rsidRPr="00DA2BC8">
        <w:rPr>
          <w:bCs/>
        </w:rPr>
        <w:t xml:space="preserve">альтернативные препараты - </w:t>
      </w:r>
      <w:r w:rsidRPr="00DA2BC8">
        <w:t>липосомальный амфотерицин В (5 мг/кг)</w:t>
      </w:r>
      <w:r w:rsidRPr="00DA2BC8">
        <w:rPr>
          <w:bCs/>
        </w:rPr>
        <w:t>, л</w:t>
      </w:r>
      <w:r w:rsidRPr="00DA2BC8">
        <w:t>ипидный комплекс амфотерицина В (5 мг/кг), позаконазол (суспензия, по 400 мг 2 раза в сутки, после еды).</w:t>
      </w:r>
      <w:r w:rsidRPr="00DA2BC8">
        <w:rPr>
          <w:bCs/>
        </w:rPr>
        <w:t xml:space="preserve"> </w:t>
      </w:r>
      <w:r w:rsidRPr="00DA2BC8">
        <w:t xml:space="preserve">Не показано сочетание противогрибковых препаратов в качестве стартовой терапии. Не назначают эхинокандин ввиду природной устойчивости. </w:t>
      </w:r>
    </w:p>
    <w:p w14:paraId="6724CB73" w14:textId="77777777" w:rsidR="00C466A6" w:rsidRPr="00686506" w:rsidRDefault="00C466A6" w:rsidP="00C466A6">
      <w:pPr>
        <w:widowControl w:val="0"/>
        <w:autoSpaceDE w:val="0"/>
        <w:autoSpaceDN w:val="0"/>
        <w:adjustRightInd w:val="0"/>
        <w:ind w:right="51" w:firstLine="709"/>
        <w:contextualSpacing/>
        <w:rPr>
          <w:i/>
          <w:iCs/>
          <w:u w:val="single"/>
        </w:rPr>
      </w:pPr>
      <w:r w:rsidRPr="00686506">
        <w:rPr>
          <w:i/>
          <w:iCs/>
          <w:u w:val="single"/>
        </w:rPr>
        <w:t xml:space="preserve">Сцедоспориоз </w:t>
      </w:r>
    </w:p>
    <w:p w14:paraId="099DF4EA" w14:textId="77777777" w:rsidR="00C466A6" w:rsidRPr="00DA2BC8" w:rsidRDefault="00C466A6" w:rsidP="00C466A6">
      <w:pPr>
        <w:widowControl w:val="0"/>
        <w:autoSpaceDE w:val="0"/>
        <w:autoSpaceDN w:val="0"/>
        <w:adjustRightInd w:val="0"/>
        <w:ind w:right="51" w:firstLine="709"/>
        <w:contextualSpacing/>
      </w:pPr>
      <w:r w:rsidRPr="00DA2BC8">
        <w:t xml:space="preserve">Основными возбудителя сцедоспориоза являются </w:t>
      </w:r>
      <w:r w:rsidRPr="00DA2BC8">
        <w:rPr>
          <w:i/>
          <w:iCs/>
        </w:rPr>
        <w:t>Scedosporium apiospermium</w:t>
      </w:r>
      <w:r w:rsidRPr="00DA2BC8">
        <w:t xml:space="preserve"> и </w:t>
      </w:r>
      <w:r w:rsidRPr="00DA2BC8">
        <w:rPr>
          <w:i/>
          <w:iCs/>
        </w:rPr>
        <w:t>Scedosporium prolificans</w:t>
      </w:r>
      <w:r w:rsidRPr="00DA2BC8">
        <w:t xml:space="preserve">. У иммунокомпрометированных больных преобладает диссеминированная форма инфекции с преимущественным поражением кожи, придаточных пазух носа, легких и центральной нервной системы. При сцедоспориозе головного мозга, в отличие от инвазивного аспергиллеза, может не быть изменений в легких или придаточных пазухах носа. </w:t>
      </w:r>
      <w:r w:rsidRPr="00DA2BC8">
        <w:rPr>
          <w:i/>
          <w:iCs/>
        </w:rPr>
        <w:t>S. prolificans</w:t>
      </w:r>
      <w:r w:rsidRPr="00DA2BC8">
        <w:t xml:space="preserve">, как и </w:t>
      </w:r>
      <w:r w:rsidRPr="00DA2BC8">
        <w:rPr>
          <w:i/>
          <w:iCs/>
        </w:rPr>
        <w:t>Fusarium</w:t>
      </w:r>
      <w:r w:rsidRPr="00DA2BC8">
        <w:t xml:space="preserve"> spp., с высокой частотой (&gt;50%) выделяют из гемокультуры. Для инфекций, вызванных </w:t>
      </w:r>
      <w:r w:rsidRPr="00DA2BC8">
        <w:rPr>
          <w:i/>
          <w:iCs/>
        </w:rPr>
        <w:t>S. prolificans</w:t>
      </w:r>
      <w:r w:rsidRPr="00DA2BC8">
        <w:t xml:space="preserve">, характерна очень высокая летальность (до 95%) среди больных опухолями системы крови ввиду наличия устойчивости этого микроорганизма ко многим противогрибковым препаратам, а в ряде случаев ко всем антимикотикам. </w:t>
      </w:r>
      <w:r w:rsidRPr="00DA2BC8">
        <w:rPr>
          <w:bCs/>
        </w:rPr>
        <w:t xml:space="preserve">Критерии диагностики сцедоспориоза включают </w:t>
      </w:r>
      <w:r w:rsidRPr="00DA2BC8">
        <w:t xml:space="preserve">выделение </w:t>
      </w:r>
      <w:r w:rsidRPr="00DA2BC8">
        <w:rPr>
          <w:i/>
          <w:iCs/>
        </w:rPr>
        <w:t xml:space="preserve">Scedosporium </w:t>
      </w:r>
      <w:r w:rsidRPr="00DA2BC8">
        <w:t xml:space="preserve">spp. из гемокультуры или других стерильных образцов (аспират из придаточных пазух носа, биоптаты тканей и органов), жидкости БАЛ, мокроты. </w:t>
      </w:r>
      <w:r w:rsidRPr="00DA2BC8">
        <w:rPr>
          <w:bCs/>
        </w:rPr>
        <w:t>Препарат выбора –</w:t>
      </w:r>
      <w:r w:rsidRPr="00DA2BC8">
        <w:t xml:space="preserve"> вориконазол (дозирование как при аспергиллезе), </w:t>
      </w:r>
      <w:r w:rsidRPr="00DA2BC8">
        <w:rPr>
          <w:bCs/>
        </w:rPr>
        <w:t>альтернативные - л</w:t>
      </w:r>
      <w:r w:rsidRPr="00DA2BC8">
        <w:t>ипосомальный или липидный комплекс амфотерцина В (5 мг/кг) или позаконазол (по 400 мг х 2 раза в сутки). Возможно применение сочетания антимикотиков.</w:t>
      </w:r>
    </w:p>
    <w:p w14:paraId="0BC96B56" w14:textId="77777777" w:rsidR="00C466A6" w:rsidRPr="00686506" w:rsidRDefault="00C466A6" w:rsidP="00C466A6">
      <w:pPr>
        <w:widowControl w:val="0"/>
        <w:autoSpaceDE w:val="0"/>
        <w:autoSpaceDN w:val="0"/>
        <w:adjustRightInd w:val="0"/>
        <w:ind w:right="51" w:firstLine="709"/>
        <w:contextualSpacing/>
        <w:rPr>
          <w:i/>
          <w:iCs/>
          <w:u w:val="single"/>
        </w:rPr>
      </w:pPr>
      <w:r w:rsidRPr="00686506">
        <w:rPr>
          <w:i/>
          <w:iCs/>
          <w:u w:val="single"/>
        </w:rPr>
        <w:t>Инфекции, вызванные Acremonium spp.</w:t>
      </w:r>
    </w:p>
    <w:p w14:paraId="492769CE" w14:textId="77777777" w:rsidR="00C466A6" w:rsidRPr="00DA2BC8" w:rsidRDefault="00C466A6" w:rsidP="00C466A6">
      <w:pPr>
        <w:widowControl w:val="0"/>
        <w:autoSpaceDE w:val="0"/>
        <w:autoSpaceDN w:val="0"/>
        <w:adjustRightInd w:val="0"/>
        <w:ind w:right="51" w:firstLine="709"/>
        <w:contextualSpacing/>
      </w:pPr>
      <w:r>
        <w:t>Эти г</w:t>
      </w:r>
      <w:r w:rsidRPr="00DA2BC8">
        <w:t xml:space="preserve">рибы широко распространены в окружающей среде. Описаны случаи перитонита, инфицирования диализной фистулы, остеомиелита, менингита после спинномозговой анестезии, эндокардита после операции на клапанах, пневмонии, вызванные </w:t>
      </w:r>
      <w:r w:rsidRPr="00DA2BC8">
        <w:rPr>
          <w:i/>
          <w:iCs/>
        </w:rPr>
        <w:t xml:space="preserve">Acremonium </w:t>
      </w:r>
      <w:r w:rsidRPr="00DA2BC8">
        <w:t xml:space="preserve">spp., инфекции кровотока. Диагностика инфекций, вызванных </w:t>
      </w:r>
      <w:r w:rsidRPr="00DA2BC8">
        <w:rPr>
          <w:i/>
          <w:iCs/>
        </w:rPr>
        <w:t>Acremonium</w:t>
      </w:r>
      <w:r w:rsidRPr="00DA2BC8">
        <w:t xml:space="preserve"> spp</w:t>
      </w:r>
      <w:r>
        <w:t>. включает выделение культуры этих</w:t>
      </w:r>
      <w:r w:rsidRPr="00DA2BC8">
        <w:t xml:space="preserve"> грибов из локуса поражения</w:t>
      </w:r>
      <w:r>
        <w:t>, выявленного при соответствующей инструментальной диагностике (УЗИ, ЭхоКГ, КТ/СКТ, МРТ пораженных областей) и манипуляциях – люмбальная пункция, плевральная пункция, пункция брюшной полости, пункция/биопсия очага поражения</w:t>
      </w:r>
      <w:r w:rsidRPr="00DA2BC8">
        <w:t>. Лечение проводится вориконазолом или амфотерицином В или позаконазолом (стандартные дозы).</w:t>
      </w:r>
    </w:p>
    <w:p w14:paraId="240F1614" w14:textId="77777777" w:rsidR="00686506" w:rsidRDefault="00686506" w:rsidP="00686506">
      <w:pPr>
        <w:widowControl w:val="0"/>
        <w:autoSpaceDE w:val="0"/>
        <w:autoSpaceDN w:val="0"/>
        <w:adjustRightInd w:val="0"/>
        <w:ind w:right="50"/>
        <w:contextualSpacing/>
        <w:rPr>
          <w:b/>
          <w:bCs/>
        </w:rPr>
      </w:pPr>
    </w:p>
    <w:p w14:paraId="6A16B5EF" w14:textId="73FEDC76" w:rsidR="00084B8B" w:rsidRPr="00084B8B" w:rsidRDefault="00686506" w:rsidP="00084B8B">
      <w:pPr>
        <w:widowControl w:val="0"/>
        <w:autoSpaceDE w:val="0"/>
        <w:autoSpaceDN w:val="0"/>
        <w:adjustRightInd w:val="0"/>
        <w:ind w:right="50"/>
        <w:contextualSpacing/>
        <w:rPr>
          <w:b/>
        </w:rPr>
      </w:pPr>
      <w:r>
        <w:rPr>
          <w:bCs/>
          <w:u w:val="single"/>
        </w:rPr>
        <w:t xml:space="preserve">7.6.8. </w:t>
      </w:r>
      <w:r w:rsidR="00C466A6" w:rsidRPr="00686506">
        <w:rPr>
          <w:bCs/>
          <w:u w:val="single"/>
        </w:rPr>
        <w:t>Диагностика и лечение пневмоцистной пневмонии</w:t>
      </w:r>
      <w:r w:rsidR="00084B8B" w:rsidRPr="00084B8B">
        <w:rPr>
          <w:bCs/>
          <w:u w:val="single"/>
        </w:rPr>
        <w:t xml:space="preserve"> </w:t>
      </w:r>
      <w:r w:rsidR="00084B8B">
        <w:rPr>
          <w:b/>
        </w:rPr>
        <w:fldChar w:fldCharType="begin" w:fldLock="1"/>
      </w:r>
      <w:r w:rsidR="0029367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infections","type":"article-journal","volume":"20"},"uris":["http://www.mendeley.com/documents/?uuid=5a6b3e24-e337-3cd9-bb20-08cd60455554"]},{"id":"ITEM-4","itemData":{"DOI":"10.1093/jac/dkw158","ISSN":"14602091","PMID":"27550993","abstract":"The initiation of systemic antimicrobial treatment of Pneumocystis jirovecii pneumonia (PCP) is triggered by clinical signs and symptoms, typical radiological and occasionally laboratory findings in patients at risk of this infection. Diagnostic proof by bronchoalveolar lavage should not delay the start of treatment. Most patients with haematological malignancies present with a severe PCP; therefore, antimicrobial therapy should be started intravenously. High-dose trimethoprim/sulfamethoxazole is the treatment of choice. In patients with documented intolerance to this regimen, the preferred alternative is the combination of primaquine plus clindamycin. Treatment success should be first evaluated after 1 week, and in case of clinical non-response, pulmonary CT scan and bronchoalveolar lavage should be repeated to look for secondary or co-infections. Treatment duration typically is 3 weeks and secondary anti-PCP prophylaxis is indicated in all patients thereafter. In patients with critical respiratory failure, non-invasive ventilation is not significantly superior to intubation and mechanical ventilation. The administration of glucocorticoids must be decided on a case-by-case basis.","author":[{"dropping-particle":"","family":"Maschmeyer","given":"Georg","non-dropping-particle":"","parse-names":false,"suffix":""},{"dropping-particle":"","family":"Helweg-Larsen","given":"Jannik","non-dropping-particle":"","parse-names":false,"suffix":""},{"dropping-particle":"","family":"Pagano","given":"Livio","non-dropping-particle":"","parse-names":false,"suffix":""},{"dropping-particle":"","family":"Robin","given":"Christine","non-dropping-particle":"","parse-names":false,"suffix":""},{"dropping-particle":"","family":"Cordonnier","given":"Catherine","non-dropping-particle":"","parse-names":false,"suffix":""},{"dropping-particle":"","family":"Schellongowski","given":"Peter","non-dropping-particle":"","parse-names":false,"suffix":""}],"container-title":"The Journal of antimicrobial chemotherapy","id":"ITEM-4","issue":"9","issued":{"date-parts":[["2016","9","1"]]},"page":"2405-2413","publisher":"J Antimicrob Chemother","title":"ECIL guidelines for treatment of Pneumocystis jirovecii pneumonia in non-HIV-infected haematology patients","type":"article-journal","volume":"71"},"uris":["http://www.mendeley.com/documents/?uuid=2f829fda-f017-3f84-8bbc-ec72967bb7a9"]}],"mendeley":{"formattedCitation":"[76,79,85,91]","plainTextFormattedCitation":"[76,79,85,91]","previouslyFormattedCitation":"[76,79,85,91]"},"properties":{"noteIndex":0},"schema":"https://github.com/citation-style-language/schema/raw/master/csl-citation.json"}</w:instrText>
      </w:r>
      <w:r w:rsidR="00084B8B">
        <w:rPr>
          <w:b/>
        </w:rPr>
        <w:fldChar w:fldCharType="separate"/>
      </w:r>
      <w:r w:rsidR="00FB256D" w:rsidRPr="00FB256D">
        <w:rPr>
          <w:noProof/>
        </w:rPr>
        <w:t>[76,79,85,91]</w:t>
      </w:r>
      <w:r w:rsidR="00084B8B">
        <w:rPr>
          <w:b/>
        </w:rPr>
        <w:fldChar w:fldCharType="end"/>
      </w:r>
    </w:p>
    <w:p w14:paraId="56450DBA" w14:textId="4BB72EE4" w:rsidR="00C466A6" w:rsidRPr="00DA2BC8" w:rsidRDefault="00C466A6" w:rsidP="00C466A6">
      <w:pPr>
        <w:widowControl w:val="0"/>
        <w:autoSpaceDE w:val="0"/>
        <w:autoSpaceDN w:val="0"/>
        <w:adjustRightInd w:val="0"/>
        <w:ind w:right="50" w:firstLine="709"/>
        <w:contextualSpacing/>
      </w:pPr>
      <w:r w:rsidRPr="00DA2BC8">
        <w:t>До</w:t>
      </w:r>
      <w:r w:rsidRPr="00FB256D">
        <w:t xml:space="preserve"> </w:t>
      </w:r>
      <w:r w:rsidRPr="00DA2BC8">
        <w:t>недавнего</w:t>
      </w:r>
      <w:r w:rsidRPr="00FB256D">
        <w:t xml:space="preserve"> </w:t>
      </w:r>
      <w:r w:rsidRPr="00DA2BC8">
        <w:t>времени</w:t>
      </w:r>
      <w:r w:rsidRPr="00FB256D">
        <w:t xml:space="preserve"> </w:t>
      </w:r>
      <w:r w:rsidRPr="00DA2BC8">
        <w:t>большинство</w:t>
      </w:r>
      <w:r w:rsidRPr="00FB256D">
        <w:t xml:space="preserve"> </w:t>
      </w:r>
      <w:r w:rsidRPr="00DA2BC8">
        <w:t>специалистов</w:t>
      </w:r>
      <w:r w:rsidRPr="00FB256D">
        <w:t xml:space="preserve"> </w:t>
      </w:r>
      <w:r w:rsidRPr="00DA2BC8">
        <w:t>относили</w:t>
      </w:r>
      <w:r w:rsidRPr="00FB256D">
        <w:t xml:space="preserve"> </w:t>
      </w:r>
      <w:r w:rsidRPr="00FB256D">
        <w:rPr>
          <w:i/>
          <w:iCs/>
          <w:lang w:val="en-US"/>
        </w:rPr>
        <w:t>Pneumocystis</w:t>
      </w:r>
      <w:r w:rsidRPr="00FB256D">
        <w:rPr>
          <w:i/>
          <w:iCs/>
        </w:rPr>
        <w:t xml:space="preserve"> </w:t>
      </w:r>
      <w:r w:rsidRPr="00FB256D">
        <w:rPr>
          <w:i/>
          <w:iCs/>
          <w:lang w:val="en-US"/>
        </w:rPr>
        <w:t>jirovecii</w:t>
      </w:r>
      <w:r w:rsidRPr="00FB256D">
        <w:t xml:space="preserve"> (</w:t>
      </w:r>
      <w:r w:rsidRPr="00DA2BC8">
        <w:t>ранее</w:t>
      </w:r>
      <w:r w:rsidRPr="00FB256D">
        <w:t xml:space="preserve"> </w:t>
      </w:r>
      <w:r w:rsidRPr="00FB256D">
        <w:rPr>
          <w:i/>
          <w:iCs/>
          <w:lang w:val="en-US"/>
        </w:rPr>
        <w:t>Pneumocystis</w:t>
      </w:r>
      <w:r w:rsidRPr="00FB256D">
        <w:rPr>
          <w:i/>
          <w:iCs/>
        </w:rPr>
        <w:t xml:space="preserve"> </w:t>
      </w:r>
      <w:r w:rsidRPr="00FB256D">
        <w:rPr>
          <w:i/>
          <w:iCs/>
          <w:lang w:val="en-US"/>
        </w:rPr>
        <w:t>carinii</w:t>
      </w:r>
      <w:r w:rsidRPr="00FB256D">
        <w:t xml:space="preserve">) </w:t>
      </w:r>
      <w:r w:rsidRPr="00DA2BC8">
        <w:t>к</w:t>
      </w:r>
      <w:r w:rsidRPr="00FB256D">
        <w:t xml:space="preserve"> </w:t>
      </w:r>
      <w:r w:rsidRPr="00DA2BC8">
        <w:t>простейшим</w:t>
      </w:r>
      <w:r w:rsidRPr="00FB256D">
        <w:t xml:space="preserve">. </w:t>
      </w:r>
      <w:r w:rsidRPr="00DA2BC8">
        <w:t xml:space="preserve">Это подтверждалось эффективным лечением пневмоцистной инфекции препаратами с антипротозойной активностью и безуспешной терапией противогрибковыми препаратами, а также отсутствием некоторых веществ в клеточной стенке пневмоцист, характерных для грибов, например, эргостерола. В настоящее время </w:t>
      </w:r>
      <w:r w:rsidRPr="00DA2BC8">
        <w:rPr>
          <w:i/>
          <w:iCs/>
        </w:rPr>
        <w:t>P. jirovecii</w:t>
      </w:r>
      <w:r w:rsidRPr="00DA2BC8">
        <w:t xml:space="preserve"> отнесены к дрожжеподобным грибам, сходным с патогенами растений, на основании идентичности строения ряда клеточных структур, гомологичности ферментных систем, фрагментов рибонуклеиновых кислот (16S pРНК, 5S pРНК).</w:t>
      </w:r>
    </w:p>
    <w:p w14:paraId="322C77F5" w14:textId="77777777" w:rsidR="00C466A6" w:rsidRPr="00DA2BC8" w:rsidRDefault="00C466A6" w:rsidP="00C466A6">
      <w:pPr>
        <w:widowControl w:val="0"/>
        <w:autoSpaceDE w:val="0"/>
        <w:autoSpaceDN w:val="0"/>
        <w:adjustRightInd w:val="0"/>
        <w:ind w:right="50" w:firstLine="709"/>
        <w:contextualSpacing/>
      </w:pPr>
      <w:r w:rsidRPr="00DA2BC8">
        <w:t xml:space="preserve">В общей популяции передача возбудителя происходит при непосредственном контакте с носителем </w:t>
      </w:r>
      <w:r w:rsidRPr="00DA2BC8">
        <w:rPr>
          <w:i/>
          <w:iCs/>
        </w:rPr>
        <w:t>P. jirovecii</w:t>
      </w:r>
      <w:r w:rsidRPr="00DA2BC8">
        <w:t xml:space="preserve">. У иммунокомпрометированных </w:t>
      </w:r>
      <w:r>
        <w:t>пациентов</w:t>
      </w:r>
      <w:r w:rsidRPr="00DA2BC8">
        <w:t xml:space="preserve"> </w:t>
      </w:r>
      <w:r w:rsidRPr="00DA2BC8">
        <w:rPr>
          <w:i/>
          <w:iCs/>
        </w:rPr>
        <w:t>P. jirovecii</w:t>
      </w:r>
      <w:r w:rsidRPr="00DA2BC8">
        <w:t xml:space="preserve"> вызывают тяжелую пневмонию, в большинстве случаев сопровождающейся острой дыхательной недостаточностью. Пневмоцистная пневмония возникает, прежде всего, у реципиентов аллогенных СГК, </w:t>
      </w:r>
      <w:r>
        <w:t xml:space="preserve">пациентов с </w:t>
      </w:r>
      <w:r w:rsidRPr="00DA2BC8">
        <w:t>острыми лимфобластными лейкозами</w:t>
      </w:r>
      <w:r>
        <w:t xml:space="preserve">, </w:t>
      </w:r>
      <w:r w:rsidRPr="00DA2BC8">
        <w:t xml:space="preserve">лимфопролиферативными заболеваниями, включая </w:t>
      </w:r>
      <w:r>
        <w:t>пациентов</w:t>
      </w:r>
      <w:r w:rsidRPr="00DA2BC8">
        <w:t xml:space="preserve"> хроническим лимфолейкозом, лимфомами, множественной миеломой. Сопутствующие заболевания, такие как хроническая обструктивная болезнь легких и бронхиальная астма также ассоциированы с развитием этой инфекции. Активная профилактика пневмоцистных пневмоний привели к существенному снижению частоты подобных осложнений. Развитие пневмоцистной пневмонии на фоне профилактического приема ко-тримоксазола бывает обусловлено чаще всего нарушениями в режиме приема препарата, а не резистентнотсью. Летальность от пневмоцистной пневмонии у </w:t>
      </w:r>
      <w:r>
        <w:t>гематологических пациентов</w:t>
      </w:r>
      <w:r w:rsidRPr="00DA2BC8">
        <w:t xml:space="preserve"> может достигать 30-50%, особенно у реципиентов аллогенных СГК. </w:t>
      </w:r>
    </w:p>
    <w:p w14:paraId="6F02AE3E" w14:textId="77777777" w:rsidR="00C466A6" w:rsidRPr="00686506" w:rsidRDefault="00C466A6" w:rsidP="00C466A6">
      <w:pPr>
        <w:widowControl w:val="0"/>
        <w:autoSpaceDE w:val="0"/>
        <w:autoSpaceDN w:val="0"/>
        <w:adjustRightInd w:val="0"/>
        <w:ind w:right="50" w:firstLine="709"/>
        <w:contextualSpacing/>
        <w:rPr>
          <w:i/>
          <w:iCs/>
        </w:rPr>
      </w:pPr>
      <w:r w:rsidRPr="00686506">
        <w:rPr>
          <w:i/>
          <w:iCs/>
          <w:u w:val="single"/>
        </w:rPr>
        <w:t>Факторы риска</w:t>
      </w:r>
    </w:p>
    <w:p w14:paraId="54E38239" w14:textId="77777777" w:rsidR="00C466A6" w:rsidRPr="00DA2BC8" w:rsidRDefault="00C466A6" w:rsidP="00C466A6">
      <w:pPr>
        <w:widowControl w:val="0"/>
        <w:autoSpaceDE w:val="0"/>
        <w:autoSpaceDN w:val="0"/>
        <w:adjustRightInd w:val="0"/>
        <w:ind w:right="50" w:firstLine="709"/>
        <w:contextualSpacing/>
      </w:pPr>
      <w:r w:rsidRPr="00DA2BC8">
        <w:t xml:space="preserve">Пневмоцистная пневмония возникает прежде всего у </w:t>
      </w:r>
      <w:r>
        <w:t>пациентов</w:t>
      </w:r>
      <w:r w:rsidRPr="00DA2BC8">
        <w:t xml:space="preserve"> с дефицитом Т-клеточного звена иммунитета, лимфоцитопенией, низким уровнем CD4+ клеток. Основной предрасполагающий фактор в развитии пневмоцистной пневмонии – это прием глюкокортикоидов. К другим факторам относят использование цитостатических препаратов (флюдарабин</w:t>
      </w:r>
      <w:r>
        <w:t>а, винкристина, циклофосфамида</w:t>
      </w:r>
      <w:r w:rsidRPr="00DA2BC8">
        <w:t xml:space="preserve">), моноклональных антител (ритуксимаба, </w:t>
      </w:r>
      <w:r>
        <w:t>обину</w:t>
      </w:r>
      <w:r w:rsidRPr="00DA2BC8">
        <w:t xml:space="preserve">тузумаба), трансплантация СГК, РТПХ. </w:t>
      </w:r>
    </w:p>
    <w:p w14:paraId="3707AEBB" w14:textId="77777777" w:rsidR="00C466A6" w:rsidRPr="00686506" w:rsidRDefault="00C466A6" w:rsidP="00C466A6">
      <w:pPr>
        <w:widowControl w:val="0"/>
        <w:autoSpaceDE w:val="0"/>
        <w:autoSpaceDN w:val="0"/>
        <w:adjustRightInd w:val="0"/>
        <w:ind w:right="50" w:firstLine="709"/>
        <w:contextualSpacing/>
        <w:rPr>
          <w:i/>
          <w:iCs/>
          <w:u w:val="single"/>
        </w:rPr>
      </w:pPr>
      <w:r w:rsidRPr="00686506">
        <w:rPr>
          <w:i/>
          <w:iCs/>
          <w:u w:val="single"/>
        </w:rPr>
        <w:t>Симптомы</w:t>
      </w:r>
    </w:p>
    <w:p w14:paraId="3CC71699" w14:textId="77777777" w:rsidR="00C466A6" w:rsidRPr="00DA2BC8" w:rsidRDefault="00C466A6" w:rsidP="00C466A6">
      <w:pPr>
        <w:widowControl w:val="0"/>
        <w:autoSpaceDE w:val="0"/>
        <w:autoSpaceDN w:val="0"/>
        <w:adjustRightInd w:val="0"/>
        <w:ind w:right="50" w:firstLine="709"/>
        <w:contextualSpacing/>
      </w:pPr>
      <w:r w:rsidRPr="00DA2BC8">
        <w:t xml:space="preserve">Начальные признаки инфекции включают лихорадку (90%), сухой кашель, одышку, затем быстро возникает острая дыхательная недостаточность. У части </w:t>
      </w:r>
      <w:r>
        <w:t>пациентов</w:t>
      </w:r>
      <w:r w:rsidRPr="00DA2BC8">
        <w:t xml:space="preserve">, получающих кортикостероиды, клиническая картина может быть стертой и ухудшение происходит только после снижения дозы или отмены этих препаратов. При осмотре </w:t>
      </w:r>
      <w:r>
        <w:t>пациента</w:t>
      </w:r>
      <w:r w:rsidRPr="00DA2BC8">
        <w:t xml:space="preserve"> с пневмоцистной пневмонией выявляется, прежде всего, несоответствие между физикальными данными и тяжестью </w:t>
      </w:r>
      <w:r>
        <w:t>состояния</w:t>
      </w:r>
      <w:r w:rsidRPr="00DA2BC8">
        <w:t xml:space="preserve">, когда крайне скудная аускультативная симптоматика сочетается с выраженной дыхательной недостаточностью (одышка, артериальная гипоксемия, респираторный алкалоз). </w:t>
      </w:r>
    </w:p>
    <w:p w14:paraId="3CBABD2E" w14:textId="77777777" w:rsidR="00C466A6" w:rsidRPr="00DA2BC8" w:rsidRDefault="00C466A6" w:rsidP="00C466A6">
      <w:pPr>
        <w:widowControl w:val="0"/>
        <w:autoSpaceDE w:val="0"/>
        <w:autoSpaceDN w:val="0"/>
        <w:adjustRightInd w:val="0"/>
        <w:ind w:right="50" w:firstLine="709"/>
        <w:contextualSpacing/>
      </w:pPr>
      <w:r w:rsidRPr="00DA2BC8">
        <w:rPr>
          <w:bCs/>
        </w:rPr>
        <w:t>Диагностика включает о</w:t>
      </w:r>
      <w:r w:rsidRPr="00DA2BC8">
        <w:t xml:space="preserve">бнаружение цист, трофозоидов при флуоресцентной микроскопии (метод непрямой иммунофлюоресценции) или ДНК </w:t>
      </w:r>
      <w:r w:rsidRPr="00DA2BC8">
        <w:rPr>
          <w:i/>
          <w:iCs/>
        </w:rPr>
        <w:t>P. jirovecii</w:t>
      </w:r>
      <w:r w:rsidRPr="00DA2BC8">
        <w:t xml:space="preserve"> методом ПЦР в образцах жидкости БАЛ.</w:t>
      </w:r>
      <w:r w:rsidRPr="00DA2BC8">
        <w:rPr>
          <w:bCs/>
        </w:rPr>
        <w:t xml:space="preserve"> </w:t>
      </w:r>
      <w:r w:rsidRPr="00DA2BC8">
        <w:t xml:space="preserve">Образцы индуцированной мокроты или смывыв со слизистой оболочки бронхов и верхних дыхательных путей не используют для диагностики пневмоцистной инфекции у </w:t>
      </w:r>
      <w:r>
        <w:t>гематологических пациентов</w:t>
      </w:r>
      <w:r w:rsidRPr="00DA2BC8">
        <w:t xml:space="preserve"> ввиду их низкой чувствительности. </w:t>
      </w:r>
    </w:p>
    <w:p w14:paraId="62F86021" w14:textId="77777777" w:rsidR="00C466A6" w:rsidRPr="00DA2BC8" w:rsidRDefault="00C466A6" w:rsidP="00C466A6">
      <w:pPr>
        <w:widowControl w:val="0"/>
        <w:autoSpaceDE w:val="0"/>
        <w:autoSpaceDN w:val="0"/>
        <w:adjustRightInd w:val="0"/>
        <w:ind w:right="50" w:firstLine="709"/>
        <w:contextualSpacing/>
      </w:pPr>
      <w:r w:rsidRPr="00DA2BC8">
        <w:t xml:space="preserve">Неоднократное обнаружение ДНК пневмоцист при повторных исследованиях жидкости БАЛ не является критерием неэффективного лечения при наличии положительной клинической динамики. </w:t>
      </w:r>
      <w:r w:rsidRPr="00DA2BC8">
        <w:rPr>
          <w:i/>
          <w:iCs/>
        </w:rPr>
        <w:t>P. jirovecii</w:t>
      </w:r>
      <w:r w:rsidRPr="00DA2BC8">
        <w:t xml:space="preserve"> могут определяться в жидкости БАЛ в течение нескольких дней и даже недель при успешном лечении пневмоцистной пневмонии. </w:t>
      </w:r>
    </w:p>
    <w:p w14:paraId="6D8CCAB2" w14:textId="77777777" w:rsidR="00C466A6" w:rsidRPr="00DA2BC8" w:rsidRDefault="00C466A6" w:rsidP="00C466A6">
      <w:pPr>
        <w:widowControl w:val="0"/>
        <w:autoSpaceDE w:val="0"/>
        <w:autoSpaceDN w:val="0"/>
        <w:adjustRightInd w:val="0"/>
        <w:ind w:right="50" w:firstLine="709"/>
        <w:contextualSpacing/>
      </w:pPr>
      <w:r w:rsidRPr="00DA2BC8">
        <w:t>У реципиентов аллогенных СГК пневмоцистная пневмония примерно в половине случаев сочетается с цитамегаловирусной инфекцией.</w:t>
      </w:r>
    </w:p>
    <w:p w14:paraId="4D490068" w14:textId="77777777" w:rsidR="00C466A6" w:rsidRPr="00DA2BC8" w:rsidRDefault="00C466A6" w:rsidP="00C466A6">
      <w:pPr>
        <w:widowControl w:val="0"/>
        <w:autoSpaceDE w:val="0"/>
        <w:autoSpaceDN w:val="0"/>
        <w:adjustRightInd w:val="0"/>
        <w:ind w:right="50" w:firstLine="709"/>
        <w:contextualSpacing/>
      </w:pPr>
      <w:r w:rsidRPr="00DA2BC8">
        <w:t xml:space="preserve">Повышение уровня лактатдегидрогеназы в сыворотке крови при пневмоцистной пневмонии более характерно для ВИЧ-инфицированных больных, а не для больных опухолями системы крови. </w:t>
      </w:r>
    </w:p>
    <w:p w14:paraId="04A1656F" w14:textId="77777777" w:rsidR="00C466A6" w:rsidRPr="00686506" w:rsidRDefault="00C466A6" w:rsidP="00C466A6">
      <w:pPr>
        <w:widowControl w:val="0"/>
        <w:autoSpaceDE w:val="0"/>
        <w:autoSpaceDN w:val="0"/>
        <w:adjustRightInd w:val="0"/>
        <w:ind w:right="50" w:firstLine="709"/>
        <w:contextualSpacing/>
        <w:rPr>
          <w:bCs/>
          <w:i/>
          <w:iCs/>
          <w:u w:val="single"/>
        </w:rPr>
      </w:pPr>
      <w:r w:rsidRPr="00686506">
        <w:rPr>
          <w:bCs/>
          <w:i/>
          <w:iCs/>
          <w:u w:val="single"/>
        </w:rPr>
        <w:t>Радиологические особенности пневмоцистной пневмонии</w:t>
      </w:r>
    </w:p>
    <w:p w14:paraId="3EBD0A06" w14:textId="77777777" w:rsidR="00C466A6" w:rsidRPr="00DA2BC8" w:rsidRDefault="00C466A6" w:rsidP="00C466A6">
      <w:pPr>
        <w:widowControl w:val="0"/>
        <w:autoSpaceDE w:val="0"/>
        <w:autoSpaceDN w:val="0"/>
        <w:adjustRightInd w:val="0"/>
        <w:ind w:right="50" w:firstLine="709"/>
        <w:contextualSpacing/>
      </w:pPr>
      <w:r w:rsidRPr="00DA2BC8">
        <w:t>Заподозрить пневмоцистную пневмонию можно только по данным КТ</w:t>
      </w:r>
      <w:r>
        <w:t>/СКТ</w:t>
      </w:r>
      <w:r w:rsidRPr="00DA2BC8">
        <w:t>.</w:t>
      </w:r>
      <w:r w:rsidRPr="00DA2BC8">
        <w:rPr>
          <w:b/>
        </w:rPr>
        <w:t xml:space="preserve"> </w:t>
      </w:r>
    </w:p>
    <w:p w14:paraId="75365295" w14:textId="77777777" w:rsidR="00C466A6" w:rsidRPr="00DA2BC8" w:rsidRDefault="00C466A6" w:rsidP="00C466A6">
      <w:pPr>
        <w:widowControl w:val="0"/>
        <w:autoSpaceDE w:val="0"/>
        <w:autoSpaceDN w:val="0"/>
        <w:adjustRightInd w:val="0"/>
        <w:ind w:right="50" w:firstLine="709"/>
        <w:contextualSpacing/>
      </w:pPr>
      <w:r w:rsidRPr="00DA2BC8">
        <w:t>При радиологическом исследовании легких обнаруживают облаковидную, туманную, по типу снежной бури или матового стекла, билатеральную инфильтрацию, чаще в прикорневых отделах легких. В то же время могут быть выявлены участки консолидации, буллы (10%), особенно в верхних долях легких, которые могут приводить к образованию пневмоторакса. Признаки плеврита бывают редко, за исключением реципиентов аллогенных СГК. В некоторых случаях определяют одиночные или множественные очаги в легких, описаны случаи симптома «обратного ореола» и каверн по данным КТ</w:t>
      </w:r>
      <w:r>
        <w:t>/СКТ</w:t>
      </w:r>
      <w:r w:rsidRPr="00DA2BC8">
        <w:t xml:space="preserve"> легких. </w:t>
      </w:r>
    </w:p>
    <w:p w14:paraId="400B0621" w14:textId="77777777" w:rsidR="00C466A6" w:rsidRPr="00DA2BC8" w:rsidRDefault="00C466A6" w:rsidP="00C466A6">
      <w:pPr>
        <w:widowControl w:val="0"/>
        <w:autoSpaceDE w:val="0"/>
        <w:autoSpaceDN w:val="0"/>
        <w:adjustRightInd w:val="0"/>
        <w:ind w:right="50" w:firstLine="709"/>
        <w:contextualSpacing/>
        <w:rPr>
          <w:b/>
          <w:bCs/>
        </w:rPr>
      </w:pPr>
      <w:r w:rsidRPr="00DA2BC8">
        <w:rPr>
          <w:bCs/>
        </w:rPr>
        <w:t>Препаратом выбора является т</w:t>
      </w:r>
      <w:r w:rsidRPr="00DA2BC8">
        <w:t>риметоприм/сульфаметоксазол, который назначают из расчета по триметоприму 15-20 мг/кг в сутки, внутривенно, дозу разделяют на 3 приема.</w:t>
      </w:r>
    </w:p>
    <w:p w14:paraId="01F6FE54" w14:textId="77777777" w:rsidR="00C466A6" w:rsidRPr="00DA2BC8" w:rsidRDefault="00C466A6" w:rsidP="00C466A6">
      <w:pPr>
        <w:widowControl w:val="0"/>
        <w:autoSpaceDE w:val="0"/>
        <w:autoSpaceDN w:val="0"/>
        <w:adjustRightInd w:val="0"/>
        <w:ind w:right="50" w:firstLine="709"/>
        <w:contextualSpacing/>
      </w:pPr>
      <w:r w:rsidRPr="00DA2BC8">
        <w:rPr>
          <w:bCs/>
        </w:rPr>
        <w:t xml:space="preserve">У </w:t>
      </w:r>
      <w:r w:rsidRPr="00DA2BC8">
        <w:t xml:space="preserve">нетяжелых </w:t>
      </w:r>
      <w:r>
        <w:t>пациентов</w:t>
      </w:r>
      <w:r w:rsidRPr="00DA2BC8">
        <w:t xml:space="preserve"> пневмоцистной пневмонией без дыхательной недостаточности, при условии отсутствия мукозита и нормальной функции желудочно-кишечного тракта (нет диареи), может быть использован триметоприм/сульфаметоксазол перорально в тех же дозах, как и для внутривенного назначения. Концентрация триметоприма/сульфаметоксазола в сыворотке крови является эквивалентной при использовании его внутривенно или перорально (в случае нормальной функции желудочно-кишечного тракта). Внутривенная форма триметоприма/сульфаметоксазола может быть заменена на пероральную без изменения дозирования препарата, как продолжение лечения, при клиническом улучшении состояния и нормальной абсорбции в желудочно-кишечном тракте. </w:t>
      </w:r>
    </w:p>
    <w:p w14:paraId="7B8783ED" w14:textId="0D957ED2" w:rsidR="00C466A6" w:rsidRDefault="00C466A6" w:rsidP="00C466A6">
      <w:pPr>
        <w:widowControl w:val="0"/>
        <w:autoSpaceDE w:val="0"/>
        <w:autoSpaceDN w:val="0"/>
        <w:adjustRightInd w:val="0"/>
        <w:ind w:right="50" w:firstLine="709"/>
        <w:contextualSpacing/>
      </w:pPr>
      <w:r w:rsidRPr="00DA2BC8">
        <w:t xml:space="preserve">Не рекомендовано назначать метотрексат в период терапии триметопримом/сульфаметоксазолом из-за развития побочных эффектов. </w:t>
      </w:r>
      <w:r w:rsidRPr="00DA2BC8">
        <w:rPr>
          <w:bCs/>
        </w:rPr>
        <w:t xml:space="preserve">Препаратами 2-го ряда являются </w:t>
      </w:r>
      <w:r w:rsidRPr="00DA2BC8">
        <w:t xml:space="preserve">пентамидин (4 мг/кг 1 раз в сутки, внутривенно, максимальная суточная доза 300 мг), сочетание примахина (30 мг внутрь 1 раз в сутки) и клиндамицина (600 мг внутривенно 3 раза в сутки). При неэффективности к триметоприму/сульфаметоксазолу добавляют каспофунгин (в 1-й день 70 мг, затем и по 50 мг внутривенно 1 раз в сутки). </w:t>
      </w:r>
      <w:r w:rsidRPr="00DA2BC8">
        <w:rPr>
          <w:iCs/>
        </w:rPr>
        <w:t>Не проводят одним эхинокандином</w:t>
      </w:r>
      <w:r w:rsidRPr="00DA2BC8">
        <w:t xml:space="preserve"> </w:t>
      </w:r>
      <w:r w:rsidRPr="00DA2BC8">
        <w:rPr>
          <w:iCs/>
        </w:rPr>
        <w:t>лечение пневмоцистной пневмонии (нет исследований).</w:t>
      </w:r>
      <w:r w:rsidRPr="00DA2BC8">
        <w:t xml:space="preserve"> Не рекомендовано назначение кортикостероидов всем больным с пневмоцистной пневмонией и дыхательной недостаточностью. Решение о добавлении кортикостероидов </w:t>
      </w:r>
      <w:r>
        <w:t>пациентам</w:t>
      </w:r>
      <w:r w:rsidRPr="00DA2BC8">
        <w:t xml:space="preserve"> с пневмоцистной пневмонией и дыхательной недостаточностью следует рассматривать индивидуально в каждом случае. </w:t>
      </w:r>
      <w:r w:rsidRPr="00DA2BC8">
        <w:rPr>
          <w:bCs/>
        </w:rPr>
        <w:t>Длительность лечения</w:t>
      </w:r>
      <w:r w:rsidRPr="00DA2BC8">
        <w:t xml:space="preserve"> пневмоцистной пневмонии составляет от 2 до 3-х недель.</w:t>
      </w:r>
    </w:p>
    <w:p w14:paraId="3B2EFA15" w14:textId="143CCF86" w:rsidR="00D620D3" w:rsidRDefault="00D620D3" w:rsidP="00C466A6">
      <w:pPr>
        <w:widowControl w:val="0"/>
        <w:autoSpaceDE w:val="0"/>
        <w:autoSpaceDN w:val="0"/>
        <w:adjustRightInd w:val="0"/>
        <w:ind w:right="50" w:firstLine="709"/>
        <w:contextualSpacing/>
      </w:pPr>
    </w:p>
    <w:p w14:paraId="0D9BDAF0" w14:textId="21AD63F4" w:rsidR="00D620D3" w:rsidRPr="00016EEF" w:rsidRDefault="00D620D3" w:rsidP="00D620D3">
      <w:pPr>
        <w:pStyle w:val="2"/>
      </w:pPr>
      <w:bookmarkStart w:id="78" w:name="_Toc65068823"/>
      <w:r>
        <w:t>7.7</w:t>
      </w:r>
      <w:r w:rsidRPr="00016EEF">
        <w:t>. Кардиологическое обследование и лечение</w:t>
      </w:r>
      <w:r>
        <w:t xml:space="preserve"> </w:t>
      </w:r>
      <w:r w:rsidRPr="00016EEF">
        <w:t>пациентов с ХЛЛ/ЛМЛ</w:t>
      </w:r>
      <w:bookmarkEnd w:id="78"/>
    </w:p>
    <w:p w14:paraId="2A25AB11" w14:textId="3D3DC98A" w:rsidR="00D620D3" w:rsidRPr="001053F1" w:rsidRDefault="001053F1" w:rsidP="0089271E">
      <w:pPr>
        <w:rPr>
          <w:bCs/>
          <w:u w:val="single"/>
        </w:rPr>
      </w:pPr>
      <w:r w:rsidRPr="001053F1">
        <w:rPr>
          <w:bCs/>
          <w:szCs w:val="24"/>
          <w:u w:val="single"/>
        </w:rPr>
        <w:t xml:space="preserve">7.7.1. </w:t>
      </w:r>
      <w:r w:rsidR="00D620D3" w:rsidRPr="001053F1">
        <w:rPr>
          <w:bCs/>
          <w:u w:val="single"/>
        </w:rPr>
        <w:t xml:space="preserve">Общие сведения      </w:t>
      </w:r>
    </w:p>
    <w:p w14:paraId="02206D6B" w14:textId="77777777" w:rsidR="00D620D3" w:rsidRPr="002C03B6" w:rsidRDefault="00D620D3" w:rsidP="0089271E">
      <w:pPr>
        <w:ind w:firstLine="709"/>
        <w:rPr>
          <w:szCs w:val="24"/>
        </w:rPr>
      </w:pPr>
      <w:r w:rsidRPr="009673E8">
        <w:rPr>
          <w:szCs w:val="24"/>
        </w:rPr>
        <w:t xml:space="preserve">Накопленный опыт </w:t>
      </w:r>
      <w:r>
        <w:rPr>
          <w:szCs w:val="24"/>
        </w:rPr>
        <w:t xml:space="preserve">длительного </w:t>
      </w:r>
      <w:r w:rsidRPr="009673E8">
        <w:rPr>
          <w:szCs w:val="24"/>
        </w:rPr>
        <w:t>наблюдения</w:t>
      </w:r>
      <w:r>
        <w:rPr>
          <w:szCs w:val="24"/>
        </w:rPr>
        <w:t xml:space="preserve"> и лечения пациентов</w:t>
      </w:r>
      <w:r w:rsidRPr="009673E8">
        <w:rPr>
          <w:szCs w:val="24"/>
        </w:rPr>
        <w:t xml:space="preserve"> с гематологическими заболеваниями показывает, что кардиологические проблемы не только </w:t>
      </w:r>
      <w:r>
        <w:rPr>
          <w:szCs w:val="24"/>
        </w:rPr>
        <w:t xml:space="preserve">влияют на выбор гематологической терапии и возможность ее продолжения, </w:t>
      </w:r>
      <w:r w:rsidRPr="006C11CB">
        <w:rPr>
          <w:szCs w:val="24"/>
        </w:rPr>
        <w:t>но и су</w:t>
      </w:r>
      <w:r>
        <w:rPr>
          <w:szCs w:val="24"/>
        </w:rPr>
        <w:t>щественно влияют на</w:t>
      </w:r>
      <w:r w:rsidRPr="009673E8">
        <w:rPr>
          <w:szCs w:val="24"/>
        </w:rPr>
        <w:t xml:space="preserve"> качество </w:t>
      </w:r>
      <w:r>
        <w:rPr>
          <w:szCs w:val="24"/>
        </w:rPr>
        <w:t xml:space="preserve">и продолжительность </w:t>
      </w:r>
      <w:r w:rsidRPr="009673E8">
        <w:rPr>
          <w:szCs w:val="24"/>
        </w:rPr>
        <w:t>жизни</w:t>
      </w:r>
      <w:r>
        <w:rPr>
          <w:szCs w:val="24"/>
        </w:rPr>
        <w:t>, п</w:t>
      </w:r>
      <w:r w:rsidRPr="002C03B6">
        <w:rPr>
          <w:szCs w:val="24"/>
        </w:rPr>
        <w:t xml:space="preserve">оэтому </w:t>
      </w:r>
      <w:r>
        <w:rPr>
          <w:szCs w:val="24"/>
        </w:rPr>
        <w:t>вопрос</w:t>
      </w:r>
      <w:r w:rsidRPr="000D1E83">
        <w:rPr>
          <w:szCs w:val="24"/>
        </w:rPr>
        <w:t>ы сопроводительного кардиологического ведения в гематологической практике крайне актуальны и важны.</w:t>
      </w:r>
      <w:r w:rsidRPr="002C03B6">
        <w:rPr>
          <w:szCs w:val="24"/>
        </w:rPr>
        <w:t xml:space="preserve"> </w:t>
      </w:r>
    </w:p>
    <w:p w14:paraId="311244DD" w14:textId="77777777" w:rsidR="00D620D3" w:rsidRPr="009673E8" w:rsidRDefault="00D620D3" w:rsidP="001053F1">
      <w:pPr>
        <w:ind w:firstLine="709"/>
        <w:rPr>
          <w:szCs w:val="24"/>
        </w:rPr>
      </w:pPr>
      <w:r w:rsidRPr="002C03B6">
        <w:rPr>
          <w:szCs w:val="24"/>
        </w:rPr>
        <w:t xml:space="preserve">       Поражения сердечно-сосудистой системы, выявляемые у </w:t>
      </w:r>
      <w:r>
        <w:rPr>
          <w:szCs w:val="24"/>
        </w:rPr>
        <w:t>пациентов с ХЛЛ/ЛМЛ</w:t>
      </w:r>
      <w:r w:rsidRPr="002C03B6">
        <w:rPr>
          <w:szCs w:val="24"/>
        </w:rPr>
        <w:t>,</w:t>
      </w:r>
      <w:r w:rsidRPr="009673E8">
        <w:rPr>
          <w:szCs w:val="24"/>
        </w:rPr>
        <w:t xml:space="preserve"> можно разделить на несколько категорий:</w:t>
      </w:r>
    </w:p>
    <w:p w14:paraId="24E8A576" w14:textId="77777777" w:rsidR="00D620D3" w:rsidRPr="001053F1" w:rsidRDefault="00D620D3" w:rsidP="00D61785">
      <w:pPr>
        <w:pStyle w:val="a4"/>
        <w:numPr>
          <w:ilvl w:val="0"/>
          <w:numId w:val="52"/>
        </w:numPr>
        <w:spacing w:before="0"/>
        <w:rPr>
          <w:szCs w:val="24"/>
        </w:rPr>
      </w:pPr>
      <w:r w:rsidRPr="001053F1">
        <w:rPr>
          <w:szCs w:val="24"/>
        </w:rPr>
        <w:t>Возникающие вследствие гематологической патологии, например:</w:t>
      </w:r>
    </w:p>
    <w:p w14:paraId="0C205BD0" w14:textId="77777777" w:rsidR="00D620D3" w:rsidRDefault="00D620D3" w:rsidP="00D61785">
      <w:pPr>
        <w:numPr>
          <w:ilvl w:val="0"/>
          <w:numId w:val="53"/>
        </w:numPr>
        <w:rPr>
          <w:szCs w:val="24"/>
        </w:rPr>
      </w:pPr>
      <w:r w:rsidRPr="009673E8">
        <w:rPr>
          <w:szCs w:val="24"/>
        </w:rPr>
        <w:t>гипертрофия миокарда</w:t>
      </w:r>
      <w:r>
        <w:rPr>
          <w:szCs w:val="24"/>
        </w:rPr>
        <w:t xml:space="preserve"> </w:t>
      </w:r>
      <w:r w:rsidRPr="009673E8">
        <w:rPr>
          <w:szCs w:val="24"/>
        </w:rPr>
        <w:t>при длительно существующей анемии</w:t>
      </w:r>
      <w:r>
        <w:rPr>
          <w:szCs w:val="24"/>
        </w:rPr>
        <w:t>;</w:t>
      </w:r>
      <w:r w:rsidRPr="009673E8">
        <w:rPr>
          <w:szCs w:val="24"/>
        </w:rPr>
        <w:t xml:space="preserve"> </w:t>
      </w:r>
    </w:p>
    <w:p w14:paraId="506EFA07" w14:textId="77777777" w:rsidR="00D620D3" w:rsidRDefault="00D620D3" w:rsidP="00D61785">
      <w:pPr>
        <w:numPr>
          <w:ilvl w:val="0"/>
          <w:numId w:val="53"/>
        </w:numPr>
        <w:rPr>
          <w:szCs w:val="24"/>
        </w:rPr>
      </w:pPr>
      <w:r>
        <w:rPr>
          <w:szCs w:val="24"/>
        </w:rPr>
        <w:t>к</w:t>
      </w:r>
      <w:r w:rsidRPr="009673E8">
        <w:rPr>
          <w:szCs w:val="24"/>
        </w:rPr>
        <w:t>ардиопатический AL-амилоидоз</w:t>
      </w:r>
      <w:r w:rsidRPr="00E0759F">
        <w:rPr>
          <w:szCs w:val="24"/>
        </w:rPr>
        <w:t xml:space="preserve"> (</w:t>
      </w:r>
      <w:r>
        <w:rPr>
          <w:szCs w:val="24"/>
        </w:rPr>
        <w:t xml:space="preserve">редко); </w:t>
      </w:r>
    </w:p>
    <w:p w14:paraId="4C7AB29D" w14:textId="77777777" w:rsidR="00D620D3" w:rsidRDefault="00D620D3" w:rsidP="00D61785">
      <w:pPr>
        <w:numPr>
          <w:ilvl w:val="0"/>
          <w:numId w:val="53"/>
        </w:numPr>
        <w:rPr>
          <w:szCs w:val="24"/>
        </w:rPr>
      </w:pPr>
      <w:r>
        <w:rPr>
          <w:szCs w:val="24"/>
        </w:rPr>
        <w:t>с</w:t>
      </w:r>
      <w:r w:rsidRPr="009673E8">
        <w:rPr>
          <w:szCs w:val="24"/>
        </w:rPr>
        <w:t>давление сердца опухо</w:t>
      </w:r>
      <w:r>
        <w:rPr>
          <w:szCs w:val="24"/>
        </w:rPr>
        <w:t xml:space="preserve">левым образованием средостения, часто с образованием </w:t>
      </w:r>
      <w:r w:rsidRPr="009673E8">
        <w:rPr>
          <w:szCs w:val="24"/>
        </w:rPr>
        <w:t>выпот</w:t>
      </w:r>
      <w:r>
        <w:rPr>
          <w:szCs w:val="24"/>
        </w:rPr>
        <w:t>а</w:t>
      </w:r>
      <w:r w:rsidRPr="009673E8">
        <w:rPr>
          <w:szCs w:val="24"/>
        </w:rPr>
        <w:t xml:space="preserve"> в перикард</w:t>
      </w:r>
      <w:r>
        <w:rPr>
          <w:szCs w:val="24"/>
        </w:rPr>
        <w:t xml:space="preserve"> (крайне редко);</w:t>
      </w:r>
    </w:p>
    <w:p w14:paraId="1A23033C" w14:textId="77777777" w:rsidR="00D620D3" w:rsidRPr="00B04D5E" w:rsidRDefault="00D620D3" w:rsidP="00D61785">
      <w:pPr>
        <w:numPr>
          <w:ilvl w:val="0"/>
          <w:numId w:val="53"/>
        </w:numPr>
        <w:rPr>
          <w:szCs w:val="24"/>
        </w:rPr>
      </w:pPr>
      <w:r w:rsidRPr="00B04D5E">
        <w:rPr>
          <w:szCs w:val="24"/>
        </w:rPr>
        <w:t xml:space="preserve">непосредственное </w:t>
      </w:r>
      <w:r>
        <w:rPr>
          <w:szCs w:val="24"/>
        </w:rPr>
        <w:t>опухолевое</w:t>
      </w:r>
      <w:r w:rsidRPr="00B04D5E">
        <w:rPr>
          <w:szCs w:val="24"/>
        </w:rPr>
        <w:t xml:space="preserve"> поражение </w:t>
      </w:r>
      <w:r>
        <w:rPr>
          <w:szCs w:val="24"/>
        </w:rPr>
        <w:t xml:space="preserve">миокарда и оболочек </w:t>
      </w:r>
      <w:r w:rsidRPr="00B04D5E">
        <w:rPr>
          <w:szCs w:val="24"/>
        </w:rPr>
        <w:t>сердца</w:t>
      </w:r>
      <w:r>
        <w:rPr>
          <w:szCs w:val="24"/>
        </w:rPr>
        <w:t xml:space="preserve"> (крайне редко).</w:t>
      </w:r>
    </w:p>
    <w:p w14:paraId="4C3FD23D" w14:textId="11FDF66A" w:rsidR="00D620D3" w:rsidRDefault="00D620D3" w:rsidP="00D61785">
      <w:pPr>
        <w:pStyle w:val="a4"/>
        <w:numPr>
          <w:ilvl w:val="0"/>
          <w:numId w:val="52"/>
        </w:numPr>
        <w:spacing w:before="0"/>
        <w:rPr>
          <w:szCs w:val="24"/>
        </w:rPr>
      </w:pPr>
      <w:r>
        <w:rPr>
          <w:szCs w:val="24"/>
        </w:rPr>
        <w:t>Кардиотоксическо</w:t>
      </w:r>
      <w:r w:rsidRPr="009673E8">
        <w:rPr>
          <w:szCs w:val="24"/>
        </w:rPr>
        <w:t>е поражени</w:t>
      </w:r>
      <w:r>
        <w:rPr>
          <w:szCs w:val="24"/>
        </w:rPr>
        <w:t>е</w:t>
      </w:r>
      <w:r w:rsidRPr="009673E8">
        <w:rPr>
          <w:szCs w:val="24"/>
        </w:rPr>
        <w:t xml:space="preserve"> сердца и сосудов в результате воздействия </w:t>
      </w:r>
      <w:r>
        <w:rPr>
          <w:szCs w:val="24"/>
        </w:rPr>
        <w:t>лекарственных</w:t>
      </w:r>
      <w:r w:rsidRPr="009673E8">
        <w:rPr>
          <w:szCs w:val="24"/>
        </w:rPr>
        <w:t xml:space="preserve"> препаратов</w:t>
      </w:r>
      <w:r>
        <w:rPr>
          <w:szCs w:val="24"/>
        </w:rPr>
        <w:t xml:space="preserve"> (возникающее как в период гематологического лечения, так и после его завершения)</w:t>
      </w:r>
      <w:r w:rsidRPr="009673E8">
        <w:rPr>
          <w:szCs w:val="24"/>
        </w:rPr>
        <w:t>.</w:t>
      </w:r>
      <w:r>
        <w:rPr>
          <w:szCs w:val="24"/>
        </w:rPr>
        <w:t xml:space="preserve"> </w:t>
      </w:r>
    </w:p>
    <w:p w14:paraId="477145E7" w14:textId="56E3055E" w:rsidR="00D620D3" w:rsidRDefault="00D620D3" w:rsidP="00D61785">
      <w:pPr>
        <w:pStyle w:val="a4"/>
        <w:numPr>
          <w:ilvl w:val="0"/>
          <w:numId w:val="52"/>
        </w:numPr>
        <w:spacing w:before="0"/>
        <w:rPr>
          <w:szCs w:val="24"/>
        </w:rPr>
      </w:pPr>
      <w:r>
        <w:rPr>
          <w:szCs w:val="24"/>
        </w:rPr>
        <w:t>Сопутствующая самостоятельная кардиологическая патология, не связанная с гематологическим заболеванием (артериальная гипертония, ишемическая болезнь сердца, аритмии, и др.)</w:t>
      </w:r>
    </w:p>
    <w:p w14:paraId="5BB44F57" w14:textId="77777777" w:rsidR="001053F1" w:rsidRDefault="001053F1" w:rsidP="001053F1">
      <w:pPr>
        <w:rPr>
          <w:bCs/>
          <w:szCs w:val="24"/>
          <w:u w:val="single"/>
        </w:rPr>
      </w:pPr>
    </w:p>
    <w:p w14:paraId="5F937D4B" w14:textId="4DB2B41B" w:rsidR="00D620D3" w:rsidRPr="001053F1" w:rsidRDefault="001053F1" w:rsidP="001053F1">
      <w:pPr>
        <w:rPr>
          <w:bCs/>
          <w:szCs w:val="24"/>
          <w:u w:val="single"/>
        </w:rPr>
      </w:pPr>
      <w:r>
        <w:rPr>
          <w:bCs/>
          <w:szCs w:val="24"/>
          <w:u w:val="single"/>
        </w:rPr>
        <w:t xml:space="preserve">7.7.2. </w:t>
      </w:r>
      <w:r w:rsidR="00D620D3" w:rsidRPr="001053F1">
        <w:rPr>
          <w:bCs/>
          <w:szCs w:val="24"/>
          <w:u w:val="single"/>
        </w:rPr>
        <w:t xml:space="preserve">Диагностика кардиальной патологии </w:t>
      </w:r>
    </w:p>
    <w:p w14:paraId="383A7FF0" w14:textId="77777777" w:rsidR="00D620D3" w:rsidRDefault="00D620D3" w:rsidP="001053F1">
      <w:pPr>
        <w:ind w:firstLine="709"/>
        <w:rPr>
          <w:szCs w:val="24"/>
        </w:rPr>
      </w:pPr>
      <w:r w:rsidRPr="00BD4442">
        <w:rPr>
          <w:szCs w:val="24"/>
        </w:rPr>
        <w:t xml:space="preserve">На этапе диагностики </w:t>
      </w:r>
      <w:r>
        <w:rPr>
          <w:szCs w:val="24"/>
        </w:rPr>
        <w:t xml:space="preserve">ХЛЛ/ЛМЛ при наличии показаний одновременно </w:t>
      </w:r>
      <w:r w:rsidRPr="00BD4442">
        <w:rPr>
          <w:szCs w:val="24"/>
        </w:rPr>
        <w:t>рекомендовано обследование</w:t>
      </w:r>
      <w:r>
        <w:rPr>
          <w:szCs w:val="24"/>
        </w:rPr>
        <w:t xml:space="preserve"> для уточнения/исключения возможной кардиологической патологии.</w:t>
      </w:r>
    </w:p>
    <w:p w14:paraId="374ADDEC" w14:textId="77777777" w:rsidR="00D620D3" w:rsidRPr="00586AC9" w:rsidRDefault="00D620D3" w:rsidP="00D61785">
      <w:pPr>
        <w:pStyle w:val="a4"/>
        <w:numPr>
          <w:ilvl w:val="0"/>
          <w:numId w:val="54"/>
        </w:numPr>
        <w:spacing w:before="0"/>
        <w:ind w:left="714" w:hanging="357"/>
        <w:rPr>
          <w:szCs w:val="24"/>
        </w:rPr>
      </w:pPr>
      <w:r w:rsidRPr="00586AC9">
        <w:rPr>
          <w:szCs w:val="24"/>
        </w:rPr>
        <w:t xml:space="preserve">Осмотр (консультация) врача-гематолога с выявлением симптомов, которые могут быть обусловлены кардиальной патологией (одышка, утомляемость, плохая переносимость нагрузки, отеки нижних конечностей, и т.д.); оценкой анамнеза: наличие ишемической болезни сердца (ИБС), артериальной гипертензии (АГ), аритмии, факторов риска, семейного анамнеза;  физикальное обследование с измерением артериального давления (АД). </w:t>
      </w:r>
    </w:p>
    <w:p w14:paraId="2A721947" w14:textId="77777777" w:rsidR="00A335EA" w:rsidRPr="00586AC9" w:rsidRDefault="00D620D3" w:rsidP="00D61785">
      <w:pPr>
        <w:pStyle w:val="a4"/>
        <w:numPr>
          <w:ilvl w:val="0"/>
          <w:numId w:val="54"/>
        </w:numPr>
        <w:spacing w:before="0"/>
        <w:ind w:left="714" w:hanging="357"/>
        <w:rPr>
          <w:szCs w:val="24"/>
        </w:rPr>
      </w:pPr>
      <w:r w:rsidRPr="00586AC9">
        <w:rPr>
          <w:szCs w:val="24"/>
        </w:rPr>
        <w:t>Осмотр (консультация) врача-кардиолога (по показаниям – при выявлении (и/или для исключения) признаков кардиальной патологии, выявлении кардиологических отклонений при первичном обследовании)</w:t>
      </w:r>
    </w:p>
    <w:p w14:paraId="21413C56" w14:textId="77777777" w:rsidR="00A335EA" w:rsidRPr="00586AC9" w:rsidRDefault="00D620D3" w:rsidP="00D61785">
      <w:pPr>
        <w:pStyle w:val="a4"/>
        <w:numPr>
          <w:ilvl w:val="0"/>
          <w:numId w:val="54"/>
        </w:numPr>
        <w:spacing w:before="0"/>
        <w:ind w:left="714" w:hanging="357"/>
        <w:rPr>
          <w:szCs w:val="24"/>
        </w:rPr>
      </w:pPr>
      <w:r w:rsidRPr="00586AC9">
        <w:rPr>
          <w:szCs w:val="24"/>
        </w:rPr>
        <w:t xml:space="preserve">Инструментальные исследования: </w:t>
      </w:r>
    </w:p>
    <w:p w14:paraId="40B032F3" w14:textId="77777777" w:rsidR="00586AC9" w:rsidRDefault="00D620D3" w:rsidP="00D61785">
      <w:pPr>
        <w:pStyle w:val="a4"/>
        <w:numPr>
          <w:ilvl w:val="1"/>
          <w:numId w:val="54"/>
        </w:numPr>
        <w:spacing w:before="0"/>
        <w:rPr>
          <w:szCs w:val="24"/>
        </w:rPr>
      </w:pPr>
      <w:r w:rsidRPr="00586AC9">
        <w:rPr>
          <w:szCs w:val="24"/>
        </w:rPr>
        <w:t xml:space="preserve">Электрокардиография (ЭКГ) в 12 отведениях – необходима </w:t>
      </w:r>
      <w:r w:rsidRPr="00586AC9">
        <w:rPr>
          <w:rFonts w:eastAsia="Times New Roman"/>
          <w:szCs w:val="24"/>
          <w:lang w:eastAsia="ru-RU"/>
        </w:rPr>
        <w:t>на любом этапе диагностики, лечения и наблюдения</w:t>
      </w:r>
      <w:r w:rsidRPr="00586AC9">
        <w:rPr>
          <w:szCs w:val="24"/>
        </w:rPr>
        <w:t xml:space="preserve"> всем пациентам. </w:t>
      </w:r>
    </w:p>
    <w:p w14:paraId="3F8E47E5" w14:textId="77777777" w:rsidR="00586AC9" w:rsidRDefault="00D620D3" w:rsidP="00D61785">
      <w:pPr>
        <w:pStyle w:val="a4"/>
        <w:numPr>
          <w:ilvl w:val="1"/>
          <w:numId w:val="54"/>
        </w:numPr>
        <w:spacing w:before="0"/>
        <w:rPr>
          <w:szCs w:val="24"/>
        </w:rPr>
      </w:pPr>
      <w:r w:rsidRPr="00586AC9">
        <w:rPr>
          <w:szCs w:val="24"/>
        </w:rPr>
        <w:t xml:space="preserve">Эхокардиография (ЭХО-КГ) – рекомендуется при наличии клинических показаний или при проведении лечения с возможными кардиотоксическими проявлениями, на любом </w:t>
      </w:r>
      <w:r w:rsidRPr="00586AC9">
        <w:rPr>
          <w:rFonts w:eastAsia="Times New Roman"/>
          <w:szCs w:val="24"/>
          <w:lang w:eastAsia="ru-RU"/>
        </w:rPr>
        <w:t>на любом этапе диагностики, лечения и наблюдения</w:t>
      </w:r>
      <w:r w:rsidRPr="00586AC9">
        <w:rPr>
          <w:szCs w:val="24"/>
        </w:rPr>
        <w:t xml:space="preserve">.  </w:t>
      </w:r>
    </w:p>
    <w:p w14:paraId="661CF0F6" w14:textId="77777777" w:rsidR="00586AC9" w:rsidRDefault="00D620D3" w:rsidP="00D61785">
      <w:pPr>
        <w:pStyle w:val="a4"/>
        <w:numPr>
          <w:ilvl w:val="0"/>
          <w:numId w:val="54"/>
        </w:numPr>
        <w:spacing w:before="0"/>
        <w:rPr>
          <w:szCs w:val="24"/>
        </w:rPr>
      </w:pPr>
      <w:r w:rsidRPr="00586AC9">
        <w:rPr>
          <w:szCs w:val="24"/>
        </w:rPr>
        <w:t>Лабораторные исследования:</w:t>
      </w:r>
    </w:p>
    <w:p w14:paraId="339B7D80" w14:textId="77777777" w:rsidR="00586AC9" w:rsidRDefault="00D620D3" w:rsidP="00D61785">
      <w:pPr>
        <w:pStyle w:val="a4"/>
        <w:numPr>
          <w:ilvl w:val="1"/>
          <w:numId w:val="54"/>
        </w:numPr>
        <w:spacing w:before="0"/>
        <w:rPr>
          <w:szCs w:val="24"/>
        </w:rPr>
      </w:pPr>
      <w:r w:rsidRPr="00586AC9">
        <w:rPr>
          <w:szCs w:val="24"/>
        </w:rPr>
        <w:t>Клинический анализ крови с определением гемоглобина, тромбоцитов, лейкоцитов, лейкоцитарной формулы, СОЭ;</w:t>
      </w:r>
    </w:p>
    <w:p w14:paraId="27D6F689" w14:textId="7C1B04FE" w:rsidR="00D620D3" w:rsidRPr="00586AC9" w:rsidRDefault="00D620D3" w:rsidP="00D61785">
      <w:pPr>
        <w:pStyle w:val="a4"/>
        <w:numPr>
          <w:ilvl w:val="1"/>
          <w:numId w:val="54"/>
        </w:numPr>
        <w:spacing w:before="0"/>
        <w:rPr>
          <w:szCs w:val="24"/>
        </w:rPr>
      </w:pPr>
      <w:r w:rsidRPr="00586AC9">
        <w:rPr>
          <w:szCs w:val="24"/>
        </w:rPr>
        <w:t>Биохимический анализ крови с определением липидного спектра, глюкозы, креатинина, мочевины, мочевой кислоты, калия, натрия, аспартатаминотрансферазы (АСТ), аланинаминотрансферазы (АЛТ).</w:t>
      </w:r>
    </w:p>
    <w:p w14:paraId="476B0962" w14:textId="77777777" w:rsidR="00586AC9" w:rsidRDefault="00586AC9" w:rsidP="00D620D3">
      <w:pPr>
        <w:ind w:firstLine="363"/>
        <w:rPr>
          <w:b/>
          <w:szCs w:val="24"/>
        </w:rPr>
      </w:pPr>
    </w:p>
    <w:p w14:paraId="7CBCC081" w14:textId="2ED3A6DB" w:rsidR="00D620D3" w:rsidRPr="00586AC9" w:rsidRDefault="00586AC9" w:rsidP="00586AC9">
      <w:pPr>
        <w:rPr>
          <w:bCs/>
          <w:szCs w:val="24"/>
          <w:u w:val="single"/>
        </w:rPr>
      </w:pPr>
      <w:r>
        <w:rPr>
          <w:bCs/>
          <w:szCs w:val="24"/>
          <w:u w:val="single"/>
        </w:rPr>
        <w:t xml:space="preserve">7.7.3. </w:t>
      </w:r>
      <w:r w:rsidR="00D620D3" w:rsidRPr="00586AC9">
        <w:rPr>
          <w:bCs/>
          <w:szCs w:val="24"/>
          <w:u w:val="single"/>
        </w:rPr>
        <w:t>Дополнительное кардиологическое обследование</w:t>
      </w:r>
    </w:p>
    <w:p w14:paraId="703213CA" w14:textId="77777777" w:rsidR="00D620D3" w:rsidRDefault="00D620D3" w:rsidP="00586AC9">
      <w:pPr>
        <w:ind w:firstLine="709"/>
        <w:rPr>
          <w:b/>
          <w:szCs w:val="24"/>
        </w:rPr>
      </w:pPr>
      <w:r>
        <w:rPr>
          <w:b/>
          <w:szCs w:val="24"/>
        </w:rPr>
        <w:t>Манипуляции:</w:t>
      </w:r>
    </w:p>
    <w:p w14:paraId="4C2E2132" w14:textId="77777777" w:rsidR="00D620D3" w:rsidRPr="00534D6D" w:rsidRDefault="00D620D3" w:rsidP="00D61785">
      <w:pPr>
        <w:numPr>
          <w:ilvl w:val="0"/>
          <w:numId w:val="47"/>
        </w:numPr>
        <w:rPr>
          <w:b/>
          <w:szCs w:val="24"/>
        </w:rPr>
      </w:pPr>
      <w:r w:rsidRPr="00761ABB">
        <w:rPr>
          <w:i/>
          <w:szCs w:val="24"/>
        </w:rPr>
        <w:t>Суточное мониторирование ЭКГ по Холтеру</w:t>
      </w:r>
      <w:r>
        <w:rPr>
          <w:szCs w:val="24"/>
        </w:rPr>
        <w:t xml:space="preserve"> –</w:t>
      </w:r>
      <w:r>
        <w:rPr>
          <w:b/>
          <w:szCs w:val="24"/>
        </w:rPr>
        <w:t xml:space="preserve"> </w:t>
      </w:r>
      <w:r w:rsidRPr="007339C3">
        <w:rPr>
          <w:szCs w:val="24"/>
        </w:rPr>
        <w:t>рекомендуется</w:t>
      </w:r>
      <w:r w:rsidRPr="00B5050D">
        <w:t xml:space="preserve"> </w:t>
      </w:r>
      <w:r w:rsidRPr="00B21850">
        <w:rPr>
          <w:szCs w:val="24"/>
        </w:rPr>
        <w:t>по возможности</w:t>
      </w:r>
      <w:r>
        <w:t xml:space="preserve"> </w:t>
      </w:r>
      <w:r w:rsidRPr="007339C3">
        <w:rPr>
          <w:szCs w:val="24"/>
        </w:rPr>
        <w:t xml:space="preserve">пациентам при выявлении удлинения интервала </w:t>
      </w:r>
      <w:r w:rsidRPr="007339C3">
        <w:rPr>
          <w:szCs w:val="24"/>
          <w:lang w:val="en-US"/>
        </w:rPr>
        <w:t>QT</w:t>
      </w:r>
      <w:r w:rsidRPr="007339C3">
        <w:rPr>
          <w:szCs w:val="24"/>
        </w:rPr>
        <w:t xml:space="preserve">, ишемии миокарда, нарушений ритма и проводимости; диспозицией сегмента </w:t>
      </w:r>
      <w:r w:rsidRPr="007339C3">
        <w:rPr>
          <w:szCs w:val="24"/>
          <w:lang w:val="en-US"/>
        </w:rPr>
        <w:t>ST</w:t>
      </w:r>
      <w:r w:rsidRPr="007339C3">
        <w:rPr>
          <w:szCs w:val="24"/>
        </w:rPr>
        <w:t xml:space="preserve"> на ЭКГ; синусовой бради/тахикардией, при наличии жалоб на аритмию, эпизоды внезапной слабости, головокружений. Также проведение исследования рекомендуется при проведении лечения препаратами, способными вызывать кардиотоксические эффекты</w:t>
      </w:r>
      <w:r>
        <w:rPr>
          <w:szCs w:val="24"/>
        </w:rPr>
        <w:t>. Исследование</w:t>
      </w:r>
      <w:r w:rsidRPr="007339C3">
        <w:rPr>
          <w:szCs w:val="24"/>
        </w:rPr>
        <w:t xml:space="preserve"> </w:t>
      </w:r>
      <w:r>
        <w:rPr>
          <w:szCs w:val="24"/>
        </w:rPr>
        <w:t>проводится на любых этапах –</w:t>
      </w:r>
      <w:r w:rsidRPr="00534D6D">
        <w:rPr>
          <w:szCs w:val="24"/>
        </w:rPr>
        <w:t xml:space="preserve"> </w:t>
      </w:r>
      <w:r>
        <w:rPr>
          <w:szCs w:val="24"/>
        </w:rPr>
        <w:t xml:space="preserve">в период диагностики гематологического заболевания, </w:t>
      </w:r>
      <w:r w:rsidRPr="00534D6D">
        <w:rPr>
          <w:szCs w:val="24"/>
        </w:rPr>
        <w:t>перед проведением гематологического лечения, в процессе проведения лечения, при оценке эффективности лечения и в процессе динамического наблюдения, при рефрактерном течении, п</w:t>
      </w:r>
      <w:r w:rsidRPr="00534D6D">
        <w:rPr>
          <w:rFonts w:eastAsia="Times New Roman"/>
          <w:szCs w:val="24"/>
          <w:lang w:eastAsia="ru-RU"/>
        </w:rPr>
        <w:t xml:space="preserve">ри развитии осложнений </w:t>
      </w:r>
      <w:r>
        <w:rPr>
          <w:rFonts w:eastAsia="Times New Roman"/>
          <w:szCs w:val="24"/>
          <w:lang w:eastAsia="ru-RU"/>
        </w:rPr>
        <w:t>(по показаниям</w:t>
      </w:r>
      <w:r w:rsidRPr="00534D6D">
        <w:rPr>
          <w:szCs w:val="24"/>
        </w:rPr>
        <w:t>).</w:t>
      </w:r>
    </w:p>
    <w:p w14:paraId="20BC5BE6" w14:textId="77777777" w:rsidR="00D620D3" w:rsidRPr="007339C3" w:rsidRDefault="00D620D3" w:rsidP="00D61785">
      <w:pPr>
        <w:numPr>
          <w:ilvl w:val="0"/>
          <w:numId w:val="47"/>
        </w:numPr>
        <w:rPr>
          <w:szCs w:val="24"/>
        </w:rPr>
      </w:pPr>
      <w:r w:rsidRPr="00761ABB">
        <w:rPr>
          <w:i/>
          <w:szCs w:val="24"/>
        </w:rPr>
        <w:t>Суточное мониторирование АД</w:t>
      </w:r>
      <w:r>
        <w:rPr>
          <w:b/>
          <w:szCs w:val="24"/>
        </w:rPr>
        <w:t xml:space="preserve"> </w:t>
      </w:r>
      <w:r>
        <w:rPr>
          <w:szCs w:val="24"/>
        </w:rPr>
        <w:t>–</w:t>
      </w:r>
      <w:r w:rsidRPr="007339C3">
        <w:rPr>
          <w:szCs w:val="24"/>
        </w:rPr>
        <w:t xml:space="preserve"> рекомендуется </w:t>
      </w:r>
      <w:r w:rsidRPr="00B21850">
        <w:rPr>
          <w:szCs w:val="24"/>
        </w:rPr>
        <w:t>по возможности</w:t>
      </w:r>
      <w:r>
        <w:t xml:space="preserve"> </w:t>
      </w:r>
      <w:r w:rsidRPr="007339C3">
        <w:rPr>
          <w:szCs w:val="24"/>
        </w:rPr>
        <w:t xml:space="preserve">пациентам с артериальной гипертензией (АГ), </w:t>
      </w:r>
      <w:r>
        <w:rPr>
          <w:szCs w:val="24"/>
        </w:rPr>
        <w:t xml:space="preserve">и </w:t>
      </w:r>
      <w:r w:rsidRPr="007339C3">
        <w:rPr>
          <w:szCs w:val="24"/>
        </w:rPr>
        <w:t>при назначении лекарственных препаратов,  способных вызывать АГ</w:t>
      </w:r>
      <w:r>
        <w:rPr>
          <w:szCs w:val="24"/>
        </w:rPr>
        <w:t xml:space="preserve">. 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751E4D22" w14:textId="77777777" w:rsidR="00D620D3" w:rsidRPr="007339C3" w:rsidRDefault="00D620D3" w:rsidP="00D61785">
      <w:pPr>
        <w:numPr>
          <w:ilvl w:val="0"/>
          <w:numId w:val="47"/>
        </w:numPr>
        <w:rPr>
          <w:szCs w:val="24"/>
        </w:rPr>
      </w:pPr>
      <w:r w:rsidRPr="00761ABB">
        <w:rPr>
          <w:i/>
          <w:szCs w:val="24"/>
        </w:rPr>
        <w:t>Тредмил-тест</w:t>
      </w:r>
      <w:r w:rsidRPr="00AA7AD0">
        <w:rPr>
          <w:szCs w:val="24"/>
        </w:rPr>
        <w:t xml:space="preserve"> </w:t>
      </w:r>
      <w:r>
        <w:rPr>
          <w:szCs w:val="24"/>
        </w:rPr>
        <w:t xml:space="preserve">– </w:t>
      </w:r>
      <w:r w:rsidRPr="007339C3">
        <w:rPr>
          <w:szCs w:val="24"/>
        </w:rPr>
        <w:t xml:space="preserve">рекомендуется </w:t>
      </w:r>
      <w:r w:rsidRPr="00B21850">
        <w:rPr>
          <w:szCs w:val="24"/>
        </w:rPr>
        <w:t>по возможности</w:t>
      </w:r>
      <w:r>
        <w:t xml:space="preserve"> </w:t>
      </w:r>
      <w:r w:rsidRPr="007339C3">
        <w:rPr>
          <w:szCs w:val="24"/>
        </w:rPr>
        <w:t xml:space="preserve">для диагностики ишемической болезни сердца (ИБС) </w:t>
      </w:r>
      <w:r>
        <w:rPr>
          <w:szCs w:val="24"/>
        </w:rPr>
        <w:t>при а</w:t>
      </w:r>
      <w:r w:rsidRPr="007339C3">
        <w:rPr>
          <w:szCs w:val="24"/>
        </w:rPr>
        <w:t>типичн</w:t>
      </w:r>
      <w:r>
        <w:rPr>
          <w:szCs w:val="24"/>
        </w:rPr>
        <w:t>о</w:t>
      </w:r>
      <w:r w:rsidRPr="007339C3">
        <w:rPr>
          <w:szCs w:val="24"/>
        </w:rPr>
        <w:t xml:space="preserve">м </w:t>
      </w:r>
      <w:r>
        <w:rPr>
          <w:szCs w:val="24"/>
        </w:rPr>
        <w:t>болевом синдроме, а также при назначении</w:t>
      </w:r>
      <w:r w:rsidRPr="007339C3">
        <w:rPr>
          <w:szCs w:val="24"/>
        </w:rPr>
        <w:t xml:space="preserve"> препарат</w:t>
      </w:r>
      <w:r>
        <w:rPr>
          <w:szCs w:val="24"/>
        </w:rPr>
        <w:t>ов</w:t>
      </w:r>
      <w:r w:rsidRPr="007339C3">
        <w:rPr>
          <w:szCs w:val="24"/>
        </w:rPr>
        <w:t>, способны</w:t>
      </w:r>
      <w:r>
        <w:rPr>
          <w:szCs w:val="24"/>
        </w:rPr>
        <w:t>х</w:t>
      </w:r>
      <w:r w:rsidRPr="007339C3">
        <w:rPr>
          <w:szCs w:val="24"/>
        </w:rPr>
        <w:t xml:space="preserve"> вызвать ишемию миокарда.</w:t>
      </w:r>
      <w:r w:rsidRPr="00534D6D">
        <w:rPr>
          <w:szCs w:val="24"/>
        </w:rPr>
        <w:t xml:space="preserve"> </w:t>
      </w:r>
      <w:r>
        <w:rPr>
          <w:szCs w:val="24"/>
        </w:rPr>
        <w:t xml:space="preserve">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2682159A" w14:textId="77777777" w:rsidR="00D620D3" w:rsidRPr="007339C3" w:rsidRDefault="00D620D3" w:rsidP="00D61785">
      <w:pPr>
        <w:numPr>
          <w:ilvl w:val="0"/>
          <w:numId w:val="47"/>
        </w:numPr>
        <w:rPr>
          <w:szCs w:val="24"/>
        </w:rPr>
      </w:pPr>
      <w:r w:rsidRPr="00761ABB">
        <w:rPr>
          <w:i/>
          <w:szCs w:val="24"/>
        </w:rPr>
        <w:t>МРТ сердца и сосудов (с контрастированием</w:t>
      </w:r>
      <w:r>
        <w:rPr>
          <w:i/>
          <w:szCs w:val="24"/>
        </w:rPr>
        <w:t xml:space="preserve"> по показаниям</w:t>
      </w:r>
      <w:r w:rsidRPr="00761ABB">
        <w:rPr>
          <w:i/>
          <w:szCs w:val="24"/>
        </w:rPr>
        <w:t>)</w:t>
      </w:r>
      <w:r>
        <w:rPr>
          <w:b/>
          <w:szCs w:val="24"/>
        </w:rPr>
        <w:t xml:space="preserve"> – </w:t>
      </w:r>
      <w:r>
        <w:rPr>
          <w:szCs w:val="24"/>
        </w:rPr>
        <w:t xml:space="preserve">рекомендуется </w:t>
      </w:r>
      <w:r w:rsidRPr="00B21850">
        <w:rPr>
          <w:szCs w:val="24"/>
        </w:rPr>
        <w:t>по возможности</w:t>
      </w:r>
      <w:r>
        <w:rPr>
          <w:szCs w:val="24"/>
        </w:rPr>
        <w:t xml:space="preserve"> </w:t>
      </w:r>
      <w:r w:rsidRPr="007339C3">
        <w:rPr>
          <w:szCs w:val="24"/>
        </w:rPr>
        <w:t xml:space="preserve">для диагностики патологии аорты, </w:t>
      </w:r>
      <w:r>
        <w:rPr>
          <w:szCs w:val="24"/>
        </w:rPr>
        <w:t xml:space="preserve">миокарда и оболочек сердца, выявления </w:t>
      </w:r>
      <w:r w:rsidRPr="007339C3">
        <w:rPr>
          <w:szCs w:val="24"/>
        </w:rPr>
        <w:t xml:space="preserve">образований в полостях </w:t>
      </w:r>
      <w:r>
        <w:rPr>
          <w:szCs w:val="24"/>
        </w:rPr>
        <w:t xml:space="preserve">и </w:t>
      </w:r>
      <w:r w:rsidRPr="007339C3">
        <w:rPr>
          <w:szCs w:val="24"/>
        </w:rPr>
        <w:t>на клапа</w:t>
      </w:r>
      <w:r>
        <w:rPr>
          <w:szCs w:val="24"/>
        </w:rPr>
        <w:t>нах</w:t>
      </w:r>
      <w:r w:rsidRPr="007339C3">
        <w:rPr>
          <w:szCs w:val="24"/>
        </w:rPr>
        <w:t xml:space="preserve"> сердца</w:t>
      </w:r>
      <w:r>
        <w:rPr>
          <w:szCs w:val="24"/>
        </w:rPr>
        <w:t xml:space="preserve">, </w:t>
      </w:r>
      <w:r w:rsidRPr="007339C3">
        <w:rPr>
          <w:szCs w:val="24"/>
        </w:rPr>
        <w:t>атеросклеротического поражени</w:t>
      </w:r>
      <w:r>
        <w:rPr>
          <w:szCs w:val="24"/>
        </w:rPr>
        <w:t>я</w:t>
      </w:r>
      <w:r w:rsidRPr="007339C3">
        <w:rPr>
          <w:szCs w:val="24"/>
        </w:rPr>
        <w:t xml:space="preserve"> коронарных артерий.</w:t>
      </w:r>
      <w:r>
        <w:rPr>
          <w:szCs w:val="24"/>
        </w:rPr>
        <w:t xml:space="preserve"> 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67837F59" w14:textId="77777777" w:rsidR="00D620D3" w:rsidRPr="00D37B1C" w:rsidRDefault="00D620D3" w:rsidP="00D61785">
      <w:pPr>
        <w:numPr>
          <w:ilvl w:val="0"/>
          <w:numId w:val="47"/>
        </w:numPr>
        <w:rPr>
          <w:szCs w:val="24"/>
        </w:rPr>
      </w:pPr>
      <w:r w:rsidRPr="00761ABB">
        <w:rPr>
          <w:szCs w:val="24"/>
        </w:rPr>
        <w:t>КТ сердца и сосудов</w:t>
      </w:r>
      <w:r>
        <w:rPr>
          <w:szCs w:val="24"/>
        </w:rPr>
        <w:t xml:space="preserve"> </w:t>
      </w:r>
      <w:r>
        <w:rPr>
          <w:b/>
          <w:szCs w:val="24"/>
        </w:rPr>
        <w:t xml:space="preserve">– </w:t>
      </w:r>
      <w:r>
        <w:rPr>
          <w:szCs w:val="24"/>
        </w:rPr>
        <w:t xml:space="preserve">рекомендуется </w:t>
      </w:r>
      <w:r w:rsidRPr="00B21850">
        <w:rPr>
          <w:szCs w:val="24"/>
        </w:rPr>
        <w:t>по возможности</w:t>
      </w:r>
      <w:r>
        <w:t xml:space="preserve"> </w:t>
      </w:r>
      <w:r>
        <w:rPr>
          <w:szCs w:val="24"/>
        </w:rPr>
        <w:t>пациентам с притивопоказаниями к проведению МРТ (наличие водителя ритма, механических протезов, при</w:t>
      </w:r>
      <w:r w:rsidRPr="00712247">
        <w:rPr>
          <w:szCs w:val="24"/>
        </w:rPr>
        <w:t xml:space="preserve"> подозрени</w:t>
      </w:r>
      <w:r>
        <w:rPr>
          <w:szCs w:val="24"/>
        </w:rPr>
        <w:t>и</w:t>
      </w:r>
      <w:r w:rsidRPr="00712247">
        <w:rPr>
          <w:szCs w:val="24"/>
        </w:rPr>
        <w:t xml:space="preserve"> на сдавливающий перикардит</w:t>
      </w:r>
      <w:r>
        <w:rPr>
          <w:szCs w:val="24"/>
        </w:rPr>
        <w:t xml:space="preserve">, и др). 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3AB96155" w14:textId="77777777" w:rsidR="00D620D3" w:rsidRPr="00E56DC3" w:rsidRDefault="00D620D3" w:rsidP="00D61785">
      <w:pPr>
        <w:numPr>
          <w:ilvl w:val="0"/>
          <w:numId w:val="47"/>
        </w:numPr>
        <w:rPr>
          <w:szCs w:val="24"/>
        </w:rPr>
      </w:pPr>
      <w:r w:rsidRPr="00761ABB">
        <w:rPr>
          <w:i/>
          <w:szCs w:val="24"/>
        </w:rPr>
        <w:t>Чреспищеводная эхокардиография (ЧПЭХО-КГ)</w:t>
      </w:r>
      <w:r w:rsidRPr="00E56DC3">
        <w:rPr>
          <w:b/>
          <w:szCs w:val="24"/>
        </w:rPr>
        <w:t xml:space="preserve"> </w:t>
      </w:r>
      <w:r>
        <w:rPr>
          <w:b/>
          <w:szCs w:val="24"/>
        </w:rPr>
        <w:t xml:space="preserve">– </w:t>
      </w:r>
      <w:r>
        <w:rPr>
          <w:szCs w:val="24"/>
        </w:rPr>
        <w:t xml:space="preserve">рекомендуется </w:t>
      </w:r>
      <w:r w:rsidRPr="00B21850">
        <w:rPr>
          <w:szCs w:val="24"/>
        </w:rPr>
        <w:t>по возможности</w:t>
      </w:r>
      <w:r>
        <w:t xml:space="preserve"> </w:t>
      </w:r>
      <w:r w:rsidRPr="00B71272">
        <w:rPr>
          <w:szCs w:val="24"/>
        </w:rPr>
        <w:t>для исключения тромбоза ушка левого предсердия</w:t>
      </w:r>
      <w:r>
        <w:rPr>
          <w:szCs w:val="24"/>
        </w:rPr>
        <w:t>; при врожденных</w:t>
      </w:r>
      <w:r w:rsidRPr="00E56DC3">
        <w:rPr>
          <w:szCs w:val="24"/>
        </w:rPr>
        <w:t xml:space="preserve"> порок</w:t>
      </w:r>
      <w:r>
        <w:rPr>
          <w:szCs w:val="24"/>
        </w:rPr>
        <w:t>ах</w:t>
      </w:r>
      <w:r w:rsidRPr="00E56DC3">
        <w:rPr>
          <w:szCs w:val="24"/>
        </w:rPr>
        <w:t xml:space="preserve"> сердца</w:t>
      </w:r>
      <w:r>
        <w:rPr>
          <w:szCs w:val="24"/>
        </w:rPr>
        <w:t>; при выявлении</w:t>
      </w:r>
      <w:r w:rsidRPr="00E56DC3">
        <w:rPr>
          <w:szCs w:val="24"/>
        </w:rPr>
        <w:t xml:space="preserve"> образовани</w:t>
      </w:r>
      <w:r>
        <w:rPr>
          <w:szCs w:val="24"/>
        </w:rPr>
        <w:t>й</w:t>
      </w:r>
      <w:r w:rsidRPr="00E56DC3">
        <w:rPr>
          <w:szCs w:val="24"/>
        </w:rPr>
        <w:t xml:space="preserve"> на клапанах и в полостях сердца, </w:t>
      </w:r>
      <w:r>
        <w:rPr>
          <w:szCs w:val="24"/>
        </w:rPr>
        <w:t xml:space="preserve">при </w:t>
      </w:r>
      <w:r w:rsidRPr="00E56DC3">
        <w:rPr>
          <w:szCs w:val="24"/>
        </w:rPr>
        <w:t>протез</w:t>
      </w:r>
      <w:r>
        <w:rPr>
          <w:szCs w:val="24"/>
        </w:rPr>
        <w:t xml:space="preserve">ированных </w:t>
      </w:r>
      <w:r w:rsidRPr="00E56DC3">
        <w:rPr>
          <w:szCs w:val="24"/>
        </w:rPr>
        <w:t>клапа</w:t>
      </w:r>
      <w:r>
        <w:rPr>
          <w:szCs w:val="24"/>
        </w:rPr>
        <w:t>нах.</w:t>
      </w:r>
      <w:r w:rsidRPr="00E56DC3">
        <w:rPr>
          <w:szCs w:val="24"/>
        </w:rPr>
        <w:t xml:space="preserve"> </w:t>
      </w:r>
      <w:r>
        <w:rPr>
          <w:szCs w:val="24"/>
        </w:rPr>
        <w:t xml:space="preserve">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74D7D836" w14:textId="77777777" w:rsidR="00D620D3" w:rsidRDefault="00D620D3" w:rsidP="00D61785">
      <w:pPr>
        <w:numPr>
          <w:ilvl w:val="0"/>
          <w:numId w:val="47"/>
        </w:numPr>
        <w:rPr>
          <w:szCs w:val="24"/>
        </w:rPr>
      </w:pPr>
      <w:r w:rsidRPr="00761ABB">
        <w:rPr>
          <w:i/>
          <w:szCs w:val="24"/>
        </w:rPr>
        <w:t>Коронароангиография (КАГ)</w:t>
      </w:r>
      <w:r w:rsidRPr="007339C3">
        <w:rPr>
          <w:b/>
          <w:szCs w:val="24"/>
        </w:rPr>
        <w:t xml:space="preserve"> </w:t>
      </w:r>
      <w:r>
        <w:rPr>
          <w:b/>
          <w:szCs w:val="24"/>
        </w:rPr>
        <w:t xml:space="preserve">– </w:t>
      </w:r>
      <w:r>
        <w:rPr>
          <w:szCs w:val="24"/>
        </w:rPr>
        <w:t xml:space="preserve">рекомендуется </w:t>
      </w:r>
      <w:r w:rsidRPr="00B21850">
        <w:rPr>
          <w:szCs w:val="24"/>
        </w:rPr>
        <w:t>по возможности</w:t>
      </w:r>
      <w:r>
        <w:t xml:space="preserve"> </w:t>
      </w:r>
      <w:r>
        <w:rPr>
          <w:szCs w:val="24"/>
        </w:rPr>
        <w:t xml:space="preserve">при назначении гематологического лечения препаратами, способными вызвать ишемию, при наличии факторов риска ИБС; при стенокардии, не поддающейся лекарственной коррекции, или с </w:t>
      </w:r>
      <w:r w:rsidRPr="007B664A">
        <w:rPr>
          <w:szCs w:val="24"/>
        </w:rPr>
        <w:t>эпизод</w:t>
      </w:r>
      <w:r>
        <w:rPr>
          <w:szCs w:val="24"/>
        </w:rPr>
        <w:t>ами</w:t>
      </w:r>
      <w:r w:rsidRPr="007B664A">
        <w:rPr>
          <w:szCs w:val="24"/>
        </w:rPr>
        <w:t xml:space="preserve"> безболевой ишемии на фоне анти</w:t>
      </w:r>
      <w:r>
        <w:rPr>
          <w:szCs w:val="24"/>
        </w:rPr>
        <w:t>ангинальн</w:t>
      </w:r>
      <w:r w:rsidRPr="007B664A">
        <w:rPr>
          <w:szCs w:val="24"/>
        </w:rPr>
        <w:t>ой терапии</w:t>
      </w:r>
      <w:r>
        <w:rPr>
          <w:szCs w:val="24"/>
        </w:rPr>
        <w:t xml:space="preserve">. Исследование проводится </w:t>
      </w:r>
      <w:r w:rsidRPr="00412EA7">
        <w:rPr>
          <w:rFonts w:eastAsia="Times New Roman"/>
          <w:szCs w:val="24"/>
          <w:lang w:eastAsia="ru-RU"/>
        </w:rPr>
        <w:t>на любом этапе диагностики, лечения и наблюдения</w:t>
      </w:r>
      <w:r w:rsidRPr="00412EA7">
        <w:rPr>
          <w:szCs w:val="24"/>
        </w:rPr>
        <w:t xml:space="preserve"> </w:t>
      </w:r>
      <w:r>
        <w:rPr>
          <w:szCs w:val="24"/>
        </w:rPr>
        <w:t>(по показаниям).</w:t>
      </w:r>
    </w:p>
    <w:p w14:paraId="178E83C2" w14:textId="77777777" w:rsidR="00D620D3" w:rsidRDefault="00D620D3" w:rsidP="00D620D3">
      <w:pPr>
        <w:ind w:left="723"/>
        <w:rPr>
          <w:szCs w:val="24"/>
        </w:rPr>
      </w:pPr>
      <w:r w:rsidRPr="00AA7AD0">
        <w:rPr>
          <w:b/>
          <w:szCs w:val="24"/>
        </w:rPr>
        <w:t>Лабораторные исследования</w:t>
      </w:r>
      <w:r>
        <w:rPr>
          <w:b/>
          <w:szCs w:val="24"/>
        </w:rPr>
        <w:t xml:space="preserve"> </w:t>
      </w:r>
      <w:r w:rsidRPr="00B21850">
        <w:rPr>
          <w:szCs w:val="24"/>
        </w:rPr>
        <w:t>(по показаниям, при наличии возможности</w:t>
      </w:r>
      <w:r>
        <w:rPr>
          <w:b/>
          <w:szCs w:val="24"/>
        </w:rPr>
        <w:t>)</w:t>
      </w:r>
      <w:r w:rsidRPr="00AA7AD0">
        <w:rPr>
          <w:szCs w:val="24"/>
        </w:rPr>
        <w:t xml:space="preserve">: </w:t>
      </w:r>
    </w:p>
    <w:p w14:paraId="516171EE" w14:textId="77777777" w:rsidR="00D620D3" w:rsidRDefault="00D620D3" w:rsidP="00D61785">
      <w:pPr>
        <w:numPr>
          <w:ilvl w:val="0"/>
          <w:numId w:val="55"/>
        </w:numPr>
        <w:rPr>
          <w:szCs w:val="24"/>
        </w:rPr>
      </w:pPr>
      <w:r>
        <w:rPr>
          <w:szCs w:val="24"/>
        </w:rPr>
        <w:t>Кардиологические маркеры: т</w:t>
      </w:r>
      <w:r w:rsidRPr="00AA7AD0">
        <w:rPr>
          <w:szCs w:val="24"/>
        </w:rPr>
        <w:t xml:space="preserve">ропонин </w:t>
      </w:r>
      <w:r w:rsidRPr="00AA7AD0">
        <w:rPr>
          <w:szCs w:val="24"/>
          <w:lang w:val="en-US"/>
        </w:rPr>
        <w:t>I</w:t>
      </w:r>
      <w:r w:rsidRPr="00AA7AD0">
        <w:rPr>
          <w:szCs w:val="24"/>
        </w:rPr>
        <w:t xml:space="preserve">, высокочувствительный тропонин, </w:t>
      </w:r>
      <w:r w:rsidRPr="00AA7AD0">
        <w:rPr>
          <w:szCs w:val="24"/>
          <w:lang w:val="en-US"/>
        </w:rPr>
        <w:t>NTproBNP</w:t>
      </w:r>
      <w:r>
        <w:rPr>
          <w:szCs w:val="24"/>
        </w:rPr>
        <w:t>.</w:t>
      </w:r>
    </w:p>
    <w:p w14:paraId="225CAA1A" w14:textId="77777777" w:rsidR="00D620D3" w:rsidRDefault="00D620D3" w:rsidP="00D61785">
      <w:pPr>
        <w:numPr>
          <w:ilvl w:val="0"/>
          <w:numId w:val="55"/>
        </w:numPr>
        <w:rPr>
          <w:szCs w:val="24"/>
        </w:rPr>
      </w:pPr>
      <w:r>
        <w:rPr>
          <w:szCs w:val="24"/>
        </w:rPr>
        <w:t>К</w:t>
      </w:r>
      <w:r w:rsidRPr="00AA7AD0">
        <w:rPr>
          <w:szCs w:val="24"/>
        </w:rPr>
        <w:t>оагулограм</w:t>
      </w:r>
      <w:r>
        <w:rPr>
          <w:szCs w:val="24"/>
        </w:rPr>
        <w:t xml:space="preserve">ма: </w:t>
      </w:r>
      <w:r w:rsidRPr="00AA7AD0">
        <w:rPr>
          <w:szCs w:val="24"/>
        </w:rPr>
        <w:t>активированное частичное тромбопластиновое время (АЧТВ), протромбин, фибриноген, тромбиновое время, XII-а зависимый фибринолиз, протеины С и S, гомоцистеин, агрегация тромбоцитов, Д-димер, волчаночный антикоагулянт, антитела к бета2 гликопротеину 1, антитела к кардиолипину, мутации генов V фактор Лейден, метилентетрагидрофолат редуктазы, протромбина</w:t>
      </w:r>
      <w:r>
        <w:rPr>
          <w:szCs w:val="24"/>
        </w:rPr>
        <w:t xml:space="preserve"> (по показаниям).</w:t>
      </w:r>
    </w:p>
    <w:p w14:paraId="57F67DD6" w14:textId="77777777" w:rsidR="00D620D3" w:rsidRDefault="00D620D3" w:rsidP="00D61785">
      <w:pPr>
        <w:numPr>
          <w:ilvl w:val="0"/>
          <w:numId w:val="55"/>
        </w:numPr>
        <w:rPr>
          <w:szCs w:val="24"/>
        </w:rPr>
      </w:pPr>
      <w:r>
        <w:rPr>
          <w:szCs w:val="24"/>
        </w:rPr>
        <w:t xml:space="preserve">Определение </w:t>
      </w:r>
      <w:r w:rsidRPr="00AA7AD0">
        <w:rPr>
          <w:szCs w:val="24"/>
        </w:rPr>
        <w:t>уровня калия и магния</w:t>
      </w:r>
      <w:r>
        <w:rPr>
          <w:szCs w:val="24"/>
        </w:rPr>
        <w:t>.</w:t>
      </w:r>
    </w:p>
    <w:p w14:paraId="26466524" w14:textId="77777777" w:rsidR="00D620D3" w:rsidRDefault="00D620D3" w:rsidP="00D61785">
      <w:pPr>
        <w:numPr>
          <w:ilvl w:val="0"/>
          <w:numId w:val="55"/>
        </w:numPr>
        <w:rPr>
          <w:szCs w:val="24"/>
        </w:rPr>
      </w:pPr>
      <w:r>
        <w:rPr>
          <w:szCs w:val="24"/>
        </w:rPr>
        <w:t>Показатели</w:t>
      </w:r>
      <w:r w:rsidRPr="00AA7AD0">
        <w:rPr>
          <w:szCs w:val="24"/>
        </w:rPr>
        <w:t xml:space="preserve"> липидного </w:t>
      </w:r>
      <w:r>
        <w:rPr>
          <w:szCs w:val="24"/>
        </w:rPr>
        <w:t>обмена: общий холестерин и фракции (липиды высокой, низкой, очень низкой плотности), триглицериды, индекс атерогенности)</w:t>
      </w:r>
      <w:r w:rsidRPr="00AA7AD0">
        <w:rPr>
          <w:szCs w:val="24"/>
        </w:rPr>
        <w:t>.</w:t>
      </w:r>
    </w:p>
    <w:p w14:paraId="067360B4" w14:textId="77777777" w:rsidR="00D620D3" w:rsidRDefault="00D620D3" w:rsidP="00586AC9">
      <w:pPr>
        <w:ind w:firstLine="709"/>
        <w:rPr>
          <w:szCs w:val="24"/>
        </w:rPr>
      </w:pPr>
      <w:r>
        <w:rPr>
          <w:szCs w:val="24"/>
        </w:rPr>
        <w:t>При амбулаторном лечении п</w:t>
      </w:r>
      <w:r w:rsidRPr="00262E9E">
        <w:rPr>
          <w:szCs w:val="24"/>
        </w:rPr>
        <w:t>ациент</w:t>
      </w:r>
      <w:r>
        <w:rPr>
          <w:szCs w:val="24"/>
        </w:rPr>
        <w:t xml:space="preserve">у </w:t>
      </w:r>
      <w:r w:rsidRPr="00262E9E">
        <w:rPr>
          <w:szCs w:val="24"/>
        </w:rPr>
        <w:t>необходимо</w:t>
      </w:r>
      <w:r>
        <w:rPr>
          <w:szCs w:val="24"/>
        </w:rPr>
        <w:t xml:space="preserve"> самостоятельно</w:t>
      </w:r>
      <w:r w:rsidRPr="00262E9E">
        <w:rPr>
          <w:szCs w:val="24"/>
        </w:rPr>
        <w:t xml:space="preserve"> </w:t>
      </w:r>
      <w:r>
        <w:rPr>
          <w:szCs w:val="24"/>
        </w:rPr>
        <w:t xml:space="preserve">вести дневник </w:t>
      </w:r>
      <w:r w:rsidRPr="00262E9E">
        <w:rPr>
          <w:szCs w:val="24"/>
        </w:rPr>
        <w:t>монитори</w:t>
      </w:r>
      <w:r>
        <w:rPr>
          <w:szCs w:val="24"/>
        </w:rPr>
        <w:t>рования АД, ЧСС, ряда симптомов, которые могут быть признаками в том числе кардиологической патологии (</w:t>
      </w:r>
      <w:r w:rsidRPr="00262E9E">
        <w:rPr>
          <w:szCs w:val="24"/>
        </w:rPr>
        <w:t xml:space="preserve">одышка, </w:t>
      </w:r>
      <w:r>
        <w:rPr>
          <w:szCs w:val="24"/>
        </w:rPr>
        <w:t xml:space="preserve">отеки, и др.) </w:t>
      </w:r>
      <w:r w:rsidRPr="00262E9E">
        <w:rPr>
          <w:szCs w:val="24"/>
        </w:rPr>
        <w:t xml:space="preserve">для </w:t>
      </w:r>
      <w:r>
        <w:rPr>
          <w:szCs w:val="24"/>
        </w:rPr>
        <w:t xml:space="preserve">своевременного назначения </w:t>
      </w:r>
      <w:r w:rsidRPr="00262E9E">
        <w:rPr>
          <w:szCs w:val="24"/>
        </w:rPr>
        <w:t>дополнительного кардиологического обследования.</w:t>
      </w:r>
    </w:p>
    <w:p w14:paraId="13518779" w14:textId="4383ACB2" w:rsidR="00D620D3" w:rsidRDefault="00D620D3" w:rsidP="00586AC9">
      <w:pPr>
        <w:ind w:firstLine="709"/>
        <w:rPr>
          <w:szCs w:val="24"/>
        </w:rPr>
      </w:pPr>
      <w:r w:rsidRPr="00534D6D">
        <w:rPr>
          <w:szCs w:val="24"/>
        </w:rPr>
        <w:t xml:space="preserve">Сроки </w:t>
      </w:r>
      <w:r>
        <w:rPr>
          <w:szCs w:val="24"/>
        </w:rPr>
        <w:t xml:space="preserve">и объем </w:t>
      </w:r>
      <w:r w:rsidRPr="00534D6D">
        <w:rPr>
          <w:szCs w:val="24"/>
        </w:rPr>
        <w:t>планового кардиологического обследования</w:t>
      </w:r>
      <w:r>
        <w:rPr>
          <w:b/>
          <w:szCs w:val="24"/>
        </w:rPr>
        <w:t xml:space="preserve"> </w:t>
      </w:r>
      <w:r w:rsidRPr="00473754">
        <w:rPr>
          <w:szCs w:val="24"/>
        </w:rPr>
        <w:t xml:space="preserve">зависят от наличия </w:t>
      </w:r>
      <w:r>
        <w:rPr>
          <w:szCs w:val="24"/>
        </w:rPr>
        <w:t>исходной кардиальной патологии и от типа проводимого лечения</w:t>
      </w:r>
      <w:r w:rsidRPr="00473754">
        <w:rPr>
          <w:szCs w:val="24"/>
        </w:rPr>
        <w:t>.</w:t>
      </w:r>
      <w:r>
        <w:rPr>
          <w:szCs w:val="24"/>
        </w:rPr>
        <w:t xml:space="preserve"> При отсутствии исходно кардиальной патологии</w:t>
      </w:r>
      <w:r w:rsidRPr="00473754">
        <w:rPr>
          <w:szCs w:val="24"/>
        </w:rPr>
        <w:t xml:space="preserve"> </w:t>
      </w:r>
      <w:r>
        <w:rPr>
          <w:szCs w:val="24"/>
        </w:rPr>
        <w:t>на фоне потенциально кардиотоксического лечения</w:t>
      </w:r>
      <w:r w:rsidRPr="00473754">
        <w:rPr>
          <w:szCs w:val="24"/>
        </w:rPr>
        <w:t xml:space="preserve"> кардио</w:t>
      </w:r>
      <w:r>
        <w:rPr>
          <w:szCs w:val="24"/>
        </w:rPr>
        <w:t xml:space="preserve">логическое </w:t>
      </w:r>
      <w:r w:rsidRPr="00473754">
        <w:rPr>
          <w:szCs w:val="24"/>
        </w:rPr>
        <w:t xml:space="preserve">обследование </w:t>
      </w:r>
      <w:r>
        <w:rPr>
          <w:szCs w:val="24"/>
        </w:rPr>
        <w:t>рекомендовано</w:t>
      </w:r>
      <w:r w:rsidRPr="00473754">
        <w:rPr>
          <w:szCs w:val="24"/>
        </w:rPr>
        <w:t xml:space="preserve"> </w:t>
      </w:r>
      <w:r w:rsidRPr="00B21850">
        <w:rPr>
          <w:szCs w:val="24"/>
        </w:rPr>
        <w:t>по возможности</w:t>
      </w:r>
      <w:r>
        <w:t xml:space="preserve"> </w:t>
      </w:r>
      <w:r w:rsidRPr="00473754">
        <w:rPr>
          <w:szCs w:val="24"/>
        </w:rPr>
        <w:t xml:space="preserve">проводить каждые 12 </w:t>
      </w:r>
      <w:r w:rsidRPr="00043A02">
        <w:rPr>
          <w:szCs w:val="24"/>
        </w:rPr>
        <w:t>н</w:t>
      </w:r>
      <w:r w:rsidRPr="00473754">
        <w:rPr>
          <w:szCs w:val="24"/>
        </w:rPr>
        <w:t>едель</w:t>
      </w:r>
      <w:r>
        <w:rPr>
          <w:szCs w:val="24"/>
        </w:rPr>
        <w:t xml:space="preserve">. Если имеется / выявлена кардиальная патология до / во время проведения потенциально кардиотоксического гематологического лечения </w:t>
      </w:r>
      <w:r w:rsidRPr="00473754">
        <w:rPr>
          <w:szCs w:val="24"/>
        </w:rPr>
        <w:t>кардио</w:t>
      </w:r>
      <w:r>
        <w:rPr>
          <w:szCs w:val="24"/>
        </w:rPr>
        <w:t xml:space="preserve">логическое </w:t>
      </w:r>
      <w:r w:rsidRPr="00473754">
        <w:rPr>
          <w:szCs w:val="24"/>
        </w:rPr>
        <w:t>обследование</w:t>
      </w:r>
      <w:r>
        <w:rPr>
          <w:szCs w:val="24"/>
        </w:rPr>
        <w:t xml:space="preserve"> рекомендуется </w:t>
      </w:r>
      <w:r w:rsidRPr="00B21850">
        <w:rPr>
          <w:szCs w:val="24"/>
        </w:rPr>
        <w:t>по возможности</w:t>
      </w:r>
      <w:r>
        <w:t xml:space="preserve"> </w:t>
      </w:r>
      <w:r>
        <w:rPr>
          <w:szCs w:val="24"/>
        </w:rPr>
        <w:t xml:space="preserve">перед каждым курсом лечения или не реже, чем раз в 4 недели. После завершения кардиотоксичного лечения проведение кардиологического обследования рекомендуется </w:t>
      </w:r>
      <w:r w:rsidRPr="00B21850">
        <w:rPr>
          <w:szCs w:val="24"/>
        </w:rPr>
        <w:t>по возможности</w:t>
      </w:r>
      <w:r>
        <w:t xml:space="preserve"> </w:t>
      </w:r>
      <w:r>
        <w:rPr>
          <w:szCs w:val="24"/>
        </w:rPr>
        <w:t>не реже чем раз в 6 мес при наличии кардиальной патологии, и не реже, чем раз в 12 мес при ее отсутствии</w:t>
      </w:r>
      <w:r w:rsidRPr="00473754">
        <w:rPr>
          <w:szCs w:val="24"/>
        </w:rPr>
        <w:t xml:space="preserve">. </w:t>
      </w:r>
      <w:r>
        <w:rPr>
          <w:szCs w:val="24"/>
        </w:rPr>
        <w:t xml:space="preserve">Кардиомониторинг стандартно включает </w:t>
      </w:r>
      <w:r w:rsidRPr="008F1449">
        <w:rPr>
          <w:szCs w:val="24"/>
        </w:rPr>
        <w:t>ЭКГ, ЭХО-КГ, консультацию кардиолога.</w:t>
      </w:r>
    </w:p>
    <w:p w14:paraId="3794C7FE" w14:textId="77777777" w:rsidR="00A0306F" w:rsidRDefault="00A0306F" w:rsidP="00A0306F">
      <w:pPr>
        <w:ind w:left="360"/>
        <w:rPr>
          <w:b/>
          <w:szCs w:val="24"/>
        </w:rPr>
      </w:pPr>
    </w:p>
    <w:p w14:paraId="39C6FBA2" w14:textId="4AE4057F" w:rsidR="00D620D3" w:rsidRPr="00A0306F" w:rsidRDefault="00A0306F" w:rsidP="00A0306F">
      <w:pPr>
        <w:rPr>
          <w:bCs/>
          <w:szCs w:val="24"/>
          <w:u w:val="single"/>
        </w:rPr>
      </w:pPr>
      <w:r>
        <w:rPr>
          <w:bCs/>
          <w:szCs w:val="24"/>
          <w:u w:val="single"/>
        </w:rPr>
        <w:t xml:space="preserve">7.7.4. </w:t>
      </w:r>
      <w:r w:rsidR="00D620D3" w:rsidRPr="00A0306F">
        <w:rPr>
          <w:bCs/>
          <w:szCs w:val="24"/>
          <w:u w:val="single"/>
        </w:rPr>
        <w:t>Кардиомониторинг при проведении (потенциально)кардиотоксичного лечения.</w:t>
      </w:r>
    </w:p>
    <w:p w14:paraId="21B0450E" w14:textId="77777777" w:rsidR="00D620D3" w:rsidRPr="00334A32" w:rsidRDefault="00D620D3" w:rsidP="00A0306F">
      <w:pPr>
        <w:ind w:firstLine="709"/>
        <w:rPr>
          <w:szCs w:val="24"/>
        </w:rPr>
      </w:pPr>
      <w:r>
        <w:rPr>
          <w:szCs w:val="24"/>
        </w:rPr>
        <w:t>Н</w:t>
      </w:r>
      <w:r w:rsidRPr="00334A32">
        <w:rPr>
          <w:szCs w:val="24"/>
        </w:rPr>
        <w:t xml:space="preserve">еобходима настороженность в отношении возможных проявлений кардиотоксичности как </w:t>
      </w:r>
      <w:r>
        <w:rPr>
          <w:szCs w:val="24"/>
        </w:rPr>
        <w:t>в дебюте</w:t>
      </w:r>
      <w:r w:rsidRPr="00334A32">
        <w:rPr>
          <w:szCs w:val="24"/>
        </w:rPr>
        <w:t xml:space="preserve"> лечения, так и </w:t>
      </w:r>
      <w:r>
        <w:rPr>
          <w:szCs w:val="24"/>
        </w:rPr>
        <w:t xml:space="preserve">при его продолжении, поскольку </w:t>
      </w:r>
      <w:r w:rsidRPr="00334A32">
        <w:rPr>
          <w:szCs w:val="24"/>
        </w:rPr>
        <w:t>некоторые проявлени</w:t>
      </w:r>
      <w:r>
        <w:rPr>
          <w:szCs w:val="24"/>
        </w:rPr>
        <w:t>я</w:t>
      </w:r>
      <w:r w:rsidRPr="00334A32">
        <w:rPr>
          <w:szCs w:val="24"/>
        </w:rPr>
        <w:t xml:space="preserve"> кардиотоксичности развиваются отсроченно</w:t>
      </w:r>
      <w:r>
        <w:rPr>
          <w:szCs w:val="24"/>
        </w:rPr>
        <w:t xml:space="preserve"> и</w:t>
      </w:r>
      <w:r w:rsidRPr="00334A32">
        <w:rPr>
          <w:szCs w:val="24"/>
        </w:rPr>
        <w:t xml:space="preserve"> протекают малосимптомно</w:t>
      </w:r>
      <w:r>
        <w:rPr>
          <w:szCs w:val="24"/>
        </w:rPr>
        <w:t xml:space="preserve">, а </w:t>
      </w:r>
      <w:r w:rsidRPr="00334A32">
        <w:rPr>
          <w:szCs w:val="24"/>
        </w:rPr>
        <w:t>некоторые проявлени</w:t>
      </w:r>
      <w:r>
        <w:rPr>
          <w:szCs w:val="24"/>
        </w:rPr>
        <w:t>я</w:t>
      </w:r>
      <w:r w:rsidRPr="00334A32">
        <w:rPr>
          <w:szCs w:val="24"/>
        </w:rPr>
        <w:t xml:space="preserve"> кардиотоксичности, напротив, развива</w:t>
      </w:r>
      <w:r>
        <w:rPr>
          <w:szCs w:val="24"/>
        </w:rPr>
        <w:t>ю</w:t>
      </w:r>
      <w:r w:rsidRPr="00334A32">
        <w:rPr>
          <w:szCs w:val="24"/>
        </w:rPr>
        <w:t>тся молниеносно и требу</w:t>
      </w:r>
      <w:r>
        <w:rPr>
          <w:szCs w:val="24"/>
        </w:rPr>
        <w:t>ю</w:t>
      </w:r>
      <w:r w:rsidRPr="00334A32">
        <w:rPr>
          <w:szCs w:val="24"/>
        </w:rPr>
        <w:t>т неотложных кардиологических мероприятий</w:t>
      </w:r>
      <w:r w:rsidRPr="00FA1903">
        <w:rPr>
          <w:szCs w:val="24"/>
        </w:rPr>
        <w:t>.</w:t>
      </w:r>
      <w:r w:rsidRPr="00334A32">
        <w:rPr>
          <w:szCs w:val="24"/>
        </w:rPr>
        <w:t xml:space="preserve">  </w:t>
      </w:r>
    </w:p>
    <w:p w14:paraId="0255DD57" w14:textId="77777777" w:rsidR="00D620D3" w:rsidRDefault="00D620D3" w:rsidP="00A0306F">
      <w:pPr>
        <w:ind w:firstLine="709"/>
        <w:rPr>
          <w:b/>
          <w:szCs w:val="24"/>
        </w:rPr>
      </w:pPr>
      <w:r w:rsidRPr="00334A32">
        <w:rPr>
          <w:szCs w:val="24"/>
        </w:rPr>
        <w:t xml:space="preserve">Необходимо учитывать потенцирование кардиотоксических эффектов при совместном </w:t>
      </w:r>
      <w:r>
        <w:rPr>
          <w:szCs w:val="24"/>
        </w:rPr>
        <w:t>п</w:t>
      </w:r>
      <w:r w:rsidRPr="00334A32">
        <w:rPr>
          <w:szCs w:val="24"/>
        </w:rPr>
        <w:t>рименении препаратов, а также индивидуальные реакции с развитием ранее не описанных проявлений кардиотоксичности, особенно у пациентов, имеющих заболевания сердечно-сосудистой системы в анамнезе.</w:t>
      </w:r>
      <w:r w:rsidRPr="00C12008">
        <w:rPr>
          <w:b/>
          <w:szCs w:val="24"/>
        </w:rPr>
        <w:t xml:space="preserve"> </w:t>
      </w:r>
      <w:r w:rsidRPr="00BE1D62">
        <w:rPr>
          <w:szCs w:val="24"/>
        </w:rPr>
        <w:t>При наличии</w:t>
      </w:r>
      <w:r>
        <w:rPr>
          <w:szCs w:val="24"/>
        </w:rPr>
        <w:t xml:space="preserve"> или появлении кардиальных изменений и/или заболеваний сердечно-сосудистой системы, необходимо обсуждение с кардиологом возможности дальнейшего проведения гематологической терапии, необходимости ее коррекции, применение кардиологического лечения. </w:t>
      </w:r>
    </w:p>
    <w:p w14:paraId="33190F60" w14:textId="28B3B4DA" w:rsidR="00D620D3" w:rsidRPr="005D6D35" w:rsidRDefault="00D620D3" w:rsidP="00A0306F">
      <w:pPr>
        <w:ind w:firstLine="709"/>
        <w:rPr>
          <w:szCs w:val="24"/>
        </w:rPr>
      </w:pPr>
      <w:r w:rsidRPr="004A62BF">
        <w:rPr>
          <w:szCs w:val="24"/>
        </w:rPr>
        <w:t>При</w:t>
      </w:r>
      <w:r w:rsidRPr="005D6D35">
        <w:rPr>
          <w:szCs w:val="24"/>
        </w:rPr>
        <w:t xml:space="preserve"> </w:t>
      </w:r>
      <w:r>
        <w:rPr>
          <w:szCs w:val="24"/>
        </w:rPr>
        <w:t xml:space="preserve">применении </w:t>
      </w:r>
      <w:r w:rsidRPr="005D6D35">
        <w:rPr>
          <w:szCs w:val="24"/>
        </w:rPr>
        <w:t xml:space="preserve">препаратов, </w:t>
      </w:r>
      <w:r>
        <w:rPr>
          <w:szCs w:val="24"/>
        </w:rPr>
        <w:t>обладающих кардиотоксичностью</w:t>
      </w:r>
      <w:r w:rsidRPr="005D6D35">
        <w:rPr>
          <w:szCs w:val="24"/>
        </w:rPr>
        <w:t xml:space="preserve"> (антрациклины, алкилирующие агенты, ингибиторы протеасом, моноклональные антитела), </w:t>
      </w:r>
      <w:r>
        <w:rPr>
          <w:szCs w:val="24"/>
        </w:rPr>
        <w:t xml:space="preserve">необходимо </w:t>
      </w:r>
      <w:r w:rsidRPr="005D6D35">
        <w:rPr>
          <w:szCs w:val="24"/>
        </w:rPr>
        <w:t>учитывать исходную систолическую функцию левого желудочка</w:t>
      </w:r>
      <w:r>
        <w:rPr>
          <w:szCs w:val="24"/>
        </w:rPr>
        <w:t xml:space="preserve"> сердца</w:t>
      </w:r>
      <w:r w:rsidRPr="005D6D35">
        <w:rPr>
          <w:szCs w:val="24"/>
        </w:rPr>
        <w:t>:</w:t>
      </w:r>
    </w:p>
    <w:p w14:paraId="636F9544" w14:textId="6CA339B9" w:rsidR="00D620D3" w:rsidRDefault="00D620D3" w:rsidP="00D61785">
      <w:pPr>
        <w:numPr>
          <w:ilvl w:val="0"/>
          <w:numId w:val="48"/>
        </w:numPr>
        <w:ind w:left="709" w:hanging="425"/>
        <w:rPr>
          <w:szCs w:val="24"/>
        </w:rPr>
      </w:pPr>
      <w:r>
        <w:rPr>
          <w:szCs w:val="24"/>
        </w:rPr>
        <w:t>Кардиотоксические х</w:t>
      </w:r>
      <w:r w:rsidRPr="005D6D35">
        <w:rPr>
          <w:szCs w:val="24"/>
        </w:rPr>
        <w:t xml:space="preserve">имиопрепараты не должны </w:t>
      </w:r>
      <w:r w:rsidRPr="00AF32E2">
        <w:rPr>
          <w:szCs w:val="24"/>
        </w:rPr>
        <w:t>рутинно</w:t>
      </w:r>
      <w:r>
        <w:rPr>
          <w:szCs w:val="24"/>
        </w:rPr>
        <w:t xml:space="preserve"> применяться у больных с фракцией</w:t>
      </w:r>
      <w:r w:rsidRPr="00AB45B2">
        <w:rPr>
          <w:szCs w:val="24"/>
        </w:rPr>
        <w:t xml:space="preserve"> выброса</w:t>
      </w:r>
      <w:r w:rsidRPr="005D6D35">
        <w:rPr>
          <w:szCs w:val="24"/>
        </w:rPr>
        <w:t xml:space="preserve"> </w:t>
      </w:r>
      <w:r>
        <w:rPr>
          <w:szCs w:val="24"/>
        </w:rPr>
        <w:t>левого желудочка (</w:t>
      </w:r>
      <w:r w:rsidRPr="005D6D35">
        <w:rPr>
          <w:szCs w:val="24"/>
        </w:rPr>
        <w:t>Ф</w:t>
      </w:r>
      <w:r>
        <w:rPr>
          <w:szCs w:val="24"/>
        </w:rPr>
        <w:t xml:space="preserve">ВЛЖ) </w:t>
      </w:r>
      <w:r w:rsidRPr="005D6D35">
        <w:rPr>
          <w:szCs w:val="24"/>
        </w:rPr>
        <w:t>&lt; 30 %.</w:t>
      </w:r>
      <w:r>
        <w:rPr>
          <w:szCs w:val="24"/>
        </w:rPr>
        <w:t xml:space="preserve"> Вопрос о назначении потенциально кардиотоксической противоопухолевой терапии в этом случае рекомендуется решать на консилиуме с участием кардиолога. </w:t>
      </w:r>
    </w:p>
    <w:p w14:paraId="4ABE35CF" w14:textId="77777777" w:rsidR="00D620D3" w:rsidRPr="00F61EE3" w:rsidRDefault="00D620D3" w:rsidP="00D61785">
      <w:pPr>
        <w:numPr>
          <w:ilvl w:val="0"/>
          <w:numId w:val="48"/>
        </w:numPr>
        <w:ind w:left="709" w:hanging="425"/>
        <w:rPr>
          <w:szCs w:val="24"/>
        </w:rPr>
      </w:pPr>
      <w:r>
        <w:rPr>
          <w:szCs w:val="24"/>
        </w:rPr>
        <w:t>При</w:t>
      </w:r>
      <w:r w:rsidRPr="0051105D">
        <w:rPr>
          <w:szCs w:val="24"/>
        </w:rPr>
        <w:t xml:space="preserve"> ФВЛЖ </w:t>
      </w:r>
      <w:r>
        <w:rPr>
          <w:szCs w:val="24"/>
        </w:rPr>
        <w:t xml:space="preserve">30 – 50 % необходимо оценивать </w:t>
      </w:r>
      <w:r w:rsidRPr="00F61EE3">
        <w:rPr>
          <w:szCs w:val="24"/>
        </w:rPr>
        <w:t>функци</w:t>
      </w:r>
      <w:r>
        <w:rPr>
          <w:szCs w:val="24"/>
        </w:rPr>
        <w:t>ю</w:t>
      </w:r>
      <w:r w:rsidRPr="00F61EE3">
        <w:rPr>
          <w:szCs w:val="24"/>
        </w:rPr>
        <w:t xml:space="preserve"> левого желудочка </w:t>
      </w:r>
      <w:r>
        <w:rPr>
          <w:szCs w:val="24"/>
        </w:rPr>
        <w:t xml:space="preserve">по ЭхоКГ </w:t>
      </w:r>
      <w:r w:rsidRPr="00F61EE3">
        <w:rPr>
          <w:szCs w:val="24"/>
        </w:rPr>
        <w:t xml:space="preserve">перед каждой новой дозой </w:t>
      </w:r>
      <w:r w:rsidRPr="0051105D">
        <w:rPr>
          <w:szCs w:val="24"/>
        </w:rPr>
        <w:t>кардиотоксичных химиопрепаратов</w:t>
      </w:r>
      <w:r w:rsidRPr="00F61EE3">
        <w:rPr>
          <w:szCs w:val="24"/>
        </w:rPr>
        <w:t xml:space="preserve">. </w:t>
      </w:r>
    </w:p>
    <w:p w14:paraId="7E231372" w14:textId="77777777" w:rsidR="00D620D3" w:rsidRPr="005E13A9" w:rsidRDefault="00D620D3" w:rsidP="00D61785">
      <w:pPr>
        <w:numPr>
          <w:ilvl w:val="0"/>
          <w:numId w:val="48"/>
        </w:numPr>
        <w:ind w:left="709" w:hanging="425"/>
        <w:rPr>
          <w:szCs w:val="24"/>
        </w:rPr>
      </w:pPr>
      <w:r>
        <w:rPr>
          <w:szCs w:val="24"/>
        </w:rPr>
        <w:t>При</w:t>
      </w:r>
      <w:r w:rsidRPr="0051105D">
        <w:rPr>
          <w:szCs w:val="24"/>
        </w:rPr>
        <w:t xml:space="preserve"> ФВЛЖ </w:t>
      </w:r>
      <w:r>
        <w:rPr>
          <w:szCs w:val="24"/>
        </w:rPr>
        <w:t>≥ 50 %</w:t>
      </w:r>
      <w:r w:rsidRPr="0051105D">
        <w:rPr>
          <w:szCs w:val="24"/>
        </w:rPr>
        <w:t xml:space="preserve">, </w:t>
      </w:r>
      <w:r>
        <w:rPr>
          <w:szCs w:val="24"/>
        </w:rPr>
        <w:t xml:space="preserve">необходимо оценивать </w:t>
      </w:r>
      <w:r w:rsidRPr="00F61EE3">
        <w:rPr>
          <w:szCs w:val="24"/>
        </w:rPr>
        <w:t>функци</w:t>
      </w:r>
      <w:r>
        <w:rPr>
          <w:szCs w:val="24"/>
        </w:rPr>
        <w:t>ю</w:t>
      </w:r>
      <w:r w:rsidRPr="00F61EE3">
        <w:rPr>
          <w:szCs w:val="24"/>
        </w:rPr>
        <w:t xml:space="preserve"> левого желудочка </w:t>
      </w:r>
      <w:r>
        <w:rPr>
          <w:szCs w:val="24"/>
        </w:rPr>
        <w:t xml:space="preserve">по ЭхоКГ повторно </w:t>
      </w:r>
      <w:r w:rsidRPr="0051105D">
        <w:rPr>
          <w:szCs w:val="24"/>
        </w:rPr>
        <w:t xml:space="preserve">при </w:t>
      </w:r>
      <w:r>
        <w:rPr>
          <w:szCs w:val="24"/>
        </w:rPr>
        <w:t>достижении</w:t>
      </w:r>
      <w:r w:rsidRPr="0051105D">
        <w:rPr>
          <w:szCs w:val="24"/>
        </w:rPr>
        <w:t xml:space="preserve"> суммарной дозы кардиотоксичных химиопрепаратов </w:t>
      </w:r>
      <w:r>
        <w:rPr>
          <w:szCs w:val="24"/>
        </w:rPr>
        <w:t>300 –</w:t>
      </w:r>
      <w:r w:rsidRPr="005E13A9">
        <w:rPr>
          <w:szCs w:val="24"/>
        </w:rPr>
        <w:t xml:space="preserve"> 350 мг/м</w:t>
      </w:r>
      <w:r w:rsidRPr="005E13A9">
        <w:rPr>
          <w:szCs w:val="24"/>
          <w:vertAlign w:val="superscript"/>
        </w:rPr>
        <w:t>2</w:t>
      </w:r>
      <w:r w:rsidRPr="005E13A9">
        <w:rPr>
          <w:szCs w:val="24"/>
        </w:rPr>
        <w:t>.</w:t>
      </w:r>
    </w:p>
    <w:p w14:paraId="22AE0709" w14:textId="77777777" w:rsidR="00D620D3" w:rsidRPr="0051105D" w:rsidRDefault="00D620D3" w:rsidP="003A6990">
      <w:pPr>
        <w:ind w:left="60" w:firstLine="649"/>
        <w:rPr>
          <w:szCs w:val="24"/>
        </w:rPr>
      </w:pPr>
      <w:r w:rsidRPr="00761ABB">
        <w:rPr>
          <w:szCs w:val="24"/>
          <w:u w:val="single"/>
        </w:rPr>
        <w:t>Оценка безопасности продолжения лечения при использовании (потенциально) кардиотоксичных препаратов</w:t>
      </w:r>
      <w:r w:rsidRPr="0051105D">
        <w:rPr>
          <w:szCs w:val="24"/>
        </w:rPr>
        <w:t>:</w:t>
      </w:r>
    </w:p>
    <w:p w14:paraId="0950993F" w14:textId="253D208D" w:rsidR="00D620D3" w:rsidRPr="003A6990" w:rsidRDefault="00D620D3" w:rsidP="00D61785">
      <w:pPr>
        <w:pStyle w:val="a4"/>
        <w:numPr>
          <w:ilvl w:val="1"/>
          <w:numId w:val="56"/>
        </w:numPr>
        <w:spacing w:before="0"/>
        <w:rPr>
          <w:szCs w:val="24"/>
        </w:rPr>
      </w:pPr>
      <w:r w:rsidRPr="003A6990">
        <w:rPr>
          <w:szCs w:val="24"/>
        </w:rPr>
        <w:t xml:space="preserve">Продолжение лечения – при отсутствии снижения ФВЛЖ, или снижение, но при уровне ФВЛЖ  ≥ 50 %. </w:t>
      </w:r>
    </w:p>
    <w:p w14:paraId="7413C978" w14:textId="7D490B4A" w:rsidR="00D620D3" w:rsidRPr="003A6990" w:rsidRDefault="00D620D3" w:rsidP="00D61785">
      <w:pPr>
        <w:pStyle w:val="a4"/>
        <w:numPr>
          <w:ilvl w:val="1"/>
          <w:numId w:val="56"/>
        </w:numPr>
        <w:spacing w:before="0"/>
        <w:rPr>
          <w:szCs w:val="24"/>
        </w:rPr>
      </w:pPr>
      <w:r w:rsidRPr="003A6990">
        <w:rPr>
          <w:szCs w:val="24"/>
        </w:rPr>
        <w:t>Контроль через 3 недели – при снижение ФВЛЖ &lt; 50%. При сохраняющемся снижении ФВЛЖ &lt; 50% – обсудить возможность перерыва в лечении / альтернативного лечения.</w:t>
      </w:r>
    </w:p>
    <w:p w14:paraId="43B0AE76" w14:textId="77777777" w:rsidR="00D620D3" w:rsidRPr="00761ABB" w:rsidRDefault="00D620D3" w:rsidP="003A6990">
      <w:pPr>
        <w:ind w:firstLine="709"/>
        <w:rPr>
          <w:szCs w:val="24"/>
          <w:u w:val="single"/>
        </w:rPr>
      </w:pPr>
      <w:r w:rsidRPr="00761ABB">
        <w:rPr>
          <w:szCs w:val="24"/>
          <w:u w:val="single"/>
        </w:rPr>
        <w:t xml:space="preserve">Степени кардиальных осложнений (нежелательных явлений): </w:t>
      </w:r>
    </w:p>
    <w:p w14:paraId="6C21BDE1" w14:textId="0F86EB23" w:rsidR="00D620D3" w:rsidRPr="009A0D34" w:rsidRDefault="00D620D3" w:rsidP="00D61785">
      <w:pPr>
        <w:pStyle w:val="a4"/>
        <w:numPr>
          <w:ilvl w:val="0"/>
          <w:numId w:val="46"/>
        </w:numPr>
        <w:spacing w:before="0"/>
        <w:contextualSpacing/>
        <w:rPr>
          <w:szCs w:val="24"/>
        </w:rPr>
      </w:pPr>
      <w:r w:rsidRPr="001A48BF">
        <w:rPr>
          <w:szCs w:val="24"/>
          <w:u w:val="single"/>
        </w:rPr>
        <w:t>Первая степень</w:t>
      </w:r>
      <w:r>
        <w:rPr>
          <w:szCs w:val="24"/>
        </w:rPr>
        <w:t>:</w:t>
      </w:r>
      <w:r w:rsidRPr="00E07D2D">
        <w:rPr>
          <w:szCs w:val="24"/>
        </w:rPr>
        <w:t xml:space="preserve"> </w:t>
      </w:r>
      <w:r>
        <w:rPr>
          <w:szCs w:val="24"/>
        </w:rPr>
        <w:t>изменения</w:t>
      </w:r>
      <w:r w:rsidRPr="00E07D2D">
        <w:rPr>
          <w:szCs w:val="24"/>
        </w:rPr>
        <w:t xml:space="preserve"> сердечно-сосудистой системы</w:t>
      </w:r>
      <w:r>
        <w:rPr>
          <w:szCs w:val="24"/>
        </w:rPr>
        <w:t>, не оказывающие влияние на ее нормальное функционирование и не влияющими на прогноз (желудочковая и наджелудочковая экстрасистолия без гемодинамических нарушений, АВ-блокада 1 степени, полная и неполная блокада правой ножки пучка Гиса, полная блокада левой ножки пучка Гиса, блокады ветвей левой ножки пучка Гиса). Лекарственная коррекция выявленных изменений не требуется; о</w:t>
      </w:r>
      <w:r w:rsidRPr="009A0D34">
        <w:rPr>
          <w:szCs w:val="24"/>
        </w:rPr>
        <w:t xml:space="preserve">тмена </w:t>
      </w:r>
      <w:r>
        <w:rPr>
          <w:szCs w:val="24"/>
        </w:rPr>
        <w:t>гематологического</w:t>
      </w:r>
      <w:r w:rsidRPr="009A0D34">
        <w:rPr>
          <w:szCs w:val="24"/>
        </w:rPr>
        <w:t xml:space="preserve"> лечения не требуе</w:t>
      </w:r>
      <w:r>
        <w:rPr>
          <w:szCs w:val="24"/>
        </w:rPr>
        <w:t>тся;</w:t>
      </w:r>
      <w:r w:rsidRPr="009A0D34">
        <w:rPr>
          <w:szCs w:val="24"/>
        </w:rPr>
        <w:t xml:space="preserve"> динамическ</w:t>
      </w:r>
      <w:r>
        <w:rPr>
          <w:szCs w:val="24"/>
        </w:rPr>
        <w:t>ое</w:t>
      </w:r>
      <w:r w:rsidRPr="009A0D34">
        <w:rPr>
          <w:szCs w:val="24"/>
        </w:rPr>
        <w:t xml:space="preserve"> наблюдение </w:t>
      </w:r>
      <w:r>
        <w:rPr>
          <w:szCs w:val="24"/>
        </w:rPr>
        <w:t>гематолога</w:t>
      </w:r>
      <w:r w:rsidRPr="009A0D34">
        <w:rPr>
          <w:szCs w:val="24"/>
        </w:rPr>
        <w:t xml:space="preserve"> и кардиолога</w:t>
      </w:r>
      <w:r>
        <w:rPr>
          <w:szCs w:val="24"/>
        </w:rPr>
        <w:t xml:space="preserve">. </w:t>
      </w:r>
    </w:p>
    <w:p w14:paraId="657E58D9" w14:textId="77777777" w:rsidR="00D620D3" w:rsidRDefault="00D620D3" w:rsidP="00D61785">
      <w:pPr>
        <w:pStyle w:val="a4"/>
        <w:numPr>
          <w:ilvl w:val="0"/>
          <w:numId w:val="46"/>
        </w:numPr>
        <w:spacing w:before="0"/>
        <w:contextualSpacing/>
        <w:rPr>
          <w:szCs w:val="24"/>
        </w:rPr>
      </w:pPr>
      <w:r w:rsidRPr="001A48BF">
        <w:rPr>
          <w:szCs w:val="24"/>
          <w:u w:val="single"/>
        </w:rPr>
        <w:t>Вторая степень</w:t>
      </w:r>
      <w:r>
        <w:rPr>
          <w:szCs w:val="24"/>
        </w:rPr>
        <w:t xml:space="preserve">: умеренные изменения </w:t>
      </w:r>
      <w:r w:rsidRPr="00E07D2D">
        <w:rPr>
          <w:szCs w:val="24"/>
        </w:rPr>
        <w:t>сердечно-сосудистой системы</w:t>
      </w:r>
      <w:r>
        <w:rPr>
          <w:szCs w:val="24"/>
        </w:rPr>
        <w:t xml:space="preserve"> (развитие или усугубление АГ, развитие фибрилляции предсердий (ФП)). Проведение лекарственной коррекции; отмена гематологического лечения не требуется. </w:t>
      </w:r>
    </w:p>
    <w:p w14:paraId="3B235D44" w14:textId="77777777" w:rsidR="00D620D3" w:rsidRDefault="00D620D3" w:rsidP="00D61785">
      <w:pPr>
        <w:pStyle w:val="a4"/>
        <w:numPr>
          <w:ilvl w:val="0"/>
          <w:numId w:val="46"/>
        </w:numPr>
        <w:spacing w:before="0"/>
        <w:contextualSpacing/>
        <w:rPr>
          <w:szCs w:val="24"/>
        </w:rPr>
      </w:pPr>
      <w:r w:rsidRPr="001A48BF">
        <w:rPr>
          <w:szCs w:val="24"/>
          <w:u w:val="single"/>
        </w:rPr>
        <w:t>Третья степень</w:t>
      </w:r>
      <w:r w:rsidRPr="00CA09A5">
        <w:rPr>
          <w:szCs w:val="24"/>
        </w:rPr>
        <w:t>: значим</w:t>
      </w:r>
      <w:r>
        <w:rPr>
          <w:szCs w:val="24"/>
        </w:rPr>
        <w:t>ые</w:t>
      </w:r>
      <w:r w:rsidRPr="00CA09A5">
        <w:rPr>
          <w:szCs w:val="24"/>
        </w:rPr>
        <w:t>, но не жизнеурожающее</w:t>
      </w:r>
      <w:r>
        <w:rPr>
          <w:szCs w:val="24"/>
        </w:rPr>
        <w:t xml:space="preserve"> изменения</w:t>
      </w:r>
      <w:r w:rsidRPr="00E07D2D">
        <w:rPr>
          <w:szCs w:val="24"/>
        </w:rPr>
        <w:t xml:space="preserve"> сердечно-сосудистой системы</w:t>
      </w:r>
      <w:r>
        <w:rPr>
          <w:szCs w:val="24"/>
        </w:rPr>
        <w:t xml:space="preserve"> </w:t>
      </w:r>
      <w:r w:rsidRPr="00CA09A5">
        <w:rPr>
          <w:szCs w:val="24"/>
        </w:rPr>
        <w:t>(</w:t>
      </w:r>
      <w:r>
        <w:rPr>
          <w:szCs w:val="24"/>
        </w:rPr>
        <w:t>инфаркт</w:t>
      </w:r>
      <w:r w:rsidRPr="00CA09A5">
        <w:rPr>
          <w:szCs w:val="24"/>
        </w:rPr>
        <w:t xml:space="preserve"> миокарда, кардиомиопати</w:t>
      </w:r>
      <w:r>
        <w:rPr>
          <w:szCs w:val="24"/>
        </w:rPr>
        <w:t xml:space="preserve">я, </w:t>
      </w:r>
      <w:r w:rsidRPr="00CA09A5">
        <w:rPr>
          <w:szCs w:val="24"/>
        </w:rPr>
        <w:t xml:space="preserve">снижение систолической функции левого желудочка </w:t>
      </w:r>
      <w:r>
        <w:rPr>
          <w:szCs w:val="24"/>
        </w:rPr>
        <w:t xml:space="preserve">с </w:t>
      </w:r>
      <w:r w:rsidRPr="00CA09A5">
        <w:rPr>
          <w:szCs w:val="24"/>
        </w:rPr>
        <w:t>ФВ</w:t>
      </w:r>
      <w:r>
        <w:rPr>
          <w:szCs w:val="24"/>
        </w:rPr>
        <w:t>ЛЖ</w:t>
      </w:r>
      <w:r w:rsidRPr="00CA09A5">
        <w:rPr>
          <w:szCs w:val="24"/>
        </w:rPr>
        <w:t xml:space="preserve"> </w:t>
      </w:r>
      <w:r w:rsidRPr="00015567">
        <w:rPr>
          <w:szCs w:val="24"/>
        </w:rPr>
        <w:t>&lt;</w:t>
      </w:r>
      <w:r w:rsidRPr="00CA09A5">
        <w:rPr>
          <w:szCs w:val="24"/>
        </w:rPr>
        <w:t xml:space="preserve"> 50 </w:t>
      </w:r>
      <w:r>
        <w:rPr>
          <w:szCs w:val="24"/>
        </w:rPr>
        <w:t xml:space="preserve">%). </w:t>
      </w:r>
      <w:r w:rsidRPr="00CA09A5">
        <w:rPr>
          <w:szCs w:val="24"/>
        </w:rPr>
        <w:t xml:space="preserve"> </w:t>
      </w:r>
      <w:r>
        <w:rPr>
          <w:szCs w:val="24"/>
        </w:rPr>
        <w:t>Проведение лекарственной коррекции, подбор постоянной кардиальной терапии (возможно стационарно). Обсуждение</w:t>
      </w:r>
      <w:r w:rsidRPr="00CA09A5">
        <w:rPr>
          <w:szCs w:val="24"/>
        </w:rPr>
        <w:t xml:space="preserve"> вопрос</w:t>
      </w:r>
      <w:r>
        <w:rPr>
          <w:szCs w:val="24"/>
        </w:rPr>
        <w:t>а</w:t>
      </w:r>
      <w:r w:rsidRPr="00CA09A5">
        <w:rPr>
          <w:szCs w:val="24"/>
        </w:rPr>
        <w:t xml:space="preserve"> об изменении</w:t>
      </w:r>
      <w:r>
        <w:rPr>
          <w:szCs w:val="24"/>
        </w:rPr>
        <w:t>/отмене</w:t>
      </w:r>
      <w:r w:rsidRPr="00CA09A5">
        <w:rPr>
          <w:szCs w:val="24"/>
        </w:rPr>
        <w:t xml:space="preserve"> </w:t>
      </w:r>
      <w:r>
        <w:rPr>
          <w:szCs w:val="24"/>
        </w:rPr>
        <w:t xml:space="preserve">гематологического </w:t>
      </w:r>
      <w:r w:rsidRPr="00CA09A5">
        <w:rPr>
          <w:szCs w:val="24"/>
        </w:rPr>
        <w:t>лечения</w:t>
      </w:r>
      <w:r>
        <w:rPr>
          <w:szCs w:val="24"/>
        </w:rPr>
        <w:t>.</w:t>
      </w:r>
    </w:p>
    <w:p w14:paraId="56BDCAC6" w14:textId="45F76845" w:rsidR="00D620D3" w:rsidRPr="00CA09A5" w:rsidRDefault="00D620D3" w:rsidP="00D61785">
      <w:pPr>
        <w:pStyle w:val="a4"/>
        <w:numPr>
          <w:ilvl w:val="0"/>
          <w:numId w:val="46"/>
        </w:numPr>
        <w:spacing w:before="0"/>
        <w:contextualSpacing/>
        <w:rPr>
          <w:szCs w:val="24"/>
        </w:rPr>
      </w:pPr>
      <w:r w:rsidRPr="001A48BF">
        <w:rPr>
          <w:szCs w:val="24"/>
          <w:u w:val="single"/>
        </w:rPr>
        <w:t>Четвертая степень</w:t>
      </w:r>
      <w:r w:rsidRPr="00CA09A5">
        <w:rPr>
          <w:szCs w:val="24"/>
        </w:rPr>
        <w:t>: жизнеугрожающ</w:t>
      </w:r>
      <w:r>
        <w:rPr>
          <w:szCs w:val="24"/>
        </w:rPr>
        <w:t>и</w:t>
      </w:r>
      <w:r w:rsidRPr="00CA09A5">
        <w:rPr>
          <w:szCs w:val="24"/>
        </w:rPr>
        <w:t>е</w:t>
      </w:r>
      <w:r>
        <w:rPr>
          <w:szCs w:val="24"/>
        </w:rPr>
        <w:t xml:space="preserve"> изменения</w:t>
      </w:r>
      <w:r w:rsidRPr="00E07D2D">
        <w:rPr>
          <w:szCs w:val="24"/>
        </w:rPr>
        <w:t xml:space="preserve"> сердечно-сосудистой системы</w:t>
      </w:r>
      <w:r w:rsidRPr="00CA09A5">
        <w:rPr>
          <w:szCs w:val="24"/>
        </w:rPr>
        <w:t xml:space="preserve"> (кардиогенн</w:t>
      </w:r>
      <w:r>
        <w:rPr>
          <w:szCs w:val="24"/>
        </w:rPr>
        <w:t>ый</w:t>
      </w:r>
      <w:r w:rsidRPr="00CA09A5">
        <w:rPr>
          <w:szCs w:val="24"/>
        </w:rPr>
        <w:t xml:space="preserve"> шок, </w:t>
      </w:r>
      <w:r w:rsidRPr="00AB45B2">
        <w:rPr>
          <w:szCs w:val="24"/>
        </w:rPr>
        <w:t>тромбоэмболия легочной артерии</w:t>
      </w:r>
      <w:r>
        <w:rPr>
          <w:szCs w:val="24"/>
        </w:rPr>
        <w:t>,</w:t>
      </w:r>
      <w:r w:rsidRPr="00CA09A5">
        <w:rPr>
          <w:szCs w:val="24"/>
        </w:rPr>
        <w:t xml:space="preserve"> жизнеугрожающи</w:t>
      </w:r>
      <w:r>
        <w:rPr>
          <w:szCs w:val="24"/>
        </w:rPr>
        <w:t>е</w:t>
      </w:r>
      <w:r w:rsidRPr="00CA09A5">
        <w:rPr>
          <w:szCs w:val="24"/>
        </w:rPr>
        <w:t xml:space="preserve"> арит</w:t>
      </w:r>
      <w:r>
        <w:rPr>
          <w:szCs w:val="24"/>
        </w:rPr>
        <w:t>мии</w:t>
      </w:r>
      <w:r w:rsidRPr="00CA09A5">
        <w:rPr>
          <w:szCs w:val="24"/>
        </w:rPr>
        <w:t>)</w:t>
      </w:r>
      <w:r>
        <w:rPr>
          <w:szCs w:val="24"/>
        </w:rPr>
        <w:t>. П</w:t>
      </w:r>
      <w:r w:rsidRPr="00CA09A5">
        <w:rPr>
          <w:szCs w:val="24"/>
        </w:rPr>
        <w:t>оказано срочн</w:t>
      </w:r>
      <w:r>
        <w:rPr>
          <w:szCs w:val="24"/>
        </w:rPr>
        <w:t xml:space="preserve">ая госпитализация, </w:t>
      </w:r>
      <w:r w:rsidRPr="00CA09A5">
        <w:rPr>
          <w:szCs w:val="24"/>
        </w:rPr>
        <w:t>отмена</w:t>
      </w:r>
      <w:r>
        <w:rPr>
          <w:szCs w:val="24"/>
        </w:rPr>
        <w:t>/коррекция</w:t>
      </w:r>
      <w:r w:rsidRPr="00CA09A5">
        <w:rPr>
          <w:szCs w:val="24"/>
        </w:rPr>
        <w:t xml:space="preserve"> </w:t>
      </w:r>
      <w:r>
        <w:rPr>
          <w:szCs w:val="24"/>
        </w:rPr>
        <w:t xml:space="preserve">гематологического </w:t>
      </w:r>
      <w:r w:rsidRPr="00CA09A5">
        <w:rPr>
          <w:szCs w:val="24"/>
        </w:rPr>
        <w:t>лечения.</w:t>
      </w:r>
    </w:p>
    <w:p w14:paraId="4A18FC4C" w14:textId="77777777" w:rsidR="00D620D3" w:rsidRPr="009A0D34" w:rsidRDefault="00D620D3" w:rsidP="00D61785">
      <w:pPr>
        <w:pStyle w:val="a4"/>
        <w:numPr>
          <w:ilvl w:val="0"/>
          <w:numId w:val="46"/>
        </w:numPr>
        <w:spacing w:before="0"/>
        <w:contextualSpacing/>
        <w:rPr>
          <w:szCs w:val="24"/>
        </w:rPr>
      </w:pPr>
      <w:r w:rsidRPr="004615E1">
        <w:rPr>
          <w:szCs w:val="24"/>
          <w:u w:val="single"/>
        </w:rPr>
        <w:t>Пятая степень</w:t>
      </w:r>
      <w:r>
        <w:rPr>
          <w:szCs w:val="24"/>
        </w:rPr>
        <w:t>: летальный исход, связанный с</w:t>
      </w:r>
      <w:r w:rsidRPr="00E07D2D">
        <w:t xml:space="preserve"> </w:t>
      </w:r>
      <w:r w:rsidRPr="00E07D2D">
        <w:rPr>
          <w:szCs w:val="24"/>
        </w:rPr>
        <w:t>кардиальны</w:t>
      </w:r>
      <w:r>
        <w:rPr>
          <w:szCs w:val="24"/>
        </w:rPr>
        <w:t>м</w:t>
      </w:r>
      <w:r w:rsidRPr="00E07D2D">
        <w:rPr>
          <w:szCs w:val="24"/>
        </w:rPr>
        <w:t xml:space="preserve"> нежелательны</w:t>
      </w:r>
      <w:r>
        <w:rPr>
          <w:szCs w:val="24"/>
        </w:rPr>
        <w:t>м</w:t>
      </w:r>
      <w:r w:rsidRPr="00E07D2D">
        <w:rPr>
          <w:szCs w:val="24"/>
        </w:rPr>
        <w:t xml:space="preserve"> явлени</w:t>
      </w:r>
      <w:r>
        <w:rPr>
          <w:szCs w:val="24"/>
        </w:rPr>
        <w:t>ем.</w:t>
      </w:r>
    </w:p>
    <w:p w14:paraId="113ADFAD" w14:textId="77777777" w:rsidR="003A6990" w:rsidRDefault="003A6990" w:rsidP="003A6990">
      <w:pPr>
        <w:rPr>
          <w:b/>
          <w:szCs w:val="24"/>
        </w:rPr>
      </w:pPr>
    </w:p>
    <w:p w14:paraId="3B93DECE" w14:textId="3D72CF85" w:rsidR="00D620D3" w:rsidRPr="003A6990" w:rsidRDefault="003A6990" w:rsidP="003A6990">
      <w:pPr>
        <w:rPr>
          <w:bCs/>
          <w:szCs w:val="24"/>
          <w:u w:val="single"/>
        </w:rPr>
      </w:pPr>
      <w:r>
        <w:rPr>
          <w:bCs/>
          <w:szCs w:val="24"/>
          <w:u w:val="single"/>
        </w:rPr>
        <w:t xml:space="preserve">7.7.5. </w:t>
      </w:r>
      <w:r w:rsidR="00D620D3" w:rsidRPr="003A6990">
        <w:rPr>
          <w:bCs/>
          <w:szCs w:val="24"/>
          <w:u w:val="single"/>
        </w:rPr>
        <w:t xml:space="preserve">Профилактика нежелательных кардиальных явлений.  </w:t>
      </w:r>
    </w:p>
    <w:p w14:paraId="32D74D98" w14:textId="77777777" w:rsidR="00D620D3" w:rsidRDefault="00D620D3" w:rsidP="003A6990">
      <w:pPr>
        <w:ind w:firstLine="709"/>
        <w:rPr>
          <w:szCs w:val="24"/>
        </w:rPr>
      </w:pPr>
      <w:r>
        <w:rPr>
          <w:szCs w:val="24"/>
        </w:rPr>
        <w:t xml:space="preserve">Возникновение </w:t>
      </w:r>
      <w:r w:rsidRPr="00360734">
        <w:rPr>
          <w:szCs w:val="24"/>
        </w:rPr>
        <w:t>побочны</w:t>
      </w:r>
      <w:r>
        <w:rPr>
          <w:szCs w:val="24"/>
        </w:rPr>
        <w:t>х</w:t>
      </w:r>
      <w:r w:rsidRPr="00360734">
        <w:rPr>
          <w:szCs w:val="24"/>
        </w:rPr>
        <w:t xml:space="preserve"> </w:t>
      </w:r>
      <w:r>
        <w:rPr>
          <w:szCs w:val="24"/>
        </w:rPr>
        <w:t xml:space="preserve">кардиологических </w:t>
      </w:r>
      <w:r w:rsidRPr="00360734">
        <w:rPr>
          <w:szCs w:val="24"/>
        </w:rPr>
        <w:t>явле</w:t>
      </w:r>
      <w:r>
        <w:rPr>
          <w:szCs w:val="24"/>
        </w:rPr>
        <w:t xml:space="preserve">ний может </w:t>
      </w:r>
      <w:r w:rsidRPr="001F4074">
        <w:rPr>
          <w:szCs w:val="24"/>
        </w:rPr>
        <w:t>стать причиной</w:t>
      </w:r>
      <w:r w:rsidRPr="00360734">
        <w:rPr>
          <w:szCs w:val="24"/>
        </w:rPr>
        <w:t xml:space="preserve"> прекращени</w:t>
      </w:r>
      <w:r>
        <w:rPr>
          <w:szCs w:val="24"/>
        </w:rPr>
        <w:t>я</w:t>
      </w:r>
      <w:r w:rsidRPr="00360734">
        <w:rPr>
          <w:szCs w:val="24"/>
        </w:rPr>
        <w:t xml:space="preserve"> </w:t>
      </w:r>
      <w:r>
        <w:rPr>
          <w:szCs w:val="24"/>
        </w:rPr>
        <w:t xml:space="preserve">гематологического </w:t>
      </w:r>
      <w:r w:rsidRPr="00360734">
        <w:rPr>
          <w:szCs w:val="24"/>
        </w:rPr>
        <w:t>лечения, ухудшени</w:t>
      </w:r>
      <w:r>
        <w:rPr>
          <w:szCs w:val="24"/>
        </w:rPr>
        <w:t>я</w:t>
      </w:r>
      <w:r w:rsidRPr="00360734">
        <w:rPr>
          <w:szCs w:val="24"/>
        </w:rPr>
        <w:t xml:space="preserve"> состояния пациента</w:t>
      </w:r>
      <w:r>
        <w:rPr>
          <w:szCs w:val="24"/>
        </w:rPr>
        <w:t>, сокращения</w:t>
      </w:r>
      <w:r w:rsidRPr="00360734">
        <w:rPr>
          <w:szCs w:val="24"/>
        </w:rPr>
        <w:t xml:space="preserve"> продолжительность жизни. </w:t>
      </w:r>
    </w:p>
    <w:p w14:paraId="08C88202" w14:textId="311B738B" w:rsidR="00D620D3" w:rsidRDefault="00D620D3" w:rsidP="003A6990">
      <w:pPr>
        <w:ind w:firstLine="709"/>
        <w:rPr>
          <w:szCs w:val="24"/>
        </w:rPr>
      </w:pPr>
      <w:r>
        <w:rPr>
          <w:szCs w:val="24"/>
        </w:rPr>
        <w:t xml:space="preserve">       </w:t>
      </w:r>
      <w:r w:rsidRPr="005B752D">
        <w:rPr>
          <w:szCs w:val="24"/>
        </w:rPr>
        <w:t>Нежелательные кардиальные явления 4</w:t>
      </w:r>
      <w:r w:rsidR="003A6990">
        <w:rPr>
          <w:szCs w:val="24"/>
        </w:rPr>
        <w:t>-</w:t>
      </w:r>
      <w:r w:rsidRPr="005B752D">
        <w:rPr>
          <w:szCs w:val="24"/>
        </w:rPr>
        <w:t>5 степеней возникают достаточно редко</w:t>
      </w:r>
      <w:r>
        <w:rPr>
          <w:szCs w:val="24"/>
        </w:rPr>
        <w:t>. Возможно увеличение выявления ч</w:t>
      </w:r>
      <w:r w:rsidRPr="005B752D">
        <w:rPr>
          <w:szCs w:val="24"/>
        </w:rPr>
        <w:t>а</w:t>
      </w:r>
      <w:r>
        <w:rPr>
          <w:szCs w:val="24"/>
        </w:rPr>
        <w:t>стоты</w:t>
      </w:r>
      <w:r w:rsidRPr="005B752D">
        <w:rPr>
          <w:szCs w:val="24"/>
        </w:rPr>
        <w:t xml:space="preserve"> </w:t>
      </w:r>
      <w:r>
        <w:rPr>
          <w:szCs w:val="24"/>
        </w:rPr>
        <w:t>нежелательных кардиологических явлений 1</w:t>
      </w:r>
      <w:r w:rsidR="003A6990">
        <w:rPr>
          <w:szCs w:val="24"/>
        </w:rPr>
        <w:t>-</w:t>
      </w:r>
      <w:r>
        <w:rPr>
          <w:szCs w:val="24"/>
        </w:rPr>
        <w:t xml:space="preserve">3 степени </w:t>
      </w:r>
      <w:r w:rsidRPr="005B752D">
        <w:rPr>
          <w:szCs w:val="24"/>
        </w:rPr>
        <w:t xml:space="preserve">по мере увеличения </w:t>
      </w:r>
      <w:r>
        <w:rPr>
          <w:szCs w:val="24"/>
        </w:rPr>
        <w:t>продолжительности жизни пациентов с ХЛЛ/ЛМЛ</w:t>
      </w:r>
      <w:r w:rsidRPr="005B752D">
        <w:rPr>
          <w:szCs w:val="24"/>
        </w:rPr>
        <w:t>.</w:t>
      </w:r>
      <w:r>
        <w:rPr>
          <w:szCs w:val="24"/>
        </w:rPr>
        <w:t xml:space="preserve"> Стратегия </w:t>
      </w:r>
      <w:r w:rsidRPr="00360734">
        <w:rPr>
          <w:szCs w:val="24"/>
        </w:rPr>
        <w:t xml:space="preserve">Европейского кардиологического сообщества </w:t>
      </w:r>
      <w:r>
        <w:rPr>
          <w:szCs w:val="24"/>
        </w:rPr>
        <w:t>по</w:t>
      </w:r>
      <w:r w:rsidRPr="00360734">
        <w:rPr>
          <w:szCs w:val="24"/>
        </w:rPr>
        <w:t xml:space="preserve"> профилактик</w:t>
      </w:r>
      <w:r>
        <w:rPr>
          <w:szCs w:val="24"/>
        </w:rPr>
        <w:t>е</w:t>
      </w:r>
      <w:r w:rsidRPr="00360734">
        <w:rPr>
          <w:szCs w:val="24"/>
        </w:rPr>
        <w:t xml:space="preserve"> </w:t>
      </w:r>
      <w:r>
        <w:rPr>
          <w:szCs w:val="24"/>
        </w:rPr>
        <w:t xml:space="preserve">и лечению </w:t>
      </w:r>
      <w:r w:rsidRPr="00360734">
        <w:rPr>
          <w:szCs w:val="24"/>
        </w:rPr>
        <w:t xml:space="preserve">побочных </w:t>
      </w:r>
      <w:r>
        <w:rPr>
          <w:szCs w:val="24"/>
        </w:rPr>
        <w:t>кардиологических</w:t>
      </w:r>
      <w:r w:rsidRPr="00360734">
        <w:rPr>
          <w:szCs w:val="24"/>
        </w:rPr>
        <w:t xml:space="preserve"> явлений при </w:t>
      </w:r>
      <w:r>
        <w:rPr>
          <w:szCs w:val="24"/>
        </w:rPr>
        <w:t xml:space="preserve">химиотерапевтическом </w:t>
      </w:r>
      <w:r w:rsidRPr="00360734">
        <w:rPr>
          <w:szCs w:val="24"/>
        </w:rPr>
        <w:t xml:space="preserve">лечении </w:t>
      </w:r>
      <w:r>
        <w:rPr>
          <w:szCs w:val="24"/>
        </w:rPr>
        <w:t>представлена в таб.</w:t>
      </w:r>
      <w:r w:rsidR="003A6990">
        <w:rPr>
          <w:szCs w:val="24"/>
        </w:rPr>
        <w:t xml:space="preserve"> 7.7.</w:t>
      </w:r>
      <w:r>
        <w:rPr>
          <w:szCs w:val="24"/>
        </w:rPr>
        <w:t>1</w:t>
      </w:r>
      <w:r w:rsidRPr="00360734">
        <w:rPr>
          <w:szCs w:val="24"/>
        </w:rPr>
        <w:t>.</w:t>
      </w:r>
    </w:p>
    <w:p w14:paraId="6A5583CA" w14:textId="77777777" w:rsidR="003A6990" w:rsidRDefault="003A6990" w:rsidP="00D620D3">
      <w:pPr>
        <w:rPr>
          <w:b/>
          <w:szCs w:val="24"/>
        </w:rPr>
      </w:pPr>
    </w:p>
    <w:p w14:paraId="0F304CA3" w14:textId="265A1E9F" w:rsidR="00D620D3" w:rsidRPr="003A6990" w:rsidRDefault="00D620D3" w:rsidP="00D620D3">
      <w:pPr>
        <w:rPr>
          <w:bCs/>
          <w:szCs w:val="24"/>
        </w:rPr>
      </w:pPr>
      <w:r w:rsidRPr="003A6990">
        <w:rPr>
          <w:bCs/>
          <w:szCs w:val="24"/>
        </w:rPr>
        <w:t>Таблица</w:t>
      </w:r>
      <w:r w:rsidR="003A6990" w:rsidRPr="003A6990">
        <w:rPr>
          <w:bCs/>
          <w:szCs w:val="24"/>
        </w:rPr>
        <w:t xml:space="preserve"> 7.7.</w:t>
      </w:r>
      <w:r w:rsidRPr="003A6990">
        <w:rPr>
          <w:bCs/>
          <w:szCs w:val="24"/>
        </w:rPr>
        <w:t>1. Стратегии, применяемые для снижения кардиотоксичности химиотерапии (по Jose Luis Zamorano et al, 2016).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5070"/>
      </w:tblGrid>
      <w:tr w:rsidR="00D620D3" w:rsidRPr="00CD237E" w14:paraId="63C8107F" w14:textId="77777777" w:rsidTr="00714673">
        <w:tc>
          <w:tcPr>
            <w:tcW w:w="4395" w:type="dxa"/>
            <w:shd w:val="clear" w:color="auto" w:fill="auto"/>
          </w:tcPr>
          <w:p w14:paraId="4AF8CEBF" w14:textId="77777777" w:rsidR="00D620D3" w:rsidRPr="00CD237E" w:rsidRDefault="00D620D3" w:rsidP="00714673">
            <w:pPr>
              <w:rPr>
                <w:szCs w:val="24"/>
              </w:rPr>
            </w:pPr>
            <w:r w:rsidRPr="00CD237E">
              <w:rPr>
                <w:szCs w:val="24"/>
              </w:rPr>
              <w:t>Химиотерапевтические препараты</w:t>
            </w:r>
          </w:p>
        </w:tc>
        <w:tc>
          <w:tcPr>
            <w:tcW w:w="5209" w:type="dxa"/>
            <w:shd w:val="clear" w:color="auto" w:fill="auto"/>
          </w:tcPr>
          <w:p w14:paraId="462064CE" w14:textId="77777777" w:rsidR="00D620D3" w:rsidRPr="00CD237E" w:rsidRDefault="00D620D3" w:rsidP="00714673">
            <w:pPr>
              <w:rPr>
                <w:szCs w:val="24"/>
              </w:rPr>
            </w:pPr>
            <w:r w:rsidRPr="00CD237E">
              <w:rPr>
                <w:szCs w:val="24"/>
              </w:rPr>
              <w:t>Возможные кардиопротективные мероприятия</w:t>
            </w:r>
          </w:p>
        </w:tc>
      </w:tr>
      <w:tr w:rsidR="00D620D3" w:rsidRPr="00CD237E" w14:paraId="49C79D52" w14:textId="77777777" w:rsidTr="00714673">
        <w:tc>
          <w:tcPr>
            <w:tcW w:w="4395" w:type="dxa"/>
            <w:vMerge w:val="restart"/>
            <w:shd w:val="clear" w:color="auto" w:fill="auto"/>
          </w:tcPr>
          <w:p w14:paraId="0D2DB3ED" w14:textId="77777777" w:rsidR="00D620D3" w:rsidRPr="00CD237E" w:rsidRDefault="00D620D3" w:rsidP="00714673">
            <w:pPr>
              <w:rPr>
                <w:szCs w:val="24"/>
              </w:rPr>
            </w:pPr>
            <w:r w:rsidRPr="00CD237E">
              <w:rPr>
                <w:szCs w:val="24"/>
              </w:rPr>
              <w:t>Любой вариант химиотерапевтического лечения</w:t>
            </w:r>
          </w:p>
        </w:tc>
        <w:tc>
          <w:tcPr>
            <w:tcW w:w="5209" w:type="dxa"/>
            <w:shd w:val="clear" w:color="auto" w:fill="auto"/>
          </w:tcPr>
          <w:p w14:paraId="2D5C5222" w14:textId="77777777" w:rsidR="00D620D3" w:rsidRPr="00CD237E" w:rsidRDefault="00D620D3" w:rsidP="00714673">
            <w:pPr>
              <w:rPr>
                <w:szCs w:val="24"/>
              </w:rPr>
            </w:pPr>
            <w:r w:rsidRPr="00CD237E">
              <w:rPr>
                <w:szCs w:val="24"/>
              </w:rPr>
              <w:t xml:space="preserve">Перед лечением выявить факторы риска сердечно-сосудистого заболевания и провести соответствующее лечение. </w:t>
            </w:r>
          </w:p>
        </w:tc>
      </w:tr>
      <w:tr w:rsidR="00D620D3" w:rsidRPr="00CD237E" w14:paraId="6BAC1D04" w14:textId="77777777" w:rsidTr="00714673">
        <w:tc>
          <w:tcPr>
            <w:tcW w:w="4395" w:type="dxa"/>
            <w:vMerge/>
            <w:shd w:val="clear" w:color="auto" w:fill="auto"/>
          </w:tcPr>
          <w:p w14:paraId="09EB2AC2" w14:textId="77777777" w:rsidR="00D620D3" w:rsidRPr="00CD237E" w:rsidRDefault="00D620D3" w:rsidP="00714673">
            <w:pPr>
              <w:rPr>
                <w:szCs w:val="24"/>
              </w:rPr>
            </w:pPr>
          </w:p>
        </w:tc>
        <w:tc>
          <w:tcPr>
            <w:tcW w:w="5209" w:type="dxa"/>
            <w:shd w:val="clear" w:color="auto" w:fill="auto"/>
          </w:tcPr>
          <w:p w14:paraId="1DD41165" w14:textId="77777777" w:rsidR="00D620D3" w:rsidRPr="00CD237E" w:rsidRDefault="00D620D3" w:rsidP="00714673">
            <w:pPr>
              <w:rPr>
                <w:szCs w:val="24"/>
              </w:rPr>
            </w:pPr>
            <w:r w:rsidRPr="00CD237E">
              <w:rPr>
                <w:szCs w:val="24"/>
              </w:rPr>
              <w:t>Лечить коморбидные состояния (ИБС, ХСН, АГ, БПА).</w:t>
            </w:r>
          </w:p>
        </w:tc>
      </w:tr>
      <w:tr w:rsidR="00D620D3" w:rsidRPr="00CD237E" w14:paraId="654ED943" w14:textId="77777777" w:rsidTr="00714673">
        <w:tc>
          <w:tcPr>
            <w:tcW w:w="4395" w:type="dxa"/>
            <w:vMerge/>
            <w:shd w:val="clear" w:color="auto" w:fill="auto"/>
          </w:tcPr>
          <w:p w14:paraId="44E20DAD" w14:textId="77777777" w:rsidR="00D620D3" w:rsidRPr="00CD237E" w:rsidRDefault="00D620D3" w:rsidP="00714673">
            <w:pPr>
              <w:rPr>
                <w:szCs w:val="24"/>
              </w:rPr>
            </w:pPr>
          </w:p>
        </w:tc>
        <w:tc>
          <w:tcPr>
            <w:tcW w:w="5209" w:type="dxa"/>
            <w:shd w:val="clear" w:color="auto" w:fill="auto"/>
          </w:tcPr>
          <w:p w14:paraId="2F337CFE" w14:textId="77777777" w:rsidR="00D620D3" w:rsidRPr="00CD237E" w:rsidRDefault="00D620D3" w:rsidP="00714673">
            <w:pPr>
              <w:rPr>
                <w:szCs w:val="24"/>
              </w:rPr>
            </w:pPr>
            <w:r w:rsidRPr="00CD237E">
              <w:rPr>
                <w:szCs w:val="24"/>
              </w:rPr>
              <w:t xml:space="preserve">Удлинение </w:t>
            </w:r>
            <w:r w:rsidRPr="00CD237E">
              <w:rPr>
                <w:szCs w:val="24"/>
                <w:lang w:val="en-US"/>
              </w:rPr>
              <w:t>QTc</w:t>
            </w:r>
            <w:r w:rsidRPr="00CD237E">
              <w:rPr>
                <w:szCs w:val="24"/>
              </w:rPr>
              <w:t xml:space="preserve"> и тахикардия типа «пируэт»: избегать препаратов, удлиняющих интервал </w:t>
            </w:r>
            <w:r w:rsidRPr="00CD237E">
              <w:rPr>
                <w:szCs w:val="24"/>
                <w:lang w:val="en-US"/>
              </w:rPr>
              <w:t>QT</w:t>
            </w:r>
            <w:r w:rsidRPr="00CD237E">
              <w:rPr>
                <w:szCs w:val="24"/>
              </w:rPr>
              <w:t>, коррекция электролитного дисбаланса.</w:t>
            </w:r>
          </w:p>
        </w:tc>
      </w:tr>
      <w:tr w:rsidR="00D620D3" w:rsidRPr="00CD237E" w14:paraId="4121141A" w14:textId="77777777" w:rsidTr="00714673">
        <w:tc>
          <w:tcPr>
            <w:tcW w:w="4395" w:type="dxa"/>
            <w:vMerge/>
            <w:shd w:val="clear" w:color="auto" w:fill="auto"/>
          </w:tcPr>
          <w:p w14:paraId="1CF1DA00" w14:textId="77777777" w:rsidR="00D620D3" w:rsidRPr="00CD237E" w:rsidRDefault="00D620D3" w:rsidP="00714673">
            <w:pPr>
              <w:rPr>
                <w:szCs w:val="24"/>
              </w:rPr>
            </w:pPr>
          </w:p>
        </w:tc>
        <w:tc>
          <w:tcPr>
            <w:tcW w:w="5209" w:type="dxa"/>
            <w:shd w:val="clear" w:color="auto" w:fill="auto"/>
          </w:tcPr>
          <w:p w14:paraId="0544F2BE" w14:textId="77777777" w:rsidR="00D620D3" w:rsidRPr="00CD237E" w:rsidRDefault="00D620D3" w:rsidP="00714673">
            <w:pPr>
              <w:rPr>
                <w:szCs w:val="24"/>
              </w:rPr>
            </w:pPr>
            <w:r w:rsidRPr="00CD237E">
              <w:rPr>
                <w:szCs w:val="24"/>
              </w:rPr>
              <w:t>Минимизировать лучевую нагрузку на сердце.</w:t>
            </w:r>
          </w:p>
        </w:tc>
      </w:tr>
      <w:tr w:rsidR="00D620D3" w:rsidRPr="00CD237E" w14:paraId="15B93166" w14:textId="77777777" w:rsidTr="00714673">
        <w:tc>
          <w:tcPr>
            <w:tcW w:w="4395" w:type="dxa"/>
            <w:vMerge w:val="restart"/>
            <w:shd w:val="clear" w:color="auto" w:fill="auto"/>
          </w:tcPr>
          <w:p w14:paraId="2D0D0250" w14:textId="77777777" w:rsidR="00D620D3" w:rsidRPr="00CD237E" w:rsidRDefault="00D620D3" w:rsidP="00714673">
            <w:pPr>
              <w:rPr>
                <w:szCs w:val="24"/>
              </w:rPr>
            </w:pPr>
            <w:r w:rsidRPr="00CD237E">
              <w:rPr>
                <w:szCs w:val="24"/>
              </w:rPr>
              <w:t>Антрациклины и их аналоги</w:t>
            </w:r>
          </w:p>
        </w:tc>
        <w:tc>
          <w:tcPr>
            <w:tcW w:w="5209" w:type="dxa"/>
            <w:shd w:val="clear" w:color="auto" w:fill="auto"/>
          </w:tcPr>
          <w:p w14:paraId="671E7ADF" w14:textId="77777777" w:rsidR="00D620D3" w:rsidRPr="00CD237E" w:rsidRDefault="00D620D3" w:rsidP="00714673">
            <w:pPr>
              <w:rPr>
                <w:szCs w:val="24"/>
              </w:rPr>
            </w:pPr>
            <w:r w:rsidRPr="00CD237E">
              <w:rPr>
                <w:szCs w:val="24"/>
              </w:rPr>
              <w:t>Ограничивать суммарную дозу (мг/м</w:t>
            </w:r>
            <w:r w:rsidRPr="00CD237E">
              <w:rPr>
                <w:szCs w:val="24"/>
                <w:vertAlign w:val="superscript"/>
              </w:rPr>
              <w:t>2</w:t>
            </w:r>
            <w:r w:rsidRPr="00CD237E">
              <w:rPr>
                <w:szCs w:val="24"/>
              </w:rPr>
              <w:t>):</w:t>
            </w:r>
          </w:p>
          <w:p w14:paraId="175CA59D" w14:textId="77777777" w:rsidR="00D620D3" w:rsidRPr="00CD237E" w:rsidRDefault="00D620D3" w:rsidP="00714673">
            <w:pPr>
              <w:rPr>
                <w:szCs w:val="24"/>
              </w:rPr>
            </w:pPr>
            <w:r w:rsidRPr="00CD237E">
              <w:rPr>
                <w:szCs w:val="24"/>
              </w:rPr>
              <w:t>Даунорубицин &lt; 800</w:t>
            </w:r>
          </w:p>
          <w:p w14:paraId="584A4164" w14:textId="77777777" w:rsidR="00D620D3" w:rsidRPr="00CD237E" w:rsidRDefault="00D620D3" w:rsidP="00714673">
            <w:pPr>
              <w:rPr>
                <w:szCs w:val="24"/>
              </w:rPr>
            </w:pPr>
            <w:r w:rsidRPr="00CD237E">
              <w:rPr>
                <w:szCs w:val="24"/>
              </w:rPr>
              <w:t>Доксорубицин &lt; 360</w:t>
            </w:r>
          </w:p>
          <w:p w14:paraId="33BB6C80" w14:textId="77777777" w:rsidR="00D620D3" w:rsidRPr="00CD237E" w:rsidRDefault="00D620D3" w:rsidP="00714673">
            <w:pPr>
              <w:rPr>
                <w:szCs w:val="24"/>
              </w:rPr>
            </w:pPr>
            <w:r w:rsidRPr="00CD237E">
              <w:rPr>
                <w:szCs w:val="24"/>
              </w:rPr>
              <w:t>Эпирубицин &lt; 720</w:t>
            </w:r>
          </w:p>
          <w:p w14:paraId="383E35CE" w14:textId="77777777" w:rsidR="00D620D3" w:rsidRPr="00CD237E" w:rsidRDefault="00D620D3" w:rsidP="00714673">
            <w:pPr>
              <w:rPr>
                <w:szCs w:val="24"/>
              </w:rPr>
            </w:pPr>
            <w:r w:rsidRPr="00CD237E">
              <w:rPr>
                <w:szCs w:val="24"/>
              </w:rPr>
              <w:t>Митоксантрон &lt; 160</w:t>
            </w:r>
          </w:p>
          <w:p w14:paraId="45A2E85E" w14:textId="77777777" w:rsidR="00D620D3" w:rsidRPr="00CD237E" w:rsidRDefault="00D620D3" w:rsidP="00714673">
            <w:pPr>
              <w:rPr>
                <w:szCs w:val="24"/>
              </w:rPr>
            </w:pPr>
            <w:r w:rsidRPr="00CD237E">
              <w:rPr>
                <w:szCs w:val="24"/>
              </w:rPr>
              <w:t>Идарубицин &lt;150</w:t>
            </w:r>
          </w:p>
        </w:tc>
      </w:tr>
      <w:tr w:rsidR="00D620D3" w:rsidRPr="00CD237E" w14:paraId="55D469C6" w14:textId="77777777" w:rsidTr="00714673">
        <w:tc>
          <w:tcPr>
            <w:tcW w:w="4395" w:type="dxa"/>
            <w:vMerge/>
            <w:shd w:val="clear" w:color="auto" w:fill="auto"/>
          </w:tcPr>
          <w:p w14:paraId="7CA8C1F6" w14:textId="77777777" w:rsidR="00D620D3" w:rsidRPr="00CD237E" w:rsidRDefault="00D620D3" w:rsidP="00714673">
            <w:pPr>
              <w:rPr>
                <w:szCs w:val="24"/>
              </w:rPr>
            </w:pPr>
          </w:p>
        </w:tc>
        <w:tc>
          <w:tcPr>
            <w:tcW w:w="5209" w:type="dxa"/>
            <w:shd w:val="clear" w:color="auto" w:fill="auto"/>
          </w:tcPr>
          <w:p w14:paraId="7125E523" w14:textId="77777777" w:rsidR="00D620D3" w:rsidRPr="00CD237E" w:rsidRDefault="00D620D3" w:rsidP="00714673">
            <w:pPr>
              <w:rPr>
                <w:szCs w:val="24"/>
              </w:rPr>
            </w:pPr>
            <w:r w:rsidRPr="00CD237E">
              <w:rPr>
                <w:szCs w:val="24"/>
              </w:rPr>
              <w:t>Применить липосомальный доксорубцин или длительную инфузию.</w:t>
            </w:r>
          </w:p>
        </w:tc>
      </w:tr>
      <w:tr w:rsidR="00D620D3" w:rsidRPr="00CD237E" w14:paraId="1D48BC75" w14:textId="77777777" w:rsidTr="00714673">
        <w:tc>
          <w:tcPr>
            <w:tcW w:w="4395" w:type="dxa"/>
            <w:vMerge/>
            <w:shd w:val="clear" w:color="auto" w:fill="auto"/>
          </w:tcPr>
          <w:p w14:paraId="50EAA6B9" w14:textId="77777777" w:rsidR="00D620D3" w:rsidRPr="00CD237E" w:rsidRDefault="00D620D3" w:rsidP="00714673">
            <w:pPr>
              <w:rPr>
                <w:szCs w:val="24"/>
              </w:rPr>
            </w:pPr>
          </w:p>
        </w:tc>
        <w:tc>
          <w:tcPr>
            <w:tcW w:w="5209" w:type="dxa"/>
            <w:shd w:val="clear" w:color="auto" w:fill="auto"/>
          </w:tcPr>
          <w:p w14:paraId="550AE039" w14:textId="77777777" w:rsidR="00D620D3" w:rsidRPr="00CD237E" w:rsidRDefault="00D620D3" w:rsidP="00714673">
            <w:pPr>
              <w:rPr>
                <w:szCs w:val="24"/>
              </w:rPr>
            </w:pPr>
            <w:r w:rsidRPr="00CD237E">
              <w:rPr>
                <w:szCs w:val="24"/>
              </w:rPr>
              <w:t xml:space="preserve">Назначить ингибитор АПФ или АРА </w:t>
            </w:r>
          </w:p>
        </w:tc>
      </w:tr>
      <w:tr w:rsidR="00D620D3" w:rsidRPr="00CD237E" w14:paraId="6D589C6F" w14:textId="77777777" w:rsidTr="00714673">
        <w:tc>
          <w:tcPr>
            <w:tcW w:w="4395" w:type="dxa"/>
            <w:vMerge/>
            <w:shd w:val="clear" w:color="auto" w:fill="auto"/>
          </w:tcPr>
          <w:p w14:paraId="0A728E81" w14:textId="77777777" w:rsidR="00D620D3" w:rsidRPr="00CD237E" w:rsidRDefault="00D620D3" w:rsidP="00714673">
            <w:pPr>
              <w:rPr>
                <w:szCs w:val="24"/>
              </w:rPr>
            </w:pPr>
          </w:p>
        </w:tc>
        <w:tc>
          <w:tcPr>
            <w:tcW w:w="5209" w:type="dxa"/>
            <w:shd w:val="clear" w:color="auto" w:fill="auto"/>
          </w:tcPr>
          <w:p w14:paraId="67D18E9A" w14:textId="77777777" w:rsidR="00D620D3" w:rsidRPr="00CD237E" w:rsidRDefault="00D620D3" w:rsidP="00714673">
            <w:pPr>
              <w:rPr>
                <w:szCs w:val="24"/>
              </w:rPr>
            </w:pPr>
            <w:r w:rsidRPr="00CD237E">
              <w:rPr>
                <w:szCs w:val="24"/>
              </w:rPr>
              <w:t xml:space="preserve">Назначить блокатор бета-адренергических рецепторов </w:t>
            </w:r>
          </w:p>
        </w:tc>
      </w:tr>
      <w:tr w:rsidR="00D620D3" w:rsidRPr="00CD237E" w14:paraId="679DC92E" w14:textId="77777777" w:rsidTr="00714673">
        <w:tc>
          <w:tcPr>
            <w:tcW w:w="4395" w:type="dxa"/>
            <w:vMerge/>
            <w:shd w:val="clear" w:color="auto" w:fill="auto"/>
          </w:tcPr>
          <w:p w14:paraId="7B763D24" w14:textId="77777777" w:rsidR="00D620D3" w:rsidRPr="00CD237E" w:rsidRDefault="00D620D3" w:rsidP="00714673">
            <w:pPr>
              <w:rPr>
                <w:szCs w:val="24"/>
              </w:rPr>
            </w:pPr>
          </w:p>
        </w:tc>
        <w:tc>
          <w:tcPr>
            <w:tcW w:w="5209" w:type="dxa"/>
            <w:shd w:val="clear" w:color="auto" w:fill="auto"/>
          </w:tcPr>
          <w:p w14:paraId="021480CC" w14:textId="77777777" w:rsidR="00D620D3" w:rsidRPr="00CD237E" w:rsidRDefault="00D620D3" w:rsidP="00714673">
            <w:pPr>
              <w:rPr>
                <w:szCs w:val="24"/>
              </w:rPr>
            </w:pPr>
            <w:r w:rsidRPr="00CD237E">
              <w:rPr>
                <w:szCs w:val="24"/>
              </w:rPr>
              <w:t>Назначить статины</w:t>
            </w:r>
          </w:p>
        </w:tc>
      </w:tr>
      <w:tr w:rsidR="00D620D3" w:rsidRPr="00CD237E" w14:paraId="2302C990" w14:textId="77777777" w:rsidTr="00714673">
        <w:tc>
          <w:tcPr>
            <w:tcW w:w="4395" w:type="dxa"/>
            <w:vMerge/>
            <w:shd w:val="clear" w:color="auto" w:fill="auto"/>
          </w:tcPr>
          <w:p w14:paraId="2B3BD6F6" w14:textId="77777777" w:rsidR="00D620D3" w:rsidRPr="00CD237E" w:rsidRDefault="00D620D3" w:rsidP="00714673">
            <w:pPr>
              <w:rPr>
                <w:szCs w:val="24"/>
              </w:rPr>
            </w:pPr>
          </w:p>
        </w:tc>
        <w:tc>
          <w:tcPr>
            <w:tcW w:w="5209" w:type="dxa"/>
            <w:shd w:val="clear" w:color="auto" w:fill="auto"/>
          </w:tcPr>
          <w:p w14:paraId="31B25F67" w14:textId="77777777" w:rsidR="00D620D3" w:rsidRPr="00CD237E" w:rsidRDefault="00D620D3" w:rsidP="00714673">
            <w:pPr>
              <w:rPr>
                <w:szCs w:val="24"/>
              </w:rPr>
            </w:pPr>
            <w:r w:rsidRPr="00CD237E">
              <w:rPr>
                <w:szCs w:val="24"/>
              </w:rPr>
              <w:t>Осторожно ввести аэробные упражнения.</w:t>
            </w:r>
          </w:p>
        </w:tc>
      </w:tr>
    </w:tbl>
    <w:p w14:paraId="3CFB564E" w14:textId="77777777" w:rsidR="00D620D3" w:rsidRPr="00360734" w:rsidRDefault="00D620D3" w:rsidP="003A6990">
      <w:pPr>
        <w:rPr>
          <w:szCs w:val="24"/>
        </w:rPr>
      </w:pPr>
    </w:p>
    <w:p w14:paraId="112AC2A2" w14:textId="77777777" w:rsidR="00D620D3" w:rsidRPr="003F5A1E" w:rsidRDefault="00D620D3" w:rsidP="003A6990">
      <w:pPr>
        <w:ind w:firstLine="708"/>
        <w:rPr>
          <w:szCs w:val="24"/>
        </w:rPr>
      </w:pPr>
      <w:r w:rsidRPr="003F5A1E">
        <w:rPr>
          <w:szCs w:val="24"/>
        </w:rPr>
        <w:t xml:space="preserve">Для </w:t>
      </w:r>
      <w:r>
        <w:rPr>
          <w:szCs w:val="24"/>
        </w:rPr>
        <w:t>оценки возможности снижения кар</w:t>
      </w:r>
      <w:r w:rsidRPr="003F5A1E">
        <w:rPr>
          <w:szCs w:val="24"/>
        </w:rPr>
        <w:t xml:space="preserve">диотоксических эффектов необходимо </w:t>
      </w:r>
      <w:r>
        <w:rPr>
          <w:szCs w:val="24"/>
        </w:rPr>
        <w:t>учитывать</w:t>
      </w:r>
      <w:r w:rsidRPr="003F5A1E">
        <w:rPr>
          <w:szCs w:val="24"/>
        </w:rPr>
        <w:t xml:space="preserve"> факторы риска развития кардиотоксичности: </w:t>
      </w:r>
    </w:p>
    <w:p w14:paraId="30798197" w14:textId="43EA613F" w:rsidR="00D620D3" w:rsidRPr="003A6990" w:rsidRDefault="00D620D3" w:rsidP="00D61785">
      <w:pPr>
        <w:pStyle w:val="a4"/>
        <w:numPr>
          <w:ilvl w:val="0"/>
          <w:numId w:val="57"/>
        </w:numPr>
        <w:spacing w:before="0"/>
        <w:ind w:left="709"/>
        <w:rPr>
          <w:szCs w:val="24"/>
        </w:rPr>
      </w:pPr>
      <w:r w:rsidRPr="003A6990">
        <w:rPr>
          <w:szCs w:val="24"/>
        </w:rPr>
        <w:t>возраст старше 65 лет</w:t>
      </w:r>
    </w:p>
    <w:p w14:paraId="406D554C" w14:textId="77EF5C70" w:rsidR="00D620D3" w:rsidRPr="003A6990" w:rsidRDefault="00D620D3" w:rsidP="00D61785">
      <w:pPr>
        <w:pStyle w:val="a4"/>
        <w:numPr>
          <w:ilvl w:val="0"/>
          <w:numId w:val="57"/>
        </w:numPr>
        <w:spacing w:before="0"/>
        <w:ind w:left="709"/>
        <w:rPr>
          <w:szCs w:val="24"/>
        </w:rPr>
      </w:pPr>
      <w:r w:rsidRPr="003A6990">
        <w:rPr>
          <w:szCs w:val="24"/>
        </w:rPr>
        <w:t>женский пол</w:t>
      </w:r>
    </w:p>
    <w:p w14:paraId="3D6E1D7A" w14:textId="3646C55C" w:rsidR="00D620D3" w:rsidRPr="003A6990" w:rsidRDefault="00D620D3" w:rsidP="00D61785">
      <w:pPr>
        <w:pStyle w:val="a4"/>
        <w:numPr>
          <w:ilvl w:val="0"/>
          <w:numId w:val="57"/>
        </w:numPr>
        <w:spacing w:before="0"/>
        <w:ind w:left="709"/>
        <w:rPr>
          <w:szCs w:val="24"/>
        </w:rPr>
      </w:pPr>
      <w:r w:rsidRPr="003A6990">
        <w:rPr>
          <w:szCs w:val="24"/>
        </w:rPr>
        <w:t xml:space="preserve">одновременное введение нескольких противоопухолевых средств </w:t>
      </w:r>
    </w:p>
    <w:p w14:paraId="446D9521" w14:textId="679BFD5F" w:rsidR="00D620D3" w:rsidRPr="003A6990" w:rsidRDefault="00D620D3" w:rsidP="00D61785">
      <w:pPr>
        <w:pStyle w:val="a4"/>
        <w:numPr>
          <w:ilvl w:val="0"/>
          <w:numId w:val="57"/>
        </w:numPr>
        <w:spacing w:before="0"/>
        <w:ind w:left="709"/>
        <w:rPr>
          <w:szCs w:val="24"/>
        </w:rPr>
      </w:pPr>
      <w:r w:rsidRPr="003A6990">
        <w:rPr>
          <w:szCs w:val="24"/>
        </w:rPr>
        <w:t>сопутствующие заболевания сердечно-сосудистой системы (АГ, ИБС, аритмия и др)</w:t>
      </w:r>
    </w:p>
    <w:p w14:paraId="3AFEFB97" w14:textId="52CA00C0" w:rsidR="00D620D3" w:rsidRPr="003A6990" w:rsidRDefault="00D620D3" w:rsidP="00D61785">
      <w:pPr>
        <w:pStyle w:val="a4"/>
        <w:numPr>
          <w:ilvl w:val="0"/>
          <w:numId w:val="57"/>
        </w:numPr>
        <w:spacing w:before="0"/>
        <w:ind w:left="709"/>
        <w:rPr>
          <w:szCs w:val="24"/>
        </w:rPr>
      </w:pPr>
      <w:r w:rsidRPr="003A6990">
        <w:rPr>
          <w:szCs w:val="24"/>
        </w:rPr>
        <w:t xml:space="preserve">сопутствующие заболевания эндокринной системы (сахарный диабет) </w:t>
      </w:r>
    </w:p>
    <w:p w14:paraId="63069935" w14:textId="68B22978" w:rsidR="00D620D3" w:rsidRPr="003A6990" w:rsidRDefault="00D620D3" w:rsidP="00D61785">
      <w:pPr>
        <w:pStyle w:val="a4"/>
        <w:numPr>
          <w:ilvl w:val="0"/>
          <w:numId w:val="57"/>
        </w:numPr>
        <w:spacing w:before="0"/>
        <w:ind w:left="709"/>
        <w:rPr>
          <w:szCs w:val="24"/>
        </w:rPr>
      </w:pPr>
      <w:r w:rsidRPr="003A6990">
        <w:rPr>
          <w:szCs w:val="24"/>
        </w:rPr>
        <w:t>дисбаланс электролитов (гипокалиемия, гипомагниемия).</w:t>
      </w:r>
    </w:p>
    <w:p w14:paraId="52A333AF" w14:textId="66D5BC97" w:rsidR="00D620D3" w:rsidRPr="00360734" w:rsidRDefault="00D620D3" w:rsidP="00D73C8B">
      <w:pPr>
        <w:ind w:firstLine="708"/>
        <w:rPr>
          <w:szCs w:val="24"/>
        </w:rPr>
      </w:pPr>
      <w:r>
        <w:rPr>
          <w:szCs w:val="24"/>
        </w:rPr>
        <w:t>О</w:t>
      </w:r>
      <w:r w:rsidRPr="00360734">
        <w:rPr>
          <w:szCs w:val="24"/>
        </w:rPr>
        <w:t>сновны</w:t>
      </w:r>
      <w:r>
        <w:rPr>
          <w:szCs w:val="24"/>
        </w:rPr>
        <w:t>е лекарственные</w:t>
      </w:r>
      <w:r w:rsidRPr="00360734">
        <w:rPr>
          <w:szCs w:val="24"/>
        </w:rPr>
        <w:t xml:space="preserve"> средства профилактики кардиотоксичности </w:t>
      </w:r>
      <w:r>
        <w:rPr>
          <w:szCs w:val="24"/>
        </w:rPr>
        <w:t xml:space="preserve">– </w:t>
      </w:r>
      <w:r w:rsidRPr="00360734">
        <w:rPr>
          <w:szCs w:val="24"/>
        </w:rPr>
        <w:t xml:space="preserve">назначаемые совместно эналаприл, карведилол и низкие дозы статинов. </w:t>
      </w:r>
      <w:r>
        <w:rPr>
          <w:szCs w:val="24"/>
        </w:rPr>
        <w:t>К</w:t>
      </w:r>
      <w:r w:rsidRPr="00360734">
        <w:rPr>
          <w:szCs w:val="24"/>
        </w:rPr>
        <w:t>арведилол</w:t>
      </w:r>
      <w:r>
        <w:rPr>
          <w:szCs w:val="24"/>
        </w:rPr>
        <w:t xml:space="preserve">, вероятно, </w:t>
      </w:r>
      <w:r w:rsidRPr="00360734">
        <w:rPr>
          <w:szCs w:val="24"/>
        </w:rPr>
        <w:t>обладает наибольшими защитными свойствами из-за его антиоксидантной активности, способности блокировать апоптозные сигнальные пути, предполагаемой способности восстанавливать работу Ca2+-АТФ-азы и блокировать приток кальция в кардиомиоциты.</w:t>
      </w:r>
    </w:p>
    <w:p w14:paraId="5A02AF78" w14:textId="77777777" w:rsidR="00D620D3" w:rsidRDefault="00D620D3" w:rsidP="00D73C8B">
      <w:pPr>
        <w:ind w:firstLine="708"/>
        <w:rPr>
          <w:szCs w:val="24"/>
        </w:rPr>
      </w:pPr>
    </w:p>
    <w:p w14:paraId="341261D7" w14:textId="77777777" w:rsidR="00D620D3" w:rsidRPr="00A362CB" w:rsidRDefault="00D620D3" w:rsidP="00D73C8B">
      <w:pPr>
        <w:ind w:firstLine="708"/>
        <w:rPr>
          <w:szCs w:val="24"/>
          <w:u w:val="single"/>
        </w:rPr>
      </w:pPr>
      <w:r w:rsidRPr="00A362CB">
        <w:rPr>
          <w:szCs w:val="24"/>
          <w:u w:val="single"/>
        </w:rPr>
        <w:t>Немодифицируемые факторы риска ИБС:</w:t>
      </w:r>
    </w:p>
    <w:p w14:paraId="40404761" w14:textId="40E3046B" w:rsidR="00D620D3" w:rsidRPr="00D73C8B" w:rsidRDefault="00D620D3" w:rsidP="00D61785">
      <w:pPr>
        <w:pStyle w:val="a4"/>
        <w:numPr>
          <w:ilvl w:val="0"/>
          <w:numId w:val="58"/>
        </w:numPr>
        <w:spacing w:before="0"/>
        <w:rPr>
          <w:szCs w:val="24"/>
        </w:rPr>
      </w:pPr>
      <w:r w:rsidRPr="00D73C8B">
        <w:rPr>
          <w:szCs w:val="24"/>
        </w:rPr>
        <w:t>возраст более 45 лет у мужчин и более 55 лет у женщин, мужской пол, наследственность (ранний атеросклероз у родственников, ранняя смерть родственников от ИБС).</w:t>
      </w:r>
    </w:p>
    <w:p w14:paraId="7CFF18A5" w14:textId="77777777" w:rsidR="00D620D3" w:rsidRPr="00A362CB" w:rsidRDefault="00D620D3" w:rsidP="00D73C8B">
      <w:pPr>
        <w:ind w:firstLine="708"/>
        <w:rPr>
          <w:szCs w:val="24"/>
          <w:u w:val="single"/>
        </w:rPr>
      </w:pPr>
      <w:r w:rsidRPr="00A362CB">
        <w:rPr>
          <w:szCs w:val="24"/>
          <w:u w:val="single"/>
        </w:rPr>
        <w:t>Модифицируемые факторы риска ИБС:</w:t>
      </w:r>
    </w:p>
    <w:p w14:paraId="61616BEC" w14:textId="54BFB637" w:rsidR="00D620D3" w:rsidRPr="00D73C8B" w:rsidRDefault="00D620D3" w:rsidP="00D61785">
      <w:pPr>
        <w:pStyle w:val="a4"/>
        <w:numPr>
          <w:ilvl w:val="0"/>
          <w:numId w:val="58"/>
        </w:numPr>
        <w:spacing w:before="0"/>
        <w:rPr>
          <w:szCs w:val="24"/>
        </w:rPr>
      </w:pPr>
      <w:r w:rsidRPr="00D73C8B">
        <w:rPr>
          <w:szCs w:val="24"/>
        </w:rPr>
        <w:t xml:space="preserve">АГ, курение, ожирение, недостаточная физическая активность; потенциально или частично модифицируемые – дислипидемия, сахарный диабет, психоэмоциональное перенапряжение. </w:t>
      </w:r>
    </w:p>
    <w:p w14:paraId="717631D8" w14:textId="713A0C18" w:rsidR="00D620D3" w:rsidRDefault="00D620D3" w:rsidP="00D73C8B">
      <w:pPr>
        <w:ind w:firstLine="709"/>
        <w:rPr>
          <w:szCs w:val="24"/>
        </w:rPr>
      </w:pPr>
      <w:r>
        <w:rPr>
          <w:szCs w:val="24"/>
        </w:rPr>
        <w:t>При выявлении д</w:t>
      </w:r>
      <w:r w:rsidRPr="00E21675">
        <w:rPr>
          <w:szCs w:val="24"/>
        </w:rPr>
        <w:t>ислипидеми</w:t>
      </w:r>
      <w:r>
        <w:rPr>
          <w:szCs w:val="24"/>
        </w:rPr>
        <w:t>и, сахарного диабета необходимо оценить показания к проведению</w:t>
      </w:r>
      <w:r w:rsidRPr="00E21675">
        <w:rPr>
          <w:szCs w:val="24"/>
        </w:rPr>
        <w:t xml:space="preserve"> </w:t>
      </w:r>
      <w:r>
        <w:rPr>
          <w:szCs w:val="24"/>
        </w:rPr>
        <w:t xml:space="preserve">и назначить при необходимости </w:t>
      </w:r>
      <w:r w:rsidRPr="00E21675">
        <w:rPr>
          <w:szCs w:val="24"/>
        </w:rPr>
        <w:t>гиполипидемическ</w:t>
      </w:r>
      <w:r>
        <w:rPr>
          <w:szCs w:val="24"/>
        </w:rPr>
        <w:t>ую</w:t>
      </w:r>
      <w:r w:rsidRPr="00E21675">
        <w:rPr>
          <w:szCs w:val="24"/>
        </w:rPr>
        <w:t xml:space="preserve"> </w:t>
      </w:r>
      <w:r>
        <w:rPr>
          <w:szCs w:val="24"/>
        </w:rPr>
        <w:t xml:space="preserve">и </w:t>
      </w:r>
      <w:r w:rsidRPr="00E21675">
        <w:rPr>
          <w:szCs w:val="24"/>
        </w:rPr>
        <w:t>гипогликеми</w:t>
      </w:r>
      <w:r>
        <w:rPr>
          <w:szCs w:val="24"/>
        </w:rPr>
        <w:t xml:space="preserve">ческую </w:t>
      </w:r>
      <w:r w:rsidRPr="00E21675">
        <w:rPr>
          <w:szCs w:val="24"/>
        </w:rPr>
        <w:t>терапи</w:t>
      </w:r>
      <w:r>
        <w:rPr>
          <w:szCs w:val="24"/>
        </w:rPr>
        <w:t xml:space="preserve">ю. </w:t>
      </w:r>
      <w:r w:rsidRPr="00360734">
        <w:rPr>
          <w:szCs w:val="24"/>
        </w:rPr>
        <w:t xml:space="preserve">В соответствии с риском развития поражения миокарда предлагается профилактическое лечение ингибитором ангиотензинпревращающего фермента (иАПФ) или антагонистами рецепторов ангиотензина </w:t>
      </w:r>
      <w:r w:rsidRPr="00360734">
        <w:rPr>
          <w:szCs w:val="24"/>
          <w:lang w:val="en-US"/>
        </w:rPr>
        <w:t>II</w:t>
      </w:r>
      <w:r w:rsidRPr="00360734">
        <w:rPr>
          <w:szCs w:val="24"/>
        </w:rPr>
        <w:t xml:space="preserve"> (АРА), карведилолом и статинами в низких дозах.</w:t>
      </w:r>
      <w:r w:rsidR="00D73C8B">
        <w:rPr>
          <w:szCs w:val="24"/>
        </w:rPr>
        <w:t xml:space="preserve"> </w:t>
      </w:r>
      <w:r>
        <w:rPr>
          <w:szCs w:val="24"/>
        </w:rPr>
        <w:t xml:space="preserve">Такой </w:t>
      </w:r>
      <w:r w:rsidRPr="00360734">
        <w:rPr>
          <w:szCs w:val="24"/>
        </w:rPr>
        <w:t>подход необходим для профилактики кардиотоксичности, проявляющейся тяжелой сердечной недостаточностью.</w:t>
      </w:r>
    </w:p>
    <w:p w14:paraId="5E632800" w14:textId="5AEEF405" w:rsidR="00D620D3" w:rsidRPr="00360734" w:rsidRDefault="00D620D3" w:rsidP="00D73C8B">
      <w:pPr>
        <w:ind w:firstLine="709"/>
        <w:rPr>
          <w:szCs w:val="24"/>
        </w:rPr>
      </w:pPr>
      <w:r>
        <w:rPr>
          <w:szCs w:val="24"/>
        </w:rPr>
        <w:t>Д</w:t>
      </w:r>
      <w:r w:rsidRPr="00360734">
        <w:rPr>
          <w:szCs w:val="24"/>
        </w:rPr>
        <w:t xml:space="preserve">овольно </w:t>
      </w:r>
      <w:r>
        <w:rPr>
          <w:szCs w:val="24"/>
        </w:rPr>
        <w:t>многие</w:t>
      </w:r>
      <w:r w:rsidRPr="00360734">
        <w:rPr>
          <w:szCs w:val="24"/>
        </w:rPr>
        <w:t xml:space="preserve"> противоопухолевы</w:t>
      </w:r>
      <w:r>
        <w:rPr>
          <w:szCs w:val="24"/>
        </w:rPr>
        <w:t>е</w:t>
      </w:r>
      <w:r w:rsidRPr="00360734">
        <w:rPr>
          <w:szCs w:val="24"/>
        </w:rPr>
        <w:t xml:space="preserve"> препарат</w:t>
      </w:r>
      <w:r>
        <w:rPr>
          <w:szCs w:val="24"/>
        </w:rPr>
        <w:t>ы удлиняю</w:t>
      </w:r>
      <w:r w:rsidRPr="00360734">
        <w:rPr>
          <w:szCs w:val="24"/>
        </w:rPr>
        <w:t>т интерва</w:t>
      </w:r>
      <w:r>
        <w:rPr>
          <w:szCs w:val="24"/>
        </w:rPr>
        <w:t>л</w:t>
      </w:r>
      <w:r w:rsidRPr="00360734">
        <w:rPr>
          <w:szCs w:val="24"/>
        </w:rPr>
        <w:t xml:space="preserve"> QT на ЭКГ</w:t>
      </w:r>
      <w:r>
        <w:rPr>
          <w:szCs w:val="24"/>
        </w:rPr>
        <w:t xml:space="preserve"> (</w:t>
      </w:r>
      <w:r w:rsidRPr="00360734">
        <w:rPr>
          <w:szCs w:val="24"/>
        </w:rPr>
        <w:t>что способствует возникновению фибрилляции желудочков и внезапной смерти</w:t>
      </w:r>
      <w:r>
        <w:rPr>
          <w:szCs w:val="24"/>
        </w:rPr>
        <w:t xml:space="preserve">) </w:t>
      </w:r>
      <w:r w:rsidRPr="00360734">
        <w:rPr>
          <w:szCs w:val="24"/>
        </w:rPr>
        <w:t xml:space="preserve">Возможность удлинения интервала QT значительно увеличивается у </w:t>
      </w:r>
      <w:r>
        <w:rPr>
          <w:szCs w:val="24"/>
        </w:rPr>
        <w:t>пациентов с</w:t>
      </w:r>
      <w:r w:rsidRPr="00360734">
        <w:rPr>
          <w:szCs w:val="24"/>
        </w:rPr>
        <w:t xml:space="preserve"> сердечно-сосудистыми заболеваниями или принимающих лекарства, индуцирующие </w:t>
      </w:r>
      <w:r>
        <w:rPr>
          <w:szCs w:val="24"/>
        </w:rPr>
        <w:t>удлинение</w:t>
      </w:r>
      <w:r w:rsidRPr="00360734">
        <w:rPr>
          <w:szCs w:val="24"/>
        </w:rPr>
        <w:t xml:space="preserve"> электрокардиографического желудочкового комплекса. </w:t>
      </w:r>
      <w:r>
        <w:rPr>
          <w:szCs w:val="24"/>
        </w:rPr>
        <w:t>Пациентам,</w:t>
      </w:r>
      <w:r w:rsidRPr="00360734">
        <w:rPr>
          <w:szCs w:val="24"/>
        </w:rPr>
        <w:t xml:space="preserve"> </w:t>
      </w:r>
      <w:r>
        <w:rPr>
          <w:szCs w:val="24"/>
        </w:rPr>
        <w:t xml:space="preserve">получающим </w:t>
      </w:r>
      <w:r w:rsidRPr="00360734">
        <w:rPr>
          <w:szCs w:val="24"/>
        </w:rPr>
        <w:t xml:space="preserve">лечение </w:t>
      </w:r>
      <w:r>
        <w:rPr>
          <w:szCs w:val="24"/>
        </w:rPr>
        <w:t>подобными</w:t>
      </w:r>
      <w:r w:rsidRPr="00360734">
        <w:rPr>
          <w:szCs w:val="24"/>
        </w:rPr>
        <w:t xml:space="preserve"> препаратами, </w:t>
      </w:r>
      <w:r>
        <w:rPr>
          <w:szCs w:val="24"/>
        </w:rPr>
        <w:t>рекомендуется по возможности</w:t>
      </w:r>
      <w:r w:rsidRPr="00360734">
        <w:rPr>
          <w:szCs w:val="24"/>
        </w:rPr>
        <w:t xml:space="preserve">, </w:t>
      </w:r>
      <w:r>
        <w:rPr>
          <w:szCs w:val="24"/>
        </w:rPr>
        <w:t xml:space="preserve">выполнение </w:t>
      </w:r>
      <w:r w:rsidRPr="00360734">
        <w:rPr>
          <w:szCs w:val="24"/>
        </w:rPr>
        <w:t>суточно</w:t>
      </w:r>
      <w:r>
        <w:rPr>
          <w:szCs w:val="24"/>
        </w:rPr>
        <w:t>го</w:t>
      </w:r>
      <w:r w:rsidRPr="00360734">
        <w:rPr>
          <w:szCs w:val="24"/>
        </w:rPr>
        <w:t xml:space="preserve"> мониторировани</w:t>
      </w:r>
      <w:r>
        <w:rPr>
          <w:szCs w:val="24"/>
        </w:rPr>
        <w:t>я</w:t>
      </w:r>
      <w:r w:rsidRPr="00360734">
        <w:rPr>
          <w:szCs w:val="24"/>
        </w:rPr>
        <w:t xml:space="preserve"> ЭКГ.</w:t>
      </w:r>
    </w:p>
    <w:p w14:paraId="1D025DA5" w14:textId="530EFF5A" w:rsidR="00D620D3" w:rsidRDefault="00D620D3" w:rsidP="00D73C8B">
      <w:pPr>
        <w:ind w:firstLine="709"/>
        <w:rPr>
          <w:szCs w:val="24"/>
        </w:rPr>
      </w:pPr>
      <w:r w:rsidRPr="00360734">
        <w:rPr>
          <w:szCs w:val="24"/>
        </w:rPr>
        <w:t>Несколько менее тяжелы</w:t>
      </w:r>
      <w:r>
        <w:rPr>
          <w:szCs w:val="24"/>
        </w:rPr>
        <w:t>е</w:t>
      </w:r>
      <w:r w:rsidRPr="00360734">
        <w:rPr>
          <w:szCs w:val="24"/>
        </w:rPr>
        <w:t xml:space="preserve"> осложнения</w:t>
      </w:r>
      <w:r>
        <w:rPr>
          <w:szCs w:val="24"/>
        </w:rPr>
        <w:t xml:space="preserve"> – </w:t>
      </w:r>
      <w:r w:rsidRPr="00360734">
        <w:rPr>
          <w:szCs w:val="24"/>
        </w:rPr>
        <w:t xml:space="preserve">брадикардия и атриовентрикулярная блокада 2 и 3 степеней, </w:t>
      </w:r>
      <w:r>
        <w:rPr>
          <w:szCs w:val="24"/>
        </w:rPr>
        <w:t xml:space="preserve">однако </w:t>
      </w:r>
      <w:r w:rsidRPr="00360734">
        <w:rPr>
          <w:szCs w:val="24"/>
        </w:rPr>
        <w:t>нередко требу</w:t>
      </w:r>
      <w:r>
        <w:rPr>
          <w:szCs w:val="24"/>
        </w:rPr>
        <w:t>ет</w:t>
      </w:r>
      <w:r w:rsidRPr="00360734">
        <w:rPr>
          <w:szCs w:val="24"/>
        </w:rPr>
        <w:t xml:space="preserve"> имплантации кардиостимулятора. Препарат</w:t>
      </w:r>
      <w:r>
        <w:rPr>
          <w:szCs w:val="24"/>
        </w:rPr>
        <w:t>ы</w:t>
      </w:r>
      <w:r w:rsidRPr="00360734">
        <w:rPr>
          <w:szCs w:val="24"/>
        </w:rPr>
        <w:t xml:space="preserve">, </w:t>
      </w:r>
      <w:r>
        <w:rPr>
          <w:szCs w:val="24"/>
        </w:rPr>
        <w:t xml:space="preserve">которые могут </w:t>
      </w:r>
      <w:r w:rsidRPr="00360734">
        <w:rPr>
          <w:szCs w:val="24"/>
        </w:rPr>
        <w:t>вызыва</w:t>
      </w:r>
      <w:r>
        <w:rPr>
          <w:szCs w:val="24"/>
        </w:rPr>
        <w:t>ть</w:t>
      </w:r>
      <w:r w:rsidRPr="00360734">
        <w:rPr>
          <w:szCs w:val="24"/>
        </w:rPr>
        <w:t xml:space="preserve"> брадиаритмию </w:t>
      </w:r>
      <w:r>
        <w:rPr>
          <w:szCs w:val="24"/>
        </w:rPr>
        <w:t>–</w:t>
      </w:r>
      <w:r w:rsidRPr="00360734">
        <w:rPr>
          <w:szCs w:val="24"/>
        </w:rPr>
        <w:t xml:space="preserve">циклофосфан, ритуксимаб, </w:t>
      </w:r>
      <w:r>
        <w:rPr>
          <w:szCs w:val="24"/>
        </w:rPr>
        <w:t>ибрутиниб и др</w:t>
      </w:r>
      <w:r w:rsidRPr="00360734">
        <w:rPr>
          <w:szCs w:val="24"/>
        </w:rPr>
        <w:t>. Фактор</w:t>
      </w:r>
      <w:r>
        <w:rPr>
          <w:szCs w:val="24"/>
        </w:rPr>
        <w:t>ы</w:t>
      </w:r>
      <w:r w:rsidRPr="00360734">
        <w:rPr>
          <w:szCs w:val="24"/>
        </w:rPr>
        <w:t xml:space="preserve"> риска брадикардии, синоатриальной, атриовентрикулярной блокад </w:t>
      </w:r>
      <w:r>
        <w:rPr>
          <w:szCs w:val="24"/>
        </w:rPr>
        <w:t>–</w:t>
      </w:r>
      <w:r w:rsidRPr="00360734">
        <w:rPr>
          <w:szCs w:val="24"/>
        </w:rPr>
        <w:t xml:space="preserve"> перенесенный инфаркт миокарда (особенно нижней локализации), синдромы и Ленегра, гиперкалиемия (в т.</w:t>
      </w:r>
      <w:r w:rsidR="00D73C8B">
        <w:rPr>
          <w:szCs w:val="24"/>
        </w:rPr>
        <w:t xml:space="preserve"> </w:t>
      </w:r>
      <w:r w:rsidRPr="00360734">
        <w:rPr>
          <w:szCs w:val="24"/>
        </w:rPr>
        <w:t xml:space="preserve">ч. вследствие синдрома лизиса опухоли), старческий возраст. </w:t>
      </w:r>
    </w:p>
    <w:p w14:paraId="7ECF4E04" w14:textId="77777777" w:rsidR="00D620D3" w:rsidRPr="00360734" w:rsidRDefault="00D620D3" w:rsidP="00D73C8B">
      <w:pPr>
        <w:ind w:firstLine="709"/>
        <w:rPr>
          <w:szCs w:val="24"/>
        </w:rPr>
      </w:pPr>
      <w:r>
        <w:rPr>
          <w:szCs w:val="24"/>
        </w:rPr>
        <w:t>Кардиологическими</w:t>
      </w:r>
      <w:r w:rsidRPr="00360734">
        <w:rPr>
          <w:szCs w:val="24"/>
        </w:rPr>
        <w:t xml:space="preserve"> нежелательны</w:t>
      </w:r>
      <w:r>
        <w:rPr>
          <w:szCs w:val="24"/>
        </w:rPr>
        <w:t>ми</w:t>
      </w:r>
      <w:r w:rsidRPr="00360734">
        <w:rPr>
          <w:szCs w:val="24"/>
        </w:rPr>
        <w:t xml:space="preserve"> явления</w:t>
      </w:r>
      <w:r>
        <w:rPr>
          <w:szCs w:val="24"/>
        </w:rPr>
        <w:t>ми</w:t>
      </w:r>
      <w:r w:rsidRPr="00360734">
        <w:rPr>
          <w:szCs w:val="24"/>
        </w:rPr>
        <w:t xml:space="preserve"> 1 – 2 степени нередко являются АГ и ФП. ФП может возникать на фоне лечения ибрутинибом, циклофосфаном, ритуксимабом</w:t>
      </w:r>
      <w:r>
        <w:rPr>
          <w:szCs w:val="24"/>
        </w:rPr>
        <w:t xml:space="preserve"> и др</w:t>
      </w:r>
      <w:r w:rsidRPr="00360734">
        <w:rPr>
          <w:szCs w:val="24"/>
        </w:rPr>
        <w:t xml:space="preserve">. ФП </w:t>
      </w:r>
      <w:r>
        <w:rPr>
          <w:szCs w:val="24"/>
        </w:rPr>
        <w:t xml:space="preserve">рекомендуется </w:t>
      </w:r>
      <w:r w:rsidRPr="00360734">
        <w:rPr>
          <w:szCs w:val="24"/>
        </w:rPr>
        <w:t>лечить совместно с кардиологом, чаще всего противоопухолевое лечение можно не прерывать. Сложность заключается в профилактике кардиоэмболического синдрома (прежде всего инсульта), возникающего при этом нарушении ритма. Профилактика состоит из назначения антикоагулянтов в соответствии со шкалой CHA</w:t>
      </w:r>
      <w:r w:rsidRPr="00CB726A">
        <w:rPr>
          <w:szCs w:val="24"/>
          <w:vertAlign w:val="subscript"/>
        </w:rPr>
        <w:t>2</w:t>
      </w:r>
      <w:r w:rsidRPr="00360734">
        <w:rPr>
          <w:szCs w:val="24"/>
        </w:rPr>
        <w:t>DS</w:t>
      </w:r>
      <w:r w:rsidRPr="00CB726A">
        <w:rPr>
          <w:szCs w:val="24"/>
          <w:vertAlign w:val="subscript"/>
        </w:rPr>
        <w:t>2</w:t>
      </w:r>
      <w:r w:rsidRPr="00360734">
        <w:rPr>
          <w:szCs w:val="24"/>
        </w:rPr>
        <w:t>Vasc. В то же время, при онкогематологических заболеваниях нередко имеется склонность к кровоточивости, а также некоторые препараты, применяемые для лечения этих больных (ибрутиниб) также индуцируют гипокоагул</w:t>
      </w:r>
      <w:r>
        <w:rPr>
          <w:szCs w:val="24"/>
        </w:rPr>
        <w:t>я</w:t>
      </w:r>
      <w:r w:rsidRPr="00360734">
        <w:rPr>
          <w:szCs w:val="24"/>
        </w:rPr>
        <w:t xml:space="preserve">цию. В таких случаях применяют новые антикоагулянты - ривароксабан, апиксабан, </w:t>
      </w:r>
      <w:r>
        <w:rPr>
          <w:szCs w:val="24"/>
        </w:rPr>
        <w:t>дабигатран</w:t>
      </w:r>
      <w:r w:rsidRPr="00360734">
        <w:rPr>
          <w:szCs w:val="24"/>
        </w:rPr>
        <w:t xml:space="preserve">. </w:t>
      </w:r>
      <w:r>
        <w:rPr>
          <w:szCs w:val="24"/>
        </w:rPr>
        <w:t>АГ</w:t>
      </w:r>
      <w:r w:rsidRPr="00360734">
        <w:rPr>
          <w:szCs w:val="24"/>
        </w:rPr>
        <w:t xml:space="preserve"> лечится по общим правилам</w:t>
      </w:r>
      <w:r>
        <w:rPr>
          <w:szCs w:val="24"/>
        </w:rPr>
        <w:t xml:space="preserve"> гипотензивной терапии с учетом возможного взаимодействия гипотензивных средств с противоопухолевыми препаратами</w:t>
      </w:r>
      <w:r w:rsidRPr="00360734">
        <w:rPr>
          <w:szCs w:val="24"/>
        </w:rPr>
        <w:t>.</w:t>
      </w:r>
    </w:p>
    <w:p w14:paraId="0631FFD0" w14:textId="77777777" w:rsidR="00D73C8B" w:rsidRDefault="00D73C8B" w:rsidP="00D73C8B">
      <w:pPr>
        <w:rPr>
          <w:bCs/>
          <w:szCs w:val="24"/>
          <w:u w:val="single"/>
        </w:rPr>
      </w:pPr>
    </w:p>
    <w:p w14:paraId="71F0EFCD" w14:textId="31FD2BC0" w:rsidR="00D620D3" w:rsidRPr="00D73C8B" w:rsidRDefault="00D73C8B" w:rsidP="00D73C8B">
      <w:pPr>
        <w:rPr>
          <w:bCs/>
          <w:szCs w:val="24"/>
          <w:u w:val="single"/>
        </w:rPr>
      </w:pPr>
      <w:r>
        <w:rPr>
          <w:bCs/>
          <w:szCs w:val="24"/>
          <w:u w:val="single"/>
        </w:rPr>
        <w:t xml:space="preserve">7.7.6. </w:t>
      </w:r>
      <w:r w:rsidR="00D620D3" w:rsidRPr="00D73C8B">
        <w:rPr>
          <w:bCs/>
          <w:szCs w:val="24"/>
          <w:u w:val="single"/>
        </w:rPr>
        <w:t xml:space="preserve">Кардиологическое лечение. </w:t>
      </w:r>
    </w:p>
    <w:p w14:paraId="432C9185" w14:textId="0862425F" w:rsidR="00D620D3" w:rsidRDefault="00D620D3" w:rsidP="00071A33">
      <w:pPr>
        <w:ind w:firstLine="709"/>
        <w:rPr>
          <w:szCs w:val="24"/>
        </w:rPr>
      </w:pPr>
      <w:r w:rsidRPr="003E1CD9">
        <w:rPr>
          <w:szCs w:val="24"/>
        </w:rPr>
        <w:t xml:space="preserve">Лекарственные препараты для лечения сердечно-сосудистых заболеваний, их комбинации и дозовые режимы подбираются индивидуально в зависимости от показаний, с учетом </w:t>
      </w:r>
      <w:r>
        <w:rPr>
          <w:szCs w:val="24"/>
        </w:rPr>
        <w:t xml:space="preserve">коморбидности </w:t>
      </w:r>
      <w:r w:rsidRPr="003E1CD9">
        <w:rPr>
          <w:szCs w:val="24"/>
        </w:rPr>
        <w:t xml:space="preserve">и планируемого гематологического лечения. </w:t>
      </w:r>
    </w:p>
    <w:p w14:paraId="1FD77382" w14:textId="77777777" w:rsidR="00D620D3" w:rsidRDefault="00D620D3" w:rsidP="00071A33">
      <w:pPr>
        <w:ind w:firstLine="709"/>
        <w:rPr>
          <w:szCs w:val="24"/>
        </w:rPr>
      </w:pPr>
      <w:r w:rsidRPr="00DF6403">
        <w:rPr>
          <w:szCs w:val="24"/>
        </w:rPr>
        <w:t xml:space="preserve">Спектр </w:t>
      </w:r>
      <w:r>
        <w:rPr>
          <w:szCs w:val="24"/>
        </w:rPr>
        <w:t xml:space="preserve">основных </w:t>
      </w:r>
      <w:r w:rsidRPr="00DF6403">
        <w:rPr>
          <w:szCs w:val="24"/>
        </w:rPr>
        <w:t>применяемых сердечно-сосудистых препаратов</w:t>
      </w:r>
      <w:r>
        <w:rPr>
          <w:szCs w:val="24"/>
        </w:rPr>
        <w:t>:</w:t>
      </w:r>
      <w:r w:rsidRPr="00DF6403">
        <w:rPr>
          <w:szCs w:val="24"/>
        </w:rPr>
        <w:t xml:space="preserve"> </w:t>
      </w:r>
      <w:r>
        <w:rPr>
          <w:szCs w:val="24"/>
        </w:rPr>
        <w:t xml:space="preserve"> </w:t>
      </w:r>
    </w:p>
    <w:p w14:paraId="2777140D" w14:textId="77777777" w:rsidR="00D620D3" w:rsidRPr="0066073D" w:rsidRDefault="00D620D3" w:rsidP="00D61785">
      <w:pPr>
        <w:numPr>
          <w:ilvl w:val="0"/>
          <w:numId w:val="49"/>
        </w:numPr>
        <w:rPr>
          <w:szCs w:val="24"/>
        </w:rPr>
      </w:pPr>
      <w:r w:rsidRPr="00CD237E">
        <w:rPr>
          <w:szCs w:val="24"/>
        </w:rPr>
        <w:t>Ингибиторы ангиотензинпревращающего фермента</w:t>
      </w:r>
      <w:r>
        <w:rPr>
          <w:szCs w:val="24"/>
        </w:rPr>
        <w:t xml:space="preserve"> – </w:t>
      </w:r>
      <w:r w:rsidRPr="0066073D">
        <w:rPr>
          <w:szCs w:val="24"/>
        </w:rPr>
        <w:t>Эналаприл, Периндоприл, Рамиприл,  Лизиноприл, Фозиноприл, Моэксиприл</w:t>
      </w:r>
      <w:r>
        <w:rPr>
          <w:szCs w:val="24"/>
        </w:rPr>
        <w:t xml:space="preserve"> и др</w:t>
      </w:r>
      <w:r w:rsidRPr="0066073D">
        <w:rPr>
          <w:szCs w:val="24"/>
        </w:rPr>
        <w:t xml:space="preserve">. </w:t>
      </w:r>
    </w:p>
    <w:p w14:paraId="1E48F7B0" w14:textId="77777777" w:rsidR="00D620D3" w:rsidRDefault="00D620D3" w:rsidP="00D61785">
      <w:pPr>
        <w:numPr>
          <w:ilvl w:val="0"/>
          <w:numId w:val="49"/>
        </w:numPr>
        <w:rPr>
          <w:szCs w:val="24"/>
        </w:rPr>
      </w:pPr>
      <w:r w:rsidRPr="0066073D">
        <w:rPr>
          <w:szCs w:val="24"/>
        </w:rPr>
        <w:t>Антагонисты рецепторов ангиотензина II – Лозартан, Валсартан, Кандесартан, Телмисартан</w:t>
      </w:r>
      <w:r>
        <w:rPr>
          <w:szCs w:val="24"/>
        </w:rPr>
        <w:t xml:space="preserve"> и др.</w:t>
      </w:r>
    </w:p>
    <w:p w14:paraId="7052E0EB" w14:textId="77777777" w:rsidR="00D620D3" w:rsidRDefault="00D620D3" w:rsidP="00D61785">
      <w:pPr>
        <w:numPr>
          <w:ilvl w:val="0"/>
          <w:numId w:val="49"/>
        </w:numPr>
        <w:rPr>
          <w:szCs w:val="24"/>
        </w:rPr>
      </w:pPr>
      <w:r w:rsidRPr="00883D76">
        <w:rPr>
          <w:szCs w:val="24"/>
        </w:rPr>
        <w:t xml:space="preserve">Ингибиторы ангиотензиновых рецепторов и неприлизина – комбинированное </w:t>
      </w:r>
      <w:r w:rsidRPr="00883D76">
        <w:rPr>
          <w:rStyle w:val="1a"/>
          <w:szCs w:val="24"/>
        </w:rPr>
        <w:t xml:space="preserve">гипотензивное средство </w:t>
      </w:r>
      <w:r w:rsidRPr="00883D76">
        <w:rPr>
          <w:szCs w:val="24"/>
        </w:rPr>
        <w:t>Валсартан /сакубитрил</w:t>
      </w:r>
      <w:r>
        <w:rPr>
          <w:szCs w:val="24"/>
        </w:rPr>
        <w:t>, и др.</w:t>
      </w:r>
    </w:p>
    <w:p w14:paraId="368B8A3D" w14:textId="77777777" w:rsidR="00D620D3" w:rsidRDefault="00D620D3" w:rsidP="00D61785">
      <w:pPr>
        <w:numPr>
          <w:ilvl w:val="0"/>
          <w:numId w:val="49"/>
        </w:numPr>
        <w:rPr>
          <w:szCs w:val="24"/>
        </w:rPr>
      </w:pPr>
      <w:r w:rsidRPr="00883D76">
        <w:rPr>
          <w:szCs w:val="24"/>
        </w:rPr>
        <w:t>Бета-адреноблокаторы – Бисопролол, Метопролол, Карведилол, Небиволол</w:t>
      </w:r>
      <w:r>
        <w:rPr>
          <w:szCs w:val="24"/>
        </w:rPr>
        <w:t xml:space="preserve"> и др.</w:t>
      </w:r>
    </w:p>
    <w:p w14:paraId="22430B2C" w14:textId="77777777" w:rsidR="00D620D3" w:rsidRDefault="00D620D3" w:rsidP="00D61785">
      <w:pPr>
        <w:numPr>
          <w:ilvl w:val="0"/>
          <w:numId w:val="49"/>
        </w:numPr>
        <w:rPr>
          <w:szCs w:val="24"/>
        </w:rPr>
      </w:pPr>
      <w:r w:rsidRPr="00883D76">
        <w:rPr>
          <w:szCs w:val="24"/>
        </w:rPr>
        <w:t>Антагонисты кальция (дигидропиридины) – Амлодипин, Лерканидипин, Фелодипин</w:t>
      </w:r>
      <w:r>
        <w:rPr>
          <w:szCs w:val="24"/>
        </w:rPr>
        <w:t xml:space="preserve"> и др.</w:t>
      </w:r>
    </w:p>
    <w:p w14:paraId="011055A1" w14:textId="77777777" w:rsidR="00D620D3" w:rsidRPr="00883D76" w:rsidRDefault="00D620D3" w:rsidP="00D61785">
      <w:pPr>
        <w:numPr>
          <w:ilvl w:val="0"/>
          <w:numId w:val="49"/>
        </w:numPr>
        <w:rPr>
          <w:szCs w:val="24"/>
        </w:rPr>
      </w:pPr>
      <w:r w:rsidRPr="00883D76">
        <w:rPr>
          <w:szCs w:val="24"/>
        </w:rPr>
        <w:t>Агонисты имидазолиновых рецепторов – Моксонидин, Рилменидин</w:t>
      </w:r>
      <w:r>
        <w:rPr>
          <w:szCs w:val="24"/>
        </w:rPr>
        <w:t xml:space="preserve"> и др.</w:t>
      </w:r>
    </w:p>
    <w:p w14:paraId="6AB1AF44" w14:textId="77777777" w:rsidR="00D620D3" w:rsidRDefault="00D620D3" w:rsidP="00D61785">
      <w:pPr>
        <w:numPr>
          <w:ilvl w:val="0"/>
          <w:numId w:val="49"/>
        </w:numPr>
        <w:rPr>
          <w:szCs w:val="24"/>
        </w:rPr>
      </w:pPr>
      <w:r w:rsidRPr="00883D76">
        <w:rPr>
          <w:szCs w:val="24"/>
        </w:rPr>
        <w:t xml:space="preserve">Антикоагулянты – Нефракционированный гепарин, </w:t>
      </w:r>
      <w:r>
        <w:rPr>
          <w:szCs w:val="24"/>
        </w:rPr>
        <w:t>Н</w:t>
      </w:r>
      <w:r w:rsidRPr="00883D76">
        <w:rPr>
          <w:szCs w:val="24"/>
        </w:rPr>
        <w:t xml:space="preserve">изкомолекулярные гепарины, </w:t>
      </w:r>
      <w:r>
        <w:rPr>
          <w:szCs w:val="24"/>
        </w:rPr>
        <w:t>витамин К-</w:t>
      </w:r>
      <w:r w:rsidRPr="00883D76">
        <w:rPr>
          <w:szCs w:val="24"/>
        </w:rPr>
        <w:t>зависимые антикоагулянты (</w:t>
      </w:r>
      <w:r>
        <w:rPr>
          <w:szCs w:val="24"/>
        </w:rPr>
        <w:t>В</w:t>
      </w:r>
      <w:r w:rsidRPr="00883D76">
        <w:rPr>
          <w:szCs w:val="24"/>
        </w:rPr>
        <w:t xml:space="preserve">арфарин), </w:t>
      </w:r>
      <w:r>
        <w:rPr>
          <w:szCs w:val="24"/>
        </w:rPr>
        <w:t>в</w:t>
      </w:r>
      <w:r w:rsidRPr="00883D76">
        <w:rPr>
          <w:szCs w:val="24"/>
        </w:rPr>
        <w:t>итамин К</w:t>
      </w:r>
      <w:r>
        <w:rPr>
          <w:szCs w:val="24"/>
        </w:rPr>
        <w:t>-</w:t>
      </w:r>
      <w:r w:rsidRPr="00883D76">
        <w:rPr>
          <w:szCs w:val="24"/>
        </w:rPr>
        <w:t>независимые антикоагулянты (</w:t>
      </w:r>
      <w:r>
        <w:rPr>
          <w:szCs w:val="24"/>
        </w:rPr>
        <w:t>А</w:t>
      </w:r>
      <w:r w:rsidRPr="00883D76">
        <w:rPr>
          <w:szCs w:val="24"/>
        </w:rPr>
        <w:t xml:space="preserve">пиксксабан, </w:t>
      </w:r>
      <w:r>
        <w:rPr>
          <w:szCs w:val="24"/>
        </w:rPr>
        <w:t>Р</w:t>
      </w:r>
      <w:r w:rsidRPr="00883D76">
        <w:rPr>
          <w:szCs w:val="24"/>
        </w:rPr>
        <w:t xml:space="preserve">ивароксабан, </w:t>
      </w:r>
      <w:r>
        <w:rPr>
          <w:szCs w:val="24"/>
        </w:rPr>
        <w:t>Д</w:t>
      </w:r>
      <w:r w:rsidRPr="00883D76">
        <w:rPr>
          <w:szCs w:val="24"/>
        </w:rPr>
        <w:t>абигатран)</w:t>
      </w:r>
      <w:r>
        <w:rPr>
          <w:szCs w:val="24"/>
        </w:rPr>
        <w:t xml:space="preserve"> и др.</w:t>
      </w:r>
    </w:p>
    <w:p w14:paraId="3D9DC33C" w14:textId="77777777" w:rsidR="00D620D3" w:rsidRPr="00A314E9" w:rsidRDefault="00D620D3" w:rsidP="00D61785">
      <w:pPr>
        <w:numPr>
          <w:ilvl w:val="0"/>
          <w:numId w:val="49"/>
        </w:numPr>
        <w:rPr>
          <w:szCs w:val="24"/>
        </w:rPr>
      </w:pPr>
      <w:r w:rsidRPr="00A314E9">
        <w:rPr>
          <w:szCs w:val="24"/>
        </w:rPr>
        <w:t>Антиагреганты – Аспирин, Клопидогрел</w:t>
      </w:r>
      <w:r>
        <w:rPr>
          <w:szCs w:val="24"/>
        </w:rPr>
        <w:t xml:space="preserve"> и др.</w:t>
      </w:r>
    </w:p>
    <w:p w14:paraId="68579994" w14:textId="77777777" w:rsidR="00D620D3" w:rsidRDefault="00D620D3" w:rsidP="00D61785">
      <w:pPr>
        <w:numPr>
          <w:ilvl w:val="0"/>
          <w:numId w:val="49"/>
        </w:numPr>
        <w:rPr>
          <w:szCs w:val="24"/>
        </w:rPr>
      </w:pPr>
      <w:r w:rsidRPr="00A314E9">
        <w:rPr>
          <w:szCs w:val="24"/>
        </w:rPr>
        <w:t>Диуретики – калийсберегающие (Спиронолоктон, Эплеренон и др.), тиазидоподобные (Гидрохлортиазид, Хлорталидон, Клопамид, Индапамид), петлевые (Фуросемид, Торасемид, Этакриновая кислота</w:t>
      </w:r>
      <w:r>
        <w:rPr>
          <w:szCs w:val="24"/>
        </w:rPr>
        <w:t xml:space="preserve"> и др.).</w:t>
      </w:r>
    </w:p>
    <w:p w14:paraId="03ABB93B" w14:textId="77777777" w:rsidR="00D620D3" w:rsidRDefault="00D620D3" w:rsidP="00D61785">
      <w:pPr>
        <w:numPr>
          <w:ilvl w:val="0"/>
          <w:numId w:val="49"/>
        </w:numPr>
        <w:rPr>
          <w:szCs w:val="24"/>
        </w:rPr>
      </w:pPr>
      <w:r w:rsidRPr="000D71CF">
        <w:rPr>
          <w:szCs w:val="24"/>
        </w:rPr>
        <w:t>Статины – Розувастатин, Симвастатин, Аторвастатин</w:t>
      </w:r>
      <w:r>
        <w:rPr>
          <w:szCs w:val="24"/>
        </w:rPr>
        <w:t xml:space="preserve"> и др.</w:t>
      </w:r>
    </w:p>
    <w:p w14:paraId="6DEDC693" w14:textId="77777777" w:rsidR="00D620D3" w:rsidRDefault="00D620D3" w:rsidP="00D61785">
      <w:pPr>
        <w:numPr>
          <w:ilvl w:val="0"/>
          <w:numId w:val="49"/>
        </w:numPr>
        <w:rPr>
          <w:szCs w:val="24"/>
        </w:rPr>
      </w:pPr>
      <w:r w:rsidRPr="000D71CF">
        <w:rPr>
          <w:szCs w:val="24"/>
        </w:rPr>
        <w:t>Антиаритмические средства – Соталол, Амиодарон, Этацизин, Новокаинамид</w:t>
      </w:r>
      <w:r>
        <w:rPr>
          <w:szCs w:val="24"/>
        </w:rPr>
        <w:t>, и др.</w:t>
      </w:r>
    </w:p>
    <w:p w14:paraId="55E7F3CE" w14:textId="77777777" w:rsidR="00D620D3" w:rsidRDefault="00D620D3" w:rsidP="00D61785">
      <w:pPr>
        <w:numPr>
          <w:ilvl w:val="0"/>
          <w:numId w:val="49"/>
        </w:numPr>
        <w:rPr>
          <w:szCs w:val="24"/>
        </w:rPr>
      </w:pPr>
      <w:r w:rsidRPr="00597354">
        <w:rPr>
          <w:szCs w:val="24"/>
        </w:rPr>
        <w:t>Нитровазодилататоры – Изосорбида динитрат, Изосорбида-5-мононитрат, Глицерила тринитрат</w:t>
      </w:r>
      <w:r>
        <w:rPr>
          <w:szCs w:val="24"/>
        </w:rPr>
        <w:t>, и др.</w:t>
      </w:r>
    </w:p>
    <w:p w14:paraId="3E811029" w14:textId="3B4CB255" w:rsidR="00D620D3" w:rsidRPr="001F1D7E" w:rsidRDefault="00D620D3" w:rsidP="00D61785">
      <w:pPr>
        <w:numPr>
          <w:ilvl w:val="0"/>
          <w:numId w:val="49"/>
        </w:numPr>
        <w:rPr>
          <w:szCs w:val="24"/>
        </w:rPr>
      </w:pPr>
      <w:r w:rsidRPr="00CD237E">
        <w:rPr>
          <w:szCs w:val="24"/>
        </w:rPr>
        <w:t>Сердечные гликозиды</w:t>
      </w:r>
      <w:r>
        <w:rPr>
          <w:szCs w:val="24"/>
        </w:rPr>
        <w:t xml:space="preserve"> –</w:t>
      </w:r>
      <w:r w:rsidR="00071A33">
        <w:rPr>
          <w:szCs w:val="24"/>
        </w:rPr>
        <w:t xml:space="preserve"> </w:t>
      </w:r>
      <w:r w:rsidRPr="001F1D7E">
        <w:rPr>
          <w:szCs w:val="24"/>
        </w:rPr>
        <w:t>Дигоксин</w:t>
      </w:r>
      <w:r>
        <w:rPr>
          <w:szCs w:val="24"/>
        </w:rPr>
        <w:t xml:space="preserve">  и др.</w:t>
      </w:r>
    </w:p>
    <w:p w14:paraId="7855C511" w14:textId="77777777" w:rsidR="00D620D3" w:rsidRPr="00883D76" w:rsidRDefault="00D620D3" w:rsidP="00D620D3">
      <w:pPr>
        <w:ind w:left="720"/>
        <w:rPr>
          <w:szCs w:val="24"/>
        </w:rPr>
      </w:pPr>
    </w:p>
    <w:p w14:paraId="0D7604A8" w14:textId="77777777" w:rsidR="00D620D3" w:rsidRDefault="00D620D3" w:rsidP="00071A33">
      <w:pPr>
        <w:ind w:firstLine="709"/>
        <w:rPr>
          <w:szCs w:val="24"/>
        </w:rPr>
      </w:pPr>
      <w:r>
        <w:rPr>
          <w:szCs w:val="24"/>
        </w:rPr>
        <w:t xml:space="preserve">Выбор терапии </w:t>
      </w:r>
      <w:r w:rsidRPr="00473754">
        <w:rPr>
          <w:szCs w:val="24"/>
        </w:rPr>
        <w:t xml:space="preserve">требует </w:t>
      </w:r>
      <w:r>
        <w:rPr>
          <w:szCs w:val="24"/>
        </w:rPr>
        <w:t>анализа</w:t>
      </w:r>
      <w:r w:rsidRPr="00473754">
        <w:rPr>
          <w:szCs w:val="24"/>
        </w:rPr>
        <w:t xml:space="preserve"> </w:t>
      </w:r>
      <w:r>
        <w:rPr>
          <w:szCs w:val="24"/>
        </w:rPr>
        <w:t>меж</w:t>
      </w:r>
      <w:r w:rsidRPr="00473754">
        <w:rPr>
          <w:szCs w:val="24"/>
        </w:rPr>
        <w:t>лекарственн</w:t>
      </w:r>
      <w:r>
        <w:rPr>
          <w:szCs w:val="24"/>
        </w:rPr>
        <w:t xml:space="preserve">ых </w:t>
      </w:r>
      <w:r w:rsidRPr="00473754">
        <w:rPr>
          <w:szCs w:val="24"/>
        </w:rPr>
        <w:t>взаимодействи</w:t>
      </w:r>
      <w:r>
        <w:rPr>
          <w:szCs w:val="24"/>
        </w:rPr>
        <w:t>й и возможного</w:t>
      </w:r>
      <w:r w:rsidRPr="00473754">
        <w:rPr>
          <w:szCs w:val="24"/>
        </w:rPr>
        <w:t xml:space="preserve"> потенцировани</w:t>
      </w:r>
      <w:r>
        <w:rPr>
          <w:szCs w:val="24"/>
        </w:rPr>
        <w:t>я</w:t>
      </w:r>
      <w:r w:rsidRPr="00473754">
        <w:rPr>
          <w:szCs w:val="24"/>
        </w:rPr>
        <w:t xml:space="preserve"> эффекто</w:t>
      </w:r>
      <w:r>
        <w:rPr>
          <w:szCs w:val="24"/>
        </w:rPr>
        <w:t xml:space="preserve">в различных препаратов (кардиологических и </w:t>
      </w:r>
      <w:r w:rsidRPr="00DC73F9">
        <w:rPr>
          <w:szCs w:val="24"/>
        </w:rPr>
        <w:t>гематологическ</w:t>
      </w:r>
      <w:r>
        <w:rPr>
          <w:szCs w:val="24"/>
        </w:rPr>
        <w:t>их). Для профилактики, диагностики и лечения</w:t>
      </w:r>
      <w:r w:rsidRPr="00074758">
        <w:rPr>
          <w:szCs w:val="24"/>
        </w:rPr>
        <w:t xml:space="preserve"> </w:t>
      </w:r>
      <w:r>
        <w:rPr>
          <w:szCs w:val="24"/>
        </w:rPr>
        <w:t xml:space="preserve">кардиальной </w:t>
      </w:r>
      <w:r w:rsidRPr="00074758">
        <w:rPr>
          <w:szCs w:val="24"/>
        </w:rPr>
        <w:t xml:space="preserve">патологии </w:t>
      </w:r>
      <w:r>
        <w:rPr>
          <w:szCs w:val="24"/>
        </w:rPr>
        <w:t>у пациентов с ХЛЛ/ЛМЛ необходимо своевременно и адекватно мониторировать функцию сердечно-сосудистой системы, при показаниях курировать пациента совместно с</w:t>
      </w:r>
      <w:r w:rsidRPr="008A35A1">
        <w:rPr>
          <w:szCs w:val="24"/>
        </w:rPr>
        <w:t xml:space="preserve"> кардиолог</w:t>
      </w:r>
      <w:r>
        <w:rPr>
          <w:szCs w:val="24"/>
        </w:rPr>
        <w:t>ом</w:t>
      </w:r>
      <w:r w:rsidRPr="008A35A1">
        <w:rPr>
          <w:szCs w:val="24"/>
        </w:rPr>
        <w:t>.</w:t>
      </w:r>
    </w:p>
    <w:p w14:paraId="039D4EAB" w14:textId="77777777" w:rsidR="00D620D3" w:rsidRDefault="00D620D3" w:rsidP="00D620D3">
      <w:pPr>
        <w:rPr>
          <w:szCs w:val="24"/>
        </w:rPr>
      </w:pPr>
    </w:p>
    <w:p w14:paraId="7BF1FDA0" w14:textId="77777777" w:rsidR="00D620D3" w:rsidRPr="00DA2BC8" w:rsidRDefault="00D620D3" w:rsidP="00C466A6">
      <w:pPr>
        <w:widowControl w:val="0"/>
        <w:autoSpaceDE w:val="0"/>
        <w:autoSpaceDN w:val="0"/>
        <w:adjustRightInd w:val="0"/>
        <w:ind w:right="50" w:firstLine="709"/>
        <w:contextualSpacing/>
      </w:pPr>
    </w:p>
    <w:p w14:paraId="72BBC8C7" w14:textId="77777777" w:rsidR="00C466A6" w:rsidRPr="00D620D3" w:rsidRDefault="00C466A6" w:rsidP="00C466A6">
      <w:pPr>
        <w:jc w:val="left"/>
      </w:pPr>
      <w:r w:rsidRPr="00D620D3">
        <w:br w:type="page"/>
      </w:r>
    </w:p>
    <w:p w14:paraId="26705FD1" w14:textId="77777777" w:rsidR="00A04E7F" w:rsidRPr="00303E7D" w:rsidRDefault="004D7374" w:rsidP="005D3BBD">
      <w:pPr>
        <w:pStyle w:val="1"/>
        <w:spacing w:before="0" w:after="0"/>
        <w:rPr>
          <w:sz w:val="24"/>
          <w:szCs w:val="24"/>
        </w:rPr>
      </w:pPr>
      <w:bookmarkStart w:id="79" w:name="_Toc23601734"/>
      <w:bookmarkStart w:id="80" w:name="_Toc65068824"/>
      <w:r w:rsidRPr="00303E7D">
        <w:rPr>
          <w:sz w:val="24"/>
          <w:szCs w:val="24"/>
        </w:rPr>
        <w:t>Критерии оценки качества медицинской помощи</w:t>
      </w:r>
      <w:bookmarkEnd w:id="70"/>
      <w:bookmarkEnd w:id="79"/>
      <w:bookmarkEnd w:id="80"/>
    </w:p>
    <w:tbl>
      <w:tblPr>
        <w:tblW w:w="10137" w:type="dxa"/>
        <w:tblInd w:w="-789" w:type="dxa"/>
        <w:tblLayout w:type="fixed"/>
        <w:tblCellMar>
          <w:top w:w="15" w:type="dxa"/>
          <w:left w:w="15" w:type="dxa"/>
          <w:bottom w:w="15" w:type="dxa"/>
          <w:right w:w="15" w:type="dxa"/>
        </w:tblCellMar>
        <w:tblLook w:val="04A0" w:firstRow="1" w:lastRow="0" w:firstColumn="1" w:lastColumn="0" w:noHBand="0" w:noVBand="1"/>
      </w:tblPr>
      <w:tblGrid>
        <w:gridCol w:w="418"/>
        <w:gridCol w:w="7167"/>
        <w:gridCol w:w="2552"/>
      </w:tblGrid>
      <w:tr w:rsidR="005A463A" w:rsidRPr="005B4606" w14:paraId="08FFC49A"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14:paraId="4018A88C" w14:textId="77777777" w:rsidR="005A463A" w:rsidRDefault="005A463A" w:rsidP="005D3BBD">
            <w:pPr>
              <w:pStyle w:val="11"/>
              <w:spacing w:beforeAutospacing="0" w:afterAutospacing="0" w:line="360" w:lineRule="auto"/>
              <w:ind w:left="57"/>
              <w:jc w:val="center"/>
            </w:pPr>
            <w:r>
              <w:t>№</w:t>
            </w:r>
          </w:p>
        </w:tc>
        <w:tc>
          <w:tcPr>
            <w:tcW w:w="7167" w:type="dxa"/>
            <w:tcBorders>
              <w:top w:val="single" w:sz="6" w:space="0" w:color="000000"/>
              <w:left w:val="single" w:sz="6" w:space="0" w:color="000000"/>
              <w:bottom w:val="single" w:sz="6" w:space="0" w:color="000000"/>
              <w:right w:val="single" w:sz="6" w:space="0" w:color="000000"/>
            </w:tcBorders>
            <w:vAlign w:val="center"/>
            <w:hideMark/>
          </w:tcPr>
          <w:p w14:paraId="0D06D19D" w14:textId="77777777" w:rsidR="005A463A" w:rsidRDefault="005A463A" w:rsidP="005D3BBD">
            <w:pPr>
              <w:pStyle w:val="11"/>
              <w:spacing w:beforeAutospacing="0" w:afterAutospacing="0" w:line="360" w:lineRule="auto"/>
              <w:ind w:left="57"/>
              <w:jc w:val="center"/>
            </w:pPr>
            <w:r>
              <w:rPr>
                <w:rStyle w:val="aa"/>
              </w:rPr>
              <w:t>Критерии качества</w:t>
            </w:r>
          </w:p>
        </w:tc>
        <w:tc>
          <w:tcPr>
            <w:tcW w:w="2552" w:type="dxa"/>
            <w:tcBorders>
              <w:top w:val="single" w:sz="6" w:space="0" w:color="000000"/>
              <w:left w:val="single" w:sz="6" w:space="0" w:color="000000"/>
              <w:bottom w:val="single" w:sz="6" w:space="0" w:color="000000"/>
              <w:right w:val="single" w:sz="6" w:space="0" w:color="000000"/>
            </w:tcBorders>
            <w:vAlign w:val="center"/>
          </w:tcPr>
          <w:p w14:paraId="59A423D7" w14:textId="77777777" w:rsidR="005A463A" w:rsidRDefault="005A463A" w:rsidP="005D3BBD">
            <w:pPr>
              <w:pStyle w:val="11"/>
              <w:spacing w:beforeAutospacing="0" w:afterAutospacing="0" w:line="360" w:lineRule="auto"/>
              <w:ind w:left="57"/>
              <w:jc w:val="center"/>
            </w:pPr>
            <w:r w:rsidRPr="003E3A35">
              <w:rPr>
                <w:b/>
                <w:bCs/>
              </w:rPr>
              <w:t>Оценка выполнения</w:t>
            </w:r>
          </w:p>
        </w:tc>
      </w:tr>
      <w:tr w:rsidR="005A463A" w:rsidRPr="005B4606" w14:paraId="29CFEEDE"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14:paraId="57260516" w14:textId="77777777" w:rsidR="005A463A" w:rsidRDefault="005A463A" w:rsidP="005D3BBD">
            <w:pPr>
              <w:pStyle w:val="11"/>
              <w:spacing w:beforeAutospacing="0" w:afterAutospacing="0" w:line="360" w:lineRule="auto"/>
              <w:ind w:left="57"/>
              <w:jc w:val="center"/>
            </w:pPr>
            <w:r>
              <w:t>1</w:t>
            </w:r>
          </w:p>
        </w:tc>
        <w:tc>
          <w:tcPr>
            <w:tcW w:w="7167" w:type="dxa"/>
            <w:tcBorders>
              <w:top w:val="single" w:sz="6" w:space="0" w:color="000000"/>
              <w:left w:val="single" w:sz="6" w:space="0" w:color="000000"/>
              <w:bottom w:val="single" w:sz="6" w:space="0" w:color="000000"/>
              <w:right w:val="single" w:sz="6" w:space="0" w:color="000000"/>
            </w:tcBorders>
            <w:vAlign w:val="center"/>
            <w:hideMark/>
          </w:tcPr>
          <w:p w14:paraId="689DFF39" w14:textId="5B9748A1" w:rsidR="005A463A" w:rsidRDefault="005A463A" w:rsidP="005D3BBD">
            <w:pPr>
              <w:pStyle w:val="11"/>
              <w:spacing w:beforeAutospacing="0" w:afterAutospacing="0" w:line="360" w:lineRule="auto"/>
              <w:ind w:left="57"/>
            </w:pPr>
            <w:r>
              <w:t>П</w:t>
            </w:r>
            <w:r w:rsidRPr="00387410">
              <w:t>ациент</w:t>
            </w:r>
            <w:r>
              <w:t>у</w:t>
            </w:r>
            <w:r w:rsidRPr="00387410">
              <w:t xml:space="preserve"> с подозрением на ХЛЛ/ЛМЛ или выявленным ХЛЛ/ЛМЛ при первичном или повторном приеме, при оценке ремиссии через 2 </w:t>
            </w:r>
            <w:r>
              <w:t>мес.</w:t>
            </w:r>
            <w:r w:rsidRPr="00387410">
              <w:t xml:space="preserve"> после завершения терапии</w:t>
            </w:r>
            <w:r>
              <w:t>, при контрольных обследованиях</w:t>
            </w:r>
            <w:r w:rsidRPr="00387410">
              <w:t xml:space="preserve"> и при подозрении на рецидив заболевания выполн</w:t>
            </w:r>
            <w:r>
              <w:t>ен</w:t>
            </w:r>
            <w:r w:rsidRPr="00387410">
              <w:t xml:space="preserve"> развернутый </w:t>
            </w:r>
            <w:r w:rsidR="006C2557">
              <w:t>общий (</w:t>
            </w:r>
            <w:r w:rsidRPr="00387410">
              <w:t>клинический</w:t>
            </w:r>
            <w:r w:rsidR="006C2557">
              <w:t>)</w:t>
            </w:r>
            <w:r w:rsidRPr="00387410">
              <w:t xml:space="preserve"> анализ крови с определением </w:t>
            </w:r>
            <w:r>
              <w:t xml:space="preserve">уровня </w:t>
            </w:r>
            <w:r w:rsidRPr="00387410">
              <w:t>гемоглобина, эритроцитов, тромбоцитов, лейкоцитов, подсчетом лейкоцитарной формулы и количества ретикулоцитов</w:t>
            </w:r>
          </w:p>
        </w:tc>
        <w:tc>
          <w:tcPr>
            <w:tcW w:w="2552" w:type="dxa"/>
            <w:tcBorders>
              <w:top w:val="single" w:sz="6" w:space="0" w:color="000000"/>
              <w:left w:val="single" w:sz="6" w:space="0" w:color="000000"/>
              <w:bottom w:val="single" w:sz="6" w:space="0" w:color="000000"/>
              <w:right w:val="single" w:sz="6" w:space="0" w:color="000000"/>
            </w:tcBorders>
          </w:tcPr>
          <w:p w14:paraId="10550C92" w14:textId="77777777" w:rsidR="005A463A" w:rsidRPr="00686393" w:rsidRDefault="005A463A" w:rsidP="005D3BBD">
            <w:pPr>
              <w:pStyle w:val="11"/>
              <w:spacing w:beforeAutospacing="0" w:afterAutospacing="0" w:line="360" w:lineRule="auto"/>
              <w:ind w:left="57"/>
              <w:jc w:val="center"/>
            </w:pPr>
            <w:r w:rsidRPr="000B1CED">
              <w:t>Да/Нет</w:t>
            </w:r>
          </w:p>
        </w:tc>
      </w:tr>
      <w:tr w:rsidR="005A463A" w:rsidRPr="005B4606" w14:paraId="0D8A4459"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290B8C79" w14:textId="77777777" w:rsidR="005A463A" w:rsidRDefault="005A463A" w:rsidP="005D3BBD">
            <w:pPr>
              <w:pStyle w:val="11"/>
              <w:spacing w:beforeAutospacing="0" w:afterAutospacing="0" w:line="360" w:lineRule="auto"/>
              <w:ind w:left="57"/>
              <w:jc w:val="center"/>
            </w:pPr>
            <w:r>
              <w:t>2</w:t>
            </w:r>
          </w:p>
        </w:tc>
        <w:tc>
          <w:tcPr>
            <w:tcW w:w="7167" w:type="dxa"/>
            <w:tcBorders>
              <w:top w:val="single" w:sz="6" w:space="0" w:color="000000"/>
              <w:left w:val="single" w:sz="6" w:space="0" w:color="000000"/>
              <w:bottom w:val="single" w:sz="6" w:space="0" w:color="000000"/>
              <w:right w:val="single" w:sz="6" w:space="0" w:color="000000"/>
            </w:tcBorders>
            <w:vAlign w:val="center"/>
          </w:tcPr>
          <w:p w14:paraId="3B18BEEC" w14:textId="77777777" w:rsidR="005A463A" w:rsidRDefault="005A463A" w:rsidP="005D3BBD">
            <w:pPr>
              <w:pStyle w:val="11"/>
              <w:spacing w:beforeAutospacing="0" w:afterAutospacing="0" w:line="360" w:lineRule="auto"/>
              <w:ind w:left="57"/>
            </w:pPr>
            <w:r>
              <w:t>П</w:t>
            </w:r>
            <w:r w:rsidRPr="0075001D">
              <w:t>ациент</w:t>
            </w:r>
            <w:r>
              <w:t>у с подозрением на ХЛЛ</w:t>
            </w:r>
            <w:r w:rsidRPr="0075001D">
              <w:t xml:space="preserve"> с </w:t>
            </w:r>
            <w:r>
              <w:t xml:space="preserve">количеством </w:t>
            </w:r>
            <w:r>
              <w:br/>
              <w:t>В-лейкоцитов</w:t>
            </w:r>
            <w:r w:rsidRPr="0072780B">
              <w:t xml:space="preserve"> ≥5000 в</w:t>
            </w:r>
            <w:r>
              <w:t xml:space="preserve"> 1</w:t>
            </w:r>
            <w:r w:rsidRPr="0072780B">
              <w:t xml:space="preserve"> мкл выполнено иммунофенотипи</w:t>
            </w:r>
            <w:r w:rsidRPr="0075001D">
              <w:t>ческое исследование лимфоцитов крови методом проточной цитофлуориметрии</w:t>
            </w:r>
          </w:p>
        </w:tc>
        <w:tc>
          <w:tcPr>
            <w:tcW w:w="2552" w:type="dxa"/>
            <w:tcBorders>
              <w:top w:val="single" w:sz="6" w:space="0" w:color="000000"/>
              <w:left w:val="single" w:sz="6" w:space="0" w:color="000000"/>
              <w:bottom w:val="single" w:sz="6" w:space="0" w:color="000000"/>
              <w:right w:val="single" w:sz="6" w:space="0" w:color="000000"/>
            </w:tcBorders>
          </w:tcPr>
          <w:p w14:paraId="3F6129B8" w14:textId="77777777" w:rsidR="005A463A" w:rsidRPr="00DF6F54"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2EA8A7E4"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0C6CCF45" w14:textId="77777777" w:rsidR="005A463A" w:rsidRDefault="005A463A" w:rsidP="005D3BBD">
            <w:pPr>
              <w:pStyle w:val="11"/>
              <w:spacing w:beforeAutospacing="0" w:afterAutospacing="0" w:line="360" w:lineRule="auto"/>
              <w:ind w:left="57"/>
              <w:jc w:val="center"/>
            </w:pPr>
            <w:r>
              <w:t>3</w:t>
            </w:r>
          </w:p>
        </w:tc>
        <w:tc>
          <w:tcPr>
            <w:tcW w:w="7167" w:type="dxa"/>
            <w:tcBorders>
              <w:top w:val="single" w:sz="6" w:space="0" w:color="000000"/>
              <w:left w:val="single" w:sz="6" w:space="0" w:color="000000"/>
              <w:bottom w:val="single" w:sz="6" w:space="0" w:color="000000"/>
              <w:right w:val="single" w:sz="6" w:space="0" w:color="000000"/>
            </w:tcBorders>
            <w:vAlign w:val="center"/>
          </w:tcPr>
          <w:p w14:paraId="455841BD" w14:textId="77777777" w:rsidR="005A463A" w:rsidRDefault="005A463A" w:rsidP="005D3BBD">
            <w:pPr>
              <w:pStyle w:val="11"/>
              <w:spacing w:beforeAutospacing="0" w:afterAutospacing="0" w:line="360" w:lineRule="auto"/>
              <w:ind w:left="57"/>
            </w:pPr>
            <w:r>
              <w:t xml:space="preserve">Пациенту с подозрением на </w:t>
            </w:r>
            <w:r w:rsidRPr="0075001D">
              <w:t xml:space="preserve">ЛМЛ без клинического лимфоцитоза в крови </w:t>
            </w:r>
            <w:r>
              <w:t xml:space="preserve">либо пациенту с </w:t>
            </w:r>
            <w:r w:rsidRPr="0075001D">
              <w:t xml:space="preserve">подозрением </w:t>
            </w:r>
            <w:r>
              <w:br/>
            </w:r>
            <w:r w:rsidRPr="0075001D">
              <w:t>на трансформацию выполн</w:t>
            </w:r>
            <w:r>
              <w:t>ена</w:t>
            </w:r>
            <w:r w:rsidRPr="0075001D">
              <w:t xml:space="preserve"> биопси</w:t>
            </w:r>
            <w:r>
              <w:t>я</w:t>
            </w:r>
            <w:r w:rsidRPr="0075001D">
              <w:t xml:space="preserve"> лимфатического узла (очага поражения) </w:t>
            </w:r>
          </w:p>
        </w:tc>
        <w:tc>
          <w:tcPr>
            <w:tcW w:w="2552" w:type="dxa"/>
            <w:tcBorders>
              <w:top w:val="single" w:sz="6" w:space="0" w:color="000000"/>
              <w:left w:val="single" w:sz="6" w:space="0" w:color="000000"/>
              <w:bottom w:val="single" w:sz="6" w:space="0" w:color="000000"/>
              <w:right w:val="single" w:sz="6" w:space="0" w:color="000000"/>
            </w:tcBorders>
          </w:tcPr>
          <w:p w14:paraId="65DEC7EC" w14:textId="77777777" w:rsidR="005A463A" w:rsidRPr="00866C68"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4D330378"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173D92AC" w14:textId="77777777" w:rsidR="005A463A" w:rsidRDefault="005A463A" w:rsidP="005D3BBD">
            <w:pPr>
              <w:pStyle w:val="11"/>
              <w:spacing w:beforeAutospacing="0" w:afterAutospacing="0" w:line="360" w:lineRule="auto"/>
              <w:ind w:left="57"/>
              <w:jc w:val="center"/>
            </w:pPr>
            <w:r>
              <w:t>4</w:t>
            </w:r>
          </w:p>
        </w:tc>
        <w:tc>
          <w:tcPr>
            <w:tcW w:w="7167" w:type="dxa"/>
            <w:tcBorders>
              <w:top w:val="single" w:sz="6" w:space="0" w:color="000000"/>
              <w:left w:val="single" w:sz="6" w:space="0" w:color="000000"/>
              <w:bottom w:val="single" w:sz="6" w:space="0" w:color="000000"/>
              <w:right w:val="single" w:sz="6" w:space="0" w:color="000000"/>
            </w:tcBorders>
            <w:vAlign w:val="center"/>
          </w:tcPr>
          <w:p w14:paraId="303096D8" w14:textId="77777777" w:rsidR="005A463A" w:rsidRDefault="005A463A" w:rsidP="005D3BBD">
            <w:pPr>
              <w:pStyle w:val="11"/>
              <w:spacing w:beforeAutospacing="0" w:afterAutospacing="0" w:line="360" w:lineRule="auto"/>
              <w:ind w:left="57"/>
            </w:pPr>
            <w:r>
              <w:t xml:space="preserve">У первичного пациента с ХЛЛ/ЛМЛ с подозрением </w:t>
            </w:r>
            <w:r>
              <w:br/>
              <w:t>на трансформацию получен гистологический препарат костного мозга (выполнена трепанобиопсия костного мозга)</w:t>
            </w:r>
          </w:p>
        </w:tc>
        <w:tc>
          <w:tcPr>
            <w:tcW w:w="2552" w:type="dxa"/>
            <w:tcBorders>
              <w:top w:val="single" w:sz="6" w:space="0" w:color="000000"/>
              <w:left w:val="single" w:sz="6" w:space="0" w:color="000000"/>
              <w:bottom w:val="single" w:sz="6" w:space="0" w:color="000000"/>
              <w:right w:val="single" w:sz="6" w:space="0" w:color="000000"/>
            </w:tcBorders>
          </w:tcPr>
          <w:p w14:paraId="5317A573" w14:textId="77777777" w:rsidR="005A463A" w:rsidRPr="00866C68"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0B02F232"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14:paraId="3918F281" w14:textId="77777777" w:rsidR="005A463A" w:rsidRDefault="005A463A" w:rsidP="005D3BBD">
            <w:pPr>
              <w:pStyle w:val="11"/>
              <w:spacing w:beforeAutospacing="0" w:afterAutospacing="0" w:line="360" w:lineRule="auto"/>
              <w:ind w:left="57"/>
              <w:jc w:val="center"/>
            </w:pPr>
            <w:r>
              <w:t>5</w:t>
            </w:r>
          </w:p>
        </w:tc>
        <w:tc>
          <w:tcPr>
            <w:tcW w:w="7167" w:type="dxa"/>
            <w:tcBorders>
              <w:top w:val="single" w:sz="6" w:space="0" w:color="000000"/>
              <w:left w:val="single" w:sz="6" w:space="0" w:color="000000"/>
              <w:bottom w:val="single" w:sz="6" w:space="0" w:color="000000"/>
              <w:right w:val="single" w:sz="6" w:space="0" w:color="000000"/>
            </w:tcBorders>
            <w:vAlign w:val="center"/>
            <w:hideMark/>
          </w:tcPr>
          <w:p w14:paraId="0D1C0586" w14:textId="77777777" w:rsidR="005A463A" w:rsidRDefault="005A463A" w:rsidP="005D3BBD">
            <w:pPr>
              <w:pStyle w:val="11"/>
              <w:spacing w:beforeAutospacing="0" w:afterAutospacing="0" w:line="360" w:lineRule="auto"/>
              <w:ind w:left="57"/>
            </w:pPr>
            <w:r>
              <w:t>Первичному п</w:t>
            </w:r>
            <w:r w:rsidRPr="00357B92">
              <w:t>ациент</w:t>
            </w:r>
            <w:r>
              <w:t>у</w:t>
            </w:r>
            <w:r w:rsidRPr="00357B92">
              <w:t xml:space="preserve"> при установке диагноза ХЛЛ/ЛМЛ </w:t>
            </w:r>
            <w:r>
              <w:t xml:space="preserve">либо пациенту с верифицированным ХЛЛ/ЛМЛ </w:t>
            </w:r>
            <w:r w:rsidRPr="00357B92">
              <w:t xml:space="preserve">перед началом терапии, при </w:t>
            </w:r>
            <w:r w:rsidRPr="0072780B">
              <w:t xml:space="preserve">оценке ремиссии через 2 </w:t>
            </w:r>
            <w:r>
              <w:t>мес.</w:t>
            </w:r>
            <w:r w:rsidRPr="0072780B">
              <w:t xml:space="preserve"> после завершения терапии, а также при подозрении на рецидив заболевания выполнен</w:t>
            </w:r>
            <w:r>
              <w:t>а</w:t>
            </w:r>
            <w:r w:rsidRPr="0072780B">
              <w:t xml:space="preserve"> КТ грудной клетки, органов брюшной полости и</w:t>
            </w:r>
            <w:r w:rsidRPr="00357B92">
              <w:t xml:space="preserve"> малого таза (с контрастированием) </w:t>
            </w:r>
            <w:r>
              <w:t xml:space="preserve">или рентгенография органов грудной клетки </w:t>
            </w:r>
            <w:r>
              <w:br/>
              <w:t>в 2 проекциях и УЗИ лимфатических узлов и внутренних органов</w:t>
            </w:r>
          </w:p>
        </w:tc>
        <w:tc>
          <w:tcPr>
            <w:tcW w:w="2552" w:type="dxa"/>
            <w:tcBorders>
              <w:top w:val="single" w:sz="6" w:space="0" w:color="000000"/>
              <w:left w:val="single" w:sz="6" w:space="0" w:color="000000"/>
              <w:bottom w:val="single" w:sz="6" w:space="0" w:color="000000"/>
              <w:right w:val="single" w:sz="6" w:space="0" w:color="000000"/>
            </w:tcBorders>
          </w:tcPr>
          <w:p w14:paraId="070CA42C" w14:textId="77777777" w:rsidR="005A463A" w:rsidRPr="00866C68"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78678A48"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0B122336" w14:textId="77777777" w:rsidR="005A463A" w:rsidRDefault="005A463A" w:rsidP="005D3BBD">
            <w:pPr>
              <w:pStyle w:val="11"/>
              <w:spacing w:beforeAutospacing="0" w:afterAutospacing="0" w:line="360" w:lineRule="auto"/>
              <w:ind w:left="57"/>
              <w:jc w:val="center"/>
            </w:pPr>
            <w:r>
              <w:t>6</w:t>
            </w:r>
          </w:p>
        </w:tc>
        <w:tc>
          <w:tcPr>
            <w:tcW w:w="7167" w:type="dxa"/>
            <w:tcBorders>
              <w:top w:val="single" w:sz="6" w:space="0" w:color="000000"/>
              <w:left w:val="single" w:sz="6" w:space="0" w:color="000000"/>
              <w:bottom w:val="single" w:sz="6" w:space="0" w:color="000000"/>
              <w:right w:val="single" w:sz="6" w:space="0" w:color="000000"/>
            </w:tcBorders>
            <w:vAlign w:val="center"/>
          </w:tcPr>
          <w:p w14:paraId="51DD8730" w14:textId="77777777" w:rsidR="005A463A" w:rsidRDefault="005A463A" w:rsidP="005D3BBD">
            <w:pPr>
              <w:pStyle w:val="11"/>
              <w:spacing w:beforeAutospacing="0" w:afterAutospacing="0" w:line="360" w:lineRule="auto"/>
              <w:ind w:left="57"/>
            </w:pPr>
            <w:r>
              <w:t>У пациента с ХЛЛ/ЛМЛ, получающего терапию ограниченной длительности, выполнена оценка терапии по критериям IWCLL 2018 не менее чем через 2 мес. после окончания терапии</w:t>
            </w:r>
          </w:p>
        </w:tc>
        <w:tc>
          <w:tcPr>
            <w:tcW w:w="2552" w:type="dxa"/>
            <w:tcBorders>
              <w:top w:val="single" w:sz="6" w:space="0" w:color="000000"/>
              <w:left w:val="single" w:sz="6" w:space="0" w:color="000000"/>
              <w:bottom w:val="single" w:sz="6" w:space="0" w:color="000000"/>
              <w:right w:val="single" w:sz="6" w:space="0" w:color="000000"/>
            </w:tcBorders>
          </w:tcPr>
          <w:p w14:paraId="3A981B99" w14:textId="77777777" w:rsidR="005A463A" w:rsidRPr="003D069A"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0C234719"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3730D3DC" w14:textId="77777777" w:rsidR="005A463A" w:rsidRDefault="005A463A" w:rsidP="005D3BBD">
            <w:pPr>
              <w:pStyle w:val="11"/>
              <w:spacing w:beforeAutospacing="0" w:afterAutospacing="0" w:line="360" w:lineRule="auto"/>
              <w:ind w:left="57"/>
              <w:jc w:val="center"/>
            </w:pPr>
            <w:r>
              <w:t>7</w:t>
            </w:r>
          </w:p>
        </w:tc>
        <w:tc>
          <w:tcPr>
            <w:tcW w:w="7167" w:type="dxa"/>
            <w:tcBorders>
              <w:top w:val="single" w:sz="6" w:space="0" w:color="000000"/>
              <w:left w:val="single" w:sz="6" w:space="0" w:color="000000"/>
              <w:bottom w:val="single" w:sz="6" w:space="0" w:color="000000"/>
              <w:right w:val="single" w:sz="6" w:space="0" w:color="000000"/>
            </w:tcBorders>
            <w:vAlign w:val="center"/>
          </w:tcPr>
          <w:p w14:paraId="673C6162" w14:textId="77777777" w:rsidR="005A463A" w:rsidRDefault="005A463A" w:rsidP="005D3BBD">
            <w:pPr>
              <w:pStyle w:val="11"/>
              <w:spacing w:beforeAutospacing="0" w:afterAutospacing="0" w:line="360" w:lineRule="auto"/>
              <w:ind w:left="57"/>
            </w:pPr>
            <w:r>
              <w:t xml:space="preserve">У пациента с ХЛЛ/ЛМЛ, получающего непрерывную </w:t>
            </w:r>
            <w:r>
              <w:br/>
              <w:t xml:space="preserve">или поддерживающую терапию, выполнена оценка терапии по критериям IWCLL 2018 не менее чем через </w:t>
            </w:r>
            <w:r>
              <w:br/>
              <w:t>2 мес. после достижения максимального ответа</w:t>
            </w:r>
          </w:p>
        </w:tc>
        <w:tc>
          <w:tcPr>
            <w:tcW w:w="2552" w:type="dxa"/>
            <w:tcBorders>
              <w:top w:val="single" w:sz="6" w:space="0" w:color="000000"/>
              <w:left w:val="single" w:sz="6" w:space="0" w:color="000000"/>
              <w:bottom w:val="single" w:sz="6" w:space="0" w:color="000000"/>
              <w:right w:val="single" w:sz="6" w:space="0" w:color="000000"/>
            </w:tcBorders>
          </w:tcPr>
          <w:p w14:paraId="1270CADD" w14:textId="77777777" w:rsidR="005A463A" w:rsidRPr="003D069A" w:rsidRDefault="005A463A" w:rsidP="005D3BBD">
            <w:pPr>
              <w:pStyle w:val="11"/>
              <w:spacing w:beforeAutospacing="0" w:afterAutospacing="0" w:line="360" w:lineRule="auto"/>
              <w:ind w:left="57"/>
              <w:jc w:val="center"/>
              <w:rPr>
                <w:lang w:val="en-US"/>
              </w:rPr>
            </w:pPr>
            <w:r w:rsidRPr="000B1CED">
              <w:t>Да/Нет</w:t>
            </w:r>
          </w:p>
        </w:tc>
      </w:tr>
    </w:tbl>
    <w:p w14:paraId="406B3025" w14:textId="77777777" w:rsidR="004D7374" w:rsidRDefault="004D7374" w:rsidP="004E3A70"/>
    <w:p w14:paraId="6B22DFC5" w14:textId="77777777" w:rsidR="004D7374" w:rsidRDefault="004D7374" w:rsidP="005D3BBD">
      <w:pPr>
        <w:pStyle w:val="1"/>
        <w:spacing w:before="0" w:after="0"/>
        <w:rPr>
          <w:sz w:val="24"/>
          <w:szCs w:val="24"/>
        </w:rPr>
      </w:pPr>
      <w:bookmarkStart w:id="81" w:name="_Toc520213129"/>
      <w:bookmarkStart w:id="82" w:name="_Toc23601735"/>
      <w:bookmarkStart w:id="83" w:name="_Toc65068825"/>
      <w:r w:rsidRPr="00DB46A1">
        <w:rPr>
          <w:sz w:val="24"/>
          <w:szCs w:val="24"/>
        </w:rPr>
        <w:t>Список литературы</w:t>
      </w:r>
      <w:bookmarkEnd w:id="81"/>
      <w:bookmarkEnd w:id="82"/>
      <w:bookmarkEnd w:id="83"/>
    </w:p>
    <w:p w14:paraId="05AF3298" w14:textId="4A81E0E3" w:rsidR="00BE7F89" w:rsidRPr="00BE7F89" w:rsidRDefault="000B0AC3" w:rsidP="00BE7F89">
      <w:pPr>
        <w:widowControl w:val="0"/>
        <w:autoSpaceDE w:val="0"/>
        <w:autoSpaceDN w:val="0"/>
        <w:adjustRightInd w:val="0"/>
        <w:ind w:left="640" w:hanging="640"/>
        <w:rPr>
          <w:noProof/>
        </w:rPr>
      </w:pPr>
      <w:r>
        <w:fldChar w:fldCharType="begin" w:fldLock="1"/>
      </w:r>
      <w:r w:rsidRPr="0008146B">
        <w:rPr>
          <w:lang w:val="en-US"/>
        </w:rPr>
        <w:instrText xml:space="preserve">ADDIN Mendeley Bibliography CSL_BIBLIOGRAPHY </w:instrText>
      </w:r>
      <w:r>
        <w:fldChar w:fldCharType="separate"/>
      </w:r>
      <w:r w:rsidR="00BE7F89" w:rsidRPr="00BE7F89">
        <w:rPr>
          <w:noProof/>
        </w:rPr>
        <w:t>1.</w:t>
      </w:r>
      <w:r w:rsidR="00BE7F89" w:rsidRPr="00BE7F89">
        <w:rPr>
          <w:noProof/>
        </w:rPr>
        <w:tab/>
        <w:t>Packham G., Stevenson F. The role of the B-cell receptor in the pathogenesis of chronic lymphocytic leukaemia // Seminars in Cancer Biology. 2010. Vol. 20, № 6. P. 391–399.</w:t>
      </w:r>
    </w:p>
    <w:p w14:paraId="2D349363" w14:textId="77777777" w:rsidR="00BE7F89" w:rsidRPr="00BE7F89" w:rsidRDefault="00BE7F89" w:rsidP="00BE7F89">
      <w:pPr>
        <w:widowControl w:val="0"/>
        <w:autoSpaceDE w:val="0"/>
        <w:autoSpaceDN w:val="0"/>
        <w:adjustRightInd w:val="0"/>
        <w:ind w:left="640" w:hanging="640"/>
        <w:rPr>
          <w:noProof/>
        </w:rPr>
      </w:pPr>
      <w:r w:rsidRPr="00BE7F89">
        <w:rPr>
          <w:noProof/>
        </w:rPr>
        <w:t>2.</w:t>
      </w:r>
      <w:r w:rsidRPr="00BE7F89">
        <w:rPr>
          <w:noProof/>
        </w:rPr>
        <w:tab/>
        <w:t>Vardi A. et al. Immunogenetic studies of chronic lymphocytic leukemia: Revelations and speculations about ontogeny and clinical evolution // Cancer Research. American Association for Cancer Research Inc., 2014. Vol. 74, № 16. P. 4211–4216.</w:t>
      </w:r>
    </w:p>
    <w:p w14:paraId="55071036" w14:textId="77777777" w:rsidR="00BE7F89" w:rsidRPr="00BE7F89" w:rsidRDefault="00BE7F89" w:rsidP="00BE7F89">
      <w:pPr>
        <w:widowControl w:val="0"/>
        <w:autoSpaceDE w:val="0"/>
        <w:autoSpaceDN w:val="0"/>
        <w:adjustRightInd w:val="0"/>
        <w:ind w:left="640" w:hanging="640"/>
        <w:rPr>
          <w:noProof/>
        </w:rPr>
      </w:pPr>
      <w:r w:rsidRPr="00BE7F89">
        <w:rPr>
          <w:noProof/>
        </w:rPr>
        <w:t>3.</w:t>
      </w:r>
      <w:r w:rsidRPr="00BE7F89">
        <w:rPr>
          <w:noProof/>
        </w:rPr>
        <w:tab/>
        <w:t>Murray F. et al. Stereotyped patterns of somatic hypermutation in subsets of patients with chronic lymphocytic leukemia: Implications for the role of antigen selection in leukemogenesis // Blood. 2008. Vol. 111, № 3. P. 1524–1533.</w:t>
      </w:r>
    </w:p>
    <w:p w14:paraId="0B05B9E4" w14:textId="77777777" w:rsidR="00BE7F89" w:rsidRPr="00BE7F89" w:rsidRDefault="00BE7F89" w:rsidP="00BE7F89">
      <w:pPr>
        <w:widowControl w:val="0"/>
        <w:autoSpaceDE w:val="0"/>
        <w:autoSpaceDN w:val="0"/>
        <w:adjustRightInd w:val="0"/>
        <w:ind w:left="640" w:hanging="640"/>
        <w:rPr>
          <w:noProof/>
        </w:rPr>
      </w:pPr>
      <w:r w:rsidRPr="00BE7F89">
        <w:rPr>
          <w:noProof/>
        </w:rPr>
        <w:t>4.</w:t>
      </w:r>
      <w:r w:rsidRPr="00BE7F89">
        <w:rPr>
          <w:noProof/>
        </w:rPr>
        <w:tab/>
        <w:t>Strati P., Shanafelt T.D. Monoclonal B-cell lymphocytosis and early-stage chronic lymphocytic leukemia: Diagnosis, natural history, and risk stratification // Blood. American Society of Hematology, 2015. Vol. 126, № 4. P. 454–462.</w:t>
      </w:r>
    </w:p>
    <w:p w14:paraId="75B9243C" w14:textId="77777777" w:rsidR="00BE7F89" w:rsidRPr="00BE7F89" w:rsidRDefault="00BE7F89" w:rsidP="00BE7F89">
      <w:pPr>
        <w:widowControl w:val="0"/>
        <w:autoSpaceDE w:val="0"/>
        <w:autoSpaceDN w:val="0"/>
        <w:adjustRightInd w:val="0"/>
        <w:ind w:left="640" w:hanging="640"/>
        <w:rPr>
          <w:noProof/>
        </w:rPr>
      </w:pPr>
      <w:r w:rsidRPr="00BE7F89">
        <w:rPr>
          <w:noProof/>
        </w:rPr>
        <w:t>5.</w:t>
      </w:r>
      <w:r w:rsidRPr="00BE7F89">
        <w:rPr>
          <w:noProof/>
        </w:rPr>
        <w:tab/>
        <w:t>Zhang S., Kipps T.J. The Pathogenesis of Chronic Lymphocytic Leukemia // Annu. Rev. Pathol. Mech. Dis. 2014. Vol. 9, № 1. P. 103–118.</w:t>
      </w:r>
    </w:p>
    <w:p w14:paraId="5AB00BC7" w14:textId="77777777" w:rsidR="00BE7F89" w:rsidRPr="00BE7F89" w:rsidRDefault="00BE7F89" w:rsidP="00BE7F89">
      <w:pPr>
        <w:widowControl w:val="0"/>
        <w:autoSpaceDE w:val="0"/>
        <w:autoSpaceDN w:val="0"/>
        <w:adjustRightInd w:val="0"/>
        <w:ind w:left="640" w:hanging="640"/>
        <w:rPr>
          <w:noProof/>
        </w:rPr>
      </w:pPr>
      <w:r w:rsidRPr="00BE7F89">
        <w:rPr>
          <w:noProof/>
        </w:rPr>
        <w:t>6.</w:t>
      </w:r>
      <w:r w:rsidRPr="00BE7F89">
        <w:rPr>
          <w:noProof/>
        </w:rPr>
        <w:tab/>
        <w:t>Burger J.A., Chiorazzi N. B cell receptor signaling in chronic lymphocytic leukemia // Trends in Immunology. 2013. Vol. 34, № 12. P. 592–601.</w:t>
      </w:r>
    </w:p>
    <w:p w14:paraId="2EC0C668" w14:textId="77777777" w:rsidR="00BE7F89" w:rsidRPr="00BE7F89" w:rsidRDefault="00BE7F89" w:rsidP="00BE7F89">
      <w:pPr>
        <w:widowControl w:val="0"/>
        <w:autoSpaceDE w:val="0"/>
        <w:autoSpaceDN w:val="0"/>
        <w:adjustRightInd w:val="0"/>
        <w:ind w:left="640" w:hanging="640"/>
        <w:rPr>
          <w:noProof/>
        </w:rPr>
      </w:pPr>
      <w:r w:rsidRPr="00BE7F89">
        <w:rPr>
          <w:noProof/>
        </w:rPr>
        <w:t>7.</w:t>
      </w:r>
      <w:r w:rsidRPr="00BE7F89">
        <w:rPr>
          <w:noProof/>
        </w:rPr>
        <w:tab/>
        <w:t>Morton L.M. et al. Lymphoma incidence patterns by WHO subtype in the United States, 1992-2001 // Blood. 2006. Vol. 107, № 1. P. 265–276.</w:t>
      </w:r>
    </w:p>
    <w:p w14:paraId="348859F3" w14:textId="77777777" w:rsidR="00BE7F89" w:rsidRPr="00BE7F89" w:rsidRDefault="00BE7F89" w:rsidP="00BE7F89">
      <w:pPr>
        <w:widowControl w:val="0"/>
        <w:autoSpaceDE w:val="0"/>
        <w:autoSpaceDN w:val="0"/>
        <w:adjustRightInd w:val="0"/>
        <w:ind w:left="640" w:hanging="640"/>
        <w:rPr>
          <w:noProof/>
        </w:rPr>
      </w:pPr>
      <w:r w:rsidRPr="00BE7F89">
        <w:rPr>
          <w:noProof/>
        </w:rPr>
        <w:t>8.</w:t>
      </w:r>
      <w:r w:rsidRPr="00BE7F89">
        <w:rPr>
          <w:noProof/>
        </w:rPr>
        <w:tab/>
        <w:t>Watson L., Wyld P., Catovsky D. Disease burden of chronic lymphocytic leukaemia within the European Union // Eur. J. Haematol. 2008. Vol. 81, № 4. P. 253–258.</w:t>
      </w:r>
    </w:p>
    <w:p w14:paraId="6DEF94C5" w14:textId="77777777" w:rsidR="00BE7F89" w:rsidRPr="00BE7F89" w:rsidRDefault="00BE7F89" w:rsidP="00BE7F89">
      <w:pPr>
        <w:widowControl w:val="0"/>
        <w:autoSpaceDE w:val="0"/>
        <w:autoSpaceDN w:val="0"/>
        <w:adjustRightInd w:val="0"/>
        <w:ind w:left="640" w:hanging="640"/>
        <w:rPr>
          <w:noProof/>
        </w:rPr>
      </w:pPr>
      <w:r w:rsidRPr="00BE7F89">
        <w:rPr>
          <w:noProof/>
        </w:rPr>
        <w:t>9.</w:t>
      </w:r>
      <w:r w:rsidRPr="00BE7F89">
        <w:rPr>
          <w:noProof/>
        </w:rPr>
        <w:tab/>
        <w:t>Jemal A. et al. Cancer statistics, 2007. // CA. Cancer J. Clin. 2007. Vol. 57, № 1. P. 43–66.</w:t>
      </w:r>
    </w:p>
    <w:p w14:paraId="1B2B2D13" w14:textId="77777777" w:rsidR="00BE7F89" w:rsidRPr="00BE7F89" w:rsidRDefault="00BE7F89" w:rsidP="00BE7F89">
      <w:pPr>
        <w:widowControl w:val="0"/>
        <w:autoSpaceDE w:val="0"/>
        <w:autoSpaceDN w:val="0"/>
        <w:adjustRightInd w:val="0"/>
        <w:ind w:left="640" w:hanging="640"/>
        <w:rPr>
          <w:noProof/>
        </w:rPr>
      </w:pPr>
      <w:r w:rsidRPr="00BE7F89">
        <w:rPr>
          <w:noProof/>
        </w:rPr>
        <w:t>10.</w:t>
      </w:r>
      <w:r w:rsidRPr="00BE7F89">
        <w:rPr>
          <w:noProof/>
        </w:rPr>
        <w:tab/>
        <w:t>Dores G.M. et al. Chronic lymphocytic leukaemia and small lymphocytic lymphoma: Overview of the descriptive epidemiology // Br. J. Haematol. 2007. Vol. 139, № 5. P. 809–819.</w:t>
      </w:r>
    </w:p>
    <w:p w14:paraId="626CEDC5" w14:textId="77777777" w:rsidR="00BE7F89" w:rsidRPr="00BE7F89" w:rsidRDefault="00BE7F89" w:rsidP="00BE7F89">
      <w:pPr>
        <w:widowControl w:val="0"/>
        <w:autoSpaceDE w:val="0"/>
        <w:autoSpaceDN w:val="0"/>
        <w:adjustRightInd w:val="0"/>
        <w:ind w:left="640" w:hanging="640"/>
        <w:rPr>
          <w:noProof/>
        </w:rPr>
      </w:pPr>
      <w:r w:rsidRPr="00BE7F89">
        <w:rPr>
          <w:noProof/>
        </w:rPr>
        <w:t>11.</w:t>
      </w:r>
      <w:r w:rsidRPr="00BE7F89">
        <w:rPr>
          <w:noProof/>
        </w:rPr>
        <w:tab/>
        <w:t>Злокачественные новообразования в России в 2017 году (заболеваемость и смертность). Под ред. А.Д. Каприна, В.В. Старинского, Г.В. Петровой. М.: МНИОИ им. П.А. Герцена – филиал ФГБУ «НМИЦ радиологии» Минздрава России, 2018.</w:t>
      </w:r>
    </w:p>
    <w:p w14:paraId="07EA7D6E" w14:textId="77777777" w:rsidR="00BE7F89" w:rsidRPr="00BE7F89" w:rsidRDefault="00BE7F89" w:rsidP="00BE7F89">
      <w:pPr>
        <w:widowControl w:val="0"/>
        <w:autoSpaceDE w:val="0"/>
        <w:autoSpaceDN w:val="0"/>
        <w:adjustRightInd w:val="0"/>
        <w:ind w:left="640" w:hanging="640"/>
        <w:rPr>
          <w:noProof/>
        </w:rPr>
      </w:pPr>
      <w:r w:rsidRPr="00BE7F89">
        <w:rPr>
          <w:noProof/>
        </w:rPr>
        <w:t>12.</w:t>
      </w:r>
      <w:r w:rsidRPr="00BE7F89">
        <w:rPr>
          <w:noProof/>
        </w:rPr>
        <w:tab/>
        <w:t>Hallek M. et al. iwCLL guidelines for diagnosis, indications for treatment, response assessment, and supportive management of CLL // Blood. American Society of Hematology, 2018. Vol. 131, № 25. P. 2745–2760.</w:t>
      </w:r>
    </w:p>
    <w:p w14:paraId="49DA96CA" w14:textId="77777777" w:rsidR="00BE7F89" w:rsidRPr="00BE7F89" w:rsidRDefault="00BE7F89" w:rsidP="00BE7F89">
      <w:pPr>
        <w:widowControl w:val="0"/>
        <w:autoSpaceDE w:val="0"/>
        <w:autoSpaceDN w:val="0"/>
        <w:adjustRightInd w:val="0"/>
        <w:ind w:left="640" w:hanging="640"/>
        <w:rPr>
          <w:noProof/>
        </w:rPr>
      </w:pPr>
      <w:r w:rsidRPr="00BE7F89">
        <w:rPr>
          <w:noProof/>
        </w:rPr>
        <w:t>13.</w:t>
      </w:r>
      <w:r w:rsidRPr="00BE7F89">
        <w:rPr>
          <w:noProof/>
        </w:rPr>
        <w:tab/>
        <w:t>Armitage J.O. Staging Non-Hodgkin Lymphoma // CA. Cancer J. Clin. Wiley, 2005. Vol. 55, № 6. P. 368–376.</w:t>
      </w:r>
    </w:p>
    <w:p w14:paraId="61D79534" w14:textId="77777777" w:rsidR="00BE7F89" w:rsidRPr="00BE7F89" w:rsidRDefault="00BE7F89" w:rsidP="00BE7F89">
      <w:pPr>
        <w:widowControl w:val="0"/>
        <w:autoSpaceDE w:val="0"/>
        <w:autoSpaceDN w:val="0"/>
        <w:adjustRightInd w:val="0"/>
        <w:ind w:left="640" w:hanging="640"/>
        <w:rPr>
          <w:noProof/>
        </w:rPr>
      </w:pPr>
      <w:r w:rsidRPr="00BE7F89">
        <w:rPr>
          <w:noProof/>
        </w:rPr>
        <w:t>14.</w:t>
      </w:r>
      <w:r w:rsidRPr="00BE7F89">
        <w:rPr>
          <w:noProof/>
        </w:rPr>
        <w:tab/>
        <w:t>An international prognostic index for patients with chronic lymphocytic leukaemia (CLL-IPI): a meta-analysis of individual patient data // Lancet Oncol. Lancet Publishing Group, 2016. Vol. 17, № 6. P. 779–790.</w:t>
      </w:r>
    </w:p>
    <w:p w14:paraId="2683D338" w14:textId="77777777" w:rsidR="00BE7F89" w:rsidRPr="00BE7F89" w:rsidRDefault="00BE7F89" w:rsidP="00BE7F89">
      <w:pPr>
        <w:widowControl w:val="0"/>
        <w:autoSpaceDE w:val="0"/>
        <w:autoSpaceDN w:val="0"/>
        <w:adjustRightInd w:val="0"/>
        <w:ind w:left="640" w:hanging="640"/>
        <w:rPr>
          <w:noProof/>
        </w:rPr>
      </w:pPr>
      <w:r w:rsidRPr="00BE7F89">
        <w:rPr>
          <w:noProof/>
        </w:rPr>
        <w:t>15.</w:t>
      </w:r>
      <w:r w:rsidRPr="00BE7F89">
        <w:rPr>
          <w:noProof/>
        </w:rPr>
        <w:tab/>
        <w:t>Swerdlow S.H. et al. The 2016 revision of the World Health Organization classification of lymphoid neoplasms // Blood. 2016.</w:t>
      </w:r>
    </w:p>
    <w:p w14:paraId="2A4AD154" w14:textId="77777777" w:rsidR="00BE7F89" w:rsidRPr="00BE7F89" w:rsidRDefault="00BE7F89" w:rsidP="00BE7F89">
      <w:pPr>
        <w:widowControl w:val="0"/>
        <w:autoSpaceDE w:val="0"/>
        <w:autoSpaceDN w:val="0"/>
        <w:adjustRightInd w:val="0"/>
        <w:ind w:left="640" w:hanging="640"/>
        <w:rPr>
          <w:noProof/>
        </w:rPr>
      </w:pPr>
      <w:r w:rsidRPr="00BE7F89">
        <w:rPr>
          <w:noProof/>
        </w:rPr>
        <w:t>16.</w:t>
      </w:r>
      <w:r w:rsidRPr="00BE7F89">
        <w:rPr>
          <w:noProof/>
        </w:rPr>
        <w:tab/>
        <w:t>Никитин Е.А. et al. Хронический лимфолейкоз. // Российские клинические рекомендации по диагностике и лечению злокачественных лимфопролиферативных заболеваний; под ред. И.В. Поддубной, В.Г. Савченко. 2018. P. 179–200.</w:t>
      </w:r>
    </w:p>
    <w:p w14:paraId="134D5005" w14:textId="77777777" w:rsidR="00BE7F89" w:rsidRPr="00BE7F89" w:rsidRDefault="00BE7F89" w:rsidP="00BE7F89">
      <w:pPr>
        <w:widowControl w:val="0"/>
        <w:autoSpaceDE w:val="0"/>
        <w:autoSpaceDN w:val="0"/>
        <w:adjustRightInd w:val="0"/>
        <w:ind w:left="640" w:hanging="640"/>
        <w:rPr>
          <w:noProof/>
        </w:rPr>
      </w:pPr>
      <w:r w:rsidRPr="00BE7F89">
        <w:rPr>
          <w:noProof/>
        </w:rPr>
        <w:t>17.</w:t>
      </w:r>
      <w:r w:rsidRPr="00BE7F89">
        <w:rPr>
          <w:noProof/>
        </w:rPr>
        <w:tab/>
        <w:t>Мещерякова Л.Н. et al. Лабораторные возможности дифференциальной диагностики анемий // Онкогематология. 2015. Vol. 10, № 2. P. 46–50.</w:t>
      </w:r>
    </w:p>
    <w:p w14:paraId="180394C1" w14:textId="77777777" w:rsidR="00BE7F89" w:rsidRPr="00BE7F89" w:rsidRDefault="00BE7F89" w:rsidP="00BE7F89">
      <w:pPr>
        <w:widowControl w:val="0"/>
        <w:autoSpaceDE w:val="0"/>
        <w:autoSpaceDN w:val="0"/>
        <w:adjustRightInd w:val="0"/>
        <w:ind w:left="640" w:hanging="640"/>
        <w:rPr>
          <w:noProof/>
        </w:rPr>
      </w:pPr>
      <w:r w:rsidRPr="00BE7F89">
        <w:rPr>
          <w:noProof/>
        </w:rPr>
        <w:t>18.</w:t>
      </w:r>
      <w:r w:rsidRPr="00BE7F89">
        <w:rPr>
          <w:noProof/>
        </w:rPr>
        <w:tab/>
        <w:t>Morice W.G. et al. Predictive value of blood and bone marrow flow cytometry in B-cell lymphoma classification: Comparative analysis of flow cytometry and tissue biopsy in 252 patients // Mayo Clin. Proc. Elsevier Ltd, 2008. Vol. 83, № 7. P. 776–785.</w:t>
      </w:r>
    </w:p>
    <w:p w14:paraId="5C6E67C9" w14:textId="77777777" w:rsidR="00BE7F89" w:rsidRPr="00BE7F89" w:rsidRDefault="00BE7F89" w:rsidP="00BE7F89">
      <w:pPr>
        <w:widowControl w:val="0"/>
        <w:autoSpaceDE w:val="0"/>
        <w:autoSpaceDN w:val="0"/>
        <w:adjustRightInd w:val="0"/>
        <w:ind w:left="640" w:hanging="640"/>
        <w:rPr>
          <w:noProof/>
        </w:rPr>
      </w:pPr>
      <w:r w:rsidRPr="00BE7F89">
        <w:rPr>
          <w:noProof/>
        </w:rPr>
        <w:t>19.</w:t>
      </w:r>
      <w:r w:rsidRPr="00BE7F89">
        <w:rPr>
          <w:noProof/>
        </w:rPr>
        <w:tab/>
        <w:t>Rawstron A.C. et al. Monoclonal B-cell lymphocytosis and chronic lymphocytic leukemia // N. Engl. J. Med. Massachussetts Medical Society, 2008. Vol. 359, № 6. P. 575–583.</w:t>
      </w:r>
    </w:p>
    <w:p w14:paraId="1290624A" w14:textId="77777777" w:rsidR="00BE7F89" w:rsidRPr="00BE7F89" w:rsidRDefault="00BE7F89" w:rsidP="00BE7F89">
      <w:pPr>
        <w:widowControl w:val="0"/>
        <w:autoSpaceDE w:val="0"/>
        <w:autoSpaceDN w:val="0"/>
        <w:adjustRightInd w:val="0"/>
        <w:ind w:left="640" w:hanging="640"/>
        <w:rPr>
          <w:noProof/>
        </w:rPr>
      </w:pPr>
      <w:r w:rsidRPr="00BE7F89">
        <w:rPr>
          <w:noProof/>
        </w:rPr>
        <w:t>20.</w:t>
      </w:r>
      <w:r w:rsidRPr="00BE7F89">
        <w:rPr>
          <w:noProof/>
        </w:rPr>
        <w:tab/>
        <w:t>Molica S., Giannarelli D., Montserrat E. Minimal Residual Disease and Survival Outcomes in Patients With Chronic Lymphocytic Leukemia: A Systematic Review and Meta-analysis. // Clin. Lymphoma. Myeloma Leuk. 2019. Vol. 19, № 7. P. 423–430.</w:t>
      </w:r>
    </w:p>
    <w:p w14:paraId="4817634F" w14:textId="77777777" w:rsidR="00BE7F89" w:rsidRPr="00BE7F89" w:rsidRDefault="00BE7F89" w:rsidP="00BE7F89">
      <w:pPr>
        <w:widowControl w:val="0"/>
        <w:autoSpaceDE w:val="0"/>
        <w:autoSpaceDN w:val="0"/>
        <w:adjustRightInd w:val="0"/>
        <w:ind w:left="640" w:hanging="640"/>
        <w:rPr>
          <w:noProof/>
        </w:rPr>
      </w:pPr>
      <w:r w:rsidRPr="00BE7F89">
        <w:rPr>
          <w:noProof/>
        </w:rPr>
        <w:t>21.</w:t>
      </w:r>
      <w:r w:rsidRPr="00BE7F89">
        <w:rPr>
          <w:noProof/>
        </w:rPr>
        <w:tab/>
        <w:t>Baliakas P. et al. Cytogenetic complexity in chronic lymphocytic leukemia: Definitions, associations, and clinical impact // Blood. American Society of Hematology, 2019. Vol. 133, № 11. P. 1205–1216.</w:t>
      </w:r>
    </w:p>
    <w:p w14:paraId="4449B0E8" w14:textId="77777777" w:rsidR="00BE7F89" w:rsidRPr="00BE7F89" w:rsidRDefault="00BE7F89" w:rsidP="00BE7F89">
      <w:pPr>
        <w:widowControl w:val="0"/>
        <w:autoSpaceDE w:val="0"/>
        <w:autoSpaceDN w:val="0"/>
        <w:adjustRightInd w:val="0"/>
        <w:ind w:left="640" w:hanging="640"/>
        <w:rPr>
          <w:noProof/>
        </w:rPr>
      </w:pPr>
      <w:r w:rsidRPr="00BE7F89">
        <w:rPr>
          <w:noProof/>
        </w:rPr>
        <w:t>22.</w:t>
      </w:r>
      <w:r w:rsidRPr="00BE7F89">
        <w:rPr>
          <w:noProof/>
        </w:rPr>
        <w:tab/>
        <w:t>Rossi D. et al. Occult hepatitis B virus infection of peripheral blood mononuclear cells among treatment-naïve patients with chronic lymphocytic leukemia // Leuk. Lymphoma. 2009. Vol. 50, № 4. P. 604–611.</w:t>
      </w:r>
    </w:p>
    <w:p w14:paraId="5A147AA3" w14:textId="77777777" w:rsidR="00BE7F89" w:rsidRPr="00BE7F89" w:rsidRDefault="00BE7F89" w:rsidP="00BE7F89">
      <w:pPr>
        <w:widowControl w:val="0"/>
        <w:autoSpaceDE w:val="0"/>
        <w:autoSpaceDN w:val="0"/>
        <w:adjustRightInd w:val="0"/>
        <w:ind w:left="640" w:hanging="640"/>
        <w:rPr>
          <w:noProof/>
        </w:rPr>
      </w:pPr>
      <w:r w:rsidRPr="00BE7F89">
        <w:rPr>
          <w:noProof/>
        </w:rPr>
        <w:t>23.</w:t>
      </w:r>
      <w:r w:rsidRPr="00BE7F89">
        <w:rPr>
          <w:noProof/>
        </w:rPr>
        <w:tab/>
        <w:t>Conte M.J. et al. Use of positron emission tomography-computed tomography in the management of patients with chronic lymphocytic leukemia/small lymphocytic lymphoma // Leuk. Lymphoma. Informa Healthcare, 2014. Vol. 55, № 9. P. 2079–2084.</w:t>
      </w:r>
    </w:p>
    <w:p w14:paraId="5EB1AE8F" w14:textId="77777777" w:rsidR="00BE7F89" w:rsidRPr="00BE7F89" w:rsidRDefault="00BE7F89" w:rsidP="00BE7F89">
      <w:pPr>
        <w:widowControl w:val="0"/>
        <w:autoSpaceDE w:val="0"/>
        <w:autoSpaceDN w:val="0"/>
        <w:adjustRightInd w:val="0"/>
        <w:ind w:left="640" w:hanging="640"/>
        <w:rPr>
          <w:noProof/>
        </w:rPr>
      </w:pPr>
      <w:r w:rsidRPr="00BE7F89">
        <w:rPr>
          <w:noProof/>
        </w:rPr>
        <w:t>24.</w:t>
      </w:r>
      <w:r w:rsidRPr="00BE7F89">
        <w:rPr>
          <w:noProof/>
        </w:rPr>
        <w:tab/>
        <w:t>Parikh S.A., Kay N.E., Shanafelt T.D. How we treat Richter syndrome. // Blood. 2014. Vol. 123, № 11. P. 1647–1657.</w:t>
      </w:r>
    </w:p>
    <w:p w14:paraId="61827AA4" w14:textId="77777777" w:rsidR="00BE7F89" w:rsidRPr="00BE7F89" w:rsidRDefault="00BE7F89" w:rsidP="00BE7F89">
      <w:pPr>
        <w:widowControl w:val="0"/>
        <w:autoSpaceDE w:val="0"/>
        <w:autoSpaceDN w:val="0"/>
        <w:adjustRightInd w:val="0"/>
        <w:ind w:left="640" w:hanging="640"/>
        <w:rPr>
          <w:noProof/>
        </w:rPr>
      </w:pPr>
      <w:r w:rsidRPr="00BE7F89">
        <w:rPr>
          <w:noProof/>
        </w:rPr>
        <w:t>25.</w:t>
      </w:r>
      <w:r w:rsidRPr="00BE7F89">
        <w:rPr>
          <w:noProof/>
        </w:rPr>
        <w:tab/>
        <w:t>Bodey G.P., Kontoyiannis D., Keating M.J. Infections in Patients With Chronic Lymphocytic Leukemia // Chronic Lymphocytic Leukemia. Totowa, NJ: Humana Press, 2004. P. 343–359.</w:t>
      </w:r>
    </w:p>
    <w:p w14:paraId="65A7C57C" w14:textId="77777777" w:rsidR="00BE7F89" w:rsidRPr="00BE7F89" w:rsidRDefault="00BE7F89" w:rsidP="00BE7F89">
      <w:pPr>
        <w:widowControl w:val="0"/>
        <w:autoSpaceDE w:val="0"/>
        <w:autoSpaceDN w:val="0"/>
        <w:adjustRightInd w:val="0"/>
        <w:ind w:left="640" w:hanging="640"/>
        <w:rPr>
          <w:noProof/>
        </w:rPr>
      </w:pPr>
      <w:r w:rsidRPr="00BE7F89">
        <w:rPr>
          <w:noProof/>
        </w:rPr>
        <w:t>26.</w:t>
      </w:r>
      <w:r w:rsidRPr="00BE7F89">
        <w:rPr>
          <w:noProof/>
        </w:rPr>
        <w:tab/>
        <w:t>Клясова Г.А. et al. Возбудители сепсиса у иммунокомпрометированных больных: структура и проблемы антибиотикорезистентности (результаты многоцентрового исследования) // Гематология и трансфузиология. 2007. Vol. 52, № 1. P. 11–18.</w:t>
      </w:r>
    </w:p>
    <w:p w14:paraId="70501311" w14:textId="77777777" w:rsidR="00BE7F89" w:rsidRPr="00BE7F89" w:rsidRDefault="00BE7F89" w:rsidP="00BE7F89">
      <w:pPr>
        <w:widowControl w:val="0"/>
        <w:autoSpaceDE w:val="0"/>
        <w:autoSpaceDN w:val="0"/>
        <w:adjustRightInd w:val="0"/>
        <w:ind w:left="640" w:hanging="640"/>
        <w:rPr>
          <w:noProof/>
        </w:rPr>
      </w:pPr>
      <w:r w:rsidRPr="00BE7F89">
        <w:rPr>
          <w:noProof/>
        </w:rPr>
        <w:t>27.</w:t>
      </w:r>
      <w:r w:rsidRPr="00BE7F89">
        <w:rPr>
          <w:noProof/>
        </w:rPr>
        <w:tab/>
        <w:t>Hallek M. et al. Addition of rituximab to fludarabine and cyclophosphamide in patients with chronic lymphocytic leukaemia: A randomised, open-label, phase 3 trial // Lancet. Lancet Publishing Group, 2010. Vol. 376, № 9747. P. 1164–1174.</w:t>
      </w:r>
    </w:p>
    <w:p w14:paraId="4AF85807" w14:textId="77777777" w:rsidR="00BE7F89" w:rsidRPr="00BE7F89" w:rsidRDefault="00BE7F89" w:rsidP="00BE7F89">
      <w:pPr>
        <w:widowControl w:val="0"/>
        <w:autoSpaceDE w:val="0"/>
        <w:autoSpaceDN w:val="0"/>
        <w:adjustRightInd w:val="0"/>
        <w:ind w:left="640" w:hanging="640"/>
        <w:rPr>
          <w:noProof/>
        </w:rPr>
      </w:pPr>
      <w:r w:rsidRPr="00BE7F89">
        <w:rPr>
          <w:noProof/>
        </w:rPr>
        <w:t>28.</w:t>
      </w:r>
      <w:r w:rsidRPr="00BE7F89">
        <w:rPr>
          <w:noProof/>
        </w:rPr>
        <w:tab/>
        <w:t>Fischer K. et al. Long-term remissions after FCR chemoimmunotherapy in previously untreated patients with CLL: Updated results of the CLL8 trial // Blood. American Society of Hematology, 2016. Vol. 127, № 2. P. 208–215.</w:t>
      </w:r>
    </w:p>
    <w:p w14:paraId="3455F144" w14:textId="77777777" w:rsidR="00BE7F89" w:rsidRPr="00BE7F89" w:rsidRDefault="00BE7F89" w:rsidP="00BE7F89">
      <w:pPr>
        <w:widowControl w:val="0"/>
        <w:autoSpaceDE w:val="0"/>
        <w:autoSpaceDN w:val="0"/>
        <w:adjustRightInd w:val="0"/>
        <w:ind w:left="640" w:hanging="640"/>
        <w:rPr>
          <w:noProof/>
        </w:rPr>
      </w:pPr>
      <w:r w:rsidRPr="00BE7F89">
        <w:rPr>
          <w:noProof/>
        </w:rPr>
        <w:t>29.</w:t>
      </w:r>
      <w:r w:rsidRPr="00BE7F89">
        <w:rPr>
          <w:noProof/>
        </w:rPr>
        <w:tab/>
        <w:t>Fischer K. et al. Bendamustine in combination with rituximab for previously untreated patients with chronic lymphocytic leukemia: A multicenter phase II trial of the German Chronic Lymphocytic Leukemia Study Group // J. Clin. Oncol. 2012. Vol. 30, № 26. P. 3209–3216.</w:t>
      </w:r>
    </w:p>
    <w:p w14:paraId="601586AF" w14:textId="77777777" w:rsidR="00BE7F89" w:rsidRPr="00BE7F89" w:rsidRDefault="00BE7F89" w:rsidP="00BE7F89">
      <w:pPr>
        <w:widowControl w:val="0"/>
        <w:autoSpaceDE w:val="0"/>
        <w:autoSpaceDN w:val="0"/>
        <w:adjustRightInd w:val="0"/>
        <w:ind w:left="640" w:hanging="640"/>
        <w:rPr>
          <w:noProof/>
        </w:rPr>
      </w:pPr>
      <w:r w:rsidRPr="00BE7F89">
        <w:rPr>
          <w:noProof/>
        </w:rPr>
        <w:t>30.</w:t>
      </w:r>
      <w:r w:rsidRPr="00BE7F89">
        <w:rPr>
          <w:noProof/>
        </w:rPr>
        <w:tab/>
        <w:t>Eichhorst B. et al. First-line chemoimmunotherapy with bendamustine and rituximab versus fludarabine, cyclophosphamide, and rituximab in patients with advanced chronic lymphocytic leukaemia (CLL10): an international, open-label, randomised, phase 3, non-inferiority trial // Lancet Oncol. Lancet Publishing Group, 2016. Vol. 17, № 7. P. 928–942.</w:t>
      </w:r>
    </w:p>
    <w:p w14:paraId="34DCBE44" w14:textId="77777777" w:rsidR="00BE7F89" w:rsidRPr="00BE7F89" w:rsidRDefault="00BE7F89" w:rsidP="00BE7F89">
      <w:pPr>
        <w:widowControl w:val="0"/>
        <w:autoSpaceDE w:val="0"/>
        <w:autoSpaceDN w:val="0"/>
        <w:adjustRightInd w:val="0"/>
        <w:ind w:left="640" w:hanging="640"/>
        <w:rPr>
          <w:noProof/>
        </w:rPr>
      </w:pPr>
      <w:r w:rsidRPr="00BE7F89">
        <w:rPr>
          <w:noProof/>
        </w:rPr>
        <w:t>31.</w:t>
      </w:r>
      <w:r w:rsidRPr="00BE7F89">
        <w:rPr>
          <w:noProof/>
        </w:rPr>
        <w:tab/>
        <w:t>Sharman J.P. et al. Acalabrutinib with or without obinutuzumab versus chlorambucil and obinutuzmab for treatment-naive chronic lymphocytic leukaemia (ELEVATE TN): a randomised, controlled, phase 3 trial // Lancet. Lancet Publishing Group, 2020. Vol. 395, № 10232. P. 1278–1291.</w:t>
      </w:r>
    </w:p>
    <w:p w14:paraId="137C169D" w14:textId="77777777" w:rsidR="00BE7F89" w:rsidRPr="00BE7F89" w:rsidRDefault="00BE7F89" w:rsidP="00BE7F89">
      <w:pPr>
        <w:widowControl w:val="0"/>
        <w:autoSpaceDE w:val="0"/>
        <w:autoSpaceDN w:val="0"/>
        <w:adjustRightInd w:val="0"/>
        <w:ind w:left="640" w:hanging="640"/>
        <w:rPr>
          <w:noProof/>
        </w:rPr>
      </w:pPr>
      <w:r w:rsidRPr="00BE7F89">
        <w:rPr>
          <w:noProof/>
        </w:rPr>
        <w:t>32.</w:t>
      </w:r>
      <w:r w:rsidRPr="00BE7F89">
        <w:rPr>
          <w:noProof/>
        </w:rPr>
        <w:tab/>
        <w:t>Shanafelt T., Wang V., Kay N. A randomized phase III study of ibrutinib (PCI-32765)-based therapy vs. standard fludarabine, cyclophosphamide, and rituximab (FCR) chemoimmunotherapy in untreated younger patients with chronic lymphocytic leukemia (CLL): a trial of the ECOG-ACRIN Cancer  // ASH Annual Meeting. 2018. P. LBA-4.</w:t>
      </w:r>
    </w:p>
    <w:p w14:paraId="1A7C4BB2" w14:textId="77777777" w:rsidR="00BE7F89" w:rsidRPr="00BE7F89" w:rsidRDefault="00BE7F89" w:rsidP="00BE7F89">
      <w:pPr>
        <w:widowControl w:val="0"/>
        <w:autoSpaceDE w:val="0"/>
        <w:autoSpaceDN w:val="0"/>
        <w:adjustRightInd w:val="0"/>
        <w:ind w:left="640" w:hanging="640"/>
        <w:rPr>
          <w:noProof/>
        </w:rPr>
      </w:pPr>
      <w:r w:rsidRPr="00BE7F89">
        <w:rPr>
          <w:noProof/>
        </w:rPr>
        <w:t>33.</w:t>
      </w:r>
      <w:r w:rsidRPr="00BE7F89">
        <w:rPr>
          <w:noProof/>
        </w:rPr>
        <w:tab/>
        <w:t>Burger J.A. et al. Randomized trial of ibrutinib vs ibrutinib plus rituximab in patients with chronic lymphocytic leukemia. // Blood. 2019. Vol. 133, № 10. P. 1011–1019.</w:t>
      </w:r>
    </w:p>
    <w:p w14:paraId="2D70AA28" w14:textId="77777777" w:rsidR="00BE7F89" w:rsidRPr="00BE7F89" w:rsidRDefault="00BE7F89" w:rsidP="00BE7F89">
      <w:pPr>
        <w:widowControl w:val="0"/>
        <w:autoSpaceDE w:val="0"/>
        <w:autoSpaceDN w:val="0"/>
        <w:adjustRightInd w:val="0"/>
        <w:ind w:left="640" w:hanging="640"/>
        <w:rPr>
          <w:noProof/>
        </w:rPr>
      </w:pPr>
      <w:r w:rsidRPr="00BE7F89">
        <w:rPr>
          <w:noProof/>
        </w:rPr>
        <w:t>34.</w:t>
      </w:r>
      <w:r w:rsidRPr="00BE7F89">
        <w:rPr>
          <w:noProof/>
        </w:rPr>
        <w:tab/>
        <w:t>National Comprehensive Cancer Network. NCCN Practice Guidelines in Oncology. Chronic Lymphocytic Leukemia/Small Lymphocytic Lymphoma. 2019.</w:t>
      </w:r>
    </w:p>
    <w:p w14:paraId="563C86BD" w14:textId="77777777" w:rsidR="00BE7F89" w:rsidRPr="00BE7F89" w:rsidRDefault="00BE7F89" w:rsidP="00BE7F89">
      <w:pPr>
        <w:widowControl w:val="0"/>
        <w:autoSpaceDE w:val="0"/>
        <w:autoSpaceDN w:val="0"/>
        <w:adjustRightInd w:val="0"/>
        <w:ind w:left="640" w:hanging="640"/>
        <w:rPr>
          <w:noProof/>
        </w:rPr>
      </w:pPr>
      <w:r w:rsidRPr="00BE7F89">
        <w:rPr>
          <w:noProof/>
        </w:rPr>
        <w:t>35.</w:t>
      </w:r>
      <w:r w:rsidRPr="00BE7F89">
        <w:rPr>
          <w:noProof/>
        </w:rPr>
        <w:tab/>
        <w:t>Assouline S. et al. Pharmacokinetics, safety, and efficacy of subcutaneous versus intravenous rituximab plus chemotherapy as treatment for chronic lymphocytic leukaemia (SAWYER): a phase 1b, open-label, randomised controlled non-inferiority trial. // Lancet. Haematol. 2016. Vol. 3, № 3. P. e128-38.</w:t>
      </w:r>
    </w:p>
    <w:p w14:paraId="6B09E211" w14:textId="77777777" w:rsidR="00BE7F89" w:rsidRPr="00BE7F89" w:rsidRDefault="00BE7F89" w:rsidP="00BE7F89">
      <w:pPr>
        <w:widowControl w:val="0"/>
        <w:autoSpaceDE w:val="0"/>
        <w:autoSpaceDN w:val="0"/>
        <w:adjustRightInd w:val="0"/>
        <w:ind w:left="640" w:hanging="640"/>
        <w:rPr>
          <w:noProof/>
        </w:rPr>
      </w:pPr>
      <w:r w:rsidRPr="00BE7F89">
        <w:rPr>
          <w:noProof/>
        </w:rPr>
        <w:t>36.</w:t>
      </w:r>
      <w:r w:rsidRPr="00BE7F89">
        <w:rPr>
          <w:noProof/>
        </w:rPr>
        <w:tab/>
        <w:t>Goede V. et al. Obinutuzumab plus chlorambucil in patients with CLL and coexisting conditions // N. Engl. J. Med. Massachussetts Medical Society, 2014. Vol. 370, № 12. P. 1101–1110.</w:t>
      </w:r>
    </w:p>
    <w:p w14:paraId="7532851B" w14:textId="77777777" w:rsidR="00BE7F89" w:rsidRPr="00BE7F89" w:rsidRDefault="00BE7F89" w:rsidP="00BE7F89">
      <w:pPr>
        <w:widowControl w:val="0"/>
        <w:autoSpaceDE w:val="0"/>
        <w:autoSpaceDN w:val="0"/>
        <w:adjustRightInd w:val="0"/>
        <w:ind w:left="640" w:hanging="640"/>
        <w:rPr>
          <w:noProof/>
        </w:rPr>
      </w:pPr>
      <w:r w:rsidRPr="00BE7F89">
        <w:rPr>
          <w:noProof/>
        </w:rPr>
        <w:t>37.</w:t>
      </w:r>
      <w:r w:rsidRPr="00BE7F89">
        <w:rPr>
          <w:noProof/>
        </w:rPr>
        <w:tab/>
        <w:t>Michallet A.S. et al. Rituximab plus bendamustine or chlorambucil for chronic lymphocytic leukemia: Primary analysis of the randomized, open-label mable study // Haematologica. Ferrata Storti Foundation, 2018. Vol. 103, № 4. P. 698–706.</w:t>
      </w:r>
    </w:p>
    <w:p w14:paraId="2E296268" w14:textId="77777777" w:rsidR="00BE7F89" w:rsidRPr="00BE7F89" w:rsidRDefault="00BE7F89" w:rsidP="00BE7F89">
      <w:pPr>
        <w:widowControl w:val="0"/>
        <w:autoSpaceDE w:val="0"/>
        <w:autoSpaceDN w:val="0"/>
        <w:adjustRightInd w:val="0"/>
        <w:ind w:left="640" w:hanging="640"/>
        <w:rPr>
          <w:noProof/>
        </w:rPr>
      </w:pPr>
      <w:r w:rsidRPr="00BE7F89">
        <w:rPr>
          <w:noProof/>
        </w:rPr>
        <w:t>38.</w:t>
      </w:r>
      <w:r w:rsidRPr="00BE7F89">
        <w:rPr>
          <w:noProof/>
        </w:rPr>
        <w:tab/>
        <w:t>Burger J.A. et al. Ibrutinib as initial therapy for patients with chronic lymphocytic leukemia // N. Engl. J. Med. Massachussetts Medical Society, 2015. Vol. 373, № 25. P. 2425–2437.</w:t>
      </w:r>
    </w:p>
    <w:p w14:paraId="04B10487" w14:textId="77777777" w:rsidR="00BE7F89" w:rsidRPr="00BE7F89" w:rsidRDefault="00BE7F89" w:rsidP="00BE7F89">
      <w:pPr>
        <w:widowControl w:val="0"/>
        <w:autoSpaceDE w:val="0"/>
        <w:autoSpaceDN w:val="0"/>
        <w:adjustRightInd w:val="0"/>
        <w:ind w:left="640" w:hanging="640"/>
        <w:rPr>
          <w:noProof/>
        </w:rPr>
      </w:pPr>
      <w:r w:rsidRPr="00BE7F89">
        <w:rPr>
          <w:noProof/>
        </w:rPr>
        <w:t>39.</w:t>
      </w:r>
      <w:r w:rsidRPr="00BE7F89">
        <w:rPr>
          <w:noProof/>
        </w:rPr>
        <w:tab/>
        <w:t>Burger J.A. et al. Ibrutinib for First-Line Treatment of Older Patients With Chronic Lymphocytic Leukemia/Small Lymphocytic Lymphoma (CLL/SLL): A 4-Year Experience From the REASONATE-2 Study // EHA 23 Proceedings. 2018. P. Abstract PF343.</w:t>
      </w:r>
    </w:p>
    <w:p w14:paraId="1607733B" w14:textId="77777777" w:rsidR="00BE7F89" w:rsidRPr="00BE7F89" w:rsidRDefault="00BE7F89" w:rsidP="00BE7F89">
      <w:pPr>
        <w:widowControl w:val="0"/>
        <w:autoSpaceDE w:val="0"/>
        <w:autoSpaceDN w:val="0"/>
        <w:adjustRightInd w:val="0"/>
        <w:ind w:left="640" w:hanging="640"/>
        <w:rPr>
          <w:noProof/>
        </w:rPr>
      </w:pPr>
      <w:r w:rsidRPr="00BE7F89">
        <w:rPr>
          <w:noProof/>
        </w:rPr>
        <w:t>40.</w:t>
      </w:r>
      <w:r w:rsidRPr="00BE7F89">
        <w:rPr>
          <w:noProof/>
        </w:rPr>
        <w:tab/>
        <w:t>Woyach J.A. et al. Ibrutinib Regimens versus Chemoimmunotherapy in Older Patients with Untreated CLL. // N. Engl. J. Med. 2018. Vol. 379, № 26. P. 2517–2528.</w:t>
      </w:r>
    </w:p>
    <w:p w14:paraId="36DC5D26" w14:textId="77777777" w:rsidR="00BE7F89" w:rsidRPr="00BE7F89" w:rsidRDefault="00BE7F89" w:rsidP="00BE7F89">
      <w:pPr>
        <w:widowControl w:val="0"/>
        <w:autoSpaceDE w:val="0"/>
        <w:autoSpaceDN w:val="0"/>
        <w:adjustRightInd w:val="0"/>
        <w:ind w:left="640" w:hanging="640"/>
        <w:rPr>
          <w:noProof/>
        </w:rPr>
      </w:pPr>
      <w:r w:rsidRPr="00BE7F89">
        <w:rPr>
          <w:noProof/>
        </w:rPr>
        <w:t>41.</w:t>
      </w:r>
      <w:r w:rsidRPr="00BE7F89">
        <w:rPr>
          <w:noProof/>
        </w:rPr>
        <w:tab/>
        <w:t>Nikitin E. Randomised Comparison Of FCR-Lite And ClbR (Chlorambucil Plus Rituximab) Regimens In Elderly Patients With Chronic Lymphocytic Leukemia // EHA 18 Proceedings. 2013. P. Abstract NS1147.</w:t>
      </w:r>
    </w:p>
    <w:p w14:paraId="3EEE55EB" w14:textId="77777777" w:rsidR="00BE7F89" w:rsidRPr="00BE7F89" w:rsidRDefault="00BE7F89" w:rsidP="00BE7F89">
      <w:pPr>
        <w:widowControl w:val="0"/>
        <w:autoSpaceDE w:val="0"/>
        <w:autoSpaceDN w:val="0"/>
        <w:adjustRightInd w:val="0"/>
        <w:ind w:left="640" w:hanging="640"/>
        <w:rPr>
          <w:noProof/>
        </w:rPr>
      </w:pPr>
      <w:r w:rsidRPr="00BE7F89">
        <w:rPr>
          <w:noProof/>
        </w:rPr>
        <w:t>42.</w:t>
      </w:r>
      <w:r w:rsidRPr="00BE7F89">
        <w:rPr>
          <w:noProof/>
        </w:rPr>
        <w:tab/>
        <w:t>Foà R. et al. Chlorambucil plus rituximab with or without maintenance rituximab as first-line treatment for elderly chronic lymphocytic leukemia patients // Am. J. Hematol. Wiley-Liss Inc., 2014. Vol. 89, № 5. P. 480–486.</w:t>
      </w:r>
    </w:p>
    <w:p w14:paraId="5862ED6A" w14:textId="77777777" w:rsidR="00BE7F89" w:rsidRPr="00BE7F89" w:rsidRDefault="00BE7F89" w:rsidP="00BE7F89">
      <w:pPr>
        <w:widowControl w:val="0"/>
        <w:autoSpaceDE w:val="0"/>
        <w:autoSpaceDN w:val="0"/>
        <w:adjustRightInd w:val="0"/>
        <w:ind w:left="640" w:hanging="640"/>
        <w:rPr>
          <w:noProof/>
        </w:rPr>
      </w:pPr>
      <w:r w:rsidRPr="00BE7F89">
        <w:rPr>
          <w:noProof/>
        </w:rPr>
        <w:t>43.</w:t>
      </w:r>
      <w:r w:rsidRPr="00BE7F89">
        <w:rPr>
          <w:noProof/>
        </w:rPr>
        <w:tab/>
        <w:t>Hillmen P. et al. Rituximab plus chlorambucil as first-line treatment for chronic lymphocytic leukemia: Final analysis of an open-label phase II study // J. Clin. Oncol. American Society of Clinical Oncology, 2014. Vol. 32, № 12. P. 1236–1241.</w:t>
      </w:r>
    </w:p>
    <w:p w14:paraId="663ADB90" w14:textId="77777777" w:rsidR="00BE7F89" w:rsidRPr="00BE7F89" w:rsidRDefault="00BE7F89" w:rsidP="00BE7F89">
      <w:pPr>
        <w:widowControl w:val="0"/>
        <w:autoSpaceDE w:val="0"/>
        <w:autoSpaceDN w:val="0"/>
        <w:adjustRightInd w:val="0"/>
        <w:ind w:left="640" w:hanging="640"/>
        <w:rPr>
          <w:noProof/>
        </w:rPr>
      </w:pPr>
      <w:r w:rsidRPr="00BE7F89">
        <w:rPr>
          <w:noProof/>
        </w:rPr>
        <w:t>44.</w:t>
      </w:r>
      <w:r w:rsidRPr="00BE7F89">
        <w:rPr>
          <w:noProof/>
        </w:rPr>
        <w:tab/>
        <w:t>Fischer K. et al. Venetoclax and Obinutuzumab in Patients with CLL and Coexisting Conditions // N. Engl. J. Med. Massachussetts Medical Society, 2019. Vol. 380, № 23. P. 2225–2236.</w:t>
      </w:r>
    </w:p>
    <w:p w14:paraId="7B061E44" w14:textId="77777777" w:rsidR="00BE7F89" w:rsidRPr="00BE7F89" w:rsidRDefault="00BE7F89" w:rsidP="00BE7F89">
      <w:pPr>
        <w:widowControl w:val="0"/>
        <w:autoSpaceDE w:val="0"/>
        <w:autoSpaceDN w:val="0"/>
        <w:adjustRightInd w:val="0"/>
        <w:ind w:left="640" w:hanging="640"/>
        <w:rPr>
          <w:noProof/>
        </w:rPr>
      </w:pPr>
      <w:r w:rsidRPr="00BE7F89">
        <w:rPr>
          <w:noProof/>
        </w:rPr>
        <w:t>45.</w:t>
      </w:r>
      <w:r w:rsidRPr="00BE7F89">
        <w:rPr>
          <w:noProof/>
        </w:rPr>
        <w:tab/>
        <w:t>Jones J.A. et al. Venetoclax for chronic lymphocytic leukaemia progressing after ibrutinib: an interim analysis of a multicentre, open-label, phase 2 trial // Lancet Oncol. Lancet Publishing Group, 2018. Vol. 19, № 1. P. 65–75.</w:t>
      </w:r>
    </w:p>
    <w:p w14:paraId="34C419AE" w14:textId="77777777" w:rsidR="00BE7F89" w:rsidRPr="00BE7F89" w:rsidRDefault="00BE7F89" w:rsidP="00BE7F89">
      <w:pPr>
        <w:widowControl w:val="0"/>
        <w:autoSpaceDE w:val="0"/>
        <w:autoSpaceDN w:val="0"/>
        <w:adjustRightInd w:val="0"/>
        <w:ind w:left="640" w:hanging="640"/>
        <w:rPr>
          <w:noProof/>
        </w:rPr>
      </w:pPr>
      <w:r w:rsidRPr="00BE7F89">
        <w:rPr>
          <w:noProof/>
        </w:rPr>
        <w:t>46.</w:t>
      </w:r>
      <w:r w:rsidRPr="00BE7F89">
        <w:rPr>
          <w:noProof/>
        </w:rPr>
        <w:tab/>
        <w:t>Catovsky D., Else M., Richards S. Chlorambucil-still not bad: A reappraisal // Clinical Lymphoma, Myeloma and Leukemia. Elsevier Inc., 2011. Vol. 11, № SUPPL.1. P. S2.</w:t>
      </w:r>
    </w:p>
    <w:p w14:paraId="6219EF2B" w14:textId="77777777" w:rsidR="00BE7F89" w:rsidRPr="00BE7F89" w:rsidRDefault="00BE7F89" w:rsidP="00BE7F89">
      <w:pPr>
        <w:widowControl w:val="0"/>
        <w:autoSpaceDE w:val="0"/>
        <w:autoSpaceDN w:val="0"/>
        <w:adjustRightInd w:val="0"/>
        <w:ind w:left="640" w:hanging="640"/>
        <w:rPr>
          <w:noProof/>
        </w:rPr>
      </w:pPr>
      <w:r w:rsidRPr="00BE7F89">
        <w:rPr>
          <w:noProof/>
        </w:rPr>
        <w:t>47.</w:t>
      </w:r>
      <w:r w:rsidRPr="00BE7F89">
        <w:rPr>
          <w:noProof/>
        </w:rPr>
        <w:tab/>
        <w:t>Hainsworth J.D. et al. Single-agent rituximab as first-line and maintenance treatment for patients with chronic lymphocytic leukemia or small lymphocytic lymphoma: A phase II trial of the Minnie Pearl Cancer Research Network // J. Clin. Oncol. 2003. Vol. 21, № 9. P. 1746–1751.</w:t>
      </w:r>
    </w:p>
    <w:p w14:paraId="17F91EFD" w14:textId="77777777" w:rsidR="00BE7F89" w:rsidRPr="00BE7F89" w:rsidRDefault="00BE7F89" w:rsidP="00BE7F89">
      <w:pPr>
        <w:widowControl w:val="0"/>
        <w:autoSpaceDE w:val="0"/>
        <w:autoSpaceDN w:val="0"/>
        <w:adjustRightInd w:val="0"/>
        <w:ind w:left="640" w:hanging="640"/>
        <w:rPr>
          <w:noProof/>
        </w:rPr>
      </w:pPr>
      <w:r w:rsidRPr="00BE7F89">
        <w:rPr>
          <w:noProof/>
        </w:rPr>
        <w:t>48.</w:t>
      </w:r>
      <w:r w:rsidRPr="00BE7F89">
        <w:rPr>
          <w:noProof/>
        </w:rPr>
        <w:tab/>
        <w:t>Rogers A., Woyach J.A. BTK inhibitors and anti-CD20 monoclonal antibodies for treatment-naïve elderly patients with CLL // Ther. Adv. Hematol. SAGE Publications, 2020. Vol. 11. P. 204062072091299.</w:t>
      </w:r>
    </w:p>
    <w:p w14:paraId="4B2685A2" w14:textId="77777777" w:rsidR="00BE7F89" w:rsidRPr="00BE7F89" w:rsidRDefault="00BE7F89" w:rsidP="00BE7F89">
      <w:pPr>
        <w:widowControl w:val="0"/>
        <w:autoSpaceDE w:val="0"/>
        <w:autoSpaceDN w:val="0"/>
        <w:adjustRightInd w:val="0"/>
        <w:ind w:left="640" w:hanging="640"/>
        <w:rPr>
          <w:noProof/>
        </w:rPr>
      </w:pPr>
      <w:r w:rsidRPr="00BE7F89">
        <w:rPr>
          <w:noProof/>
        </w:rPr>
        <w:t>49.</w:t>
      </w:r>
      <w:r w:rsidRPr="00BE7F89">
        <w:rPr>
          <w:noProof/>
        </w:rPr>
        <w:tab/>
        <w:t>Michallet A.-S. et al. Ibrutinib in very elderly patients with relapsed/refractory chronic lymphocytic leukemia: A real-world experience of 71 patients treated in France: A study from the French Innovative Leukemia Organization (FILO) group. // Am. J. Hematol. 2017. Vol. 92, № 6. P. E105–E107.</w:t>
      </w:r>
    </w:p>
    <w:p w14:paraId="1FE17AC2" w14:textId="77777777" w:rsidR="00BE7F89" w:rsidRPr="00BE7F89" w:rsidRDefault="00BE7F89" w:rsidP="00BE7F89">
      <w:pPr>
        <w:widowControl w:val="0"/>
        <w:autoSpaceDE w:val="0"/>
        <w:autoSpaceDN w:val="0"/>
        <w:adjustRightInd w:val="0"/>
        <w:ind w:left="640" w:hanging="640"/>
        <w:rPr>
          <w:noProof/>
        </w:rPr>
      </w:pPr>
      <w:r w:rsidRPr="00BE7F89">
        <w:rPr>
          <w:noProof/>
        </w:rPr>
        <w:t>50.</w:t>
      </w:r>
      <w:r w:rsidRPr="00BE7F89">
        <w:rPr>
          <w:noProof/>
        </w:rPr>
        <w:tab/>
        <w:t>Burger J.A. et al. Safety and activity of ibrutinib plus rituximab for patients with high-risk chronic lymphocytic leukaemia: A single-arm, phase 2 study // Lancet Oncol. Lancet Publishing Group, 2014. Vol. 15, № 10. P. 1090–1099.</w:t>
      </w:r>
    </w:p>
    <w:p w14:paraId="282F3553" w14:textId="77777777" w:rsidR="00BE7F89" w:rsidRPr="00BE7F89" w:rsidRDefault="00BE7F89" w:rsidP="00BE7F89">
      <w:pPr>
        <w:widowControl w:val="0"/>
        <w:autoSpaceDE w:val="0"/>
        <w:autoSpaceDN w:val="0"/>
        <w:adjustRightInd w:val="0"/>
        <w:ind w:left="640" w:hanging="640"/>
        <w:rPr>
          <w:noProof/>
        </w:rPr>
      </w:pPr>
      <w:r w:rsidRPr="00BE7F89">
        <w:rPr>
          <w:noProof/>
        </w:rPr>
        <w:t>51.</w:t>
      </w:r>
      <w:r w:rsidRPr="00BE7F89">
        <w:rPr>
          <w:noProof/>
        </w:rPr>
        <w:tab/>
        <w:t>Sorror M.L. et al. Five-year follow-up of patients with advanced chronic lymphocytic leukemia treated with allogeneic hematopoietic cell transplantation after nonmyeloablative conditioning // J. Clin. Oncol. 2008. Vol. 26, № 30. P. 4912–4920.</w:t>
      </w:r>
    </w:p>
    <w:p w14:paraId="361D8A9E" w14:textId="77777777" w:rsidR="00BE7F89" w:rsidRPr="00BE7F89" w:rsidRDefault="00BE7F89" w:rsidP="00BE7F89">
      <w:pPr>
        <w:widowControl w:val="0"/>
        <w:autoSpaceDE w:val="0"/>
        <w:autoSpaceDN w:val="0"/>
        <w:adjustRightInd w:val="0"/>
        <w:ind w:left="640" w:hanging="640"/>
        <w:rPr>
          <w:noProof/>
        </w:rPr>
      </w:pPr>
      <w:r w:rsidRPr="00BE7F89">
        <w:rPr>
          <w:noProof/>
        </w:rPr>
        <w:t>52.</w:t>
      </w:r>
      <w:r w:rsidRPr="00BE7F89">
        <w:rPr>
          <w:noProof/>
        </w:rPr>
        <w:tab/>
        <w:t>Dreger P. et al. Allogeneic stem cell transplantation provides durable disease control in poor-risk chronic lymphocytic leukemia: Long-term clinical and MRD results of the German CLL Study Group CLL3X trial // Blood. 2010. Vol. 116, № 14. P. 2438–2447.</w:t>
      </w:r>
    </w:p>
    <w:p w14:paraId="265BA498" w14:textId="77777777" w:rsidR="00BE7F89" w:rsidRPr="00BE7F89" w:rsidRDefault="00BE7F89" w:rsidP="00BE7F89">
      <w:pPr>
        <w:widowControl w:val="0"/>
        <w:autoSpaceDE w:val="0"/>
        <w:autoSpaceDN w:val="0"/>
        <w:adjustRightInd w:val="0"/>
        <w:ind w:left="640" w:hanging="640"/>
        <w:rPr>
          <w:noProof/>
        </w:rPr>
      </w:pPr>
      <w:r w:rsidRPr="00BE7F89">
        <w:rPr>
          <w:noProof/>
        </w:rPr>
        <w:t>53.</w:t>
      </w:r>
      <w:r w:rsidRPr="00BE7F89">
        <w:rPr>
          <w:noProof/>
        </w:rPr>
        <w:tab/>
        <w:t>Stilgenbauer S. et al. Venetoclax in relapsed or refractory chronic lymphocytic leukaemia with 17p deletion: a multicentre, open-label, phase 2 study // Lancet Oncol. Lancet Publishing Group, 2016. Vol. 17, № 6. P. 768–778.</w:t>
      </w:r>
    </w:p>
    <w:p w14:paraId="24C622DA" w14:textId="77777777" w:rsidR="00BE7F89" w:rsidRPr="00BE7F89" w:rsidRDefault="00BE7F89" w:rsidP="00BE7F89">
      <w:pPr>
        <w:widowControl w:val="0"/>
        <w:autoSpaceDE w:val="0"/>
        <w:autoSpaceDN w:val="0"/>
        <w:adjustRightInd w:val="0"/>
        <w:ind w:left="640" w:hanging="640"/>
        <w:rPr>
          <w:noProof/>
        </w:rPr>
      </w:pPr>
      <w:r w:rsidRPr="00BE7F89">
        <w:rPr>
          <w:noProof/>
        </w:rPr>
        <w:t>54.</w:t>
      </w:r>
      <w:r w:rsidRPr="00BE7F89">
        <w:rPr>
          <w:noProof/>
        </w:rPr>
        <w:tab/>
        <w:t>Tam C.S. et al. Life After FCR: Outcomes of patients with chronic lymphocytic leukemia who progress after frontline treatment with Fludarabine, Cyclophosphamide and Rituximab. // Blood. 2014. P. 3059–3064.</w:t>
      </w:r>
    </w:p>
    <w:p w14:paraId="6033D18C" w14:textId="77777777" w:rsidR="00BE7F89" w:rsidRPr="00BE7F89" w:rsidRDefault="00BE7F89" w:rsidP="00BE7F89">
      <w:pPr>
        <w:widowControl w:val="0"/>
        <w:autoSpaceDE w:val="0"/>
        <w:autoSpaceDN w:val="0"/>
        <w:adjustRightInd w:val="0"/>
        <w:ind w:left="640" w:hanging="640"/>
        <w:rPr>
          <w:noProof/>
        </w:rPr>
      </w:pPr>
      <w:r w:rsidRPr="00BE7F89">
        <w:rPr>
          <w:noProof/>
        </w:rPr>
        <w:t>55.</w:t>
      </w:r>
      <w:r w:rsidRPr="00BE7F89">
        <w:rPr>
          <w:noProof/>
        </w:rPr>
        <w:tab/>
        <w:t>Fischer K. et al. Bendamustine combined with rituximab in patients with relapsed and/or refractory chronic lymphocytic leukemia: A Multicenter Phase II trial of the German Chronic Lymphocytic Leukemia Study Group // J. Clin. Oncol. 2011. Vol. 29, № 26. P. 3559–3566.</w:t>
      </w:r>
    </w:p>
    <w:p w14:paraId="3EFAC538" w14:textId="77777777" w:rsidR="00BE7F89" w:rsidRPr="00BE7F89" w:rsidRDefault="00BE7F89" w:rsidP="00BE7F89">
      <w:pPr>
        <w:widowControl w:val="0"/>
        <w:autoSpaceDE w:val="0"/>
        <w:autoSpaceDN w:val="0"/>
        <w:adjustRightInd w:val="0"/>
        <w:ind w:left="640" w:hanging="640"/>
        <w:rPr>
          <w:noProof/>
        </w:rPr>
      </w:pPr>
      <w:r w:rsidRPr="00BE7F89">
        <w:rPr>
          <w:noProof/>
        </w:rPr>
        <w:t>56.</w:t>
      </w:r>
      <w:r w:rsidRPr="00BE7F89">
        <w:rPr>
          <w:noProof/>
        </w:rPr>
        <w:tab/>
        <w:t>Byrd J.C. et al. Ibrutinib versus ofatumumab in previously treated chronic lymphoid leukemia. // N. Engl. J. Med. 2014. Vol. 371, № 3. P. 213–223.</w:t>
      </w:r>
    </w:p>
    <w:p w14:paraId="356CDB9F" w14:textId="77777777" w:rsidR="00BE7F89" w:rsidRPr="00BE7F89" w:rsidRDefault="00BE7F89" w:rsidP="00BE7F89">
      <w:pPr>
        <w:widowControl w:val="0"/>
        <w:autoSpaceDE w:val="0"/>
        <w:autoSpaceDN w:val="0"/>
        <w:adjustRightInd w:val="0"/>
        <w:ind w:left="640" w:hanging="640"/>
        <w:rPr>
          <w:noProof/>
        </w:rPr>
      </w:pPr>
      <w:r w:rsidRPr="00BE7F89">
        <w:rPr>
          <w:noProof/>
        </w:rPr>
        <w:t>57.</w:t>
      </w:r>
      <w:r w:rsidRPr="00BE7F89">
        <w:rPr>
          <w:noProof/>
        </w:rPr>
        <w:tab/>
        <w:t>Moreno C. et al. Ibrutinib in previously treated chronic lymphocytic leukemia: updated efficacy and safety of the RESONATE study with up to four years of follow-up // EHA 22 Proceedings. 2017. P. Abstract S769.</w:t>
      </w:r>
    </w:p>
    <w:p w14:paraId="2C323A48" w14:textId="77777777" w:rsidR="00BE7F89" w:rsidRPr="00BE7F89" w:rsidRDefault="00BE7F89" w:rsidP="00BE7F89">
      <w:pPr>
        <w:widowControl w:val="0"/>
        <w:autoSpaceDE w:val="0"/>
        <w:autoSpaceDN w:val="0"/>
        <w:adjustRightInd w:val="0"/>
        <w:ind w:left="640" w:hanging="640"/>
        <w:rPr>
          <w:noProof/>
        </w:rPr>
      </w:pPr>
      <w:r w:rsidRPr="00BE7F89">
        <w:rPr>
          <w:noProof/>
        </w:rPr>
        <w:t>58.</w:t>
      </w:r>
      <w:r w:rsidRPr="00BE7F89">
        <w:rPr>
          <w:noProof/>
        </w:rPr>
        <w:tab/>
        <w:t>Chanan-Khan A. et al. Ibrutinib combined with bendamustine and rituximab compared with placebo, bendamustine, and rituximab for previously treated chronic lymphocytic leukaemia or small lymphocytic lymphoma (HELIOS): A randomised, double-blind, phase 3 study // Lancet Oncol. Lancet Publishing Group, 2016. Vol. 17, № 2. P. 200–211.</w:t>
      </w:r>
    </w:p>
    <w:p w14:paraId="1DF295A1" w14:textId="77777777" w:rsidR="00BE7F89" w:rsidRPr="00BE7F89" w:rsidRDefault="00BE7F89" w:rsidP="00BE7F89">
      <w:pPr>
        <w:widowControl w:val="0"/>
        <w:autoSpaceDE w:val="0"/>
        <w:autoSpaceDN w:val="0"/>
        <w:adjustRightInd w:val="0"/>
        <w:ind w:left="640" w:hanging="640"/>
        <w:rPr>
          <w:noProof/>
        </w:rPr>
      </w:pPr>
      <w:r w:rsidRPr="00BE7F89">
        <w:rPr>
          <w:noProof/>
        </w:rPr>
        <w:t>59.</w:t>
      </w:r>
      <w:r w:rsidRPr="00BE7F89">
        <w:rPr>
          <w:noProof/>
        </w:rPr>
        <w:tab/>
        <w:t>Hallek M. et al. Three-year follow-up of patients with previously treated chronic lymphocytic leukemia (CLL) or small lymphocytic lymphoma (SLL) receiving ibrutinib plus bendamustine and rituximab (BR) versus placebo plus BR: an update of the HELIOS study. // Leuk. Lymphoma. 2017. Vol. 58. P. 192–194.</w:t>
      </w:r>
    </w:p>
    <w:p w14:paraId="7E63012D" w14:textId="77777777" w:rsidR="00BE7F89" w:rsidRPr="00BE7F89" w:rsidRDefault="00BE7F89" w:rsidP="00BE7F89">
      <w:pPr>
        <w:widowControl w:val="0"/>
        <w:autoSpaceDE w:val="0"/>
        <w:autoSpaceDN w:val="0"/>
        <w:adjustRightInd w:val="0"/>
        <w:ind w:left="640" w:hanging="640"/>
        <w:rPr>
          <w:noProof/>
        </w:rPr>
      </w:pPr>
      <w:r w:rsidRPr="00BE7F89">
        <w:rPr>
          <w:noProof/>
        </w:rPr>
        <w:t>60.</w:t>
      </w:r>
      <w:r w:rsidRPr="00BE7F89">
        <w:rPr>
          <w:noProof/>
        </w:rPr>
        <w:tab/>
        <w:t>Ghia P. et al. ASCEND: Phase III, Randomized Trial of Acalabrutinib Versus Idelalisib Plus Rituximab or Bendamustine Plus Rituximab in Relapsed or Refractory Chronic Lymphocytic Leukemia // J. Clin. Oncol. American Society of Clinical Oncology (ASCO), 2020. Vol. 38, № 25. P. JCO.19.03355.</w:t>
      </w:r>
    </w:p>
    <w:p w14:paraId="37310453" w14:textId="77777777" w:rsidR="00BE7F89" w:rsidRPr="00BE7F89" w:rsidRDefault="00BE7F89" w:rsidP="00BE7F89">
      <w:pPr>
        <w:widowControl w:val="0"/>
        <w:autoSpaceDE w:val="0"/>
        <w:autoSpaceDN w:val="0"/>
        <w:adjustRightInd w:val="0"/>
        <w:ind w:left="640" w:hanging="640"/>
        <w:rPr>
          <w:noProof/>
        </w:rPr>
      </w:pPr>
      <w:r w:rsidRPr="00BE7F89">
        <w:rPr>
          <w:noProof/>
        </w:rPr>
        <w:t>61.</w:t>
      </w:r>
      <w:r w:rsidRPr="00BE7F89">
        <w:rPr>
          <w:noProof/>
        </w:rPr>
        <w:tab/>
        <w:t>Seymour J.F. et al. Venetoclax-Rituximab in Relapsed or Refractory Chronic Lymphocytic Leukemia. // N. Engl. J. Med. 2018. Vol. 378, № 12. P. 1107–1120.</w:t>
      </w:r>
    </w:p>
    <w:p w14:paraId="6E7FAA0F" w14:textId="77777777" w:rsidR="00BE7F89" w:rsidRPr="00BE7F89" w:rsidRDefault="00BE7F89" w:rsidP="00BE7F89">
      <w:pPr>
        <w:widowControl w:val="0"/>
        <w:autoSpaceDE w:val="0"/>
        <w:autoSpaceDN w:val="0"/>
        <w:adjustRightInd w:val="0"/>
        <w:ind w:left="640" w:hanging="640"/>
        <w:rPr>
          <w:noProof/>
        </w:rPr>
      </w:pPr>
      <w:r w:rsidRPr="00BE7F89">
        <w:rPr>
          <w:noProof/>
        </w:rPr>
        <w:t>62.</w:t>
      </w:r>
      <w:r w:rsidRPr="00BE7F89">
        <w:rPr>
          <w:noProof/>
        </w:rPr>
        <w:tab/>
        <w:t>Castro J.E. et al. Rituximab in combination with high-dose methylprednisolone for the treatment of chronic lymphocytic leukemia // Leukemia. Nature Publishing Group, 2009. Vol. 23, № 10. P. 1779–1789.</w:t>
      </w:r>
    </w:p>
    <w:p w14:paraId="32ABED59" w14:textId="77777777" w:rsidR="00BE7F89" w:rsidRPr="00BE7F89" w:rsidRDefault="00BE7F89" w:rsidP="00BE7F89">
      <w:pPr>
        <w:widowControl w:val="0"/>
        <w:autoSpaceDE w:val="0"/>
        <w:autoSpaceDN w:val="0"/>
        <w:adjustRightInd w:val="0"/>
        <w:ind w:left="640" w:hanging="640"/>
        <w:rPr>
          <w:noProof/>
        </w:rPr>
      </w:pPr>
      <w:r w:rsidRPr="00BE7F89">
        <w:rPr>
          <w:noProof/>
        </w:rPr>
        <w:t>63.</w:t>
      </w:r>
      <w:r w:rsidRPr="00BE7F89">
        <w:rPr>
          <w:noProof/>
        </w:rPr>
        <w:tab/>
        <w:t>Awan F.T. et al. Acalabrutinib monotherapy in patients with chronic lymphocytic leukemia who are intolerant to ibrutinib // Blood Adv. American Society of Hematology, 2019. Vol. 3, № 9. P. 1553–1562.</w:t>
      </w:r>
    </w:p>
    <w:p w14:paraId="08BD3864" w14:textId="77777777" w:rsidR="00BE7F89" w:rsidRPr="00BE7F89" w:rsidRDefault="00BE7F89" w:rsidP="00BE7F89">
      <w:pPr>
        <w:widowControl w:val="0"/>
        <w:autoSpaceDE w:val="0"/>
        <w:autoSpaceDN w:val="0"/>
        <w:adjustRightInd w:val="0"/>
        <w:ind w:left="640" w:hanging="640"/>
        <w:rPr>
          <w:noProof/>
        </w:rPr>
      </w:pPr>
      <w:r w:rsidRPr="00BE7F89">
        <w:rPr>
          <w:noProof/>
        </w:rPr>
        <w:t>64.</w:t>
      </w:r>
      <w:r w:rsidRPr="00BE7F89">
        <w:rPr>
          <w:noProof/>
        </w:rPr>
        <w:tab/>
        <w:t>Raanani P. et al. Immunoglobulin prophylaxis in chronic lymphocytic leukemia and multiple myeloma: systematic review and meta-analysis. // Leuk. Lymphoma. 2009. Vol. 50, № 5. P. 764–772.</w:t>
      </w:r>
    </w:p>
    <w:p w14:paraId="5E290BA0" w14:textId="77777777" w:rsidR="00BE7F89" w:rsidRPr="00BE7F89" w:rsidRDefault="00BE7F89" w:rsidP="00BE7F89">
      <w:pPr>
        <w:widowControl w:val="0"/>
        <w:autoSpaceDE w:val="0"/>
        <w:autoSpaceDN w:val="0"/>
        <w:adjustRightInd w:val="0"/>
        <w:ind w:left="640" w:hanging="640"/>
        <w:rPr>
          <w:noProof/>
        </w:rPr>
      </w:pPr>
      <w:r w:rsidRPr="00BE7F89">
        <w:rPr>
          <w:noProof/>
        </w:rPr>
        <w:t>65.</w:t>
      </w:r>
      <w:r w:rsidRPr="00BE7F89">
        <w:rPr>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289–311.</w:t>
      </w:r>
    </w:p>
    <w:p w14:paraId="67AFD4E9" w14:textId="77777777" w:rsidR="00BE7F89" w:rsidRPr="00BE7F89" w:rsidRDefault="00BE7F89" w:rsidP="00BE7F89">
      <w:pPr>
        <w:widowControl w:val="0"/>
        <w:autoSpaceDE w:val="0"/>
        <w:autoSpaceDN w:val="0"/>
        <w:adjustRightInd w:val="0"/>
        <w:ind w:left="640" w:hanging="640"/>
        <w:rPr>
          <w:noProof/>
        </w:rPr>
      </w:pPr>
      <w:r w:rsidRPr="00BE7F89">
        <w:rPr>
          <w:noProof/>
        </w:rPr>
        <w:t>66.</w:t>
      </w:r>
      <w:r w:rsidRPr="00BE7F89">
        <w:rPr>
          <w:noProof/>
        </w:rPr>
        <w:tab/>
        <w:t>Rubin L.G. et al. 2013 IDSA clinical practice guideline for vaccination of the immunocompromised host. // Clin. Infect. Dis. 2014. Vol. 58, № 3. P. 309–318.</w:t>
      </w:r>
    </w:p>
    <w:p w14:paraId="5F87DC0A" w14:textId="77777777" w:rsidR="00BE7F89" w:rsidRPr="00BE7F89" w:rsidRDefault="00BE7F89" w:rsidP="00BE7F89">
      <w:pPr>
        <w:widowControl w:val="0"/>
        <w:autoSpaceDE w:val="0"/>
        <w:autoSpaceDN w:val="0"/>
        <w:adjustRightInd w:val="0"/>
        <w:ind w:left="640" w:hanging="640"/>
        <w:rPr>
          <w:noProof/>
        </w:rPr>
      </w:pPr>
      <w:r w:rsidRPr="00BE7F89">
        <w:rPr>
          <w:noProof/>
        </w:rPr>
        <w:t>67.</w:t>
      </w:r>
      <w:r w:rsidRPr="00BE7F89">
        <w:rPr>
          <w:noProof/>
        </w:rPr>
        <w:tab/>
        <w:t>Sinisalo M. et al. Response to vaccination against different types of antigens in patients with chronic lymphocytic leukaemia. // Br. J. Haematol. 2001. Vol. 114, № 1. P. 107–110.</w:t>
      </w:r>
    </w:p>
    <w:p w14:paraId="7A114CF6" w14:textId="77777777" w:rsidR="00BE7F89" w:rsidRPr="00BE7F89" w:rsidRDefault="00BE7F89" w:rsidP="00BE7F89">
      <w:pPr>
        <w:widowControl w:val="0"/>
        <w:autoSpaceDE w:val="0"/>
        <w:autoSpaceDN w:val="0"/>
        <w:adjustRightInd w:val="0"/>
        <w:ind w:left="640" w:hanging="640"/>
        <w:rPr>
          <w:noProof/>
        </w:rPr>
      </w:pPr>
      <w:r w:rsidRPr="00BE7F89">
        <w:rPr>
          <w:noProof/>
        </w:rPr>
        <w:t>68.</w:t>
      </w:r>
      <w:r w:rsidRPr="00BE7F89">
        <w:rPr>
          <w:noProof/>
        </w:rPr>
        <w:tab/>
        <w:t>Busti F. et al. Anemia and iron deficiency in cancer patients: Role of iron replacement therapy // Pharmaceuticals. MDPI AG, 2018. Vol. 11, № 4.</w:t>
      </w:r>
    </w:p>
    <w:p w14:paraId="04C277B3" w14:textId="77777777" w:rsidR="00BE7F89" w:rsidRPr="00BE7F89" w:rsidRDefault="00BE7F89" w:rsidP="00BE7F89">
      <w:pPr>
        <w:widowControl w:val="0"/>
        <w:autoSpaceDE w:val="0"/>
        <w:autoSpaceDN w:val="0"/>
        <w:adjustRightInd w:val="0"/>
        <w:ind w:left="640" w:hanging="640"/>
        <w:rPr>
          <w:noProof/>
        </w:rPr>
      </w:pPr>
      <w:r w:rsidRPr="00BE7F89">
        <w:rPr>
          <w:noProof/>
        </w:rPr>
        <w:t>69.</w:t>
      </w:r>
      <w:r w:rsidRPr="00BE7F89">
        <w:rPr>
          <w:noProof/>
        </w:rPr>
        <w:tab/>
        <w:t>Rai K.R., Stilgenbauer S. Overview of the complications of chronic lymphocytic leukemia [Electronic resource]. URL: https://www.uptodate.com/contents/overview-of-the-complications-of-chronic-lymphocytic-leukemia (accessed: 30.10.2020).</w:t>
      </w:r>
    </w:p>
    <w:p w14:paraId="3376CB18" w14:textId="77777777" w:rsidR="00BE7F89" w:rsidRPr="00BE7F89" w:rsidRDefault="00BE7F89" w:rsidP="00BE7F89">
      <w:pPr>
        <w:widowControl w:val="0"/>
        <w:autoSpaceDE w:val="0"/>
        <w:autoSpaceDN w:val="0"/>
        <w:adjustRightInd w:val="0"/>
        <w:ind w:left="640" w:hanging="640"/>
        <w:rPr>
          <w:noProof/>
        </w:rPr>
      </w:pPr>
      <w:r w:rsidRPr="00BE7F89">
        <w:rPr>
          <w:noProof/>
        </w:rPr>
        <w:t>70.</w:t>
      </w:r>
      <w:r w:rsidRPr="00BE7F89">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6F5A32FB" w14:textId="77777777" w:rsidR="00BE7F89" w:rsidRPr="00BE7F89" w:rsidRDefault="00BE7F89" w:rsidP="00BE7F89">
      <w:pPr>
        <w:widowControl w:val="0"/>
        <w:autoSpaceDE w:val="0"/>
        <w:autoSpaceDN w:val="0"/>
        <w:adjustRightInd w:val="0"/>
        <w:ind w:left="640" w:hanging="640"/>
        <w:rPr>
          <w:noProof/>
        </w:rPr>
      </w:pPr>
      <w:r w:rsidRPr="00BE7F89">
        <w:rPr>
          <w:noProof/>
        </w:rPr>
        <w:t>71.</w:t>
      </w:r>
      <w:r w:rsidRPr="00BE7F89">
        <w:rPr>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278–288.</w:t>
      </w:r>
    </w:p>
    <w:p w14:paraId="7262AA29" w14:textId="77777777" w:rsidR="00BE7F89" w:rsidRPr="00BE7F89" w:rsidRDefault="00BE7F89" w:rsidP="00BE7F89">
      <w:pPr>
        <w:widowControl w:val="0"/>
        <w:autoSpaceDE w:val="0"/>
        <w:autoSpaceDN w:val="0"/>
        <w:adjustRightInd w:val="0"/>
        <w:ind w:left="640" w:hanging="640"/>
        <w:rPr>
          <w:noProof/>
        </w:rPr>
      </w:pPr>
      <w:r w:rsidRPr="00BE7F89">
        <w:rPr>
          <w:noProof/>
        </w:rPr>
        <w:t>72.</w:t>
      </w:r>
      <w:r w:rsidRPr="00BE7F89">
        <w:rPr>
          <w:noProof/>
        </w:rPr>
        <w:tab/>
        <w:t>Paul K.L. Rehabilitation and exercise considerations in hematologic malignancies. // Am. J. Phys. Med. Rehabil. 2011. Vol. 90, № 5 Suppl 1. P. S88-94.</w:t>
      </w:r>
    </w:p>
    <w:p w14:paraId="4E26E526" w14:textId="77777777" w:rsidR="00BE7F89" w:rsidRPr="00BE7F89" w:rsidRDefault="00BE7F89" w:rsidP="00BE7F89">
      <w:pPr>
        <w:widowControl w:val="0"/>
        <w:autoSpaceDE w:val="0"/>
        <w:autoSpaceDN w:val="0"/>
        <w:adjustRightInd w:val="0"/>
        <w:ind w:left="640" w:hanging="640"/>
        <w:rPr>
          <w:noProof/>
        </w:rPr>
      </w:pPr>
      <w:r w:rsidRPr="00BE7F89">
        <w:rPr>
          <w:noProof/>
        </w:rPr>
        <w:t>73.</w:t>
      </w:r>
      <w:r w:rsidRPr="00BE7F89">
        <w:rPr>
          <w:noProof/>
        </w:rPr>
        <w:tab/>
        <w:t>Reda G. et al. Secondary Malignancies in Chronic Lymphocytic Leukemia: A Single Centre Retrospective Analysis of 514 Cases // Blood. 2015. Vol. 126, № 23.</w:t>
      </w:r>
    </w:p>
    <w:p w14:paraId="4531BF31" w14:textId="77777777" w:rsidR="00BE7F89" w:rsidRPr="00BE7F89" w:rsidRDefault="00BE7F89" w:rsidP="00BE7F89">
      <w:pPr>
        <w:widowControl w:val="0"/>
        <w:autoSpaceDE w:val="0"/>
        <w:autoSpaceDN w:val="0"/>
        <w:adjustRightInd w:val="0"/>
        <w:ind w:left="640" w:hanging="640"/>
        <w:rPr>
          <w:noProof/>
        </w:rPr>
      </w:pPr>
      <w:r w:rsidRPr="00BE7F89">
        <w:rPr>
          <w:noProof/>
        </w:rPr>
        <w:t>74.</w:t>
      </w:r>
      <w:r w:rsidRPr="00BE7F89">
        <w:rPr>
          <w:noProof/>
        </w:rPr>
        <w:tab/>
        <w:t>Beiggi S. et al. Increased risk of second malignancies in chronic lymphocytic leukaemia patients as compared with follicular lymphoma patients: a Canadian population-based study. // Br. J. Cancer. 2013. Vol. 109, № 5. P. 1287–1290.</w:t>
      </w:r>
    </w:p>
    <w:p w14:paraId="20809338" w14:textId="77777777" w:rsidR="00BE7F89" w:rsidRPr="00BE7F89" w:rsidRDefault="00BE7F89" w:rsidP="00BE7F89">
      <w:pPr>
        <w:widowControl w:val="0"/>
        <w:autoSpaceDE w:val="0"/>
        <w:autoSpaceDN w:val="0"/>
        <w:adjustRightInd w:val="0"/>
        <w:ind w:left="640" w:hanging="640"/>
        <w:rPr>
          <w:noProof/>
        </w:rPr>
      </w:pPr>
      <w:r w:rsidRPr="00BE7F89">
        <w:rPr>
          <w:noProof/>
        </w:rPr>
        <w:t>75.</w:t>
      </w:r>
      <w:r w:rsidRPr="00BE7F89">
        <w:rPr>
          <w:noProof/>
        </w:rPr>
        <w:tab/>
        <w:t>Охмат В.А. et al. Спектр и этиология инфекционных осложнений у больных острыми миелоидными лейкозами на этапах индукции и консолидации ремиссии // Гематология и трансфузиология. 2017. Vol. 62, № 1. P. 9–15.</w:t>
      </w:r>
    </w:p>
    <w:p w14:paraId="7F9C8BB4" w14:textId="77777777" w:rsidR="00BE7F89" w:rsidRPr="00BE7F89" w:rsidRDefault="00BE7F89" w:rsidP="00BE7F89">
      <w:pPr>
        <w:widowControl w:val="0"/>
        <w:autoSpaceDE w:val="0"/>
        <w:autoSpaceDN w:val="0"/>
        <w:adjustRightInd w:val="0"/>
        <w:ind w:left="640" w:hanging="640"/>
        <w:rPr>
          <w:noProof/>
        </w:rPr>
      </w:pPr>
      <w:r w:rsidRPr="00BE7F89">
        <w:rPr>
          <w:noProof/>
        </w:rPr>
        <w:t>76.</w:t>
      </w:r>
      <w:r w:rsidRPr="00BE7F89">
        <w:rPr>
          <w:noProof/>
        </w:rPr>
        <w:tab/>
        <w:t>Клясова Г.А., Охмат В.А. Антимикробная терапия // Алгоритмы диагностики и протоколы лечения заболеваний системы крови. Под редакцией Савченко В.Г. Москва: Практика, 2018. P. 1067–1114.</w:t>
      </w:r>
    </w:p>
    <w:p w14:paraId="33A879B8" w14:textId="77777777" w:rsidR="00BE7F89" w:rsidRPr="00BE7F89" w:rsidRDefault="00BE7F89" w:rsidP="00BE7F89">
      <w:pPr>
        <w:widowControl w:val="0"/>
        <w:autoSpaceDE w:val="0"/>
        <w:autoSpaceDN w:val="0"/>
        <w:adjustRightInd w:val="0"/>
        <w:ind w:left="640" w:hanging="640"/>
        <w:rPr>
          <w:noProof/>
        </w:rPr>
      </w:pPr>
      <w:r w:rsidRPr="00BE7F89">
        <w:rPr>
          <w:noProof/>
        </w:rPr>
        <w:t>77.</w:t>
      </w:r>
      <w:r w:rsidRPr="00BE7F89">
        <w:rPr>
          <w:noProof/>
        </w:rPr>
        <w:tab/>
        <w:t>Клясова Г.А. et al. Эмпирическая антимикробная терапия у больных острыми лейкозами: итоги многоцентрового исследования // Терапевтический архив. 1998. Vol. 70, № 7. P. 15–21.</w:t>
      </w:r>
    </w:p>
    <w:p w14:paraId="61524F19" w14:textId="77777777" w:rsidR="00BE7F89" w:rsidRPr="00BE7F89" w:rsidRDefault="00BE7F89" w:rsidP="00BE7F89">
      <w:pPr>
        <w:widowControl w:val="0"/>
        <w:autoSpaceDE w:val="0"/>
        <w:autoSpaceDN w:val="0"/>
        <w:adjustRightInd w:val="0"/>
        <w:ind w:left="640" w:hanging="640"/>
        <w:rPr>
          <w:noProof/>
        </w:rPr>
      </w:pPr>
      <w:r w:rsidRPr="00BE7F89">
        <w:rPr>
          <w:noProof/>
        </w:rPr>
        <w:t>78.</w:t>
      </w:r>
      <w:r w:rsidRPr="00BE7F89">
        <w:rPr>
          <w:noProof/>
        </w:rPr>
        <w:tab/>
        <w:t>Охмат В.А. et al. Инфекционные осложнения у взрослых больных острыми лимфобластными лейкозами на разных этапах химиотерапии по протоколу ОЛЛ-2009. // Онкогематология. 2017. Vol. 12, № 3. P. 31–40.</w:t>
      </w:r>
    </w:p>
    <w:p w14:paraId="2DB16852" w14:textId="77777777" w:rsidR="00BE7F89" w:rsidRPr="00BE7F89" w:rsidRDefault="00BE7F89" w:rsidP="00BE7F89">
      <w:pPr>
        <w:widowControl w:val="0"/>
        <w:autoSpaceDE w:val="0"/>
        <w:autoSpaceDN w:val="0"/>
        <w:adjustRightInd w:val="0"/>
        <w:ind w:left="640" w:hanging="640"/>
        <w:rPr>
          <w:noProof/>
        </w:rPr>
      </w:pPr>
      <w:r w:rsidRPr="00BE7F89">
        <w:rPr>
          <w:noProof/>
        </w:rPr>
        <w:t>79.</w:t>
      </w:r>
      <w:r w:rsidRPr="00BE7F89">
        <w:rPr>
          <w:noProof/>
        </w:rPr>
        <w:tab/>
        <w:t>Maertens J. et al. European guidelines for antifungal management in leukemia and hematopoietic stem cell transplant recipients: Summary of the ECIL 32009 update // Bone Marrow Transplant. Nature Publishing Group, 2011. Vol. 46, № 5. P. 709–718.</w:t>
      </w:r>
    </w:p>
    <w:p w14:paraId="09FBDD65" w14:textId="77777777" w:rsidR="00BE7F89" w:rsidRPr="00BE7F89" w:rsidRDefault="00BE7F89" w:rsidP="00BE7F89">
      <w:pPr>
        <w:widowControl w:val="0"/>
        <w:autoSpaceDE w:val="0"/>
        <w:autoSpaceDN w:val="0"/>
        <w:adjustRightInd w:val="0"/>
        <w:ind w:left="640" w:hanging="640"/>
        <w:rPr>
          <w:noProof/>
        </w:rPr>
      </w:pPr>
      <w:r w:rsidRPr="00BE7F89">
        <w:rPr>
          <w:noProof/>
        </w:rPr>
        <w:t>80.</w:t>
      </w:r>
      <w:r w:rsidRPr="00BE7F89">
        <w:rPr>
          <w:noProof/>
        </w:rPr>
        <w:tab/>
        <w:t>Kollef M.H. et al. Ceftolozane–tazobactam versus meropenem for treatment of nosocomial pneumonia (ASPECT-NP): a randomised, controlled, double-blind, phase 3, non-inferiority trial // Lancet Infect. Dis. Lancet Publishing Group, 2019. Vol. 19, № 12. P. 1299–1311.</w:t>
      </w:r>
    </w:p>
    <w:p w14:paraId="1E6929BC" w14:textId="77777777" w:rsidR="00BE7F89" w:rsidRPr="00BE7F89" w:rsidRDefault="00BE7F89" w:rsidP="00BE7F89">
      <w:pPr>
        <w:widowControl w:val="0"/>
        <w:autoSpaceDE w:val="0"/>
        <w:autoSpaceDN w:val="0"/>
        <w:adjustRightInd w:val="0"/>
        <w:ind w:left="640" w:hanging="640"/>
        <w:rPr>
          <w:noProof/>
        </w:rPr>
      </w:pPr>
      <w:r w:rsidRPr="00BE7F89">
        <w:rPr>
          <w:noProof/>
        </w:rPr>
        <w:t>81.</w:t>
      </w:r>
      <w:r w:rsidRPr="00BE7F89">
        <w:rPr>
          <w:noProof/>
        </w:rPr>
        <w:tab/>
        <w:t>Averbuch D. et al. Targeted therapy against multi-resistant bacteria in leukemic and hematopoietic stem cell transplant recipients: Guidelines of the 4th European conference on Infections in Leukemia (ECIL-4, 2011) // Haematologica. Ferrata Storti Foundation, 2013. Vol. 98, № 12. P. 1836–1847.</w:t>
      </w:r>
    </w:p>
    <w:p w14:paraId="4372D40F" w14:textId="77777777" w:rsidR="00BE7F89" w:rsidRPr="00BE7F89" w:rsidRDefault="00BE7F89" w:rsidP="00BE7F89">
      <w:pPr>
        <w:widowControl w:val="0"/>
        <w:autoSpaceDE w:val="0"/>
        <w:autoSpaceDN w:val="0"/>
        <w:adjustRightInd w:val="0"/>
        <w:ind w:left="640" w:hanging="640"/>
        <w:rPr>
          <w:noProof/>
        </w:rPr>
      </w:pPr>
      <w:r w:rsidRPr="00BE7F89">
        <w:rPr>
          <w:noProof/>
        </w:rPr>
        <w:t>82.</w:t>
      </w:r>
      <w:r w:rsidRPr="00BE7F89">
        <w:rPr>
          <w:noProof/>
        </w:rPr>
        <w:tab/>
        <w:t>Debast S.B. et al. European society of clinical microbiology and infectious diseases: Update of the treatment guidance document for Clostridium difficile infection // Clin. Microbiol. Infect. Blackwell Publishing Ltd, 2014. Vol. 20, № S2. P. 1–26.</w:t>
      </w:r>
    </w:p>
    <w:p w14:paraId="273E1739" w14:textId="77777777" w:rsidR="00BE7F89" w:rsidRPr="00BE7F89" w:rsidRDefault="00BE7F89" w:rsidP="00BE7F89">
      <w:pPr>
        <w:widowControl w:val="0"/>
        <w:autoSpaceDE w:val="0"/>
        <w:autoSpaceDN w:val="0"/>
        <w:adjustRightInd w:val="0"/>
        <w:ind w:left="640" w:hanging="640"/>
        <w:rPr>
          <w:noProof/>
        </w:rPr>
      </w:pPr>
      <w:r w:rsidRPr="00BE7F89">
        <w:rPr>
          <w:noProof/>
        </w:rPr>
        <w:t>83.</w:t>
      </w:r>
      <w:r w:rsidRPr="00BE7F89">
        <w:rPr>
          <w:noProof/>
        </w:rPr>
        <w:tab/>
        <w:t>Styczynski J. et al. Management of HSV, VZV and EBV infections in patients with hematological malignancies and after SCT: Guidelines from the Second European Conference on Infections in Leukemia // Bone Marrow Transplant. Bone Marrow Transplant, 2009. Vol. 43, № 10. P. 757–770.</w:t>
      </w:r>
    </w:p>
    <w:p w14:paraId="140D9C08" w14:textId="77777777" w:rsidR="00BE7F89" w:rsidRPr="00BE7F89" w:rsidRDefault="00BE7F89" w:rsidP="00BE7F89">
      <w:pPr>
        <w:widowControl w:val="0"/>
        <w:autoSpaceDE w:val="0"/>
        <w:autoSpaceDN w:val="0"/>
        <w:adjustRightInd w:val="0"/>
        <w:ind w:left="640" w:hanging="640"/>
        <w:rPr>
          <w:noProof/>
        </w:rPr>
      </w:pPr>
      <w:r w:rsidRPr="00BE7F89">
        <w:rPr>
          <w:noProof/>
        </w:rPr>
        <w:t>84.</w:t>
      </w:r>
      <w:r w:rsidRPr="00BE7F89">
        <w:rPr>
          <w:noProof/>
        </w:rPr>
        <w:tab/>
        <w:t>Ljungman P. et al. Management of CMV, HHV-6, HHV-7 and Kaposi-sarcoma herpesvirus (HHV-8) infections in patients with hematological malignancies and after SCT // Bone Marrow Transplant. Bone Marrow Transplant, 2008. Vol. 42, № 4. P. 227–240.</w:t>
      </w:r>
    </w:p>
    <w:p w14:paraId="6927ACD4" w14:textId="77777777" w:rsidR="00BE7F89" w:rsidRPr="00BE7F89" w:rsidRDefault="00BE7F89" w:rsidP="00BE7F89">
      <w:pPr>
        <w:widowControl w:val="0"/>
        <w:autoSpaceDE w:val="0"/>
        <w:autoSpaceDN w:val="0"/>
        <w:adjustRightInd w:val="0"/>
        <w:ind w:left="640" w:hanging="640"/>
        <w:rPr>
          <w:noProof/>
        </w:rPr>
      </w:pPr>
      <w:r w:rsidRPr="00BE7F89">
        <w:rPr>
          <w:noProof/>
        </w:rPr>
        <w:t>85.</w:t>
      </w:r>
      <w:r w:rsidRPr="00BE7F89">
        <w:rPr>
          <w:noProof/>
        </w:rPr>
        <w:tab/>
        <w:t>Arendrup M.C. et al. ESCMID and ECMM joint clinical guidelines for the diagnosis and management of rare invasive yeast infections // Clin. Microbiol. Infect. Blackwell Publishing Ltd, 2014. Vol. 20, № S3. P. 76–98.</w:t>
      </w:r>
    </w:p>
    <w:p w14:paraId="321E3D9F" w14:textId="77777777" w:rsidR="00BE7F89" w:rsidRPr="00BE7F89" w:rsidRDefault="00BE7F89" w:rsidP="00BE7F89">
      <w:pPr>
        <w:widowControl w:val="0"/>
        <w:autoSpaceDE w:val="0"/>
        <w:autoSpaceDN w:val="0"/>
        <w:adjustRightInd w:val="0"/>
        <w:ind w:left="640" w:hanging="640"/>
        <w:rPr>
          <w:noProof/>
        </w:rPr>
      </w:pPr>
      <w:r w:rsidRPr="00BE7F89">
        <w:rPr>
          <w:noProof/>
        </w:rPr>
        <w:t>86.</w:t>
      </w:r>
      <w:r w:rsidRPr="00BE7F89">
        <w:rPr>
          <w:noProof/>
        </w:rPr>
        <w:tab/>
        <w:t>Tissot F. et al. ECIL-6 guidelines for the treatment of invasive candidiasis, aspergillosis and mucormycosis in leukemia and hematopoietic stem cell transplant patients // Haematologica. Ferrata Storti Foundation, 2017. Vol. 102, № 3. P. 433–444.</w:t>
      </w:r>
    </w:p>
    <w:p w14:paraId="4D2ED939" w14:textId="77777777" w:rsidR="00BE7F89" w:rsidRPr="00BE7F89" w:rsidRDefault="00BE7F89" w:rsidP="00BE7F89">
      <w:pPr>
        <w:widowControl w:val="0"/>
        <w:autoSpaceDE w:val="0"/>
        <w:autoSpaceDN w:val="0"/>
        <w:adjustRightInd w:val="0"/>
        <w:ind w:left="640" w:hanging="640"/>
        <w:rPr>
          <w:noProof/>
        </w:rPr>
      </w:pPr>
      <w:r w:rsidRPr="00BE7F89">
        <w:rPr>
          <w:noProof/>
        </w:rPr>
        <w:t>87.</w:t>
      </w:r>
      <w:r w:rsidRPr="00BE7F89">
        <w:rPr>
          <w:noProof/>
        </w:rPr>
        <w:tab/>
        <w:t>Мальчикова А.О., Клясова Г.А. Формирование биопленок у изолятов Candida spp, выделенных из гемокультуры от больных с опухолями системы крови // Клиническая микробиология и антимикробная химиотерапия. 2018. Vol. 20, № 2. P. 126–130.</w:t>
      </w:r>
    </w:p>
    <w:p w14:paraId="19503F18" w14:textId="77777777" w:rsidR="00BE7F89" w:rsidRPr="00BE7F89" w:rsidRDefault="00BE7F89" w:rsidP="00BE7F89">
      <w:pPr>
        <w:widowControl w:val="0"/>
        <w:autoSpaceDE w:val="0"/>
        <w:autoSpaceDN w:val="0"/>
        <w:adjustRightInd w:val="0"/>
        <w:ind w:left="640" w:hanging="640"/>
        <w:rPr>
          <w:noProof/>
        </w:rPr>
      </w:pPr>
      <w:r w:rsidRPr="00BE7F89">
        <w:rPr>
          <w:noProof/>
        </w:rPr>
        <w:t>88.</w:t>
      </w:r>
      <w:r w:rsidRPr="00BE7F89">
        <w:rPr>
          <w:noProof/>
        </w:rPr>
        <w:tab/>
        <w:t>Ullmann A.J. et al. Diagnosis and management of Aspergillus diseases: executive summary of the 2017 ESCMID-ECMM-ERS guideline // Clin. Microbiol. Infect. Elsevier B.V., 2018. Vol. 24. P. e1–e38.</w:t>
      </w:r>
    </w:p>
    <w:p w14:paraId="369137F6" w14:textId="77777777" w:rsidR="00BE7F89" w:rsidRPr="00BE7F89" w:rsidRDefault="00BE7F89" w:rsidP="00BE7F89">
      <w:pPr>
        <w:widowControl w:val="0"/>
        <w:autoSpaceDE w:val="0"/>
        <w:autoSpaceDN w:val="0"/>
        <w:adjustRightInd w:val="0"/>
        <w:ind w:left="640" w:hanging="640"/>
        <w:rPr>
          <w:noProof/>
        </w:rPr>
      </w:pPr>
      <w:r w:rsidRPr="00BE7F89">
        <w:rPr>
          <w:noProof/>
        </w:rPr>
        <w:t>89.</w:t>
      </w:r>
      <w:r w:rsidRPr="00BE7F89">
        <w:rPr>
          <w:noProof/>
        </w:rPr>
        <w:tab/>
        <w:t>Cornely O.A. et al. Global guideline for the diagnosis and management of mucormycosis: an initiative of the European Confederation of Medical Mycology in cooperation with the Mycoses Study Group Education and Research Consortium // The Lancet Infectious Diseases. Lancet Publishing Group, 2019. Vol. 19, № 12. P. e405–e421.</w:t>
      </w:r>
    </w:p>
    <w:p w14:paraId="7C1CB3B4" w14:textId="77777777" w:rsidR="00BE7F89" w:rsidRPr="00BE7F89" w:rsidRDefault="00BE7F89" w:rsidP="00BE7F89">
      <w:pPr>
        <w:widowControl w:val="0"/>
        <w:autoSpaceDE w:val="0"/>
        <w:autoSpaceDN w:val="0"/>
        <w:adjustRightInd w:val="0"/>
        <w:ind w:left="640" w:hanging="640"/>
        <w:rPr>
          <w:noProof/>
        </w:rPr>
      </w:pPr>
      <w:r w:rsidRPr="00BE7F89">
        <w:rPr>
          <w:noProof/>
        </w:rPr>
        <w:t>90.</w:t>
      </w:r>
      <w:r w:rsidRPr="00BE7F89">
        <w:rPr>
          <w:noProof/>
        </w:rPr>
        <w:tab/>
        <w:t>Tortorano A.M. et al. ESCMID and ECMM joint guidelines on diagnosis and management of hyalohyphomycosis: Fusarium spp., Scedosporium spp. and others // Clin. Microbiol. Infect. Blackwell Publishing Ltd, 2014. Vol. 20, № S3. P. 27–46.</w:t>
      </w:r>
    </w:p>
    <w:p w14:paraId="7426EA56" w14:textId="77777777" w:rsidR="00BE7F89" w:rsidRPr="00BE7F89" w:rsidRDefault="00BE7F89" w:rsidP="00BE7F89">
      <w:pPr>
        <w:widowControl w:val="0"/>
        <w:autoSpaceDE w:val="0"/>
        <w:autoSpaceDN w:val="0"/>
        <w:adjustRightInd w:val="0"/>
        <w:ind w:left="640" w:hanging="640"/>
        <w:rPr>
          <w:noProof/>
        </w:rPr>
      </w:pPr>
      <w:r w:rsidRPr="00BE7F89">
        <w:rPr>
          <w:noProof/>
        </w:rPr>
        <w:t>91.</w:t>
      </w:r>
      <w:r w:rsidRPr="00BE7F89">
        <w:rPr>
          <w:noProof/>
        </w:rPr>
        <w:tab/>
        <w:t>Maschmeyer G. et al. ECIL guidelines for treatment of Pneumocystis jirovecii pneumonia in non-HIV-infected haematology patients // J. Antimicrob. Chemother. J Antimicrob Chemother, 2016. Vol. 71, № 9. P. 2405–2413.</w:t>
      </w:r>
    </w:p>
    <w:p w14:paraId="13F8DF74" w14:textId="77777777" w:rsidR="00BE7F89" w:rsidRPr="00BE7F89" w:rsidRDefault="00BE7F89" w:rsidP="00BE7F89">
      <w:pPr>
        <w:widowControl w:val="0"/>
        <w:autoSpaceDE w:val="0"/>
        <w:autoSpaceDN w:val="0"/>
        <w:adjustRightInd w:val="0"/>
        <w:ind w:left="640" w:hanging="640"/>
        <w:rPr>
          <w:noProof/>
        </w:rPr>
      </w:pPr>
      <w:r w:rsidRPr="00BE7F89">
        <w:rPr>
          <w:noProof/>
        </w:rPr>
        <w:t>92.</w:t>
      </w:r>
      <w:r w:rsidRPr="00BE7F89">
        <w:rPr>
          <w:noProof/>
        </w:rPr>
        <w:tab/>
        <w:t>Протоколы трансплантации аллогенных гепомоэтических стволовых клеток. Под ред. В.Г. Савченко. М.: Практика, 2020. 320 p.</w:t>
      </w:r>
    </w:p>
    <w:p w14:paraId="4DA12282" w14:textId="77777777" w:rsidR="00BE7F89" w:rsidRPr="00BE7F89" w:rsidRDefault="00BE7F89" w:rsidP="00BE7F89">
      <w:pPr>
        <w:widowControl w:val="0"/>
        <w:autoSpaceDE w:val="0"/>
        <w:autoSpaceDN w:val="0"/>
        <w:adjustRightInd w:val="0"/>
        <w:ind w:left="640" w:hanging="640"/>
        <w:rPr>
          <w:noProof/>
        </w:rPr>
      </w:pPr>
      <w:r w:rsidRPr="00BE7F89">
        <w:rPr>
          <w:noProof/>
        </w:rPr>
        <w:t>93.</w:t>
      </w:r>
      <w:r w:rsidRPr="00BE7F89">
        <w:rPr>
          <w:noProof/>
        </w:rPr>
        <w:tab/>
        <w:t>Oken M.M. et al. Toxicity and response criteria of the Eastern Cooperative Oncology Group // Am. J. Clin. Oncol. 1982. Vol. 5, № 6. P. 649–655.</w:t>
      </w:r>
    </w:p>
    <w:p w14:paraId="39B5A600" w14:textId="77777777" w:rsidR="00BE7F89" w:rsidRPr="00BE7F89" w:rsidRDefault="00BE7F89" w:rsidP="00BE7F89">
      <w:pPr>
        <w:widowControl w:val="0"/>
        <w:autoSpaceDE w:val="0"/>
        <w:autoSpaceDN w:val="0"/>
        <w:adjustRightInd w:val="0"/>
        <w:ind w:left="640" w:hanging="640"/>
        <w:rPr>
          <w:noProof/>
        </w:rPr>
      </w:pPr>
      <w:r w:rsidRPr="00BE7F89">
        <w:rPr>
          <w:noProof/>
        </w:rPr>
        <w:t>94.</w:t>
      </w:r>
      <w:r w:rsidRPr="00BE7F89">
        <w:rPr>
          <w:noProof/>
        </w:rPr>
        <w:tab/>
        <w:t>Linn B.S., Linn M.W., Gurel L. Cumulative illness rating scale // J. Am. Geriatr. Soc. 1968. Vol. 16, № 5. P. 622–626.</w:t>
      </w:r>
    </w:p>
    <w:p w14:paraId="08AE2080" w14:textId="77777777" w:rsidR="00BE7F89" w:rsidRPr="00BE7F89" w:rsidRDefault="00BE7F89" w:rsidP="00BE7F89">
      <w:pPr>
        <w:widowControl w:val="0"/>
        <w:autoSpaceDE w:val="0"/>
        <w:autoSpaceDN w:val="0"/>
        <w:adjustRightInd w:val="0"/>
        <w:ind w:left="640" w:hanging="640"/>
        <w:rPr>
          <w:noProof/>
        </w:rPr>
      </w:pPr>
      <w:r w:rsidRPr="00BE7F89">
        <w:rPr>
          <w:noProof/>
        </w:rPr>
        <w:t>95.</w:t>
      </w:r>
      <w:r w:rsidRPr="00BE7F89">
        <w:rPr>
          <w:noProof/>
        </w:rPr>
        <w:tab/>
        <w:t>Gratwohl A. The EBMT risk score // Bone Marrow Transplantation. Nature Publishing Group, 2012. Vol. 47, № 6. P. 749–756.</w:t>
      </w:r>
    </w:p>
    <w:p w14:paraId="1B218174" w14:textId="77777777" w:rsidR="00BE7F89" w:rsidRPr="00BE7F89" w:rsidRDefault="00BE7F89" w:rsidP="00BE7F89">
      <w:pPr>
        <w:widowControl w:val="0"/>
        <w:autoSpaceDE w:val="0"/>
        <w:autoSpaceDN w:val="0"/>
        <w:adjustRightInd w:val="0"/>
        <w:ind w:left="640" w:hanging="640"/>
        <w:rPr>
          <w:noProof/>
        </w:rPr>
      </w:pPr>
      <w:r w:rsidRPr="00BE7F89">
        <w:rPr>
          <w:noProof/>
        </w:rPr>
        <w:t>96.</w:t>
      </w:r>
      <w:r w:rsidRPr="00BE7F89">
        <w:rPr>
          <w:noProof/>
        </w:rPr>
        <w:tab/>
        <w:t>Sorror M.L. et al. Hematopoietic cell transplantation (HCT)-specific comorbidity index: a new tool for risk assessment before allogeneic HCT. // Blood. The American Society of Hematology, 2005. Vol. 106, № 8. P. 2912–2919.</w:t>
      </w:r>
    </w:p>
    <w:p w14:paraId="6F700665" w14:textId="77777777" w:rsidR="00BE7F89" w:rsidRPr="00BE7F89" w:rsidRDefault="00BE7F89" w:rsidP="00BE7F89">
      <w:pPr>
        <w:widowControl w:val="0"/>
        <w:autoSpaceDE w:val="0"/>
        <w:autoSpaceDN w:val="0"/>
        <w:adjustRightInd w:val="0"/>
        <w:ind w:left="640" w:hanging="640"/>
        <w:rPr>
          <w:noProof/>
        </w:rPr>
      </w:pPr>
      <w:r w:rsidRPr="00BE7F89">
        <w:rPr>
          <w:noProof/>
        </w:rPr>
        <w:t>97.</w:t>
      </w:r>
      <w:r w:rsidRPr="00BE7F89">
        <w:rPr>
          <w:noProof/>
        </w:rPr>
        <w:tab/>
        <w:t>Sorror M.L. et al. Prospective Validation of the Predictive Power of the Hematopoietic Cell Transplantation Comorbidity Index: A Center for International Blood and Marrow Transplant Research Study // Biol. Blood Marrow Transplant. Elsevier Inc., 2015. Vol. 21, № 8. P. 1479–1487.</w:t>
      </w:r>
    </w:p>
    <w:p w14:paraId="21530C14" w14:textId="37B246EE" w:rsidR="00B078C3" w:rsidRPr="002C3D83" w:rsidRDefault="000B0AC3" w:rsidP="00BE7F89">
      <w:pPr>
        <w:widowControl w:val="0"/>
        <w:autoSpaceDE w:val="0"/>
        <w:autoSpaceDN w:val="0"/>
        <w:adjustRightInd w:val="0"/>
        <w:ind w:left="640" w:hanging="640"/>
      </w:pPr>
      <w:r>
        <w:fldChar w:fldCharType="end"/>
      </w:r>
    </w:p>
    <w:p w14:paraId="0A032D64" w14:textId="77777777" w:rsidR="004D7374" w:rsidRPr="002C3D83" w:rsidRDefault="004D7374" w:rsidP="00E92E00">
      <w:pPr>
        <w:ind w:firstLine="709"/>
      </w:pPr>
      <w:bookmarkStart w:id="84" w:name="_Hlk531951693"/>
    </w:p>
    <w:p w14:paraId="36F10BCD" w14:textId="77777777" w:rsidR="004D7374" w:rsidRPr="005A5605" w:rsidRDefault="004D7374" w:rsidP="005D3BBD">
      <w:pPr>
        <w:pStyle w:val="1"/>
        <w:spacing w:before="0" w:after="0"/>
        <w:rPr>
          <w:sz w:val="24"/>
          <w:szCs w:val="24"/>
        </w:rPr>
      </w:pPr>
      <w:bookmarkStart w:id="85" w:name="_Toc520213130"/>
      <w:bookmarkStart w:id="86" w:name="_Toc23601736"/>
      <w:bookmarkStart w:id="87" w:name="_Toc65068826"/>
      <w:bookmarkEnd w:id="84"/>
      <w:r w:rsidRPr="00DB46A1">
        <w:rPr>
          <w:sz w:val="24"/>
          <w:szCs w:val="24"/>
        </w:rPr>
        <w:t>Приложение</w:t>
      </w:r>
      <w:r w:rsidR="00902551" w:rsidRPr="005A5605">
        <w:rPr>
          <w:sz w:val="24"/>
          <w:szCs w:val="24"/>
        </w:rPr>
        <w:t xml:space="preserve"> </w:t>
      </w:r>
      <w:r w:rsidRPr="00DB46A1">
        <w:rPr>
          <w:sz w:val="24"/>
          <w:szCs w:val="24"/>
        </w:rPr>
        <w:t>А</w:t>
      </w:r>
      <w:r w:rsidR="00902551" w:rsidRPr="005A5605">
        <w:rPr>
          <w:sz w:val="24"/>
          <w:szCs w:val="24"/>
        </w:rPr>
        <w:t xml:space="preserve">1. </w:t>
      </w:r>
      <w:r w:rsidR="002448A6" w:rsidRPr="00DB46A1">
        <w:rPr>
          <w:sz w:val="24"/>
          <w:szCs w:val="24"/>
        </w:rPr>
        <w:t>Состав</w:t>
      </w:r>
      <w:r w:rsidR="00902551" w:rsidRPr="005A5605">
        <w:rPr>
          <w:sz w:val="24"/>
          <w:szCs w:val="24"/>
        </w:rPr>
        <w:t xml:space="preserve"> </w:t>
      </w:r>
      <w:r w:rsidR="002448A6" w:rsidRPr="00DB46A1">
        <w:rPr>
          <w:sz w:val="24"/>
          <w:szCs w:val="24"/>
        </w:rPr>
        <w:t>рабочей</w:t>
      </w:r>
      <w:r w:rsidR="00902551" w:rsidRPr="005A5605">
        <w:rPr>
          <w:sz w:val="24"/>
          <w:szCs w:val="24"/>
        </w:rPr>
        <w:t xml:space="preserve"> </w:t>
      </w:r>
      <w:r w:rsidR="002448A6" w:rsidRPr="00DB46A1">
        <w:rPr>
          <w:sz w:val="24"/>
          <w:szCs w:val="24"/>
        </w:rPr>
        <w:t>группы</w:t>
      </w:r>
      <w:r w:rsidR="00902551" w:rsidRPr="005A5605">
        <w:rPr>
          <w:sz w:val="24"/>
          <w:szCs w:val="24"/>
        </w:rPr>
        <w:t xml:space="preserve"> </w:t>
      </w:r>
      <w:r w:rsidR="002448A6" w:rsidRPr="00DB46A1">
        <w:rPr>
          <w:sz w:val="24"/>
          <w:szCs w:val="24"/>
        </w:rPr>
        <w:t>по</w:t>
      </w:r>
      <w:r w:rsidR="00902551" w:rsidRPr="005A5605">
        <w:rPr>
          <w:sz w:val="24"/>
          <w:szCs w:val="24"/>
        </w:rPr>
        <w:t xml:space="preserve"> </w:t>
      </w:r>
      <w:r w:rsidR="002448A6" w:rsidRPr="00DB46A1">
        <w:rPr>
          <w:sz w:val="24"/>
          <w:szCs w:val="24"/>
        </w:rPr>
        <w:t>разработке</w:t>
      </w:r>
      <w:r w:rsidR="00902551" w:rsidRPr="005A5605">
        <w:rPr>
          <w:sz w:val="24"/>
          <w:szCs w:val="24"/>
        </w:rPr>
        <w:t xml:space="preserve"> </w:t>
      </w:r>
      <w:r w:rsidR="00902551" w:rsidRPr="005A5605">
        <w:rPr>
          <w:sz w:val="24"/>
          <w:szCs w:val="24"/>
        </w:rPr>
        <w:br/>
      </w:r>
      <w:r w:rsidR="002448A6" w:rsidRPr="00DB46A1">
        <w:rPr>
          <w:sz w:val="24"/>
          <w:szCs w:val="24"/>
        </w:rPr>
        <w:t>и</w:t>
      </w:r>
      <w:r w:rsidR="00902551" w:rsidRPr="005A5605">
        <w:rPr>
          <w:sz w:val="24"/>
          <w:szCs w:val="24"/>
        </w:rPr>
        <w:t xml:space="preserve"> </w:t>
      </w:r>
      <w:r w:rsidR="002448A6" w:rsidRPr="00DB46A1">
        <w:rPr>
          <w:sz w:val="24"/>
          <w:szCs w:val="24"/>
        </w:rPr>
        <w:t>пересмотру</w:t>
      </w:r>
      <w:r w:rsidR="00902551" w:rsidRPr="005A5605">
        <w:rPr>
          <w:sz w:val="24"/>
          <w:szCs w:val="24"/>
        </w:rPr>
        <w:t xml:space="preserve"> </w:t>
      </w:r>
      <w:r w:rsidR="002448A6" w:rsidRPr="00DB46A1">
        <w:rPr>
          <w:sz w:val="24"/>
          <w:szCs w:val="24"/>
        </w:rPr>
        <w:t>клинических</w:t>
      </w:r>
      <w:r w:rsidR="00902551" w:rsidRPr="005A5605">
        <w:rPr>
          <w:sz w:val="24"/>
          <w:szCs w:val="24"/>
        </w:rPr>
        <w:t xml:space="preserve"> </w:t>
      </w:r>
      <w:r w:rsidR="002448A6" w:rsidRPr="00DB46A1">
        <w:rPr>
          <w:sz w:val="24"/>
          <w:szCs w:val="24"/>
        </w:rPr>
        <w:t>рекомендаций</w:t>
      </w:r>
      <w:bookmarkEnd w:id="85"/>
      <w:bookmarkEnd w:id="86"/>
      <w:bookmarkEnd w:id="87"/>
    </w:p>
    <w:p w14:paraId="54F72346" w14:textId="23F7284A" w:rsidR="006F4507" w:rsidRPr="005D3BBD" w:rsidRDefault="006F4507" w:rsidP="00D61785">
      <w:pPr>
        <w:pStyle w:val="a4"/>
        <w:numPr>
          <w:ilvl w:val="0"/>
          <w:numId w:val="9"/>
        </w:numPr>
        <w:spacing w:before="0"/>
      </w:pPr>
      <w:r w:rsidRPr="005D3BBD">
        <w:rPr>
          <w:b/>
        </w:rPr>
        <w:t>Аль-Ради Любовь Саттаровна</w:t>
      </w:r>
      <w:r>
        <w:t xml:space="preserve">, </w:t>
      </w:r>
      <w:r w:rsidR="006948CC">
        <w:t>к.м.н., зам. заведующего консультативным гематологическим отделением с дневным стационаром по проведению интенсивной высокодозной терапии  «НМИЦ гематологии» Минздрава России, член Национального гематологического общества</w:t>
      </w:r>
    </w:p>
    <w:p w14:paraId="585E9355" w14:textId="7C7FFC18" w:rsidR="00B63BF6" w:rsidRDefault="00B63BF6" w:rsidP="00D61785">
      <w:pPr>
        <w:pStyle w:val="a4"/>
        <w:numPr>
          <w:ilvl w:val="0"/>
          <w:numId w:val="9"/>
        </w:numPr>
        <w:spacing w:before="0"/>
      </w:pPr>
      <w:r w:rsidRPr="002E1CB9">
        <w:rPr>
          <w:b/>
        </w:rPr>
        <w:t>Бялик Татьяна Евгеньевна</w:t>
      </w:r>
      <w:r w:rsidR="00E31726">
        <w:rPr>
          <w:b/>
        </w:rPr>
        <w:t>,</w:t>
      </w:r>
      <w:r>
        <w:t xml:space="preserve"> </w:t>
      </w:r>
      <w:r w:rsidR="00E31726">
        <w:t>к.м.н.</w:t>
      </w:r>
      <w:r>
        <w:t xml:space="preserve">, врач-онкогематолог, ассистент кафедры онкологии </w:t>
      </w:r>
      <w:r w:rsidR="00E31726" w:rsidRPr="00E31726">
        <w:t>ФГАОУ ВО Первый МГМУ им. И.М. Сеченова Минздрава России</w:t>
      </w:r>
      <w:r w:rsidR="002E1CB9">
        <w:t>.</w:t>
      </w:r>
    </w:p>
    <w:p w14:paraId="3F47183E" w14:textId="77777777" w:rsidR="00B63BF6" w:rsidRDefault="00B63BF6" w:rsidP="00D61785">
      <w:pPr>
        <w:pStyle w:val="a4"/>
        <w:numPr>
          <w:ilvl w:val="0"/>
          <w:numId w:val="9"/>
        </w:numPr>
        <w:spacing w:before="0"/>
      </w:pPr>
      <w:r w:rsidRPr="002E1CB9">
        <w:rPr>
          <w:b/>
        </w:rPr>
        <w:t>Зарицкий Андрей Юрьевич</w:t>
      </w:r>
      <w:r w:rsidR="00E31726">
        <w:rPr>
          <w:b/>
        </w:rPr>
        <w:t>,</w:t>
      </w:r>
      <w:r>
        <w:t xml:space="preserve"> </w:t>
      </w:r>
      <w:r w:rsidR="00E31726">
        <w:t>д.м.н.</w:t>
      </w:r>
      <w:r>
        <w:t xml:space="preserve">, профессор, директор Института гематологии </w:t>
      </w:r>
      <w:r w:rsidR="006D00D7" w:rsidRPr="006D00D7">
        <w:t>ФГБУ «НМИЦ им. В. А. Алмазова» Минздрава России</w:t>
      </w:r>
      <w:r w:rsidR="002E1CB9">
        <w:t>.</w:t>
      </w:r>
    </w:p>
    <w:p w14:paraId="2579DFBC" w14:textId="77777777" w:rsidR="00B63BF6" w:rsidRDefault="00B63BF6" w:rsidP="00D61785">
      <w:pPr>
        <w:pStyle w:val="a4"/>
        <w:numPr>
          <w:ilvl w:val="0"/>
          <w:numId w:val="9"/>
        </w:numPr>
        <w:spacing w:before="0"/>
      </w:pPr>
      <w:r w:rsidRPr="002E1CB9">
        <w:rPr>
          <w:b/>
        </w:rPr>
        <w:t>Исебер</w:t>
      </w:r>
      <w:r w:rsidR="00D4168D" w:rsidRPr="00D4168D">
        <w:rPr>
          <w:b/>
        </w:rPr>
        <w:t xml:space="preserve"> </w:t>
      </w:r>
      <w:r w:rsidRPr="002E1CB9">
        <w:rPr>
          <w:b/>
        </w:rPr>
        <w:t>Лоик</w:t>
      </w:r>
      <w:r w:rsidR="00E31726">
        <w:rPr>
          <w:b/>
        </w:rPr>
        <w:t>,</w:t>
      </w:r>
      <w:r w:rsidR="00D4168D" w:rsidRPr="00D4168D">
        <w:rPr>
          <w:b/>
        </w:rPr>
        <w:t xml:space="preserve"> </w:t>
      </w:r>
      <w:r w:rsidR="00E31726" w:rsidRPr="00E31726">
        <w:t>п</w:t>
      </w:r>
      <w:r w:rsidR="00EA1D36">
        <w:t xml:space="preserve">рофессор, </w:t>
      </w:r>
      <w:r w:rsidR="00E31726">
        <w:t>гематолог, О</w:t>
      </w:r>
      <w:r>
        <w:t>нкологический центр Тулузы, Франция</w:t>
      </w:r>
      <w:r w:rsidR="002E1CB9">
        <w:t>.</w:t>
      </w:r>
    </w:p>
    <w:p w14:paraId="4F8907A3" w14:textId="77777777" w:rsidR="00B63BF6" w:rsidRPr="00EC626C" w:rsidRDefault="00B63BF6" w:rsidP="00D61785">
      <w:pPr>
        <w:pStyle w:val="a4"/>
        <w:numPr>
          <w:ilvl w:val="0"/>
          <w:numId w:val="9"/>
        </w:numPr>
        <w:spacing w:before="0"/>
      </w:pPr>
      <w:r w:rsidRPr="002E1CB9">
        <w:rPr>
          <w:b/>
        </w:rPr>
        <w:t>Капл</w:t>
      </w:r>
      <w:r w:rsidR="00E31726">
        <w:rPr>
          <w:b/>
        </w:rPr>
        <w:t>анов Камиль Даниялович,</w:t>
      </w:r>
      <w:r>
        <w:t xml:space="preserve"> </w:t>
      </w:r>
      <w:r w:rsidR="00E31726">
        <w:t>к.м.н.,</w:t>
      </w:r>
      <w:r>
        <w:t xml:space="preserve"> </w:t>
      </w:r>
      <w:r w:rsidR="00E31726">
        <w:t>з</w:t>
      </w:r>
      <w:r>
        <w:t xml:space="preserve">аведующий гематологическим отделением Волгоградского областного клинического онкологического диспансера, ассистент кафедры онкологии с курсом онкологии и гематологии ФУВ </w:t>
      </w:r>
      <w:r w:rsidR="00E31726">
        <w:t>ФГБОУ ВО «</w:t>
      </w:r>
      <w:r>
        <w:t>Волгоградск</w:t>
      </w:r>
      <w:r w:rsidR="00E31726">
        <w:t>ий</w:t>
      </w:r>
      <w:r>
        <w:t xml:space="preserve"> </w:t>
      </w:r>
      <w:r w:rsidR="00E31726">
        <w:t>г</w:t>
      </w:r>
      <w:r>
        <w:t>осударственн</w:t>
      </w:r>
      <w:r w:rsidR="00E31726">
        <w:t>ый</w:t>
      </w:r>
      <w:r>
        <w:t xml:space="preserve"> медицинск</w:t>
      </w:r>
      <w:r w:rsidR="00E31726">
        <w:t>ий</w:t>
      </w:r>
      <w:r>
        <w:t xml:space="preserve"> университет</w:t>
      </w:r>
      <w:r w:rsidR="00E31726">
        <w:t xml:space="preserve">» Минздрава России, главный внештатный </w:t>
      </w:r>
      <w:r>
        <w:t>гематолог Комитета по здравоохранению Адми</w:t>
      </w:r>
      <w:r w:rsidR="00E31726">
        <w:t>нистрации Волгоградской области, ч</w:t>
      </w:r>
      <w:r>
        <w:t>лен Российского общества онкогематологов, член Национальн</w:t>
      </w:r>
      <w:r w:rsidR="002E1CB9">
        <w:t>ого гематологического общества.</w:t>
      </w:r>
    </w:p>
    <w:p w14:paraId="56F6D7F9" w14:textId="77777777" w:rsidR="00B63BF6" w:rsidRDefault="00B63BF6" w:rsidP="00D61785">
      <w:pPr>
        <w:pStyle w:val="a4"/>
        <w:numPr>
          <w:ilvl w:val="0"/>
          <w:numId w:val="9"/>
        </w:numPr>
        <w:spacing w:before="0"/>
      </w:pPr>
      <w:r w:rsidRPr="002E1CB9">
        <w:rPr>
          <w:b/>
        </w:rPr>
        <w:t>Лопаткина Татьяна Николаевна</w:t>
      </w:r>
      <w:r w:rsidR="00E31726">
        <w:rPr>
          <w:b/>
        </w:rPr>
        <w:t>,</w:t>
      </w:r>
      <w:r>
        <w:t xml:space="preserve"> </w:t>
      </w:r>
      <w:r w:rsidR="00E31726">
        <w:t>к.м.н.</w:t>
      </w:r>
      <w:r>
        <w:t>, врач</w:t>
      </w:r>
      <w:r w:rsidR="00E31726">
        <w:t>-</w:t>
      </w:r>
      <w:r>
        <w:t xml:space="preserve">терапевт, гастроэнтеролог, доцент кафедры терапии, профессиональных болезней и пульмонологии </w:t>
      </w:r>
      <w:r w:rsidR="00E31726" w:rsidRPr="00E31726">
        <w:t>ФГАОУ ВО Первый МГМУ им. И.М. Сеченова Минздрава России</w:t>
      </w:r>
      <w:r w:rsidR="002E1CB9">
        <w:t>.</w:t>
      </w:r>
    </w:p>
    <w:p w14:paraId="56C84A8A" w14:textId="77777777" w:rsidR="00B63BF6" w:rsidRDefault="00B63BF6" w:rsidP="00D61785">
      <w:pPr>
        <w:pStyle w:val="a4"/>
        <w:numPr>
          <w:ilvl w:val="0"/>
          <w:numId w:val="9"/>
        </w:numPr>
        <w:spacing w:before="0"/>
      </w:pPr>
      <w:r w:rsidRPr="002E1CB9">
        <w:rPr>
          <w:b/>
        </w:rPr>
        <w:t>Луговская Светлана Алексеевна</w:t>
      </w:r>
      <w:r w:rsidR="00E31726">
        <w:rPr>
          <w:b/>
        </w:rPr>
        <w:t>,</w:t>
      </w:r>
      <w:r>
        <w:t xml:space="preserve"> </w:t>
      </w:r>
      <w:r w:rsidR="00E31726">
        <w:t>д.м.н.</w:t>
      </w:r>
      <w:r>
        <w:t>, профессор кафедры клинической лабораторной диагностики Г</w:t>
      </w:r>
      <w:r w:rsidR="00E31726">
        <w:t>БОУ ДПО РМАНПО Минздрава России,</w:t>
      </w:r>
      <w:r>
        <w:t xml:space="preserve"> </w:t>
      </w:r>
      <w:r w:rsidR="00E31726">
        <w:t>ч</w:t>
      </w:r>
      <w:r>
        <w:t>лен Национального гематологического общества.</w:t>
      </w:r>
    </w:p>
    <w:p w14:paraId="5CE07D3A" w14:textId="77777777" w:rsidR="00B63BF6" w:rsidRDefault="00E31726" w:rsidP="00D61785">
      <w:pPr>
        <w:pStyle w:val="a4"/>
        <w:numPr>
          <w:ilvl w:val="0"/>
          <w:numId w:val="9"/>
        </w:numPr>
        <w:spacing w:before="0"/>
      </w:pPr>
      <w:r>
        <w:rPr>
          <w:b/>
        </w:rPr>
        <w:t>Мухортова Ольга Валентиновна,</w:t>
      </w:r>
      <w:r w:rsidR="00B63BF6">
        <w:t xml:space="preserve"> </w:t>
      </w:r>
      <w:r>
        <w:t>д.м.н.</w:t>
      </w:r>
      <w:r w:rsidR="00B63BF6">
        <w:t xml:space="preserve">, врач-радилог высшей категории, старший научный сотрудник </w:t>
      </w:r>
      <w:r>
        <w:t>о</w:t>
      </w:r>
      <w:r w:rsidR="00B63BF6">
        <w:t>тдела ядерной диагностики (ПЭТ-центр</w:t>
      </w:r>
      <w:r>
        <w:t>а</w:t>
      </w:r>
      <w:r w:rsidR="00B63BF6">
        <w:t xml:space="preserve">) на базе </w:t>
      </w:r>
      <w:r w:rsidRPr="00E31726">
        <w:t xml:space="preserve">ФГБУ </w:t>
      </w:r>
      <w:r>
        <w:t xml:space="preserve">«НМИЦ </w:t>
      </w:r>
      <w:r w:rsidR="00B63BF6">
        <w:t>сердечно-сосудистой хирургии им. А.Н. Бакулева</w:t>
      </w:r>
      <w:r>
        <w:t>» Минздрава России</w:t>
      </w:r>
      <w:r w:rsidR="002E1CB9">
        <w:t>.</w:t>
      </w:r>
    </w:p>
    <w:p w14:paraId="2B3105E5" w14:textId="77777777" w:rsidR="00B63BF6" w:rsidRDefault="00E31726" w:rsidP="00D61785">
      <w:pPr>
        <w:pStyle w:val="a4"/>
        <w:numPr>
          <w:ilvl w:val="0"/>
          <w:numId w:val="9"/>
        </w:numPr>
        <w:spacing w:before="0"/>
      </w:pPr>
      <w:r>
        <w:rPr>
          <w:b/>
        </w:rPr>
        <w:t>Никитин Евгений Александрович,</w:t>
      </w:r>
      <w:r w:rsidR="00B63BF6">
        <w:t xml:space="preserve"> </w:t>
      </w:r>
      <w:r>
        <w:t>д.м.н.</w:t>
      </w:r>
      <w:r w:rsidR="00B63BF6">
        <w:t xml:space="preserve">, профессор, заведующий дневным стационаром гематологии, онкологии и химиотерапии городского гематологического центра ГБУЗ </w:t>
      </w:r>
      <w:r>
        <w:t>«</w:t>
      </w:r>
      <w:r w:rsidR="00B63BF6">
        <w:t>ГКБ им. С.П. Боткина ДЗ г. Москвы</w:t>
      </w:r>
      <w:r>
        <w:t>»,</w:t>
      </w:r>
      <w:r w:rsidR="00B63BF6">
        <w:t xml:space="preserve"> </w:t>
      </w:r>
      <w:r>
        <w:t>ч</w:t>
      </w:r>
      <w:r w:rsidR="00B63BF6">
        <w:t>лен правления Российского общества онкогематологов, член правления Национального гем</w:t>
      </w:r>
      <w:r w:rsidR="002E1CB9">
        <w:t>а</w:t>
      </w:r>
      <w:r w:rsidR="00B63BF6">
        <w:t>тологического общества.</w:t>
      </w:r>
    </w:p>
    <w:p w14:paraId="12BBE448" w14:textId="77777777" w:rsidR="00BA3B8F" w:rsidRDefault="00BA3B8F" w:rsidP="00D61785">
      <w:pPr>
        <w:pStyle w:val="a4"/>
        <w:numPr>
          <w:ilvl w:val="0"/>
          <w:numId w:val="9"/>
        </w:numPr>
        <w:spacing w:before="0"/>
      </w:pPr>
      <w:bookmarkStart w:id="88" w:name="_Hlk19634642"/>
      <w:r>
        <w:rPr>
          <w:b/>
        </w:rPr>
        <w:t xml:space="preserve">Османов Евгений Александрович, </w:t>
      </w:r>
      <w:r>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 </w:t>
      </w:r>
      <w:r>
        <w:t>член правления Национального гематологического общества.</w:t>
      </w:r>
    </w:p>
    <w:bookmarkEnd w:id="88"/>
    <w:p w14:paraId="4D315993" w14:textId="77777777" w:rsidR="00B63BF6" w:rsidRDefault="00B63BF6" w:rsidP="00D61785">
      <w:pPr>
        <w:pStyle w:val="a4"/>
        <w:numPr>
          <w:ilvl w:val="0"/>
          <w:numId w:val="9"/>
        </w:numPr>
        <w:spacing w:before="0"/>
      </w:pPr>
      <w:r w:rsidRPr="002E1CB9">
        <w:rPr>
          <w:b/>
        </w:rPr>
        <w:t>Поддубная Ирина Владимировна</w:t>
      </w:r>
      <w:r w:rsidR="00E31726">
        <w:rPr>
          <w:b/>
        </w:rPr>
        <w:t>,</w:t>
      </w:r>
      <w:r>
        <w:t xml:space="preserve"> </w:t>
      </w:r>
      <w:r w:rsidR="00E31726">
        <w:t>а</w:t>
      </w:r>
      <w:r>
        <w:t xml:space="preserve">кадемик РАН, заслуженный деятель образования РФ, </w:t>
      </w:r>
      <w:r w:rsidR="00E31726">
        <w:t>д.м.н.</w:t>
      </w:r>
      <w:r>
        <w:t>, профессор, зав. кафедрой онкологии</w:t>
      </w:r>
      <w:r w:rsidR="00303E7D">
        <w:t xml:space="preserve"> и паллиативной медицины</w:t>
      </w:r>
      <w:r>
        <w:t xml:space="preserve">, проректор по </w:t>
      </w:r>
      <w:r w:rsidR="00303E7D">
        <w:t xml:space="preserve">лечебной </w:t>
      </w:r>
      <w:r>
        <w:t xml:space="preserve">работе и международному сотрудничеству ГБОУ ДПО РМАНПО </w:t>
      </w:r>
      <w:r w:rsidR="00E31726">
        <w:t>Минздрава России,</w:t>
      </w:r>
      <w:r>
        <w:t xml:space="preserve"> </w:t>
      </w:r>
      <w:r w:rsidR="00E31726">
        <w:t>п</w:t>
      </w:r>
      <w:r>
        <w:t>редседатель Российского общества онкогематологов.</w:t>
      </w:r>
    </w:p>
    <w:p w14:paraId="794637D0" w14:textId="77777777" w:rsidR="00B63BF6" w:rsidRDefault="00B63BF6" w:rsidP="00D61785">
      <w:pPr>
        <w:pStyle w:val="a4"/>
        <w:numPr>
          <w:ilvl w:val="0"/>
          <w:numId w:val="9"/>
        </w:numPr>
        <w:spacing w:before="0"/>
        <w:ind w:left="714" w:hanging="357"/>
      </w:pPr>
      <w:r w:rsidRPr="002E1CB9">
        <w:rPr>
          <w:b/>
        </w:rPr>
        <w:t>Самойлова Ольга Сергеевна</w:t>
      </w:r>
      <w:r w:rsidR="00E31726">
        <w:rPr>
          <w:b/>
        </w:rPr>
        <w:t>,</w:t>
      </w:r>
      <w:r>
        <w:t xml:space="preserve"> </w:t>
      </w:r>
      <w:r w:rsidR="00E31726">
        <w:t>к.м.н.</w:t>
      </w:r>
      <w:r>
        <w:t>, врач-гематолог, заведующая гематологическим отделением Нижегородской областной клинической больницы им. Н.А. Семашко</w:t>
      </w:r>
      <w:r w:rsidR="00E31726">
        <w:t>,</w:t>
      </w:r>
      <w:r>
        <w:t xml:space="preserve"> </w:t>
      </w:r>
      <w:r w:rsidR="00E31726">
        <w:t>г</w:t>
      </w:r>
      <w:r>
        <w:t>лавный внештатный гематолог П</w:t>
      </w:r>
      <w:r w:rsidR="006D00D7">
        <w:t>риволжского федерального округа,</w:t>
      </w:r>
      <w:r>
        <w:t xml:space="preserve"> </w:t>
      </w:r>
      <w:r w:rsidR="006D00D7">
        <w:t>ч</w:t>
      </w:r>
      <w:r>
        <w:t>лен Российского общества онкогематологов, член Национального гематологического общества.</w:t>
      </w:r>
    </w:p>
    <w:p w14:paraId="15D8177B" w14:textId="6244622F" w:rsidR="00B63BF6" w:rsidRDefault="00B63BF6" w:rsidP="00D61785">
      <w:pPr>
        <w:pStyle w:val="a4"/>
        <w:numPr>
          <w:ilvl w:val="0"/>
          <w:numId w:val="9"/>
        </w:numPr>
        <w:spacing w:before="0"/>
        <w:ind w:left="714" w:hanging="357"/>
      </w:pPr>
      <w:r w:rsidRPr="002E1CB9">
        <w:rPr>
          <w:b/>
        </w:rPr>
        <w:t>Стадник Елена Александровна</w:t>
      </w:r>
      <w:r w:rsidR="006D00D7">
        <w:rPr>
          <w:b/>
        </w:rPr>
        <w:t>,</w:t>
      </w:r>
      <w:r>
        <w:t xml:space="preserve"> </w:t>
      </w:r>
      <w:r w:rsidR="006D00D7">
        <w:t>к.м.н.</w:t>
      </w:r>
      <w:r>
        <w:t>, доцент кафедры факу</w:t>
      </w:r>
      <w:r w:rsidR="006D00D7">
        <w:t xml:space="preserve">льтетской терапии </w:t>
      </w:r>
      <w:r w:rsidR="006D00D7" w:rsidRPr="006D00D7">
        <w:t xml:space="preserve">ФГБОУ ВО </w:t>
      </w:r>
      <w:r w:rsidR="006D00D7">
        <w:t>«</w:t>
      </w:r>
      <w:r w:rsidR="006D00D7" w:rsidRPr="006D00D7">
        <w:t>ПСПбГМУ им. И.П. Павлова</w:t>
      </w:r>
      <w:r w:rsidR="006D00D7">
        <w:t>»</w:t>
      </w:r>
      <w:r w:rsidR="006D00D7" w:rsidRPr="006D00D7">
        <w:t xml:space="preserve"> Минздрава России</w:t>
      </w:r>
      <w:r>
        <w:t xml:space="preserve">, старший научный сотрудник </w:t>
      </w:r>
      <w:r w:rsidR="006D00D7" w:rsidRPr="006D00D7">
        <w:t>ФГБУ «НМИЦ им. В. А. Алмазова» Минздрава России</w:t>
      </w:r>
      <w:r w:rsidR="006D00D7">
        <w:t>,</w:t>
      </w:r>
      <w:r>
        <w:t xml:space="preserve"> </w:t>
      </w:r>
      <w:r w:rsidR="006D00D7">
        <w:t>ч</w:t>
      </w:r>
      <w:r>
        <w:t xml:space="preserve">лен Российского общества онкогематологов. </w:t>
      </w:r>
    </w:p>
    <w:p w14:paraId="7477952A" w14:textId="7BBAD47E" w:rsidR="006F4507" w:rsidRDefault="006F4507" w:rsidP="00D61785">
      <w:pPr>
        <w:pStyle w:val="a4"/>
        <w:numPr>
          <w:ilvl w:val="0"/>
          <w:numId w:val="9"/>
        </w:numPr>
        <w:spacing w:before="0"/>
        <w:ind w:left="714" w:hanging="357"/>
      </w:pPr>
      <w:r w:rsidRPr="005D3BBD">
        <w:rPr>
          <w:b/>
        </w:rPr>
        <w:t>Стефанов Дмитрий Николаевич</w:t>
      </w:r>
      <w:r>
        <w:rPr>
          <w:b/>
        </w:rPr>
        <w:t>,</w:t>
      </w:r>
      <w:r>
        <w:t xml:space="preserve"> научный сотрудник ФГБУ «НМИЦ ДГОИ им. Дмитрия Рогачева» Минздрава России, член Российского общества онкогематологов</w:t>
      </w:r>
    </w:p>
    <w:p w14:paraId="1E099956" w14:textId="77777777" w:rsidR="00BA3B8F" w:rsidRDefault="00BA3B8F" w:rsidP="00D61785">
      <w:pPr>
        <w:pStyle w:val="a4"/>
        <w:numPr>
          <w:ilvl w:val="0"/>
          <w:numId w:val="9"/>
        </w:numPr>
        <w:spacing w:before="0"/>
        <w:ind w:left="714" w:hanging="357"/>
      </w:pPr>
      <w:r>
        <w:rPr>
          <w:b/>
        </w:rPr>
        <w:t>Фалалеева Наталья Александровна –</w:t>
      </w:r>
      <w:r>
        <w:t xml:space="preserve"> </w:t>
      </w:r>
      <w:r w:rsidRPr="005D06F2">
        <w:t>д.м.н.</w:t>
      </w:r>
      <w:r>
        <w:t xml:space="preserve">, зав. отделением противоопухолевого лекарственного лечения </w:t>
      </w:r>
      <w:r w:rsidRPr="000B0DE9">
        <w:t xml:space="preserve">МРНЦ им. А.Ф. Цыба - филиал ФГБУ </w:t>
      </w:r>
      <w:r>
        <w:t>«</w:t>
      </w:r>
      <w:r w:rsidRPr="000B0DE9">
        <w:t>НМИЦ радиологии</w:t>
      </w:r>
      <w:r>
        <w:t>»</w:t>
      </w:r>
      <w:r w:rsidRPr="000B0DE9">
        <w:t xml:space="preserve"> Минздрава России</w:t>
      </w:r>
      <w:r>
        <w:t>, член Ассоциации онкологов России и Российской Ассоциации терапевтических радиационных онкологов.</w:t>
      </w:r>
    </w:p>
    <w:p w14:paraId="714C2EF0" w14:textId="01B5CB3D" w:rsidR="00ED5B4B" w:rsidRDefault="00ED5B4B" w:rsidP="00D61785">
      <w:pPr>
        <w:pStyle w:val="a4"/>
        <w:numPr>
          <w:ilvl w:val="0"/>
          <w:numId w:val="9"/>
        </w:numPr>
        <w:spacing w:before="0"/>
        <w:contextualSpacing/>
      </w:pPr>
      <w:r>
        <w:rPr>
          <w:b/>
          <w:bCs/>
        </w:rPr>
        <w:t>Байков Вадим Валентинович</w:t>
      </w:r>
      <w:r w:rsidR="006F4507">
        <w:rPr>
          <w:b/>
          <w:bCs/>
        </w:rPr>
        <w:t>,</w:t>
      </w:r>
      <w:r>
        <w:t xml:space="preserve">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14:paraId="12B19DF5" w14:textId="3642991D" w:rsidR="00ED5B4B" w:rsidRPr="0008146B" w:rsidRDefault="00ED5B4B" w:rsidP="00D61785">
      <w:pPr>
        <w:pStyle w:val="a4"/>
        <w:numPr>
          <w:ilvl w:val="0"/>
          <w:numId w:val="9"/>
        </w:numPr>
        <w:spacing w:before="0"/>
        <w:contextualSpacing/>
      </w:pPr>
      <w:r>
        <w:rPr>
          <w:b/>
          <w:bCs/>
        </w:rPr>
        <w:t>Ковригина Алла Михайловна</w:t>
      </w:r>
      <w:r w:rsidR="006F4507">
        <w:rPr>
          <w:b/>
          <w:bCs/>
        </w:rPr>
        <w:t>,</w:t>
      </w:r>
      <w:r>
        <w:rPr>
          <w:b/>
          <w:bCs/>
        </w:rPr>
        <w:t xml:space="preserve"> </w:t>
      </w:r>
      <w:r>
        <w:t>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p>
    <w:p w14:paraId="430581B7" w14:textId="7C6AB385" w:rsidR="0030568B" w:rsidRDefault="0030568B" w:rsidP="00D61785">
      <w:pPr>
        <w:pStyle w:val="Default"/>
        <w:numPr>
          <w:ilvl w:val="0"/>
          <w:numId w:val="9"/>
        </w:numPr>
        <w:spacing w:line="360" w:lineRule="auto"/>
        <w:ind w:left="714" w:hanging="357"/>
      </w:pPr>
      <w:r w:rsidRPr="00E92FAD">
        <w:rPr>
          <w:b/>
          <w:bCs/>
        </w:rPr>
        <w:t>Невольских Алексей Алексеевич</w:t>
      </w:r>
      <w:r w:rsidR="00B27097" w:rsidRPr="00B27097">
        <w:rPr>
          <w:b/>
          <w:bCs/>
        </w:rPr>
        <w:t>,</w:t>
      </w:r>
      <w:r w:rsidRPr="000B0DE9">
        <w:t xml:space="preserve"> д</w:t>
      </w:r>
      <w:r>
        <w:t xml:space="preserve">.м.н., </w:t>
      </w:r>
      <w:r w:rsidRPr="000B0DE9">
        <w:t xml:space="preserve">заместитель директора по лечебной  МРНЦ им. А.Ф. Цыба - филиал ФГБУ </w:t>
      </w:r>
      <w:r>
        <w:t>«</w:t>
      </w:r>
      <w:r w:rsidRPr="000B0DE9">
        <w:t>НМИЦ радиологии</w:t>
      </w:r>
      <w:r>
        <w:t>»</w:t>
      </w:r>
      <w:r w:rsidRPr="000B0DE9">
        <w:t xml:space="preserve"> Минздрава России.</w:t>
      </w:r>
    </w:p>
    <w:p w14:paraId="454E2EC9" w14:textId="6E67A6C3" w:rsidR="0030568B" w:rsidRDefault="0030568B" w:rsidP="00D61785">
      <w:pPr>
        <w:pStyle w:val="Default"/>
        <w:numPr>
          <w:ilvl w:val="0"/>
          <w:numId w:val="9"/>
        </w:numPr>
        <w:spacing w:line="360" w:lineRule="auto"/>
        <w:ind w:left="714" w:hanging="357"/>
      </w:pPr>
      <w:r w:rsidRPr="00E92FAD">
        <w:rPr>
          <w:b/>
          <w:bCs/>
        </w:rPr>
        <w:t>Иванов Сергей Анатольевич</w:t>
      </w:r>
      <w:r w:rsidR="00B27097" w:rsidRPr="00B27097">
        <w:rPr>
          <w:b/>
          <w:bCs/>
        </w:rPr>
        <w:t>,</w:t>
      </w:r>
      <w:r w:rsidRPr="000B0DE9">
        <w:t> профессор РАН, д</w:t>
      </w:r>
      <w:r>
        <w:t xml:space="preserve">.м.н., </w:t>
      </w:r>
      <w:r w:rsidRPr="000B0DE9">
        <w:t xml:space="preserve">директор МРНЦ им. А.Ф. Цыба - филиал ФГБУ </w:t>
      </w:r>
      <w:r>
        <w:t>«</w:t>
      </w:r>
      <w:r w:rsidRPr="000B0DE9">
        <w:t>НМИЦ радиологии</w:t>
      </w:r>
      <w:r>
        <w:t>»</w:t>
      </w:r>
      <w:r w:rsidRPr="000B0DE9">
        <w:t xml:space="preserve"> Минздрава России.</w:t>
      </w:r>
    </w:p>
    <w:p w14:paraId="63659EAC" w14:textId="06DE9684" w:rsidR="0030568B" w:rsidRDefault="0030568B" w:rsidP="00D61785">
      <w:pPr>
        <w:pStyle w:val="Default"/>
        <w:numPr>
          <w:ilvl w:val="0"/>
          <w:numId w:val="9"/>
        </w:numPr>
        <w:spacing w:line="360" w:lineRule="auto"/>
        <w:ind w:left="714" w:hanging="357"/>
      </w:pPr>
      <w:r w:rsidRPr="00E92FAD">
        <w:rPr>
          <w:b/>
          <w:bCs/>
        </w:rPr>
        <w:t>Хайлова Жанна Владимировна</w:t>
      </w:r>
      <w:r w:rsidR="00B27097" w:rsidRPr="00B27097">
        <w:rPr>
          <w:b/>
          <w:bCs/>
        </w:rPr>
        <w:t>,</w:t>
      </w:r>
      <w:r w:rsidRPr="000B0DE9">
        <w:t xml:space="preserve"> кандидат медицинских наук, заместитель директора по организационно-методической работе МРНЦ им. А.Ф. Цыба - филиал ФГБУ "НМИЦ радиологии" Минздрава России.</w:t>
      </w:r>
    </w:p>
    <w:p w14:paraId="4C851B87" w14:textId="45040C46" w:rsidR="0030568B" w:rsidRPr="00E53066" w:rsidRDefault="0030568B" w:rsidP="00D61785">
      <w:pPr>
        <w:pStyle w:val="Default"/>
        <w:numPr>
          <w:ilvl w:val="0"/>
          <w:numId w:val="9"/>
        </w:numPr>
        <w:spacing w:line="360" w:lineRule="auto"/>
        <w:ind w:left="714" w:hanging="357"/>
      </w:pPr>
      <w:r w:rsidRPr="00E92FAD">
        <w:rPr>
          <w:b/>
          <w:bCs/>
          <w:shd w:val="clear" w:color="auto" w:fill="FFFFFF"/>
        </w:rPr>
        <w:t>Геворкян Тигран Гагикович</w:t>
      </w:r>
      <w:r w:rsidR="00B27097" w:rsidRPr="00B27097">
        <w:rPr>
          <w:b/>
          <w:bCs/>
          <w:shd w:val="clear" w:color="auto" w:fill="FFFFFF"/>
        </w:rPr>
        <w:t>,</w:t>
      </w:r>
      <w:r w:rsidRPr="00E92FAD">
        <w:rPr>
          <w:shd w:val="clear" w:color="auto" w:fill="FFFFFF"/>
        </w:rPr>
        <w:t xml:space="preserve"> заместитель директора НИИ КЭР ФГБУ НМИЦ Онкол</w:t>
      </w:r>
      <w:r>
        <w:rPr>
          <w:shd w:val="clear" w:color="auto" w:fill="FFFFFF"/>
        </w:rPr>
        <w:t>ог</w:t>
      </w:r>
      <w:r w:rsidRPr="00E92FAD">
        <w:rPr>
          <w:shd w:val="clear" w:color="auto" w:fill="FFFFFF"/>
        </w:rPr>
        <w:t>ии им.</w:t>
      </w:r>
      <w:r>
        <w:rPr>
          <w:shd w:val="clear" w:color="auto" w:fill="FFFFFF"/>
        </w:rPr>
        <w:t xml:space="preserve"> </w:t>
      </w:r>
      <w:r w:rsidRPr="00E92FAD">
        <w:rPr>
          <w:shd w:val="clear" w:color="auto" w:fill="FFFFFF"/>
        </w:rPr>
        <w:t>Н.Н. Блохина</w:t>
      </w:r>
    </w:p>
    <w:p w14:paraId="4FBFC649" w14:textId="77777777" w:rsidR="00B27097" w:rsidRPr="00E474D3" w:rsidRDefault="00B27097" w:rsidP="00B27097">
      <w:pPr>
        <w:rPr>
          <w:b/>
          <w:color w:val="222222"/>
          <w:sz w:val="28"/>
          <w:szCs w:val="24"/>
          <w:shd w:val="clear" w:color="auto" w:fill="FFFFFF"/>
        </w:rPr>
      </w:pPr>
      <w:r w:rsidRPr="00E474D3">
        <w:rPr>
          <w:b/>
          <w:color w:val="222222"/>
          <w:sz w:val="28"/>
          <w:szCs w:val="24"/>
          <w:shd w:val="clear" w:color="auto" w:fill="FFFFFF"/>
        </w:rPr>
        <w:t>Блок по трансплантации аллогенных гемопоэтических стволовых клеток</w:t>
      </w:r>
    </w:p>
    <w:p w14:paraId="68056CE2" w14:textId="6296B35F" w:rsidR="00B27097" w:rsidRPr="00E474D3" w:rsidRDefault="00B27097" w:rsidP="00B27097">
      <w:pPr>
        <w:pStyle w:val="a4"/>
        <w:numPr>
          <w:ilvl w:val="0"/>
          <w:numId w:val="9"/>
        </w:numPr>
        <w:overflowPunct w:val="0"/>
        <w:autoSpaceDE w:val="0"/>
        <w:autoSpaceDN w:val="0"/>
        <w:adjustRightInd w:val="0"/>
        <w:spacing w:before="0"/>
        <w:contextualSpacing/>
        <w:jc w:val="left"/>
        <w:textAlignment w:val="baseline"/>
        <w:rPr>
          <w:rFonts w:eastAsia="SimSun"/>
          <w:szCs w:val="24"/>
        </w:rPr>
      </w:pPr>
      <w:r w:rsidRPr="00B27097">
        <w:rPr>
          <w:rFonts w:eastAsia="SimSun"/>
          <w:b/>
          <w:bCs/>
          <w:szCs w:val="24"/>
        </w:rPr>
        <w:t xml:space="preserve">Савченко Валерий Григорьевич, </w:t>
      </w:r>
      <w:r w:rsidRPr="00E474D3">
        <w:rPr>
          <w:szCs w:val="24"/>
        </w:rPr>
        <w:t>д.м.н., профессор, академик РАН</w:t>
      </w:r>
      <w:r w:rsidRPr="00B27097">
        <w:rPr>
          <w:szCs w:val="24"/>
        </w:rPr>
        <w:t>,</w:t>
      </w:r>
      <w:r w:rsidRPr="00E474D3">
        <w:rPr>
          <w:rFonts w:eastAsia="SimSun"/>
          <w:szCs w:val="24"/>
        </w:rPr>
        <w:t xml:space="preserve"> </w:t>
      </w:r>
      <w:r w:rsidRPr="00E474D3">
        <w:rPr>
          <w:szCs w:val="24"/>
        </w:rPr>
        <w:t xml:space="preserve">главный внештатный специалист гематолог Министерства здравоохранения РФ, Генеральный директор ФГБУ «НМИЦ гематологии» Минздрава России, </w:t>
      </w:r>
    </w:p>
    <w:p w14:paraId="332F13DC" w14:textId="2231A9E2" w:rsidR="00B27097" w:rsidRPr="00E474D3" w:rsidRDefault="00B27097" w:rsidP="00B27097">
      <w:pPr>
        <w:pStyle w:val="a4"/>
        <w:numPr>
          <w:ilvl w:val="0"/>
          <w:numId w:val="9"/>
        </w:numPr>
        <w:overflowPunct w:val="0"/>
        <w:autoSpaceDE w:val="0"/>
        <w:autoSpaceDN w:val="0"/>
        <w:adjustRightInd w:val="0"/>
        <w:spacing w:before="0"/>
        <w:contextualSpacing/>
        <w:jc w:val="left"/>
        <w:textAlignment w:val="baseline"/>
        <w:rPr>
          <w:rFonts w:eastAsia="SimSun"/>
          <w:szCs w:val="24"/>
        </w:rPr>
      </w:pPr>
      <w:r w:rsidRPr="009213CB">
        <w:rPr>
          <w:rFonts w:eastAsia="SimSun"/>
          <w:b/>
          <w:bCs/>
          <w:szCs w:val="24"/>
        </w:rPr>
        <w:t>Дроков Михаил Юрьевич</w:t>
      </w:r>
      <w:r w:rsidR="009213CB" w:rsidRPr="009213CB">
        <w:rPr>
          <w:rFonts w:eastAsia="SimSun"/>
          <w:b/>
          <w:bCs/>
          <w:szCs w:val="24"/>
        </w:rPr>
        <w:t xml:space="preserve">, </w:t>
      </w:r>
      <w:r w:rsidR="009213CB" w:rsidRPr="00E474D3">
        <w:rPr>
          <w:rFonts w:eastAsia="SimSun"/>
          <w:szCs w:val="24"/>
        </w:rPr>
        <w:t>к.м.н.</w:t>
      </w:r>
      <w:r w:rsidR="009213CB" w:rsidRPr="009213CB">
        <w:rPr>
          <w:rFonts w:eastAsia="SimSun"/>
          <w:szCs w:val="24"/>
        </w:rPr>
        <w:t>,</w:t>
      </w:r>
      <w:r>
        <w:rPr>
          <w:rFonts w:eastAsia="SimSun"/>
          <w:szCs w:val="24"/>
        </w:rPr>
        <w:t xml:space="preserve"> </w:t>
      </w:r>
      <w:r w:rsidRPr="00E474D3">
        <w:rPr>
          <w:rFonts w:eastAsia="SimSun"/>
          <w:szCs w:val="24"/>
        </w:rPr>
        <w:t xml:space="preserve">руководитель сектора по изучению иммунных воздействий и осложнений после ТКМ ФГБУ «НМИЦ гематологии» Минздрава России, </w:t>
      </w:r>
    </w:p>
    <w:p w14:paraId="3019BF22" w14:textId="15D26B9C"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9213CB">
        <w:rPr>
          <w:rFonts w:eastAsia="SimSun"/>
          <w:b/>
          <w:bCs/>
          <w:szCs w:val="24"/>
        </w:rPr>
        <w:t>Васильева Вера Алексеевна</w:t>
      </w:r>
      <w:r w:rsidR="009213CB" w:rsidRPr="009213CB">
        <w:rPr>
          <w:rFonts w:eastAsia="SimSun"/>
          <w:b/>
          <w:bCs/>
          <w:szCs w:val="24"/>
        </w:rPr>
        <w:t xml:space="preserve">, </w:t>
      </w:r>
      <w:r w:rsidR="009213CB" w:rsidRPr="00E474D3">
        <w:rPr>
          <w:rFonts w:eastAsia="SimSun"/>
          <w:szCs w:val="24"/>
        </w:rPr>
        <w:t>к.м.н.</w:t>
      </w:r>
      <w:r w:rsidR="009213CB" w:rsidRPr="009213CB">
        <w:rPr>
          <w:rFonts w:eastAsia="SimSun"/>
          <w:szCs w:val="24"/>
        </w:rPr>
        <w:t>,</w:t>
      </w:r>
      <w:r w:rsidRPr="00E474D3">
        <w:rPr>
          <w:rFonts w:eastAsia="SimSun"/>
          <w:szCs w:val="24"/>
        </w:rPr>
        <w:t xml:space="preserve"> заведующая отделением иммунохимиотерапии с дневным стационаром для больных после ТКМ ФГБУ «НМИЦ гематологии» Минздрава России, </w:t>
      </w:r>
    </w:p>
    <w:p w14:paraId="66C63784" w14:textId="2D929F47"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9213CB">
        <w:rPr>
          <w:rFonts w:eastAsia="SimSun"/>
          <w:b/>
          <w:bCs/>
          <w:szCs w:val="24"/>
        </w:rPr>
        <w:t>Власова Юлия Юрьевна</w:t>
      </w:r>
      <w:r w:rsidR="009213CB" w:rsidRPr="009213CB">
        <w:rPr>
          <w:rFonts w:eastAsia="SimSun"/>
          <w:b/>
          <w:bCs/>
          <w:szCs w:val="24"/>
        </w:rPr>
        <w:t xml:space="preserve">, </w:t>
      </w:r>
      <w:r w:rsidR="009213CB" w:rsidRPr="00E474D3">
        <w:rPr>
          <w:rFonts w:eastAsia="SimSun"/>
          <w:szCs w:val="24"/>
        </w:rPr>
        <w:t>к.м.н.</w:t>
      </w:r>
      <w:r w:rsidR="009213CB" w:rsidRPr="009213CB">
        <w:rPr>
          <w:rFonts w:eastAsia="SimSun"/>
          <w:szCs w:val="24"/>
        </w:rPr>
        <w:t>,</w:t>
      </w:r>
      <w:r>
        <w:rPr>
          <w:rFonts w:eastAsia="SimSun"/>
          <w:szCs w:val="24"/>
        </w:rPr>
        <w:t xml:space="preserve"> </w:t>
      </w:r>
      <w:r w:rsidRPr="00E474D3">
        <w:rPr>
          <w:rFonts w:eastAsia="SimSun"/>
          <w:szCs w:val="24"/>
        </w:rPr>
        <w:t>зав. отделением транспантации костного мозга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5D4CBDAF" w14:textId="4520139E"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9213CB">
        <w:rPr>
          <w:rFonts w:eastAsia="SimSun"/>
          <w:b/>
          <w:bCs/>
          <w:szCs w:val="24"/>
        </w:rPr>
        <w:t>Гапонова Татьяна Владимировна</w:t>
      </w:r>
      <w:r w:rsidR="009213CB" w:rsidRPr="009213CB">
        <w:rPr>
          <w:rFonts w:eastAsia="SimSun"/>
          <w:szCs w:val="24"/>
        </w:rPr>
        <w:t xml:space="preserve">, </w:t>
      </w:r>
      <w:r w:rsidR="009213CB" w:rsidRPr="00E474D3">
        <w:rPr>
          <w:rFonts w:eastAsia="SimSun"/>
          <w:szCs w:val="24"/>
        </w:rPr>
        <w:t>к.м.н.</w:t>
      </w:r>
      <w:r w:rsidR="009213CB" w:rsidRPr="009213CB">
        <w:rPr>
          <w:rFonts w:eastAsia="SimSun"/>
          <w:szCs w:val="24"/>
        </w:rPr>
        <w:t>,</w:t>
      </w:r>
      <w:r w:rsidRPr="00E474D3">
        <w:rPr>
          <w:rFonts w:eastAsia="SimSun"/>
          <w:szCs w:val="24"/>
        </w:rPr>
        <w:t xml:space="preserve"> главный внештатный специалист-трансфузиолог </w:t>
      </w:r>
      <w:r w:rsidRPr="00E474D3">
        <w:rPr>
          <w:szCs w:val="24"/>
        </w:rPr>
        <w:t>Министерства здравоохранения РФ,</w:t>
      </w:r>
      <w:r w:rsidRPr="00E474D3">
        <w:rPr>
          <w:rFonts w:eastAsia="SimSun"/>
          <w:szCs w:val="24"/>
        </w:rPr>
        <w:t xml:space="preserve"> заместитель Генерального директора ФГБУ «НМИЦ гематологии» Минздрава России, зав. отделом процессинга клеток крови и криоконсервирования</w:t>
      </w:r>
    </w:p>
    <w:p w14:paraId="6415D0A4" w14:textId="7A077F35"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9213CB">
        <w:rPr>
          <w:rFonts w:eastAsia="SimSun"/>
          <w:b/>
          <w:bCs/>
          <w:szCs w:val="24"/>
        </w:rPr>
        <w:t>Грицаев Сергей Васильевич</w:t>
      </w:r>
      <w:r w:rsidR="009213CB" w:rsidRPr="009213CB">
        <w:rPr>
          <w:rFonts w:eastAsia="SimSun"/>
          <w:szCs w:val="24"/>
        </w:rPr>
        <w:t>,</w:t>
      </w:r>
      <w:r w:rsidR="009213CB" w:rsidRPr="00E474D3">
        <w:rPr>
          <w:rFonts w:eastAsia="SimSun"/>
          <w:szCs w:val="24"/>
        </w:rPr>
        <w:t xml:space="preserve"> д.м.н.</w:t>
      </w:r>
      <w:r w:rsidR="009213CB" w:rsidRPr="009213CB">
        <w:rPr>
          <w:rFonts w:eastAsia="SimSun"/>
          <w:szCs w:val="24"/>
        </w:rPr>
        <w:t xml:space="preserve">, </w:t>
      </w:r>
      <w:r w:rsidRPr="00E474D3">
        <w:rPr>
          <w:rFonts w:eastAsia="SimSun"/>
          <w:szCs w:val="24"/>
        </w:rPr>
        <w:t>руководитель Республиканского центра ТКМ ФГБУ РосНИИГТ ФМБА России</w:t>
      </w:r>
    </w:p>
    <w:p w14:paraId="6A596C94" w14:textId="672BFC90"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9213CB">
        <w:rPr>
          <w:rFonts w:eastAsia="SimSun"/>
          <w:b/>
          <w:bCs/>
          <w:szCs w:val="24"/>
        </w:rPr>
        <w:t>Зюзгин Илья Сергеевич</w:t>
      </w:r>
      <w:r w:rsidR="009213CB" w:rsidRPr="00700759">
        <w:rPr>
          <w:rFonts w:eastAsia="SimSun"/>
          <w:szCs w:val="24"/>
        </w:rPr>
        <w:t>,</w:t>
      </w:r>
      <w:r>
        <w:rPr>
          <w:rFonts w:eastAsia="SimSun"/>
          <w:szCs w:val="24"/>
        </w:rPr>
        <w:t xml:space="preserve"> </w:t>
      </w:r>
      <w:r w:rsidRPr="00E474D3">
        <w:rPr>
          <w:rFonts w:eastAsia="SimSun"/>
          <w:szCs w:val="24"/>
        </w:rPr>
        <w:t>заведующий отделением гематологии и трансплантации костного мозга ФГБУ «НМИЦ онкологии им. Н.Н. Петрова» Минздрава России</w:t>
      </w:r>
    </w:p>
    <w:p w14:paraId="03A7506C" w14:textId="1071A912"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700759">
        <w:rPr>
          <w:rFonts w:eastAsia="SimSun"/>
          <w:b/>
          <w:bCs/>
          <w:szCs w:val="24"/>
        </w:rPr>
        <w:t>Капорская Татьяна Семеновна</w:t>
      </w:r>
      <w:r w:rsidR="00700759" w:rsidRPr="00700759">
        <w:rPr>
          <w:rFonts w:eastAsia="SimSun"/>
          <w:szCs w:val="24"/>
        </w:rPr>
        <w:t>,</w:t>
      </w:r>
      <w:r w:rsidRPr="00E474D3">
        <w:rPr>
          <w:rFonts w:eastAsia="SimSun"/>
          <w:szCs w:val="24"/>
        </w:rPr>
        <w:t xml:space="preserve"> </w:t>
      </w:r>
      <w:r w:rsidR="00700759" w:rsidRPr="00E474D3">
        <w:rPr>
          <w:rFonts w:eastAsia="SimSun"/>
          <w:szCs w:val="24"/>
        </w:rPr>
        <w:t>к.м.н</w:t>
      </w:r>
      <w:r w:rsidR="00700759" w:rsidRPr="00700759">
        <w:rPr>
          <w:rFonts w:eastAsia="SimSun"/>
          <w:szCs w:val="24"/>
        </w:rPr>
        <w:t xml:space="preserve">., </w:t>
      </w:r>
      <w:r w:rsidRPr="00E474D3">
        <w:rPr>
          <w:rFonts w:eastAsia="SimSun"/>
          <w:szCs w:val="24"/>
        </w:rPr>
        <w:t>зав. отделением гематологии с блоком трансплантации костного мозга ГБУЗ «Иркутская ордена «Знак Почета» областная клиническая больница»</w:t>
      </w:r>
    </w:p>
    <w:p w14:paraId="44C4ECDE" w14:textId="26B33D23"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700759">
        <w:rPr>
          <w:rFonts w:eastAsia="SimSun"/>
          <w:b/>
          <w:bCs/>
          <w:szCs w:val="24"/>
        </w:rPr>
        <w:t>Климко Николай Николаевич</w:t>
      </w:r>
      <w:r w:rsidR="00700759" w:rsidRPr="00700759">
        <w:rPr>
          <w:rFonts w:eastAsia="SimSun"/>
          <w:szCs w:val="24"/>
        </w:rPr>
        <w:t>,</w:t>
      </w:r>
      <w:r>
        <w:rPr>
          <w:rFonts w:eastAsia="SimSun"/>
          <w:szCs w:val="24"/>
        </w:rPr>
        <w:t xml:space="preserve"> </w:t>
      </w:r>
      <w:r w:rsidR="00700759" w:rsidRPr="00E474D3">
        <w:rPr>
          <w:rFonts w:eastAsia="SimSun"/>
          <w:szCs w:val="24"/>
        </w:rPr>
        <w:t>д.м.н,</w:t>
      </w:r>
      <w:r w:rsidR="00700759" w:rsidRPr="00E474D3">
        <w:rPr>
          <w:szCs w:val="24"/>
        </w:rPr>
        <w:t xml:space="preserve"> профессор</w:t>
      </w:r>
      <w:r w:rsidR="00700759" w:rsidRPr="00700759">
        <w:rPr>
          <w:szCs w:val="24"/>
        </w:rPr>
        <w:t>,</w:t>
      </w:r>
      <w:r w:rsidR="00700759">
        <w:rPr>
          <w:rFonts w:eastAsia="SimSun"/>
          <w:szCs w:val="24"/>
        </w:rPr>
        <w:t xml:space="preserve"> </w:t>
      </w:r>
      <w:r w:rsidRPr="00E474D3">
        <w:rPr>
          <w:rFonts w:eastAsia="SimSun"/>
          <w:szCs w:val="24"/>
        </w:rPr>
        <w:t>заведующий кафедрой клинической микологии, аллергологии и иммунологии СЗГМУ им.</w:t>
      </w:r>
      <w:r w:rsidR="00700759">
        <w:rPr>
          <w:rFonts w:eastAsia="SimSun"/>
          <w:szCs w:val="24"/>
          <w:lang w:val="en-US"/>
        </w:rPr>
        <w:t> </w:t>
      </w:r>
      <w:r w:rsidRPr="00E474D3">
        <w:rPr>
          <w:rFonts w:eastAsia="SimSun"/>
          <w:szCs w:val="24"/>
        </w:rPr>
        <w:t>И.</w:t>
      </w:r>
      <w:r w:rsidR="00700759">
        <w:rPr>
          <w:rFonts w:eastAsia="SimSun"/>
          <w:szCs w:val="24"/>
          <w:lang w:val="en-US"/>
        </w:rPr>
        <w:t> </w:t>
      </w:r>
      <w:r w:rsidRPr="00E474D3">
        <w:rPr>
          <w:rFonts w:eastAsia="SimSun"/>
          <w:szCs w:val="24"/>
        </w:rPr>
        <w:t>И.</w:t>
      </w:r>
      <w:r w:rsidR="00700759">
        <w:rPr>
          <w:rFonts w:eastAsia="SimSun"/>
          <w:szCs w:val="24"/>
        </w:rPr>
        <w:t> </w:t>
      </w:r>
      <w:r w:rsidRPr="00E474D3">
        <w:rPr>
          <w:rFonts w:eastAsia="SimSun"/>
          <w:szCs w:val="24"/>
        </w:rPr>
        <w:t xml:space="preserve">Мечникова., </w:t>
      </w:r>
    </w:p>
    <w:p w14:paraId="51BFCBE0" w14:textId="71CCDABE"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700759">
        <w:rPr>
          <w:rFonts w:eastAsia="SimSun"/>
          <w:b/>
          <w:bCs/>
          <w:szCs w:val="24"/>
        </w:rPr>
        <w:t>Клясова Галина Александровна</w:t>
      </w:r>
      <w:r w:rsidR="00700759" w:rsidRPr="00700759">
        <w:rPr>
          <w:rFonts w:eastAsia="SimSun"/>
          <w:szCs w:val="24"/>
        </w:rPr>
        <w:t>,</w:t>
      </w:r>
      <w:r w:rsidRPr="00E474D3">
        <w:rPr>
          <w:rFonts w:eastAsia="SimSun"/>
          <w:szCs w:val="24"/>
        </w:rPr>
        <w:t xml:space="preserve"> </w:t>
      </w:r>
      <w:r w:rsidR="00700759" w:rsidRPr="00E474D3">
        <w:rPr>
          <w:rFonts w:eastAsia="SimSun"/>
          <w:szCs w:val="24"/>
        </w:rPr>
        <w:t>д.м.н.,</w:t>
      </w:r>
      <w:r w:rsidR="00700759" w:rsidRPr="00E474D3">
        <w:rPr>
          <w:szCs w:val="24"/>
        </w:rPr>
        <w:t xml:space="preserve"> профессор</w:t>
      </w:r>
      <w:r w:rsidR="00700759" w:rsidRPr="00700759">
        <w:rPr>
          <w:szCs w:val="24"/>
        </w:rPr>
        <w:t xml:space="preserve">, </w:t>
      </w:r>
      <w:r w:rsidRPr="00E474D3">
        <w:rPr>
          <w:rFonts w:eastAsia="SimSun"/>
          <w:szCs w:val="24"/>
        </w:rPr>
        <w:t xml:space="preserve">зав. лабораторией клинической бактериологии, микологии и антибиотической терапии ФГБУ «НМИЦ гематологии» Минздрава России, </w:t>
      </w:r>
    </w:p>
    <w:p w14:paraId="45FD384D" w14:textId="0E0F08AF"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700759">
        <w:rPr>
          <w:rFonts w:eastAsia="SimSun"/>
          <w:b/>
          <w:bCs/>
          <w:szCs w:val="24"/>
        </w:rPr>
        <w:t>Константинова Татьяна Семеновна</w:t>
      </w:r>
      <w:r w:rsidR="00700759" w:rsidRPr="00700759">
        <w:rPr>
          <w:rFonts w:eastAsia="SimSun"/>
          <w:b/>
          <w:bCs/>
          <w:szCs w:val="24"/>
        </w:rPr>
        <w:t>,</w:t>
      </w:r>
      <w:r w:rsidRPr="00E474D3">
        <w:rPr>
          <w:rFonts w:eastAsia="SimSun"/>
          <w:szCs w:val="24"/>
        </w:rPr>
        <w:t xml:space="preserve"> </w:t>
      </w:r>
      <w:r w:rsidR="00700759" w:rsidRPr="00E474D3">
        <w:rPr>
          <w:rFonts w:eastAsia="SimSun"/>
          <w:szCs w:val="24"/>
        </w:rPr>
        <w:t>к.м.н.</w:t>
      </w:r>
      <w:r w:rsidR="00700759" w:rsidRPr="00700759">
        <w:rPr>
          <w:rFonts w:eastAsia="SimSun"/>
          <w:szCs w:val="24"/>
        </w:rPr>
        <w:t xml:space="preserve">, </w:t>
      </w:r>
      <w:r w:rsidRPr="00E474D3">
        <w:rPr>
          <w:rFonts w:eastAsia="SimSun"/>
          <w:szCs w:val="24"/>
        </w:rPr>
        <w:t>заведующая отделением гематологии ГАУЗ СО «Свердловская областная больница №1», главный внештатный гематолог УрФО и Свердловской области, доцент ФГБОУ ВО «Уральского Государственного Медицинского Университета» МЗ РФ</w:t>
      </w:r>
    </w:p>
    <w:p w14:paraId="1E65B957" w14:textId="53C316B0" w:rsidR="00B27097" w:rsidRPr="00C8154D"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700759">
        <w:rPr>
          <w:rFonts w:eastAsia="SimSun"/>
          <w:b/>
          <w:bCs/>
          <w:szCs w:val="24"/>
        </w:rPr>
        <w:t>Кузьмина Лариса Анатольевна</w:t>
      </w:r>
      <w:r w:rsidR="00700759" w:rsidRPr="00700759">
        <w:rPr>
          <w:szCs w:val="24"/>
        </w:rPr>
        <w:t>,</w:t>
      </w:r>
      <w:r w:rsidRPr="00E474D3">
        <w:rPr>
          <w:szCs w:val="24"/>
        </w:rPr>
        <w:t xml:space="preserve"> </w:t>
      </w:r>
      <w:r w:rsidRPr="00E474D3">
        <w:rPr>
          <w:rFonts w:eastAsia="SimSun"/>
          <w:szCs w:val="24"/>
        </w:rPr>
        <w:t>зав. отделением интенсивной высокодозной химиотерапии и трансплантации костного мозга с круглосуточным стационаром ФГБУ</w:t>
      </w:r>
      <w:r>
        <w:rPr>
          <w:rFonts w:eastAsia="SimSun"/>
          <w:szCs w:val="24"/>
        </w:rPr>
        <w:t xml:space="preserve"> </w:t>
      </w:r>
      <w:r w:rsidRPr="00C8154D">
        <w:rPr>
          <w:rFonts w:eastAsia="SimSun"/>
          <w:szCs w:val="24"/>
        </w:rPr>
        <w:t>«НМИЦ гематологии» Минздрава России</w:t>
      </w:r>
    </w:p>
    <w:p w14:paraId="3F841081" w14:textId="4658D8CF"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F855A0">
        <w:rPr>
          <w:rFonts w:eastAsia="SimSun"/>
          <w:b/>
          <w:bCs/>
          <w:szCs w:val="24"/>
        </w:rPr>
        <w:t>Кулагин Александр Дмитриевич</w:t>
      </w:r>
      <w:r w:rsidR="00F855A0">
        <w:rPr>
          <w:rFonts w:eastAsia="SimSun"/>
          <w:b/>
          <w:bCs/>
          <w:szCs w:val="24"/>
        </w:rPr>
        <w:t xml:space="preserve">, </w:t>
      </w:r>
      <w:r w:rsidR="00F855A0" w:rsidRPr="00E474D3">
        <w:rPr>
          <w:rFonts w:eastAsia="SimSun"/>
          <w:szCs w:val="24"/>
        </w:rPr>
        <w:t>д.м.н</w:t>
      </w:r>
      <w:r w:rsidR="00F855A0">
        <w:rPr>
          <w:rFonts w:eastAsia="SimSun"/>
          <w:szCs w:val="24"/>
        </w:rPr>
        <w:t>.,</w:t>
      </w:r>
      <w:r w:rsidR="00F855A0" w:rsidRPr="00E474D3">
        <w:rPr>
          <w:rFonts w:eastAsia="SimSun"/>
          <w:szCs w:val="24"/>
        </w:rPr>
        <w:t xml:space="preserve"> </w:t>
      </w:r>
      <w:r w:rsidRPr="00E474D3">
        <w:rPr>
          <w:rFonts w:eastAsia="SimSun"/>
          <w:szCs w:val="24"/>
        </w:rPr>
        <w:t>и.о. директора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4879ECCB" w14:textId="35B51311"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F855A0">
        <w:rPr>
          <w:rFonts w:eastAsia="SimSun"/>
          <w:b/>
          <w:bCs/>
          <w:szCs w:val="24"/>
        </w:rPr>
        <w:t>Минаева Наталья Викторовна</w:t>
      </w:r>
      <w:r w:rsidR="00F855A0" w:rsidRPr="00F855A0">
        <w:rPr>
          <w:rFonts w:eastAsia="SimSun"/>
          <w:szCs w:val="24"/>
        </w:rPr>
        <w:t xml:space="preserve">, </w:t>
      </w:r>
      <w:r w:rsidRPr="00E474D3">
        <w:rPr>
          <w:rFonts w:eastAsia="SimSun"/>
          <w:szCs w:val="24"/>
        </w:rPr>
        <w:t>зам. директора по лечебной работе ФГБУН КНИИ ГПК ФМБА России</w:t>
      </w:r>
    </w:p>
    <w:p w14:paraId="087E0FFA" w14:textId="589048A7"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F855A0">
        <w:rPr>
          <w:rFonts w:eastAsia="SimSun"/>
          <w:b/>
          <w:bCs/>
          <w:szCs w:val="24"/>
        </w:rPr>
        <w:t>Моисеев Иван Сергеевич</w:t>
      </w:r>
      <w:r w:rsidR="00F855A0" w:rsidRPr="00F855A0">
        <w:rPr>
          <w:rFonts w:eastAsia="SimSun"/>
          <w:b/>
          <w:bCs/>
          <w:szCs w:val="24"/>
        </w:rPr>
        <w:t>,</w:t>
      </w:r>
      <w:r w:rsidR="00F855A0" w:rsidRPr="00E474D3">
        <w:rPr>
          <w:rFonts w:eastAsia="SimSun"/>
          <w:szCs w:val="24"/>
        </w:rPr>
        <w:t xml:space="preserve"> д.м.н.</w:t>
      </w:r>
      <w:r w:rsidR="00F855A0" w:rsidRPr="00F855A0">
        <w:rPr>
          <w:rFonts w:eastAsia="SimSun"/>
          <w:szCs w:val="24"/>
        </w:rPr>
        <w:t xml:space="preserve">, </w:t>
      </w:r>
      <w:r w:rsidRPr="00E474D3">
        <w:rPr>
          <w:rFonts w:eastAsia="SimSun"/>
          <w:szCs w:val="24"/>
        </w:rPr>
        <w:t>зам. директора по науке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67379055" w14:textId="1E983484"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F855A0">
        <w:rPr>
          <w:rFonts w:eastAsia="SimSun"/>
          <w:b/>
          <w:bCs/>
          <w:szCs w:val="24"/>
        </w:rPr>
        <w:t>Морозова Елена Владиславовна</w:t>
      </w:r>
      <w:r w:rsidR="00F855A0" w:rsidRPr="00F855A0">
        <w:rPr>
          <w:rFonts w:eastAsia="SimSun"/>
          <w:b/>
          <w:bCs/>
          <w:szCs w:val="24"/>
        </w:rPr>
        <w:t>,</w:t>
      </w:r>
      <w:r>
        <w:rPr>
          <w:rFonts w:eastAsia="SimSun"/>
          <w:szCs w:val="24"/>
        </w:rPr>
        <w:t xml:space="preserve"> </w:t>
      </w:r>
      <w:r w:rsidR="00F855A0" w:rsidRPr="00E474D3">
        <w:rPr>
          <w:rFonts w:eastAsia="SimSun"/>
          <w:szCs w:val="24"/>
        </w:rPr>
        <w:t>к.м.н.</w:t>
      </w:r>
      <w:r w:rsidR="00F855A0" w:rsidRPr="00F855A0">
        <w:rPr>
          <w:rFonts w:eastAsia="SimSun"/>
          <w:szCs w:val="24"/>
        </w:rPr>
        <w:t>,</w:t>
      </w:r>
      <w:r w:rsidRPr="00E474D3">
        <w:rPr>
          <w:rFonts w:eastAsia="SimSun"/>
          <w:szCs w:val="24"/>
        </w:rPr>
        <w:t xml:space="preserve"> руководитель отдела гематологии, онкологии и трансплантации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59A8F4A7" w14:textId="6374CBDF"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F855A0">
        <w:rPr>
          <w:rFonts w:eastAsia="SimSun"/>
          <w:b/>
          <w:bCs/>
          <w:szCs w:val="24"/>
        </w:rPr>
        <w:t>Моторин Дмитрий Васильевич</w:t>
      </w:r>
      <w:r w:rsidR="00F855A0" w:rsidRPr="00F855A0">
        <w:rPr>
          <w:rFonts w:eastAsia="SimSun"/>
          <w:b/>
          <w:bCs/>
          <w:szCs w:val="24"/>
        </w:rPr>
        <w:t>,</w:t>
      </w:r>
      <w:r>
        <w:rPr>
          <w:rFonts w:eastAsia="SimSun"/>
          <w:szCs w:val="24"/>
        </w:rPr>
        <w:t xml:space="preserve"> </w:t>
      </w:r>
      <w:r w:rsidR="00F855A0" w:rsidRPr="00E474D3">
        <w:rPr>
          <w:rFonts w:eastAsia="SimSun"/>
          <w:szCs w:val="24"/>
        </w:rPr>
        <w:t>к.м.н.</w:t>
      </w:r>
      <w:r w:rsidR="00F855A0" w:rsidRPr="00F855A0">
        <w:rPr>
          <w:rFonts w:eastAsia="SimSun"/>
          <w:szCs w:val="24"/>
        </w:rPr>
        <w:t>,</w:t>
      </w:r>
      <w:r w:rsidRPr="00E474D3">
        <w:rPr>
          <w:rFonts w:eastAsia="SimSun"/>
          <w:szCs w:val="24"/>
        </w:rPr>
        <w:t xml:space="preserve"> врач-гематолог отделения онкогематологии  №2,  старший научный сотрудник ФГБУ «НМИЦ им. В.А. Алмазова» Минздрава России</w:t>
      </w:r>
    </w:p>
    <w:p w14:paraId="41BE9A76" w14:textId="69EF8670"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F855A0">
        <w:rPr>
          <w:rFonts w:eastAsia="SimSun"/>
          <w:b/>
          <w:bCs/>
          <w:szCs w:val="24"/>
        </w:rPr>
        <w:t>Паровичникова Елена Николаевна</w:t>
      </w:r>
      <w:r w:rsidR="00F855A0" w:rsidRPr="00F855A0">
        <w:rPr>
          <w:rFonts w:eastAsia="SimSun"/>
          <w:b/>
          <w:bCs/>
          <w:szCs w:val="24"/>
        </w:rPr>
        <w:t>,</w:t>
      </w:r>
      <w:r>
        <w:rPr>
          <w:rFonts w:eastAsia="SimSun"/>
          <w:szCs w:val="24"/>
        </w:rPr>
        <w:t xml:space="preserve"> </w:t>
      </w:r>
      <w:r w:rsidR="00F855A0" w:rsidRPr="00E474D3">
        <w:rPr>
          <w:rFonts w:eastAsia="SimSun"/>
          <w:szCs w:val="24"/>
        </w:rPr>
        <w:t>д.м.н.</w:t>
      </w:r>
      <w:r w:rsidR="00F855A0" w:rsidRPr="00F855A0">
        <w:rPr>
          <w:rFonts w:eastAsia="SimSun"/>
          <w:szCs w:val="24"/>
        </w:rPr>
        <w:t>,</w:t>
      </w:r>
      <w:r w:rsidRPr="00E474D3">
        <w:rPr>
          <w:rFonts w:eastAsia="SimSun"/>
          <w:szCs w:val="24"/>
        </w:rPr>
        <w:t xml:space="preserve"> заведующая отделом химиотерапии гемобластозов, депрессий кроветворения и ТКМ ФГБУ «НМИЦ гематологии» Минздрава России</w:t>
      </w:r>
    </w:p>
    <w:p w14:paraId="48387B01" w14:textId="70846918" w:rsidR="00B27097" w:rsidRPr="00E474D3" w:rsidRDefault="00B27097" w:rsidP="00B27097">
      <w:pPr>
        <w:pStyle w:val="a4"/>
        <w:numPr>
          <w:ilvl w:val="0"/>
          <w:numId w:val="9"/>
        </w:numPr>
        <w:overflowPunct w:val="0"/>
        <w:autoSpaceDE w:val="0"/>
        <w:autoSpaceDN w:val="0"/>
        <w:adjustRightInd w:val="0"/>
        <w:spacing w:before="0"/>
        <w:contextualSpacing/>
        <w:textAlignment w:val="baseline"/>
        <w:rPr>
          <w:rFonts w:eastAsia="SimSun"/>
          <w:szCs w:val="24"/>
        </w:rPr>
      </w:pPr>
      <w:r w:rsidRPr="00F855A0">
        <w:rPr>
          <w:rFonts w:eastAsia="SimSun"/>
          <w:b/>
          <w:bCs/>
          <w:szCs w:val="24"/>
        </w:rPr>
        <w:t>Петрова Галина Дмитриевна</w:t>
      </w:r>
      <w:r w:rsidR="00F855A0" w:rsidRPr="00F855A0">
        <w:rPr>
          <w:rFonts w:eastAsia="SimSun"/>
          <w:b/>
          <w:bCs/>
          <w:szCs w:val="24"/>
        </w:rPr>
        <w:t>,</w:t>
      </w:r>
      <w:r w:rsidRPr="00E474D3">
        <w:rPr>
          <w:rFonts w:eastAsia="SimSun"/>
          <w:szCs w:val="24"/>
        </w:rPr>
        <w:t xml:space="preserve"> </w:t>
      </w:r>
      <w:r w:rsidR="00F855A0" w:rsidRPr="00E474D3">
        <w:rPr>
          <w:rFonts w:eastAsia="SimSun"/>
          <w:szCs w:val="24"/>
        </w:rPr>
        <w:t>к.м.н.</w:t>
      </w:r>
      <w:r w:rsidR="00F855A0" w:rsidRPr="00F855A0">
        <w:rPr>
          <w:rFonts w:eastAsia="SimSun"/>
          <w:szCs w:val="24"/>
        </w:rPr>
        <w:t xml:space="preserve">, </w:t>
      </w:r>
      <w:r w:rsidRPr="00E474D3">
        <w:rPr>
          <w:rFonts w:eastAsia="SimSun"/>
          <w:szCs w:val="24"/>
        </w:rPr>
        <w:t>заведующая отделением трансплантации костного мозга и гемопоэтических стволовых клеток отдела гематологии и трансплантации костного мозга ФГБУ "НМИЦ онкологии им Н. Н. Блохина" Минздрава России</w:t>
      </w:r>
    </w:p>
    <w:p w14:paraId="39D3C2E9" w14:textId="0064BABD" w:rsidR="00B27097" w:rsidRPr="00E474D3" w:rsidRDefault="00B27097" w:rsidP="00B27097">
      <w:pPr>
        <w:pStyle w:val="a4"/>
        <w:numPr>
          <w:ilvl w:val="0"/>
          <w:numId w:val="9"/>
        </w:numPr>
        <w:overflowPunct w:val="0"/>
        <w:autoSpaceDE w:val="0"/>
        <w:autoSpaceDN w:val="0"/>
        <w:adjustRightInd w:val="0"/>
        <w:spacing w:before="0"/>
        <w:contextualSpacing/>
        <w:jc w:val="left"/>
        <w:textAlignment w:val="baseline"/>
        <w:rPr>
          <w:rFonts w:eastAsia="SimSun"/>
          <w:szCs w:val="24"/>
        </w:rPr>
      </w:pPr>
      <w:r w:rsidRPr="00F855A0">
        <w:rPr>
          <w:rFonts w:eastAsia="SimSun"/>
          <w:b/>
          <w:bCs/>
          <w:szCs w:val="24"/>
        </w:rPr>
        <w:t>Попова Марина Олеговна</w:t>
      </w:r>
      <w:r w:rsidR="00F855A0" w:rsidRPr="00F855A0">
        <w:rPr>
          <w:rFonts w:eastAsia="SimSun"/>
          <w:b/>
          <w:bCs/>
          <w:szCs w:val="24"/>
        </w:rPr>
        <w:t>,</w:t>
      </w:r>
      <w:r>
        <w:rPr>
          <w:rFonts w:eastAsia="SimSun"/>
          <w:szCs w:val="24"/>
        </w:rPr>
        <w:t xml:space="preserve"> </w:t>
      </w:r>
      <w:r w:rsidR="00F855A0" w:rsidRPr="00E474D3">
        <w:rPr>
          <w:rFonts w:eastAsia="SimSun"/>
          <w:szCs w:val="24"/>
        </w:rPr>
        <w:t>к.м.н</w:t>
      </w:r>
      <w:r w:rsidR="00F855A0" w:rsidRPr="00F855A0">
        <w:rPr>
          <w:rFonts w:eastAsia="SimSun"/>
          <w:szCs w:val="24"/>
        </w:rPr>
        <w:t>.,</w:t>
      </w:r>
      <w:r w:rsidRPr="00E474D3">
        <w:rPr>
          <w:rFonts w:eastAsia="SimSun"/>
          <w:szCs w:val="24"/>
        </w:rPr>
        <w:t xml:space="preserve"> доцент кафедры гематологии, трансфузиологии и трансплантологии ФПО ПСПбГМУ им. И.П. Павлова, </w:t>
      </w:r>
    </w:p>
    <w:p w14:paraId="049BBF28" w14:textId="22EAD590" w:rsidR="00E53066" w:rsidRPr="007829FC" w:rsidRDefault="00B27097" w:rsidP="007829FC">
      <w:pPr>
        <w:pStyle w:val="a4"/>
        <w:numPr>
          <w:ilvl w:val="0"/>
          <w:numId w:val="9"/>
        </w:numPr>
        <w:overflowPunct w:val="0"/>
        <w:autoSpaceDE w:val="0"/>
        <w:autoSpaceDN w:val="0"/>
        <w:adjustRightInd w:val="0"/>
        <w:spacing w:before="0"/>
        <w:contextualSpacing/>
        <w:textAlignment w:val="baseline"/>
        <w:rPr>
          <w:rFonts w:eastAsia="SimSun"/>
          <w:szCs w:val="24"/>
        </w:rPr>
      </w:pPr>
      <w:r w:rsidRPr="007829FC">
        <w:rPr>
          <w:rFonts w:eastAsia="SimSun"/>
          <w:b/>
          <w:bCs/>
          <w:szCs w:val="24"/>
        </w:rPr>
        <w:t>Эстрина Мария Аркадьевна</w:t>
      </w:r>
      <w:r w:rsidR="00F855A0" w:rsidRPr="007829FC">
        <w:rPr>
          <w:rFonts w:eastAsia="SimSun"/>
          <w:b/>
          <w:bCs/>
          <w:szCs w:val="24"/>
        </w:rPr>
        <w:t>,</w:t>
      </w:r>
      <w:r w:rsidR="00F855A0" w:rsidRPr="007829FC">
        <w:rPr>
          <w:rFonts w:eastAsia="SimSun"/>
          <w:szCs w:val="24"/>
        </w:rPr>
        <w:t xml:space="preserve"> </w:t>
      </w:r>
      <w:r w:rsidR="007829FC" w:rsidRPr="00E474D3">
        <w:rPr>
          <w:rFonts w:eastAsia="SimSun"/>
          <w:szCs w:val="24"/>
        </w:rPr>
        <w:t>к.м.н.</w:t>
      </w:r>
      <w:r w:rsidR="007829FC" w:rsidRPr="007829FC">
        <w:rPr>
          <w:rFonts w:eastAsia="SimSun"/>
          <w:szCs w:val="24"/>
        </w:rPr>
        <w:t>,</w:t>
      </w:r>
      <w:r w:rsidRPr="00E474D3">
        <w:rPr>
          <w:rFonts w:eastAsia="SimSun"/>
          <w:szCs w:val="24"/>
        </w:rPr>
        <w:t xml:space="preserve"> зав. отделением клинической трансфузиологии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297DEB3A" w14:textId="77777777" w:rsidR="00DB46A1" w:rsidRDefault="00DB46A1" w:rsidP="004E3A70">
      <w:pPr>
        <w:ind w:firstLine="709"/>
        <w:rPr>
          <w:b/>
        </w:rPr>
      </w:pPr>
    </w:p>
    <w:p w14:paraId="5EB5DA19" w14:textId="77777777" w:rsidR="004D7374" w:rsidRPr="00C512DE" w:rsidRDefault="004D7374" w:rsidP="00830EF8">
      <w:pPr>
        <w:ind w:firstLine="709"/>
        <w:rPr>
          <w:b/>
        </w:rPr>
      </w:pPr>
      <w:r w:rsidRPr="00C512DE">
        <w:rPr>
          <w:b/>
        </w:rPr>
        <w:t xml:space="preserve">Конфликт интересов отсутствует. </w:t>
      </w:r>
    </w:p>
    <w:p w14:paraId="017CDC9C" w14:textId="77777777" w:rsidR="004D7374" w:rsidRDefault="004D7374" w:rsidP="00830EF8">
      <w:pPr>
        <w:ind w:firstLine="709"/>
      </w:pPr>
    </w:p>
    <w:p w14:paraId="2E27F2E3" w14:textId="77777777" w:rsidR="004D7374" w:rsidRDefault="004D7374" w:rsidP="005D3BBD">
      <w:pPr>
        <w:pStyle w:val="1"/>
        <w:spacing w:before="0" w:after="0"/>
      </w:pPr>
      <w:bookmarkStart w:id="89" w:name="_Toc520213131"/>
      <w:bookmarkStart w:id="90" w:name="_Toc23601737"/>
      <w:bookmarkStart w:id="91" w:name="_Toc65068827"/>
      <w:r>
        <w:t>Приложение А2. Методология разработки клинических рекомендаций</w:t>
      </w:r>
      <w:bookmarkEnd w:id="89"/>
      <w:bookmarkEnd w:id="90"/>
      <w:bookmarkEnd w:id="91"/>
    </w:p>
    <w:p w14:paraId="4D9DBA5E" w14:textId="77777777" w:rsidR="004D7374" w:rsidRDefault="004D7374" w:rsidP="004E3A70">
      <w:pPr>
        <w:ind w:firstLine="709"/>
        <w:contextualSpacing/>
      </w:pPr>
      <w:r>
        <w:t>Целевая аудитория данных клинических рекомендаций:</w:t>
      </w:r>
    </w:p>
    <w:p w14:paraId="37038D91" w14:textId="77777777" w:rsidR="004D7374" w:rsidRDefault="006D00D7" w:rsidP="00D61785">
      <w:pPr>
        <w:pStyle w:val="a4"/>
        <w:numPr>
          <w:ilvl w:val="0"/>
          <w:numId w:val="28"/>
        </w:numPr>
        <w:spacing w:before="0"/>
        <w:contextualSpacing/>
      </w:pPr>
      <w:r>
        <w:t>в</w:t>
      </w:r>
      <w:r w:rsidR="004D7374">
        <w:t>рачи-гематологи</w:t>
      </w:r>
      <w:r w:rsidR="0041352B">
        <w:t>;</w:t>
      </w:r>
    </w:p>
    <w:p w14:paraId="1E5AB491" w14:textId="77777777" w:rsidR="004D7374" w:rsidRPr="009D0A81" w:rsidRDefault="006D00D7" w:rsidP="00D61785">
      <w:pPr>
        <w:pStyle w:val="a4"/>
        <w:numPr>
          <w:ilvl w:val="0"/>
          <w:numId w:val="28"/>
        </w:numPr>
        <w:spacing w:before="0"/>
        <w:contextualSpacing/>
      </w:pPr>
      <w:r>
        <w:t>в</w:t>
      </w:r>
      <w:r w:rsidR="004D7374">
        <w:t>рачи-</w:t>
      </w:r>
      <w:r w:rsidR="004D7374" w:rsidRPr="009D0A81">
        <w:t>онкологи</w:t>
      </w:r>
      <w:r>
        <w:t>;</w:t>
      </w:r>
    </w:p>
    <w:p w14:paraId="18CDDDB1" w14:textId="77777777" w:rsidR="006919DC" w:rsidRPr="009D0A81" w:rsidRDefault="006D00D7" w:rsidP="00D61785">
      <w:pPr>
        <w:pStyle w:val="a4"/>
        <w:numPr>
          <w:ilvl w:val="0"/>
          <w:numId w:val="28"/>
        </w:numPr>
        <w:spacing w:before="0"/>
        <w:contextualSpacing/>
      </w:pPr>
      <w:r>
        <w:t>с</w:t>
      </w:r>
      <w:r w:rsidR="006919DC" w:rsidRPr="009D0A81">
        <w:t xml:space="preserve">туденты медицинских </w:t>
      </w:r>
      <w:r>
        <w:t>вуз</w:t>
      </w:r>
      <w:r w:rsidR="006919DC" w:rsidRPr="009D0A81">
        <w:t>ов</w:t>
      </w:r>
      <w:r>
        <w:t>.</w:t>
      </w:r>
    </w:p>
    <w:p w14:paraId="2CBE9FED" w14:textId="77777777" w:rsidR="004D7374" w:rsidRPr="00473776" w:rsidRDefault="004D7374" w:rsidP="00E92E00">
      <w:pPr>
        <w:ind w:firstLine="709"/>
        <w:contextualSpacing/>
        <w:rPr>
          <w:b/>
        </w:rPr>
      </w:pPr>
      <w:r w:rsidRPr="00473776">
        <w:rPr>
          <w:b/>
        </w:rPr>
        <w:t>Методология сбора доказательств</w:t>
      </w:r>
    </w:p>
    <w:p w14:paraId="280A0BA9" w14:textId="77777777" w:rsidR="004D7374" w:rsidRDefault="004D7374" w:rsidP="00B04401">
      <w:pPr>
        <w:ind w:firstLine="709"/>
        <w:contextualSpacing/>
      </w:pPr>
      <w:r w:rsidRPr="00C512DE">
        <w:t>Методы, использованные для сбора / селекции доказательств:</w:t>
      </w:r>
      <w:r w:rsidR="006D00D7">
        <w:t xml:space="preserve"> п</w:t>
      </w:r>
      <w:r>
        <w:t>оиск публикаций в специализированных периодических печатн</w:t>
      </w:r>
      <w:r w:rsidR="006D00D7">
        <w:t>ых изданиях с импакт-фактором &gt;</w:t>
      </w:r>
      <w:r>
        <w:t>0</w:t>
      </w:r>
      <w:r w:rsidR="006D00D7">
        <w:t>,3.</w:t>
      </w:r>
    </w:p>
    <w:p w14:paraId="246E0D97" w14:textId="77777777" w:rsidR="004D7374" w:rsidRPr="00473776" w:rsidRDefault="004D7374" w:rsidP="00B04401">
      <w:pPr>
        <w:ind w:firstLine="709"/>
        <w:contextualSpacing/>
        <w:rPr>
          <w:b/>
        </w:rPr>
      </w:pPr>
      <w:r w:rsidRPr="00473776">
        <w:rPr>
          <w:b/>
        </w:rPr>
        <w:t>Поиск в электронных базах данных.</w:t>
      </w:r>
    </w:p>
    <w:p w14:paraId="2D0C205D" w14:textId="77777777" w:rsidR="004D7374" w:rsidRPr="006D00D7" w:rsidRDefault="004D7374" w:rsidP="00B04401">
      <w:pPr>
        <w:ind w:firstLine="709"/>
        <w:contextualSpacing/>
        <w:rPr>
          <w:spacing w:val="-4"/>
        </w:rPr>
      </w:pPr>
      <w:r w:rsidRPr="006D00D7">
        <w:rPr>
          <w:spacing w:val="-4"/>
        </w:rPr>
        <w:t>Доказательной базой для рекомендаций являю</w:t>
      </w:r>
      <w:r w:rsidR="006D00D7">
        <w:rPr>
          <w:spacing w:val="-4"/>
        </w:rPr>
        <w:t>тся публикации, вошедшие в Кок</w:t>
      </w:r>
      <w:r w:rsidR="006D00D7">
        <w:rPr>
          <w:spacing w:val="-4"/>
        </w:rPr>
        <w:softHyphen/>
        <w:t>ре</w:t>
      </w:r>
      <w:r w:rsidRPr="006D00D7">
        <w:rPr>
          <w:spacing w:val="-4"/>
        </w:rPr>
        <w:t>йновскую библиотеку, базы данных P</w:t>
      </w:r>
      <w:r w:rsidR="006D00D7" w:rsidRPr="006D00D7">
        <w:rPr>
          <w:spacing w:val="-4"/>
        </w:rPr>
        <w:t>ub</w:t>
      </w:r>
      <w:r w:rsidRPr="006D00D7">
        <w:rPr>
          <w:spacing w:val="-4"/>
        </w:rPr>
        <w:t>M</w:t>
      </w:r>
      <w:r w:rsidR="006D00D7" w:rsidRPr="006D00D7">
        <w:rPr>
          <w:spacing w:val="-4"/>
        </w:rPr>
        <w:t>ed</w:t>
      </w:r>
      <w:r w:rsidRPr="006D00D7">
        <w:rPr>
          <w:spacing w:val="-4"/>
        </w:rPr>
        <w:t xml:space="preserve"> и MEDLINE. Глубина поиска составляла 30 лет.</w:t>
      </w:r>
    </w:p>
    <w:p w14:paraId="454266B4" w14:textId="77777777" w:rsidR="004D7374" w:rsidRPr="00C512DE" w:rsidRDefault="004D7374" w:rsidP="00B04401">
      <w:pPr>
        <w:ind w:firstLine="709"/>
        <w:contextualSpacing/>
      </w:pPr>
      <w:r w:rsidRPr="00C512DE">
        <w:t>Методы, использованные для анализа доказательств:</w:t>
      </w:r>
    </w:p>
    <w:p w14:paraId="1F6AD5D8" w14:textId="77777777" w:rsidR="004D7374" w:rsidRDefault="006D00D7" w:rsidP="00D61785">
      <w:pPr>
        <w:pStyle w:val="a4"/>
        <w:numPr>
          <w:ilvl w:val="0"/>
          <w:numId w:val="29"/>
        </w:numPr>
        <w:spacing w:before="0"/>
        <w:contextualSpacing/>
      </w:pPr>
      <w:r>
        <w:t>о</w:t>
      </w:r>
      <w:r w:rsidR="004D7374">
        <w:t xml:space="preserve">бзоры опубликованных </w:t>
      </w:r>
      <w:r>
        <w:t>мета</w:t>
      </w:r>
      <w:r w:rsidR="004D7374">
        <w:t>анализов;</w:t>
      </w:r>
    </w:p>
    <w:p w14:paraId="609A79C3" w14:textId="77777777" w:rsidR="004D7374" w:rsidRDefault="006D00D7" w:rsidP="00D61785">
      <w:pPr>
        <w:pStyle w:val="a4"/>
        <w:numPr>
          <w:ilvl w:val="0"/>
          <w:numId w:val="29"/>
        </w:numPr>
        <w:spacing w:before="0"/>
        <w:contextualSpacing/>
      </w:pPr>
      <w:r>
        <w:t>с</w:t>
      </w:r>
      <w:r w:rsidR="004D7374">
        <w:t>истематические обзоры с таблицами доказательств.</w:t>
      </w:r>
    </w:p>
    <w:p w14:paraId="213E13D2" w14:textId="77777777" w:rsidR="006D00D7" w:rsidRDefault="004D7374" w:rsidP="003F5F47">
      <w:pPr>
        <w:ind w:firstLine="709"/>
        <w:contextualSpacing/>
      </w:pPr>
      <w:r w:rsidRPr="00C512DE">
        <w:t>Методы, использованные для качества и силы доказательств:</w:t>
      </w:r>
    </w:p>
    <w:p w14:paraId="658B1AEE" w14:textId="77777777" w:rsidR="006D00D7" w:rsidRDefault="006D00D7" w:rsidP="00D61785">
      <w:pPr>
        <w:pStyle w:val="a4"/>
        <w:numPr>
          <w:ilvl w:val="0"/>
          <w:numId w:val="29"/>
        </w:numPr>
        <w:spacing w:before="0"/>
        <w:contextualSpacing/>
      </w:pPr>
      <w:r>
        <w:t>консенсус экспертов;</w:t>
      </w:r>
    </w:p>
    <w:p w14:paraId="24950CC8" w14:textId="77777777" w:rsidR="004D7374" w:rsidRDefault="006D00D7" w:rsidP="00D61785">
      <w:pPr>
        <w:pStyle w:val="a4"/>
        <w:numPr>
          <w:ilvl w:val="0"/>
          <w:numId w:val="29"/>
        </w:numPr>
        <w:spacing w:before="0"/>
        <w:contextualSpacing/>
      </w:pPr>
      <w:r>
        <w:t>о</w:t>
      </w:r>
      <w:r w:rsidR="004D7374">
        <w:t>ценка значимости доказательств в соответствии с рейтинговой схемой доказательств (табл.</w:t>
      </w:r>
      <w:r>
        <w:t xml:space="preserve"> А1–</w:t>
      </w:r>
      <w:r w:rsidR="00542928">
        <w:t>А</w:t>
      </w:r>
      <w:r w:rsidR="000A139D">
        <w:t>3</w:t>
      </w:r>
      <w:r w:rsidR="004D7374">
        <w:t>).</w:t>
      </w:r>
    </w:p>
    <w:p w14:paraId="051812DA" w14:textId="77777777" w:rsidR="00C512DE" w:rsidRDefault="004D7374">
      <w:pPr>
        <w:ind w:firstLine="709"/>
        <w:contextualSpacing/>
      </w:pPr>
      <w:r>
        <w:t>В настоящих клинических рекомендациях приведены уровни д</w:t>
      </w:r>
      <w:r w:rsidR="006D00D7">
        <w:t>остоверности д</w:t>
      </w:r>
      <w:r>
        <w:t>оказатель</w:t>
      </w:r>
      <w:r w:rsidR="006D00D7">
        <w:t>ств и уровни убедительности рекомендаций</w:t>
      </w:r>
      <w:r>
        <w:t xml:space="preserve"> в соответствии </w:t>
      </w:r>
      <w:r w:rsidR="00542928">
        <w:t>рекомендаци</w:t>
      </w:r>
      <w:r w:rsidR="00FD2083">
        <w:t xml:space="preserve">ями </w:t>
      </w:r>
      <w:r w:rsidR="00542928">
        <w:t xml:space="preserve"> </w:t>
      </w:r>
      <w:r w:rsidR="00FD2083" w:rsidRPr="0044241A">
        <w:rPr>
          <w:color w:val="000000"/>
          <w:szCs w:val="24"/>
        </w:rPr>
        <w:t>по разработке и актуализации клинических</w:t>
      </w:r>
      <w:r w:rsidR="00FD2083" w:rsidRPr="005A463A">
        <w:rPr>
          <w:color w:val="000000"/>
        </w:rPr>
        <w:t xml:space="preserve"> рекомендаций </w:t>
      </w:r>
      <w:r w:rsidR="00FD2083" w:rsidRPr="0044241A">
        <w:rPr>
          <w:color w:val="000000"/>
          <w:szCs w:val="24"/>
        </w:rPr>
        <w:t>(приказ</w:t>
      </w:r>
      <w:r w:rsidR="00FD2083" w:rsidRPr="005A463A">
        <w:rPr>
          <w:color w:val="000000"/>
        </w:rPr>
        <w:t xml:space="preserve"> Минздрава России</w:t>
      </w:r>
      <w:r w:rsidR="00FD2083" w:rsidRPr="0044241A">
        <w:rPr>
          <w:color w:val="000000"/>
          <w:szCs w:val="24"/>
        </w:rPr>
        <w:t xml:space="preserve"> от 28.02.2019 г. № 103н)</w:t>
      </w:r>
      <w:r w:rsidR="00542928">
        <w:t xml:space="preserve">. </w:t>
      </w:r>
    </w:p>
    <w:p w14:paraId="0797DF89" w14:textId="77777777" w:rsidR="00437AD9" w:rsidRDefault="00437AD9">
      <w:pPr>
        <w:rPr>
          <w:b/>
        </w:rPr>
      </w:pPr>
      <w:bookmarkStart w:id="92" w:name="_Ref515967586"/>
    </w:p>
    <w:p w14:paraId="68672FEF" w14:textId="77777777" w:rsidR="000A442F" w:rsidRPr="000A139D" w:rsidRDefault="000A442F">
      <w:pPr>
        <w:rPr>
          <w:b/>
        </w:rPr>
      </w:pPr>
      <w:r w:rsidRPr="000A139D">
        <w:rPr>
          <w:b/>
        </w:rPr>
        <w:t>Таблица</w:t>
      </w:r>
      <w:r w:rsidR="000A139D">
        <w:rPr>
          <w:b/>
        </w:rPr>
        <w:t xml:space="preserve"> А</w:t>
      </w:r>
      <w:r w:rsidR="000B0AC3" w:rsidRPr="000A139D">
        <w:rPr>
          <w:b/>
        </w:rPr>
        <w:fldChar w:fldCharType="begin"/>
      </w:r>
      <w:r w:rsidRPr="000A139D">
        <w:rPr>
          <w:b/>
        </w:rPr>
        <w:instrText xml:space="preserve"> SEQ Таблица \* ARABIC </w:instrText>
      </w:r>
      <w:r w:rsidR="000B0AC3" w:rsidRPr="000A139D">
        <w:rPr>
          <w:b/>
        </w:rPr>
        <w:fldChar w:fldCharType="separate"/>
      </w:r>
      <w:r w:rsidR="009E5D19">
        <w:rPr>
          <w:b/>
          <w:noProof/>
        </w:rPr>
        <w:t>1</w:t>
      </w:r>
      <w:r w:rsidR="000B0AC3" w:rsidRPr="000A139D">
        <w:rPr>
          <w:b/>
        </w:rPr>
        <w:fldChar w:fldCharType="end"/>
      </w:r>
      <w:bookmarkEnd w:id="92"/>
      <w:r w:rsidRPr="000A139D">
        <w:rPr>
          <w:b/>
        </w:rPr>
        <w:t>.</w:t>
      </w:r>
      <w:r w:rsidR="00D4168D" w:rsidRPr="000A139D">
        <w:rPr>
          <w:b/>
        </w:rPr>
        <w:t xml:space="preserve"> </w:t>
      </w:r>
      <w:r w:rsidRPr="000A139D">
        <w:rPr>
          <w:b/>
        </w:rPr>
        <w:t>Шкала оценки уровней достоверности доказательств (УДД)</w:t>
      </w:r>
      <w:r w:rsidR="006D00D7" w:rsidRPr="000A139D">
        <w:rPr>
          <w:b/>
        </w:rPr>
        <w:t xml:space="preserve"> </w:t>
      </w:r>
      <w:r w:rsidRPr="000A139D">
        <w:rPr>
          <w:b/>
        </w:rPr>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8"/>
      </w:tblGrid>
      <w:tr w:rsidR="000A442F" w:rsidRPr="005B4606" w14:paraId="54CFD41A" w14:textId="77777777" w:rsidTr="005B4606">
        <w:trPr>
          <w:trHeight w:val="58"/>
        </w:trPr>
        <w:tc>
          <w:tcPr>
            <w:tcW w:w="427" w:type="pct"/>
          </w:tcPr>
          <w:p w14:paraId="59A6C142" w14:textId="77777777" w:rsidR="000A442F" w:rsidRPr="005B4606" w:rsidRDefault="000A442F" w:rsidP="005D3BBD">
            <w:pPr>
              <w:jc w:val="center"/>
              <w:rPr>
                <w:b/>
                <w:color w:val="000000"/>
                <w:szCs w:val="24"/>
              </w:rPr>
            </w:pPr>
            <w:r w:rsidRPr="005B4606">
              <w:rPr>
                <w:b/>
                <w:color w:val="000000"/>
                <w:szCs w:val="24"/>
              </w:rPr>
              <w:t>УДД</w:t>
            </w:r>
          </w:p>
        </w:tc>
        <w:tc>
          <w:tcPr>
            <w:tcW w:w="4573" w:type="pct"/>
          </w:tcPr>
          <w:p w14:paraId="6D50EE38" w14:textId="77777777" w:rsidR="000A442F" w:rsidRPr="005B4606" w:rsidRDefault="000A442F" w:rsidP="005D3BBD">
            <w:pPr>
              <w:jc w:val="center"/>
              <w:rPr>
                <w:b/>
                <w:color w:val="000000"/>
                <w:szCs w:val="24"/>
              </w:rPr>
            </w:pPr>
            <w:r w:rsidRPr="005B4606">
              <w:rPr>
                <w:b/>
                <w:color w:val="000000"/>
                <w:szCs w:val="24"/>
              </w:rPr>
              <w:t>Расшифровка</w:t>
            </w:r>
          </w:p>
        </w:tc>
      </w:tr>
      <w:tr w:rsidR="000A442F" w:rsidRPr="005B4606" w14:paraId="650158C9" w14:textId="77777777" w:rsidTr="005B4606">
        <w:tc>
          <w:tcPr>
            <w:tcW w:w="427" w:type="pct"/>
          </w:tcPr>
          <w:p w14:paraId="4408C9BA" w14:textId="77777777" w:rsidR="000A442F" w:rsidRPr="005B4606" w:rsidRDefault="000A442F" w:rsidP="005D3BBD">
            <w:pPr>
              <w:jc w:val="center"/>
              <w:rPr>
                <w:color w:val="000000"/>
                <w:szCs w:val="24"/>
              </w:rPr>
            </w:pPr>
            <w:r w:rsidRPr="005B4606">
              <w:rPr>
                <w:color w:val="000000"/>
                <w:szCs w:val="24"/>
              </w:rPr>
              <w:t>1</w:t>
            </w:r>
          </w:p>
        </w:tc>
        <w:tc>
          <w:tcPr>
            <w:tcW w:w="4573" w:type="pct"/>
          </w:tcPr>
          <w:p w14:paraId="202FCE12" w14:textId="77777777" w:rsidR="000A442F" w:rsidRPr="005B4606" w:rsidRDefault="000A442F" w:rsidP="005D3BBD">
            <w:pPr>
              <w:rPr>
                <w:color w:val="000000"/>
                <w:szCs w:val="24"/>
              </w:rPr>
            </w:pPr>
            <w:r w:rsidRPr="005B4606">
              <w:rPr>
                <w:color w:val="000000"/>
                <w:szCs w:val="24"/>
              </w:rPr>
              <w:t>Систематические обзоры исследований с контролем референсным методом</w:t>
            </w:r>
            <w:r w:rsidRPr="005B4606">
              <w:rPr>
                <w:szCs w:val="24"/>
              </w:rPr>
              <w:t xml:space="preserve"> или систематический обзор рандомизированных клинических исс</w:t>
            </w:r>
            <w:r w:rsidR="006D00D7">
              <w:rPr>
                <w:szCs w:val="24"/>
              </w:rPr>
              <w:t>ледований с применением мета</w:t>
            </w:r>
            <w:r w:rsidR="00FD2083">
              <w:rPr>
                <w:szCs w:val="24"/>
              </w:rPr>
              <w:t>-</w:t>
            </w:r>
            <w:r w:rsidRPr="005B4606">
              <w:rPr>
                <w:szCs w:val="24"/>
              </w:rPr>
              <w:t>анализа</w:t>
            </w:r>
          </w:p>
        </w:tc>
      </w:tr>
      <w:tr w:rsidR="000A442F" w:rsidRPr="005B4606" w14:paraId="5FDAD59D" w14:textId="77777777" w:rsidTr="005B4606">
        <w:tc>
          <w:tcPr>
            <w:tcW w:w="427" w:type="pct"/>
          </w:tcPr>
          <w:p w14:paraId="7FB80576" w14:textId="77777777" w:rsidR="000A442F" w:rsidRPr="005B4606" w:rsidRDefault="000A442F" w:rsidP="005D3BBD">
            <w:pPr>
              <w:jc w:val="center"/>
              <w:rPr>
                <w:color w:val="000000"/>
                <w:szCs w:val="24"/>
              </w:rPr>
            </w:pPr>
            <w:r w:rsidRPr="005B4606">
              <w:rPr>
                <w:color w:val="000000"/>
                <w:szCs w:val="24"/>
              </w:rPr>
              <w:t>2</w:t>
            </w:r>
          </w:p>
        </w:tc>
        <w:tc>
          <w:tcPr>
            <w:tcW w:w="4573" w:type="pct"/>
          </w:tcPr>
          <w:p w14:paraId="51B67607" w14:textId="77777777" w:rsidR="000A442F" w:rsidRPr="005B4606" w:rsidRDefault="000A442F" w:rsidP="005D3BBD">
            <w:pPr>
              <w:rPr>
                <w:color w:val="000000"/>
                <w:szCs w:val="24"/>
              </w:rPr>
            </w:pPr>
            <w:r w:rsidRPr="005B4606">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w:t>
            </w:r>
            <w:r w:rsidR="00FD2083">
              <w:rPr>
                <w:color w:val="000000"/>
                <w:szCs w:val="24"/>
              </w:rPr>
              <w:t>-</w:t>
            </w:r>
            <w:r w:rsidRPr="005B4606">
              <w:rPr>
                <w:color w:val="000000"/>
                <w:szCs w:val="24"/>
              </w:rPr>
              <w:t>анализа</w:t>
            </w:r>
          </w:p>
        </w:tc>
      </w:tr>
      <w:tr w:rsidR="000A442F" w:rsidRPr="005B4606" w14:paraId="0A35B027" w14:textId="77777777" w:rsidTr="005B4606">
        <w:tc>
          <w:tcPr>
            <w:tcW w:w="427" w:type="pct"/>
          </w:tcPr>
          <w:p w14:paraId="6941D787" w14:textId="77777777" w:rsidR="000A442F" w:rsidRPr="005B4606" w:rsidRDefault="000A442F" w:rsidP="005D3BBD">
            <w:pPr>
              <w:jc w:val="center"/>
              <w:rPr>
                <w:color w:val="000000"/>
                <w:szCs w:val="24"/>
              </w:rPr>
            </w:pPr>
            <w:r w:rsidRPr="005B4606">
              <w:rPr>
                <w:color w:val="000000"/>
                <w:szCs w:val="24"/>
              </w:rPr>
              <w:t>3</w:t>
            </w:r>
          </w:p>
        </w:tc>
        <w:tc>
          <w:tcPr>
            <w:tcW w:w="4573" w:type="pct"/>
          </w:tcPr>
          <w:p w14:paraId="1DF63AAD" w14:textId="77777777" w:rsidR="000A442F" w:rsidRPr="005B4606" w:rsidRDefault="000A442F" w:rsidP="005D3BBD">
            <w:pPr>
              <w:rPr>
                <w:color w:val="000000"/>
                <w:szCs w:val="24"/>
              </w:rPr>
            </w:pPr>
            <w:r w:rsidRPr="005B4606">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0A139D">
              <w:rPr>
                <w:color w:val="000000"/>
                <w:szCs w:val="24"/>
              </w:rPr>
              <w:t>,</w:t>
            </w:r>
            <w:r w:rsidRPr="005B4606">
              <w:rPr>
                <w:color w:val="000000"/>
                <w:szCs w:val="24"/>
              </w:rPr>
              <w:t xml:space="preserve"> или нерандомизированные сравнительные исследования, в том числе когортные исследования</w:t>
            </w:r>
          </w:p>
        </w:tc>
      </w:tr>
      <w:tr w:rsidR="000A442F" w:rsidRPr="005B4606" w14:paraId="7B4E7956" w14:textId="77777777" w:rsidTr="005B4606">
        <w:tc>
          <w:tcPr>
            <w:tcW w:w="427" w:type="pct"/>
          </w:tcPr>
          <w:p w14:paraId="48B38F93" w14:textId="77777777" w:rsidR="000A442F" w:rsidRPr="005B4606" w:rsidRDefault="000A442F" w:rsidP="005D3BBD">
            <w:pPr>
              <w:jc w:val="center"/>
              <w:rPr>
                <w:color w:val="000000"/>
                <w:szCs w:val="24"/>
              </w:rPr>
            </w:pPr>
            <w:r w:rsidRPr="005B4606">
              <w:rPr>
                <w:color w:val="000000"/>
                <w:szCs w:val="24"/>
              </w:rPr>
              <w:t>4</w:t>
            </w:r>
          </w:p>
        </w:tc>
        <w:tc>
          <w:tcPr>
            <w:tcW w:w="4573" w:type="pct"/>
          </w:tcPr>
          <w:p w14:paraId="2B97D837" w14:textId="77777777" w:rsidR="000A442F" w:rsidRPr="005B4606" w:rsidRDefault="000A442F" w:rsidP="005D3BBD">
            <w:pPr>
              <w:rPr>
                <w:color w:val="000000"/>
                <w:szCs w:val="24"/>
              </w:rPr>
            </w:pPr>
            <w:r w:rsidRPr="005B4606">
              <w:rPr>
                <w:color w:val="000000"/>
                <w:szCs w:val="24"/>
              </w:rPr>
              <w:t>Несравнительные исследования, описание клинического случая</w:t>
            </w:r>
          </w:p>
        </w:tc>
      </w:tr>
      <w:tr w:rsidR="000A442F" w:rsidRPr="005B4606" w14:paraId="23BFDD9D" w14:textId="77777777" w:rsidTr="005B4606">
        <w:tc>
          <w:tcPr>
            <w:tcW w:w="427" w:type="pct"/>
          </w:tcPr>
          <w:p w14:paraId="0C91E3C3" w14:textId="77777777" w:rsidR="000A442F" w:rsidRPr="005B4606" w:rsidRDefault="000A442F" w:rsidP="005D3BBD">
            <w:pPr>
              <w:jc w:val="center"/>
              <w:rPr>
                <w:color w:val="000000"/>
                <w:szCs w:val="24"/>
              </w:rPr>
            </w:pPr>
            <w:r w:rsidRPr="005B4606">
              <w:rPr>
                <w:color w:val="000000"/>
                <w:szCs w:val="24"/>
              </w:rPr>
              <w:t>5</w:t>
            </w:r>
          </w:p>
        </w:tc>
        <w:tc>
          <w:tcPr>
            <w:tcW w:w="4573" w:type="pct"/>
          </w:tcPr>
          <w:p w14:paraId="53DB6BB5" w14:textId="77777777" w:rsidR="000A442F" w:rsidRPr="005B4606" w:rsidRDefault="000A442F" w:rsidP="005D3BBD">
            <w:pPr>
              <w:rPr>
                <w:color w:val="000000"/>
                <w:szCs w:val="24"/>
              </w:rPr>
            </w:pPr>
            <w:r w:rsidRPr="005B4606">
              <w:rPr>
                <w:color w:val="000000"/>
                <w:szCs w:val="24"/>
              </w:rPr>
              <w:t>Имеется лишь обоснование механизма действия или мнение экспертов</w:t>
            </w:r>
          </w:p>
        </w:tc>
      </w:tr>
    </w:tbl>
    <w:p w14:paraId="12A5A83B" w14:textId="77777777" w:rsidR="000A442F" w:rsidRDefault="000A442F" w:rsidP="004E3A70">
      <w:pPr>
        <w:pStyle w:val="ab"/>
        <w:rPr>
          <w:rStyle w:val="aa"/>
        </w:rPr>
      </w:pPr>
    </w:p>
    <w:p w14:paraId="78338AE4" w14:textId="77777777" w:rsidR="000A442F" w:rsidRPr="000A139D" w:rsidRDefault="000A442F" w:rsidP="00830EF8">
      <w:pPr>
        <w:rPr>
          <w:b/>
        </w:rPr>
      </w:pPr>
      <w:bookmarkStart w:id="93" w:name="_Ref515967623"/>
      <w:r w:rsidRPr="000A139D">
        <w:rPr>
          <w:b/>
        </w:rPr>
        <w:t xml:space="preserve">Таблица </w:t>
      </w:r>
      <w:r w:rsidR="000A139D">
        <w:rPr>
          <w:b/>
        </w:rPr>
        <w:t>А</w:t>
      </w:r>
      <w:r w:rsidR="000B0AC3" w:rsidRPr="000A139D">
        <w:rPr>
          <w:b/>
        </w:rPr>
        <w:fldChar w:fldCharType="begin"/>
      </w:r>
      <w:r w:rsidRPr="000A139D">
        <w:rPr>
          <w:b/>
        </w:rPr>
        <w:instrText xml:space="preserve"> SEQ Таблица \* ARABIC </w:instrText>
      </w:r>
      <w:r w:rsidR="000B0AC3" w:rsidRPr="000A139D">
        <w:rPr>
          <w:b/>
        </w:rPr>
        <w:fldChar w:fldCharType="separate"/>
      </w:r>
      <w:r w:rsidR="009E5D19">
        <w:rPr>
          <w:b/>
          <w:noProof/>
        </w:rPr>
        <w:t>2</w:t>
      </w:r>
      <w:r w:rsidR="000B0AC3" w:rsidRPr="000A139D">
        <w:rPr>
          <w:b/>
        </w:rPr>
        <w:fldChar w:fldCharType="end"/>
      </w:r>
      <w:bookmarkEnd w:id="93"/>
      <w:r w:rsidRPr="000A139D">
        <w:rPr>
          <w:b/>
        </w:rPr>
        <w:t>.</w:t>
      </w:r>
      <w:r w:rsidR="00D4168D" w:rsidRPr="000A139D">
        <w:rPr>
          <w:b/>
        </w:rPr>
        <w:t xml:space="preserve"> </w:t>
      </w:r>
      <w:r w:rsidRPr="000A139D">
        <w:rPr>
          <w:b/>
        </w:rPr>
        <w:t>Шкала оценки уровней достоверности доказательств (УДД)для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1"/>
      </w:tblGrid>
      <w:tr w:rsidR="000A442F" w:rsidRPr="005B4606" w14:paraId="1B1D7C67" w14:textId="77777777" w:rsidTr="005B4606">
        <w:tc>
          <w:tcPr>
            <w:tcW w:w="360" w:type="pct"/>
          </w:tcPr>
          <w:p w14:paraId="6C643427" w14:textId="77777777" w:rsidR="000A442F" w:rsidRPr="005B4606" w:rsidRDefault="000A442F" w:rsidP="005D3BBD">
            <w:pPr>
              <w:jc w:val="center"/>
              <w:rPr>
                <w:b/>
                <w:color w:val="000000"/>
                <w:szCs w:val="24"/>
              </w:rPr>
            </w:pPr>
            <w:r w:rsidRPr="005B4606">
              <w:rPr>
                <w:b/>
                <w:color w:val="000000"/>
                <w:szCs w:val="24"/>
              </w:rPr>
              <w:t>УДД</w:t>
            </w:r>
          </w:p>
        </w:tc>
        <w:tc>
          <w:tcPr>
            <w:tcW w:w="4640" w:type="pct"/>
          </w:tcPr>
          <w:p w14:paraId="5B31A896" w14:textId="77777777" w:rsidR="000A442F" w:rsidRPr="005B4606" w:rsidRDefault="000A442F" w:rsidP="005D3BBD">
            <w:pPr>
              <w:jc w:val="center"/>
              <w:rPr>
                <w:b/>
                <w:color w:val="000000"/>
                <w:szCs w:val="24"/>
              </w:rPr>
            </w:pPr>
            <w:r w:rsidRPr="005B4606">
              <w:rPr>
                <w:b/>
                <w:color w:val="000000"/>
                <w:szCs w:val="24"/>
              </w:rPr>
              <w:t xml:space="preserve">Расшифровка </w:t>
            </w:r>
          </w:p>
        </w:tc>
      </w:tr>
      <w:tr w:rsidR="000A442F" w:rsidRPr="005B4606" w14:paraId="6787880B" w14:textId="77777777" w:rsidTr="005B4606">
        <w:tc>
          <w:tcPr>
            <w:tcW w:w="360" w:type="pct"/>
          </w:tcPr>
          <w:p w14:paraId="553A4333" w14:textId="77777777" w:rsidR="000A442F" w:rsidRPr="005B4606" w:rsidRDefault="000A442F" w:rsidP="005D3BBD">
            <w:pPr>
              <w:jc w:val="center"/>
              <w:rPr>
                <w:color w:val="000000"/>
                <w:szCs w:val="24"/>
              </w:rPr>
            </w:pPr>
            <w:r w:rsidRPr="005B4606">
              <w:rPr>
                <w:color w:val="000000"/>
                <w:szCs w:val="24"/>
              </w:rPr>
              <w:t>1</w:t>
            </w:r>
          </w:p>
        </w:tc>
        <w:tc>
          <w:tcPr>
            <w:tcW w:w="4640" w:type="pct"/>
          </w:tcPr>
          <w:p w14:paraId="3730D5D1" w14:textId="77777777" w:rsidR="000A442F" w:rsidRPr="005B4606" w:rsidRDefault="000A442F" w:rsidP="005D3BBD">
            <w:pPr>
              <w:rPr>
                <w:color w:val="000000"/>
                <w:szCs w:val="24"/>
              </w:rPr>
            </w:pPr>
            <w:r w:rsidRPr="005B4606">
              <w:rPr>
                <w:color w:val="000000"/>
                <w:szCs w:val="24"/>
              </w:rPr>
              <w:t>Систематическ</w:t>
            </w:r>
            <w:r w:rsidR="000A139D">
              <w:rPr>
                <w:color w:val="000000"/>
                <w:szCs w:val="24"/>
              </w:rPr>
              <w:t>ий обзор РКИ с применением мета</w:t>
            </w:r>
            <w:r w:rsidRPr="005B4606">
              <w:rPr>
                <w:color w:val="000000"/>
                <w:szCs w:val="24"/>
              </w:rPr>
              <w:t>анализа</w:t>
            </w:r>
          </w:p>
        </w:tc>
      </w:tr>
      <w:tr w:rsidR="000A442F" w:rsidRPr="005B4606" w14:paraId="27905EA8" w14:textId="77777777" w:rsidTr="005B4606">
        <w:tc>
          <w:tcPr>
            <w:tcW w:w="360" w:type="pct"/>
          </w:tcPr>
          <w:p w14:paraId="557AF506" w14:textId="77777777" w:rsidR="000A442F" w:rsidRPr="005B4606" w:rsidRDefault="000A442F" w:rsidP="005D3BBD">
            <w:pPr>
              <w:jc w:val="center"/>
              <w:rPr>
                <w:color w:val="000000"/>
                <w:szCs w:val="24"/>
                <w:lang w:val="en-US"/>
              </w:rPr>
            </w:pPr>
            <w:r w:rsidRPr="005B4606">
              <w:rPr>
                <w:color w:val="000000"/>
                <w:szCs w:val="24"/>
              </w:rPr>
              <w:t>2</w:t>
            </w:r>
          </w:p>
        </w:tc>
        <w:tc>
          <w:tcPr>
            <w:tcW w:w="4640" w:type="pct"/>
          </w:tcPr>
          <w:p w14:paraId="6916B7A7" w14:textId="77777777" w:rsidR="000A442F" w:rsidRPr="005B4606" w:rsidRDefault="000A442F" w:rsidP="005D3BBD">
            <w:pPr>
              <w:rPr>
                <w:color w:val="000000"/>
                <w:szCs w:val="24"/>
              </w:rPr>
            </w:pPr>
            <w:r w:rsidRPr="005B4606">
              <w:rPr>
                <w:color w:val="000000"/>
                <w:szCs w:val="24"/>
              </w:rPr>
              <w:t>Отдельные РКИ и систематические обзоры исследований любого дизайна, за исключение</w:t>
            </w:r>
            <w:r w:rsidR="000A139D">
              <w:rPr>
                <w:color w:val="000000"/>
                <w:szCs w:val="24"/>
              </w:rPr>
              <w:t>м РКИ, с применением мета</w:t>
            </w:r>
            <w:r w:rsidR="00FD2083">
              <w:rPr>
                <w:color w:val="000000"/>
                <w:szCs w:val="24"/>
              </w:rPr>
              <w:t>-</w:t>
            </w:r>
            <w:r w:rsidRPr="005B4606">
              <w:rPr>
                <w:color w:val="000000"/>
                <w:szCs w:val="24"/>
              </w:rPr>
              <w:t>анализа</w:t>
            </w:r>
          </w:p>
        </w:tc>
      </w:tr>
      <w:tr w:rsidR="000A442F" w:rsidRPr="005B4606" w14:paraId="7227BDA7" w14:textId="77777777" w:rsidTr="005B4606">
        <w:tc>
          <w:tcPr>
            <w:tcW w:w="360" w:type="pct"/>
          </w:tcPr>
          <w:p w14:paraId="688C1677" w14:textId="77777777" w:rsidR="000A442F" w:rsidRPr="005B4606" w:rsidRDefault="000A442F" w:rsidP="005D3BBD">
            <w:pPr>
              <w:jc w:val="center"/>
              <w:rPr>
                <w:color w:val="000000"/>
                <w:szCs w:val="24"/>
              </w:rPr>
            </w:pPr>
            <w:r w:rsidRPr="005B4606">
              <w:rPr>
                <w:color w:val="000000"/>
                <w:szCs w:val="24"/>
              </w:rPr>
              <w:t>3</w:t>
            </w:r>
          </w:p>
        </w:tc>
        <w:tc>
          <w:tcPr>
            <w:tcW w:w="4640" w:type="pct"/>
          </w:tcPr>
          <w:p w14:paraId="6146BF5A" w14:textId="77777777" w:rsidR="000A442F" w:rsidRPr="005B4606" w:rsidRDefault="000A442F" w:rsidP="005D3BBD">
            <w:pPr>
              <w:rPr>
                <w:color w:val="000000"/>
                <w:szCs w:val="24"/>
              </w:rPr>
            </w:pPr>
            <w:r w:rsidRPr="005B4606">
              <w:rPr>
                <w:color w:val="000000"/>
                <w:szCs w:val="24"/>
              </w:rPr>
              <w:t xml:space="preserve">Нерандомизированные </w:t>
            </w:r>
            <w:r w:rsidR="000A139D">
              <w:rPr>
                <w:color w:val="000000"/>
                <w:szCs w:val="24"/>
              </w:rPr>
              <w:t xml:space="preserve">сравнительные исследования, в том </w:t>
            </w:r>
            <w:r w:rsidRPr="005B4606">
              <w:rPr>
                <w:color w:val="000000"/>
                <w:szCs w:val="24"/>
              </w:rPr>
              <w:t>ч</w:t>
            </w:r>
            <w:r w:rsidR="000A139D">
              <w:rPr>
                <w:color w:val="000000"/>
                <w:szCs w:val="24"/>
              </w:rPr>
              <w:t>исле</w:t>
            </w:r>
            <w:r w:rsidRPr="005B4606">
              <w:rPr>
                <w:color w:val="000000"/>
                <w:szCs w:val="24"/>
              </w:rPr>
              <w:t xml:space="preserve"> когортные исследования</w:t>
            </w:r>
          </w:p>
        </w:tc>
      </w:tr>
      <w:tr w:rsidR="000A442F" w:rsidRPr="005B4606" w14:paraId="2739FE60" w14:textId="77777777" w:rsidTr="005B4606">
        <w:tc>
          <w:tcPr>
            <w:tcW w:w="360" w:type="pct"/>
          </w:tcPr>
          <w:p w14:paraId="79A3A753" w14:textId="77777777" w:rsidR="000A442F" w:rsidRPr="005B4606" w:rsidRDefault="000A442F" w:rsidP="005D3BBD">
            <w:pPr>
              <w:jc w:val="center"/>
              <w:rPr>
                <w:color w:val="000000"/>
                <w:szCs w:val="24"/>
              </w:rPr>
            </w:pPr>
            <w:r w:rsidRPr="005B4606">
              <w:rPr>
                <w:color w:val="000000"/>
                <w:szCs w:val="24"/>
              </w:rPr>
              <w:t>4</w:t>
            </w:r>
          </w:p>
        </w:tc>
        <w:tc>
          <w:tcPr>
            <w:tcW w:w="4640" w:type="pct"/>
          </w:tcPr>
          <w:p w14:paraId="16571E81" w14:textId="77777777" w:rsidR="000A442F" w:rsidRPr="005B4606" w:rsidRDefault="000A442F" w:rsidP="005D3BBD">
            <w:pPr>
              <w:rPr>
                <w:color w:val="000000"/>
                <w:szCs w:val="24"/>
              </w:rPr>
            </w:pPr>
            <w:r w:rsidRPr="005B4606">
              <w:rPr>
                <w:color w:val="000000"/>
                <w:szCs w:val="24"/>
              </w:rPr>
              <w:t>Несравнительные исследования, описание клинического случая или серии случаев, исследования «случай-контроль»</w:t>
            </w:r>
          </w:p>
        </w:tc>
      </w:tr>
      <w:tr w:rsidR="000A442F" w:rsidRPr="005B4606" w14:paraId="2402E6C5" w14:textId="77777777" w:rsidTr="005B4606">
        <w:tc>
          <w:tcPr>
            <w:tcW w:w="360" w:type="pct"/>
          </w:tcPr>
          <w:p w14:paraId="76E07599" w14:textId="77777777" w:rsidR="000A442F" w:rsidRPr="005B4606" w:rsidRDefault="000A442F" w:rsidP="005D3BBD">
            <w:pPr>
              <w:jc w:val="center"/>
              <w:rPr>
                <w:color w:val="000000"/>
                <w:szCs w:val="24"/>
              </w:rPr>
            </w:pPr>
            <w:r w:rsidRPr="005B4606">
              <w:rPr>
                <w:color w:val="000000"/>
                <w:szCs w:val="24"/>
              </w:rPr>
              <w:t>5</w:t>
            </w:r>
          </w:p>
        </w:tc>
        <w:tc>
          <w:tcPr>
            <w:tcW w:w="4640" w:type="pct"/>
          </w:tcPr>
          <w:p w14:paraId="1C0C6EC9" w14:textId="77777777" w:rsidR="000A442F" w:rsidRPr="005B4606" w:rsidRDefault="000A442F" w:rsidP="005D3BBD">
            <w:pPr>
              <w:rPr>
                <w:color w:val="000000"/>
                <w:szCs w:val="24"/>
              </w:rPr>
            </w:pPr>
            <w:r w:rsidRPr="005B4606">
              <w:rPr>
                <w:color w:val="000000"/>
                <w:szCs w:val="24"/>
              </w:rPr>
              <w:t>Имеется лишь обоснование механизма действия вмешательства (доклинические исследования) или мнение экспертов</w:t>
            </w:r>
          </w:p>
        </w:tc>
      </w:tr>
    </w:tbl>
    <w:p w14:paraId="1E5BCD90" w14:textId="77777777" w:rsidR="000A442F" w:rsidRDefault="000A442F" w:rsidP="004E3A70">
      <w:pPr>
        <w:pStyle w:val="ab"/>
        <w:rPr>
          <w:rStyle w:val="aa"/>
        </w:rPr>
      </w:pPr>
    </w:p>
    <w:p w14:paraId="42E9D76B" w14:textId="77777777" w:rsidR="000A442F" w:rsidRPr="000A139D" w:rsidRDefault="000A442F" w:rsidP="00830EF8">
      <w:pPr>
        <w:rPr>
          <w:b/>
        </w:rPr>
      </w:pPr>
      <w:bookmarkStart w:id="94" w:name="_Ref515967732"/>
      <w:r w:rsidRPr="00B15720">
        <w:rPr>
          <w:b/>
        </w:rPr>
        <w:t xml:space="preserve">Таблица </w:t>
      </w:r>
      <w:bookmarkEnd w:id="94"/>
      <w:r w:rsidR="000A139D">
        <w:rPr>
          <w:b/>
        </w:rPr>
        <w:t>А</w:t>
      </w:r>
      <w:r>
        <w:rPr>
          <w:b/>
        </w:rPr>
        <w:t>3</w:t>
      </w:r>
      <w:r w:rsidRPr="00B15720">
        <w:rPr>
          <w:b/>
        </w:rPr>
        <w:t>.</w:t>
      </w:r>
      <w:r w:rsidR="00D4168D" w:rsidRPr="00D4168D">
        <w:rPr>
          <w:b/>
        </w:rPr>
        <w:t xml:space="preserve"> </w:t>
      </w:r>
      <w:r w:rsidRPr="000A139D">
        <w:rPr>
          <w:b/>
        </w:rPr>
        <w:t>Шкала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5"/>
      </w:tblGrid>
      <w:tr w:rsidR="000A442F" w:rsidRPr="005B4606" w14:paraId="05E06CC9" w14:textId="77777777" w:rsidTr="005B4606">
        <w:tc>
          <w:tcPr>
            <w:tcW w:w="712" w:type="pct"/>
          </w:tcPr>
          <w:p w14:paraId="1FF9F000" w14:textId="77777777" w:rsidR="000A442F" w:rsidRPr="005B4606" w:rsidRDefault="000A442F" w:rsidP="005D3BBD">
            <w:pPr>
              <w:jc w:val="center"/>
              <w:rPr>
                <w:b/>
                <w:color w:val="000000"/>
                <w:szCs w:val="24"/>
              </w:rPr>
            </w:pPr>
            <w:r w:rsidRPr="005B4606">
              <w:rPr>
                <w:b/>
                <w:color w:val="000000"/>
                <w:szCs w:val="24"/>
              </w:rPr>
              <w:t>УУР</w:t>
            </w:r>
          </w:p>
        </w:tc>
        <w:tc>
          <w:tcPr>
            <w:tcW w:w="4288" w:type="pct"/>
          </w:tcPr>
          <w:p w14:paraId="5278F874" w14:textId="77777777" w:rsidR="000A442F" w:rsidRPr="005B4606" w:rsidRDefault="000A442F" w:rsidP="005D3BBD">
            <w:pPr>
              <w:jc w:val="center"/>
              <w:rPr>
                <w:b/>
                <w:color w:val="000000"/>
                <w:szCs w:val="24"/>
              </w:rPr>
            </w:pPr>
            <w:r w:rsidRPr="005B4606">
              <w:rPr>
                <w:b/>
                <w:color w:val="000000"/>
                <w:szCs w:val="24"/>
              </w:rPr>
              <w:t>Расшифровка</w:t>
            </w:r>
          </w:p>
        </w:tc>
      </w:tr>
      <w:tr w:rsidR="000A442F" w:rsidRPr="005B4606" w14:paraId="74B7AA9E" w14:textId="77777777" w:rsidTr="005B4606">
        <w:trPr>
          <w:trHeight w:val="1060"/>
        </w:trPr>
        <w:tc>
          <w:tcPr>
            <w:tcW w:w="712" w:type="pct"/>
          </w:tcPr>
          <w:p w14:paraId="0DBA0B0D" w14:textId="77777777" w:rsidR="000A442F" w:rsidRPr="005B4606" w:rsidRDefault="000A442F" w:rsidP="005D3BBD">
            <w:pPr>
              <w:jc w:val="center"/>
              <w:rPr>
                <w:color w:val="000000"/>
                <w:szCs w:val="24"/>
              </w:rPr>
            </w:pPr>
            <w:r w:rsidRPr="005B4606">
              <w:rPr>
                <w:color w:val="000000"/>
                <w:szCs w:val="24"/>
                <w:lang w:val="en-US"/>
              </w:rPr>
              <w:t>A</w:t>
            </w:r>
          </w:p>
        </w:tc>
        <w:tc>
          <w:tcPr>
            <w:tcW w:w="4288" w:type="pct"/>
          </w:tcPr>
          <w:p w14:paraId="3546B5C2" w14:textId="77777777" w:rsidR="000A442F" w:rsidRPr="005B4606" w:rsidRDefault="000A442F" w:rsidP="005D3BBD">
            <w:pPr>
              <w:rPr>
                <w:color w:val="000000"/>
                <w:szCs w:val="24"/>
              </w:rPr>
            </w:pPr>
            <w:r w:rsidRPr="005B4606">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0A442F" w:rsidRPr="005B4606" w14:paraId="4C385EA0" w14:textId="77777777" w:rsidTr="005B4606">
        <w:trPr>
          <w:trHeight w:val="558"/>
        </w:trPr>
        <w:tc>
          <w:tcPr>
            <w:tcW w:w="712" w:type="pct"/>
          </w:tcPr>
          <w:p w14:paraId="451952C1" w14:textId="77777777" w:rsidR="000A442F" w:rsidRPr="005B4606" w:rsidRDefault="000A442F" w:rsidP="005D3BBD">
            <w:pPr>
              <w:jc w:val="center"/>
              <w:rPr>
                <w:color w:val="000000"/>
                <w:szCs w:val="24"/>
              </w:rPr>
            </w:pPr>
            <w:r w:rsidRPr="005B4606">
              <w:rPr>
                <w:color w:val="000000"/>
                <w:szCs w:val="24"/>
              </w:rPr>
              <w:t>B</w:t>
            </w:r>
          </w:p>
        </w:tc>
        <w:tc>
          <w:tcPr>
            <w:tcW w:w="4288" w:type="pct"/>
          </w:tcPr>
          <w:p w14:paraId="77888A8E" w14:textId="77777777" w:rsidR="000A442F" w:rsidRPr="005B4606" w:rsidRDefault="000A442F" w:rsidP="005D3BBD">
            <w:pPr>
              <w:rPr>
                <w:color w:val="000000"/>
                <w:szCs w:val="24"/>
              </w:rPr>
            </w:pPr>
            <w:r w:rsidRPr="005B4606">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0A442F" w:rsidRPr="005B4606" w14:paraId="008D421E" w14:textId="77777777" w:rsidTr="005B4606">
        <w:trPr>
          <w:trHeight w:val="798"/>
        </w:trPr>
        <w:tc>
          <w:tcPr>
            <w:tcW w:w="712" w:type="pct"/>
          </w:tcPr>
          <w:p w14:paraId="2992EF7A" w14:textId="77777777" w:rsidR="000A442F" w:rsidRPr="005B4606" w:rsidRDefault="000A442F" w:rsidP="005D3BBD">
            <w:pPr>
              <w:jc w:val="center"/>
              <w:rPr>
                <w:color w:val="000000"/>
                <w:szCs w:val="24"/>
              </w:rPr>
            </w:pPr>
            <w:r w:rsidRPr="005B4606">
              <w:rPr>
                <w:color w:val="000000"/>
                <w:szCs w:val="24"/>
              </w:rPr>
              <w:t>C</w:t>
            </w:r>
          </w:p>
        </w:tc>
        <w:tc>
          <w:tcPr>
            <w:tcW w:w="4288" w:type="pct"/>
          </w:tcPr>
          <w:p w14:paraId="04F9DC83" w14:textId="77777777" w:rsidR="000A442F" w:rsidRPr="005B4606" w:rsidRDefault="000A442F" w:rsidP="005D3BBD">
            <w:pPr>
              <w:rPr>
                <w:color w:val="000000"/>
                <w:szCs w:val="24"/>
              </w:rPr>
            </w:pPr>
            <w:r w:rsidRPr="005B4606">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462E3909" w14:textId="77777777" w:rsidR="000A139D" w:rsidRDefault="000A139D" w:rsidP="004E3A70">
      <w:pPr>
        <w:rPr>
          <w:b/>
        </w:rPr>
      </w:pPr>
    </w:p>
    <w:p w14:paraId="764EFAB0" w14:textId="77777777" w:rsidR="004D7374" w:rsidRPr="00B93B9E" w:rsidRDefault="004D7374" w:rsidP="00830EF8">
      <w:pPr>
        <w:rPr>
          <w:b/>
        </w:rPr>
      </w:pPr>
      <w:r w:rsidRPr="00B93B9E">
        <w:rPr>
          <w:b/>
        </w:rPr>
        <w:t>Методология валидизации рекомендаций</w:t>
      </w:r>
    </w:p>
    <w:p w14:paraId="4EF4373C" w14:textId="77777777" w:rsidR="004D7374" w:rsidRPr="000A139D" w:rsidRDefault="004D7374" w:rsidP="00830EF8">
      <w:pPr>
        <w:rPr>
          <w:b/>
        </w:rPr>
      </w:pPr>
      <w:r w:rsidRPr="000A139D">
        <w:rPr>
          <w:b/>
        </w:rPr>
        <w:t>Методы валидизации:</w:t>
      </w:r>
    </w:p>
    <w:p w14:paraId="09F7D809" w14:textId="77777777" w:rsidR="004D7374" w:rsidRDefault="004D7374" w:rsidP="00E92E00">
      <w:pPr>
        <w:ind w:firstLine="709"/>
      </w:pPr>
      <w:r>
        <w:t>•</w:t>
      </w:r>
      <w:r>
        <w:tab/>
      </w:r>
      <w:r w:rsidR="000A139D">
        <w:t>в</w:t>
      </w:r>
      <w:r>
        <w:t>нешняя экспертная оценка;</w:t>
      </w:r>
    </w:p>
    <w:p w14:paraId="04277F94" w14:textId="77777777" w:rsidR="004D7374" w:rsidRDefault="004D7374" w:rsidP="00E92E00">
      <w:pPr>
        <w:ind w:firstLine="709"/>
      </w:pPr>
      <w:r>
        <w:t>•</w:t>
      </w:r>
      <w:r>
        <w:tab/>
      </w:r>
      <w:r w:rsidR="000A139D">
        <w:t>в</w:t>
      </w:r>
      <w:r>
        <w:t>нутренняя экспертная оценка.</w:t>
      </w:r>
    </w:p>
    <w:p w14:paraId="7A560DFB" w14:textId="77777777" w:rsidR="004D7374" w:rsidRPr="000A139D" w:rsidRDefault="004D7374" w:rsidP="00B04401">
      <w:pPr>
        <w:contextualSpacing/>
        <w:rPr>
          <w:b/>
        </w:rPr>
      </w:pPr>
      <w:r w:rsidRPr="000A139D">
        <w:rPr>
          <w:b/>
        </w:rPr>
        <w:t>Описание ме</w:t>
      </w:r>
      <w:r w:rsidR="000A139D" w:rsidRPr="000A139D">
        <w:rPr>
          <w:b/>
        </w:rPr>
        <w:t>тодики валидизации рекомендаций</w:t>
      </w:r>
    </w:p>
    <w:p w14:paraId="52633F62" w14:textId="77777777" w:rsidR="004D7374" w:rsidRDefault="004D7374" w:rsidP="00B04401">
      <w:pPr>
        <w:ind w:firstLine="709"/>
        <w:contextualSpacing/>
      </w:pPr>
      <w:r>
        <w:t>Настоящие рекомендации в предварительной версии были рецензированы независимыми экспертами, которых попросили прокомментировать, насколько качественно интерпретированы доказательства и разработаны рекомендации. Также была проведена экспертная оценка изложения рекомендаций и их доступности для понимания.</w:t>
      </w:r>
    </w:p>
    <w:p w14:paraId="44836D57" w14:textId="77777777" w:rsidR="004D7374" w:rsidRDefault="004D7374" w:rsidP="00B04401">
      <w:pPr>
        <w:ind w:firstLine="709"/>
        <w:contextualSpacing/>
      </w:pPr>
      <w:r>
        <w:t xml:space="preserve">Рекомендации обсуждены и одобрены ведущими специалистами профильных </w:t>
      </w:r>
      <w:r w:rsidR="000A139D">
        <w:t>ф</w:t>
      </w:r>
      <w:r>
        <w:t>едеральных центров РФ и практическими врачами. Проект клинических рекомендаций был рассмотрен на с</w:t>
      </w:r>
      <w:r w:rsidR="000A139D">
        <w:t>овещаниях рабочей группы в 2017–</w:t>
      </w:r>
      <w:r>
        <w:t xml:space="preserve">2018 гг., на </w:t>
      </w:r>
      <w:r w:rsidR="000A139D">
        <w:t>ф</w:t>
      </w:r>
      <w:r>
        <w:t xml:space="preserve">оруме экспертов по вопросам диагностики и лечения злокачественных лимфопролиферативных заболеваний «Лимфорум», ежегодной </w:t>
      </w:r>
      <w:r w:rsidR="000A139D">
        <w:t>р</w:t>
      </w:r>
      <w:r>
        <w:t>оссийской конференции с международным участием «Злокачественные лимфомы», а также в рамках IV Конгресса гематологов России.</w:t>
      </w:r>
    </w:p>
    <w:p w14:paraId="01067B2D" w14:textId="77777777" w:rsidR="008F1902" w:rsidRDefault="008F1902" w:rsidP="00B04401">
      <w:pPr>
        <w:pStyle w:val="ab"/>
        <w:tabs>
          <w:tab w:val="left" w:pos="6073"/>
        </w:tabs>
        <w:contextualSpacing/>
        <w:jc w:val="both"/>
        <w:rPr>
          <w:rFonts w:eastAsia="Times New Roman"/>
        </w:rPr>
      </w:pPr>
      <w:r>
        <w:rPr>
          <w:rStyle w:val="aa"/>
        </w:rPr>
        <w:t>Порядок обно</w:t>
      </w:r>
      <w:r w:rsidR="000A139D">
        <w:rPr>
          <w:rStyle w:val="aa"/>
        </w:rPr>
        <w:t>вления клинических рекомендаций</w:t>
      </w:r>
    </w:p>
    <w:p w14:paraId="70B01548" w14:textId="77777777" w:rsidR="002448A6" w:rsidRDefault="001B105B" w:rsidP="003F5F47">
      <w:pPr>
        <w:ind w:firstLine="709"/>
      </w:pPr>
      <w:r>
        <w:t xml:space="preserve">Актуализация проводится не реже чем </w:t>
      </w:r>
      <w:r w:rsidR="000A139D">
        <w:t>1</w:t>
      </w:r>
      <w:r>
        <w:t xml:space="preserve"> раз в </w:t>
      </w:r>
      <w:r w:rsidR="000A139D">
        <w:t>3</w:t>
      </w:r>
      <w:r>
        <w:t xml:space="preserve"> </w:t>
      </w:r>
      <w:r w:rsidRPr="009D0A81">
        <w:t xml:space="preserve">года </w:t>
      </w:r>
      <w:r w:rsidR="00AC3B0C" w:rsidRPr="009D0A81">
        <w:t xml:space="preserve">или при появлении </w:t>
      </w:r>
      <w:r w:rsidRPr="009D0A81">
        <w:t>новой информации о диагностике и тактике ведения пациентов, страдающих</w:t>
      </w:r>
      <w:r w:rsidR="00696CC2" w:rsidRPr="009D0A81">
        <w:t xml:space="preserve"> ХЛЛ/ЛМЛ</w:t>
      </w:r>
      <w:r w:rsidR="00FD2083">
        <w:t xml:space="preserve">, </w:t>
      </w:r>
      <w:r w:rsidR="00FD2083" w:rsidRPr="003E3A35">
        <w:t xml:space="preserve">но не чаще </w:t>
      </w:r>
      <w:r w:rsidR="00FD2083">
        <w:t>1</w:t>
      </w:r>
      <w:r w:rsidR="00FD2083" w:rsidRPr="003E3A35">
        <w:t xml:space="preserve"> раза в </w:t>
      </w:r>
      <w:r w:rsidR="00FD2083">
        <w:t>6 месяцев</w:t>
      </w:r>
      <w:r w:rsidRPr="009D0A81">
        <w:t xml:space="preserve">. Решение об обновлении принимает </w:t>
      </w:r>
      <w:r w:rsidR="00696CC2" w:rsidRPr="009D0A81">
        <w:t>Минздрав России</w:t>
      </w:r>
      <w:r w:rsidRPr="009D0A81">
        <w:t xml:space="preserve"> на основе предло</w:t>
      </w:r>
      <w:r>
        <w:t>жений медицински</w:t>
      </w:r>
      <w:r w:rsidR="000A139D">
        <w:t>х</w:t>
      </w:r>
      <w:r>
        <w:t xml:space="preserve"> профессиональны</w:t>
      </w:r>
      <w:r w:rsidR="000A139D">
        <w:t>х</w:t>
      </w:r>
      <w:r>
        <w:t xml:space="preserve"> некоммерчески</w:t>
      </w:r>
      <w:r w:rsidR="000A139D">
        <w:t>х организаций</w:t>
      </w:r>
      <w:r>
        <w:t>.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14:paraId="2E2D643E" w14:textId="77777777" w:rsidR="002448A6" w:rsidRPr="00DB46A1" w:rsidRDefault="002448A6" w:rsidP="005D3BBD">
      <w:pPr>
        <w:pStyle w:val="aff0"/>
        <w:spacing w:before="0" w:after="0"/>
        <w:rPr>
          <w:rFonts w:ascii="Times New Roman" w:hAnsi="Times New Roman"/>
          <w:sz w:val="24"/>
          <w:szCs w:val="24"/>
        </w:rPr>
      </w:pPr>
      <w:r>
        <w:br w:type="page"/>
      </w:r>
      <w:bookmarkStart w:id="95" w:name="_Toc23601738"/>
      <w:bookmarkStart w:id="96" w:name="_Toc65068828"/>
      <w:r w:rsidRPr="00DB46A1">
        <w:rPr>
          <w:rFonts w:ascii="Times New Roman" w:hAnsi="Times New Roman"/>
          <w:sz w:val="24"/>
          <w:szCs w:val="24"/>
        </w:rPr>
        <w:t>Приложение А</w:t>
      </w:r>
      <w:r w:rsidR="00AA4B03" w:rsidRPr="00DB46A1">
        <w:rPr>
          <w:rFonts w:ascii="Times New Roman" w:hAnsi="Times New Roman"/>
          <w:sz w:val="24"/>
          <w:szCs w:val="24"/>
        </w:rPr>
        <w:t>3</w:t>
      </w:r>
      <w:r w:rsidRPr="00DB46A1">
        <w:rPr>
          <w:rFonts w:ascii="Times New Roman" w:hAnsi="Times New Roman"/>
          <w:sz w:val="24"/>
          <w:szCs w:val="24"/>
        </w:rPr>
        <w:t>.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95"/>
      <w:bookmarkEnd w:id="96"/>
    </w:p>
    <w:p w14:paraId="1E6B71EC" w14:textId="77777777" w:rsidR="00457002" w:rsidRPr="000A442F" w:rsidRDefault="00D73887" w:rsidP="005D3BBD">
      <w:pPr>
        <w:pStyle w:val="2"/>
        <w:spacing w:before="0"/>
      </w:pPr>
      <w:bookmarkStart w:id="97" w:name="_Toc23601739"/>
      <w:bookmarkStart w:id="98" w:name="_Toc65068829"/>
      <w:r>
        <w:t xml:space="preserve">Приложение </w:t>
      </w:r>
      <w:r w:rsidR="00457002" w:rsidRPr="000A442F">
        <w:t>А3.1</w:t>
      </w:r>
      <w:r w:rsidR="00F07AA9">
        <w:t>.</w:t>
      </w:r>
      <w:r w:rsidR="00457002" w:rsidRPr="000A442F">
        <w:t xml:space="preserve"> Значение маркеров вируса гепатита В при ХЛЛ</w:t>
      </w:r>
      <w:bookmarkEnd w:id="97"/>
      <w:bookmarkEnd w:id="98"/>
    </w:p>
    <w:p w14:paraId="1AFE2495" w14:textId="77777777" w:rsidR="00457002" w:rsidRPr="000A139D" w:rsidRDefault="00457002" w:rsidP="004E3A70">
      <w:pPr>
        <w:rPr>
          <w:b/>
        </w:rPr>
      </w:pPr>
      <w:r>
        <w:t>Клетки ХЛЛ могут быть дополнительным резервуаром для вируса гепатита В. Латентная инфекция, вызванная HBV, выявляется у пациентов с ХЛЛ чаще. Значение маркеров HBV-инфекции и предполагаем</w:t>
      </w:r>
      <w:r w:rsidR="006B3E67">
        <w:t>ые действия представлены в табл</w:t>
      </w:r>
      <w:r w:rsidRPr="000A139D">
        <w:t>.</w:t>
      </w:r>
      <w:r w:rsidR="006B3E67">
        <w:t xml:space="preserve"> 3.1.</w:t>
      </w:r>
    </w:p>
    <w:p w14:paraId="22CE244C" w14:textId="77777777" w:rsidR="00457002" w:rsidRPr="000A139D" w:rsidRDefault="006B3E67" w:rsidP="00830EF8">
      <w:pPr>
        <w:rPr>
          <w:b/>
        </w:rPr>
      </w:pPr>
      <w:r>
        <w:rPr>
          <w:b/>
        </w:rPr>
        <w:t xml:space="preserve">Таблица А3.1. </w:t>
      </w:r>
      <w:r w:rsidR="00457002" w:rsidRPr="000A139D">
        <w:rPr>
          <w:b/>
        </w:rPr>
        <w:t>Значение маркеров вирусного гепатита B</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730"/>
        <w:gridCol w:w="992"/>
        <w:gridCol w:w="880"/>
        <w:gridCol w:w="879"/>
        <w:gridCol w:w="2948"/>
      </w:tblGrid>
      <w:tr w:rsidR="00457002" w:rsidRPr="000A139D" w14:paraId="72F7A133" w14:textId="77777777" w:rsidTr="000A139D">
        <w:tc>
          <w:tcPr>
            <w:tcW w:w="2922" w:type="dxa"/>
            <w:shd w:val="clear" w:color="auto" w:fill="auto"/>
            <w:vAlign w:val="center"/>
          </w:tcPr>
          <w:p w14:paraId="59534BFA" w14:textId="77777777" w:rsidR="00457002" w:rsidRPr="000A139D" w:rsidRDefault="000A139D" w:rsidP="005D3BBD">
            <w:pPr>
              <w:jc w:val="center"/>
              <w:rPr>
                <w:b/>
                <w:szCs w:val="24"/>
              </w:rPr>
            </w:pPr>
            <w:r w:rsidRPr="000A139D">
              <w:rPr>
                <w:b/>
                <w:szCs w:val="24"/>
              </w:rPr>
              <w:t>Расшифровка</w:t>
            </w:r>
          </w:p>
        </w:tc>
        <w:tc>
          <w:tcPr>
            <w:tcW w:w="730" w:type="dxa"/>
            <w:shd w:val="clear" w:color="auto" w:fill="auto"/>
            <w:vAlign w:val="center"/>
          </w:tcPr>
          <w:p w14:paraId="6B96A3E3" w14:textId="77777777" w:rsidR="00457002" w:rsidRPr="000A139D" w:rsidRDefault="00457002" w:rsidP="005D3BBD">
            <w:pPr>
              <w:jc w:val="center"/>
              <w:rPr>
                <w:b/>
                <w:szCs w:val="24"/>
              </w:rPr>
            </w:pPr>
            <w:r w:rsidRPr="000A139D">
              <w:rPr>
                <w:b/>
                <w:szCs w:val="24"/>
              </w:rPr>
              <w:t>HBs-Ag</w:t>
            </w:r>
          </w:p>
        </w:tc>
        <w:tc>
          <w:tcPr>
            <w:tcW w:w="992" w:type="dxa"/>
            <w:shd w:val="clear" w:color="auto" w:fill="auto"/>
            <w:vAlign w:val="center"/>
          </w:tcPr>
          <w:p w14:paraId="0D1A3527" w14:textId="77777777" w:rsidR="00457002" w:rsidRPr="000A139D" w:rsidRDefault="00457002" w:rsidP="005D3BBD">
            <w:pPr>
              <w:jc w:val="center"/>
              <w:rPr>
                <w:b/>
                <w:szCs w:val="24"/>
              </w:rPr>
            </w:pPr>
            <w:r w:rsidRPr="000A139D">
              <w:rPr>
                <w:b/>
                <w:szCs w:val="24"/>
              </w:rPr>
              <w:t>Анти-HBc</w:t>
            </w:r>
          </w:p>
        </w:tc>
        <w:tc>
          <w:tcPr>
            <w:tcW w:w="880" w:type="dxa"/>
            <w:shd w:val="clear" w:color="auto" w:fill="auto"/>
            <w:vAlign w:val="center"/>
          </w:tcPr>
          <w:p w14:paraId="4175CC0B" w14:textId="77777777" w:rsidR="00457002" w:rsidRPr="000A139D" w:rsidRDefault="00457002" w:rsidP="005D3BBD">
            <w:pPr>
              <w:jc w:val="center"/>
              <w:rPr>
                <w:b/>
                <w:szCs w:val="24"/>
              </w:rPr>
            </w:pPr>
            <w:r w:rsidRPr="000A139D">
              <w:rPr>
                <w:b/>
                <w:szCs w:val="24"/>
              </w:rPr>
              <w:t>Анти-HBs</w:t>
            </w:r>
          </w:p>
        </w:tc>
        <w:tc>
          <w:tcPr>
            <w:tcW w:w="879" w:type="dxa"/>
            <w:shd w:val="clear" w:color="auto" w:fill="auto"/>
            <w:vAlign w:val="center"/>
          </w:tcPr>
          <w:p w14:paraId="5F21A8A5" w14:textId="77777777" w:rsidR="00457002" w:rsidRPr="000A139D" w:rsidRDefault="00457002" w:rsidP="005D3BBD">
            <w:pPr>
              <w:jc w:val="center"/>
              <w:rPr>
                <w:b/>
                <w:szCs w:val="24"/>
              </w:rPr>
            </w:pPr>
            <w:r w:rsidRPr="000A139D">
              <w:rPr>
                <w:b/>
                <w:szCs w:val="24"/>
              </w:rPr>
              <w:t>ДНК HBV</w:t>
            </w:r>
          </w:p>
        </w:tc>
        <w:tc>
          <w:tcPr>
            <w:tcW w:w="2948" w:type="dxa"/>
            <w:shd w:val="clear" w:color="auto" w:fill="auto"/>
            <w:vAlign w:val="center"/>
          </w:tcPr>
          <w:p w14:paraId="294FBC4D" w14:textId="77777777" w:rsidR="00457002" w:rsidRPr="000A139D" w:rsidRDefault="00457002" w:rsidP="005D3BBD">
            <w:pPr>
              <w:jc w:val="center"/>
              <w:rPr>
                <w:b/>
                <w:szCs w:val="24"/>
              </w:rPr>
            </w:pPr>
            <w:r w:rsidRPr="000A139D">
              <w:rPr>
                <w:b/>
                <w:szCs w:val="24"/>
              </w:rPr>
              <w:t>Действия</w:t>
            </w:r>
          </w:p>
        </w:tc>
      </w:tr>
      <w:tr w:rsidR="00457002" w:rsidRPr="005B4606" w14:paraId="1605B074" w14:textId="77777777" w:rsidTr="000A139D">
        <w:tc>
          <w:tcPr>
            <w:tcW w:w="2922" w:type="dxa"/>
            <w:shd w:val="clear" w:color="auto" w:fill="auto"/>
          </w:tcPr>
          <w:p w14:paraId="20F00975" w14:textId="77777777" w:rsidR="00457002" w:rsidRPr="005B4606" w:rsidRDefault="00457002" w:rsidP="005D3BBD">
            <w:pPr>
              <w:rPr>
                <w:szCs w:val="24"/>
              </w:rPr>
            </w:pPr>
            <w:r w:rsidRPr="005B4606">
              <w:rPr>
                <w:szCs w:val="24"/>
              </w:rPr>
              <w:t>Не контактировал с HBV</w:t>
            </w:r>
          </w:p>
        </w:tc>
        <w:tc>
          <w:tcPr>
            <w:tcW w:w="730" w:type="dxa"/>
            <w:shd w:val="clear" w:color="auto" w:fill="auto"/>
          </w:tcPr>
          <w:p w14:paraId="33A77E95" w14:textId="77777777" w:rsidR="00457002" w:rsidRPr="005B4606" w:rsidRDefault="00457002" w:rsidP="005D3BBD">
            <w:pPr>
              <w:jc w:val="center"/>
              <w:rPr>
                <w:szCs w:val="24"/>
              </w:rPr>
            </w:pPr>
            <w:r w:rsidRPr="005B4606">
              <w:rPr>
                <w:szCs w:val="24"/>
              </w:rPr>
              <w:t>–</w:t>
            </w:r>
          </w:p>
        </w:tc>
        <w:tc>
          <w:tcPr>
            <w:tcW w:w="992" w:type="dxa"/>
            <w:shd w:val="clear" w:color="auto" w:fill="auto"/>
          </w:tcPr>
          <w:p w14:paraId="3BAFF2FF" w14:textId="77777777" w:rsidR="00457002" w:rsidRPr="005B4606" w:rsidRDefault="00457002" w:rsidP="005D3BBD">
            <w:pPr>
              <w:jc w:val="center"/>
              <w:rPr>
                <w:szCs w:val="24"/>
              </w:rPr>
            </w:pPr>
            <w:r w:rsidRPr="005B4606">
              <w:rPr>
                <w:szCs w:val="24"/>
              </w:rPr>
              <w:t>–</w:t>
            </w:r>
          </w:p>
        </w:tc>
        <w:tc>
          <w:tcPr>
            <w:tcW w:w="880" w:type="dxa"/>
            <w:shd w:val="clear" w:color="auto" w:fill="auto"/>
          </w:tcPr>
          <w:p w14:paraId="6809E472" w14:textId="77777777" w:rsidR="00457002" w:rsidRPr="005B4606" w:rsidRDefault="00457002" w:rsidP="005D3BBD">
            <w:pPr>
              <w:jc w:val="center"/>
              <w:rPr>
                <w:szCs w:val="24"/>
              </w:rPr>
            </w:pPr>
            <w:r w:rsidRPr="005B4606">
              <w:rPr>
                <w:szCs w:val="24"/>
              </w:rPr>
              <w:t>–</w:t>
            </w:r>
          </w:p>
        </w:tc>
        <w:tc>
          <w:tcPr>
            <w:tcW w:w="879" w:type="dxa"/>
            <w:shd w:val="clear" w:color="auto" w:fill="auto"/>
          </w:tcPr>
          <w:p w14:paraId="5E8DD203" w14:textId="77777777" w:rsidR="00457002" w:rsidRPr="005B4606" w:rsidRDefault="00457002" w:rsidP="005D3BBD">
            <w:pPr>
              <w:jc w:val="center"/>
              <w:rPr>
                <w:szCs w:val="24"/>
              </w:rPr>
            </w:pPr>
            <w:r w:rsidRPr="005B4606">
              <w:rPr>
                <w:szCs w:val="24"/>
              </w:rPr>
              <w:t>–</w:t>
            </w:r>
          </w:p>
        </w:tc>
        <w:tc>
          <w:tcPr>
            <w:tcW w:w="2948" w:type="dxa"/>
            <w:shd w:val="clear" w:color="auto" w:fill="auto"/>
          </w:tcPr>
          <w:p w14:paraId="01BEACD0" w14:textId="77777777" w:rsidR="00457002" w:rsidRPr="005B4606" w:rsidRDefault="00457002" w:rsidP="005D3BBD">
            <w:pPr>
              <w:rPr>
                <w:szCs w:val="24"/>
              </w:rPr>
            </w:pPr>
            <w:r w:rsidRPr="005B4606">
              <w:rPr>
                <w:szCs w:val="24"/>
              </w:rPr>
              <w:t>Провести вакцинацию</w:t>
            </w:r>
            <w:r w:rsidR="000A139D">
              <w:rPr>
                <w:szCs w:val="24"/>
              </w:rPr>
              <w:t>.</w:t>
            </w:r>
          </w:p>
          <w:p w14:paraId="0AF85460" w14:textId="77777777" w:rsidR="00457002" w:rsidRPr="005B4606" w:rsidRDefault="00457002" w:rsidP="005D3BBD">
            <w:pPr>
              <w:rPr>
                <w:szCs w:val="24"/>
              </w:rPr>
            </w:pPr>
            <w:r w:rsidRPr="005B4606">
              <w:rPr>
                <w:szCs w:val="24"/>
              </w:rPr>
              <w:t xml:space="preserve">Противопоказаний </w:t>
            </w:r>
          </w:p>
          <w:p w14:paraId="73C98BD0" w14:textId="77777777" w:rsidR="00457002" w:rsidRPr="005B4606" w:rsidRDefault="00457002" w:rsidP="005D3BBD">
            <w:pPr>
              <w:rPr>
                <w:szCs w:val="24"/>
              </w:rPr>
            </w:pPr>
            <w:r w:rsidRPr="005B4606">
              <w:rPr>
                <w:szCs w:val="24"/>
              </w:rPr>
              <w:t>к анти-CD20 нет</w:t>
            </w:r>
          </w:p>
        </w:tc>
      </w:tr>
      <w:tr w:rsidR="00457002" w:rsidRPr="005B4606" w14:paraId="3213777E" w14:textId="77777777" w:rsidTr="000A139D">
        <w:tc>
          <w:tcPr>
            <w:tcW w:w="2922" w:type="dxa"/>
            <w:shd w:val="clear" w:color="auto" w:fill="auto"/>
          </w:tcPr>
          <w:p w14:paraId="734F0D1B" w14:textId="77777777" w:rsidR="00457002" w:rsidRPr="005B4606" w:rsidRDefault="00457002" w:rsidP="005D3BBD">
            <w:pPr>
              <w:rPr>
                <w:szCs w:val="24"/>
              </w:rPr>
            </w:pPr>
            <w:r w:rsidRPr="005B4606">
              <w:rPr>
                <w:szCs w:val="24"/>
              </w:rPr>
              <w:t>Вакцинация проведена</w:t>
            </w:r>
          </w:p>
        </w:tc>
        <w:tc>
          <w:tcPr>
            <w:tcW w:w="730" w:type="dxa"/>
            <w:shd w:val="clear" w:color="auto" w:fill="auto"/>
          </w:tcPr>
          <w:p w14:paraId="3AB6C323" w14:textId="77777777" w:rsidR="00457002" w:rsidRPr="005B4606" w:rsidRDefault="00457002" w:rsidP="005D3BBD">
            <w:pPr>
              <w:jc w:val="center"/>
              <w:rPr>
                <w:szCs w:val="24"/>
              </w:rPr>
            </w:pPr>
            <w:r w:rsidRPr="005B4606">
              <w:rPr>
                <w:szCs w:val="24"/>
              </w:rPr>
              <w:t>–</w:t>
            </w:r>
          </w:p>
        </w:tc>
        <w:tc>
          <w:tcPr>
            <w:tcW w:w="992" w:type="dxa"/>
            <w:shd w:val="clear" w:color="auto" w:fill="auto"/>
          </w:tcPr>
          <w:p w14:paraId="1068F926" w14:textId="77777777" w:rsidR="00457002" w:rsidRPr="005B4606" w:rsidRDefault="00457002" w:rsidP="005D3BBD">
            <w:pPr>
              <w:jc w:val="center"/>
              <w:rPr>
                <w:szCs w:val="24"/>
              </w:rPr>
            </w:pPr>
            <w:r w:rsidRPr="005B4606">
              <w:rPr>
                <w:szCs w:val="24"/>
              </w:rPr>
              <w:t>–</w:t>
            </w:r>
          </w:p>
        </w:tc>
        <w:tc>
          <w:tcPr>
            <w:tcW w:w="880" w:type="dxa"/>
            <w:shd w:val="clear" w:color="auto" w:fill="auto"/>
          </w:tcPr>
          <w:p w14:paraId="262ADBB5" w14:textId="77777777" w:rsidR="00457002" w:rsidRPr="005B4606" w:rsidRDefault="00457002" w:rsidP="005D3BBD">
            <w:pPr>
              <w:jc w:val="center"/>
              <w:rPr>
                <w:szCs w:val="24"/>
              </w:rPr>
            </w:pPr>
            <w:r w:rsidRPr="005B4606">
              <w:rPr>
                <w:szCs w:val="24"/>
              </w:rPr>
              <w:t>+</w:t>
            </w:r>
          </w:p>
        </w:tc>
        <w:tc>
          <w:tcPr>
            <w:tcW w:w="879" w:type="dxa"/>
            <w:shd w:val="clear" w:color="auto" w:fill="auto"/>
          </w:tcPr>
          <w:p w14:paraId="553B6B5F" w14:textId="77777777" w:rsidR="00457002" w:rsidRPr="005B4606" w:rsidRDefault="00457002" w:rsidP="005D3BBD">
            <w:pPr>
              <w:jc w:val="center"/>
              <w:rPr>
                <w:szCs w:val="24"/>
              </w:rPr>
            </w:pPr>
            <w:r w:rsidRPr="005B4606">
              <w:rPr>
                <w:szCs w:val="24"/>
              </w:rPr>
              <w:t>–</w:t>
            </w:r>
          </w:p>
        </w:tc>
        <w:tc>
          <w:tcPr>
            <w:tcW w:w="2948" w:type="dxa"/>
            <w:shd w:val="clear" w:color="auto" w:fill="auto"/>
          </w:tcPr>
          <w:p w14:paraId="6392F353" w14:textId="77777777" w:rsidR="00457002" w:rsidRPr="005B4606" w:rsidRDefault="00457002" w:rsidP="005D3BBD">
            <w:pPr>
              <w:rPr>
                <w:szCs w:val="24"/>
              </w:rPr>
            </w:pPr>
            <w:r w:rsidRPr="005B4606">
              <w:rPr>
                <w:szCs w:val="24"/>
              </w:rPr>
              <w:t xml:space="preserve">Противопоказаний </w:t>
            </w:r>
          </w:p>
          <w:p w14:paraId="178DB2DD" w14:textId="77777777" w:rsidR="00457002" w:rsidRPr="005B4606" w:rsidRDefault="00457002" w:rsidP="005D3BBD">
            <w:pPr>
              <w:rPr>
                <w:szCs w:val="24"/>
              </w:rPr>
            </w:pPr>
            <w:r w:rsidRPr="005B4606">
              <w:rPr>
                <w:szCs w:val="24"/>
              </w:rPr>
              <w:t>к анти-CD20 нет</w:t>
            </w:r>
          </w:p>
        </w:tc>
      </w:tr>
      <w:tr w:rsidR="00457002" w:rsidRPr="005B4606" w14:paraId="1C25D424" w14:textId="77777777" w:rsidTr="000A139D">
        <w:tc>
          <w:tcPr>
            <w:tcW w:w="2922" w:type="dxa"/>
            <w:shd w:val="clear" w:color="auto" w:fill="auto"/>
          </w:tcPr>
          <w:p w14:paraId="2FDBE0E2" w14:textId="77777777" w:rsidR="00457002" w:rsidRPr="005B4606" w:rsidRDefault="00457002" w:rsidP="005D3BBD">
            <w:pPr>
              <w:rPr>
                <w:szCs w:val="24"/>
              </w:rPr>
            </w:pPr>
            <w:r w:rsidRPr="005B4606">
              <w:rPr>
                <w:szCs w:val="24"/>
              </w:rPr>
              <w:t>Реконвалесцент</w:t>
            </w:r>
          </w:p>
        </w:tc>
        <w:tc>
          <w:tcPr>
            <w:tcW w:w="730" w:type="dxa"/>
            <w:shd w:val="clear" w:color="auto" w:fill="auto"/>
          </w:tcPr>
          <w:p w14:paraId="214F1C37" w14:textId="77777777" w:rsidR="00457002" w:rsidRPr="005B4606" w:rsidRDefault="00457002" w:rsidP="005D3BBD">
            <w:pPr>
              <w:jc w:val="center"/>
              <w:rPr>
                <w:szCs w:val="24"/>
              </w:rPr>
            </w:pPr>
            <w:r w:rsidRPr="005B4606">
              <w:rPr>
                <w:szCs w:val="24"/>
              </w:rPr>
              <w:t>–</w:t>
            </w:r>
          </w:p>
        </w:tc>
        <w:tc>
          <w:tcPr>
            <w:tcW w:w="992" w:type="dxa"/>
            <w:shd w:val="clear" w:color="auto" w:fill="auto"/>
          </w:tcPr>
          <w:p w14:paraId="72FA22D9" w14:textId="77777777" w:rsidR="00457002" w:rsidRPr="005B4606" w:rsidRDefault="00457002" w:rsidP="005D3BBD">
            <w:pPr>
              <w:jc w:val="center"/>
              <w:rPr>
                <w:szCs w:val="24"/>
              </w:rPr>
            </w:pPr>
            <w:r w:rsidRPr="005B4606">
              <w:rPr>
                <w:szCs w:val="24"/>
              </w:rPr>
              <w:t>+</w:t>
            </w:r>
          </w:p>
        </w:tc>
        <w:tc>
          <w:tcPr>
            <w:tcW w:w="880" w:type="dxa"/>
            <w:shd w:val="clear" w:color="auto" w:fill="auto"/>
          </w:tcPr>
          <w:p w14:paraId="0117D9DE" w14:textId="77777777" w:rsidR="00457002" w:rsidRPr="005B4606" w:rsidRDefault="00457002" w:rsidP="005D3BBD">
            <w:pPr>
              <w:jc w:val="center"/>
              <w:rPr>
                <w:szCs w:val="24"/>
              </w:rPr>
            </w:pPr>
            <w:r w:rsidRPr="005B4606">
              <w:rPr>
                <w:szCs w:val="24"/>
              </w:rPr>
              <w:t>+</w:t>
            </w:r>
          </w:p>
        </w:tc>
        <w:tc>
          <w:tcPr>
            <w:tcW w:w="879" w:type="dxa"/>
            <w:shd w:val="clear" w:color="auto" w:fill="auto"/>
          </w:tcPr>
          <w:p w14:paraId="0B0DD705" w14:textId="77777777" w:rsidR="00457002" w:rsidRPr="005B4606" w:rsidRDefault="00457002" w:rsidP="005D3BBD">
            <w:pPr>
              <w:jc w:val="center"/>
              <w:rPr>
                <w:szCs w:val="24"/>
              </w:rPr>
            </w:pPr>
            <w:r w:rsidRPr="005B4606">
              <w:rPr>
                <w:szCs w:val="24"/>
              </w:rPr>
              <w:t>–</w:t>
            </w:r>
          </w:p>
        </w:tc>
        <w:tc>
          <w:tcPr>
            <w:tcW w:w="2948" w:type="dxa"/>
            <w:shd w:val="clear" w:color="auto" w:fill="auto"/>
          </w:tcPr>
          <w:p w14:paraId="2CFE853A" w14:textId="77777777" w:rsidR="00457002" w:rsidRPr="005B4606" w:rsidRDefault="00457002" w:rsidP="005D3BBD">
            <w:pPr>
              <w:rPr>
                <w:szCs w:val="24"/>
              </w:rPr>
            </w:pPr>
            <w:r w:rsidRPr="005B4606">
              <w:rPr>
                <w:szCs w:val="24"/>
              </w:rPr>
              <w:t xml:space="preserve">Противопоказаний </w:t>
            </w:r>
          </w:p>
          <w:p w14:paraId="3B49E012" w14:textId="77777777" w:rsidR="00457002" w:rsidRPr="005B4606" w:rsidRDefault="00457002" w:rsidP="005D3BBD">
            <w:pPr>
              <w:rPr>
                <w:szCs w:val="24"/>
              </w:rPr>
            </w:pPr>
            <w:r w:rsidRPr="005B4606">
              <w:rPr>
                <w:szCs w:val="24"/>
              </w:rPr>
              <w:t xml:space="preserve">к анти-CD20 нет </w:t>
            </w:r>
          </w:p>
        </w:tc>
      </w:tr>
      <w:tr w:rsidR="00457002" w:rsidRPr="005B4606" w14:paraId="4545F308" w14:textId="77777777" w:rsidTr="000A139D">
        <w:tc>
          <w:tcPr>
            <w:tcW w:w="2922" w:type="dxa"/>
            <w:shd w:val="clear" w:color="auto" w:fill="auto"/>
          </w:tcPr>
          <w:p w14:paraId="724830B5" w14:textId="77777777" w:rsidR="00457002" w:rsidRPr="005B4606" w:rsidRDefault="00457002" w:rsidP="005D3BBD">
            <w:pPr>
              <w:rPr>
                <w:szCs w:val="24"/>
              </w:rPr>
            </w:pPr>
            <w:r w:rsidRPr="005B4606">
              <w:rPr>
                <w:szCs w:val="24"/>
              </w:rPr>
              <w:t>Возможное латентное носительство HBV</w:t>
            </w:r>
          </w:p>
        </w:tc>
        <w:tc>
          <w:tcPr>
            <w:tcW w:w="730" w:type="dxa"/>
            <w:shd w:val="clear" w:color="auto" w:fill="auto"/>
          </w:tcPr>
          <w:p w14:paraId="56818278" w14:textId="77777777" w:rsidR="00457002" w:rsidRPr="005B4606" w:rsidRDefault="00457002" w:rsidP="005D3BBD">
            <w:pPr>
              <w:jc w:val="center"/>
              <w:rPr>
                <w:szCs w:val="24"/>
              </w:rPr>
            </w:pPr>
            <w:r w:rsidRPr="005B4606">
              <w:rPr>
                <w:szCs w:val="24"/>
              </w:rPr>
              <w:t>–</w:t>
            </w:r>
          </w:p>
        </w:tc>
        <w:tc>
          <w:tcPr>
            <w:tcW w:w="992" w:type="dxa"/>
            <w:shd w:val="clear" w:color="auto" w:fill="auto"/>
          </w:tcPr>
          <w:p w14:paraId="41771308" w14:textId="77777777" w:rsidR="00457002" w:rsidRPr="005B4606" w:rsidRDefault="00457002" w:rsidP="005D3BBD">
            <w:pPr>
              <w:jc w:val="center"/>
              <w:rPr>
                <w:szCs w:val="24"/>
              </w:rPr>
            </w:pPr>
            <w:r w:rsidRPr="005B4606">
              <w:rPr>
                <w:szCs w:val="24"/>
              </w:rPr>
              <w:t>+</w:t>
            </w:r>
          </w:p>
        </w:tc>
        <w:tc>
          <w:tcPr>
            <w:tcW w:w="880" w:type="dxa"/>
            <w:shd w:val="clear" w:color="auto" w:fill="auto"/>
          </w:tcPr>
          <w:p w14:paraId="1021E0CB" w14:textId="77777777" w:rsidR="00457002" w:rsidRPr="005B4606" w:rsidRDefault="00457002" w:rsidP="005D3BBD">
            <w:pPr>
              <w:jc w:val="center"/>
              <w:rPr>
                <w:szCs w:val="24"/>
              </w:rPr>
            </w:pPr>
            <w:r w:rsidRPr="005B4606">
              <w:rPr>
                <w:szCs w:val="24"/>
              </w:rPr>
              <w:t>–</w:t>
            </w:r>
          </w:p>
        </w:tc>
        <w:tc>
          <w:tcPr>
            <w:tcW w:w="879" w:type="dxa"/>
            <w:shd w:val="clear" w:color="auto" w:fill="auto"/>
          </w:tcPr>
          <w:p w14:paraId="7EB978C6" w14:textId="77777777" w:rsidR="00457002" w:rsidRPr="005B4606" w:rsidRDefault="00457002" w:rsidP="005D3BBD">
            <w:pPr>
              <w:jc w:val="center"/>
              <w:rPr>
                <w:szCs w:val="24"/>
              </w:rPr>
            </w:pPr>
            <w:r w:rsidRPr="005B4606">
              <w:rPr>
                <w:szCs w:val="24"/>
              </w:rPr>
              <w:t>+/-</w:t>
            </w:r>
          </w:p>
        </w:tc>
        <w:tc>
          <w:tcPr>
            <w:tcW w:w="2948" w:type="dxa"/>
            <w:shd w:val="clear" w:color="auto" w:fill="auto"/>
          </w:tcPr>
          <w:p w14:paraId="2C5B4A81" w14:textId="77777777" w:rsidR="00457002" w:rsidRPr="005B4606" w:rsidRDefault="00457002" w:rsidP="005D3BBD">
            <w:pPr>
              <w:rPr>
                <w:szCs w:val="24"/>
              </w:rPr>
            </w:pPr>
            <w:r w:rsidRPr="005B4606">
              <w:rPr>
                <w:szCs w:val="24"/>
              </w:rPr>
              <w:t xml:space="preserve">Контроль ДНК HBV каждые 2 </w:t>
            </w:r>
            <w:r w:rsidR="00F07AA9">
              <w:rPr>
                <w:szCs w:val="24"/>
              </w:rPr>
              <w:t>мес.</w:t>
            </w:r>
            <w:r w:rsidRPr="005B4606">
              <w:rPr>
                <w:szCs w:val="24"/>
              </w:rPr>
              <w:t xml:space="preserve"> во время терапии анти-CD20, назначение противовирусной терапии при появлении HBsAg или</w:t>
            </w:r>
            <w:r w:rsidR="00DD3D1E">
              <w:rPr>
                <w:szCs w:val="24"/>
              </w:rPr>
              <w:t xml:space="preserve"> </w:t>
            </w:r>
            <w:r w:rsidRPr="005B4606">
              <w:rPr>
                <w:szCs w:val="24"/>
              </w:rPr>
              <w:t>ДНК HBV</w:t>
            </w:r>
          </w:p>
        </w:tc>
      </w:tr>
      <w:tr w:rsidR="00457002" w:rsidRPr="005B4606" w14:paraId="399D5A5D" w14:textId="77777777" w:rsidTr="000A139D">
        <w:tc>
          <w:tcPr>
            <w:tcW w:w="2922" w:type="dxa"/>
            <w:shd w:val="clear" w:color="auto" w:fill="auto"/>
          </w:tcPr>
          <w:p w14:paraId="27894E47" w14:textId="77777777" w:rsidR="00457002" w:rsidRPr="005B4606" w:rsidRDefault="00457002" w:rsidP="005D3BBD">
            <w:pPr>
              <w:rPr>
                <w:szCs w:val="24"/>
              </w:rPr>
            </w:pPr>
            <w:r w:rsidRPr="005B4606">
              <w:rPr>
                <w:szCs w:val="24"/>
              </w:rPr>
              <w:t>Неактивное носительство HBsAg</w:t>
            </w:r>
          </w:p>
        </w:tc>
        <w:tc>
          <w:tcPr>
            <w:tcW w:w="730" w:type="dxa"/>
            <w:shd w:val="clear" w:color="auto" w:fill="auto"/>
          </w:tcPr>
          <w:p w14:paraId="598CC180" w14:textId="77777777" w:rsidR="00457002" w:rsidRPr="005B4606" w:rsidRDefault="00457002" w:rsidP="005D3BBD">
            <w:pPr>
              <w:jc w:val="center"/>
              <w:rPr>
                <w:szCs w:val="24"/>
              </w:rPr>
            </w:pPr>
            <w:r w:rsidRPr="005B4606">
              <w:rPr>
                <w:szCs w:val="24"/>
              </w:rPr>
              <w:t>+</w:t>
            </w:r>
          </w:p>
        </w:tc>
        <w:tc>
          <w:tcPr>
            <w:tcW w:w="992" w:type="dxa"/>
            <w:shd w:val="clear" w:color="auto" w:fill="auto"/>
          </w:tcPr>
          <w:p w14:paraId="07E81ED3" w14:textId="77777777" w:rsidR="00457002" w:rsidRPr="005B4606" w:rsidRDefault="000A139D" w:rsidP="005D3BBD">
            <w:pPr>
              <w:jc w:val="center"/>
              <w:rPr>
                <w:szCs w:val="24"/>
              </w:rPr>
            </w:pPr>
            <w:r>
              <w:rPr>
                <w:szCs w:val="24"/>
              </w:rPr>
              <w:t>±</w:t>
            </w:r>
          </w:p>
        </w:tc>
        <w:tc>
          <w:tcPr>
            <w:tcW w:w="880" w:type="dxa"/>
            <w:shd w:val="clear" w:color="auto" w:fill="auto"/>
          </w:tcPr>
          <w:p w14:paraId="6EF33787" w14:textId="77777777" w:rsidR="00457002" w:rsidRPr="005B4606" w:rsidRDefault="00457002" w:rsidP="005D3BBD">
            <w:pPr>
              <w:jc w:val="center"/>
              <w:rPr>
                <w:szCs w:val="24"/>
              </w:rPr>
            </w:pPr>
            <w:r w:rsidRPr="005B4606">
              <w:rPr>
                <w:szCs w:val="24"/>
              </w:rPr>
              <w:t>–</w:t>
            </w:r>
          </w:p>
        </w:tc>
        <w:tc>
          <w:tcPr>
            <w:tcW w:w="879" w:type="dxa"/>
            <w:shd w:val="clear" w:color="auto" w:fill="auto"/>
          </w:tcPr>
          <w:p w14:paraId="03A61CB3" w14:textId="77777777" w:rsidR="00457002" w:rsidRPr="005B4606" w:rsidRDefault="000A139D" w:rsidP="005D3BBD">
            <w:pPr>
              <w:jc w:val="center"/>
              <w:rPr>
                <w:szCs w:val="24"/>
              </w:rPr>
            </w:pPr>
            <w:r>
              <w:rPr>
                <w:szCs w:val="24"/>
              </w:rPr>
              <w:t>±</w:t>
            </w:r>
          </w:p>
        </w:tc>
        <w:tc>
          <w:tcPr>
            <w:tcW w:w="2948" w:type="dxa"/>
            <w:shd w:val="clear" w:color="auto" w:fill="auto"/>
          </w:tcPr>
          <w:p w14:paraId="16A7ACD0" w14:textId="77777777" w:rsidR="00457002" w:rsidRPr="005B4606" w:rsidRDefault="00457002" w:rsidP="005D3BBD">
            <w:pPr>
              <w:rPr>
                <w:szCs w:val="24"/>
              </w:rPr>
            </w:pPr>
            <w:r w:rsidRPr="005B4606">
              <w:rPr>
                <w:szCs w:val="24"/>
              </w:rPr>
              <w:t>Назначение противовирусных препаратов во время терапии анти-CD20+ + год после окончания</w:t>
            </w:r>
          </w:p>
        </w:tc>
      </w:tr>
      <w:tr w:rsidR="00457002" w:rsidRPr="005B4606" w14:paraId="21AFF720" w14:textId="77777777" w:rsidTr="000A139D">
        <w:tc>
          <w:tcPr>
            <w:tcW w:w="2922" w:type="dxa"/>
            <w:shd w:val="clear" w:color="auto" w:fill="auto"/>
          </w:tcPr>
          <w:p w14:paraId="64A08177" w14:textId="77777777" w:rsidR="00457002" w:rsidRPr="005B4606" w:rsidRDefault="00457002" w:rsidP="005D3BBD">
            <w:pPr>
              <w:rPr>
                <w:szCs w:val="24"/>
              </w:rPr>
            </w:pPr>
            <w:r w:rsidRPr="005B4606">
              <w:rPr>
                <w:szCs w:val="24"/>
              </w:rPr>
              <w:t>Хронический гепатит B</w:t>
            </w:r>
          </w:p>
        </w:tc>
        <w:tc>
          <w:tcPr>
            <w:tcW w:w="730" w:type="dxa"/>
            <w:shd w:val="clear" w:color="auto" w:fill="auto"/>
          </w:tcPr>
          <w:p w14:paraId="7C93B0B5" w14:textId="77777777" w:rsidR="00457002" w:rsidRPr="005B4606" w:rsidRDefault="00457002" w:rsidP="005D3BBD">
            <w:pPr>
              <w:jc w:val="center"/>
              <w:rPr>
                <w:szCs w:val="24"/>
              </w:rPr>
            </w:pPr>
            <w:r w:rsidRPr="005B4606">
              <w:rPr>
                <w:szCs w:val="24"/>
              </w:rPr>
              <w:t>+</w:t>
            </w:r>
          </w:p>
        </w:tc>
        <w:tc>
          <w:tcPr>
            <w:tcW w:w="992" w:type="dxa"/>
            <w:shd w:val="clear" w:color="auto" w:fill="auto"/>
          </w:tcPr>
          <w:p w14:paraId="48EF00F8" w14:textId="77777777" w:rsidR="00457002" w:rsidRPr="005B4606" w:rsidRDefault="00457002" w:rsidP="005D3BBD">
            <w:pPr>
              <w:jc w:val="center"/>
              <w:rPr>
                <w:szCs w:val="24"/>
              </w:rPr>
            </w:pPr>
            <w:r w:rsidRPr="005B4606">
              <w:rPr>
                <w:szCs w:val="24"/>
              </w:rPr>
              <w:t>*</w:t>
            </w:r>
          </w:p>
        </w:tc>
        <w:tc>
          <w:tcPr>
            <w:tcW w:w="880" w:type="dxa"/>
            <w:shd w:val="clear" w:color="auto" w:fill="auto"/>
          </w:tcPr>
          <w:p w14:paraId="1405159E" w14:textId="77777777" w:rsidR="00457002" w:rsidRPr="005B4606" w:rsidRDefault="00457002" w:rsidP="005D3BBD">
            <w:pPr>
              <w:jc w:val="center"/>
              <w:rPr>
                <w:szCs w:val="24"/>
              </w:rPr>
            </w:pPr>
            <w:r w:rsidRPr="005B4606">
              <w:rPr>
                <w:szCs w:val="24"/>
              </w:rPr>
              <w:t>*</w:t>
            </w:r>
          </w:p>
        </w:tc>
        <w:tc>
          <w:tcPr>
            <w:tcW w:w="879" w:type="dxa"/>
            <w:shd w:val="clear" w:color="auto" w:fill="auto"/>
          </w:tcPr>
          <w:p w14:paraId="221B1AFA" w14:textId="77777777" w:rsidR="00457002" w:rsidRPr="005B4606" w:rsidRDefault="000A139D" w:rsidP="005D3BBD">
            <w:pPr>
              <w:jc w:val="center"/>
              <w:rPr>
                <w:szCs w:val="24"/>
              </w:rPr>
            </w:pPr>
            <w:r>
              <w:rPr>
                <w:szCs w:val="24"/>
              </w:rPr>
              <w:t>±</w:t>
            </w:r>
          </w:p>
        </w:tc>
        <w:tc>
          <w:tcPr>
            <w:tcW w:w="2948" w:type="dxa"/>
            <w:shd w:val="clear" w:color="auto" w:fill="auto"/>
          </w:tcPr>
          <w:p w14:paraId="04E6B4BA" w14:textId="77777777" w:rsidR="00457002" w:rsidRPr="005B4606" w:rsidRDefault="00457002" w:rsidP="005D3BBD">
            <w:pPr>
              <w:jc w:val="left"/>
              <w:rPr>
                <w:szCs w:val="24"/>
              </w:rPr>
            </w:pPr>
            <w:r w:rsidRPr="005B4606">
              <w:rPr>
                <w:szCs w:val="24"/>
              </w:rPr>
              <w:t>Отказаться от анти-CD20 или противо</w:t>
            </w:r>
            <w:r w:rsidR="000A139D">
              <w:rPr>
                <w:szCs w:val="24"/>
              </w:rPr>
              <w:softHyphen/>
            </w:r>
            <w:r w:rsidRPr="005B4606">
              <w:rPr>
                <w:szCs w:val="24"/>
              </w:rPr>
              <w:t xml:space="preserve">вирусная терапия до терапии, весь период лечения + </w:t>
            </w:r>
            <w:r w:rsidR="000A139D">
              <w:rPr>
                <w:szCs w:val="24"/>
              </w:rPr>
              <w:t xml:space="preserve">1 </w:t>
            </w:r>
            <w:r w:rsidRPr="005B4606">
              <w:rPr>
                <w:szCs w:val="24"/>
              </w:rPr>
              <w:t xml:space="preserve">год после окончания* </w:t>
            </w:r>
          </w:p>
        </w:tc>
      </w:tr>
    </w:tbl>
    <w:p w14:paraId="76A838E6" w14:textId="77777777" w:rsidR="00457002" w:rsidRPr="000A139D" w:rsidRDefault="00457002" w:rsidP="004E3A70">
      <w:pPr>
        <w:ind w:firstLine="709"/>
      </w:pPr>
      <w:r>
        <w:t>*</w:t>
      </w:r>
      <w:r w:rsidR="000A139D">
        <w:t> </w:t>
      </w:r>
      <w:r>
        <w:t>При необходимости назначения анти-CD20 показан постоянный прием энтекавира** 0,5 мг/сут.</w:t>
      </w:r>
      <w:r w:rsidR="00DD3D1E">
        <w:t xml:space="preserve"> </w:t>
      </w:r>
      <w:r>
        <w:t>Энтекавир**</w:t>
      </w:r>
      <w:r w:rsidR="00DD3D1E">
        <w:t xml:space="preserve"> </w:t>
      </w:r>
      <w:r>
        <w:t xml:space="preserve">назначают на весь период лечения/поддерживающей терапии и не менее </w:t>
      </w:r>
      <w:r w:rsidR="000A139D">
        <w:t xml:space="preserve">1 </w:t>
      </w:r>
      <w:r>
        <w:t xml:space="preserve">года после завершения иммуносупрессивной терапии при неоднократных отрицательных результатах тестирования </w:t>
      </w:r>
      <w:r w:rsidR="000A139D">
        <w:t xml:space="preserve">на </w:t>
      </w:r>
      <w:r>
        <w:t xml:space="preserve">ДНК вируса гепатита B в крови. Оптимальная продолжительность терапии энтекавиром** после завершения терапии ритуксимабом** не определена. Если пациенту с ХЛЛ специфическая терапия не показана, в профилактическом назначении энтекавира** нет необходимости. Ламивудин не должен применяться у пациентов с ХЛЛ, поскольку речь всегда идет о длительном приеме противовирусных препаратов. К концу </w:t>
      </w:r>
      <w:r w:rsidR="000A139D">
        <w:t>2-го</w:t>
      </w:r>
      <w:r>
        <w:t xml:space="preserve"> года приема ламивудина к этому препарату устойчиво более 40</w:t>
      </w:r>
      <w:r w:rsidR="00DD3D1E">
        <w:t xml:space="preserve"> %</w:t>
      </w:r>
      <w:r>
        <w:t xml:space="preserve"> штаммов HBV, к концу </w:t>
      </w:r>
      <w:r w:rsidR="000A139D">
        <w:t>4-го</w:t>
      </w:r>
      <w:r>
        <w:t xml:space="preserve"> года приема – 70</w:t>
      </w:r>
      <w:r w:rsidR="00DD3D1E">
        <w:t xml:space="preserve"> %</w:t>
      </w:r>
      <w:r>
        <w:t xml:space="preserve"> штаммов HBV. При развитии устойчивости к энтекавиру** показан переход на</w:t>
      </w:r>
      <w:r w:rsidR="000A139D">
        <w:t xml:space="preserve"> тенофовир**.</w:t>
      </w:r>
    </w:p>
    <w:p w14:paraId="2E9BCB30" w14:textId="77777777" w:rsidR="00457002" w:rsidRPr="00EF640F" w:rsidRDefault="00D73887" w:rsidP="00EF640F">
      <w:pPr>
        <w:pStyle w:val="2"/>
      </w:pPr>
      <w:bookmarkStart w:id="99" w:name="_Toc23601740"/>
      <w:bookmarkStart w:id="100" w:name="_Toc65068830"/>
      <w:r w:rsidRPr="00EF640F">
        <w:t xml:space="preserve">Приложение </w:t>
      </w:r>
      <w:r w:rsidR="00457002" w:rsidRPr="00EF640F">
        <w:t>А3.2</w:t>
      </w:r>
      <w:r w:rsidR="00F07AA9" w:rsidRPr="00991730">
        <w:t>.</w:t>
      </w:r>
      <w:r w:rsidR="00457002" w:rsidRPr="009D502B">
        <w:t xml:space="preserve"> </w:t>
      </w:r>
      <w:r w:rsidR="00457002" w:rsidRPr="00EF640F">
        <w:t>Показания к началу лечения ХЛЛ/ЛМЛ</w:t>
      </w:r>
      <w:bookmarkEnd w:id="99"/>
      <w:bookmarkEnd w:id="100"/>
    </w:p>
    <w:p w14:paraId="29CEBF30" w14:textId="77777777" w:rsidR="00457002" w:rsidRPr="0072780B" w:rsidRDefault="00457002" w:rsidP="004E3A70">
      <w:pPr>
        <w:ind w:firstLine="709"/>
      </w:pPr>
      <w:r>
        <w:t xml:space="preserve">Терапия ХЛЛ/ЛМЛ должна начинаться при наличии как минимум </w:t>
      </w:r>
      <w:r w:rsidR="00F07AA9">
        <w:t>1</w:t>
      </w:r>
      <w:r>
        <w:t xml:space="preserve"> из следующих </w:t>
      </w:r>
      <w:r w:rsidRPr="0072780B">
        <w:t xml:space="preserve">показаний по критериям </w:t>
      </w:r>
      <w:r w:rsidR="008502F5" w:rsidRPr="0072780B">
        <w:t>IWCLL</w:t>
      </w:r>
      <w:r w:rsidRPr="0072780B">
        <w:t xml:space="preserve"> 2018</w:t>
      </w:r>
      <w:r w:rsidR="00D4168D" w:rsidRPr="00D4168D">
        <w:t xml:space="preserve"> </w:t>
      </w:r>
      <w:r w:rsidR="000B0AC3">
        <w:fldChar w:fldCharType="begin" w:fldLock="1"/>
      </w:r>
      <w:r w:rsidR="00DE7500">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D4168D" w:rsidRPr="00D4168D">
        <w:rPr>
          <w:noProof/>
        </w:rPr>
        <w:t>[12]</w:t>
      </w:r>
      <w:r w:rsidR="000B0AC3">
        <w:fldChar w:fldCharType="end"/>
      </w:r>
      <w:r w:rsidRPr="0072780B">
        <w:t>:</w:t>
      </w:r>
    </w:p>
    <w:p w14:paraId="7B896A9A" w14:textId="77777777" w:rsidR="00457002" w:rsidRPr="0072780B" w:rsidRDefault="00457002" w:rsidP="00D61785">
      <w:pPr>
        <w:pStyle w:val="a4"/>
        <w:numPr>
          <w:ilvl w:val="0"/>
          <w:numId w:val="1"/>
        </w:numPr>
        <w:spacing w:before="0"/>
      </w:pPr>
      <w:r w:rsidRPr="0072780B">
        <w:t>Стадия С по J.L.</w:t>
      </w:r>
      <w:r w:rsidR="000A139D">
        <w:t xml:space="preserve"> </w:t>
      </w:r>
      <w:r w:rsidRPr="0072780B">
        <w:rPr>
          <w:lang w:val="en-US"/>
        </w:rPr>
        <w:t>Binet</w:t>
      </w:r>
      <w:r w:rsidR="000A139D">
        <w:t>.</w:t>
      </w:r>
    </w:p>
    <w:p w14:paraId="61CB91CD" w14:textId="77777777" w:rsidR="00457002" w:rsidRPr="0072780B" w:rsidRDefault="00457002" w:rsidP="00D61785">
      <w:pPr>
        <w:pStyle w:val="a4"/>
        <w:numPr>
          <w:ilvl w:val="0"/>
          <w:numId w:val="1"/>
        </w:numPr>
        <w:spacing w:before="0"/>
      </w:pPr>
      <w:r w:rsidRPr="0072780B">
        <w:t>Один или более симптомов интоксикации:</w:t>
      </w:r>
    </w:p>
    <w:p w14:paraId="59A5490D" w14:textId="77777777" w:rsidR="00457002" w:rsidRPr="0072780B" w:rsidRDefault="00457002" w:rsidP="00D61785">
      <w:pPr>
        <w:pStyle w:val="a4"/>
        <w:numPr>
          <w:ilvl w:val="0"/>
          <w:numId w:val="30"/>
        </w:numPr>
        <w:spacing w:before="0"/>
      </w:pPr>
      <w:r w:rsidRPr="0072780B">
        <w:t>потеря &gt;10</w:t>
      </w:r>
      <w:r w:rsidR="00DD3D1E">
        <w:t xml:space="preserve"> %</w:t>
      </w:r>
      <w:r w:rsidRPr="0072780B">
        <w:t xml:space="preserve"> массы тела за 6 мес</w:t>
      </w:r>
      <w:r w:rsidR="000A139D">
        <w:t>.</w:t>
      </w:r>
      <w:r w:rsidRPr="0072780B">
        <w:t xml:space="preserve"> (если пациент не принимал меры </w:t>
      </w:r>
      <w:r w:rsidR="000A139D">
        <w:t xml:space="preserve">для </w:t>
      </w:r>
      <w:r w:rsidRPr="0072780B">
        <w:t>похудани</w:t>
      </w:r>
      <w:r w:rsidR="000A139D">
        <w:t>я</w:t>
      </w:r>
      <w:r w:rsidRPr="0072780B">
        <w:t>);</w:t>
      </w:r>
    </w:p>
    <w:p w14:paraId="34F060EC" w14:textId="77777777" w:rsidR="00457002" w:rsidRPr="0072780B" w:rsidRDefault="00457002" w:rsidP="00D61785">
      <w:pPr>
        <w:pStyle w:val="a4"/>
        <w:numPr>
          <w:ilvl w:val="0"/>
          <w:numId w:val="30"/>
        </w:numPr>
        <w:spacing w:before="0"/>
      </w:pPr>
      <w:r w:rsidRPr="0072780B">
        <w:t>слабость (общее состояние по ECOG ≥2, нетрудоспособность);</w:t>
      </w:r>
    </w:p>
    <w:p w14:paraId="04C3187A" w14:textId="77777777" w:rsidR="00457002" w:rsidRPr="0072780B" w:rsidRDefault="00457002" w:rsidP="00D61785">
      <w:pPr>
        <w:pStyle w:val="a4"/>
        <w:numPr>
          <w:ilvl w:val="0"/>
          <w:numId w:val="30"/>
        </w:numPr>
        <w:spacing w:before="0"/>
      </w:pPr>
      <w:r w:rsidRPr="0072780B">
        <w:t xml:space="preserve">субфебрильная лихорадка в течение </w:t>
      </w:r>
      <w:r w:rsidRPr="0072780B">
        <w:rPr>
          <w:rFonts w:cs="Calibri"/>
        </w:rPr>
        <w:t>≥</w:t>
      </w:r>
      <w:r w:rsidRPr="0072780B">
        <w:t xml:space="preserve">2 </w:t>
      </w:r>
      <w:r w:rsidR="00F07AA9">
        <w:t>нед.</w:t>
      </w:r>
      <w:r w:rsidRPr="0072780B">
        <w:t xml:space="preserve"> без признаков инфекции;</w:t>
      </w:r>
    </w:p>
    <w:p w14:paraId="4B8EB286" w14:textId="77777777" w:rsidR="00457002" w:rsidRPr="0072780B" w:rsidRDefault="00457002" w:rsidP="00D61785">
      <w:pPr>
        <w:pStyle w:val="a4"/>
        <w:numPr>
          <w:ilvl w:val="0"/>
          <w:numId w:val="30"/>
        </w:numPr>
        <w:spacing w:before="0"/>
      </w:pPr>
      <w:r w:rsidRPr="0072780B">
        <w:t xml:space="preserve">ночные поты, сохраняющиеся более </w:t>
      </w:r>
      <w:r w:rsidR="000A139D">
        <w:t xml:space="preserve">1 </w:t>
      </w:r>
      <w:r w:rsidRPr="0072780B">
        <w:t>мес</w:t>
      </w:r>
      <w:r w:rsidR="000A139D">
        <w:t>.,</w:t>
      </w:r>
      <w:r w:rsidRPr="0072780B">
        <w:t xml:space="preserve"> без признаков инфекции.</w:t>
      </w:r>
    </w:p>
    <w:p w14:paraId="3C638CFB" w14:textId="77777777" w:rsidR="00457002" w:rsidRPr="0072780B" w:rsidRDefault="00457002" w:rsidP="00D61785">
      <w:pPr>
        <w:pStyle w:val="a4"/>
        <w:numPr>
          <w:ilvl w:val="0"/>
          <w:numId w:val="1"/>
        </w:numPr>
        <w:spacing w:before="0"/>
      </w:pPr>
      <w:r w:rsidRPr="0072780B">
        <w:t>Нарастающая анемия и/или тромбоцитопения, обусловленная инфильтрацией костного мозга.</w:t>
      </w:r>
    </w:p>
    <w:p w14:paraId="52244BE7" w14:textId="77777777" w:rsidR="00457002" w:rsidRPr="0072780B" w:rsidRDefault="00457002" w:rsidP="00D61785">
      <w:pPr>
        <w:pStyle w:val="a4"/>
        <w:numPr>
          <w:ilvl w:val="0"/>
          <w:numId w:val="1"/>
        </w:numPr>
        <w:spacing w:before="0"/>
      </w:pPr>
      <w:r w:rsidRPr="0072780B">
        <w:t>Аутоиммунная анемия и/или тромбоцитопения, резистентн</w:t>
      </w:r>
      <w:r w:rsidR="000A139D">
        <w:t>ая</w:t>
      </w:r>
      <w:r w:rsidRPr="0072780B">
        <w:t xml:space="preserve"> к преднизолону.</w:t>
      </w:r>
    </w:p>
    <w:p w14:paraId="5580CB23" w14:textId="77777777" w:rsidR="00457002" w:rsidRPr="0072780B" w:rsidRDefault="00457002" w:rsidP="00D61785">
      <w:pPr>
        <w:pStyle w:val="a4"/>
        <w:numPr>
          <w:ilvl w:val="0"/>
          <w:numId w:val="1"/>
        </w:numPr>
        <w:spacing w:before="0"/>
      </w:pPr>
      <w:r w:rsidRPr="0072780B">
        <w:t>Большие размеры селезенки (&gt;6 см ниже реберной дуги), явное увеличение органа.</w:t>
      </w:r>
    </w:p>
    <w:p w14:paraId="48FDDEF9" w14:textId="77777777" w:rsidR="00457002" w:rsidRPr="0072780B" w:rsidRDefault="00457002" w:rsidP="00D61785">
      <w:pPr>
        <w:pStyle w:val="a4"/>
        <w:numPr>
          <w:ilvl w:val="0"/>
          <w:numId w:val="1"/>
        </w:numPr>
        <w:spacing w:before="0"/>
      </w:pPr>
      <w:r w:rsidRPr="0072780B">
        <w:t>Массивная (</w:t>
      </w:r>
      <w:r w:rsidRPr="0072780B">
        <w:rPr>
          <w:rFonts w:cs="Calibri"/>
        </w:rPr>
        <w:t>≥</w:t>
      </w:r>
      <w:r w:rsidRPr="0072780B">
        <w:t>10 см в максимальном диаметре) и/или нарастающая лимфаденопатия.</w:t>
      </w:r>
    </w:p>
    <w:p w14:paraId="4E5FC774" w14:textId="77777777" w:rsidR="000A442F" w:rsidRPr="0072780B" w:rsidRDefault="00457002" w:rsidP="00D61785">
      <w:pPr>
        <w:pStyle w:val="a4"/>
        <w:numPr>
          <w:ilvl w:val="0"/>
          <w:numId w:val="1"/>
        </w:numPr>
        <w:spacing w:before="0"/>
      </w:pPr>
      <w:r w:rsidRPr="0072780B">
        <w:t xml:space="preserve">Время удвоения </w:t>
      </w:r>
      <w:r w:rsidR="000A139D">
        <w:t xml:space="preserve">числа </w:t>
      </w:r>
      <w:r w:rsidRPr="0072780B">
        <w:t>лимфоцитов менее 6 мес.</w:t>
      </w:r>
    </w:p>
    <w:p w14:paraId="4B73948B" w14:textId="77777777" w:rsidR="00457002" w:rsidRDefault="00457002" w:rsidP="00D61785">
      <w:pPr>
        <w:pStyle w:val="a4"/>
        <w:numPr>
          <w:ilvl w:val="0"/>
          <w:numId w:val="1"/>
        </w:numPr>
        <w:spacing w:before="0"/>
      </w:pPr>
      <w:r w:rsidRPr="0072780B">
        <w:t>Экстранодальное поражение, симптомное или влияющее на функцию пораженного органа.</w:t>
      </w:r>
    </w:p>
    <w:p w14:paraId="2C166573" w14:textId="77777777" w:rsidR="00457002" w:rsidRPr="00EF640F" w:rsidRDefault="00D73887" w:rsidP="00EF640F">
      <w:pPr>
        <w:pStyle w:val="2"/>
      </w:pPr>
      <w:bookmarkStart w:id="101" w:name="_Toc23601741"/>
      <w:bookmarkStart w:id="102" w:name="_Toc65068831"/>
      <w:r w:rsidRPr="00EF640F">
        <w:t xml:space="preserve">Приложение </w:t>
      </w:r>
      <w:r w:rsidR="00AA4B03" w:rsidRPr="00991730">
        <w:t>А</w:t>
      </w:r>
      <w:r w:rsidR="00457002" w:rsidRPr="00EF640F">
        <w:t>3.3</w:t>
      </w:r>
      <w:r w:rsidR="00F07AA9" w:rsidRPr="00EF640F">
        <w:t>.</w:t>
      </w:r>
      <w:r w:rsidR="00457002" w:rsidRPr="00EF640F">
        <w:t xml:space="preserve"> Режимы лекарственного лечения ХЛЛ</w:t>
      </w:r>
      <w:bookmarkEnd w:id="101"/>
      <w:bookmarkEnd w:id="102"/>
    </w:p>
    <w:p w14:paraId="723EB528" w14:textId="77777777" w:rsidR="00457002" w:rsidRPr="00B74F71" w:rsidRDefault="00457002" w:rsidP="004E3A70">
      <w:pPr>
        <w:contextualSpacing/>
        <w:rPr>
          <w:rFonts w:eastAsia="Times New Roman"/>
          <w:b/>
          <w:i/>
          <w:lang w:eastAsia="ru-RU"/>
        </w:rPr>
      </w:pPr>
      <w:r w:rsidRPr="00B74F71">
        <w:rPr>
          <w:rFonts w:eastAsia="Times New Roman"/>
          <w:b/>
          <w:i/>
          <w:lang w:eastAsia="ru-RU"/>
        </w:rPr>
        <w:t>М</w:t>
      </w:r>
      <w:r>
        <w:rPr>
          <w:rFonts w:eastAsia="Times New Roman"/>
          <w:b/>
          <w:i/>
          <w:lang w:eastAsia="ru-RU"/>
        </w:rPr>
        <w:t>онотерапия</w:t>
      </w:r>
    </w:p>
    <w:p w14:paraId="6AB8AB33" w14:textId="77777777" w:rsidR="00457002" w:rsidRPr="009D6AF4" w:rsidRDefault="00457002" w:rsidP="00830EF8">
      <w:pPr>
        <w:contextualSpacing/>
        <w:rPr>
          <w:rFonts w:eastAsia="Times New Roman"/>
          <w:b/>
          <w:lang w:eastAsia="ru-RU"/>
        </w:rPr>
      </w:pPr>
      <w:r w:rsidRPr="009D6AF4">
        <w:rPr>
          <w:rFonts w:eastAsia="Times New Roman"/>
          <w:b/>
          <w:lang w:eastAsia="ru-RU"/>
        </w:rPr>
        <w:t>Монотерапия</w:t>
      </w:r>
      <w:r w:rsidR="009D0A81" w:rsidRPr="009D6AF4">
        <w:rPr>
          <w:rFonts w:eastAsia="Times New Roman"/>
          <w:b/>
          <w:lang w:eastAsia="ru-RU"/>
        </w:rPr>
        <w:t xml:space="preserve"> </w:t>
      </w:r>
      <w:r w:rsidRPr="009D6AF4">
        <w:rPr>
          <w:rFonts w:eastAsia="Times New Roman"/>
          <w:b/>
          <w:lang w:eastAsia="ru-RU"/>
        </w:rPr>
        <w:t>хлорамбуцилом</w:t>
      </w:r>
      <w:r w:rsidR="00884D69" w:rsidRPr="009D6AF4">
        <w:rPr>
          <w:rFonts w:eastAsia="Times New Roman"/>
          <w:b/>
          <w:lang w:eastAsia="ru-RU"/>
        </w:rPr>
        <w:t>**</w:t>
      </w:r>
      <w:r w:rsidRPr="009D6AF4">
        <w:rPr>
          <w:rFonts w:eastAsia="Times New Roman"/>
          <w:b/>
          <w:lang w:eastAsia="ru-RU"/>
        </w:rPr>
        <w:t xml:space="preserve"> – курсовой формат</w:t>
      </w:r>
    </w:p>
    <w:p w14:paraId="498CC47B" w14:textId="77777777" w:rsidR="00457002" w:rsidRPr="009D6AF4" w:rsidRDefault="00457002" w:rsidP="00D61785">
      <w:pPr>
        <w:numPr>
          <w:ilvl w:val="0"/>
          <w:numId w:val="4"/>
        </w:numPr>
        <w:contextualSpacing/>
        <w:rPr>
          <w:rFonts w:eastAsia="Times New Roman"/>
          <w:b/>
          <w:lang w:eastAsia="ru-RU"/>
        </w:rPr>
      </w:pPr>
      <w:r w:rsidRPr="009D6AF4">
        <w:rPr>
          <w:rFonts w:eastAsia="Times New Roman"/>
          <w:lang w:eastAsia="ru-RU"/>
        </w:rPr>
        <w:t xml:space="preserve">Хлорамбуцил** </w:t>
      </w:r>
      <w:r w:rsidR="003F18B5" w:rsidRPr="009D6AF4">
        <w:rPr>
          <w:rFonts w:eastAsia="Times New Roman"/>
          <w:lang w:eastAsia="ru-RU"/>
        </w:rPr>
        <w:t xml:space="preserve">– </w:t>
      </w:r>
      <w:r w:rsidRPr="009D6AF4">
        <w:rPr>
          <w:rFonts w:eastAsia="Times New Roman"/>
          <w:lang w:eastAsia="ru-RU"/>
        </w:rPr>
        <w:t>10 мг/м</w:t>
      </w:r>
      <w:r w:rsidRPr="009D6AF4">
        <w:rPr>
          <w:rFonts w:eastAsia="Times New Roman"/>
          <w:vertAlign w:val="superscript"/>
          <w:lang w:eastAsia="ru-RU"/>
        </w:rPr>
        <w:t>2</w:t>
      </w:r>
      <w:r w:rsidRPr="009D6AF4">
        <w:rPr>
          <w:rFonts w:eastAsia="Times New Roman"/>
          <w:lang w:eastAsia="ru-RU"/>
        </w:rPr>
        <w:t xml:space="preserve"> внутрь</w:t>
      </w:r>
      <w:r w:rsidR="000A139D" w:rsidRPr="009D6AF4">
        <w:rPr>
          <w:rFonts w:eastAsia="Times New Roman"/>
          <w:lang w:eastAsia="ru-RU"/>
        </w:rPr>
        <w:t xml:space="preserve"> в</w:t>
      </w:r>
      <w:r w:rsidRPr="009D6AF4">
        <w:rPr>
          <w:rFonts w:eastAsia="Times New Roman"/>
          <w:lang w:eastAsia="ru-RU"/>
        </w:rPr>
        <w:t xml:space="preserve"> 1</w:t>
      </w:r>
      <w:r w:rsidR="000A139D" w:rsidRPr="009D6AF4">
        <w:rPr>
          <w:rFonts w:eastAsia="Times New Roman"/>
          <w:lang w:eastAsia="ru-RU"/>
        </w:rPr>
        <w:t>–</w:t>
      </w:r>
      <w:r w:rsidRPr="009D6AF4">
        <w:rPr>
          <w:rFonts w:eastAsia="Times New Roman"/>
          <w:lang w:eastAsia="ru-RU"/>
        </w:rPr>
        <w:t>7</w:t>
      </w:r>
      <w:r w:rsidR="000A139D" w:rsidRPr="009D6AF4">
        <w:rPr>
          <w:rFonts w:eastAsia="Times New Roman"/>
          <w:lang w:eastAsia="ru-RU"/>
        </w:rPr>
        <w:t>-й дни.</w:t>
      </w:r>
    </w:p>
    <w:p w14:paraId="385A6D50" w14:textId="77777777" w:rsidR="00457002" w:rsidRPr="009D6AF4" w:rsidRDefault="00457002" w:rsidP="00E92E00">
      <w:pPr>
        <w:contextualSpacing/>
        <w:rPr>
          <w:rFonts w:eastAsia="Times New Roman"/>
          <w:lang w:eastAsia="ru-RU"/>
        </w:rPr>
      </w:pPr>
      <w:r w:rsidRPr="009D6AF4">
        <w:rPr>
          <w:rFonts w:eastAsia="Times New Roman"/>
          <w:lang w:eastAsia="ru-RU"/>
        </w:rPr>
        <w:t>Лечение возобновляется на 29</w:t>
      </w:r>
      <w:r w:rsidR="000A139D" w:rsidRPr="009D6AF4">
        <w:rPr>
          <w:rFonts w:eastAsia="Times New Roman"/>
          <w:lang w:eastAsia="ru-RU"/>
        </w:rPr>
        <w:t>-й</w:t>
      </w:r>
      <w:r w:rsidRPr="009D6AF4">
        <w:rPr>
          <w:rFonts w:eastAsia="Times New Roman"/>
          <w:lang w:eastAsia="ru-RU"/>
        </w:rPr>
        <w:t xml:space="preserve"> день</w:t>
      </w:r>
      <w:r w:rsidR="000A139D" w:rsidRPr="009D6AF4">
        <w:rPr>
          <w:rFonts w:eastAsia="Times New Roman"/>
          <w:lang w:eastAsia="ru-RU"/>
        </w:rPr>
        <w:t>.</w:t>
      </w:r>
    </w:p>
    <w:p w14:paraId="00206C9C" w14:textId="77777777" w:rsidR="00457002" w:rsidRPr="009D6AF4" w:rsidRDefault="00457002" w:rsidP="00E92E00">
      <w:pPr>
        <w:contextualSpacing/>
        <w:rPr>
          <w:rFonts w:eastAsia="Times New Roman"/>
          <w:b/>
          <w:lang w:eastAsia="ru-RU"/>
        </w:rPr>
      </w:pPr>
      <w:r w:rsidRPr="009D6AF4">
        <w:rPr>
          <w:rFonts w:eastAsia="Times New Roman"/>
          <w:b/>
          <w:lang w:eastAsia="ru-RU"/>
        </w:rPr>
        <w:t>Монотерапия</w:t>
      </w:r>
      <w:r w:rsidR="009D0A81" w:rsidRPr="009D6AF4">
        <w:rPr>
          <w:rFonts w:eastAsia="Times New Roman"/>
          <w:b/>
          <w:lang w:eastAsia="ru-RU"/>
        </w:rPr>
        <w:t xml:space="preserve"> </w:t>
      </w:r>
      <w:r w:rsidRPr="009D6AF4">
        <w:rPr>
          <w:rFonts w:eastAsia="Times New Roman"/>
          <w:b/>
          <w:lang w:eastAsia="ru-RU"/>
        </w:rPr>
        <w:t>хлорамбуцилом</w:t>
      </w:r>
      <w:r w:rsidR="00884D69" w:rsidRPr="009D6AF4">
        <w:rPr>
          <w:rFonts w:eastAsia="Times New Roman"/>
          <w:b/>
          <w:lang w:eastAsia="ru-RU"/>
        </w:rPr>
        <w:t>**</w:t>
      </w:r>
      <w:r w:rsidRPr="009D6AF4">
        <w:rPr>
          <w:rFonts w:eastAsia="Times New Roman"/>
          <w:b/>
          <w:lang w:eastAsia="ru-RU"/>
        </w:rPr>
        <w:t xml:space="preserve"> – постоянный формат</w:t>
      </w:r>
    </w:p>
    <w:p w14:paraId="76F34847" w14:textId="77777777" w:rsidR="00457002" w:rsidRPr="009D6AF4" w:rsidRDefault="00457002" w:rsidP="00D61785">
      <w:pPr>
        <w:numPr>
          <w:ilvl w:val="0"/>
          <w:numId w:val="4"/>
        </w:numPr>
        <w:contextualSpacing/>
        <w:rPr>
          <w:rFonts w:eastAsia="Times New Roman"/>
          <w:b/>
          <w:lang w:eastAsia="ru-RU"/>
        </w:rPr>
      </w:pPr>
      <w:r w:rsidRPr="009D6AF4">
        <w:rPr>
          <w:rFonts w:eastAsia="Times New Roman"/>
          <w:lang w:eastAsia="ru-RU"/>
        </w:rPr>
        <w:t xml:space="preserve">Хлорамбуцил** </w:t>
      </w:r>
      <w:r w:rsidR="003F18B5" w:rsidRPr="009D6AF4">
        <w:rPr>
          <w:rFonts w:eastAsia="Times New Roman"/>
          <w:lang w:eastAsia="ru-RU"/>
        </w:rPr>
        <w:t xml:space="preserve">– </w:t>
      </w:r>
      <w:r w:rsidRPr="009D6AF4">
        <w:rPr>
          <w:rFonts w:eastAsia="Times New Roman"/>
          <w:lang w:eastAsia="ru-RU"/>
        </w:rPr>
        <w:t>0,07–0,2</w:t>
      </w:r>
      <w:r w:rsidR="000A139D" w:rsidRPr="009D6AF4">
        <w:rPr>
          <w:rFonts w:eastAsia="Times New Roman"/>
          <w:lang w:eastAsia="ru-RU"/>
        </w:rPr>
        <w:t>0</w:t>
      </w:r>
      <w:r w:rsidRPr="009D6AF4">
        <w:rPr>
          <w:rFonts w:eastAsia="Times New Roman"/>
          <w:lang w:eastAsia="ru-RU"/>
        </w:rPr>
        <w:t xml:space="preserve"> мг/кг внутрь ежедневно </w:t>
      </w:r>
      <w:r w:rsidR="000A139D" w:rsidRPr="009D6AF4">
        <w:rPr>
          <w:rFonts w:eastAsia="Times New Roman"/>
          <w:lang w:eastAsia="ru-RU"/>
        </w:rPr>
        <w:t xml:space="preserve">в течение </w:t>
      </w:r>
      <w:r w:rsidRPr="009D6AF4">
        <w:rPr>
          <w:rFonts w:eastAsia="Times New Roman"/>
          <w:lang w:eastAsia="ru-RU"/>
        </w:rPr>
        <w:t>2</w:t>
      </w:r>
      <w:r w:rsidR="000A139D" w:rsidRPr="009D6AF4">
        <w:rPr>
          <w:rFonts w:eastAsia="Times New Roman"/>
          <w:lang w:eastAsia="ru-RU"/>
        </w:rPr>
        <w:t>–</w:t>
      </w:r>
      <w:r w:rsidRPr="009D6AF4">
        <w:rPr>
          <w:rFonts w:eastAsia="Times New Roman"/>
          <w:lang w:eastAsia="ru-RU"/>
        </w:rPr>
        <w:t xml:space="preserve">4 </w:t>
      </w:r>
      <w:r w:rsidR="00F07AA9" w:rsidRPr="009D6AF4">
        <w:rPr>
          <w:rFonts w:eastAsia="Times New Roman"/>
          <w:lang w:eastAsia="ru-RU"/>
        </w:rPr>
        <w:t>нед.</w:t>
      </w:r>
      <w:r w:rsidRPr="009D6AF4">
        <w:rPr>
          <w:rFonts w:eastAsia="Times New Roman"/>
          <w:lang w:eastAsia="ru-RU"/>
        </w:rPr>
        <w:t xml:space="preserve"> с последующим подбором дозы</w:t>
      </w:r>
      <w:r w:rsidR="000A139D" w:rsidRPr="009D6AF4">
        <w:rPr>
          <w:rFonts w:eastAsia="Times New Roman"/>
          <w:lang w:eastAsia="ru-RU"/>
        </w:rPr>
        <w:t>.</w:t>
      </w:r>
    </w:p>
    <w:p w14:paraId="6E28C10E" w14:textId="77777777" w:rsidR="00457002" w:rsidRPr="009D6AF4" w:rsidRDefault="00457002" w:rsidP="00B04401">
      <w:pPr>
        <w:contextualSpacing/>
        <w:rPr>
          <w:rFonts w:eastAsia="Times New Roman"/>
          <w:b/>
          <w:lang w:eastAsia="ru-RU"/>
        </w:rPr>
      </w:pPr>
      <w:r w:rsidRPr="009D6AF4">
        <w:rPr>
          <w:rFonts w:eastAsia="Times New Roman"/>
          <w:b/>
          <w:lang w:eastAsia="ru-RU"/>
        </w:rPr>
        <w:t xml:space="preserve">Монотерапия </w:t>
      </w:r>
      <w:r w:rsidR="000B3F2E" w:rsidRPr="009D6AF4">
        <w:rPr>
          <w:rFonts w:eastAsia="Times New Roman"/>
          <w:b/>
          <w:lang w:eastAsia="ru-RU"/>
        </w:rPr>
        <w:t>#</w:t>
      </w:r>
      <w:r w:rsidRPr="009D6AF4">
        <w:rPr>
          <w:rFonts w:eastAsia="Times New Roman"/>
          <w:b/>
          <w:lang w:eastAsia="ru-RU"/>
        </w:rPr>
        <w:t>бендамустином</w:t>
      </w:r>
      <w:r w:rsidR="00884D69" w:rsidRPr="009D6AF4">
        <w:rPr>
          <w:rFonts w:eastAsia="Times New Roman"/>
          <w:b/>
          <w:lang w:eastAsia="ru-RU"/>
        </w:rPr>
        <w:t>**</w:t>
      </w:r>
    </w:p>
    <w:p w14:paraId="2C8328A7" w14:textId="77777777" w:rsidR="00457002" w:rsidRPr="009D6AF4" w:rsidRDefault="000B3F2E" w:rsidP="00D61785">
      <w:pPr>
        <w:numPr>
          <w:ilvl w:val="0"/>
          <w:numId w:val="4"/>
        </w:numPr>
        <w:contextualSpacing/>
        <w:rPr>
          <w:rFonts w:eastAsia="Times New Roman"/>
          <w:b/>
          <w:lang w:eastAsia="ru-RU"/>
        </w:rPr>
      </w:pPr>
      <w:r w:rsidRPr="009D6AF4">
        <w:rPr>
          <w:rFonts w:eastAsia="Times New Roman"/>
          <w:lang w:eastAsia="ru-RU"/>
        </w:rPr>
        <w:t>#</w:t>
      </w:r>
      <w:r w:rsidR="00457002" w:rsidRPr="009D6AF4">
        <w:rPr>
          <w:rFonts w:eastAsia="Times New Roman"/>
          <w:lang w:eastAsia="ru-RU"/>
        </w:rPr>
        <w:t xml:space="preserve">Бендамустин** </w:t>
      </w:r>
      <w:r w:rsidR="003F18B5" w:rsidRPr="009D6AF4">
        <w:rPr>
          <w:rFonts w:eastAsia="Times New Roman"/>
          <w:lang w:eastAsia="ru-RU"/>
        </w:rPr>
        <w:t xml:space="preserve">– </w:t>
      </w:r>
      <w:r w:rsidR="00457002" w:rsidRPr="009D6AF4">
        <w:rPr>
          <w:rFonts w:eastAsia="Times New Roman"/>
          <w:lang w:eastAsia="ru-RU"/>
        </w:rPr>
        <w:t>90 мг/м</w:t>
      </w:r>
      <w:r w:rsidR="00457002" w:rsidRPr="009D6AF4">
        <w:rPr>
          <w:rFonts w:eastAsia="Times New Roman"/>
          <w:vertAlign w:val="superscript"/>
          <w:lang w:eastAsia="ru-RU"/>
        </w:rPr>
        <w:t>2</w:t>
      </w:r>
      <w:r w:rsidR="003F18B5" w:rsidRPr="009D6AF4">
        <w:rPr>
          <w:rFonts w:eastAsia="Times New Roman"/>
          <w:lang w:eastAsia="ru-RU"/>
        </w:rPr>
        <w:t xml:space="preserve"> в/в в 1-й, 2-й дни.</w:t>
      </w:r>
    </w:p>
    <w:p w14:paraId="3EBB5E2B" w14:textId="2F3C18E0" w:rsidR="00457002" w:rsidRDefault="00457002" w:rsidP="00B04401">
      <w:pPr>
        <w:contextualSpacing/>
        <w:rPr>
          <w:rFonts w:eastAsia="Times New Roman"/>
          <w:lang w:eastAsia="ru-RU"/>
        </w:rPr>
      </w:pPr>
      <w:r w:rsidRPr="009D6AF4">
        <w:rPr>
          <w:rFonts w:eastAsia="Times New Roman"/>
          <w:lang w:eastAsia="ru-RU"/>
        </w:rPr>
        <w:t>Лечение возобновляется на 29</w:t>
      </w:r>
      <w:r w:rsidR="003F18B5" w:rsidRPr="009D6AF4">
        <w:rPr>
          <w:rFonts w:eastAsia="Times New Roman"/>
          <w:lang w:eastAsia="ru-RU"/>
        </w:rPr>
        <w:t>-й</w:t>
      </w:r>
      <w:r w:rsidRPr="009D6AF4">
        <w:rPr>
          <w:rFonts w:eastAsia="Times New Roman"/>
          <w:lang w:eastAsia="ru-RU"/>
        </w:rPr>
        <w:t xml:space="preserve"> день</w:t>
      </w:r>
      <w:r w:rsidR="003F18B5" w:rsidRPr="009D6AF4">
        <w:rPr>
          <w:rFonts w:eastAsia="Times New Roman"/>
          <w:lang w:eastAsia="ru-RU"/>
        </w:rPr>
        <w:t>.</w:t>
      </w:r>
    </w:p>
    <w:p w14:paraId="351866BF" w14:textId="77777777" w:rsidR="00457002" w:rsidRPr="009600FA" w:rsidRDefault="00457002" w:rsidP="003F5F47">
      <w:pPr>
        <w:contextualSpacing/>
        <w:rPr>
          <w:rFonts w:eastAsia="Times New Roman"/>
          <w:b/>
          <w:lang w:eastAsia="ru-RU"/>
        </w:rPr>
      </w:pPr>
      <w:r w:rsidRPr="009600FA">
        <w:rPr>
          <w:rFonts w:eastAsia="Times New Roman"/>
          <w:b/>
          <w:lang w:eastAsia="ru-RU"/>
        </w:rPr>
        <w:t>Монотерапия ибрутинибом</w:t>
      </w:r>
      <w:r w:rsidR="00884D69">
        <w:rPr>
          <w:rFonts w:eastAsia="Times New Roman"/>
          <w:b/>
          <w:lang w:eastAsia="ru-RU"/>
        </w:rPr>
        <w:t>**</w:t>
      </w:r>
    </w:p>
    <w:p w14:paraId="042A8009" w14:textId="77777777" w:rsidR="00457002" w:rsidRPr="00C26D56" w:rsidRDefault="00457002" w:rsidP="00D61785">
      <w:pPr>
        <w:pStyle w:val="a4"/>
        <w:numPr>
          <w:ilvl w:val="0"/>
          <w:numId w:val="4"/>
        </w:numPr>
        <w:spacing w:before="0"/>
        <w:rPr>
          <w:lang w:eastAsia="ru-RU"/>
        </w:rPr>
      </w:pPr>
      <w:r w:rsidRPr="001811D1">
        <w:rPr>
          <w:lang w:eastAsia="ru-RU"/>
        </w:rPr>
        <w:t xml:space="preserve">Ибрутиниб** </w:t>
      </w:r>
      <w:r w:rsidR="003F18B5" w:rsidRPr="001811D1">
        <w:rPr>
          <w:lang w:eastAsia="ru-RU"/>
        </w:rPr>
        <w:t xml:space="preserve">– </w:t>
      </w:r>
      <w:r w:rsidRPr="001811D1">
        <w:rPr>
          <w:lang w:eastAsia="ru-RU"/>
        </w:rPr>
        <w:t>420 мг/сут (</w:t>
      </w:r>
      <w:r w:rsidR="003F18B5" w:rsidRPr="001811D1">
        <w:rPr>
          <w:lang w:eastAsia="ru-RU"/>
        </w:rPr>
        <w:t>3</w:t>
      </w:r>
      <w:r w:rsidRPr="001811D1">
        <w:rPr>
          <w:lang w:eastAsia="ru-RU"/>
        </w:rPr>
        <w:t xml:space="preserve"> капсулы) внутрь 1 раз в день до прогрессирования или </w:t>
      </w:r>
      <w:r w:rsidR="003F18B5" w:rsidRPr="001811D1">
        <w:rPr>
          <w:lang w:eastAsia="ru-RU"/>
        </w:rPr>
        <w:t xml:space="preserve">развития </w:t>
      </w:r>
      <w:r w:rsidRPr="001811D1">
        <w:rPr>
          <w:lang w:eastAsia="ru-RU"/>
        </w:rPr>
        <w:t>непереносимой</w:t>
      </w:r>
      <w:r w:rsidRPr="009600FA">
        <w:rPr>
          <w:lang w:eastAsia="ru-RU"/>
        </w:rPr>
        <w:t xml:space="preserve"> токсичности</w:t>
      </w:r>
      <w:r w:rsidR="003F18B5">
        <w:rPr>
          <w:lang w:eastAsia="ru-RU"/>
        </w:rPr>
        <w:t>.</w:t>
      </w:r>
    </w:p>
    <w:p w14:paraId="32F62610" w14:textId="77777777" w:rsidR="005F5C64" w:rsidRPr="00FD246E" w:rsidRDefault="005F5C64" w:rsidP="003F5F47">
      <w:pPr>
        <w:contextualSpacing/>
        <w:rPr>
          <w:rFonts w:eastAsia="Times New Roman"/>
          <w:b/>
          <w:bCs/>
          <w:lang w:eastAsia="ru-RU"/>
        </w:rPr>
      </w:pPr>
      <w:r w:rsidRPr="00FD246E">
        <w:rPr>
          <w:rFonts w:eastAsia="Times New Roman"/>
          <w:b/>
          <w:bCs/>
          <w:lang w:eastAsia="ru-RU"/>
        </w:rPr>
        <w:t xml:space="preserve">Монотерапия акалабрутинибом </w:t>
      </w:r>
    </w:p>
    <w:p w14:paraId="281F06C3" w14:textId="77777777" w:rsidR="005F5C64" w:rsidRPr="00FD246E" w:rsidRDefault="005F5C64" w:rsidP="00D61785">
      <w:pPr>
        <w:pStyle w:val="a4"/>
        <w:numPr>
          <w:ilvl w:val="0"/>
          <w:numId w:val="4"/>
        </w:numPr>
        <w:spacing w:before="0"/>
        <w:contextualSpacing/>
        <w:rPr>
          <w:rFonts w:eastAsia="Times New Roman"/>
          <w:lang w:eastAsia="ru-RU"/>
        </w:rPr>
      </w:pPr>
      <w:r>
        <w:rPr>
          <w:rFonts w:eastAsia="Times New Roman"/>
          <w:lang w:eastAsia="ru-RU"/>
        </w:rPr>
        <w:t>Акалабрутиниб – 100 мг (1 капсула) внутрь 2 раза в день до прогрессирования или развития непереносимой токсичности.</w:t>
      </w:r>
    </w:p>
    <w:p w14:paraId="6D7E9A28" w14:textId="7AE356E8" w:rsidR="00457002" w:rsidRPr="009600FA" w:rsidRDefault="00457002">
      <w:pPr>
        <w:contextualSpacing/>
        <w:rPr>
          <w:rFonts w:eastAsia="Times New Roman"/>
          <w:b/>
          <w:lang w:eastAsia="ru-RU"/>
        </w:rPr>
      </w:pPr>
      <w:r w:rsidRPr="009600FA">
        <w:rPr>
          <w:rFonts w:eastAsia="Times New Roman"/>
          <w:b/>
          <w:lang w:eastAsia="ru-RU"/>
        </w:rPr>
        <w:t>Монотерапия</w:t>
      </w:r>
      <w:r w:rsidR="00A24E62">
        <w:rPr>
          <w:rFonts w:eastAsia="Times New Roman"/>
          <w:b/>
          <w:lang w:eastAsia="ru-RU"/>
        </w:rPr>
        <w:t xml:space="preserve"> </w:t>
      </w:r>
      <w:r>
        <w:rPr>
          <w:rFonts w:eastAsia="Times New Roman"/>
          <w:b/>
          <w:lang w:eastAsia="ru-RU"/>
        </w:rPr>
        <w:t>венетоклаксом</w:t>
      </w:r>
      <w:r w:rsidR="00E0050E" w:rsidRPr="00F6725A">
        <w:rPr>
          <w:b/>
          <w:bCs/>
        </w:rPr>
        <w:t>**</w:t>
      </w:r>
    </w:p>
    <w:p w14:paraId="2CECD5E9" w14:textId="7E8A0195" w:rsidR="00457002" w:rsidRPr="00C26D56" w:rsidRDefault="00457002" w:rsidP="00D61785">
      <w:pPr>
        <w:pStyle w:val="a4"/>
        <w:numPr>
          <w:ilvl w:val="0"/>
          <w:numId w:val="4"/>
        </w:numPr>
        <w:spacing w:before="0"/>
        <w:rPr>
          <w:lang w:eastAsia="ru-RU"/>
        </w:rPr>
      </w:pPr>
      <w:r>
        <w:rPr>
          <w:lang w:eastAsia="ru-RU"/>
        </w:rPr>
        <w:t>Венетоклакс</w:t>
      </w:r>
      <w:r w:rsidR="00E0050E" w:rsidRPr="00932BCF">
        <w:t>**</w:t>
      </w:r>
      <w:r>
        <w:rPr>
          <w:lang w:eastAsia="ru-RU"/>
        </w:rPr>
        <w:t xml:space="preserve"> </w:t>
      </w:r>
      <w:r w:rsidR="003F18B5">
        <w:rPr>
          <w:lang w:eastAsia="ru-RU"/>
        </w:rPr>
        <w:t xml:space="preserve">– </w:t>
      </w:r>
      <w:r>
        <w:rPr>
          <w:lang w:eastAsia="ru-RU"/>
        </w:rPr>
        <w:t>20 мг/сут (нед. 1), 50 мг/сут (нед. 2), 100 мг</w:t>
      </w:r>
      <w:r w:rsidR="003F18B5">
        <w:rPr>
          <w:lang w:eastAsia="ru-RU"/>
        </w:rPr>
        <w:t>/сут (нед. 3), 200 мг/сут (нед. </w:t>
      </w:r>
      <w:r>
        <w:rPr>
          <w:lang w:eastAsia="ru-RU"/>
        </w:rPr>
        <w:t xml:space="preserve">4), 400 мг/сут (нед. 5 и далее), до прогрессирования или </w:t>
      </w:r>
      <w:r w:rsidR="003F18B5">
        <w:rPr>
          <w:lang w:eastAsia="ru-RU"/>
        </w:rPr>
        <w:t xml:space="preserve">развития </w:t>
      </w:r>
      <w:r>
        <w:rPr>
          <w:lang w:eastAsia="ru-RU"/>
        </w:rPr>
        <w:t>непереносимой токсичности</w:t>
      </w:r>
      <w:r w:rsidR="003F18B5">
        <w:rPr>
          <w:lang w:eastAsia="ru-RU"/>
        </w:rPr>
        <w:t>.</w:t>
      </w:r>
    </w:p>
    <w:p w14:paraId="14D71C58" w14:textId="77777777" w:rsidR="00457002" w:rsidRPr="00C26D56" w:rsidRDefault="00457002">
      <w:pPr>
        <w:contextualSpacing/>
        <w:rPr>
          <w:rFonts w:eastAsia="Times New Roman"/>
          <w:b/>
          <w:i/>
          <w:lang w:eastAsia="ru-RU"/>
        </w:rPr>
      </w:pPr>
      <w:r>
        <w:rPr>
          <w:rFonts w:eastAsia="Times New Roman"/>
          <w:b/>
          <w:i/>
          <w:lang w:eastAsia="ru-RU"/>
        </w:rPr>
        <w:t>Полихимиотерапия</w:t>
      </w:r>
    </w:p>
    <w:p w14:paraId="1B672780" w14:textId="77777777" w:rsidR="00457002" w:rsidRPr="009600FA" w:rsidRDefault="00457002">
      <w:pPr>
        <w:contextualSpacing/>
        <w:rPr>
          <w:rFonts w:eastAsia="Times New Roman"/>
          <w:b/>
          <w:lang w:eastAsia="ru-RU"/>
        </w:rPr>
      </w:pPr>
      <w:r w:rsidRPr="009600FA">
        <w:rPr>
          <w:rFonts w:eastAsia="Times New Roman"/>
          <w:b/>
          <w:lang w:val="en-US" w:eastAsia="ru-RU"/>
        </w:rPr>
        <w:t xml:space="preserve">FCR </w:t>
      </w:r>
      <w:r w:rsidRPr="009600FA">
        <w:rPr>
          <w:rFonts w:eastAsia="Times New Roman"/>
          <w:b/>
          <w:lang w:eastAsia="ru-RU"/>
        </w:rPr>
        <w:t>внутривенный</w:t>
      </w:r>
    </w:p>
    <w:p w14:paraId="5F631092" w14:textId="77777777" w:rsidR="00457002" w:rsidRPr="008F1171" w:rsidRDefault="00457002" w:rsidP="00D61785">
      <w:pPr>
        <w:numPr>
          <w:ilvl w:val="0"/>
          <w:numId w:val="4"/>
        </w:numPr>
        <w:contextualSpacing/>
        <w:rPr>
          <w:rFonts w:eastAsia="Times New Roman"/>
          <w:b/>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9600FA">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0078EC">
        <w:rPr>
          <w:rFonts w:eastAsia="Times New Roman"/>
          <w:lang w:eastAsia="ru-RU"/>
        </w:rPr>
        <w:t xml:space="preserve"> 500 мг/м</w:t>
      </w:r>
      <w:r w:rsidRPr="000078EC">
        <w:rPr>
          <w:rFonts w:eastAsia="Times New Roman"/>
          <w:vertAlign w:val="superscript"/>
          <w:lang w:eastAsia="ru-RU"/>
        </w:rPr>
        <w:t>2</w:t>
      </w:r>
      <w:r w:rsidRPr="009600FA">
        <w:rPr>
          <w:rFonts w:eastAsia="Times New Roman"/>
          <w:lang w:eastAsia="ru-RU"/>
        </w:rPr>
        <w:t xml:space="preserve"> </w:t>
      </w:r>
      <w:r w:rsidRPr="008F1171">
        <w:rPr>
          <w:rFonts w:eastAsia="Times New Roman"/>
          <w:lang w:eastAsia="ru-RU"/>
        </w:rPr>
        <w:t>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день 1</w:t>
      </w:r>
      <w:r w:rsidR="003F18B5" w:rsidRPr="008F1171">
        <w:rPr>
          <w:rFonts w:eastAsia="Times New Roman"/>
          <w:lang w:eastAsia="ru-RU"/>
        </w:rPr>
        <w:t>.</w:t>
      </w:r>
    </w:p>
    <w:p w14:paraId="767F9E48"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Флударабин** </w:t>
      </w:r>
      <w:r w:rsidR="003F18B5" w:rsidRPr="008F1171">
        <w:rPr>
          <w:rFonts w:eastAsia="Times New Roman"/>
          <w:lang w:eastAsia="ru-RU"/>
        </w:rPr>
        <w:t xml:space="preserve">– </w:t>
      </w:r>
      <w:r w:rsidR="00457002" w:rsidRPr="008F1171">
        <w:rPr>
          <w:rFonts w:eastAsia="Times New Roman"/>
          <w:lang w:eastAsia="ru-RU"/>
        </w:rPr>
        <w:t>25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18E829EB"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250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1D9CD64B" w14:textId="77777777" w:rsidR="00457002" w:rsidRPr="008F1171" w:rsidRDefault="00457002">
      <w:pPr>
        <w:contextualSpacing/>
        <w:rPr>
          <w:rFonts w:eastAsia="Times New Roman"/>
          <w:lang w:eastAsia="ru-RU"/>
        </w:rPr>
      </w:pPr>
      <w:r w:rsidRPr="008F1171">
        <w:rPr>
          <w:rFonts w:eastAsia="Times New Roman"/>
          <w:lang w:eastAsia="ru-RU"/>
        </w:rPr>
        <w:t>Лечение возобновляется на 29</w:t>
      </w:r>
      <w:r w:rsidR="003F18B5" w:rsidRPr="008F1171">
        <w:rPr>
          <w:rFonts w:eastAsia="Times New Roman"/>
          <w:lang w:eastAsia="ru-RU"/>
        </w:rPr>
        <w:t>-й</w:t>
      </w:r>
      <w:r w:rsidRPr="008F1171">
        <w:rPr>
          <w:rFonts w:eastAsia="Times New Roman"/>
          <w:lang w:eastAsia="ru-RU"/>
        </w:rPr>
        <w:t xml:space="preserve"> день</w:t>
      </w:r>
      <w:r w:rsidR="003F18B5" w:rsidRPr="008F1171">
        <w:rPr>
          <w:rFonts w:eastAsia="Times New Roman"/>
          <w:lang w:eastAsia="ru-RU"/>
        </w:rPr>
        <w:t>.</w:t>
      </w:r>
    </w:p>
    <w:p w14:paraId="24D5BE62" w14:textId="77777777" w:rsidR="00457002" w:rsidRPr="008F1171" w:rsidRDefault="00457002">
      <w:pPr>
        <w:contextualSpacing/>
        <w:rPr>
          <w:rFonts w:eastAsia="Times New Roman"/>
          <w:b/>
          <w:lang w:eastAsia="ru-RU"/>
        </w:rPr>
      </w:pPr>
      <w:r w:rsidRPr="008F1171">
        <w:rPr>
          <w:rFonts w:eastAsia="Times New Roman"/>
          <w:b/>
          <w:lang w:val="en-US" w:eastAsia="ru-RU"/>
        </w:rPr>
        <w:t>FCR</w:t>
      </w:r>
      <w:r w:rsidRPr="008F1171">
        <w:rPr>
          <w:rFonts w:eastAsia="Times New Roman"/>
          <w:b/>
          <w:lang w:eastAsia="ru-RU"/>
        </w:rPr>
        <w:t xml:space="preserve"> пероральный</w:t>
      </w:r>
    </w:p>
    <w:p w14:paraId="36F585DA" w14:textId="77777777" w:rsidR="00457002" w:rsidRPr="008F1171" w:rsidRDefault="00457002" w:rsidP="00D61785">
      <w:pPr>
        <w:numPr>
          <w:ilvl w:val="0"/>
          <w:numId w:val="4"/>
        </w:numPr>
        <w:contextualSpacing/>
        <w:rPr>
          <w:rFonts w:eastAsia="Times New Roman"/>
          <w:b/>
          <w:lang w:eastAsia="ru-RU"/>
        </w:rPr>
      </w:pPr>
      <w:r w:rsidRPr="008F1171">
        <w:rPr>
          <w:rFonts w:eastAsia="Times New Roman"/>
          <w:lang w:eastAsia="ru-RU"/>
        </w:rPr>
        <w:t xml:space="preserve">Ритуксимаб** </w:t>
      </w:r>
      <w:r w:rsidR="003F18B5" w:rsidRPr="008F1171">
        <w:rPr>
          <w:rFonts w:eastAsia="Times New Roman"/>
          <w:lang w:eastAsia="ru-RU"/>
        </w:rPr>
        <w:t xml:space="preserve">– </w:t>
      </w:r>
      <w:r w:rsidRPr="008F1171">
        <w:rPr>
          <w:rFonts w:eastAsia="Times New Roman"/>
          <w:lang w:eastAsia="ru-RU"/>
        </w:rPr>
        <w:t>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день 1</w:t>
      </w:r>
      <w:r w:rsidR="003F18B5" w:rsidRPr="008F1171">
        <w:rPr>
          <w:rFonts w:eastAsia="Times New Roman"/>
          <w:lang w:eastAsia="ru-RU"/>
        </w:rPr>
        <w:t>.</w:t>
      </w:r>
    </w:p>
    <w:p w14:paraId="041CC448"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Флударабин**</w:t>
      </w:r>
      <w:r w:rsidR="003F18B5" w:rsidRPr="008F1171">
        <w:rPr>
          <w:rFonts w:eastAsia="Times New Roman"/>
          <w:lang w:eastAsia="ru-RU"/>
        </w:rPr>
        <w:t xml:space="preserve"> – </w:t>
      </w:r>
      <w:r w:rsidR="00457002" w:rsidRPr="008F1171">
        <w:rPr>
          <w:rFonts w:eastAsia="Times New Roman"/>
          <w:lang w:eastAsia="ru-RU"/>
        </w:rPr>
        <w:t>40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5EA2A797"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250 мг/м</w:t>
      </w:r>
      <w:r w:rsidR="00457002" w:rsidRPr="008F1171">
        <w:rPr>
          <w:rFonts w:eastAsia="Times New Roman"/>
          <w:vertAlign w:val="superscript"/>
          <w:lang w:eastAsia="ru-RU"/>
        </w:rPr>
        <w:t>2</w:t>
      </w:r>
      <w:r w:rsidR="003F18B5" w:rsidRPr="008F1171">
        <w:rPr>
          <w:rFonts w:eastAsia="Times New Roman"/>
          <w:lang w:eastAsia="ru-RU"/>
        </w:rPr>
        <w:t xml:space="preserve"> внутрь, дни 1–</w:t>
      </w:r>
      <w:r w:rsidR="00457002" w:rsidRPr="008F1171">
        <w:rPr>
          <w:rFonts w:eastAsia="Times New Roman"/>
          <w:lang w:eastAsia="ru-RU"/>
        </w:rPr>
        <w:t>3</w:t>
      </w:r>
      <w:r w:rsidR="003F18B5" w:rsidRPr="008F1171">
        <w:rPr>
          <w:rFonts w:eastAsia="Times New Roman"/>
          <w:lang w:eastAsia="ru-RU"/>
        </w:rPr>
        <w:t>.</w:t>
      </w:r>
    </w:p>
    <w:p w14:paraId="210436DB" w14:textId="77777777" w:rsidR="00457002" w:rsidRPr="008F1171" w:rsidRDefault="00457002">
      <w:pPr>
        <w:contextualSpacing/>
        <w:rPr>
          <w:rFonts w:eastAsia="Times New Roman"/>
          <w:lang w:eastAsia="ru-RU"/>
        </w:rPr>
      </w:pPr>
      <w:r w:rsidRPr="008F1171">
        <w:rPr>
          <w:rFonts w:eastAsia="Times New Roman"/>
          <w:lang w:eastAsia="ru-RU"/>
        </w:rPr>
        <w:t>Лечение возобновляется на 29</w:t>
      </w:r>
      <w:r w:rsidR="003F18B5" w:rsidRPr="008F1171">
        <w:rPr>
          <w:rFonts w:eastAsia="Times New Roman"/>
          <w:lang w:eastAsia="ru-RU"/>
        </w:rPr>
        <w:t>-й</w:t>
      </w:r>
      <w:r w:rsidRPr="008F1171">
        <w:rPr>
          <w:rFonts w:eastAsia="Times New Roman"/>
          <w:lang w:eastAsia="ru-RU"/>
        </w:rPr>
        <w:t xml:space="preserve"> день</w:t>
      </w:r>
      <w:r w:rsidR="003F18B5" w:rsidRPr="008F1171">
        <w:rPr>
          <w:rFonts w:eastAsia="Times New Roman"/>
          <w:lang w:eastAsia="ru-RU"/>
        </w:rPr>
        <w:t>.</w:t>
      </w:r>
    </w:p>
    <w:p w14:paraId="39B931B9" w14:textId="77777777" w:rsidR="00457002" w:rsidRPr="008F1171" w:rsidRDefault="00457002">
      <w:pPr>
        <w:contextualSpacing/>
        <w:rPr>
          <w:rFonts w:eastAsia="Times New Roman"/>
          <w:b/>
          <w:lang w:eastAsia="ru-RU"/>
        </w:rPr>
      </w:pPr>
      <w:r w:rsidRPr="008F1171">
        <w:rPr>
          <w:rFonts w:eastAsia="Times New Roman"/>
          <w:b/>
          <w:lang w:val="en-US" w:eastAsia="ru-RU"/>
        </w:rPr>
        <w:t>FCR</w:t>
      </w:r>
      <w:r w:rsidRPr="008F1171">
        <w:rPr>
          <w:rFonts w:eastAsia="Times New Roman"/>
          <w:b/>
          <w:lang w:eastAsia="ru-RU"/>
        </w:rPr>
        <w:t>-</w:t>
      </w:r>
      <w:r w:rsidRPr="008F1171">
        <w:rPr>
          <w:rFonts w:eastAsia="Times New Roman"/>
          <w:b/>
          <w:lang w:val="en-US" w:eastAsia="ru-RU"/>
        </w:rPr>
        <w:t>Lite</w:t>
      </w:r>
    </w:p>
    <w:p w14:paraId="10B54899" w14:textId="77777777" w:rsidR="00457002" w:rsidRPr="008F1171" w:rsidRDefault="00457002" w:rsidP="00D61785">
      <w:pPr>
        <w:numPr>
          <w:ilvl w:val="0"/>
          <w:numId w:val="4"/>
        </w:numPr>
        <w:contextualSpacing/>
        <w:rPr>
          <w:rFonts w:eastAsia="Times New Roman"/>
          <w:b/>
          <w:lang w:eastAsia="ru-RU"/>
        </w:rPr>
      </w:pPr>
      <w:r w:rsidRPr="008F1171">
        <w:rPr>
          <w:rFonts w:eastAsia="Times New Roman"/>
          <w:lang w:eastAsia="ru-RU"/>
        </w:rPr>
        <w:t>Ритуксимаб**</w:t>
      </w:r>
      <w:r w:rsidR="003F18B5" w:rsidRPr="008F1171">
        <w:rPr>
          <w:rFonts w:eastAsia="Times New Roman"/>
          <w:lang w:eastAsia="ru-RU"/>
        </w:rPr>
        <w:t xml:space="preserve"> –</w:t>
      </w:r>
      <w:r w:rsidRPr="008F1171">
        <w:rPr>
          <w:rFonts w:eastAsia="Times New Roman"/>
          <w:lang w:eastAsia="ru-RU"/>
        </w:rPr>
        <w:t xml:space="preserve"> 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дни 1, 5</w:t>
      </w:r>
      <w:r w:rsidR="003F18B5" w:rsidRPr="008F1171">
        <w:rPr>
          <w:rFonts w:eastAsia="Times New Roman"/>
          <w:lang w:eastAsia="ru-RU"/>
        </w:rPr>
        <w:t>.</w:t>
      </w:r>
    </w:p>
    <w:p w14:paraId="15AEC683"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Флударабин** </w:t>
      </w:r>
      <w:r w:rsidR="003F18B5" w:rsidRPr="008F1171">
        <w:rPr>
          <w:rFonts w:eastAsia="Times New Roman"/>
          <w:lang w:eastAsia="ru-RU"/>
        </w:rPr>
        <w:t xml:space="preserve">– </w:t>
      </w:r>
      <w:r w:rsidR="00457002" w:rsidRPr="008F1171">
        <w:rPr>
          <w:rFonts w:eastAsia="Times New Roman"/>
          <w:lang w:eastAsia="ru-RU"/>
        </w:rPr>
        <w:t>20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6D025A84" w14:textId="77777777" w:rsidR="00457002" w:rsidRPr="008F1171" w:rsidRDefault="00055701" w:rsidP="00D61785">
      <w:pPr>
        <w:numPr>
          <w:ilvl w:val="0"/>
          <w:numId w:val="4"/>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150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0E576C5F" w14:textId="77777777" w:rsidR="00457002" w:rsidRPr="008F1171" w:rsidRDefault="00457002">
      <w:pPr>
        <w:contextualSpacing/>
        <w:rPr>
          <w:rFonts w:eastAsia="Times New Roman"/>
          <w:lang w:eastAsia="ru-RU"/>
        </w:rPr>
      </w:pPr>
      <w:r w:rsidRPr="008F1171">
        <w:rPr>
          <w:rFonts w:eastAsia="Times New Roman"/>
          <w:lang w:eastAsia="ru-RU"/>
        </w:rPr>
        <w:t xml:space="preserve">Лечение возобновляется на </w:t>
      </w:r>
      <w:r w:rsidR="003F18B5" w:rsidRPr="008F1171">
        <w:rPr>
          <w:rFonts w:eastAsia="Times New Roman"/>
          <w:lang w:eastAsia="ru-RU"/>
        </w:rPr>
        <w:t>29-й день.</w:t>
      </w:r>
    </w:p>
    <w:p w14:paraId="4AE53A13" w14:textId="77777777" w:rsidR="00457002" w:rsidRPr="008F1171" w:rsidRDefault="00457002">
      <w:pPr>
        <w:contextualSpacing/>
        <w:rPr>
          <w:rFonts w:eastAsia="Times New Roman"/>
          <w:b/>
          <w:lang w:eastAsia="ru-RU"/>
        </w:rPr>
      </w:pPr>
      <w:r w:rsidRPr="008F1171">
        <w:rPr>
          <w:rFonts w:eastAsia="Times New Roman"/>
          <w:b/>
          <w:lang w:val="en-US" w:eastAsia="ru-RU"/>
        </w:rPr>
        <w:t>RB</w:t>
      </w:r>
    </w:p>
    <w:p w14:paraId="56F1C245" w14:textId="77777777" w:rsidR="00457002" w:rsidRPr="008F1171" w:rsidRDefault="00457002" w:rsidP="00D61785">
      <w:pPr>
        <w:numPr>
          <w:ilvl w:val="0"/>
          <w:numId w:val="3"/>
        </w:numPr>
        <w:contextualSpacing/>
        <w:rPr>
          <w:rFonts w:eastAsia="Times New Roman"/>
          <w:lang w:eastAsia="ru-RU"/>
        </w:rPr>
      </w:pPr>
      <w:r w:rsidRPr="008F1171">
        <w:rPr>
          <w:rFonts w:eastAsia="Times New Roman"/>
          <w:lang w:eastAsia="ru-RU"/>
        </w:rPr>
        <w:t xml:space="preserve">Ритуксимаб** </w:t>
      </w:r>
      <w:r w:rsidR="003F18B5" w:rsidRPr="008F1171">
        <w:rPr>
          <w:rFonts w:eastAsia="Times New Roman"/>
          <w:lang w:eastAsia="ru-RU"/>
        </w:rPr>
        <w:t xml:space="preserve">– </w:t>
      </w:r>
      <w:r w:rsidRPr="008F1171">
        <w:rPr>
          <w:rFonts w:eastAsia="Times New Roman"/>
          <w:lang w:eastAsia="ru-RU"/>
        </w:rPr>
        <w:t>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день 1</w:t>
      </w:r>
      <w:r w:rsidR="003F18B5" w:rsidRPr="008F1171">
        <w:rPr>
          <w:rFonts w:eastAsia="Times New Roman"/>
          <w:lang w:eastAsia="ru-RU"/>
        </w:rPr>
        <w:t>.</w:t>
      </w:r>
    </w:p>
    <w:p w14:paraId="13B6A2F7" w14:textId="77777777" w:rsidR="00457002" w:rsidRPr="008F1171" w:rsidRDefault="000B3F2E" w:rsidP="00D61785">
      <w:pPr>
        <w:numPr>
          <w:ilvl w:val="0"/>
          <w:numId w:val="3"/>
        </w:numPr>
        <w:contextualSpacing/>
        <w:rPr>
          <w:rFonts w:eastAsia="Times New Roman"/>
          <w:lang w:eastAsia="ru-RU"/>
        </w:rPr>
      </w:pPr>
      <w:r w:rsidRPr="008F1171">
        <w:rPr>
          <w:rFonts w:eastAsia="Times New Roman"/>
          <w:lang w:eastAsia="ru-RU"/>
        </w:rPr>
        <w:t>#</w:t>
      </w:r>
      <w:r w:rsidR="00457002" w:rsidRPr="008F1171">
        <w:rPr>
          <w:rFonts w:eastAsia="Times New Roman"/>
          <w:lang w:eastAsia="ru-RU"/>
        </w:rPr>
        <w:t>Бендамустин</w:t>
      </w:r>
      <w:r w:rsidR="00B90AB1" w:rsidRPr="008F1171">
        <w:rPr>
          <w:rFonts w:eastAsia="Times New Roman"/>
          <w:lang w:eastAsia="ru-RU"/>
        </w:rPr>
        <w:t>**</w:t>
      </w:r>
      <w:r w:rsidR="00457002" w:rsidRPr="008F1171">
        <w:rPr>
          <w:rFonts w:eastAsia="Times New Roman"/>
          <w:lang w:eastAsia="ru-RU"/>
        </w:rPr>
        <w:t xml:space="preserve"> </w:t>
      </w:r>
      <w:r w:rsidR="003F18B5" w:rsidRPr="008F1171">
        <w:rPr>
          <w:rFonts w:eastAsia="Times New Roman"/>
          <w:lang w:eastAsia="ru-RU"/>
        </w:rPr>
        <w:t xml:space="preserve">– </w:t>
      </w:r>
      <w:r w:rsidR="00457002" w:rsidRPr="008F1171">
        <w:rPr>
          <w:rFonts w:eastAsia="Times New Roman"/>
          <w:lang w:eastAsia="ru-RU"/>
        </w:rPr>
        <w:t>90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 2</w:t>
      </w:r>
      <w:r w:rsidR="003F18B5" w:rsidRPr="008F1171">
        <w:rPr>
          <w:rFonts w:eastAsia="Times New Roman"/>
          <w:lang w:eastAsia="ru-RU"/>
        </w:rPr>
        <w:t>.</w:t>
      </w:r>
    </w:p>
    <w:p w14:paraId="6096A5A9" w14:textId="77777777" w:rsidR="00457002" w:rsidRPr="00C26D56" w:rsidRDefault="00457002">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p>
    <w:p w14:paraId="0E5E2CA0" w14:textId="77777777" w:rsidR="00457002" w:rsidRPr="009600FA" w:rsidRDefault="00457002">
      <w:pPr>
        <w:contextualSpacing/>
        <w:rPr>
          <w:rFonts w:eastAsia="Times New Roman"/>
          <w:b/>
          <w:lang w:eastAsia="ru-RU"/>
        </w:rPr>
      </w:pPr>
      <w:r w:rsidRPr="009600FA">
        <w:rPr>
          <w:rFonts w:eastAsia="Times New Roman"/>
          <w:b/>
          <w:lang w:val="en-US" w:eastAsia="ru-RU"/>
        </w:rPr>
        <w:t>Chl</w:t>
      </w:r>
      <w:r w:rsidRPr="009600FA">
        <w:rPr>
          <w:rFonts w:eastAsia="Times New Roman"/>
          <w:b/>
          <w:lang w:eastAsia="ru-RU"/>
        </w:rPr>
        <w:t>-</w:t>
      </w:r>
      <w:r w:rsidRPr="009600FA">
        <w:rPr>
          <w:rFonts w:eastAsia="Times New Roman"/>
          <w:b/>
          <w:lang w:val="en-US" w:eastAsia="ru-RU"/>
        </w:rPr>
        <w:t>R</w:t>
      </w:r>
    </w:p>
    <w:p w14:paraId="4DE29CA3" w14:textId="77777777" w:rsidR="00457002" w:rsidRPr="009600FA" w:rsidRDefault="00457002" w:rsidP="00D61785">
      <w:pPr>
        <w:numPr>
          <w:ilvl w:val="0"/>
          <w:numId w:val="5"/>
        </w:numPr>
        <w:contextualSpacing/>
        <w:rPr>
          <w:rFonts w:eastAsia="Times New Roman"/>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9600FA">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9600FA">
        <w:rPr>
          <w:rFonts w:eastAsia="Times New Roman"/>
          <w:lang w:eastAsia="ru-RU"/>
        </w:rPr>
        <w:t xml:space="preserve"> 500 мг/м</w:t>
      </w:r>
      <w:r w:rsidRPr="009600FA">
        <w:rPr>
          <w:rFonts w:eastAsia="Times New Roman"/>
          <w:vertAlign w:val="superscript"/>
          <w:lang w:eastAsia="ru-RU"/>
        </w:rPr>
        <w:t>2</w:t>
      </w:r>
      <w:r w:rsidRPr="009600FA">
        <w:rPr>
          <w:rFonts w:eastAsia="Times New Roman"/>
          <w:lang w:eastAsia="ru-RU"/>
        </w:rPr>
        <w:t xml:space="preserve"> в/в кап.</w:t>
      </w:r>
      <w:r w:rsidR="00D4168D">
        <w:rPr>
          <w:rFonts w:eastAsia="Times New Roman"/>
          <w:lang w:eastAsia="ru-RU"/>
        </w:rPr>
        <w:t xml:space="preserve"> или </w:t>
      </w:r>
      <w:r w:rsidR="00492BEA">
        <w:rPr>
          <w:rFonts w:eastAsia="Times New Roman"/>
          <w:lang w:eastAsia="ru-RU"/>
        </w:rPr>
        <w:t xml:space="preserve">1600 </w:t>
      </w:r>
      <w:r w:rsidR="00D4168D">
        <w:rPr>
          <w:rFonts w:eastAsia="Times New Roman"/>
          <w:lang w:eastAsia="ru-RU"/>
        </w:rPr>
        <w:t>мг п/к</w:t>
      </w:r>
      <w:r w:rsidRPr="009600FA">
        <w:rPr>
          <w:rFonts w:eastAsia="Times New Roman"/>
          <w:lang w:eastAsia="ru-RU"/>
        </w:rPr>
        <w:t>, день 1</w:t>
      </w:r>
      <w:r w:rsidR="003F18B5">
        <w:rPr>
          <w:rFonts w:eastAsia="Times New Roman"/>
          <w:lang w:eastAsia="ru-RU"/>
        </w:rPr>
        <w:t>.</w:t>
      </w:r>
    </w:p>
    <w:p w14:paraId="09A000FF" w14:textId="77777777" w:rsidR="00457002" w:rsidRPr="00055701" w:rsidRDefault="00457002" w:rsidP="00D61785">
      <w:pPr>
        <w:numPr>
          <w:ilvl w:val="0"/>
          <w:numId w:val="5"/>
        </w:numPr>
        <w:contextualSpacing/>
        <w:rPr>
          <w:rFonts w:eastAsia="Times New Roman"/>
          <w:lang w:eastAsia="ru-RU"/>
        </w:rPr>
      </w:pPr>
      <w:r w:rsidRPr="00055701">
        <w:rPr>
          <w:rFonts w:eastAsia="Times New Roman"/>
          <w:lang w:eastAsia="ru-RU"/>
        </w:rPr>
        <w:t xml:space="preserve">Хлорамбуцил** </w:t>
      </w:r>
      <w:r w:rsidR="003F18B5" w:rsidRPr="00055701">
        <w:rPr>
          <w:rFonts w:eastAsia="Times New Roman"/>
          <w:lang w:eastAsia="ru-RU"/>
        </w:rPr>
        <w:t xml:space="preserve">– </w:t>
      </w:r>
      <w:r w:rsidRPr="00055701">
        <w:rPr>
          <w:rFonts w:eastAsia="Times New Roman"/>
          <w:lang w:eastAsia="ru-RU"/>
        </w:rPr>
        <w:t>10 мг/м</w:t>
      </w:r>
      <w:r w:rsidRPr="00055701">
        <w:rPr>
          <w:rFonts w:eastAsia="Times New Roman"/>
          <w:vertAlign w:val="superscript"/>
          <w:lang w:eastAsia="ru-RU"/>
        </w:rPr>
        <w:t>2</w:t>
      </w:r>
      <w:r w:rsidR="003F18B5" w:rsidRPr="00055701">
        <w:rPr>
          <w:rFonts w:eastAsia="Times New Roman"/>
          <w:lang w:eastAsia="ru-RU"/>
        </w:rPr>
        <w:t xml:space="preserve"> внутрь, дни 1–</w:t>
      </w:r>
      <w:r w:rsidRPr="00055701">
        <w:rPr>
          <w:rFonts w:eastAsia="Times New Roman"/>
          <w:lang w:eastAsia="ru-RU"/>
        </w:rPr>
        <w:t>7</w:t>
      </w:r>
      <w:r w:rsidR="003F18B5" w:rsidRPr="00055701">
        <w:rPr>
          <w:rFonts w:eastAsia="Times New Roman"/>
          <w:lang w:eastAsia="ru-RU"/>
        </w:rPr>
        <w:t>.</w:t>
      </w:r>
    </w:p>
    <w:p w14:paraId="5A52D9B4" w14:textId="77777777" w:rsidR="00457002" w:rsidRPr="009600FA" w:rsidRDefault="00457002">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p>
    <w:p w14:paraId="3776A888" w14:textId="77777777" w:rsidR="00457002" w:rsidRPr="009600FA" w:rsidRDefault="00457002">
      <w:pPr>
        <w:contextualSpacing/>
        <w:rPr>
          <w:rFonts w:eastAsia="Times New Roman"/>
          <w:b/>
          <w:lang w:eastAsia="ru-RU"/>
        </w:rPr>
      </w:pPr>
      <w:r w:rsidRPr="009600FA">
        <w:rPr>
          <w:rFonts w:eastAsia="Times New Roman"/>
          <w:b/>
          <w:lang w:val="en-US" w:eastAsia="ru-RU"/>
        </w:rPr>
        <w:t>Chl</w:t>
      </w:r>
      <w:r w:rsidRPr="009600FA">
        <w:rPr>
          <w:rFonts w:eastAsia="Times New Roman"/>
          <w:b/>
          <w:lang w:eastAsia="ru-RU"/>
        </w:rPr>
        <w:t>-</w:t>
      </w:r>
      <w:r w:rsidRPr="009600FA">
        <w:rPr>
          <w:rFonts w:eastAsia="Times New Roman"/>
          <w:b/>
          <w:lang w:val="en-US" w:eastAsia="ru-RU"/>
        </w:rPr>
        <w:t>G</w:t>
      </w:r>
    </w:p>
    <w:p w14:paraId="5E2C3096" w14:textId="77777777" w:rsidR="00457002" w:rsidRPr="009600FA" w:rsidRDefault="00457002" w:rsidP="00D61785">
      <w:pPr>
        <w:pStyle w:val="a4"/>
        <w:numPr>
          <w:ilvl w:val="0"/>
          <w:numId w:val="8"/>
        </w:numPr>
        <w:spacing w:before="0"/>
        <w:rPr>
          <w:b/>
          <w:lang w:eastAsia="ru-RU"/>
        </w:rPr>
      </w:pPr>
      <w:r w:rsidRPr="009600FA">
        <w:rPr>
          <w:lang w:eastAsia="ru-RU"/>
        </w:rPr>
        <w:t>Обинутузумаб</w:t>
      </w:r>
      <w:r>
        <w:rPr>
          <w:lang w:eastAsia="ru-RU"/>
        </w:rPr>
        <w:t>**</w:t>
      </w:r>
      <w:r w:rsidR="003F18B5">
        <w:rPr>
          <w:lang w:eastAsia="ru-RU"/>
        </w:rPr>
        <w:t xml:space="preserve"> – 1000 мг в/в, день</w:t>
      </w:r>
      <w:r w:rsidRPr="009600FA">
        <w:rPr>
          <w:lang w:eastAsia="ru-RU"/>
        </w:rPr>
        <w:t xml:space="preserve"> 1</w:t>
      </w:r>
      <w:r w:rsidR="003F18B5">
        <w:rPr>
          <w:lang w:eastAsia="ru-RU"/>
        </w:rPr>
        <w:t xml:space="preserve"> </w:t>
      </w:r>
      <w:r w:rsidRPr="009600FA">
        <w:rPr>
          <w:lang w:eastAsia="ru-RU"/>
        </w:rPr>
        <w:t>(100 мг в течение 4 часов)</w:t>
      </w:r>
      <w:r w:rsidR="003F18B5">
        <w:rPr>
          <w:lang w:eastAsia="ru-RU"/>
        </w:rPr>
        <w:t xml:space="preserve">, </w:t>
      </w:r>
      <w:r w:rsidRPr="009600FA">
        <w:rPr>
          <w:lang w:eastAsia="ru-RU"/>
        </w:rPr>
        <w:t>2</w:t>
      </w:r>
      <w:r w:rsidR="003F18B5">
        <w:rPr>
          <w:lang w:eastAsia="ru-RU"/>
        </w:rPr>
        <w:t xml:space="preserve"> </w:t>
      </w:r>
      <w:r w:rsidRPr="009600FA">
        <w:rPr>
          <w:lang w:eastAsia="ru-RU"/>
        </w:rPr>
        <w:t>(900 мг), 8, 15 (цикл</w:t>
      </w:r>
      <w:r w:rsidR="003F18B5">
        <w:rPr>
          <w:lang w:eastAsia="ru-RU"/>
        </w:rPr>
        <w:t> </w:t>
      </w:r>
      <w:r w:rsidRPr="009600FA">
        <w:rPr>
          <w:lang w:eastAsia="ru-RU"/>
        </w:rPr>
        <w:t>1), день 1 (циклы 2</w:t>
      </w:r>
      <w:r w:rsidR="003F18B5">
        <w:rPr>
          <w:lang w:eastAsia="ru-RU"/>
        </w:rPr>
        <w:t>–</w:t>
      </w:r>
      <w:r w:rsidRPr="009600FA">
        <w:rPr>
          <w:lang w:eastAsia="ru-RU"/>
        </w:rPr>
        <w:t>6)</w:t>
      </w:r>
      <w:r w:rsidR="003F18B5">
        <w:rPr>
          <w:lang w:eastAsia="ru-RU"/>
        </w:rPr>
        <w:t>.</w:t>
      </w:r>
    </w:p>
    <w:p w14:paraId="6050D9C2" w14:textId="77777777" w:rsidR="00457002" w:rsidRPr="009600FA" w:rsidRDefault="00457002" w:rsidP="00D61785">
      <w:pPr>
        <w:pStyle w:val="a4"/>
        <w:numPr>
          <w:ilvl w:val="0"/>
          <w:numId w:val="8"/>
        </w:numPr>
        <w:spacing w:before="0"/>
        <w:rPr>
          <w:b/>
          <w:lang w:eastAsia="ru-RU"/>
        </w:rPr>
      </w:pPr>
      <w:r w:rsidRPr="009600FA">
        <w:rPr>
          <w:lang w:eastAsia="ru-RU"/>
        </w:rPr>
        <w:t>Хлорамбуцил</w:t>
      </w:r>
      <w:r>
        <w:rPr>
          <w:lang w:eastAsia="ru-RU"/>
        </w:rPr>
        <w:t>**</w:t>
      </w:r>
      <w:r w:rsidRPr="009600FA">
        <w:rPr>
          <w:lang w:eastAsia="ru-RU"/>
        </w:rPr>
        <w:t xml:space="preserve"> </w:t>
      </w:r>
      <w:r w:rsidR="003F18B5">
        <w:rPr>
          <w:lang w:eastAsia="ru-RU"/>
        </w:rPr>
        <w:t xml:space="preserve">– </w:t>
      </w:r>
      <w:r w:rsidRPr="009600FA">
        <w:rPr>
          <w:lang w:eastAsia="ru-RU"/>
        </w:rPr>
        <w:t>0,5 мг/кг внутрь, дни 1, 15</w:t>
      </w:r>
      <w:r w:rsidR="003F18B5">
        <w:rPr>
          <w:lang w:eastAsia="ru-RU"/>
        </w:rPr>
        <w:t>.</w:t>
      </w:r>
    </w:p>
    <w:p w14:paraId="18BEDD91" w14:textId="77777777" w:rsidR="00457002" w:rsidRPr="009600FA" w:rsidRDefault="00457002">
      <w:pPr>
        <w:contextualSpacing/>
        <w:rPr>
          <w:rFonts w:eastAsia="Times New Roman"/>
          <w:lang w:eastAsia="ru-RU"/>
        </w:rPr>
      </w:pPr>
      <w:r w:rsidRPr="009600FA">
        <w:rPr>
          <w:rFonts w:eastAsia="Times New Roman"/>
          <w:lang w:eastAsia="ru-RU"/>
        </w:rPr>
        <w:t xml:space="preserve">Лечение возобновляется на </w:t>
      </w:r>
      <w:r w:rsidR="003F18B5">
        <w:rPr>
          <w:rFonts w:eastAsia="Times New Roman"/>
          <w:lang w:eastAsia="ru-RU"/>
        </w:rPr>
        <w:t>29-й день.</w:t>
      </w:r>
    </w:p>
    <w:p w14:paraId="6D46C157" w14:textId="77777777" w:rsidR="00457002" w:rsidRPr="009600FA" w:rsidRDefault="00457002">
      <w:pPr>
        <w:contextualSpacing/>
        <w:rPr>
          <w:rFonts w:eastAsia="Times New Roman"/>
          <w:b/>
          <w:lang w:eastAsia="ru-RU"/>
        </w:rPr>
      </w:pPr>
      <w:r w:rsidRPr="009600FA">
        <w:rPr>
          <w:rFonts w:eastAsia="Times New Roman"/>
          <w:b/>
          <w:lang w:val="en-US" w:eastAsia="ru-RU"/>
        </w:rPr>
        <w:t>R</w:t>
      </w:r>
      <w:r w:rsidRPr="009600FA">
        <w:rPr>
          <w:rFonts w:eastAsia="Times New Roman"/>
          <w:b/>
          <w:lang w:eastAsia="ru-RU"/>
        </w:rPr>
        <w:t>-</w:t>
      </w:r>
      <w:r w:rsidRPr="009600FA">
        <w:rPr>
          <w:rFonts w:eastAsia="Times New Roman"/>
          <w:b/>
          <w:lang w:val="en-US" w:eastAsia="ru-RU"/>
        </w:rPr>
        <w:t>HDMP</w:t>
      </w:r>
    </w:p>
    <w:p w14:paraId="4E741340" w14:textId="77777777" w:rsidR="00457002" w:rsidRPr="00055701" w:rsidRDefault="00055701" w:rsidP="00D61785">
      <w:pPr>
        <w:numPr>
          <w:ilvl w:val="0"/>
          <w:numId w:val="7"/>
        </w:numPr>
        <w:contextualSpacing/>
        <w:rPr>
          <w:rFonts w:eastAsia="Times New Roman"/>
          <w:b/>
          <w:lang w:eastAsia="ru-RU"/>
        </w:rPr>
      </w:pPr>
      <w:r w:rsidRPr="0008146B">
        <w:rPr>
          <w:rFonts w:eastAsia="Times New Roman"/>
          <w:lang w:eastAsia="ru-RU"/>
        </w:rPr>
        <w:t>#</w:t>
      </w:r>
      <w:r w:rsidR="00457002" w:rsidRPr="0008146B">
        <w:rPr>
          <w:rFonts w:eastAsia="Times New Roman"/>
          <w:lang w:eastAsia="ru-RU"/>
        </w:rPr>
        <w:t xml:space="preserve">Ритуксимаб** </w:t>
      </w:r>
      <w:r w:rsidR="003F18B5" w:rsidRPr="00055701">
        <w:rPr>
          <w:rFonts w:eastAsia="Times New Roman"/>
          <w:lang w:eastAsia="ru-RU"/>
        </w:rPr>
        <w:t xml:space="preserve">– </w:t>
      </w:r>
      <w:r w:rsidR="00457002" w:rsidRPr="00055701">
        <w:rPr>
          <w:rFonts w:eastAsia="Times New Roman"/>
          <w:lang w:eastAsia="ru-RU"/>
        </w:rPr>
        <w:t>375 мг/м</w:t>
      </w:r>
      <w:r w:rsidR="00457002" w:rsidRPr="00055701">
        <w:rPr>
          <w:rFonts w:eastAsia="Times New Roman"/>
          <w:vertAlign w:val="superscript"/>
          <w:lang w:eastAsia="ru-RU"/>
        </w:rPr>
        <w:t>2</w:t>
      </w:r>
      <w:r w:rsidR="00457002" w:rsidRPr="00055701">
        <w:rPr>
          <w:rFonts w:eastAsia="Times New Roman"/>
          <w:lang w:eastAsia="ru-RU"/>
        </w:rPr>
        <w:t xml:space="preserve"> в/в кап., дни 1, 8, 15, 22</w:t>
      </w:r>
      <w:r w:rsidR="003F18B5" w:rsidRPr="00055701">
        <w:rPr>
          <w:rFonts w:eastAsia="Times New Roman"/>
          <w:lang w:eastAsia="ru-RU"/>
        </w:rPr>
        <w:t>.</w:t>
      </w:r>
    </w:p>
    <w:p w14:paraId="561366C6" w14:textId="77777777" w:rsidR="00457002" w:rsidRPr="009600FA" w:rsidRDefault="00457002" w:rsidP="00D61785">
      <w:pPr>
        <w:numPr>
          <w:ilvl w:val="0"/>
          <w:numId w:val="7"/>
        </w:numPr>
        <w:contextualSpacing/>
        <w:rPr>
          <w:rFonts w:eastAsia="Times New Roman"/>
          <w:b/>
          <w:lang w:eastAsia="ru-RU"/>
        </w:rPr>
      </w:pPr>
      <w:r w:rsidRPr="009600FA">
        <w:rPr>
          <w:rFonts w:eastAsia="Times New Roman"/>
          <w:lang w:eastAsia="ru-RU"/>
        </w:rPr>
        <w:t>Метилпреднизолон</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г/м</w:t>
      </w:r>
      <w:r w:rsidRPr="009600FA">
        <w:rPr>
          <w:rFonts w:eastAsia="Times New Roman"/>
          <w:vertAlign w:val="superscript"/>
          <w:lang w:eastAsia="ru-RU"/>
        </w:rPr>
        <w:t>2</w:t>
      </w:r>
      <w:r w:rsidR="003F18B5">
        <w:rPr>
          <w:rFonts w:eastAsia="Times New Roman"/>
          <w:lang w:eastAsia="ru-RU"/>
        </w:rPr>
        <w:t xml:space="preserve"> в/в кап., дни 1–</w:t>
      </w:r>
      <w:r w:rsidRPr="009600FA">
        <w:rPr>
          <w:rFonts w:eastAsia="Times New Roman"/>
          <w:lang w:eastAsia="ru-RU"/>
        </w:rPr>
        <w:t>3</w:t>
      </w:r>
      <w:r w:rsidR="003F18B5">
        <w:rPr>
          <w:rFonts w:eastAsia="Times New Roman"/>
          <w:lang w:eastAsia="ru-RU"/>
        </w:rPr>
        <w:t>.</w:t>
      </w:r>
    </w:p>
    <w:p w14:paraId="415AA2AE" w14:textId="77777777" w:rsidR="00457002" w:rsidRPr="009600FA" w:rsidRDefault="00457002">
      <w:pPr>
        <w:contextualSpacing/>
        <w:rPr>
          <w:rFonts w:eastAsia="Times New Roman"/>
          <w:lang w:eastAsia="ru-RU"/>
        </w:rPr>
      </w:pPr>
      <w:r w:rsidRPr="009600FA">
        <w:rPr>
          <w:rFonts w:eastAsia="Times New Roman"/>
          <w:lang w:eastAsia="ru-RU"/>
        </w:rPr>
        <w:t xml:space="preserve">Лечение возобновляется на </w:t>
      </w:r>
      <w:r w:rsidR="003F18B5">
        <w:rPr>
          <w:rFonts w:eastAsia="Times New Roman"/>
          <w:lang w:eastAsia="ru-RU"/>
        </w:rPr>
        <w:t>29-й день.</w:t>
      </w:r>
    </w:p>
    <w:p w14:paraId="4D1FC480" w14:textId="77777777" w:rsidR="00457002" w:rsidRPr="009600FA" w:rsidRDefault="00457002">
      <w:pPr>
        <w:contextualSpacing/>
        <w:rPr>
          <w:rFonts w:eastAsia="Times New Roman"/>
          <w:lang w:eastAsia="ru-RU"/>
        </w:rPr>
      </w:pPr>
      <w:r w:rsidRPr="009600FA">
        <w:rPr>
          <w:rFonts w:eastAsia="Times New Roman"/>
          <w:lang w:eastAsia="ru-RU"/>
        </w:rPr>
        <w:t>Пров</w:t>
      </w:r>
      <w:r>
        <w:rPr>
          <w:rFonts w:eastAsia="Times New Roman"/>
          <w:lang w:eastAsia="ru-RU"/>
        </w:rPr>
        <w:t>одят 3 курса</w:t>
      </w:r>
      <w:r w:rsidR="003F18B5">
        <w:rPr>
          <w:rFonts w:eastAsia="Times New Roman"/>
          <w:lang w:eastAsia="ru-RU"/>
        </w:rPr>
        <w:t>.</w:t>
      </w:r>
    </w:p>
    <w:p w14:paraId="56C253CA" w14:textId="77777777" w:rsidR="00457002" w:rsidRPr="009600FA" w:rsidRDefault="00457002">
      <w:pPr>
        <w:contextualSpacing/>
        <w:rPr>
          <w:rFonts w:eastAsia="Times New Roman"/>
          <w:b/>
          <w:lang w:eastAsia="ru-RU"/>
        </w:rPr>
      </w:pPr>
      <w:r w:rsidRPr="009600FA">
        <w:rPr>
          <w:rFonts w:eastAsia="Times New Roman"/>
          <w:b/>
          <w:lang w:val="en-US" w:eastAsia="ru-RU"/>
        </w:rPr>
        <w:t>R</w:t>
      </w:r>
      <w:r w:rsidRPr="009600FA">
        <w:rPr>
          <w:rFonts w:eastAsia="Times New Roman"/>
          <w:b/>
          <w:lang w:eastAsia="ru-RU"/>
        </w:rPr>
        <w:t>-</w:t>
      </w:r>
      <w:r w:rsidRPr="009600FA">
        <w:rPr>
          <w:rFonts w:eastAsia="Times New Roman"/>
          <w:b/>
          <w:lang w:val="en-US" w:eastAsia="ru-RU"/>
        </w:rPr>
        <w:t>CD</w:t>
      </w:r>
    </w:p>
    <w:p w14:paraId="78155ECC" w14:textId="77777777" w:rsidR="00457002" w:rsidRPr="009600FA" w:rsidRDefault="00457002" w:rsidP="00D61785">
      <w:pPr>
        <w:numPr>
          <w:ilvl w:val="0"/>
          <w:numId w:val="6"/>
        </w:numPr>
        <w:contextualSpacing/>
        <w:rPr>
          <w:rFonts w:eastAsia="Times New Roman"/>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5F5C64">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9600FA">
        <w:rPr>
          <w:rFonts w:eastAsia="Times New Roman"/>
          <w:lang w:eastAsia="ru-RU"/>
        </w:rPr>
        <w:t xml:space="preserve"> 500 мг/м</w:t>
      </w:r>
      <w:r w:rsidRPr="00F6725A">
        <w:rPr>
          <w:rFonts w:eastAsia="Times New Roman"/>
          <w:lang w:eastAsia="ru-RU"/>
        </w:rPr>
        <w:t>2</w:t>
      </w:r>
      <w:r w:rsidRPr="009600FA">
        <w:rPr>
          <w:rFonts w:eastAsia="Times New Roman"/>
          <w:lang w:eastAsia="ru-RU"/>
        </w:rPr>
        <w:t xml:space="preserve"> в/в кап.</w:t>
      </w:r>
      <w:r w:rsidR="00D4168D">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9600FA">
        <w:rPr>
          <w:rFonts w:eastAsia="Times New Roman"/>
          <w:lang w:eastAsia="ru-RU"/>
        </w:rPr>
        <w:t>, день 1</w:t>
      </w:r>
      <w:r w:rsidR="003F18B5">
        <w:rPr>
          <w:rFonts w:eastAsia="Times New Roman"/>
          <w:lang w:eastAsia="ru-RU"/>
        </w:rPr>
        <w:t>.</w:t>
      </w:r>
    </w:p>
    <w:p w14:paraId="66E29FF5" w14:textId="77777777" w:rsidR="00457002" w:rsidRPr="009600FA" w:rsidRDefault="00457002" w:rsidP="00D61785">
      <w:pPr>
        <w:numPr>
          <w:ilvl w:val="0"/>
          <w:numId w:val="6"/>
        </w:numPr>
        <w:contextualSpacing/>
        <w:rPr>
          <w:rFonts w:eastAsia="Times New Roman"/>
          <w:lang w:eastAsia="ru-RU"/>
        </w:rPr>
      </w:pPr>
      <w:r w:rsidRPr="009600FA">
        <w:rPr>
          <w:rFonts w:eastAsia="Times New Roman"/>
          <w:lang w:eastAsia="ru-RU"/>
        </w:rPr>
        <w:t>Циклофосфамид</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750 мг/м</w:t>
      </w:r>
      <w:r w:rsidRPr="009600FA">
        <w:rPr>
          <w:rFonts w:eastAsia="Times New Roman"/>
          <w:vertAlign w:val="superscript"/>
          <w:lang w:eastAsia="ru-RU"/>
        </w:rPr>
        <w:t>2</w:t>
      </w:r>
      <w:r w:rsidRPr="009600FA">
        <w:rPr>
          <w:rFonts w:eastAsia="Times New Roman"/>
          <w:lang w:eastAsia="ru-RU"/>
        </w:rPr>
        <w:t xml:space="preserve"> в/в кап., день 1</w:t>
      </w:r>
      <w:r w:rsidR="003F18B5">
        <w:rPr>
          <w:rFonts w:eastAsia="Times New Roman"/>
          <w:lang w:eastAsia="ru-RU"/>
        </w:rPr>
        <w:t>.</w:t>
      </w:r>
    </w:p>
    <w:p w14:paraId="1F1F70EB" w14:textId="77777777" w:rsidR="00457002" w:rsidRPr="009600FA" w:rsidRDefault="00457002" w:rsidP="00D61785">
      <w:pPr>
        <w:numPr>
          <w:ilvl w:val="0"/>
          <w:numId w:val="6"/>
        </w:numPr>
        <w:contextualSpacing/>
        <w:rPr>
          <w:rFonts w:eastAsia="Times New Roman"/>
          <w:lang w:eastAsia="ru-RU"/>
        </w:rPr>
      </w:pPr>
      <w:r w:rsidRPr="009600FA">
        <w:rPr>
          <w:rFonts w:eastAsia="Times New Roman"/>
          <w:lang w:eastAsia="ru-RU"/>
        </w:rPr>
        <w:t>Дексаметазон</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12 мг в/в или внутрь, дни 1</w:t>
      </w:r>
      <w:r w:rsidR="003F18B5">
        <w:rPr>
          <w:rFonts w:eastAsia="Times New Roman"/>
          <w:lang w:eastAsia="ru-RU"/>
        </w:rPr>
        <w:t>–</w:t>
      </w:r>
      <w:r w:rsidRPr="009600FA">
        <w:rPr>
          <w:rFonts w:eastAsia="Times New Roman"/>
          <w:lang w:eastAsia="ru-RU"/>
        </w:rPr>
        <w:t>7</w:t>
      </w:r>
      <w:r w:rsidR="003F18B5">
        <w:rPr>
          <w:rFonts w:eastAsia="Times New Roman"/>
          <w:lang w:eastAsia="ru-RU"/>
        </w:rPr>
        <w:t>.</w:t>
      </w:r>
    </w:p>
    <w:p w14:paraId="143BA4F7" w14:textId="3053797B" w:rsidR="00457002" w:rsidRDefault="00457002">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w:t>
      </w:r>
      <w:r w:rsidRPr="008F1171">
        <w:rPr>
          <w:rFonts w:eastAsia="Times New Roman"/>
          <w:lang w:eastAsia="ru-RU"/>
        </w:rPr>
        <w:t xml:space="preserve">возобновляется на </w:t>
      </w:r>
      <w:r w:rsidR="003F18B5" w:rsidRPr="008F1171">
        <w:rPr>
          <w:rFonts w:eastAsia="Times New Roman"/>
          <w:lang w:eastAsia="ru-RU"/>
        </w:rPr>
        <w:t>29-й день.</w:t>
      </w:r>
    </w:p>
    <w:p w14:paraId="4F34570B" w14:textId="77777777" w:rsidR="00457002" w:rsidRPr="008F1171" w:rsidRDefault="00457002">
      <w:pPr>
        <w:contextualSpacing/>
        <w:rPr>
          <w:rFonts w:eastAsia="Times New Roman"/>
          <w:b/>
          <w:lang w:eastAsia="ru-RU"/>
        </w:rPr>
      </w:pPr>
      <w:r w:rsidRPr="008F1171">
        <w:rPr>
          <w:rFonts w:eastAsia="Times New Roman"/>
          <w:b/>
          <w:lang w:eastAsia="ru-RU"/>
        </w:rPr>
        <w:t>Ибрутиниб</w:t>
      </w:r>
      <w:r w:rsidR="00573250" w:rsidRPr="008F1171">
        <w:rPr>
          <w:rFonts w:eastAsia="Times New Roman"/>
          <w:b/>
          <w:lang w:eastAsia="ru-RU"/>
        </w:rPr>
        <w:t>**</w:t>
      </w:r>
      <w:r w:rsidRPr="008F1171">
        <w:rPr>
          <w:rFonts w:eastAsia="Times New Roman"/>
          <w:b/>
          <w:lang w:eastAsia="ru-RU"/>
        </w:rPr>
        <w:t xml:space="preserve"> + ритуксимаб</w:t>
      </w:r>
      <w:r w:rsidR="00573250" w:rsidRPr="008F1171">
        <w:rPr>
          <w:rFonts w:eastAsia="Times New Roman"/>
          <w:b/>
          <w:lang w:eastAsia="ru-RU"/>
        </w:rPr>
        <w:t>**</w:t>
      </w:r>
    </w:p>
    <w:p w14:paraId="25FC2D7F" w14:textId="77777777" w:rsidR="00457002" w:rsidRPr="008F1171" w:rsidRDefault="00457002" w:rsidP="00D61785">
      <w:pPr>
        <w:pStyle w:val="a4"/>
        <w:numPr>
          <w:ilvl w:val="0"/>
          <w:numId w:val="4"/>
        </w:numPr>
        <w:spacing w:before="0"/>
        <w:rPr>
          <w:lang w:eastAsia="ru-RU"/>
        </w:rPr>
      </w:pPr>
      <w:r w:rsidRPr="008F1171">
        <w:rPr>
          <w:lang w:eastAsia="ru-RU"/>
        </w:rPr>
        <w:t xml:space="preserve">Ибрутиниб** </w:t>
      </w:r>
      <w:r w:rsidR="003F18B5" w:rsidRPr="008F1171">
        <w:rPr>
          <w:lang w:eastAsia="ru-RU"/>
        </w:rPr>
        <w:t xml:space="preserve">– </w:t>
      </w:r>
      <w:r w:rsidRPr="008F1171">
        <w:rPr>
          <w:lang w:eastAsia="ru-RU"/>
        </w:rPr>
        <w:t>420 мг/сут (</w:t>
      </w:r>
      <w:r w:rsidR="003F18B5" w:rsidRPr="008F1171">
        <w:rPr>
          <w:lang w:eastAsia="ru-RU"/>
        </w:rPr>
        <w:t>3 капсулы) внутрь</w:t>
      </w:r>
      <w:r w:rsidRPr="008F1171">
        <w:rPr>
          <w:lang w:eastAsia="ru-RU"/>
        </w:rPr>
        <w:t xml:space="preserve"> 1 раз в день, ежедневно</w:t>
      </w:r>
      <w:r w:rsidR="003F18B5" w:rsidRPr="008F1171">
        <w:rPr>
          <w:lang w:eastAsia="ru-RU"/>
        </w:rPr>
        <w:t>.</w:t>
      </w:r>
    </w:p>
    <w:p w14:paraId="566A1536" w14:textId="77777777" w:rsidR="00457002" w:rsidRPr="008F1171" w:rsidRDefault="00055701" w:rsidP="00D61785">
      <w:pPr>
        <w:numPr>
          <w:ilvl w:val="0"/>
          <w:numId w:val="4"/>
        </w:numPr>
        <w:contextualSpacing/>
        <w:rPr>
          <w:rFonts w:eastAsia="Times New Roman"/>
          <w:lang w:eastAsia="ru-RU"/>
        </w:rPr>
      </w:pPr>
      <w:r w:rsidRPr="0008146B">
        <w:rPr>
          <w:rFonts w:eastAsia="Times New Roman"/>
          <w:lang w:eastAsia="ru-RU"/>
        </w:rPr>
        <w:t>#</w:t>
      </w:r>
      <w:r w:rsidR="00457002" w:rsidRPr="008F1171">
        <w:rPr>
          <w:rFonts w:eastAsia="Times New Roman"/>
          <w:lang w:eastAsia="ru-RU"/>
        </w:rPr>
        <w:t>Ритуксимаб** – 50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день 1 цикла 2; 375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день 2 цикла 2; 500 мг/м</w:t>
      </w:r>
      <w:r w:rsidR="00457002" w:rsidRPr="008F1171">
        <w:rPr>
          <w:rFonts w:eastAsia="Times New Roman"/>
          <w:vertAlign w:val="superscript"/>
          <w:lang w:eastAsia="ru-RU"/>
        </w:rPr>
        <w:t>2</w:t>
      </w:r>
      <w:r w:rsidR="00457002"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1600</w:t>
      </w:r>
      <w:r w:rsidR="00492BEA" w:rsidRPr="008F1171">
        <w:rPr>
          <w:rFonts w:eastAsia="Times New Roman"/>
          <w:lang w:eastAsia="ru-RU"/>
        </w:rPr>
        <w:t xml:space="preserve"> </w:t>
      </w:r>
      <w:r w:rsidR="00D4168D" w:rsidRPr="008F1171">
        <w:rPr>
          <w:rFonts w:eastAsia="Times New Roman"/>
          <w:lang w:eastAsia="ru-RU"/>
        </w:rPr>
        <w:t>мг п/к</w:t>
      </w:r>
      <w:r w:rsidR="003F18B5" w:rsidRPr="008F1171">
        <w:rPr>
          <w:rFonts w:eastAsia="Times New Roman"/>
          <w:lang w:eastAsia="ru-RU"/>
        </w:rPr>
        <w:t>, день 1 циклов 3–</w:t>
      </w:r>
      <w:r w:rsidR="00457002" w:rsidRPr="008F1171">
        <w:rPr>
          <w:rFonts w:eastAsia="Times New Roman"/>
          <w:lang w:eastAsia="ru-RU"/>
        </w:rPr>
        <w:t>7</w:t>
      </w:r>
      <w:r w:rsidR="003F18B5" w:rsidRPr="008F1171">
        <w:rPr>
          <w:rFonts w:eastAsia="Times New Roman"/>
          <w:lang w:eastAsia="ru-RU"/>
        </w:rPr>
        <w:t>.</w:t>
      </w:r>
    </w:p>
    <w:p w14:paraId="3EBC9BAC" w14:textId="77777777" w:rsidR="00457002" w:rsidRPr="008F1171" w:rsidRDefault="00457002">
      <w:pPr>
        <w:ind w:left="360"/>
        <w:contextualSpacing/>
        <w:rPr>
          <w:rFonts w:eastAsia="Times New Roman"/>
          <w:lang w:eastAsia="ru-RU"/>
        </w:rPr>
      </w:pPr>
      <w:r w:rsidRPr="008F1171">
        <w:rPr>
          <w:rFonts w:eastAsia="Times New Roman"/>
          <w:lang w:eastAsia="ru-RU"/>
        </w:rPr>
        <w:t xml:space="preserve">Лечение возобновляется на </w:t>
      </w:r>
      <w:r w:rsidR="003F18B5" w:rsidRPr="008F1171">
        <w:rPr>
          <w:rFonts w:eastAsia="Times New Roman"/>
          <w:lang w:eastAsia="ru-RU"/>
        </w:rPr>
        <w:t>29-й день</w:t>
      </w:r>
      <w:r w:rsidRPr="008F1171">
        <w:rPr>
          <w:rFonts w:eastAsia="Times New Roman"/>
          <w:lang w:eastAsia="ru-RU"/>
        </w:rPr>
        <w:t>, всего 7 циклов</w:t>
      </w:r>
      <w:r w:rsidR="003F18B5" w:rsidRPr="008F1171">
        <w:rPr>
          <w:rFonts w:eastAsia="Times New Roman"/>
          <w:lang w:eastAsia="ru-RU"/>
        </w:rPr>
        <w:t>.</w:t>
      </w:r>
    </w:p>
    <w:p w14:paraId="64ACF444" w14:textId="77777777" w:rsidR="00F21A6F" w:rsidRPr="008F1171" w:rsidRDefault="00F21A6F">
      <w:pPr>
        <w:contextualSpacing/>
        <w:rPr>
          <w:rFonts w:eastAsia="Times New Roman"/>
          <w:b/>
          <w:lang w:eastAsia="ru-RU"/>
        </w:rPr>
      </w:pPr>
      <w:r w:rsidRPr="008F1171">
        <w:rPr>
          <w:rFonts w:eastAsia="Times New Roman"/>
          <w:b/>
          <w:lang w:eastAsia="ru-RU"/>
        </w:rPr>
        <w:t>Ибрутиниб</w:t>
      </w:r>
      <w:r w:rsidR="00573250" w:rsidRPr="008F1171">
        <w:rPr>
          <w:rFonts w:eastAsia="Times New Roman"/>
          <w:b/>
          <w:lang w:eastAsia="ru-RU"/>
        </w:rPr>
        <w:t>**</w:t>
      </w:r>
      <w:r w:rsidRPr="008F1171">
        <w:rPr>
          <w:rFonts w:eastAsia="Times New Roman"/>
          <w:b/>
          <w:lang w:eastAsia="ru-RU"/>
        </w:rPr>
        <w:t xml:space="preserve"> + </w:t>
      </w:r>
      <w:r w:rsidRPr="008F1171">
        <w:rPr>
          <w:rFonts w:eastAsia="Times New Roman"/>
          <w:b/>
          <w:lang w:val="en-US" w:eastAsia="ru-RU"/>
        </w:rPr>
        <w:t>BR</w:t>
      </w:r>
    </w:p>
    <w:p w14:paraId="5A23CC4A" w14:textId="77777777" w:rsidR="00F21A6F" w:rsidRPr="008F1171" w:rsidRDefault="00F21A6F" w:rsidP="00D61785">
      <w:pPr>
        <w:pStyle w:val="a4"/>
        <w:numPr>
          <w:ilvl w:val="0"/>
          <w:numId w:val="4"/>
        </w:numPr>
        <w:spacing w:before="0"/>
        <w:rPr>
          <w:lang w:eastAsia="ru-RU"/>
        </w:rPr>
      </w:pPr>
      <w:r w:rsidRPr="008F1171">
        <w:rPr>
          <w:lang w:eastAsia="ru-RU"/>
        </w:rPr>
        <w:t xml:space="preserve">Ибрутиниб** </w:t>
      </w:r>
      <w:r w:rsidR="003F18B5" w:rsidRPr="008F1171">
        <w:rPr>
          <w:lang w:eastAsia="ru-RU"/>
        </w:rPr>
        <w:t xml:space="preserve">– </w:t>
      </w:r>
      <w:r w:rsidRPr="008F1171">
        <w:rPr>
          <w:lang w:eastAsia="ru-RU"/>
        </w:rPr>
        <w:t>420 мг/сут (</w:t>
      </w:r>
      <w:r w:rsidR="003F18B5" w:rsidRPr="008F1171">
        <w:rPr>
          <w:lang w:eastAsia="ru-RU"/>
        </w:rPr>
        <w:t>3 капсулы) внутрь 1 раз в день</w:t>
      </w:r>
      <w:r w:rsidRPr="008F1171">
        <w:rPr>
          <w:lang w:eastAsia="ru-RU"/>
        </w:rPr>
        <w:t xml:space="preserve"> </w:t>
      </w:r>
      <w:r w:rsidR="003F18B5" w:rsidRPr="008F1171">
        <w:rPr>
          <w:lang w:eastAsia="ru-RU"/>
        </w:rPr>
        <w:t>ежедневно в течение всего курса</w:t>
      </w:r>
      <w:r w:rsidRPr="008F1171">
        <w:rPr>
          <w:lang w:eastAsia="ru-RU"/>
        </w:rPr>
        <w:t xml:space="preserve"> и далее (после завершения циклов </w:t>
      </w:r>
      <w:r w:rsidRPr="008F1171">
        <w:rPr>
          <w:lang w:val="en-US" w:eastAsia="ru-RU"/>
        </w:rPr>
        <w:t>BR</w:t>
      </w:r>
      <w:r w:rsidRPr="008F1171">
        <w:rPr>
          <w:lang w:eastAsia="ru-RU"/>
        </w:rPr>
        <w:t xml:space="preserve">) – до прогрессирования или </w:t>
      </w:r>
      <w:r w:rsidR="003F18B5" w:rsidRPr="008F1171">
        <w:rPr>
          <w:lang w:eastAsia="ru-RU"/>
        </w:rPr>
        <w:t xml:space="preserve">развития </w:t>
      </w:r>
      <w:r w:rsidRPr="008F1171">
        <w:rPr>
          <w:lang w:eastAsia="ru-RU"/>
        </w:rPr>
        <w:t>неприемлемой токсичности</w:t>
      </w:r>
      <w:r w:rsidR="003F18B5" w:rsidRPr="008F1171">
        <w:rPr>
          <w:lang w:eastAsia="ru-RU"/>
        </w:rPr>
        <w:t>.</w:t>
      </w:r>
    </w:p>
    <w:p w14:paraId="2A6108D4" w14:textId="77777777" w:rsidR="00F21A6F" w:rsidRPr="008F1171" w:rsidRDefault="000B3F2E" w:rsidP="00D61785">
      <w:pPr>
        <w:numPr>
          <w:ilvl w:val="0"/>
          <w:numId w:val="4"/>
        </w:numPr>
        <w:contextualSpacing/>
        <w:rPr>
          <w:rFonts w:eastAsia="Times New Roman"/>
          <w:lang w:eastAsia="ru-RU"/>
        </w:rPr>
      </w:pPr>
      <w:r w:rsidRPr="008F1171">
        <w:rPr>
          <w:rFonts w:eastAsia="Times New Roman"/>
          <w:lang w:eastAsia="ru-RU"/>
        </w:rPr>
        <w:t>#</w:t>
      </w:r>
      <w:r w:rsidR="00F21A6F" w:rsidRPr="008F1171">
        <w:rPr>
          <w:rFonts w:eastAsia="Times New Roman"/>
          <w:lang w:eastAsia="ru-RU"/>
        </w:rPr>
        <w:t>Бендамустин</w:t>
      </w:r>
      <w:r w:rsidR="00B90AB1" w:rsidRPr="008F1171">
        <w:rPr>
          <w:rFonts w:eastAsia="Times New Roman"/>
          <w:lang w:eastAsia="ru-RU"/>
        </w:rPr>
        <w:t>**</w:t>
      </w:r>
      <w:r w:rsidR="00F21A6F" w:rsidRPr="008F1171">
        <w:rPr>
          <w:rFonts w:eastAsia="Times New Roman"/>
          <w:lang w:eastAsia="ru-RU"/>
        </w:rPr>
        <w:t xml:space="preserve"> </w:t>
      </w:r>
      <w:r w:rsidR="003F18B5" w:rsidRPr="008F1171">
        <w:rPr>
          <w:rFonts w:eastAsia="Times New Roman"/>
          <w:lang w:eastAsia="ru-RU"/>
        </w:rPr>
        <w:t xml:space="preserve">– </w:t>
      </w:r>
      <w:r w:rsidR="00F21A6F" w:rsidRPr="008F1171">
        <w:rPr>
          <w:rFonts w:eastAsia="Times New Roman"/>
          <w:lang w:eastAsia="ru-RU"/>
        </w:rPr>
        <w:t>90 мг/м</w:t>
      </w:r>
      <w:r w:rsidR="00F21A6F" w:rsidRPr="008F1171">
        <w:rPr>
          <w:rFonts w:eastAsia="Times New Roman"/>
          <w:vertAlign w:val="superscript"/>
          <w:lang w:eastAsia="ru-RU"/>
        </w:rPr>
        <w:t>2</w:t>
      </w:r>
      <w:r w:rsidR="00F21A6F" w:rsidRPr="008F1171">
        <w:rPr>
          <w:rFonts w:eastAsia="Times New Roman"/>
          <w:lang w:eastAsia="ru-RU"/>
        </w:rPr>
        <w:t xml:space="preserve"> в/в кап., </w:t>
      </w:r>
      <w:r w:rsidR="003F18B5" w:rsidRPr="008F1171">
        <w:rPr>
          <w:rFonts w:eastAsia="Times New Roman"/>
          <w:lang w:eastAsia="ru-RU"/>
        </w:rPr>
        <w:t>дни 2–</w:t>
      </w:r>
      <w:r w:rsidR="00F21A6F" w:rsidRPr="008F1171">
        <w:rPr>
          <w:rFonts w:eastAsia="Times New Roman"/>
          <w:lang w:eastAsia="ru-RU"/>
        </w:rPr>
        <w:t>3 цикла 1; дни 1, 2</w:t>
      </w:r>
      <w:r w:rsidR="003F18B5" w:rsidRPr="008F1171">
        <w:rPr>
          <w:rFonts w:eastAsia="Times New Roman"/>
          <w:lang w:eastAsia="ru-RU"/>
        </w:rPr>
        <w:t xml:space="preserve"> циклов 2–</w:t>
      </w:r>
      <w:r w:rsidR="00F21A6F" w:rsidRPr="008F1171">
        <w:rPr>
          <w:rFonts w:eastAsia="Times New Roman"/>
          <w:lang w:eastAsia="ru-RU"/>
        </w:rPr>
        <w:t>6</w:t>
      </w:r>
      <w:r w:rsidR="003F18B5" w:rsidRPr="008F1171">
        <w:rPr>
          <w:rFonts w:eastAsia="Times New Roman"/>
          <w:lang w:eastAsia="ru-RU"/>
        </w:rPr>
        <w:t>.</w:t>
      </w:r>
    </w:p>
    <w:p w14:paraId="679C6D9A" w14:textId="77777777" w:rsidR="00F21A6F" w:rsidRDefault="00F21A6F" w:rsidP="00D61785">
      <w:pPr>
        <w:numPr>
          <w:ilvl w:val="0"/>
          <w:numId w:val="4"/>
        </w:numPr>
        <w:contextualSpacing/>
        <w:rPr>
          <w:rFonts w:eastAsia="Times New Roman"/>
          <w:lang w:eastAsia="ru-RU"/>
        </w:rPr>
      </w:pPr>
      <w:r w:rsidRPr="008F1171">
        <w:rPr>
          <w:rFonts w:eastAsia="Times New Roman"/>
          <w:lang w:eastAsia="ru-RU"/>
        </w:rPr>
        <w:t>Ритуксимаб** –</w:t>
      </w:r>
      <w:r w:rsidR="003F18B5" w:rsidRPr="008F1171">
        <w:rPr>
          <w:rFonts w:eastAsia="Times New Roman"/>
          <w:lang w:eastAsia="ru-RU"/>
        </w:rPr>
        <w:t xml:space="preserve"> </w:t>
      </w:r>
      <w:r w:rsidRPr="008F1171">
        <w:rPr>
          <w:rFonts w:eastAsia="Times New Roman"/>
          <w:lang w:eastAsia="ru-RU"/>
        </w:rPr>
        <w:t>375 мг/м</w:t>
      </w:r>
      <w:r w:rsidRPr="008F1171">
        <w:rPr>
          <w:rFonts w:eastAsia="Times New Roman"/>
          <w:vertAlign w:val="superscript"/>
          <w:lang w:eastAsia="ru-RU"/>
        </w:rPr>
        <w:t>2</w:t>
      </w:r>
      <w:r w:rsidRPr="009600FA">
        <w:rPr>
          <w:rFonts w:eastAsia="Times New Roman"/>
          <w:lang w:eastAsia="ru-RU"/>
        </w:rPr>
        <w:t xml:space="preserve"> в/в кап.</w:t>
      </w:r>
      <w:r w:rsidR="003F18B5">
        <w:rPr>
          <w:rFonts w:eastAsia="Times New Roman"/>
          <w:lang w:eastAsia="ru-RU"/>
        </w:rPr>
        <w:t>,</w:t>
      </w:r>
      <w:r>
        <w:rPr>
          <w:rFonts w:eastAsia="Times New Roman"/>
          <w:lang w:eastAsia="ru-RU"/>
        </w:rPr>
        <w:t xml:space="preserve"> день 1 цикла 1; </w:t>
      </w:r>
      <w:r w:rsidRPr="009600FA">
        <w:rPr>
          <w:rFonts w:eastAsia="Times New Roman"/>
          <w:lang w:eastAsia="ru-RU"/>
        </w:rPr>
        <w:t>500 мг/м</w:t>
      </w:r>
      <w:r w:rsidRPr="009600FA">
        <w:rPr>
          <w:rFonts w:eastAsia="Times New Roman"/>
          <w:vertAlign w:val="superscript"/>
          <w:lang w:eastAsia="ru-RU"/>
        </w:rPr>
        <w:t>2</w:t>
      </w:r>
      <w:r w:rsidRPr="009600FA">
        <w:rPr>
          <w:rFonts w:eastAsia="Times New Roman"/>
          <w:lang w:eastAsia="ru-RU"/>
        </w:rPr>
        <w:t xml:space="preserve"> в/в кап.</w:t>
      </w:r>
      <w:r w:rsidR="00DE7500">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003F18B5">
        <w:rPr>
          <w:rFonts w:eastAsia="Times New Roman"/>
          <w:lang w:eastAsia="ru-RU"/>
        </w:rPr>
        <w:t>, день 1 циклов 2–</w:t>
      </w:r>
      <w:r>
        <w:rPr>
          <w:rFonts w:eastAsia="Times New Roman"/>
          <w:lang w:eastAsia="ru-RU"/>
        </w:rPr>
        <w:t>6</w:t>
      </w:r>
      <w:r w:rsidR="003F18B5">
        <w:rPr>
          <w:rFonts w:eastAsia="Times New Roman"/>
          <w:lang w:eastAsia="ru-RU"/>
        </w:rPr>
        <w:t>.</w:t>
      </w:r>
      <w:r w:rsidR="00DE7500">
        <w:rPr>
          <w:rFonts w:eastAsia="Times New Roman"/>
          <w:lang w:eastAsia="ru-RU"/>
        </w:rPr>
        <w:t xml:space="preserve"> </w:t>
      </w:r>
    </w:p>
    <w:p w14:paraId="77259CCF" w14:textId="1FC17E5C" w:rsidR="00F21A6F" w:rsidRDefault="00F21A6F">
      <w:pPr>
        <w:ind w:left="360"/>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r>
        <w:rPr>
          <w:rFonts w:eastAsia="Times New Roman"/>
          <w:lang w:eastAsia="ru-RU"/>
        </w:rPr>
        <w:t>, всего 6 циклов</w:t>
      </w:r>
      <w:r w:rsidR="003F18B5">
        <w:rPr>
          <w:rFonts w:eastAsia="Times New Roman"/>
          <w:lang w:eastAsia="ru-RU"/>
        </w:rPr>
        <w:t>.</w:t>
      </w:r>
    </w:p>
    <w:p w14:paraId="640AD95E" w14:textId="77777777" w:rsidR="005F5C64" w:rsidRPr="007B72DC" w:rsidRDefault="005F5C64">
      <w:pPr>
        <w:contextualSpacing/>
        <w:rPr>
          <w:rFonts w:eastAsia="Times New Roman"/>
          <w:b/>
          <w:bCs/>
          <w:lang w:eastAsia="ru-RU"/>
        </w:rPr>
      </w:pPr>
      <w:r w:rsidRPr="007B72DC">
        <w:rPr>
          <w:rFonts w:eastAsia="Times New Roman"/>
          <w:b/>
          <w:bCs/>
          <w:lang w:eastAsia="ru-RU"/>
        </w:rPr>
        <w:t>Акалабрутиниб+обинутузумаб **</w:t>
      </w:r>
    </w:p>
    <w:p w14:paraId="0F41D912" w14:textId="77777777" w:rsidR="005F5C64" w:rsidRDefault="005F5C64" w:rsidP="00D61785">
      <w:pPr>
        <w:numPr>
          <w:ilvl w:val="0"/>
          <w:numId w:val="6"/>
        </w:numPr>
        <w:contextualSpacing/>
        <w:rPr>
          <w:rFonts w:eastAsia="Times New Roman"/>
          <w:lang w:eastAsia="ru-RU"/>
        </w:rPr>
      </w:pPr>
      <w:r w:rsidRPr="000C4050">
        <w:rPr>
          <w:rFonts w:eastAsia="Times New Roman"/>
          <w:lang w:eastAsia="ru-RU"/>
        </w:rPr>
        <w:t>Акалабрутиниб</w:t>
      </w:r>
      <w:r>
        <w:rPr>
          <w:rFonts w:eastAsia="Times New Roman"/>
          <w:lang w:eastAsia="ru-RU"/>
        </w:rPr>
        <w:t xml:space="preserve"> –</w:t>
      </w:r>
      <w:r w:rsidRPr="000C4050">
        <w:rPr>
          <w:rFonts w:eastAsia="Times New Roman"/>
          <w:lang w:eastAsia="ru-RU"/>
        </w:rPr>
        <w:t xml:space="preserve"> 100 мг</w:t>
      </w:r>
      <w:r>
        <w:rPr>
          <w:rFonts w:eastAsia="Times New Roman"/>
          <w:lang w:eastAsia="ru-RU"/>
        </w:rPr>
        <w:t xml:space="preserve"> (1 капсула)</w:t>
      </w:r>
      <w:r w:rsidRPr="000C4050">
        <w:rPr>
          <w:rFonts w:eastAsia="Times New Roman"/>
          <w:lang w:eastAsia="ru-RU"/>
        </w:rPr>
        <w:t xml:space="preserve"> внутрь 2 раза в день до прогрессирования или развития непереносимой токсичности.</w:t>
      </w:r>
    </w:p>
    <w:p w14:paraId="6C314CEC" w14:textId="0044CF73" w:rsidR="005F5C64" w:rsidRDefault="00052BBF" w:rsidP="00D61785">
      <w:pPr>
        <w:numPr>
          <w:ilvl w:val="0"/>
          <w:numId w:val="6"/>
        </w:numPr>
        <w:contextualSpacing/>
        <w:rPr>
          <w:rFonts w:eastAsia="Times New Roman"/>
          <w:lang w:eastAsia="ru-RU"/>
        </w:rPr>
      </w:pPr>
      <w:r w:rsidRPr="00851861">
        <w:rPr>
          <w:rFonts w:eastAsia="Times New Roman"/>
          <w:lang w:eastAsia="ru-RU"/>
        </w:rPr>
        <w:t>#</w:t>
      </w:r>
      <w:r w:rsidR="005F5C64" w:rsidRPr="000C4050">
        <w:rPr>
          <w:rFonts w:eastAsia="Times New Roman"/>
          <w:lang w:eastAsia="ru-RU"/>
        </w:rPr>
        <w:t xml:space="preserve">Обинутузумаб** – 100 мг, день 1 цикла </w:t>
      </w:r>
      <w:r w:rsidR="00C62FE1">
        <w:rPr>
          <w:rFonts w:eastAsia="Times New Roman"/>
          <w:lang w:eastAsia="ru-RU"/>
        </w:rPr>
        <w:t>2</w:t>
      </w:r>
      <w:r w:rsidR="005F5C64" w:rsidRPr="000C4050">
        <w:rPr>
          <w:rFonts w:eastAsia="Times New Roman"/>
          <w:lang w:eastAsia="ru-RU"/>
        </w:rPr>
        <w:t xml:space="preserve">; 900 мг день 2 цикла </w:t>
      </w:r>
      <w:r w:rsidR="00C62FE1">
        <w:rPr>
          <w:rFonts w:eastAsia="Times New Roman"/>
          <w:lang w:eastAsia="ru-RU"/>
        </w:rPr>
        <w:t>2</w:t>
      </w:r>
      <w:r w:rsidR="005F5C64" w:rsidRPr="000C4050">
        <w:rPr>
          <w:rFonts w:eastAsia="Times New Roman"/>
          <w:lang w:eastAsia="ru-RU"/>
        </w:rPr>
        <w:t xml:space="preserve">; 1000 мг день 8 цикла </w:t>
      </w:r>
      <w:r w:rsidR="00C62FE1">
        <w:rPr>
          <w:rFonts w:eastAsia="Times New Roman"/>
          <w:lang w:eastAsia="ru-RU"/>
        </w:rPr>
        <w:t>2</w:t>
      </w:r>
      <w:r w:rsidR="005F5C64" w:rsidRPr="000C4050">
        <w:rPr>
          <w:rFonts w:eastAsia="Times New Roman"/>
          <w:lang w:eastAsia="ru-RU"/>
        </w:rPr>
        <w:t xml:space="preserve">; 1000 мг день 15 цикла </w:t>
      </w:r>
      <w:r w:rsidR="00C62FE1">
        <w:rPr>
          <w:rFonts w:eastAsia="Times New Roman"/>
          <w:lang w:eastAsia="ru-RU"/>
        </w:rPr>
        <w:t>2</w:t>
      </w:r>
      <w:r w:rsidR="005F5C64" w:rsidRPr="000C4050">
        <w:rPr>
          <w:rFonts w:eastAsia="Times New Roman"/>
          <w:lang w:eastAsia="ru-RU"/>
        </w:rPr>
        <w:t xml:space="preserve">; 1000 мг день 1 циклов </w:t>
      </w:r>
      <w:r w:rsidR="00C62FE1">
        <w:rPr>
          <w:rFonts w:eastAsia="Times New Roman"/>
          <w:lang w:eastAsia="ru-RU"/>
        </w:rPr>
        <w:t>2</w:t>
      </w:r>
      <w:r w:rsidR="005F5C64" w:rsidRPr="000C4050">
        <w:rPr>
          <w:rFonts w:eastAsia="Times New Roman"/>
          <w:lang w:eastAsia="ru-RU"/>
        </w:rPr>
        <w:t>–</w:t>
      </w:r>
      <w:r w:rsidR="00C62FE1">
        <w:rPr>
          <w:rFonts w:eastAsia="Times New Roman"/>
          <w:lang w:eastAsia="ru-RU"/>
        </w:rPr>
        <w:t>7</w:t>
      </w:r>
      <w:r w:rsidR="005F5C64" w:rsidRPr="000C4050">
        <w:rPr>
          <w:rFonts w:eastAsia="Times New Roman"/>
          <w:lang w:eastAsia="ru-RU"/>
        </w:rPr>
        <w:t>.</w:t>
      </w:r>
    </w:p>
    <w:p w14:paraId="10D7BFC5" w14:textId="488C7AF0" w:rsidR="00C62FE1" w:rsidRPr="00851861" w:rsidRDefault="00C62FE1">
      <w:pPr>
        <w:ind w:left="360"/>
        <w:contextualSpacing/>
        <w:rPr>
          <w:rFonts w:eastAsia="Times New Roman"/>
          <w:lang w:eastAsia="ru-RU"/>
        </w:rPr>
      </w:pPr>
      <w:r w:rsidRPr="00851861">
        <w:rPr>
          <w:rFonts w:eastAsia="Times New Roman"/>
          <w:lang w:eastAsia="ru-RU"/>
        </w:rPr>
        <w:t xml:space="preserve">Лечение возобновляется на 29-й день, всего </w:t>
      </w:r>
      <w:r>
        <w:rPr>
          <w:rFonts w:eastAsia="Times New Roman"/>
          <w:lang w:eastAsia="ru-RU"/>
        </w:rPr>
        <w:t>7</w:t>
      </w:r>
      <w:r w:rsidRPr="00851861">
        <w:rPr>
          <w:rFonts w:eastAsia="Times New Roman"/>
          <w:lang w:eastAsia="ru-RU"/>
        </w:rPr>
        <w:t xml:space="preserve"> циклов.</w:t>
      </w:r>
    </w:p>
    <w:p w14:paraId="78FDB8AB" w14:textId="0F6BA259" w:rsidR="00457002" w:rsidRPr="001F4A9B" w:rsidRDefault="00457002">
      <w:pPr>
        <w:contextualSpacing/>
        <w:rPr>
          <w:rFonts w:eastAsia="Times New Roman"/>
          <w:b/>
          <w:lang w:val="en-US" w:eastAsia="ru-RU"/>
        </w:rPr>
      </w:pPr>
      <w:r>
        <w:rPr>
          <w:rFonts w:eastAsia="Times New Roman"/>
          <w:b/>
          <w:lang w:eastAsia="ru-RU"/>
        </w:rPr>
        <w:t>Венетоклакс</w:t>
      </w:r>
      <w:r w:rsidR="00E0050E" w:rsidRPr="00F6725A">
        <w:rPr>
          <w:b/>
          <w:bCs/>
        </w:rPr>
        <w:t>**</w:t>
      </w:r>
      <w:r>
        <w:rPr>
          <w:rFonts w:eastAsia="Times New Roman"/>
          <w:b/>
          <w:lang w:eastAsia="ru-RU"/>
        </w:rPr>
        <w:t xml:space="preserve"> + ритуксимаб</w:t>
      </w:r>
      <w:r w:rsidR="001F4A9B">
        <w:rPr>
          <w:rFonts w:eastAsia="Times New Roman"/>
          <w:b/>
          <w:lang w:val="en-US" w:eastAsia="ru-RU"/>
        </w:rPr>
        <w:t>**</w:t>
      </w:r>
    </w:p>
    <w:p w14:paraId="38A2618C" w14:textId="2F3FF57E" w:rsidR="001D54F2" w:rsidRPr="00822273" w:rsidRDefault="00457002" w:rsidP="00D61785">
      <w:pPr>
        <w:pStyle w:val="a4"/>
        <w:numPr>
          <w:ilvl w:val="0"/>
          <w:numId w:val="4"/>
        </w:numPr>
        <w:spacing w:before="0"/>
      </w:pPr>
      <w:r w:rsidRPr="0040662F">
        <w:rPr>
          <w:lang w:eastAsia="ru-RU"/>
        </w:rPr>
        <w:t>Венетоклакс</w:t>
      </w:r>
      <w:r w:rsidR="00E0050E" w:rsidRPr="00932BCF">
        <w:t>**</w:t>
      </w:r>
      <w:r w:rsidRPr="0040662F">
        <w:rPr>
          <w:lang w:eastAsia="ru-RU"/>
        </w:rPr>
        <w:t xml:space="preserve"> </w:t>
      </w:r>
      <w:r w:rsidR="003F18B5">
        <w:rPr>
          <w:lang w:eastAsia="ru-RU"/>
        </w:rPr>
        <w:t xml:space="preserve">– </w:t>
      </w:r>
      <w:r w:rsidRPr="0040662F">
        <w:rPr>
          <w:lang w:eastAsia="ru-RU"/>
        </w:rPr>
        <w:t>20 мг/сут (нед. 1), 50 мг/сут (нед. 2), 100 мг</w:t>
      </w:r>
      <w:r w:rsidR="003F18B5">
        <w:rPr>
          <w:lang w:eastAsia="ru-RU"/>
        </w:rPr>
        <w:t>/сут (нед. 3), 200 мг/сут (нед. </w:t>
      </w:r>
      <w:r w:rsidRPr="0040662F">
        <w:rPr>
          <w:lang w:eastAsia="ru-RU"/>
        </w:rPr>
        <w:t xml:space="preserve">4), 400 мг/сут (нед. 5 и далее), </w:t>
      </w:r>
      <w:r w:rsidR="0040662F" w:rsidRPr="0040662F">
        <w:rPr>
          <w:szCs w:val="24"/>
        </w:rPr>
        <w:t>прием в течение 24 мес</w:t>
      </w:r>
      <w:r w:rsidR="003F18B5">
        <w:rPr>
          <w:szCs w:val="24"/>
        </w:rPr>
        <w:t>.</w:t>
      </w:r>
      <w:r w:rsidR="0040662F" w:rsidRPr="0040662F">
        <w:rPr>
          <w:szCs w:val="24"/>
        </w:rPr>
        <w:t xml:space="preserve"> начиная с 1-го дня 1-го цикла лечения ритуксимабом</w:t>
      </w:r>
      <w:r w:rsidR="001F4A9B" w:rsidRPr="00397360">
        <w:rPr>
          <w:szCs w:val="24"/>
        </w:rPr>
        <w:t>**</w:t>
      </w:r>
      <w:r w:rsidR="0040662F" w:rsidRPr="0040662F">
        <w:rPr>
          <w:szCs w:val="24"/>
        </w:rPr>
        <w:t xml:space="preserve">. </w:t>
      </w:r>
    </w:p>
    <w:p w14:paraId="48850137" w14:textId="2E5D567F" w:rsidR="00457002" w:rsidRPr="00822273" w:rsidRDefault="00457002" w:rsidP="00D61785">
      <w:pPr>
        <w:pStyle w:val="a4"/>
        <w:numPr>
          <w:ilvl w:val="0"/>
          <w:numId w:val="4"/>
        </w:numPr>
        <w:spacing w:before="0"/>
      </w:pPr>
      <w:r w:rsidRPr="0040662F">
        <w:rPr>
          <w:lang w:eastAsia="ru-RU"/>
        </w:rPr>
        <w:t>Ритуксимаб** – 375 мг/м</w:t>
      </w:r>
      <w:r w:rsidRPr="0040662F">
        <w:rPr>
          <w:vertAlign w:val="superscript"/>
          <w:lang w:eastAsia="ru-RU"/>
        </w:rPr>
        <w:t>2</w:t>
      </w:r>
      <w:r w:rsidRPr="0040662F">
        <w:rPr>
          <w:lang w:eastAsia="ru-RU"/>
        </w:rPr>
        <w:t xml:space="preserve"> в/в кап. через 1 нед. после достижения дозы венетоклакса</w:t>
      </w:r>
      <w:r w:rsidR="00E0050E" w:rsidRPr="00932BCF">
        <w:t>**</w:t>
      </w:r>
      <w:r w:rsidRPr="0040662F">
        <w:rPr>
          <w:lang w:eastAsia="ru-RU"/>
        </w:rPr>
        <w:t xml:space="preserve"> 400 мг/сут, далее – 500 мг/м</w:t>
      </w:r>
      <w:r w:rsidRPr="0040662F">
        <w:rPr>
          <w:vertAlign w:val="superscript"/>
          <w:lang w:eastAsia="ru-RU"/>
        </w:rPr>
        <w:t>2</w:t>
      </w:r>
      <w:r w:rsidRPr="0040662F">
        <w:rPr>
          <w:lang w:eastAsia="ru-RU"/>
        </w:rPr>
        <w:t xml:space="preserve"> в/в кап.</w:t>
      </w:r>
      <w:r w:rsidR="00DE7500">
        <w:rPr>
          <w:lang w:eastAsia="ru-RU"/>
        </w:rPr>
        <w:t xml:space="preserve"> или </w:t>
      </w:r>
      <w:r w:rsidR="00492BEA">
        <w:rPr>
          <w:lang w:eastAsia="ru-RU"/>
        </w:rPr>
        <w:t xml:space="preserve">1600 </w:t>
      </w:r>
      <w:r w:rsidR="00DE7500">
        <w:rPr>
          <w:lang w:eastAsia="ru-RU"/>
        </w:rPr>
        <w:t>мг п/к</w:t>
      </w:r>
      <w:r w:rsidRPr="0040662F">
        <w:rPr>
          <w:lang w:eastAsia="ru-RU"/>
        </w:rPr>
        <w:t xml:space="preserve"> ежемесячно, всего 6 введений</w:t>
      </w:r>
      <w:r w:rsidR="003F18B5">
        <w:rPr>
          <w:lang w:eastAsia="ru-RU"/>
        </w:rPr>
        <w:t>.</w:t>
      </w:r>
    </w:p>
    <w:p w14:paraId="318C6E27" w14:textId="43B9AF5A" w:rsidR="00FD691F" w:rsidRPr="00822273" w:rsidRDefault="00FD691F">
      <w:pPr>
        <w:jc w:val="left"/>
        <w:rPr>
          <w:b/>
        </w:rPr>
      </w:pPr>
      <w:r w:rsidRPr="00822273">
        <w:rPr>
          <w:b/>
        </w:rPr>
        <w:t>Венетоклакс</w:t>
      </w:r>
      <w:r w:rsidR="00E0050E" w:rsidRPr="00F6725A">
        <w:rPr>
          <w:b/>
          <w:bCs/>
        </w:rPr>
        <w:t>**</w:t>
      </w:r>
      <w:r w:rsidRPr="00822273">
        <w:rPr>
          <w:b/>
        </w:rPr>
        <w:t xml:space="preserve"> + обинутузумаб</w:t>
      </w:r>
      <w:r w:rsidR="00573250">
        <w:rPr>
          <w:b/>
        </w:rPr>
        <w:t>**</w:t>
      </w:r>
    </w:p>
    <w:p w14:paraId="736A9978" w14:textId="5517D4C7" w:rsidR="00612DD7" w:rsidRPr="00822273" w:rsidRDefault="00052BBF" w:rsidP="00D61785">
      <w:pPr>
        <w:pStyle w:val="a4"/>
        <w:numPr>
          <w:ilvl w:val="0"/>
          <w:numId w:val="4"/>
        </w:numPr>
        <w:spacing w:before="0"/>
      </w:pPr>
      <w:r w:rsidRPr="00851861">
        <w:rPr>
          <w:lang w:eastAsia="ru-RU"/>
        </w:rPr>
        <w:t>#</w:t>
      </w:r>
      <w:r w:rsidR="00F075CA" w:rsidRPr="001D54F2">
        <w:rPr>
          <w:lang w:eastAsia="ru-RU"/>
        </w:rPr>
        <w:t>Обинутузумаб</w:t>
      </w:r>
      <w:r w:rsidR="00B90AB1" w:rsidRPr="00B33976">
        <w:rPr>
          <w:lang w:eastAsia="ru-RU"/>
        </w:rPr>
        <w:t>**</w:t>
      </w:r>
      <w:r w:rsidR="00F075CA" w:rsidRPr="001D54F2">
        <w:rPr>
          <w:lang w:eastAsia="ru-RU"/>
        </w:rPr>
        <w:t xml:space="preserve"> </w:t>
      </w:r>
      <w:r w:rsidR="003F18B5">
        <w:rPr>
          <w:lang w:eastAsia="ru-RU"/>
        </w:rPr>
        <w:t xml:space="preserve">– </w:t>
      </w:r>
      <w:r w:rsidR="00F075CA" w:rsidRPr="001D54F2">
        <w:rPr>
          <w:lang w:eastAsia="ru-RU"/>
        </w:rPr>
        <w:t>100 мг</w:t>
      </w:r>
      <w:r w:rsidR="003F18B5">
        <w:rPr>
          <w:lang w:eastAsia="ru-RU"/>
        </w:rPr>
        <w:t>,</w:t>
      </w:r>
      <w:r w:rsidR="00F075CA" w:rsidRPr="001D54F2">
        <w:rPr>
          <w:lang w:eastAsia="ru-RU"/>
        </w:rPr>
        <w:t xml:space="preserve"> </w:t>
      </w:r>
      <w:r w:rsidR="00612DD7" w:rsidRPr="00822273">
        <w:rPr>
          <w:lang w:eastAsia="ru-RU"/>
        </w:rPr>
        <w:t>день 1 цикла 1</w:t>
      </w:r>
      <w:r w:rsidR="003F18B5">
        <w:rPr>
          <w:lang w:eastAsia="ru-RU"/>
        </w:rPr>
        <w:t>;</w:t>
      </w:r>
      <w:r w:rsidR="00F075CA" w:rsidRPr="001D54F2">
        <w:rPr>
          <w:lang w:eastAsia="ru-RU"/>
        </w:rPr>
        <w:t xml:space="preserve"> 900 мг </w:t>
      </w:r>
      <w:r w:rsidR="00612DD7" w:rsidRPr="00822273">
        <w:rPr>
          <w:lang w:eastAsia="ru-RU"/>
        </w:rPr>
        <w:t>день 2 цикла 1</w:t>
      </w:r>
      <w:r w:rsidR="003F18B5">
        <w:rPr>
          <w:lang w:eastAsia="ru-RU"/>
        </w:rPr>
        <w:t>;</w:t>
      </w:r>
      <w:r w:rsidR="00F075CA" w:rsidRPr="001D54F2">
        <w:rPr>
          <w:lang w:eastAsia="ru-RU"/>
        </w:rPr>
        <w:t xml:space="preserve"> </w:t>
      </w:r>
      <w:r w:rsidR="003F18B5">
        <w:rPr>
          <w:lang w:eastAsia="ru-RU"/>
        </w:rPr>
        <w:t>1000 мг день 8 цикла 1; 1000 мг день 15 цикла 1;</w:t>
      </w:r>
      <w:r w:rsidR="00612DD7" w:rsidRPr="00822273">
        <w:rPr>
          <w:lang w:eastAsia="ru-RU"/>
        </w:rPr>
        <w:t xml:space="preserve"> 1000 мг день 1 цикла 2</w:t>
      </w:r>
      <w:r w:rsidR="003F18B5">
        <w:rPr>
          <w:lang w:eastAsia="ru-RU"/>
        </w:rPr>
        <w:t>; 1000 мг день 1 циклов 3–</w:t>
      </w:r>
      <w:r w:rsidR="00612DD7" w:rsidRPr="00822273">
        <w:rPr>
          <w:lang w:eastAsia="ru-RU"/>
        </w:rPr>
        <w:t xml:space="preserve">6. </w:t>
      </w:r>
    </w:p>
    <w:p w14:paraId="5B8E7F7C" w14:textId="487049B6" w:rsidR="00F075CA" w:rsidRPr="00EF640F" w:rsidRDefault="00055701" w:rsidP="00D61785">
      <w:pPr>
        <w:pStyle w:val="a4"/>
        <w:numPr>
          <w:ilvl w:val="0"/>
          <w:numId w:val="4"/>
        </w:numPr>
        <w:spacing w:before="0"/>
      </w:pPr>
      <w:r w:rsidRPr="0008146B">
        <w:rPr>
          <w:lang w:eastAsia="ru-RU"/>
        </w:rPr>
        <w:t>#</w:t>
      </w:r>
      <w:r w:rsidR="00F075CA" w:rsidRPr="0008146B">
        <w:rPr>
          <w:lang w:eastAsia="ru-RU"/>
        </w:rPr>
        <w:t>Венетоклакс</w:t>
      </w:r>
      <w:r w:rsidR="00E0050E" w:rsidRPr="00932BCF">
        <w:t>**</w:t>
      </w:r>
      <w:r w:rsidR="00F075CA" w:rsidRPr="0008146B">
        <w:rPr>
          <w:lang w:eastAsia="ru-RU"/>
        </w:rPr>
        <w:t xml:space="preserve"> </w:t>
      </w:r>
      <w:r w:rsidR="003F18B5" w:rsidRPr="00055701">
        <w:rPr>
          <w:lang w:eastAsia="ru-RU"/>
        </w:rPr>
        <w:t xml:space="preserve">– </w:t>
      </w:r>
      <w:r w:rsidR="00F075CA" w:rsidRPr="00055701">
        <w:rPr>
          <w:lang w:eastAsia="ru-RU"/>
        </w:rPr>
        <w:t>20 мг/сут</w:t>
      </w:r>
      <w:r w:rsidR="003F18B5" w:rsidRPr="00055701">
        <w:rPr>
          <w:lang w:eastAsia="ru-RU"/>
        </w:rPr>
        <w:t>,</w:t>
      </w:r>
      <w:r w:rsidR="00F21A6F" w:rsidRPr="00055701">
        <w:rPr>
          <w:lang w:eastAsia="ru-RU"/>
        </w:rPr>
        <w:t xml:space="preserve"> </w:t>
      </w:r>
      <w:r w:rsidR="00015858" w:rsidRPr="00055701">
        <w:rPr>
          <w:lang w:eastAsia="ru-RU"/>
        </w:rPr>
        <w:t>дни 22–</w:t>
      </w:r>
      <w:r w:rsidR="00D55FB6" w:rsidRPr="00055701">
        <w:rPr>
          <w:lang w:eastAsia="ru-RU"/>
        </w:rPr>
        <w:t>28 цикла 1</w:t>
      </w:r>
      <w:r w:rsidR="00015858" w:rsidRPr="00055701">
        <w:rPr>
          <w:lang w:eastAsia="ru-RU"/>
        </w:rPr>
        <w:t>;</w:t>
      </w:r>
      <w:r w:rsidR="00F075CA" w:rsidRPr="00055701">
        <w:rPr>
          <w:lang w:eastAsia="ru-RU"/>
        </w:rPr>
        <w:t xml:space="preserve"> 50 мг/сут</w:t>
      </w:r>
      <w:r w:rsidR="00D55FB6" w:rsidRPr="00055701">
        <w:rPr>
          <w:lang w:eastAsia="ru-RU"/>
        </w:rPr>
        <w:t xml:space="preserve"> дни 1</w:t>
      </w:r>
      <w:r w:rsidR="00015858" w:rsidRPr="00055701">
        <w:rPr>
          <w:lang w:eastAsia="ru-RU"/>
        </w:rPr>
        <w:t>–</w:t>
      </w:r>
      <w:r w:rsidR="00D55FB6" w:rsidRPr="00055701">
        <w:rPr>
          <w:lang w:eastAsia="ru-RU"/>
        </w:rPr>
        <w:t>7 цикла 2</w:t>
      </w:r>
      <w:r w:rsidR="00015858" w:rsidRPr="00055701">
        <w:rPr>
          <w:lang w:eastAsia="ru-RU"/>
        </w:rPr>
        <w:t>;</w:t>
      </w:r>
      <w:r w:rsidR="00F075CA" w:rsidRPr="00055701">
        <w:rPr>
          <w:lang w:eastAsia="ru-RU"/>
        </w:rPr>
        <w:t xml:space="preserve"> 100 мг/сут</w:t>
      </w:r>
      <w:r w:rsidR="00D55FB6" w:rsidRPr="00822273">
        <w:rPr>
          <w:lang w:eastAsia="ru-RU"/>
        </w:rPr>
        <w:t xml:space="preserve"> дни 8</w:t>
      </w:r>
      <w:r w:rsidR="00015858">
        <w:rPr>
          <w:lang w:eastAsia="ru-RU"/>
        </w:rPr>
        <w:t>–</w:t>
      </w:r>
      <w:r w:rsidR="00D55FB6" w:rsidRPr="00822273">
        <w:rPr>
          <w:lang w:eastAsia="ru-RU"/>
        </w:rPr>
        <w:t>14 цикла 2</w:t>
      </w:r>
      <w:r w:rsidR="00015858">
        <w:rPr>
          <w:lang w:eastAsia="ru-RU"/>
        </w:rPr>
        <w:t>;</w:t>
      </w:r>
      <w:r w:rsidR="00F075CA" w:rsidRPr="001D54F2">
        <w:rPr>
          <w:lang w:eastAsia="ru-RU"/>
        </w:rPr>
        <w:t xml:space="preserve"> 200 мг/сут</w:t>
      </w:r>
      <w:r w:rsidR="003F18B5">
        <w:rPr>
          <w:lang w:eastAsia="ru-RU"/>
        </w:rPr>
        <w:t xml:space="preserve"> дни 15–</w:t>
      </w:r>
      <w:r w:rsidR="00D55FB6" w:rsidRPr="00822273">
        <w:rPr>
          <w:lang w:eastAsia="ru-RU"/>
        </w:rPr>
        <w:t>21 цикла 2</w:t>
      </w:r>
      <w:r w:rsidR="00015858">
        <w:rPr>
          <w:lang w:eastAsia="ru-RU"/>
        </w:rPr>
        <w:t>;</w:t>
      </w:r>
      <w:r w:rsidR="00F075CA" w:rsidRPr="001D54F2">
        <w:rPr>
          <w:lang w:eastAsia="ru-RU"/>
        </w:rPr>
        <w:t xml:space="preserve"> 400 мг/сут</w:t>
      </w:r>
      <w:r w:rsidR="00015858">
        <w:rPr>
          <w:lang w:eastAsia="ru-RU"/>
        </w:rPr>
        <w:t xml:space="preserve"> дни 22–</w:t>
      </w:r>
      <w:r w:rsidR="00D55FB6" w:rsidRPr="00822273">
        <w:rPr>
          <w:lang w:eastAsia="ru-RU"/>
        </w:rPr>
        <w:t xml:space="preserve">28 цикла 2, далее 400 мг/сут в течение 12 </w:t>
      </w:r>
      <w:r w:rsidR="00F075CA" w:rsidRPr="001D54F2">
        <w:rPr>
          <w:szCs w:val="24"/>
        </w:rPr>
        <w:t>мес</w:t>
      </w:r>
      <w:r w:rsidR="00D55FB6" w:rsidRPr="00822273">
        <w:rPr>
          <w:szCs w:val="24"/>
        </w:rPr>
        <w:t>.</w:t>
      </w:r>
    </w:p>
    <w:p w14:paraId="16C89D8B" w14:textId="41B4E4F5" w:rsidR="00EF640F" w:rsidRDefault="00EF640F" w:rsidP="00EF640F"/>
    <w:p w14:paraId="0D250440" w14:textId="658D9579" w:rsidR="00AD4D8E" w:rsidRDefault="00AD4D8E" w:rsidP="00AD4D8E">
      <w:pPr>
        <w:pStyle w:val="2"/>
        <w:rPr>
          <w:rFonts w:eastAsia="Arial Unicode MS"/>
        </w:rPr>
      </w:pPr>
      <w:bookmarkStart w:id="103" w:name="_Toc65068832"/>
      <w:r w:rsidRPr="00C51B77">
        <w:t xml:space="preserve">Приложение </w:t>
      </w:r>
      <w:r>
        <w:t>А3.4</w:t>
      </w:r>
      <w:r w:rsidRPr="00C51B77">
        <w:t xml:space="preserve">. </w:t>
      </w:r>
      <w:r w:rsidRPr="00C51B77">
        <w:rPr>
          <w:rFonts w:eastAsia="Arial Unicode MS"/>
        </w:rPr>
        <w:t>Сопроводительная терапия при введении моноклональных антител у пациентов с ХЛЛ/ЛМЛ.</w:t>
      </w:r>
      <w:bookmarkEnd w:id="103"/>
    </w:p>
    <w:p w14:paraId="138A7EC9"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bCs/>
        </w:rPr>
        <w:t>Моноклональные антитела</w:t>
      </w:r>
      <w:r w:rsidRPr="00144984">
        <w:rPr>
          <w:rFonts w:cs="Times New Roman"/>
        </w:rPr>
        <w:t> — это класс препаратов, которые обладают высокой селективностью в отношении молекулярной мишени, являющейся, как правило, одним из ключевых компонентов патологического процесса. Антитела обладают способностью точно связываться с антигеном благодаря специальным антигенсвязывающим участкам, имеющим к нему высокую специфичность.</w:t>
      </w:r>
    </w:p>
    <w:p w14:paraId="432EAA54"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В последнее десятилетие методы таргетного воздействия на опухолевые клетки при злокачественных новообразованиях крови показали свою высокую эффективность и были включены в многочисленные национальные рекомендации по лечению гемобластозов, как при рецидиве, так и впервой линии терапии.</w:t>
      </w:r>
    </w:p>
    <w:p w14:paraId="70493307"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 xml:space="preserve">Учитывая, что моноклональные антитела представлены белковой молекулой, способной вызывать нежелательные реакции, главным образом инфузионные, разработан алгоритм, позволяющий упразднить побочные явления, связанные с введением терапевтических моноклональных антител. </w:t>
      </w:r>
    </w:p>
    <w:p w14:paraId="43377D91"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 xml:space="preserve">Моноклональные антитела вызывают развитие широкого спектра побочных эффектов: от головной боли и сыпи до анафилаксии и токсидермии. Инфузионные реакции на введение моноклональных антител предположительно имеют в своей основе иммунные механизмы: массивное высвобождение цитокинов и IgE-опосредованные механизмы. </w:t>
      </w:r>
    </w:p>
    <w:p w14:paraId="42D8FE6A"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 xml:space="preserve">Для предупреждения развития инфузионных реакций непосредственно перед введением моноклональных антител рекомендовано проведение премедикации. </w:t>
      </w:r>
    </w:p>
    <w:p w14:paraId="19A50113" w14:textId="77777777" w:rsidR="00AD4D8E" w:rsidRPr="00144984" w:rsidRDefault="00AD4D8E" w:rsidP="00144984">
      <w:pPr>
        <w:pStyle w:val="Normal1"/>
        <w:tabs>
          <w:tab w:val="left" w:pos="0"/>
        </w:tabs>
        <w:spacing w:before="0" w:line="360" w:lineRule="auto"/>
        <w:ind w:firstLine="709"/>
        <w:jc w:val="both"/>
        <w:rPr>
          <w:rFonts w:cs="Times New Roman"/>
          <w:color w:val="auto"/>
        </w:rPr>
      </w:pPr>
      <w:r w:rsidRPr="00144984">
        <w:rPr>
          <w:rFonts w:cs="Times New Roman"/>
          <w:color w:val="auto"/>
        </w:rPr>
        <w:t>При возникновении инфузионных реакций: заложенность носа, кашель, аллергический ринит, озноб, першение в горле, одышка, тошнота, отек, изменение артериального давления – любой степени тяжести, следует немедленно прекратить введение препарата и устранить возникшие симптомы путем введения глюкокортикостероидов, кислорода, бронходилататоров, антигистаминных препаратов, затем решить вопрос о возможности продолжения введения. При развитии тяжелых или труднокупируемых инфузионных реакций проводится осмотр реаниматологом. При развитии анафилактического шока первым вводится адреналин и инфузионная нагрузка с последующим введением дексаметазона или преднизолона.</w:t>
      </w:r>
    </w:p>
    <w:p w14:paraId="2D1C2267" w14:textId="77777777" w:rsidR="00144984" w:rsidRDefault="00144984" w:rsidP="00144984">
      <w:pPr>
        <w:pStyle w:val="Normal1"/>
        <w:tabs>
          <w:tab w:val="left" w:pos="0"/>
        </w:tabs>
        <w:spacing w:before="0" w:line="360" w:lineRule="auto"/>
        <w:ind w:left="0" w:firstLine="0"/>
        <w:jc w:val="both"/>
        <w:rPr>
          <w:rFonts w:cs="Times New Roman"/>
          <w:b/>
        </w:rPr>
      </w:pPr>
    </w:p>
    <w:p w14:paraId="75D9119C" w14:textId="1502E6BB" w:rsidR="00AD4D8E" w:rsidRPr="00144984" w:rsidRDefault="00144984" w:rsidP="00FA61D5">
      <w:pPr>
        <w:pStyle w:val="Normal1"/>
        <w:tabs>
          <w:tab w:val="left" w:pos="0"/>
        </w:tabs>
        <w:spacing w:before="0" w:line="360" w:lineRule="auto"/>
        <w:jc w:val="both"/>
        <w:rPr>
          <w:rFonts w:cs="Times New Roman"/>
          <w:b/>
        </w:rPr>
      </w:pPr>
      <w:r w:rsidRPr="00144984">
        <w:rPr>
          <w:rFonts w:cs="Times New Roman"/>
          <w:b/>
        </w:rPr>
        <w:t>А3.4.1.</w:t>
      </w:r>
      <w:r w:rsidR="00AD4D8E" w:rsidRPr="00144984">
        <w:rPr>
          <w:rFonts w:cs="Times New Roman"/>
          <w:b/>
        </w:rPr>
        <w:t xml:space="preserve">Ритуксимаб </w:t>
      </w:r>
    </w:p>
    <w:p w14:paraId="23857BE5" w14:textId="312B1D47" w:rsidR="00AD4D8E" w:rsidRPr="00144984" w:rsidRDefault="00AD4D8E" w:rsidP="00144984">
      <w:pPr>
        <w:pStyle w:val="Normal1"/>
        <w:tabs>
          <w:tab w:val="left" w:pos="0"/>
        </w:tabs>
        <w:spacing w:before="0" w:line="360" w:lineRule="auto"/>
        <w:ind w:firstLine="709"/>
        <w:jc w:val="both"/>
        <w:rPr>
          <w:rFonts w:cs="Times New Roman"/>
        </w:rPr>
      </w:pPr>
      <w:r w:rsidRPr="00144984">
        <w:rPr>
          <w:rFonts w:cs="Times New Roman"/>
        </w:rPr>
        <w:t>Ритуксимаб — химерное моноклональное антитело мыши/человека, которое специфически связывается с трансмембранным антигеном CD20, расположенным на пре-В-лимфоцитах и зрелых В-лимфоцитах и экспрессирующимся более чем в 95% случаев при В-клеточных неходжкинских лимфомах, но отсутствующим на стволовых гемопоэтических клетках, про-В-клетках, нормальных плазматических клетках, клетках других тканей. CD20 не циркулирует в плазме в виде свободного антигена и поэтому не конкурирует за связывание с антителами. Ритуксимаб связывается с антигеном CD20 на В-лимфоцитах и инициирует иммунологические реакции, опосредующие лизис В-клеток. Возможные механизмы клеточного лизиса включают комплемент-зависимую цитотоксичность, антитело-зависимую клеточную цитотоксичность и индукцию апоптоза.</w:t>
      </w:r>
    </w:p>
    <w:p w14:paraId="52EEBB29" w14:textId="5E0EEECE" w:rsidR="00AD4D8E" w:rsidRPr="00144984" w:rsidRDefault="00AD4D8E" w:rsidP="00144984">
      <w:pPr>
        <w:pStyle w:val="Normal1"/>
        <w:tabs>
          <w:tab w:val="left" w:pos="0"/>
        </w:tabs>
        <w:spacing w:before="0" w:line="360" w:lineRule="auto"/>
        <w:ind w:firstLine="709"/>
        <w:jc w:val="both"/>
        <w:rPr>
          <w:rFonts w:cs="Times New Roman"/>
        </w:rPr>
      </w:pPr>
      <w:r w:rsidRPr="00144984">
        <w:rPr>
          <w:rFonts w:cs="Times New Roman"/>
        </w:rPr>
        <w:t xml:space="preserve">Введение ритуксимаба может сопровождаться инфузионными реакциями: </w:t>
      </w:r>
      <w:r w:rsidRPr="00144984">
        <w:t>озноб, слабость, одышка, диспепсия, тошнота, сыпь, артериальная гипотензия или гипертензия, лихорадка, зуд, крапивница, раздражение глотки, ринит, тахикардия, рвота, боли, признаки синдрома лизиса опухоли.</w:t>
      </w:r>
    </w:p>
    <w:p w14:paraId="2B8EEBDD" w14:textId="77777777" w:rsidR="00AD4D8E" w:rsidRPr="005C667A" w:rsidRDefault="00AD4D8E" w:rsidP="00144984">
      <w:pPr>
        <w:pStyle w:val="Normal1"/>
        <w:tabs>
          <w:tab w:val="left" w:pos="0"/>
        </w:tabs>
        <w:spacing w:before="0" w:line="360" w:lineRule="auto"/>
        <w:ind w:firstLine="709"/>
        <w:jc w:val="both"/>
        <w:rPr>
          <w:rFonts w:cs="Times New Roman"/>
          <w:bCs/>
          <w:i/>
          <w:iCs/>
          <w:u w:val="single"/>
        </w:rPr>
      </w:pPr>
      <w:r w:rsidRPr="005C667A">
        <w:rPr>
          <w:rFonts w:cs="Times New Roman"/>
          <w:bCs/>
          <w:i/>
          <w:iCs/>
          <w:u w:val="single"/>
        </w:rPr>
        <w:t>Способ применения и дозы препарата ритуксимаб:</w:t>
      </w:r>
    </w:p>
    <w:p w14:paraId="24FB3A34" w14:textId="77777777" w:rsidR="00AD4D8E" w:rsidRPr="005C667A" w:rsidRDefault="00AD4D8E" w:rsidP="00D61785">
      <w:pPr>
        <w:pStyle w:val="a4"/>
        <w:numPr>
          <w:ilvl w:val="0"/>
          <w:numId w:val="45"/>
        </w:numPr>
        <w:tabs>
          <w:tab w:val="left" w:pos="0"/>
        </w:tabs>
        <w:spacing w:before="0"/>
        <w:ind w:firstLine="709"/>
        <w:contextualSpacing/>
        <w:rPr>
          <w:bCs/>
          <w:szCs w:val="24"/>
          <w:u w:val="single"/>
          <w:lang w:eastAsia="ru-RU"/>
        </w:rPr>
      </w:pPr>
      <w:r w:rsidRPr="005C667A">
        <w:rPr>
          <w:bCs/>
          <w:szCs w:val="24"/>
          <w:u w:val="single"/>
          <w:lang w:eastAsia="ru-RU"/>
        </w:rPr>
        <w:t xml:space="preserve">Внутривенно: </w:t>
      </w:r>
    </w:p>
    <w:p w14:paraId="54F4AA37" w14:textId="20D47D84" w:rsidR="00AD4D8E" w:rsidRPr="00144984" w:rsidRDefault="00AD4D8E" w:rsidP="00144984">
      <w:pPr>
        <w:tabs>
          <w:tab w:val="left" w:pos="0"/>
        </w:tabs>
        <w:ind w:firstLine="709"/>
        <w:rPr>
          <w:szCs w:val="24"/>
          <w:lang w:eastAsia="ru-RU"/>
        </w:rPr>
      </w:pPr>
      <w:r w:rsidRPr="00144984">
        <w:rPr>
          <w:szCs w:val="24"/>
          <w:lang w:eastAsia="ru-RU"/>
        </w:rPr>
        <w:t>Стандартная дозировка препарата на разовое введение составляет 375 мг/м</w:t>
      </w:r>
      <w:r w:rsidRPr="00144984">
        <w:rPr>
          <w:szCs w:val="24"/>
          <w:vertAlign w:val="superscript"/>
          <w:lang w:eastAsia="ru-RU"/>
        </w:rPr>
        <w:t>2</w:t>
      </w:r>
      <w:r w:rsidRPr="00144984">
        <w:rPr>
          <w:szCs w:val="24"/>
          <w:lang w:eastAsia="ru-RU"/>
        </w:rPr>
        <w:t>. Необходимое количество препарата набирают в асептических условиях и разводят до расчетной концентрации (1–4 мг/мл) в инфузионном флаконе (пакете) с 0,9% раствором натрия хлорида для инъекции или 5% раствором декстрозы (растворы должны быть стерильными и апирогенными). Приготовленный инфузионный раствор стабилен в течение 12 ч при комнатной температуре или в течение не более 24 ч при температуре от 2 до 8 °C. Препарат вводят внутривенно, инфузионно (медленно), через отдельный катетер.   Препарат нельзя вводить в/в болюсно или в виде в/в инъекций.</w:t>
      </w:r>
    </w:p>
    <w:p w14:paraId="4932EB34" w14:textId="77777777" w:rsidR="00AD4D8E" w:rsidRPr="00144984" w:rsidRDefault="00AD4D8E" w:rsidP="00144984">
      <w:pPr>
        <w:tabs>
          <w:tab w:val="left" w:pos="0"/>
        </w:tabs>
        <w:ind w:firstLine="709"/>
        <w:rPr>
          <w:szCs w:val="24"/>
          <w:lang w:eastAsia="ru-RU"/>
        </w:rPr>
      </w:pPr>
      <w:r w:rsidRPr="00144984">
        <w:rPr>
          <w:szCs w:val="24"/>
          <w:lang w:eastAsia="ru-RU"/>
        </w:rPr>
        <w:t>Рекомендуемая начальная скорость первой инфузии — 50 мг/ч, в дальнейшем ее можно увеличивать на 50 мг/ч каждые 30 мин, доводя до максимальной скорости — 400 мг/ч. Последующие инфузии можно начинать со скорости 100 мг/ч и увеличивать ее на 100 мг/ч каждые 30 мин до максимальной скорости 400 мг/ч.</w:t>
      </w:r>
    </w:p>
    <w:p w14:paraId="417600F5" w14:textId="2B5A57D2" w:rsidR="00AD4D8E" w:rsidRPr="00144984" w:rsidRDefault="00AD4D8E" w:rsidP="00144984">
      <w:pPr>
        <w:tabs>
          <w:tab w:val="left" w:pos="0"/>
        </w:tabs>
        <w:ind w:firstLine="709"/>
        <w:rPr>
          <w:szCs w:val="24"/>
        </w:rPr>
      </w:pPr>
      <w:r w:rsidRPr="00144984">
        <w:rPr>
          <w:szCs w:val="24"/>
          <w:lang w:eastAsia="ru-RU"/>
        </w:rPr>
        <w:t xml:space="preserve">Перед каждой инфузией ритуксимаба за 30 – 60 мин до введения необходимо проводить премедикацию (анальгетик/антипиретик, например парацетамол или </w:t>
      </w:r>
      <w:r w:rsidRPr="00144984">
        <w:rPr>
          <w:szCs w:val="24"/>
        </w:rPr>
        <w:t>кетопрофен</w:t>
      </w:r>
      <w:r w:rsidRPr="00144984">
        <w:rPr>
          <w:szCs w:val="24"/>
          <w:lang w:eastAsia="ru-RU"/>
        </w:rPr>
        <w:t>; антигистаминный препарат, например дифенгидрамин или клемастин; глюкокортикоид, например, дексаметазон).</w:t>
      </w:r>
      <w:r w:rsidRPr="00144984">
        <w:rPr>
          <w:szCs w:val="24"/>
        </w:rPr>
        <w:t xml:space="preserve"> Стандартной премедикацией является введение кетопрофен 100 мг в/в капельно на 100 мл физ.</w:t>
      </w:r>
      <w:r w:rsidR="005C667A">
        <w:rPr>
          <w:szCs w:val="24"/>
        </w:rPr>
        <w:t xml:space="preserve"> </w:t>
      </w:r>
      <w:r w:rsidRPr="00144984">
        <w:rPr>
          <w:szCs w:val="24"/>
        </w:rPr>
        <w:t xml:space="preserve">раствора + </w:t>
      </w:r>
      <w:r w:rsidRPr="00144984">
        <w:rPr>
          <w:szCs w:val="24"/>
          <w:lang w:eastAsia="ru-RU"/>
        </w:rPr>
        <w:t>клемастин</w:t>
      </w:r>
      <w:r w:rsidRPr="00144984">
        <w:rPr>
          <w:szCs w:val="24"/>
        </w:rPr>
        <w:t xml:space="preserve"> 2 мг в/в капельно на 100 мл физ.</w:t>
      </w:r>
      <w:r w:rsidR="00FA61D5">
        <w:rPr>
          <w:szCs w:val="24"/>
        </w:rPr>
        <w:t xml:space="preserve"> </w:t>
      </w:r>
      <w:r w:rsidRPr="00144984">
        <w:rPr>
          <w:szCs w:val="24"/>
        </w:rPr>
        <w:t>раствора + дексаметазон 8 мг в/в капельно на 50 мл физ.раствора.</w:t>
      </w:r>
    </w:p>
    <w:p w14:paraId="670F9363" w14:textId="3102B95F" w:rsidR="00AD4D8E" w:rsidRPr="00144984" w:rsidRDefault="00AD4D8E" w:rsidP="00144984">
      <w:pPr>
        <w:tabs>
          <w:tab w:val="left" w:pos="0"/>
        </w:tabs>
        <w:ind w:firstLine="709"/>
        <w:rPr>
          <w:szCs w:val="24"/>
        </w:rPr>
      </w:pPr>
      <w:r w:rsidRPr="00144984">
        <w:rPr>
          <w:szCs w:val="24"/>
        </w:rPr>
        <w:t>У большинства больных в ходе первой инфузии отмечается инфузионный симптомокомплекс от легкой до умеренной степени выраженности, заключающийся в появлении лихорадки и озноба/дрожи. Другими часто наблюдающимися инфузионными симптомами являются тошнота, зуд, ангионевротический отек, астения, гипотензия, головная боль, бронхоспазм, раздражение в горле, ринит, крапивница, сыпь, рвота, миалгия, головокружение, гипертензия. Как правило, эти реакции возникают в пределах 30–120 мин после начала первой инфузии и исчезают после замедления или прерывания введения препарата и проведения поддерживающих мероприятий (</w:t>
      </w:r>
      <w:r w:rsidRPr="00144984">
        <w:rPr>
          <w:rStyle w:val="sokr"/>
          <w:szCs w:val="24"/>
        </w:rPr>
        <w:t>в т.</w:t>
      </w:r>
      <w:r w:rsidR="00FA61D5">
        <w:rPr>
          <w:rStyle w:val="sokr"/>
          <w:szCs w:val="24"/>
        </w:rPr>
        <w:t> </w:t>
      </w:r>
      <w:r w:rsidRPr="00144984">
        <w:rPr>
          <w:rStyle w:val="sokr"/>
          <w:szCs w:val="24"/>
        </w:rPr>
        <w:t>ч.</w:t>
      </w:r>
      <w:r w:rsidRPr="00144984">
        <w:rPr>
          <w:szCs w:val="24"/>
        </w:rPr>
        <w:t xml:space="preserve"> </w:t>
      </w:r>
      <w:r w:rsidRPr="00144984">
        <w:rPr>
          <w:rStyle w:val="sokr"/>
          <w:szCs w:val="24"/>
        </w:rPr>
        <w:t>в/в</w:t>
      </w:r>
      <w:r w:rsidRPr="00144984">
        <w:rPr>
          <w:szCs w:val="24"/>
        </w:rPr>
        <w:t xml:space="preserve"> введений физиологического раствора, клемастина/ дифенгидрамина, кетонала/парацетамола). Легкие или умеренно выраженные реакции могут быть устранены уменьшением скорости введения, которую можно вновь увеличить после исчезновения симптоматики. Пациентам, у которых развились инфузионные реакции 1-3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ритуксимаба и оказать необходимую экстренную помощь.</w:t>
      </w:r>
    </w:p>
    <w:p w14:paraId="5B963BBE" w14:textId="77777777" w:rsidR="00AD4D8E" w:rsidRPr="00144984" w:rsidRDefault="00AD4D8E" w:rsidP="00144984">
      <w:pPr>
        <w:tabs>
          <w:tab w:val="left" w:pos="0"/>
        </w:tabs>
        <w:ind w:firstLine="709"/>
        <w:rPr>
          <w:szCs w:val="24"/>
        </w:rPr>
      </w:pPr>
      <w:r w:rsidRPr="00144984">
        <w:rPr>
          <w:szCs w:val="24"/>
        </w:rPr>
        <w:t>В связи с опасностью развития гипотензии рекомендуется отмена антигипертензивных препаратов за 12 ч до начала и на протяжении всего времени инфузии ритуксимаба.</w:t>
      </w:r>
    </w:p>
    <w:p w14:paraId="2D7ECEC0" w14:textId="77777777" w:rsidR="00AD4D8E" w:rsidRPr="005C667A" w:rsidRDefault="00AD4D8E" w:rsidP="00D61785">
      <w:pPr>
        <w:pStyle w:val="a4"/>
        <w:numPr>
          <w:ilvl w:val="0"/>
          <w:numId w:val="45"/>
        </w:numPr>
        <w:tabs>
          <w:tab w:val="left" w:pos="0"/>
        </w:tabs>
        <w:spacing w:before="0"/>
        <w:ind w:firstLine="709"/>
        <w:contextualSpacing/>
        <w:rPr>
          <w:bCs/>
          <w:szCs w:val="24"/>
          <w:u w:val="single"/>
          <w:lang w:eastAsia="ru-RU"/>
        </w:rPr>
      </w:pPr>
      <w:r w:rsidRPr="005C667A">
        <w:rPr>
          <w:bCs/>
          <w:szCs w:val="24"/>
          <w:u w:val="single"/>
          <w:lang w:eastAsia="ru-RU"/>
        </w:rPr>
        <w:t>Подкожно</w:t>
      </w:r>
    </w:p>
    <w:p w14:paraId="74CE76B6" w14:textId="3292FE67" w:rsidR="00AD4D8E" w:rsidRPr="00144984" w:rsidRDefault="00AD4D8E" w:rsidP="00144984">
      <w:pPr>
        <w:tabs>
          <w:tab w:val="left" w:pos="0"/>
        </w:tabs>
        <w:ind w:firstLine="709"/>
        <w:rPr>
          <w:szCs w:val="24"/>
          <w:lang w:eastAsia="ru-RU"/>
        </w:rPr>
      </w:pPr>
      <w:r w:rsidRPr="00144984">
        <w:rPr>
          <w:szCs w:val="24"/>
        </w:rPr>
        <w:t>Ритуксимаб в лекарственной форме «раствор для подкожного введения» в дозировке 1400</w:t>
      </w:r>
      <w:r w:rsidR="005C667A">
        <w:rPr>
          <w:szCs w:val="24"/>
        </w:rPr>
        <w:t xml:space="preserve"> </w:t>
      </w:r>
      <w:r w:rsidRPr="00144984">
        <w:rPr>
          <w:szCs w:val="24"/>
        </w:rPr>
        <w:t>мг может применяться после внутривенного ведения полной  первой дозы препараты, в том числе у пациентов с затрудненным венозным доступом. Игла для подкожного введения должна быть присоединена к шприцу непосредственно перед введением препарата для предотвращения возможной закупорки иглы. Препарат вводится в течение 5 минут подкожно в переднюю брюшную стенку, исключая места гематом, уплотнений, повышенной чувствительности, покраснений, родимые пятна, ткани рубцов. В случае прерывания инъекции ее можно возобновить в том же самом месте или, при необходимости, изменить место инъекции. Препарат в лекарственной форме «раствор для подкожного введения» и другие препараты, также предназначенные для п/к введения, по возможности, следует вводить в разные места. Перед каждым применением препарата необходимо проводить премедикацию (анальгетик/антипиретик, например, парацетамол/кетопрофен; антигистаминный препарат, например, дифенгидрамин/клемастин). Если препарат применяется не в комбинации с химиотерапией, содержащей глюкокортикостероиды, то в состав премедикации также входят глюкокортикостероиды.</w:t>
      </w:r>
    </w:p>
    <w:p w14:paraId="2FAD1197" w14:textId="77777777" w:rsidR="00AD4D8E" w:rsidRPr="00144984" w:rsidRDefault="00AD4D8E" w:rsidP="00144984">
      <w:pPr>
        <w:tabs>
          <w:tab w:val="left" w:pos="0"/>
        </w:tabs>
        <w:ind w:firstLine="709"/>
        <w:rPr>
          <w:szCs w:val="24"/>
        </w:rPr>
      </w:pPr>
      <w:r w:rsidRPr="00144984">
        <w:rPr>
          <w:b/>
          <w:szCs w:val="24"/>
          <w:lang w:eastAsia="ru-RU"/>
        </w:rPr>
        <w:tab/>
      </w:r>
      <w:r w:rsidRPr="00144984">
        <w:rPr>
          <w:szCs w:val="24"/>
        </w:rPr>
        <w:t xml:space="preserve"> </w:t>
      </w:r>
    </w:p>
    <w:p w14:paraId="1D888FDF" w14:textId="6E3A69B8" w:rsidR="00AD4D8E" w:rsidRPr="00144984" w:rsidRDefault="00144984" w:rsidP="00FA61D5">
      <w:pPr>
        <w:rPr>
          <w:b/>
          <w:color w:val="FF0000"/>
          <w:szCs w:val="24"/>
          <w:lang w:eastAsia="ru-RU"/>
        </w:rPr>
      </w:pPr>
      <w:r w:rsidRPr="00144984">
        <w:rPr>
          <w:b/>
          <w:szCs w:val="24"/>
        </w:rPr>
        <w:t>А3.4.2</w:t>
      </w:r>
      <w:r w:rsidR="00FA61D5">
        <w:rPr>
          <w:b/>
          <w:szCs w:val="24"/>
        </w:rPr>
        <w:t>.</w:t>
      </w:r>
      <w:r w:rsidRPr="00144984">
        <w:rPr>
          <w:b/>
          <w:szCs w:val="24"/>
        </w:rPr>
        <w:t xml:space="preserve"> </w:t>
      </w:r>
      <w:r w:rsidR="00AD4D8E" w:rsidRPr="00144984">
        <w:rPr>
          <w:b/>
          <w:szCs w:val="24"/>
        </w:rPr>
        <w:t>Обинутузумаб</w:t>
      </w:r>
    </w:p>
    <w:p w14:paraId="1B041277" w14:textId="6E4DD73A" w:rsidR="00AD4D8E" w:rsidRPr="00144984" w:rsidRDefault="00AD4D8E" w:rsidP="00144984">
      <w:pPr>
        <w:ind w:firstLine="709"/>
        <w:rPr>
          <w:szCs w:val="24"/>
        </w:rPr>
      </w:pPr>
      <w:r w:rsidRPr="00144984">
        <w:rPr>
          <w:szCs w:val="24"/>
        </w:rPr>
        <w:t>Обинутузумаб является рекомбинантным гуманизированным моноклональным антителом II типа с модифицированной схемой гликозилирования, принадлежащее к классу IgG1 и обладающее специфичностью к антигену CD20. Обинутузумаб избирательно взаимодействует с внеклеточным участком трансмембранного антигена CD20, расположенного на поверхности нормальных и опухолевых зрелых В-лимфоцитов и их предшественников, при этом не связывается со стволовыми гемопоэтическими клетками, про-В-лимфоцитами, плазматическими клетками, а также другими нормальными тканями. Благодаря модификации схемы гликозилирования Fc-фрагмента, обинутузумаб обладает повышенным сродством к FcγRIII-рецепторам на поверхности эффекторных клеток иммунной системы, в частности натуральных киллеров, макрофагов и моноцитов, по сравнению с антителами, не прошедшими такую модификацию. Обинутузумаб напрямую индуцирует гибель клеток, опосредует антителозависимую клеточную цитотоксичность (АЗКЦ) и антителозависимый клеточный фагоцитоз (АЗКФ) путем привлечения FcγRIII-положительных эффекторных клеток иммунной системы. По сравнению с анти-CD20-антителами I типа, обинутузумаб обладает повышенной способностью к прямой индукции гибели клеток на фоне пониженной способности вызывать комплементзависимую цитотоксичность, что проявляется в более выраженном истощении пула В-клеток и повышенной противоопухолевой активности.</w:t>
      </w:r>
    </w:p>
    <w:p w14:paraId="06451868" w14:textId="77777777" w:rsidR="00AD4D8E" w:rsidRPr="005C667A" w:rsidRDefault="00AD4D8E" w:rsidP="00144984">
      <w:pPr>
        <w:ind w:firstLine="709"/>
        <w:rPr>
          <w:rFonts w:eastAsia="Times New Roman"/>
          <w:i/>
          <w:iCs/>
          <w:color w:val="333333"/>
          <w:szCs w:val="24"/>
          <w:u w:val="single"/>
          <w:lang w:eastAsia="ru-RU"/>
        </w:rPr>
      </w:pPr>
      <w:r w:rsidRPr="005C667A">
        <w:rPr>
          <w:rFonts w:eastAsia="Times New Roman"/>
          <w:i/>
          <w:iCs/>
          <w:color w:val="333333"/>
          <w:szCs w:val="24"/>
          <w:u w:val="single"/>
          <w:lang w:eastAsia="ru-RU"/>
        </w:rPr>
        <w:t>Инструкция по приготовлению раствора для инфузий</w:t>
      </w:r>
    </w:p>
    <w:p w14:paraId="23C5F199" w14:textId="77777777" w:rsidR="00AD4D8E" w:rsidRPr="00144984" w:rsidRDefault="00AD4D8E" w:rsidP="00144984">
      <w:pPr>
        <w:ind w:firstLine="709"/>
        <w:rPr>
          <w:rFonts w:eastAsia="Times New Roman"/>
          <w:color w:val="333333"/>
          <w:szCs w:val="24"/>
          <w:lang w:eastAsia="ru-RU"/>
        </w:rPr>
      </w:pPr>
      <w:r w:rsidRPr="00144984">
        <w:rPr>
          <w:rFonts w:eastAsia="Times New Roman"/>
          <w:iCs/>
          <w:color w:val="333333"/>
          <w:szCs w:val="24"/>
          <w:lang w:eastAsia="ru-RU"/>
        </w:rPr>
        <w:t xml:space="preserve">Для введения первой дозы обинутузумаба 1000 мг в первом цикле терапии </w:t>
      </w:r>
      <w:r w:rsidRPr="00144984">
        <w:rPr>
          <w:rFonts w:eastAsia="Times New Roman"/>
          <w:color w:val="333333"/>
          <w:szCs w:val="24"/>
          <w:lang w:eastAsia="ru-RU"/>
        </w:rPr>
        <w:t xml:space="preserve">рекомендуется использовать 2 инфузионных пакета разного размера, что позволит различать дозу 100 мг, предназначенную для введения в цикле 1 в день 1 и дозу 900 мг для введения в цикле 1 в тот же день, или в день 2. Для этого из флакона следует отобрать 40 мл концентрата препарата; ввести 4 мл концентрата в инфузионный пакет объемом 100 мл, а оставшиеся 36 мл концентрата - в инфузионный пакет объемом 250 мл, содержащий стерильный апирогенный 0.9% раствор натрия хлорида. Промаркировать каждый инфузионный пакет. </w:t>
      </w:r>
    </w:p>
    <w:p w14:paraId="7BD24DAD" w14:textId="77777777" w:rsidR="00AD4D8E" w:rsidRPr="00144984" w:rsidRDefault="00AD4D8E" w:rsidP="00144984">
      <w:pPr>
        <w:ind w:firstLine="709"/>
        <w:rPr>
          <w:rFonts w:eastAsia="Times New Roman"/>
          <w:color w:val="333333"/>
          <w:szCs w:val="24"/>
          <w:lang w:eastAsia="ru-RU"/>
        </w:rPr>
      </w:pPr>
      <w:r w:rsidRPr="00144984">
        <w:rPr>
          <w:rFonts w:eastAsia="Times New Roman"/>
          <w:color w:val="333333"/>
          <w:szCs w:val="24"/>
          <w:lang w:eastAsia="ru-RU"/>
        </w:rPr>
        <w:t>В дальнейшем при повторном применении вводится 1000 мг препарата одномоментно (см. (см. таб. 2).</w:t>
      </w:r>
    </w:p>
    <w:p w14:paraId="4DFAD08C" w14:textId="37A0171C" w:rsidR="00AD4D8E" w:rsidRPr="00FA61D5" w:rsidRDefault="00AD4D8E" w:rsidP="00144984">
      <w:pPr>
        <w:ind w:firstLine="709"/>
        <w:rPr>
          <w:rFonts w:eastAsia="Times New Roman"/>
          <w:bCs/>
          <w:color w:val="333333"/>
          <w:szCs w:val="24"/>
          <w:lang w:eastAsia="ru-RU"/>
        </w:rPr>
      </w:pPr>
      <w:r w:rsidRPr="00FA61D5">
        <w:rPr>
          <w:rFonts w:eastAsia="Times New Roman"/>
          <w:bCs/>
          <w:color w:val="333333"/>
          <w:szCs w:val="24"/>
          <w:lang w:eastAsia="ru-RU"/>
        </w:rPr>
        <w:t>Таблица</w:t>
      </w:r>
      <w:r w:rsidR="005C667A" w:rsidRPr="00FA61D5">
        <w:rPr>
          <w:rFonts w:eastAsia="Times New Roman"/>
          <w:bCs/>
          <w:color w:val="333333"/>
          <w:szCs w:val="24"/>
          <w:lang w:eastAsia="ru-RU"/>
        </w:rPr>
        <w:t xml:space="preserve"> А3.4.1</w:t>
      </w:r>
      <w:r w:rsidRPr="00FA61D5">
        <w:rPr>
          <w:rFonts w:eastAsia="Times New Roman"/>
          <w:bCs/>
          <w:color w:val="333333"/>
          <w:szCs w:val="24"/>
          <w:lang w:eastAsia="ru-RU"/>
        </w:rPr>
        <w:t>. Доза обинутузумаба и объем инфузии.</w:t>
      </w:r>
    </w:p>
    <w:tbl>
      <w:tblPr>
        <w:tblW w:w="4325" w:type="pct"/>
        <w:tblInd w:w="6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6"/>
        <w:gridCol w:w="1913"/>
        <w:gridCol w:w="1950"/>
      </w:tblGrid>
      <w:tr w:rsidR="00AD4D8E" w:rsidRPr="005254A9" w14:paraId="4E87E769" w14:textId="77777777" w:rsidTr="00714673">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A1F5783" w14:textId="77777777" w:rsidR="00AD4D8E" w:rsidRPr="005254A9" w:rsidRDefault="00AD4D8E" w:rsidP="00714673">
            <w:pPr>
              <w:rPr>
                <w:rFonts w:eastAsia="Times New Roman"/>
                <w:color w:val="333333"/>
                <w:sz w:val="20"/>
                <w:szCs w:val="20"/>
                <w:lang w:eastAsia="ru-RU"/>
              </w:rPr>
            </w:pPr>
            <w:r w:rsidRPr="005254A9">
              <w:rPr>
                <w:rFonts w:eastAsia="Times New Roman"/>
                <w:b/>
                <w:bCs/>
                <w:color w:val="333333"/>
                <w:sz w:val="20"/>
                <w:szCs w:val="20"/>
                <w:lang w:eastAsia="ru-RU"/>
              </w:rPr>
              <w:t>Доза обинутузумаба, предназначенная для введения</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F6D0F77" w14:textId="77777777" w:rsidR="00AD4D8E" w:rsidRPr="005254A9" w:rsidRDefault="00AD4D8E" w:rsidP="00714673">
            <w:pPr>
              <w:rPr>
                <w:rFonts w:eastAsia="Times New Roman"/>
                <w:color w:val="333333"/>
                <w:sz w:val="20"/>
                <w:szCs w:val="20"/>
                <w:lang w:eastAsia="ru-RU"/>
              </w:rPr>
            </w:pPr>
            <w:r w:rsidRPr="005254A9">
              <w:rPr>
                <w:rFonts w:eastAsia="Times New Roman"/>
                <w:b/>
                <w:bCs/>
                <w:color w:val="333333"/>
                <w:sz w:val="20"/>
                <w:szCs w:val="20"/>
                <w:lang w:eastAsia="ru-RU"/>
              </w:rPr>
              <w:t>Необходимое количество</w:t>
            </w:r>
            <w:r w:rsidRPr="005254A9">
              <w:rPr>
                <w:rFonts w:eastAsia="Times New Roman"/>
                <w:b/>
                <w:bCs/>
                <w:color w:val="333333"/>
                <w:sz w:val="20"/>
                <w:szCs w:val="20"/>
                <w:lang w:eastAsia="ru-RU"/>
              </w:rPr>
              <w:br/>
              <w:t xml:space="preserve">концентрата препарата </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5F6F7A8" w14:textId="77777777" w:rsidR="00AD4D8E" w:rsidRPr="005254A9" w:rsidRDefault="00AD4D8E" w:rsidP="00714673">
            <w:pPr>
              <w:rPr>
                <w:rFonts w:eastAsia="Times New Roman"/>
                <w:color w:val="333333"/>
                <w:sz w:val="20"/>
                <w:szCs w:val="20"/>
                <w:lang w:eastAsia="ru-RU"/>
              </w:rPr>
            </w:pPr>
            <w:r w:rsidRPr="005254A9">
              <w:rPr>
                <w:rFonts w:eastAsia="Times New Roman"/>
                <w:b/>
                <w:bCs/>
                <w:color w:val="333333"/>
                <w:sz w:val="20"/>
                <w:szCs w:val="20"/>
                <w:lang w:eastAsia="ru-RU"/>
              </w:rPr>
              <w:t>Объем</w:t>
            </w:r>
            <w:r w:rsidRPr="005254A9">
              <w:rPr>
                <w:rFonts w:eastAsia="Times New Roman"/>
                <w:b/>
                <w:bCs/>
                <w:color w:val="333333"/>
                <w:sz w:val="20"/>
                <w:szCs w:val="20"/>
                <w:lang w:eastAsia="ru-RU"/>
              </w:rPr>
              <w:br/>
              <w:t>инфузионного пакета</w:t>
            </w:r>
          </w:p>
        </w:tc>
      </w:tr>
      <w:tr w:rsidR="00AD4D8E" w:rsidRPr="00050B13" w14:paraId="684FCA9F" w14:textId="77777777" w:rsidTr="00714673">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EC578E4"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8BBA331"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4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170328B"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 мл</w:t>
            </w:r>
          </w:p>
        </w:tc>
      </w:tr>
      <w:tr w:rsidR="00AD4D8E" w:rsidRPr="00050B13" w14:paraId="72549274" w14:textId="77777777" w:rsidTr="00714673">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81D2494"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900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1113467"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36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C14502D"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250 мл</w:t>
            </w:r>
          </w:p>
        </w:tc>
      </w:tr>
      <w:tr w:rsidR="00AD4D8E" w:rsidRPr="00050B13" w14:paraId="22E8F4E1" w14:textId="77777777" w:rsidTr="00714673">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183709D"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A841646"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40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85729BC"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250 мл</w:t>
            </w:r>
          </w:p>
        </w:tc>
      </w:tr>
    </w:tbl>
    <w:p w14:paraId="5E071E93" w14:textId="77777777" w:rsidR="00AD4D8E" w:rsidRDefault="00AD4D8E" w:rsidP="00AD4D8E">
      <w:pPr>
        <w:pStyle w:val="Normal1"/>
        <w:tabs>
          <w:tab w:val="left" w:pos="0"/>
        </w:tabs>
        <w:spacing w:before="0" w:line="360" w:lineRule="auto"/>
        <w:jc w:val="both"/>
        <w:rPr>
          <w:rFonts w:cs="Times New Roman"/>
          <w:b/>
        </w:rPr>
      </w:pPr>
    </w:p>
    <w:p w14:paraId="522CC824" w14:textId="004D3E21" w:rsidR="00AD4D8E" w:rsidRPr="00FA61D5" w:rsidRDefault="00AD4D8E" w:rsidP="00AD4D8E">
      <w:pPr>
        <w:pStyle w:val="Normal1"/>
        <w:tabs>
          <w:tab w:val="left" w:pos="0"/>
        </w:tabs>
        <w:spacing w:before="0" w:line="360" w:lineRule="auto"/>
        <w:jc w:val="both"/>
        <w:rPr>
          <w:rFonts w:cs="Times New Roman"/>
          <w:bCs/>
          <w:i/>
          <w:iCs/>
          <w:u w:val="single"/>
        </w:rPr>
      </w:pPr>
      <w:r w:rsidRPr="00FA61D5">
        <w:rPr>
          <w:rFonts w:cs="Times New Roman"/>
          <w:bCs/>
          <w:i/>
          <w:iCs/>
          <w:u w:val="single"/>
        </w:rPr>
        <w:t>Способ применения и дозы препарата обинутузумаб</w:t>
      </w:r>
    </w:p>
    <w:p w14:paraId="7EDFE5C0" w14:textId="77777777" w:rsidR="00FA61D5" w:rsidRDefault="00AD4D8E" w:rsidP="00FA61D5">
      <w:pPr>
        <w:ind w:firstLine="708"/>
        <w:rPr>
          <w:rFonts w:eastAsia="Times New Roman"/>
          <w:color w:val="333333"/>
          <w:szCs w:val="24"/>
          <w:lang w:eastAsia="ru-RU"/>
        </w:rPr>
      </w:pPr>
      <w:r w:rsidRPr="00714BE3">
        <w:rPr>
          <w:rFonts w:eastAsia="Times New Roman"/>
          <w:color w:val="333333"/>
          <w:szCs w:val="24"/>
          <w:lang w:eastAsia="ru-RU"/>
        </w:rPr>
        <w:t xml:space="preserve">Препарат вводят только </w:t>
      </w:r>
      <w:r>
        <w:rPr>
          <w:szCs w:val="24"/>
        </w:rPr>
        <w:t>внутривенно</w:t>
      </w:r>
      <w:r w:rsidRPr="00714BE3">
        <w:rPr>
          <w:rFonts w:eastAsia="Times New Roman"/>
          <w:color w:val="333333"/>
          <w:szCs w:val="24"/>
          <w:lang w:eastAsia="ru-RU"/>
        </w:rPr>
        <w:t xml:space="preserve"> капельно через отдельный катетер. Вводить препарат </w:t>
      </w:r>
      <w:r>
        <w:rPr>
          <w:szCs w:val="24"/>
        </w:rPr>
        <w:t>внутривенно</w:t>
      </w:r>
      <w:r w:rsidRPr="00714BE3">
        <w:rPr>
          <w:rFonts w:eastAsia="Times New Roman"/>
          <w:color w:val="333333"/>
          <w:szCs w:val="24"/>
          <w:lang w:eastAsia="ru-RU"/>
        </w:rPr>
        <w:t xml:space="preserve"> струйно или болюсно нельзя.</w:t>
      </w:r>
      <w:r w:rsidRPr="00ED6A0E">
        <w:rPr>
          <w:rFonts w:eastAsia="Times New Roman"/>
          <w:color w:val="333333"/>
          <w:szCs w:val="24"/>
          <w:lang w:eastAsia="ru-RU"/>
        </w:rPr>
        <w:t xml:space="preserve"> </w:t>
      </w:r>
      <w:r>
        <w:rPr>
          <w:rFonts w:eastAsia="Times New Roman"/>
          <w:color w:val="333333"/>
          <w:szCs w:val="24"/>
          <w:lang w:eastAsia="ru-RU"/>
        </w:rPr>
        <w:t>Для разведения</w:t>
      </w:r>
      <w:r w:rsidRPr="00714BE3">
        <w:rPr>
          <w:rFonts w:eastAsia="Times New Roman"/>
          <w:color w:val="333333"/>
          <w:szCs w:val="24"/>
          <w:lang w:eastAsia="ru-RU"/>
        </w:rPr>
        <w:t> следует использовать только 0.9% раствор натрия хлорида.</w:t>
      </w:r>
    </w:p>
    <w:p w14:paraId="72A4B93D" w14:textId="5A6755A7" w:rsidR="00AD4D8E" w:rsidRPr="00714BE3" w:rsidRDefault="00AD4D8E" w:rsidP="00FA61D5">
      <w:pPr>
        <w:ind w:firstLine="708"/>
        <w:rPr>
          <w:rFonts w:eastAsia="Times New Roman"/>
          <w:color w:val="333333"/>
          <w:szCs w:val="24"/>
          <w:lang w:eastAsia="ru-RU"/>
        </w:rPr>
      </w:pPr>
      <w:r w:rsidRPr="00714BE3">
        <w:rPr>
          <w:rFonts w:eastAsia="Times New Roman"/>
          <w:color w:val="333333"/>
          <w:szCs w:val="24"/>
          <w:lang w:eastAsia="ru-RU"/>
        </w:rPr>
        <w:t xml:space="preserve">Рекомендуемая доза </w:t>
      </w:r>
      <w:r>
        <w:rPr>
          <w:rFonts w:eastAsia="Times New Roman"/>
          <w:color w:val="333333"/>
          <w:szCs w:val="24"/>
          <w:lang w:eastAsia="ru-RU"/>
        </w:rPr>
        <w:t>обинутузумаба</w:t>
      </w:r>
      <w:r w:rsidRPr="00714BE3">
        <w:rPr>
          <w:rFonts w:eastAsia="Times New Roman"/>
          <w:color w:val="333333"/>
          <w:szCs w:val="24"/>
          <w:lang w:eastAsia="ru-RU"/>
        </w:rPr>
        <w:t> </w:t>
      </w:r>
      <w:r>
        <w:rPr>
          <w:rFonts w:eastAsia="Times New Roman"/>
          <w:color w:val="333333"/>
          <w:szCs w:val="24"/>
          <w:lang w:eastAsia="ru-RU"/>
        </w:rPr>
        <w:t xml:space="preserve">при хроническом лимфолейкозе </w:t>
      </w:r>
      <w:r w:rsidRPr="00714BE3">
        <w:rPr>
          <w:rFonts w:eastAsia="Times New Roman"/>
          <w:color w:val="333333"/>
          <w:szCs w:val="24"/>
          <w:lang w:eastAsia="ru-RU"/>
        </w:rPr>
        <w:t xml:space="preserve">составляет 1000 мг </w:t>
      </w:r>
      <w:r>
        <w:rPr>
          <w:szCs w:val="24"/>
        </w:rPr>
        <w:t>внутривенно</w:t>
      </w:r>
      <w:r w:rsidRPr="00714BE3">
        <w:rPr>
          <w:rFonts w:eastAsia="Times New Roman"/>
          <w:color w:val="333333"/>
          <w:szCs w:val="24"/>
          <w:lang w:eastAsia="ru-RU"/>
        </w:rPr>
        <w:t xml:space="preserve"> в дн</w:t>
      </w:r>
      <w:r>
        <w:rPr>
          <w:rFonts w:eastAsia="Times New Roman"/>
          <w:color w:val="333333"/>
          <w:szCs w:val="24"/>
          <w:lang w:eastAsia="ru-RU"/>
        </w:rPr>
        <w:t>и</w:t>
      </w:r>
      <w:r w:rsidRPr="00714BE3">
        <w:rPr>
          <w:rFonts w:eastAsia="Times New Roman"/>
          <w:color w:val="333333"/>
          <w:szCs w:val="24"/>
          <w:lang w:eastAsia="ru-RU"/>
        </w:rPr>
        <w:t xml:space="preserve"> 1 </w:t>
      </w:r>
      <w:r>
        <w:rPr>
          <w:rFonts w:eastAsia="Times New Roman"/>
          <w:color w:val="333333"/>
          <w:szCs w:val="24"/>
          <w:lang w:eastAsia="ru-RU"/>
        </w:rPr>
        <w:t>(или 1+</w:t>
      </w:r>
      <w:r w:rsidRPr="00714BE3">
        <w:rPr>
          <w:rFonts w:eastAsia="Times New Roman"/>
          <w:color w:val="333333"/>
          <w:szCs w:val="24"/>
          <w:lang w:eastAsia="ru-RU"/>
        </w:rPr>
        <w:t xml:space="preserve"> 2</w:t>
      </w:r>
      <w:r>
        <w:rPr>
          <w:rFonts w:eastAsia="Times New Roman"/>
          <w:color w:val="333333"/>
          <w:szCs w:val="24"/>
          <w:lang w:eastAsia="ru-RU"/>
        </w:rPr>
        <w:t>)</w:t>
      </w:r>
      <w:r w:rsidRPr="00714BE3">
        <w:rPr>
          <w:rFonts w:eastAsia="Times New Roman"/>
          <w:color w:val="333333"/>
          <w:szCs w:val="24"/>
          <w:lang w:eastAsia="ru-RU"/>
        </w:rPr>
        <w:t>, в день 8 и день 15 1-го 28-дневного цикла</w:t>
      </w:r>
      <w:r>
        <w:rPr>
          <w:rFonts w:eastAsia="Times New Roman"/>
          <w:color w:val="333333"/>
          <w:szCs w:val="24"/>
          <w:lang w:eastAsia="ru-RU"/>
        </w:rPr>
        <w:t xml:space="preserve"> (т</w:t>
      </w:r>
      <w:r w:rsidRPr="00714BE3">
        <w:rPr>
          <w:rFonts w:eastAsia="Times New Roman"/>
          <w:color w:val="333333"/>
          <w:szCs w:val="24"/>
          <w:lang w:eastAsia="ru-RU"/>
        </w:rPr>
        <w:t>аб</w:t>
      </w:r>
      <w:r>
        <w:rPr>
          <w:rFonts w:eastAsia="Times New Roman"/>
          <w:color w:val="333333"/>
          <w:szCs w:val="24"/>
          <w:lang w:eastAsia="ru-RU"/>
        </w:rPr>
        <w:t>.3), затем 1000 мг в циклах 2-6; при лимфомах доза обинутузумаба составляет 1000 мг в каждом цикле лечения</w:t>
      </w:r>
      <w:r w:rsidRPr="00714BE3">
        <w:rPr>
          <w:rFonts w:eastAsia="Times New Roman"/>
          <w:color w:val="333333"/>
          <w:szCs w:val="24"/>
          <w:lang w:eastAsia="ru-RU"/>
        </w:rPr>
        <w:t>.</w:t>
      </w:r>
    </w:p>
    <w:p w14:paraId="3463523F" w14:textId="628FD288" w:rsidR="00AD4D8E" w:rsidRPr="00FA61D5" w:rsidRDefault="00AD4D8E" w:rsidP="00AD4D8E">
      <w:pPr>
        <w:rPr>
          <w:rFonts w:eastAsia="Times New Roman"/>
          <w:bCs/>
          <w:color w:val="333333"/>
          <w:szCs w:val="24"/>
          <w:lang w:eastAsia="ru-RU"/>
        </w:rPr>
      </w:pPr>
      <w:r w:rsidRPr="00FA61D5">
        <w:rPr>
          <w:rFonts w:eastAsia="Times New Roman"/>
          <w:bCs/>
          <w:color w:val="333333"/>
          <w:szCs w:val="24"/>
          <w:lang w:eastAsia="ru-RU"/>
        </w:rPr>
        <w:t>Таблица</w:t>
      </w:r>
      <w:r w:rsidR="005C667A" w:rsidRPr="00FA61D5">
        <w:rPr>
          <w:rFonts w:eastAsia="Times New Roman"/>
          <w:bCs/>
          <w:color w:val="333333"/>
          <w:szCs w:val="24"/>
          <w:lang w:eastAsia="ru-RU"/>
        </w:rPr>
        <w:t xml:space="preserve"> А3.4.2</w:t>
      </w:r>
      <w:r w:rsidRPr="00FA61D5">
        <w:rPr>
          <w:rFonts w:eastAsia="Times New Roman"/>
          <w:bCs/>
          <w:color w:val="333333"/>
          <w:szCs w:val="24"/>
          <w:lang w:eastAsia="ru-RU"/>
        </w:rPr>
        <w:t>. Введение препарата обинутузумаб</w:t>
      </w:r>
    </w:p>
    <w:tbl>
      <w:tblPr>
        <w:tblW w:w="4698" w:type="pct"/>
        <w:tblInd w:w="2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57"/>
        <w:gridCol w:w="1532"/>
        <w:gridCol w:w="1531"/>
        <w:gridCol w:w="4456"/>
      </w:tblGrid>
      <w:tr w:rsidR="00AD4D8E" w:rsidRPr="00A17581" w14:paraId="7AD4C291" w14:textId="77777777" w:rsidTr="00714673">
        <w:tc>
          <w:tcPr>
            <w:tcW w:w="1589" w:type="pct"/>
            <w:gridSpan w:val="2"/>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15702BE" w14:textId="77777777" w:rsidR="00AD4D8E" w:rsidRPr="00A17581" w:rsidRDefault="00AD4D8E" w:rsidP="00714673">
            <w:pPr>
              <w:rPr>
                <w:rFonts w:eastAsia="Times New Roman"/>
                <w:color w:val="333333"/>
                <w:sz w:val="20"/>
                <w:szCs w:val="20"/>
                <w:lang w:eastAsia="ru-RU"/>
              </w:rPr>
            </w:pPr>
            <w:r w:rsidRPr="00A17581">
              <w:rPr>
                <w:rFonts w:eastAsia="Times New Roman"/>
                <w:b/>
                <w:bCs/>
                <w:color w:val="333333"/>
                <w:sz w:val="20"/>
                <w:szCs w:val="20"/>
                <w:lang w:eastAsia="ru-RU"/>
              </w:rPr>
              <w:t>День цикла терапии</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2111447" w14:textId="77777777" w:rsidR="00AD4D8E" w:rsidRPr="00A17581" w:rsidRDefault="00AD4D8E" w:rsidP="00714673">
            <w:pPr>
              <w:rPr>
                <w:rFonts w:eastAsia="Times New Roman"/>
                <w:color w:val="333333"/>
                <w:sz w:val="20"/>
                <w:szCs w:val="20"/>
                <w:lang w:eastAsia="ru-RU"/>
              </w:rPr>
            </w:pPr>
            <w:r w:rsidRPr="00A17581">
              <w:rPr>
                <w:rFonts w:eastAsia="Times New Roman"/>
                <w:b/>
                <w:bCs/>
                <w:color w:val="333333"/>
                <w:sz w:val="20"/>
                <w:szCs w:val="20"/>
                <w:lang w:eastAsia="ru-RU"/>
              </w:rPr>
              <w:t>Доза обинутузумаба</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443DF27" w14:textId="77777777" w:rsidR="00AD4D8E" w:rsidRPr="00A17581" w:rsidRDefault="00AD4D8E" w:rsidP="00714673">
            <w:pPr>
              <w:rPr>
                <w:rFonts w:eastAsia="Times New Roman"/>
                <w:color w:val="333333"/>
                <w:sz w:val="20"/>
                <w:szCs w:val="20"/>
                <w:lang w:eastAsia="ru-RU"/>
              </w:rPr>
            </w:pPr>
            <w:r w:rsidRPr="00A17581">
              <w:rPr>
                <w:rFonts w:eastAsia="Times New Roman"/>
                <w:b/>
                <w:bCs/>
                <w:color w:val="333333"/>
                <w:sz w:val="20"/>
                <w:szCs w:val="20"/>
                <w:lang w:eastAsia="ru-RU"/>
              </w:rPr>
              <w:t>Скорость инфузии</w:t>
            </w:r>
            <w:r w:rsidRPr="00A17581">
              <w:rPr>
                <w:rFonts w:eastAsia="Times New Roman"/>
                <w:color w:val="333333"/>
                <w:sz w:val="20"/>
                <w:szCs w:val="20"/>
                <w:lang w:eastAsia="ru-RU"/>
              </w:rPr>
              <w:t xml:space="preserve">  </w:t>
            </w:r>
          </w:p>
        </w:tc>
      </w:tr>
      <w:tr w:rsidR="00AD4D8E" w:rsidRPr="00714BE3" w14:paraId="062A9E21" w14:textId="77777777" w:rsidTr="00714673">
        <w:tc>
          <w:tcPr>
            <w:tcW w:w="71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F3927FD" w14:textId="77777777" w:rsidR="00AD4D8E" w:rsidRPr="00A17581" w:rsidRDefault="00AD4D8E" w:rsidP="00714673">
            <w:pPr>
              <w:rPr>
                <w:rFonts w:eastAsia="Times New Roman"/>
                <w:color w:val="333333"/>
                <w:sz w:val="20"/>
                <w:szCs w:val="20"/>
                <w:lang w:eastAsia="ru-RU"/>
              </w:rPr>
            </w:pPr>
            <w:r w:rsidRPr="00A17581">
              <w:rPr>
                <w:rFonts w:eastAsia="Times New Roman"/>
                <w:b/>
                <w:bCs/>
                <w:color w:val="333333"/>
                <w:sz w:val="20"/>
                <w:szCs w:val="20"/>
                <w:lang w:eastAsia="ru-RU"/>
              </w:rPr>
              <w:t>Цикл 1</w:t>
            </w: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EC003BA"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День 1</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75BE937"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 мг</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C0E9302"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25 мг/ч в течение 4 ч. Не увеличивать скорость инфузии.</w:t>
            </w:r>
          </w:p>
        </w:tc>
      </w:tr>
      <w:tr w:rsidR="00AD4D8E" w:rsidRPr="00714BE3" w14:paraId="04DB85F1" w14:textId="77777777" w:rsidTr="00714673">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2C0108C5" w14:textId="77777777" w:rsidR="00AD4D8E" w:rsidRPr="00A17581" w:rsidRDefault="00AD4D8E" w:rsidP="00714673">
            <w:pPr>
              <w:rPr>
                <w:rFonts w:eastAsia="Times New Roman"/>
                <w:color w:val="333333"/>
                <w:sz w:val="20"/>
                <w:szCs w:val="20"/>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EBA2A8F" w14:textId="77777777" w:rsidR="00AD4D8E"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 xml:space="preserve">День 2 </w:t>
            </w:r>
          </w:p>
          <w:p w14:paraId="06FF843F" w14:textId="77777777" w:rsidR="00AD4D8E"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 xml:space="preserve">или </w:t>
            </w:r>
          </w:p>
          <w:p w14:paraId="138125A1" w14:textId="77777777" w:rsidR="00AD4D8E" w:rsidRDefault="00AD4D8E" w:rsidP="00714673">
            <w:pPr>
              <w:rPr>
                <w:rFonts w:eastAsia="Times New Roman"/>
                <w:color w:val="333333"/>
                <w:sz w:val="20"/>
                <w:szCs w:val="20"/>
                <w:lang w:eastAsia="ru-RU"/>
              </w:rPr>
            </w:pPr>
            <w:r>
              <w:rPr>
                <w:rFonts w:eastAsia="Times New Roman"/>
                <w:color w:val="333333"/>
                <w:sz w:val="20"/>
                <w:szCs w:val="20"/>
                <w:lang w:eastAsia="ru-RU"/>
              </w:rPr>
              <w:t>День 1</w:t>
            </w:r>
          </w:p>
          <w:p w14:paraId="5C8D4291"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(продолжение)</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23F8D8B"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900 мг</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B25D14E"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Если во время предыдущей инфузии не возникло инфузионных реакций, скорость инфузии составляет 50 мг/ч.</w:t>
            </w:r>
            <w:r w:rsidRPr="00A17581">
              <w:rPr>
                <w:rFonts w:eastAsia="Times New Roman"/>
                <w:color w:val="333333"/>
                <w:sz w:val="20"/>
                <w:szCs w:val="20"/>
                <w:lang w:eastAsia="ru-RU"/>
              </w:rPr>
              <w:br/>
              <w:t>Скорость инфузии можно постепенно увеличивать с шагом 50 мг/ч каждые 30 мин до максимальной скорости 400 мг/ч.</w:t>
            </w:r>
          </w:p>
        </w:tc>
      </w:tr>
      <w:tr w:rsidR="00AD4D8E" w:rsidRPr="00714BE3" w14:paraId="08E2A605" w14:textId="77777777" w:rsidTr="00714673">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74AE118A" w14:textId="77777777" w:rsidR="00AD4D8E" w:rsidRPr="00A17581" w:rsidRDefault="00AD4D8E" w:rsidP="00714673">
            <w:pPr>
              <w:rPr>
                <w:rFonts w:eastAsia="Times New Roman"/>
                <w:color w:val="333333"/>
                <w:sz w:val="20"/>
                <w:szCs w:val="20"/>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4E3D4AA"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День 8</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3626F93"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25F30DF"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Если во время предыдущей инфузии (конечная скорость инфузии ≥100 мг/ч) не возникло инфузионных реакций, начальная скорость инфузии составляет 100 мг/ч и затем постепенно следует увеличивать скорость с шагом 100 мг/ч каждые 30 мин до максимальной скорости 400 мг/ч.</w:t>
            </w:r>
          </w:p>
        </w:tc>
      </w:tr>
      <w:tr w:rsidR="00AD4D8E" w:rsidRPr="00714BE3" w14:paraId="4968253D" w14:textId="77777777" w:rsidTr="00714673">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7A07BA78" w14:textId="77777777" w:rsidR="00AD4D8E" w:rsidRPr="00714BE3" w:rsidRDefault="00AD4D8E" w:rsidP="00714673">
            <w:pPr>
              <w:rPr>
                <w:rFonts w:eastAsia="Times New Roman"/>
                <w:color w:val="333333"/>
                <w:szCs w:val="24"/>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58997B1"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День 15</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A8D0BC9"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tcBorders>
              <w:top w:val="single" w:sz="6" w:space="0" w:color="EBEBEB"/>
              <w:left w:val="single" w:sz="6" w:space="0" w:color="EBEBEB"/>
              <w:bottom w:val="single" w:sz="6" w:space="0" w:color="EBEBEB"/>
              <w:right w:val="single" w:sz="6" w:space="0" w:color="EBEBEB"/>
            </w:tcBorders>
            <w:vAlign w:val="center"/>
            <w:hideMark/>
          </w:tcPr>
          <w:p w14:paraId="7009F77B" w14:textId="77777777" w:rsidR="00AD4D8E" w:rsidRPr="00714BE3" w:rsidRDefault="00AD4D8E" w:rsidP="00714673">
            <w:pPr>
              <w:rPr>
                <w:rFonts w:eastAsia="Times New Roman"/>
                <w:color w:val="333333"/>
                <w:szCs w:val="24"/>
                <w:lang w:eastAsia="ru-RU"/>
              </w:rPr>
            </w:pPr>
          </w:p>
        </w:tc>
      </w:tr>
      <w:tr w:rsidR="00AD4D8E" w:rsidRPr="00714BE3" w14:paraId="6AB41379" w14:textId="77777777" w:rsidTr="00714673">
        <w:tc>
          <w:tcPr>
            <w:tcW w:w="716"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B69833B" w14:textId="77777777" w:rsidR="00AD4D8E" w:rsidRPr="00A17581" w:rsidRDefault="00AD4D8E" w:rsidP="00714673">
            <w:pPr>
              <w:rPr>
                <w:rFonts w:eastAsia="Times New Roman"/>
                <w:color w:val="333333"/>
                <w:sz w:val="20"/>
                <w:szCs w:val="20"/>
                <w:lang w:eastAsia="ru-RU"/>
              </w:rPr>
            </w:pPr>
            <w:r w:rsidRPr="00A17581">
              <w:rPr>
                <w:rFonts w:eastAsia="Times New Roman"/>
                <w:b/>
                <w:bCs/>
                <w:color w:val="333333"/>
                <w:sz w:val="20"/>
                <w:szCs w:val="20"/>
                <w:lang w:eastAsia="ru-RU"/>
              </w:rPr>
              <w:t>Циклы 2-6</w:t>
            </w: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9DC41C1"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День 1</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1D3625A" w14:textId="77777777" w:rsidR="00AD4D8E" w:rsidRPr="00A17581" w:rsidRDefault="00AD4D8E" w:rsidP="00714673">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tcBorders>
              <w:top w:val="single" w:sz="6" w:space="0" w:color="EBEBEB"/>
              <w:left w:val="single" w:sz="6" w:space="0" w:color="EBEBEB"/>
              <w:bottom w:val="single" w:sz="6" w:space="0" w:color="EBEBEB"/>
              <w:right w:val="single" w:sz="6" w:space="0" w:color="EBEBEB"/>
            </w:tcBorders>
            <w:vAlign w:val="center"/>
            <w:hideMark/>
          </w:tcPr>
          <w:p w14:paraId="5570FD59" w14:textId="77777777" w:rsidR="00AD4D8E" w:rsidRPr="00714BE3" w:rsidRDefault="00AD4D8E" w:rsidP="00714673">
            <w:pPr>
              <w:rPr>
                <w:rFonts w:eastAsia="Times New Roman"/>
                <w:color w:val="333333"/>
                <w:szCs w:val="24"/>
                <w:lang w:eastAsia="ru-RU"/>
              </w:rPr>
            </w:pPr>
          </w:p>
        </w:tc>
      </w:tr>
    </w:tbl>
    <w:p w14:paraId="195C087D" w14:textId="77777777" w:rsidR="00AD4D8E" w:rsidRDefault="00AD4D8E" w:rsidP="00AD4D8E">
      <w:pPr>
        <w:ind w:firstLine="708"/>
        <w:rPr>
          <w:szCs w:val="24"/>
        </w:rPr>
      </w:pPr>
    </w:p>
    <w:p w14:paraId="7ABE5CBA" w14:textId="5272B3AC" w:rsidR="00AD4D8E" w:rsidRPr="00786B08" w:rsidRDefault="00AD4D8E" w:rsidP="00AD4D8E">
      <w:pPr>
        <w:ind w:firstLine="708"/>
        <w:rPr>
          <w:szCs w:val="24"/>
        </w:rPr>
      </w:pPr>
      <w:r>
        <w:rPr>
          <w:szCs w:val="24"/>
        </w:rPr>
        <w:t xml:space="preserve">При применении обинутузумаба могут наблюдаться инфузионные реакции (в том числе, тяжелые. </w:t>
      </w:r>
      <w:r w:rsidRPr="00786B08">
        <w:rPr>
          <w:szCs w:val="24"/>
        </w:rPr>
        <w:t>Наиболее част</w:t>
      </w:r>
      <w:r>
        <w:rPr>
          <w:szCs w:val="24"/>
        </w:rPr>
        <w:t xml:space="preserve">ые – </w:t>
      </w:r>
      <w:r w:rsidRPr="00786B08">
        <w:rPr>
          <w:szCs w:val="24"/>
        </w:rPr>
        <w:t>тошнота,</w:t>
      </w:r>
      <w:r>
        <w:rPr>
          <w:szCs w:val="24"/>
        </w:rPr>
        <w:t xml:space="preserve"> </w:t>
      </w:r>
      <w:r w:rsidRPr="00786B08">
        <w:rPr>
          <w:szCs w:val="24"/>
        </w:rPr>
        <w:t>рвота, озноб, понижение </w:t>
      </w:r>
      <w:r>
        <w:rPr>
          <w:szCs w:val="24"/>
        </w:rPr>
        <w:t xml:space="preserve">/ </w:t>
      </w:r>
      <w:r w:rsidRPr="00786B08">
        <w:rPr>
          <w:szCs w:val="24"/>
        </w:rPr>
        <w:t xml:space="preserve">повышение АД, повышение температуры тела, одышка, приливы, головная боль, тахикардия и диарея. Для предупреждения развития  </w:t>
      </w:r>
      <w:r>
        <w:rPr>
          <w:szCs w:val="24"/>
        </w:rPr>
        <w:t xml:space="preserve">инфузионных реакций всем пациентам </w:t>
      </w:r>
      <w:r w:rsidRPr="00786B08">
        <w:rPr>
          <w:szCs w:val="24"/>
        </w:rPr>
        <w:t xml:space="preserve">следует проводить </w:t>
      </w:r>
      <w:r>
        <w:rPr>
          <w:szCs w:val="24"/>
        </w:rPr>
        <w:t>п</w:t>
      </w:r>
      <w:r w:rsidRPr="00786B08">
        <w:rPr>
          <w:szCs w:val="24"/>
        </w:rPr>
        <w:t>ремедикацию</w:t>
      </w:r>
      <w:r w:rsidR="00FA61D5">
        <w:rPr>
          <w:szCs w:val="24"/>
        </w:rPr>
        <w:t xml:space="preserve"> </w:t>
      </w:r>
      <w:r>
        <w:rPr>
          <w:szCs w:val="24"/>
        </w:rPr>
        <w:t>антипиретиком или анальгетиком</w:t>
      </w:r>
      <w:r w:rsidRPr="00786B08">
        <w:rPr>
          <w:szCs w:val="24"/>
        </w:rPr>
        <w:t>,</w:t>
      </w:r>
      <w:r>
        <w:rPr>
          <w:szCs w:val="24"/>
        </w:rPr>
        <w:t xml:space="preserve"> а</w:t>
      </w:r>
      <w:r w:rsidRPr="00786B08">
        <w:rPr>
          <w:szCs w:val="24"/>
        </w:rPr>
        <w:t>нтигистаминными</w:t>
      </w:r>
      <w:r w:rsidR="00FA61D5">
        <w:rPr>
          <w:szCs w:val="24"/>
        </w:rPr>
        <w:t xml:space="preserve"> </w:t>
      </w:r>
      <w:r>
        <w:rPr>
          <w:szCs w:val="24"/>
        </w:rPr>
        <w:t>препаратами</w:t>
      </w:r>
      <w:r w:rsidR="00FA61D5">
        <w:rPr>
          <w:szCs w:val="24"/>
        </w:rPr>
        <w:t xml:space="preserve"> </w:t>
      </w:r>
      <w:r w:rsidRPr="00786B08">
        <w:rPr>
          <w:szCs w:val="24"/>
        </w:rPr>
        <w:t>и</w:t>
      </w:r>
      <w:r w:rsidR="00FA61D5">
        <w:rPr>
          <w:szCs w:val="24"/>
        </w:rPr>
        <w:t xml:space="preserve"> </w:t>
      </w:r>
      <w:r>
        <w:rPr>
          <w:szCs w:val="24"/>
        </w:rPr>
        <w:t>глюкокортикостероидными</w:t>
      </w:r>
      <w:r w:rsidR="00FA61D5">
        <w:rPr>
          <w:szCs w:val="24"/>
        </w:rPr>
        <w:t xml:space="preserve"> </w:t>
      </w:r>
      <w:r>
        <w:rPr>
          <w:szCs w:val="24"/>
        </w:rPr>
        <w:t xml:space="preserve">препаратами; отменять прием </w:t>
      </w:r>
      <w:r w:rsidRPr="00786B08">
        <w:rPr>
          <w:szCs w:val="24"/>
        </w:rPr>
        <w:t>антигипертензивного препарата утром в день первой инфузии, а также поэтапно вв</w:t>
      </w:r>
      <w:r>
        <w:rPr>
          <w:szCs w:val="24"/>
        </w:rPr>
        <w:t>о</w:t>
      </w:r>
      <w:r w:rsidRPr="00786B08">
        <w:rPr>
          <w:szCs w:val="24"/>
        </w:rPr>
        <w:t>д</w:t>
      </w:r>
      <w:r>
        <w:rPr>
          <w:szCs w:val="24"/>
        </w:rPr>
        <w:t>ить</w:t>
      </w:r>
      <w:r w:rsidRPr="00786B08">
        <w:rPr>
          <w:szCs w:val="24"/>
        </w:rPr>
        <w:t xml:space="preserve"> доз</w:t>
      </w:r>
      <w:r>
        <w:rPr>
          <w:szCs w:val="24"/>
        </w:rPr>
        <w:t>у в цикле 1 (таб.4)</w:t>
      </w:r>
      <w:r w:rsidRPr="00786B08">
        <w:rPr>
          <w:szCs w:val="24"/>
        </w:rPr>
        <w:t>.</w:t>
      </w:r>
    </w:p>
    <w:p w14:paraId="482641E0" w14:textId="77777777" w:rsidR="003E1316" w:rsidRDefault="003E1316" w:rsidP="00AD4D8E">
      <w:pPr>
        <w:rPr>
          <w:rFonts w:eastAsia="Times New Roman"/>
          <w:bCs/>
          <w:color w:val="333333"/>
          <w:szCs w:val="24"/>
          <w:lang w:eastAsia="ru-RU"/>
        </w:rPr>
      </w:pPr>
    </w:p>
    <w:p w14:paraId="73F84A0C" w14:textId="703BFB58" w:rsidR="00AD4D8E" w:rsidRPr="003E1316" w:rsidRDefault="00AD4D8E" w:rsidP="00AD4D8E">
      <w:pPr>
        <w:rPr>
          <w:rFonts w:eastAsia="Times New Roman"/>
          <w:bCs/>
          <w:color w:val="333333"/>
          <w:szCs w:val="24"/>
          <w:lang w:eastAsia="ru-RU"/>
        </w:rPr>
      </w:pPr>
      <w:r w:rsidRPr="003E1316">
        <w:rPr>
          <w:rFonts w:eastAsia="Times New Roman"/>
          <w:bCs/>
          <w:color w:val="333333"/>
          <w:szCs w:val="24"/>
          <w:lang w:eastAsia="ru-RU"/>
        </w:rPr>
        <w:t xml:space="preserve">Таблица </w:t>
      </w:r>
      <w:r w:rsidR="005C667A" w:rsidRPr="003E1316">
        <w:rPr>
          <w:rFonts w:eastAsia="Times New Roman"/>
          <w:bCs/>
          <w:color w:val="333333"/>
          <w:szCs w:val="24"/>
          <w:lang w:eastAsia="ru-RU"/>
        </w:rPr>
        <w:t>А3.4.3</w:t>
      </w:r>
      <w:r w:rsidRPr="003E1316">
        <w:rPr>
          <w:rFonts w:eastAsia="Times New Roman"/>
          <w:bCs/>
          <w:color w:val="333333"/>
          <w:szCs w:val="24"/>
          <w:lang w:eastAsia="ru-RU"/>
        </w:rPr>
        <w:t>. Премедикация перед введением препарата обинутузумаб, необходимая для снижения риска развития инфузионных реакций.</w:t>
      </w:r>
    </w:p>
    <w:tbl>
      <w:tblPr>
        <w:tblW w:w="4623" w:type="pct"/>
        <w:tblInd w:w="3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3"/>
        <w:gridCol w:w="2917"/>
        <w:gridCol w:w="2693"/>
        <w:gridCol w:w="1803"/>
      </w:tblGrid>
      <w:tr w:rsidR="00AD4D8E" w:rsidRPr="00845763" w14:paraId="5A8FD0AA" w14:textId="77777777" w:rsidTr="00714673">
        <w:tc>
          <w:tcPr>
            <w:tcW w:w="696"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73D9F94" w14:textId="77777777" w:rsidR="00AD4D8E" w:rsidRPr="0019149F" w:rsidRDefault="00AD4D8E" w:rsidP="00714673">
            <w:pPr>
              <w:rPr>
                <w:rFonts w:eastAsia="Times New Roman"/>
                <w:sz w:val="20"/>
                <w:szCs w:val="20"/>
                <w:lang w:eastAsia="ru-RU"/>
              </w:rPr>
            </w:pPr>
            <w:r w:rsidRPr="0019149F">
              <w:rPr>
                <w:rFonts w:eastAsia="Times New Roman"/>
                <w:b/>
                <w:bCs/>
                <w:sz w:val="20"/>
                <w:szCs w:val="20"/>
                <w:lang w:eastAsia="ru-RU"/>
              </w:rPr>
              <w:t>День цикла приема препарата</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21FB5ED" w14:textId="77777777" w:rsidR="00AD4D8E" w:rsidRPr="0019149F" w:rsidRDefault="00AD4D8E" w:rsidP="00714673">
            <w:pPr>
              <w:rPr>
                <w:rFonts w:eastAsia="Times New Roman"/>
                <w:sz w:val="20"/>
                <w:szCs w:val="20"/>
                <w:lang w:eastAsia="ru-RU"/>
              </w:rPr>
            </w:pPr>
            <w:r w:rsidRPr="0019149F">
              <w:rPr>
                <w:rFonts w:eastAsia="Times New Roman"/>
                <w:b/>
                <w:bCs/>
                <w:sz w:val="20"/>
                <w:szCs w:val="20"/>
                <w:lang w:eastAsia="ru-RU"/>
              </w:rPr>
              <w:t>Пациенты, требующие премедикации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59311AE" w14:textId="77777777" w:rsidR="00AD4D8E" w:rsidRPr="0019149F" w:rsidRDefault="00AD4D8E" w:rsidP="00714673">
            <w:pPr>
              <w:rPr>
                <w:rFonts w:eastAsia="Times New Roman"/>
                <w:sz w:val="20"/>
                <w:szCs w:val="20"/>
                <w:lang w:eastAsia="ru-RU"/>
              </w:rPr>
            </w:pPr>
            <w:r w:rsidRPr="0019149F">
              <w:rPr>
                <w:rFonts w:eastAsia="Times New Roman"/>
                <w:b/>
                <w:bCs/>
                <w:sz w:val="20"/>
                <w:szCs w:val="20"/>
                <w:lang w:eastAsia="ru-RU"/>
              </w:rPr>
              <w:t>Лекарственное средство</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619E5BF" w14:textId="77777777" w:rsidR="00AD4D8E" w:rsidRPr="0019149F" w:rsidRDefault="00AD4D8E" w:rsidP="00714673">
            <w:pPr>
              <w:rPr>
                <w:rFonts w:eastAsia="Times New Roman"/>
                <w:sz w:val="20"/>
                <w:szCs w:val="20"/>
                <w:lang w:eastAsia="ru-RU"/>
              </w:rPr>
            </w:pPr>
            <w:r w:rsidRPr="0019149F">
              <w:rPr>
                <w:rFonts w:eastAsia="Times New Roman"/>
                <w:b/>
                <w:bCs/>
                <w:sz w:val="20"/>
                <w:szCs w:val="20"/>
                <w:lang w:eastAsia="ru-RU"/>
              </w:rPr>
              <w:t>Применение</w:t>
            </w:r>
          </w:p>
        </w:tc>
      </w:tr>
      <w:tr w:rsidR="00AD4D8E" w:rsidRPr="00845763" w14:paraId="37B737B4" w14:textId="77777777" w:rsidTr="00714673">
        <w:tc>
          <w:tcPr>
            <w:tcW w:w="69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A44E266" w14:textId="77777777" w:rsidR="00AD4D8E" w:rsidRPr="00845763" w:rsidRDefault="00AD4D8E" w:rsidP="00714673">
            <w:pPr>
              <w:rPr>
                <w:rFonts w:eastAsia="Times New Roman"/>
                <w:sz w:val="18"/>
                <w:szCs w:val="18"/>
                <w:lang w:eastAsia="ru-RU"/>
              </w:rPr>
            </w:pPr>
            <w:r w:rsidRPr="00845763">
              <w:rPr>
                <w:rFonts w:eastAsia="Times New Roman"/>
                <w:b/>
                <w:bCs/>
                <w:i/>
                <w:iCs/>
                <w:sz w:val="18"/>
                <w:szCs w:val="18"/>
                <w:lang w:eastAsia="ru-RU"/>
              </w:rPr>
              <w:t>Цикл 1</w:t>
            </w:r>
            <w:r w:rsidRPr="00845763">
              <w:rPr>
                <w:rFonts w:eastAsia="Times New Roman"/>
                <w:b/>
                <w:bCs/>
                <w:i/>
                <w:iCs/>
                <w:sz w:val="18"/>
                <w:szCs w:val="18"/>
                <w:lang w:eastAsia="ru-RU"/>
              </w:rPr>
              <w:br/>
            </w:r>
            <w:r w:rsidRPr="00845763">
              <w:rPr>
                <w:rFonts w:eastAsia="Times New Roman"/>
                <w:sz w:val="18"/>
                <w:szCs w:val="18"/>
                <w:lang w:eastAsia="ru-RU"/>
              </w:rPr>
              <w:br/>
              <w:t>День 1, 2</w:t>
            </w:r>
            <w:r w:rsidRPr="00845763">
              <w:rPr>
                <w:rFonts w:eastAsia="Times New Roman"/>
                <w:sz w:val="18"/>
                <w:szCs w:val="18"/>
                <w:lang w:eastAsia="ru-RU"/>
              </w:rPr>
              <w:br/>
            </w: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FAE3853"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Все пациенты</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9B396C0" w14:textId="77777777" w:rsidR="00AD4D8E" w:rsidRPr="00845763" w:rsidRDefault="00AD4D8E" w:rsidP="00714673">
            <w:pPr>
              <w:rPr>
                <w:rFonts w:eastAsia="Times New Roman"/>
                <w:sz w:val="18"/>
                <w:szCs w:val="18"/>
                <w:lang w:eastAsia="ru-RU"/>
              </w:rPr>
            </w:pPr>
            <w:r w:rsidRPr="000526C3">
              <w:rPr>
                <w:rFonts w:eastAsia="Times New Roman"/>
                <w:sz w:val="18"/>
                <w:szCs w:val="18"/>
                <w:lang w:eastAsia="ru-RU"/>
              </w:rPr>
              <w:t>Глюкокортикостероиды</w:t>
            </w:r>
            <w:r w:rsidRPr="00845763">
              <w:rPr>
                <w:rFonts w:eastAsia="Times New Roman"/>
                <w:sz w:val="18"/>
                <w:szCs w:val="18"/>
                <w:lang w:eastAsia="ru-RU"/>
              </w:rPr>
              <w:t xml:space="preserve"> </w:t>
            </w:r>
            <w:r w:rsidRPr="00CA2EB3">
              <w:rPr>
                <w:sz w:val="18"/>
                <w:szCs w:val="18"/>
              </w:rPr>
              <w:t>внутривенно</w:t>
            </w:r>
            <w:r w:rsidRPr="00845763">
              <w:rPr>
                <w:rFonts w:eastAsia="Times New Roman"/>
                <w:sz w:val="18"/>
                <w:szCs w:val="18"/>
                <w:lang w:eastAsia="ru-RU"/>
              </w:rPr>
              <w:t>:</w:t>
            </w:r>
            <w:r w:rsidRPr="00845763">
              <w:rPr>
                <w:rFonts w:eastAsia="Times New Roman"/>
                <w:sz w:val="18"/>
                <w:szCs w:val="18"/>
                <w:lang w:eastAsia="ru-RU"/>
              </w:rPr>
              <w:br/>
              <w:t>преднизон/преднизолон 100 мг</w:t>
            </w:r>
            <w:r w:rsidRPr="00845763">
              <w:rPr>
                <w:rFonts w:eastAsia="Times New Roman"/>
                <w:sz w:val="18"/>
                <w:szCs w:val="18"/>
                <w:lang w:eastAsia="ru-RU"/>
              </w:rPr>
              <w:br/>
              <w:t>или дексаметазон 20 мг</w:t>
            </w:r>
            <w:r w:rsidRPr="00845763">
              <w:rPr>
                <w:rFonts w:eastAsia="Times New Roman"/>
                <w:sz w:val="18"/>
                <w:szCs w:val="18"/>
                <w:lang w:eastAsia="ru-RU"/>
              </w:rPr>
              <w:br/>
              <w:t>или метилпреднизолон 80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9AB3257"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Введение необходимо завершить не менее чем за 1 ч до начала инфузии препарата </w:t>
            </w:r>
          </w:p>
        </w:tc>
      </w:tr>
      <w:tr w:rsidR="00AD4D8E" w:rsidRPr="00845763" w14:paraId="7D1E3E03"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0AE0D739" w14:textId="77777777" w:rsidR="00AD4D8E" w:rsidRPr="00845763" w:rsidRDefault="00AD4D8E" w:rsidP="00714673">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6EAD6F95" w14:textId="77777777" w:rsidR="00AD4D8E" w:rsidRPr="00845763" w:rsidRDefault="00AD4D8E" w:rsidP="00714673">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E9EAB15"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815F328"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7187F8E3"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0C3DFC4B" w14:textId="77777777" w:rsidR="00AD4D8E" w:rsidRPr="00845763" w:rsidRDefault="00AD4D8E" w:rsidP="00714673">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41047ED2" w14:textId="77777777" w:rsidR="00AD4D8E" w:rsidRPr="00845763" w:rsidRDefault="00AD4D8E" w:rsidP="00714673">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4821341"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6D29A410" w14:textId="77777777" w:rsidR="00AD4D8E" w:rsidRPr="00845763" w:rsidRDefault="00AD4D8E" w:rsidP="00714673">
            <w:pPr>
              <w:rPr>
                <w:rFonts w:eastAsia="Times New Roman"/>
                <w:sz w:val="18"/>
                <w:szCs w:val="18"/>
                <w:lang w:eastAsia="ru-RU"/>
              </w:rPr>
            </w:pPr>
          </w:p>
        </w:tc>
      </w:tr>
      <w:tr w:rsidR="00AD4D8E" w:rsidRPr="00845763" w14:paraId="0BDFBF51" w14:textId="77777777" w:rsidTr="00714673">
        <w:tc>
          <w:tcPr>
            <w:tcW w:w="69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8641F12" w14:textId="77777777" w:rsidR="00AD4D8E" w:rsidRPr="00845763" w:rsidRDefault="00AD4D8E" w:rsidP="00714673">
            <w:pPr>
              <w:rPr>
                <w:rFonts w:eastAsia="Times New Roman"/>
                <w:sz w:val="18"/>
                <w:szCs w:val="18"/>
                <w:lang w:eastAsia="ru-RU"/>
              </w:rPr>
            </w:pPr>
            <w:r w:rsidRPr="00845763">
              <w:rPr>
                <w:rFonts w:eastAsia="Times New Roman"/>
                <w:b/>
                <w:bCs/>
                <w:i/>
                <w:iCs/>
                <w:sz w:val="18"/>
                <w:szCs w:val="18"/>
                <w:lang w:eastAsia="ru-RU"/>
              </w:rPr>
              <w:t>Все последующие инфузии</w:t>
            </w:r>
            <w:r w:rsidRPr="00845763">
              <w:rPr>
                <w:rFonts w:eastAsia="Times New Roman"/>
                <w:b/>
                <w:bCs/>
                <w:i/>
                <w:iCs/>
                <w:sz w:val="18"/>
                <w:szCs w:val="18"/>
                <w:lang w:eastAsia="ru-RU"/>
              </w:rPr>
              <w:br/>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40899BC"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Пациенты без </w:t>
            </w:r>
            <w:r>
              <w:rPr>
                <w:rFonts w:eastAsia="Times New Roman"/>
                <w:sz w:val="18"/>
                <w:szCs w:val="18"/>
                <w:lang w:eastAsia="ru-RU"/>
              </w:rPr>
              <w:t>инфузионных реакций</w:t>
            </w:r>
            <w:r w:rsidRPr="00845763">
              <w:rPr>
                <w:rFonts w:eastAsia="Times New Roman"/>
                <w:sz w:val="18"/>
                <w:szCs w:val="18"/>
                <w:lang w:eastAsia="ru-RU"/>
              </w:rPr>
              <w:t xml:space="preserve"> при предшествующей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8FE6A82"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348D352"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1A75512F"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21BB47B1" w14:textId="77777777" w:rsidR="00AD4D8E" w:rsidRPr="00845763" w:rsidRDefault="00AD4D8E" w:rsidP="00714673">
            <w:pPr>
              <w:rPr>
                <w:rFonts w:eastAsia="Times New Roman"/>
                <w:sz w:val="18"/>
                <w:szCs w:val="18"/>
                <w:lang w:eastAsia="ru-RU"/>
              </w:rPr>
            </w:pP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8BA0CCC"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Пациенты с </w:t>
            </w:r>
            <w:r>
              <w:rPr>
                <w:rFonts w:eastAsia="Times New Roman"/>
                <w:sz w:val="18"/>
                <w:szCs w:val="18"/>
                <w:lang w:eastAsia="ru-RU"/>
              </w:rPr>
              <w:t>инфузионными реакциями</w:t>
            </w:r>
            <w:r w:rsidRPr="00845763">
              <w:rPr>
                <w:rFonts w:eastAsia="Times New Roman"/>
                <w:sz w:val="18"/>
                <w:szCs w:val="18"/>
                <w:lang w:eastAsia="ru-RU"/>
              </w:rPr>
              <w:t xml:space="preserve"> (1 или 2 степени) при предшествующей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489AA22"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0507A6C"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7012B9F1"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21B84AA6" w14:textId="77777777" w:rsidR="00AD4D8E" w:rsidRPr="00845763" w:rsidRDefault="00AD4D8E" w:rsidP="00714673">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36147C3A" w14:textId="77777777" w:rsidR="00AD4D8E" w:rsidRPr="00845763" w:rsidRDefault="00AD4D8E" w:rsidP="00714673">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AEE8035"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3AB94181" w14:textId="77777777" w:rsidR="00AD4D8E" w:rsidRPr="00845763" w:rsidRDefault="00AD4D8E" w:rsidP="00714673">
            <w:pPr>
              <w:rPr>
                <w:rFonts w:eastAsia="Times New Roman"/>
                <w:sz w:val="18"/>
                <w:szCs w:val="18"/>
                <w:lang w:eastAsia="ru-RU"/>
              </w:rPr>
            </w:pPr>
          </w:p>
        </w:tc>
      </w:tr>
      <w:tr w:rsidR="00AD4D8E" w:rsidRPr="00845763" w14:paraId="11531A1A"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197448B7" w14:textId="77777777" w:rsidR="00AD4D8E" w:rsidRPr="00845763" w:rsidRDefault="00AD4D8E" w:rsidP="00714673">
            <w:pPr>
              <w:rPr>
                <w:rFonts w:eastAsia="Times New Roman"/>
                <w:sz w:val="18"/>
                <w:szCs w:val="18"/>
                <w:lang w:eastAsia="ru-RU"/>
              </w:rPr>
            </w:pP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D165931"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Пациенты с </w:t>
            </w:r>
            <w:r>
              <w:rPr>
                <w:rFonts w:eastAsia="Times New Roman"/>
                <w:sz w:val="18"/>
                <w:szCs w:val="18"/>
                <w:lang w:eastAsia="ru-RU"/>
              </w:rPr>
              <w:t>инфузионными реакциями</w:t>
            </w:r>
            <w:r w:rsidRPr="00845763">
              <w:rPr>
                <w:rFonts w:eastAsia="Times New Roman"/>
                <w:sz w:val="18"/>
                <w:szCs w:val="18"/>
                <w:lang w:eastAsia="ru-RU"/>
              </w:rPr>
              <w:t xml:space="preserve"> 3 степени при предшествующей инфузии или пациенты с числом лимфоцитов &gt;25×10</w:t>
            </w:r>
            <w:r w:rsidRPr="00845763">
              <w:rPr>
                <w:rFonts w:eastAsia="Times New Roman"/>
                <w:sz w:val="18"/>
                <w:szCs w:val="18"/>
                <w:vertAlign w:val="superscript"/>
                <w:lang w:eastAsia="ru-RU"/>
              </w:rPr>
              <w:t>9</w:t>
            </w:r>
            <w:r w:rsidRPr="00845763">
              <w:rPr>
                <w:rFonts w:eastAsia="Times New Roman"/>
                <w:sz w:val="18"/>
                <w:szCs w:val="18"/>
                <w:lang w:eastAsia="ru-RU"/>
              </w:rPr>
              <w:t>/л перед проведением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D6875ED" w14:textId="77777777" w:rsidR="00AD4D8E" w:rsidRPr="00845763" w:rsidRDefault="00AD4D8E" w:rsidP="00714673">
            <w:pPr>
              <w:rPr>
                <w:rFonts w:eastAsia="Times New Roman"/>
                <w:sz w:val="18"/>
                <w:szCs w:val="18"/>
                <w:lang w:eastAsia="ru-RU"/>
              </w:rPr>
            </w:pPr>
            <w:r>
              <w:rPr>
                <w:rFonts w:eastAsia="Times New Roman"/>
                <w:sz w:val="18"/>
                <w:szCs w:val="18"/>
                <w:lang w:eastAsia="ru-RU"/>
              </w:rPr>
              <w:t>Глюкокортикостероиды</w:t>
            </w:r>
            <w:r w:rsidRPr="00845763">
              <w:rPr>
                <w:rFonts w:eastAsia="Times New Roman"/>
                <w:sz w:val="18"/>
                <w:szCs w:val="18"/>
                <w:lang w:eastAsia="ru-RU"/>
              </w:rPr>
              <w:t xml:space="preserve">, </w:t>
            </w:r>
            <w:r w:rsidRPr="00CA2EB3">
              <w:rPr>
                <w:sz w:val="18"/>
                <w:szCs w:val="18"/>
              </w:rPr>
              <w:t>внутривенно</w:t>
            </w:r>
            <w:r w:rsidRPr="00845763">
              <w:rPr>
                <w:rFonts w:eastAsia="Times New Roman"/>
                <w:sz w:val="18"/>
                <w:szCs w:val="18"/>
                <w:lang w:eastAsia="ru-RU"/>
              </w:rPr>
              <w:t>:</w:t>
            </w:r>
            <w:r w:rsidRPr="00845763">
              <w:rPr>
                <w:rFonts w:eastAsia="Times New Roman"/>
                <w:sz w:val="18"/>
                <w:szCs w:val="18"/>
                <w:lang w:eastAsia="ru-RU"/>
              </w:rPr>
              <w:br/>
              <w:t>преднизон/преднизолон 100 мг</w:t>
            </w:r>
            <w:r w:rsidRPr="00845763">
              <w:rPr>
                <w:rFonts w:eastAsia="Times New Roman"/>
                <w:sz w:val="18"/>
                <w:szCs w:val="18"/>
                <w:lang w:eastAsia="ru-RU"/>
              </w:rPr>
              <w:br/>
              <w:t>или дексаметазон 20 мг</w:t>
            </w:r>
            <w:r w:rsidRPr="00845763">
              <w:rPr>
                <w:rFonts w:eastAsia="Times New Roman"/>
                <w:sz w:val="18"/>
                <w:szCs w:val="18"/>
                <w:lang w:eastAsia="ru-RU"/>
              </w:rPr>
              <w:br/>
              <w:t>или метилпреднизолон 80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B811017"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Введение необходимо завершить не менее чем за 1 ч до начала инфузии препарата </w:t>
            </w:r>
          </w:p>
        </w:tc>
      </w:tr>
      <w:tr w:rsidR="00AD4D8E" w:rsidRPr="00845763" w14:paraId="60CE75E9"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3C1CFF75" w14:textId="77777777" w:rsidR="00AD4D8E" w:rsidRPr="00845763" w:rsidRDefault="00AD4D8E" w:rsidP="00714673">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3F810532" w14:textId="77777777" w:rsidR="00AD4D8E" w:rsidRPr="00845763" w:rsidRDefault="00AD4D8E" w:rsidP="00714673">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3B112E6"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B2EE330"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0D8F952D" w14:textId="77777777" w:rsidTr="00714673">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6B8E64CD" w14:textId="77777777" w:rsidR="00AD4D8E" w:rsidRPr="00845763" w:rsidRDefault="00AD4D8E" w:rsidP="00714673">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50BE01A9" w14:textId="77777777" w:rsidR="00AD4D8E" w:rsidRPr="00845763" w:rsidRDefault="00AD4D8E" w:rsidP="00714673">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4528D88" w14:textId="77777777" w:rsidR="00AD4D8E" w:rsidRPr="00845763" w:rsidRDefault="00AD4D8E" w:rsidP="00714673">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0E0C6BC8" w14:textId="77777777" w:rsidR="00AD4D8E" w:rsidRPr="00845763" w:rsidRDefault="00AD4D8E" w:rsidP="00714673">
            <w:pPr>
              <w:rPr>
                <w:rFonts w:eastAsia="Times New Roman"/>
                <w:sz w:val="18"/>
                <w:szCs w:val="18"/>
                <w:lang w:eastAsia="ru-RU"/>
              </w:rPr>
            </w:pPr>
          </w:p>
        </w:tc>
      </w:tr>
    </w:tbl>
    <w:p w14:paraId="585A97B1" w14:textId="77777777" w:rsidR="00AD4D8E" w:rsidRDefault="00AD4D8E" w:rsidP="00AD4D8E">
      <w:pPr>
        <w:rPr>
          <w:szCs w:val="24"/>
        </w:rPr>
      </w:pPr>
    </w:p>
    <w:p w14:paraId="267A51EB" w14:textId="77777777" w:rsidR="00AD4D8E" w:rsidRPr="00786B08" w:rsidRDefault="00AD4D8E" w:rsidP="00AD4D8E">
      <w:pPr>
        <w:ind w:firstLine="708"/>
        <w:rPr>
          <w:szCs w:val="24"/>
        </w:rPr>
      </w:pPr>
      <w:r>
        <w:rPr>
          <w:szCs w:val="24"/>
        </w:rPr>
        <w:t>При развитии инфузионной реакции</w:t>
      </w:r>
      <w:r w:rsidRPr="00786B08">
        <w:rPr>
          <w:szCs w:val="24"/>
        </w:rPr>
        <w:t xml:space="preserve"> следует скорректировать скорость инфузии в зависимости от степени тяжести наблюдаемой реакции</w:t>
      </w:r>
      <w:r>
        <w:rPr>
          <w:szCs w:val="24"/>
        </w:rPr>
        <w:t>: п</w:t>
      </w:r>
      <w:r w:rsidRPr="00786B08">
        <w:rPr>
          <w:szCs w:val="24"/>
        </w:rPr>
        <w:t xml:space="preserve">ри развитии </w:t>
      </w:r>
      <w:r>
        <w:rPr>
          <w:szCs w:val="24"/>
        </w:rPr>
        <w:t>реакции</w:t>
      </w:r>
      <w:r w:rsidRPr="00786B08">
        <w:rPr>
          <w:szCs w:val="24"/>
        </w:rPr>
        <w:t xml:space="preserve"> 1-3 степени следует временно приостановить инфузию и провести медикаментозную терапию, необходимую для устранения симптомов. При развитии </w:t>
      </w:r>
      <w:r>
        <w:rPr>
          <w:szCs w:val="24"/>
        </w:rPr>
        <w:t>реакции</w:t>
      </w:r>
      <w:r w:rsidRPr="00786B08">
        <w:rPr>
          <w:szCs w:val="24"/>
        </w:rPr>
        <w:t xml:space="preserve"> 4-й степени следует прервать инфузию и полностью прекратить терапию. После разрешения симптомов </w:t>
      </w:r>
      <w:r>
        <w:rPr>
          <w:szCs w:val="24"/>
        </w:rPr>
        <w:t>инфузионной реакции</w:t>
      </w:r>
      <w:r w:rsidRPr="00786B08">
        <w:rPr>
          <w:szCs w:val="24"/>
        </w:rPr>
        <w:t xml:space="preserve"> инфузию можно возобновить (за исключением случаев 4-й степени) со скоростью в 2 раза ниже, чем скорость, при которой развились </w:t>
      </w:r>
      <w:r>
        <w:rPr>
          <w:szCs w:val="24"/>
        </w:rPr>
        <w:t>реакции</w:t>
      </w:r>
      <w:r w:rsidRPr="00786B08">
        <w:rPr>
          <w:szCs w:val="24"/>
        </w:rPr>
        <w:t xml:space="preserve">. Если у пациента не наблюдается повторение того же самого нежелательного явления той же самой степени тяжести, можно повышать скорость инфузии с тем же шагом и интервалом, которые рекомендованы. Если скорость возобновленной инфузии переносится плохо, необходимо следовать рекомендациям по скорости инфузии для цикла 1, день 1 и день 2. </w:t>
      </w:r>
    </w:p>
    <w:p w14:paraId="3DA57E6F" w14:textId="77777777" w:rsidR="00AD4D8E" w:rsidRPr="00786B08" w:rsidRDefault="00AD4D8E" w:rsidP="00AD4D8E">
      <w:pPr>
        <w:ind w:firstLine="708"/>
        <w:rPr>
          <w:szCs w:val="24"/>
        </w:rPr>
      </w:pPr>
      <w:r w:rsidRPr="00786B08">
        <w:rPr>
          <w:szCs w:val="24"/>
        </w:rPr>
        <w:t>Во время инфузии обинутузумаба возможно понижение АД. В связи с этим следует рассмотреть возможность приостановки лечения антигипертензивными </w:t>
      </w:r>
      <w:r>
        <w:rPr>
          <w:szCs w:val="24"/>
        </w:rPr>
        <w:t>препаратами</w:t>
      </w:r>
      <w:r w:rsidRPr="00786B08">
        <w:rPr>
          <w:szCs w:val="24"/>
        </w:rPr>
        <w:t> в течение 12 ч перед каждой инфузией, на протяжении каждой инфузии и в продолжение 1 ч после введения обинутузумаба.</w:t>
      </w:r>
    </w:p>
    <w:p w14:paraId="10F04EE7" w14:textId="77777777" w:rsidR="00AD4D8E" w:rsidRPr="00786B08" w:rsidRDefault="00AD4D8E" w:rsidP="00AD4D8E">
      <w:pPr>
        <w:rPr>
          <w:szCs w:val="24"/>
        </w:rPr>
      </w:pPr>
      <w:r w:rsidRPr="00786B08">
        <w:rPr>
          <w:szCs w:val="24"/>
        </w:rPr>
        <w:t xml:space="preserve"> </w:t>
      </w:r>
      <w:r w:rsidRPr="00786B08">
        <w:rPr>
          <w:szCs w:val="24"/>
        </w:rPr>
        <w:tab/>
        <w:t>На фоне терапии обинутузумабом возможно развитие анафилаксии</w:t>
      </w:r>
      <w:r>
        <w:rPr>
          <w:szCs w:val="24"/>
        </w:rPr>
        <w:t>, при этом в</w:t>
      </w:r>
      <w:r w:rsidRPr="00786B08">
        <w:rPr>
          <w:szCs w:val="24"/>
        </w:rPr>
        <w:t>озможны затруднения при дифференциальной диагностике р</w:t>
      </w:r>
      <w:r>
        <w:rPr>
          <w:szCs w:val="24"/>
        </w:rPr>
        <w:t>еакции гиперчувствительности и</w:t>
      </w:r>
      <w:r w:rsidRPr="00786B08">
        <w:rPr>
          <w:szCs w:val="24"/>
        </w:rPr>
        <w:t xml:space="preserve"> </w:t>
      </w:r>
      <w:r>
        <w:rPr>
          <w:szCs w:val="24"/>
        </w:rPr>
        <w:t>инфузионной реакции</w:t>
      </w:r>
      <w:r w:rsidRPr="00786B08">
        <w:rPr>
          <w:szCs w:val="24"/>
        </w:rPr>
        <w:t>. Если во время инфузии подозревается развитие реакции гиперчувствительности (развитие симптомов происходит, как правило, при последующих введениях, очень редко симптомы развиваются во время первой инфузии), введение должно быть прекращено, и терапию обинутузумабом следует отменить.</w:t>
      </w:r>
    </w:p>
    <w:p w14:paraId="6E0FC0F1" w14:textId="7EB9FF38" w:rsidR="00AD4D8E" w:rsidRPr="00786B08" w:rsidRDefault="00AD4D8E" w:rsidP="00AD4D8E">
      <w:pPr>
        <w:rPr>
          <w:szCs w:val="24"/>
        </w:rPr>
      </w:pPr>
      <w:r w:rsidRPr="00786B08">
        <w:rPr>
          <w:szCs w:val="24"/>
        </w:rPr>
        <w:t xml:space="preserve"> </w:t>
      </w:r>
      <w:r w:rsidRPr="00786B08">
        <w:rPr>
          <w:szCs w:val="24"/>
        </w:rPr>
        <w:tab/>
        <w:t xml:space="preserve">Пациентам из группы риска развития </w:t>
      </w:r>
      <w:r>
        <w:rPr>
          <w:szCs w:val="24"/>
        </w:rPr>
        <w:t>с</w:t>
      </w:r>
      <w:r w:rsidRPr="00786B08">
        <w:rPr>
          <w:szCs w:val="24"/>
        </w:rPr>
        <w:t>индром</w:t>
      </w:r>
      <w:r>
        <w:rPr>
          <w:szCs w:val="24"/>
        </w:rPr>
        <w:t>а</w:t>
      </w:r>
      <w:r w:rsidRPr="00786B08">
        <w:rPr>
          <w:szCs w:val="24"/>
        </w:rPr>
        <w:t xml:space="preserve"> лизиса опухоли (с </w:t>
      </w:r>
      <w:r>
        <w:rPr>
          <w:szCs w:val="24"/>
        </w:rPr>
        <w:t xml:space="preserve">большой </w:t>
      </w:r>
      <w:r w:rsidRPr="00786B08">
        <w:rPr>
          <w:szCs w:val="24"/>
        </w:rPr>
        <w:t xml:space="preserve">опухолевой </w:t>
      </w:r>
      <w:r>
        <w:rPr>
          <w:szCs w:val="24"/>
        </w:rPr>
        <w:t>массой</w:t>
      </w:r>
      <w:r w:rsidRPr="00786B08">
        <w:rPr>
          <w:szCs w:val="24"/>
        </w:rPr>
        <w:t xml:space="preserve"> и/или высоким содержанием лимфоцитов в периферической крови и/или почечной недостаточностью </w:t>
      </w:r>
      <w:r>
        <w:rPr>
          <w:szCs w:val="24"/>
        </w:rPr>
        <w:t>с клиренсом</w:t>
      </w:r>
      <w:r w:rsidRPr="00786B08">
        <w:rPr>
          <w:szCs w:val="24"/>
        </w:rPr>
        <w:t> креатинина &lt;70 мл/мин</w:t>
      </w:r>
      <w:r>
        <w:rPr>
          <w:szCs w:val="24"/>
        </w:rPr>
        <w:t>)</w:t>
      </w:r>
      <w:r w:rsidRPr="00786B08">
        <w:rPr>
          <w:szCs w:val="24"/>
        </w:rPr>
        <w:t xml:space="preserve"> н</w:t>
      </w:r>
      <w:r>
        <w:rPr>
          <w:szCs w:val="24"/>
        </w:rPr>
        <w:t>еобходимо провести профилактику синдрома, включающую</w:t>
      </w:r>
      <w:r w:rsidRPr="00786B08">
        <w:rPr>
          <w:szCs w:val="24"/>
        </w:rPr>
        <w:t xml:space="preserve"> адекватную гидратацию и назначение гипоурикемических </w:t>
      </w:r>
      <w:r>
        <w:rPr>
          <w:szCs w:val="24"/>
        </w:rPr>
        <w:t>препаратов</w:t>
      </w:r>
      <w:r w:rsidRPr="00786B08">
        <w:rPr>
          <w:szCs w:val="24"/>
        </w:rPr>
        <w:t xml:space="preserve"> (например аллопуринол или другие препараты) до начала инфузии. </w:t>
      </w:r>
    </w:p>
    <w:p w14:paraId="53C050FC" w14:textId="1E9369D6" w:rsidR="00EF640F" w:rsidRDefault="00EF640F" w:rsidP="005D3BBD"/>
    <w:p w14:paraId="795A3CAC" w14:textId="20F690CF" w:rsidR="00BE7F89" w:rsidRPr="00BE7F89" w:rsidRDefault="007829FC" w:rsidP="00BE7F89">
      <w:pPr>
        <w:pStyle w:val="2"/>
        <w:rPr>
          <w:rFonts w:eastAsia="SimSun"/>
        </w:rPr>
      </w:pPr>
      <w:bookmarkStart w:id="104" w:name="_Toc65068833"/>
      <w:r w:rsidRPr="00BE7F89">
        <w:t xml:space="preserve">Приложение А3.5. </w:t>
      </w:r>
      <w:r w:rsidR="00BE7F89" w:rsidRPr="00BE7F89">
        <w:rPr>
          <w:rFonts w:eastAsia="SimSun"/>
        </w:rPr>
        <w:t>Проведение трансплантации аллогенных гемопоэтических стволовых клеток</w:t>
      </w:r>
      <w:bookmarkEnd w:id="104"/>
    </w:p>
    <w:p w14:paraId="15D67B50" w14:textId="77777777" w:rsidR="00BE7F89" w:rsidRPr="00C07B2E" w:rsidRDefault="00BE7F89" w:rsidP="00BE7F89">
      <w:pPr>
        <w:rPr>
          <w:rFonts w:eastAsia="SimSun"/>
        </w:rPr>
      </w:pPr>
    </w:p>
    <w:p w14:paraId="60456408" w14:textId="77777777" w:rsidR="00BE7F89" w:rsidRPr="00EE51B1" w:rsidRDefault="00BE7F89" w:rsidP="00BE7F89">
      <w:pPr>
        <w:rPr>
          <w:rFonts w:eastAsia="SimSun"/>
          <w:b/>
        </w:rPr>
      </w:pPr>
      <w:bookmarkStart w:id="105" w:name="_Toc44401103"/>
      <w:r w:rsidRPr="00EE51B1">
        <w:rPr>
          <w:rFonts w:eastAsia="SimSun"/>
          <w:b/>
        </w:rPr>
        <w:t>1. Отбор пациентов для трансплантации аллогенных гемопоэтических стволовых клеток</w:t>
      </w:r>
      <w:bookmarkEnd w:id="105"/>
    </w:p>
    <w:p w14:paraId="611B7B0B" w14:textId="63EA16F3" w:rsidR="00BE7F89" w:rsidRPr="00EE51B1" w:rsidRDefault="00BE7F89" w:rsidP="00BE7F89">
      <w:pPr>
        <w:rPr>
          <w:rFonts w:eastAsia="SimSun"/>
          <w:i/>
          <w:u w:val="single"/>
        </w:rPr>
      </w:pPr>
      <w:bookmarkStart w:id="106" w:name="_Toc44401106"/>
      <w:r w:rsidRPr="00EE51B1">
        <w:rPr>
          <w:rFonts w:eastAsia="SimSun"/>
          <w:i/>
          <w:u w:val="single"/>
        </w:rPr>
        <w:t>Показания для проведения алло-ТГСК</w:t>
      </w:r>
      <w:bookmarkEnd w:id="106"/>
      <w:r w:rsidRPr="00EE51B1">
        <w:rPr>
          <w:rFonts w:eastAsia="SimSun"/>
          <w:i/>
          <w:u w:val="single"/>
        </w:rPr>
        <w:t xml:space="preserve"> </w:t>
      </w:r>
      <w:r w:rsidRPr="00EE51B1">
        <w:rPr>
          <w:rFonts w:eastAsia="SimSun"/>
          <w:u w:val="single"/>
        </w:rPr>
        <w:fldChar w:fldCharType="begin" w:fldLock="1"/>
      </w:r>
      <w:r>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u w:val="single"/>
        </w:rPr>
        <w:fldChar w:fldCharType="separate"/>
      </w:r>
      <w:r w:rsidRPr="00BE7F89">
        <w:rPr>
          <w:rFonts w:eastAsia="SimSun"/>
          <w:noProof/>
        </w:rPr>
        <w:t>[92]</w:t>
      </w:r>
      <w:r w:rsidRPr="00EE51B1">
        <w:rPr>
          <w:rFonts w:eastAsia="SimSun"/>
          <w:u w:val="single"/>
        </w:rPr>
        <w:fldChar w:fldCharType="end"/>
      </w:r>
      <w:r w:rsidRPr="00EE51B1">
        <w:rPr>
          <w:rFonts w:eastAsia="SimSun"/>
          <w:i/>
          <w:u w:val="single"/>
        </w:rPr>
        <w:t>:</w:t>
      </w:r>
    </w:p>
    <w:p w14:paraId="764C43AA" w14:textId="77777777" w:rsidR="00BE7F89" w:rsidRPr="00C07B2E" w:rsidRDefault="00BE7F89" w:rsidP="005B002C">
      <w:pPr>
        <w:ind w:firstLine="709"/>
        <w:rPr>
          <w:rFonts w:eastAsia="SimSun"/>
        </w:rPr>
      </w:pPr>
      <w:r w:rsidRPr="00C07B2E">
        <w:rPr>
          <w:rFonts w:eastAsia="SimSun"/>
        </w:rPr>
        <w:t xml:space="preserve">Медицинские показания к трансплантации костного мозга и гемопоэтических стволовых клеток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53256).В качестве кандидатов для проведения алло-ТГСК могут рассматриваться пациенты, имеющие: </w:t>
      </w:r>
    </w:p>
    <w:p w14:paraId="66CCB576"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злокачественные и другие новообразования лимфоидной, кроветворной и родственной им тканей;</w:t>
      </w:r>
    </w:p>
    <w:p w14:paraId="565A4E80"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болезни крови, кроветворных органов и отдельные нарушения, вовлекающие иммунный механизм;</w:t>
      </w:r>
    </w:p>
    <w:p w14:paraId="61826E26"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врожденные иммунодефицитные синдромы;</w:t>
      </w:r>
    </w:p>
    <w:p w14:paraId="63C885FD"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врожденные аномалии (пороки развития), деформации и хромосомные нарушения, болезни эндокринной системы, расстройства питания и нарушения обмена веществ, которые могут быть скорригированы с помощью трансплантации гемопоэтических клеток;</w:t>
      </w:r>
    </w:p>
    <w:p w14:paraId="1EC9211D"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злокачественные новообразования мезотелиальной и мягких тканей (рабдомиосаркома);</w:t>
      </w:r>
    </w:p>
    <w:p w14:paraId="25082616"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злокачественные новообразования костей и суставных хрящей (саркома Юинга, хондросаркома, фибросаркома);</w:t>
      </w:r>
    </w:p>
    <w:p w14:paraId="44A9D795"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нейроэпителиальные новообразования (нейробластома, ретинобластома);</w:t>
      </w:r>
    </w:p>
    <w:p w14:paraId="42C054CF"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демиелинизирующие болезни центральной нервной системы (рассеянный склероз);</w:t>
      </w:r>
    </w:p>
    <w:p w14:paraId="67824F54"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герминогенные новообразования;</w:t>
      </w:r>
    </w:p>
    <w:p w14:paraId="0D2A4A52"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сложные и смешанные стромальные новообразования (нефробластома);</w:t>
      </w:r>
    </w:p>
    <w:p w14:paraId="2A71E87C"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глиомы (примитивная нейроэктодермальная опухоль);</w:t>
      </w:r>
    </w:p>
    <w:p w14:paraId="6EF09577"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злокачественные новообразования печени и внутрипеченочных желчных протоков (гепатобластома);</w:t>
      </w:r>
    </w:p>
    <w:p w14:paraId="1EA2EDD2"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болезни кожи и подкожной клетчатки (склеродермия);</w:t>
      </w:r>
    </w:p>
    <w:p w14:paraId="6B8A40DE"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системные поражения соединительной ткани (системная красная волчанка);</w:t>
      </w:r>
    </w:p>
    <w:p w14:paraId="31E76B9A" w14:textId="77777777" w:rsidR="00BE7F89" w:rsidRPr="00C07B2E" w:rsidRDefault="00BE7F89" w:rsidP="005B002C">
      <w:pPr>
        <w:numPr>
          <w:ilvl w:val="0"/>
          <w:numId w:val="59"/>
        </w:numPr>
        <w:overflowPunct w:val="0"/>
        <w:autoSpaceDE w:val="0"/>
        <w:autoSpaceDN w:val="0"/>
        <w:adjustRightInd w:val="0"/>
        <w:textAlignment w:val="baseline"/>
        <w:rPr>
          <w:rFonts w:eastAsia="SimSun"/>
        </w:rPr>
      </w:pPr>
      <w:r w:rsidRPr="00C07B2E">
        <w:rPr>
          <w:rFonts w:eastAsia="SimSun"/>
        </w:rPr>
        <w:t>иные заболевания (состояния), при которых в соответствии с клиническими рекомендациями (протоколами лечения) по вопросам оказания медицинской помощи применяется трансплантации костного мозга или гемопоэтических стволовых клеток.</w:t>
      </w:r>
    </w:p>
    <w:p w14:paraId="1617BC9A" w14:textId="77777777" w:rsidR="00BE7F89" w:rsidRDefault="00BE7F89" w:rsidP="00BE7F89">
      <w:pPr>
        <w:rPr>
          <w:rFonts w:eastAsia="SimSun"/>
        </w:rPr>
      </w:pPr>
      <w:bookmarkStart w:id="107" w:name="_Toc44401107"/>
    </w:p>
    <w:p w14:paraId="27AB28A1" w14:textId="4A80D706" w:rsidR="00BE7F89" w:rsidRPr="00EE51B1" w:rsidRDefault="00BE7F89" w:rsidP="00BE7F89">
      <w:pPr>
        <w:rPr>
          <w:rFonts w:eastAsia="SimSun"/>
          <w:i/>
          <w:u w:val="single"/>
        </w:rPr>
      </w:pPr>
      <w:r w:rsidRPr="00EE51B1">
        <w:rPr>
          <w:rFonts w:eastAsia="SimSun"/>
          <w:i/>
          <w:u w:val="single"/>
        </w:rPr>
        <w:t>Основные критерии для определения рисков трансплантационной летальности у пациентов, которым планируется выполнение алло-ТГСК</w:t>
      </w:r>
      <w:bookmarkEnd w:id="107"/>
      <w:r>
        <w:rPr>
          <w:rFonts w:eastAsia="SimSun"/>
          <w:i/>
          <w:u w:val="single"/>
        </w:rPr>
        <w:t xml:space="preserve"> </w:t>
      </w:r>
      <w:r w:rsidRPr="00EE51B1">
        <w:rPr>
          <w:rFonts w:eastAsia="SimSun"/>
          <w:u w:val="single"/>
        </w:rPr>
        <w:fldChar w:fldCharType="begin" w:fldLock="1"/>
      </w:r>
      <w:r>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u w:val="single"/>
        </w:rPr>
        <w:fldChar w:fldCharType="separate"/>
      </w:r>
      <w:r w:rsidRPr="00BE7F89">
        <w:rPr>
          <w:rFonts w:eastAsia="SimSun"/>
          <w:noProof/>
        </w:rPr>
        <w:t>[92]</w:t>
      </w:r>
      <w:r w:rsidRPr="00EE51B1">
        <w:rPr>
          <w:rFonts w:eastAsia="SimSun"/>
          <w:u w:val="single"/>
        </w:rPr>
        <w:fldChar w:fldCharType="end"/>
      </w:r>
      <w:r>
        <w:rPr>
          <w:rFonts w:eastAsia="SimSun"/>
          <w:i/>
          <w:u w:val="single"/>
        </w:rPr>
        <w:t>:</w:t>
      </w:r>
      <w:r w:rsidRPr="00EE51B1">
        <w:rPr>
          <w:rFonts w:eastAsia="SimSun"/>
          <w:i/>
          <w:u w:val="single"/>
        </w:rPr>
        <w:t xml:space="preserve"> </w:t>
      </w:r>
    </w:p>
    <w:p w14:paraId="6C42634E" w14:textId="77777777" w:rsidR="00BE7F89" w:rsidRPr="00C07B2E" w:rsidRDefault="00BE7F89" w:rsidP="005B002C">
      <w:pPr>
        <w:numPr>
          <w:ilvl w:val="0"/>
          <w:numId w:val="60"/>
        </w:numPr>
        <w:overflowPunct w:val="0"/>
        <w:autoSpaceDE w:val="0"/>
        <w:autoSpaceDN w:val="0"/>
        <w:adjustRightInd w:val="0"/>
        <w:textAlignment w:val="baseline"/>
        <w:rPr>
          <w:rFonts w:eastAsia="SimSun"/>
        </w:rPr>
      </w:pPr>
      <w:r w:rsidRPr="00C07B2E">
        <w:rPr>
          <w:rFonts w:eastAsia="SimSun"/>
        </w:rPr>
        <w:t>Наличие верифицированного диагноза и статуса (ремиссия, рецидив, стабилизация, прогрессия), которые являются показанием для проведения алло-ТГСК.</w:t>
      </w:r>
    </w:p>
    <w:p w14:paraId="49E897BA" w14:textId="589BF5EB" w:rsidR="00BE7F89" w:rsidRPr="005B002C" w:rsidRDefault="00BE7F89" w:rsidP="005B002C">
      <w:pPr>
        <w:numPr>
          <w:ilvl w:val="0"/>
          <w:numId w:val="60"/>
        </w:numPr>
        <w:overflowPunct w:val="0"/>
        <w:autoSpaceDE w:val="0"/>
        <w:autoSpaceDN w:val="0"/>
        <w:adjustRightInd w:val="0"/>
        <w:textAlignment w:val="baseline"/>
        <w:rPr>
          <w:rFonts w:eastAsia="SimSun"/>
        </w:rPr>
      </w:pPr>
      <w:r w:rsidRPr="005B002C">
        <w:rPr>
          <w:rFonts w:eastAsia="SimSun"/>
        </w:rPr>
        <w:t xml:space="preserve">Оценка рисков проведения алло-ТГСК по шкалам </w:t>
      </w:r>
      <w:r w:rsidRPr="005B002C">
        <w:rPr>
          <w:rFonts w:eastAsia="SimSun"/>
          <w:lang w:val="en-US"/>
        </w:rPr>
        <w:t>EBMT</w:t>
      </w:r>
      <w:r w:rsidRPr="005B002C">
        <w:rPr>
          <w:rFonts w:eastAsia="SimSun"/>
        </w:rPr>
        <w:t xml:space="preserve"> и </w:t>
      </w:r>
      <w:r w:rsidRPr="005B002C">
        <w:rPr>
          <w:rFonts w:eastAsia="SimSun"/>
          <w:lang w:val="en-US"/>
        </w:rPr>
        <w:t>HCT</w:t>
      </w:r>
      <w:r w:rsidRPr="005B002C">
        <w:rPr>
          <w:rFonts w:eastAsia="SimSun"/>
        </w:rPr>
        <w:t>-</w:t>
      </w:r>
      <w:r w:rsidRPr="005B002C">
        <w:rPr>
          <w:rFonts w:eastAsia="SimSun"/>
          <w:lang w:val="en-US"/>
        </w:rPr>
        <w:t>CI</w:t>
      </w:r>
      <w:r w:rsidRPr="005B002C">
        <w:rPr>
          <w:rFonts w:eastAsia="SimSun"/>
        </w:rPr>
        <w:t xml:space="preserve"> (приложения </w:t>
      </w:r>
      <w:r w:rsidR="005B002C" w:rsidRPr="005B002C">
        <w:rPr>
          <w:rFonts w:eastAsia="SimSun"/>
        </w:rPr>
        <w:t>Г3</w:t>
      </w:r>
      <w:r w:rsidRPr="005B002C">
        <w:rPr>
          <w:rFonts w:eastAsia="SimSun"/>
        </w:rPr>
        <w:t xml:space="preserve">, </w:t>
      </w:r>
      <w:r w:rsidR="005B002C" w:rsidRPr="005B002C">
        <w:rPr>
          <w:rFonts w:eastAsia="SimSun"/>
        </w:rPr>
        <w:t>Г4</w:t>
      </w:r>
      <w:r w:rsidRPr="005B002C">
        <w:rPr>
          <w:rFonts w:eastAsia="SimSun"/>
        </w:rPr>
        <w:t>).</w:t>
      </w:r>
    </w:p>
    <w:p w14:paraId="7B11A617" w14:textId="1AF8403F" w:rsidR="00BE7F89" w:rsidRPr="005B002C" w:rsidRDefault="00BE7F89" w:rsidP="005B002C">
      <w:pPr>
        <w:numPr>
          <w:ilvl w:val="0"/>
          <w:numId w:val="60"/>
        </w:numPr>
        <w:overflowPunct w:val="0"/>
        <w:autoSpaceDE w:val="0"/>
        <w:autoSpaceDN w:val="0"/>
        <w:adjustRightInd w:val="0"/>
        <w:textAlignment w:val="baseline"/>
        <w:rPr>
          <w:rFonts w:eastAsia="SimSun"/>
        </w:rPr>
      </w:pPr>
      <w:r w:rsidRPr="005B002C">
        <w:rPr>
          <w:rFonts w:eastAsia="SimSun"/>
        </w:rPr>
        <w:t xml:space="preserve">Оценка статуса кандидата в реципиенты согласно определению индекса Карновского и </w:t>
      </w:r>
      <w:r w:rsidRPr="005B002C">
        <w:rPr>
          <w:rFonts w:eastAsia="SimSun"/>
          <w:lang w:val="en-US"/>
        </w:rPr>
        <w:t>ECOG</w:t>
      </w:r>
      <w:r w:rsidRPr="005B002C">
        <w:rPr>
          <w:rFonts w:eastAsia="SimSun"/>
        </w:rPr>
        <w:t xml:space="preserve"> (приложение</w:t>
      </w:r>
      <w:r w:rsidR="005B002C" w:rsidRPr="005B002C">
        <w:rPr>
          <w:rFonts w:eastAsia="SimSun"/>
        </w:rPr>
        <w:t xml:space="preserve"> Г1</w:t>
      </w:r>
      <w:r w:rsidRPr="005B002C">
        <w:rPr>
          <w:rFonts w:eastAsia="SimSun"/>
        </w:rPr>
        <w:t xml:space="preserve">) </w:t>
      </w:r>
    </w:p>
    <w:p w14:paraId="6F1DB34B" w14:textId="77777777" w:rsidR="00BE7F89" w:rsidRPr="00EE51B1" w:rsidRDefault="00BE7F89" w:rsidP="005B002C">
      <w:pPr>
        <w:numPr>
          <w:ilvl w:val="0"/>
          <w:numId w:val="60"/>
        </w:numPr>
        <w:overflowPunct w:val="0"/>
        <w:autoSpaceDE w:val="0"/>
        <w:autoSpaceDN w:val="0"/>
        <w:adjustRightInd w:val="0"/>
        <w:textAlignment w:val="baseline"/>
        <w:rPr>
          <w:rFonts w:eastAsia="SimSun"/>
        </w:rPr>
      </w:pPr>
      <w:r w:rsidRPr="005B002C">
        <w:rPr>
          <w:rFonts w:eastAsia="SimSun"/>
        </w:rPr>
        <w:t>Оценка психологического статуса, отсутствие обострения психических</w:t>
      </w:r>
      <w:r w:rsidRPr="00EE51B1">
        <w:rPr>
          <w:rFonts w:eastAsia="SimSun"/>
        </w:rPr>
        <w:t xml:space="preserve"> заболеваний. </w:t>
      </w:r>
    </w:p>
    <w:p w14:paraId="617436A9" w14:textId="77777777" w:rsidR="00BE7F89" w:rsidRPr="00EE51B1" w:rsidRDefault="00BE7F89" w:rsidP="005B002C">
      <w:pPr>
        <w:numPr>
          <w:ilvl w:val="0"/>
          <w:numId w:val="60"/>
        </w:numPr>
        <w:overflowPunct w:val="0"/>
        <w:autoSpaceDE w:val="0"/>
        <w:autoSpaceDN w:val="0"/>
        <w:adjustRightInd w:val="0"/>
        <w:textAlignment w:val="baseline"/>
        <w:rPr>
          <w:rFonts w:eastAsia="SimSun"/>
        </w:rPr>
      </w:pPr>
      <w:r w:rsidRPr="00EE51B1">
        <w:rPr>
          <w:rFonts w:eastAsia="SimSun"/>
        </w:rPr>
        <w:t>Оценка функционального состояния почек: концентрация креатинина сыворотки &lt;</w:t>
      </w:r>
      <w:r w:rsidRPr="00C07B2E">
        <w:rPr>
          <w:rFonts w:eastAsia="SimSun"/>
          <w:lang w:val="en-US"/>
        </w:rPr>
        <w:t> </w:t>
      </w:r>
      <w:r w:rsidRPr="00EE51B1">
        <w:rPr>
          <w:rFonts w:eastAsia="SimSun"/>
        </w:rPr>
        <w:t>177 мкмоль/л (&lt;</w:t>
      </w:r>
      <w:r w:rsidRPr="00C07B2E">
        <w:rPr>
          <w:rFonts w:eastAsia="SimSun"/>
        </w:rPr>
        <w:t> </w:t>
      </w:r>
      <w:r w:rsidRPr="00EE51B1">
        <w:rPr>
          <w:rFonts w:eastAsia="SimSun"/>
        </w:rPr>
        <w:t>2 мг/дл) или клиренс креатинина &gt;</w:t>
      </w:r>
      <w:r w:rsidRPr="00C07B2E">
        <w:rPr>
          <w:rFonts w:eastAsia="SimSun"/>
          <w:lang w:val="en-US"/>
        </w:rPr>
        <w:t> </w:t>
      </w:r>
      <w:r w:rsidRPr="00EE51B1">
        <w:rPr>
          <w:rFonts w:eastAsia="SimSun"/>
        </w:rPr>
        <w:t>50 мл/мин/1,73 м</w:t>
      </w:r>
      <w:r w:rsidRPr="00EE51B1">
        <w:rPr>
          <w:rFonts w:eastAsia="SimSun"/>
          <w:vertAlign w:val="superscript"/>
        </w:rPr>
        <w:t>2</w:t>
      </w:r>
      <w:r w:rsidRPr="00EE51B1">
        <w:rPr>
          <w:rFonts w:eastAsia="SimSun"/>
        </w:rPr>
        <w:t>.</w:t>
      </w:r>
    </w:p>
    <w:p w14:paraId="4261D952" w14:textId="77777777" w:rsidR="00BE7F89" w:rsidRPr="00C07B2E" w:rsidRDefault="00BE7F89" w:rsidP="005B002C">
      <w:pPr>
        <w:numPr>
          <w:ilvl w:val="0"/>
          <w:numId w:val="60"/>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сердечной деятельности: фракция выброса левого желудочка &gt; 35% по </w:t>
      </w:r>
      <w:r w:rsidRPr="00C07B2E">
        <w:rPr>
          <w:rFonts w:eastAsia="SimSun"/>
          <w:lang w:val="en-US"/>
        </w:rPr>
        <w:t>Simpson</w:t>
      </w:r>
      <w:r w:rsidRPr="00C07B2E">
        <w:rPr>
          <w:rFonts w:eastAsia="SimSun"/>
        </w:rPr>
        <w:t xml:space="preserve">, отсутствие нестабильной стенокардии в анамнезе, отсутствие желудочковых аритмий высоких градаций (нарушения ритма </w:t>
      </w:r>
      <w:r w:rsidRPr="00C07B2E">
        <w:rPr>
          <w:rFonts w:eastAsia="SimSun"/>
          <w:lang w:val="en-US"/>
        </w:rPr>
        <w:t>IV</w:t>
      </w:r>
      <w:r w:rsidRPr="00C07B2E">
        <w:rPr>
          <w:rFonts w:eastAsia="SimSun"/>
        </w:rPr>
        <w:t>–</w:t>
      </w:r>
      <w:r w:rsidRPr="00C07B2E">
        <w:rPr>
          <w:rFonts w:eastAsia="SimSun"/>
          <w:lang w:val="en-US"/>
        </w:rPr>
        <w:t>V</w:t>
      </w:r>
      <w:r w:rsidRPr="00C07B2E">
        <w:rPr>
          <w:rFonts w:eastAsia="SimSun"/>
        </w:rPr>
        <w:t xml:space="preserve"> градаций по </w:t>
      </w:r>
      <w:r w:rsidRPr="00C07B2E">
        <w:rPr>
          <w:rFonts w:eastAsia="SimSun"/>
          <w:lang w:val="en-US"/>
        </w:rPr>
        <w:t>Lawn</w:t>
      </w:r>
      <w:r w:rsidRPr="00C07B2E">
        <w:rPr>
          <w:rFonts w:eastAsia="SimSun"/>
        </w:rPr>
        <w:t>—</w:t>
      </w:r>
      <w:r w:rsidRPr="00C07B2E">
        <w:rPr>
          <w:rFonts w:eastAsia="SimSun"/>
          <w:lang w:val="en-US"/>
        </w:rPr>
        <w:t>Wolf</w:t>
      </w:r>
      <w:r w:rsidRPr="00C07B2E">
        <w:rPr>
          <w:rFonts w:eastAsia="SimSun"/>
        </w:rPr>
        <w:t xml:space="preserve">). </w:t>
      </w:r>
    </w:p>
    <w:p w14:paraId="3EDAF628" w14:textId="77777777" w:rsidR="00BE7F89" w:rsidRPr="00C07B2E" w:rsidRDefault="00BE7F89" w:rsidP="005B002C">
      <w:pPr>
        <w:numPr>
          <w:ilvl w:val="0"/>
          <w:numId w:val="60"/>
        </w:numPr>
        <w:overflowPunct w:val="0"/>
        <w:autoSpaceDE w:val="0"/>
        <w:autoSpaceDN w:val="0"/>
        <w:adjustRightInd w:val="0"/>
        <w:textAlignment w:val="baseline"/>
        <w:rPr>
          <w:rFonts w:eastAsia="SimSun"/>
        </w:rPr>
      </w:pPr>
      <w:r w:rsidRPr="00C07B2E">
        <w:rPr>
          <w:rFonts w:eastAsia="SimSun"/>
        </w:rPr>
        <w:t>Оценка функционального состояния легких: ОФВ1 ≥ 80%; по возможности определяют скорректированную диффузионную способность легких (DLCO), которая должна быть &gt; 35% должного.</w:t>
      </w:r>
    </w:p>
    <w:p w14:paraId="71222E6D" w14:textId="77777777" w:rsidR="00BE7F89" w:rsidRPr="00C07B2E" w:rsidRDefault="00BE7F89" w:rsidP="005B002C">
      <w:pPr>
        <w:numPr>
          <w:ilvl w:val="0"/>
          <w:numId w:val="60"/>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печени: </w:t>
      </w:r>
    </w:p>
    <w:p w14:paraId="475BF9E4" w14:textId="77777777" w:rsidR="00BE7F89" w:rsidRPr="00C07B2E" w:rsidRDefault="00BE7F89" w:rsidP="005B002C">
      <w:pPr>
        <w:numPr>
          <w:ilvl w:val="1"/>
          <w:numId w:val="60"/>
        </w:numPr>
        <w:overflowPunct w:val="0"/>
        <w:autoSpaceDE w:val="0"/>
        <w:autoSpaceDN w:val="0"/>
        <w:adjustRightInd w:val="0"/>
        <w:textAlignment w:val="baseline"/>
      </w:pPr>
      <w:r w:rsidRPr="00C07B2E">
        <w:t>концентрация общего билирубина ≤ 22 мкмоль/л (за исключением доказанного синдрома Жильбера);</w:t>
      </w:r>
    </w:p>
    <w:p w14:paraId="2E8E880E" w14:textId="77777777" w:rsidR="00BE7F89" w:rsidRPr="00EE51B1" w:rsidRDefault="00BE7F89" w:rsidP="005B002C">
      <w:pPr>
        <w:numPr>
          <w:ilvl w:val="1"/>
          <w:numId w:val="60"/>
        </w:numPr>
        <w:overflowPunct w:val="0"/>
        <w:autoSpaceDE w:val="0"/>
        <w:autoSpaceDN w:val="0"/>
        <w:adjustRightInd w:val="0"/>
        <w:textAlignment w:val="baseline"/>
      </w:pPr>
      <w:r w:rsidRPr="00C07B2E">
        <w:t>концентрация общего билирубина ≤ 30 мкмоль/л (за исключением доказанного синдрома Жильбера)</w:t>
      </w:r>
      <w:r w:rsidRPr="00EE51B1">
        <w:t>.</w:t>
      </w:r>
    </w:p>
    <w:p w14:paraId="2D064DF7" w14:textId="77777777" w:rsidR="00BE7F89" w:rsidRDefault="00BE7F89" w:rsidP="00BE7F89">
      <w:pPr>
        <w:rPr>
          <w:rFonts w:eastAsia="SimSun"/>
        </w:rPr>
      </w:pPr>
      <w:bookmarkStart w:id="108" w:name="_Toc44401108"/>
    </w:p>
    <w:p w14:paraId="65E9BE24" w14:textId="5DBC977C" w:rsidR="00BE7F89" w:rsidRPr="00EE51B1" w:rsidRDefault="00BE7F89" w:rsidP="00BE7F89">
      <w:pPr>
        <w:rPr>
          <w:rFonts w:eastAsia="SimSun"/>
          <w:i/>
          <w:u w:val="single"/>
        </w:rPr>
      </w:pPr>
      <w:r w:rsidRPr="00EE51B1">
        <w:rPr>
          <w:rFonts w:eastAsia="SimSun"/>
          <w:i/>
          <w:u w:val="single"/>
        </w:rPr>
        <w:t>Дополнительные критерии определения рисков трансплантационной летальности у пациентов, которым планируется выполнение алло-ТГСК</w:t>
      </w:r>
      <w:bookmarkEnd w:id="108"/>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BE7F89">
        <w:rPr>
          <w:rFonts w:eastAsia="SimSun"/>
          <w:noProof/>
        </w:rPr>
        <w:t>[92]</w:t>
      </w:r>
      <w:r w:rsidRPr="00EE51B1">
        <w:rPr>
          <w:rFonts w:eastAsia="SimSun"/>
          <w:i/>
          <w:u w:val="single"/>
        </w:rPr>
        <w:fldChar w:fldCharType="end"/>
      </w:r>
      <w:r w:rsidRPr="00EE51B1">
        <w:rPr>
          <w:rFonts w:eastAsia="SimSun"/>
          <w:i/>
          <w:u w:val="single"/>
        </w:rPr>
        <w:t>:</w:t>
      </w:r>
    </w:p>
    <w:p w14:paraId="53305ADF"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 xml:space="preserve">Иммунодепрессивное состояние: нейтропения, лимфопения с концентрацией </w:t>
      </w:r>
      <w:r w:rsidRPr="00C07B2E">
        <w:rPr>
          <w:rFonts w:eastAsia="SimSun"/>
          <w:lang w:val="en-US"/>
        </w:rPr>
        <w:t>CD</w:t>
      </w:r>
      <w:r w:rsidRPr="00C07B2E">
        <w:rPr>
          <w:rFonts w:eastAsia="SimSun"/>
        </w:rPr>
        <w:t>4+ ≤ 200 клеток/мкл, гипогаммаглобулинемия, аспления, применение высоких доз ГКС на этапе предшествующей химиотерапии и связь с основным заболеванием.</w:t>
      </w:r>
    </w:p>
    <w:p w14:paraId="011AF728"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Инфекционные осложнения и степень их тяжести, значимость и длительность  в период предшествующей химиотерапии с указанием локализации, чувствительности возбудителя к антимикробным средствам, проводимой терапии: фебрильная нейтропения, пневмония (с указанием установленного возбудителя или отсутствием верификации возбудителя), грибковые инфекции, вирусные инфекции.</w:t>
      </w:r>
    </w:p>
    <w:p w14:paraId="02885A5B"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Перенесенные заболевания в том числе (</w:t>
      </w:r>
      <w:r w:rsidRPr="00C07B2E">
        <w:rPr>
          <w:rFonts w:eastAsia="SimSun"/>
          <w:lang w:val="en-US"/>
        </w:rPr>
        <w:t>COVID</w:t>
      </w:r>
      <w:r w:rsidRPr="00C07B2E">
        <w:rPr>
          <w:rFonts w:eastAsia="SimSun"/>
        </w:rPr>
        <w:t>-19, туберкулез, вирусные гепатиты)</w:t>
      </w:r>
    </w:p>
    <w:p w14:paraId="43FEF79A"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Наличие донорспецифичных анти-</w:t>
      </w:r>
      <w:r w:rsidRPr="00C07B2E">
        <w:rPr>
          <w:rFonts w:eastAsia="SimSun"/>
          <w:lang w:val="en-US"/>
        </w:rPr>
        <w:t>HLA</w:t>
      </w:r>
      <w:r w:rsidRPr="00C07B2E">
        <w:rPr>
          <w:rFonts w:eastAsia="SimSun"/>
        </w:rPr>
        <w:t xml:space="preserve">-антител у реципиента при неродственной частично совместимой или гаплоидентичной ТГСК </w:t>
      </w:r>
    </w:p>
    <w:p w14:paraId="276DAA2C"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Тромботические, геморрагические события на этапе предшествующей терапии и причины при их верификации</w:t>
      </w:r>
    </w:p>
    <w:p w14:paraId="35260F56"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 xml:space="preserve">Трансфузионный анамнез, наличие данных за рефрактерность к трансфузиям компонентов донорской крови. </w:t>
      </w:r>
    </w:p>
    <w:p w14:paraId="1027164F"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Наличие гемохроматоза и/или лабораторных признаков перегрузки железом. Проведение в анамнезе трансфузий от родственных доноров.</w:t>
      </w:r>
    </w:p>
    <w:p w14:paraId="468F93CA"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Наличие врожденных или приобретенных пороков</w:t>
      </w:r>
    </w:p>
    <w:p w14:paraId="0D2583FA"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Наличие протезов, имплантатов и биоматериалов.</w:t>
      </w:r>
    </w:p>
    <w:p w14:paraId="7344CE41"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Наличие хронических заболеваний и их стадия.</w:t>
      </w:r>
    </w:p>
    <w:p w14:paraId="31A99BE9" w14:textId="77777777" w:rsidR="00BE7F89" w:rsidRPr="00470D3D" w:rsidRDefault="00BE7F89" w:rsidP="005B002C">
      <w:pPr>
        <w:numPr>
          <w:ilvl w:val="0"/>
          <w:numId w:val="61"/>
        </w:numPr>
        <w:overflowPunct w:val="0"/>
        <w:autoSpaceDE w:val="0"/>
        <w:autoSpaceDN w:val="0"/>
        <w:adjustRightInd w:val="0"/>
        <w:textAlignment w:val="baseline"/>
        <w:rPr>
          <w:rFonts w:eastAsia="SimSun"/>
        </w:rPr>
      </w:pPr>
      <w:r w:rsidRPr="00470D3D">
        <w:rPr>
          <w:rFonts w:eastAsia="SimSun"/>
        </w:rPr>
        <w:t>Информация о лечении зубов в течение последних 6 мес</w:t>
      </w:r>
      <w:r>
        <w:rPr>
          <w:rFonts w:eastAsia="SimSun"/>
        </w:rPr>
        <w:t>,</w:t>
      </w:r>
      <w:r w:rsidRPr="00470D3D">
        <w:rPr>
          <w:rFonts w:eastAsia="SimSun"/>
        </w:rPr>
        <w:t>, при отсутствии информации</w:t>
      </w:r>
      <w:r w:rsidRPr="00C07B2E">
        <w:rPr>
          <w:rFonts w:eastAsia="SimSun"/>
        </w:rPr>
        <w:t> </w:t>
      </w:r>
      <w:r w:rsidRPr="00470D3D">
        <w:rPr>
          <w:rFonts w:eastAsia="SimSun"/>
        </w:rPr>
        <w:t>— обязательно осмотр стоматолога.</w:t>
      </w:r>
    </w:p>
    <w:p w14:paraId="52CEFCB4"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Консультация гинеколога для женщин с целью выявления риска дисфункциональных маточных кровотечений/перименопаузального статуса.</w:t>
      </w:r>
    </w:p>
    <w:p w14:paraId="69C17508"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Эпилептическая активность подтвержденная результатами ЭЭГ</w:t>
      </w:r>
    </w:p>
    <w:p w14:paraId="3DB3A679"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w:t>
      </w:r>
    </w:p>
    <w:p w14:paraId="30063F62"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bookmarkStart w:id="109" w:name="_Toc44401109"/>
      <w:r w:rsidRPr="00C07B2E">
        <w:rPr>
          <w:rFonts w:eastAsia="SimSun"/>
        </w:rPr>
        <w:t>Критерии, при наличии которых выполнение алло-ТГСК противопоказано</w:t>
      </w:r>
      <w:bookmarkEnd w:id="109"/>
      <w:r w:rsidRPr="00C07B2E">
        <w:rPr>
          <w:rFonts w:eastAsia="SimSun"/>
        </w:rPr>
        <w:t xml:space="preserve"> </w:t>
      </w:r>
    </w:p>
    <w:p w14:paraId="7ABA5AC1"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Беременность</w:t>
      </w:r>
    </w:p>
    <w:p w14:paraId="5A389B3E"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 xml:space="preserve">Цирроз печени, активный вирусный гепатит с признаками нарушения функции печени (гипербилирубинемия, синдром цитолиза, снижение белково-синтетической функции печени) </w:t>
      </w:r>
    </w:p>
    <w:p w14:paraId="48A8808D"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rPr>
        <w:t>Наличие любой неконтролируемой инфекции.</w:t>
      </w:r>
    </w:p>
    <w:p w14:paraId="035871B3" w14:textId="77777777" w:rsidR="00BE7F89" w:rsidRPr="00C07B2E" w:rsidRDefault="00BE7F89" w:rsidP="005B002C">
      <w:pPr>
        <w:numPr>
          <w:ilvl w:val="0"/>
          <w:numId w:val="61"/>
        </w:numPr>
        <w:overflowPunct w:val="0"/>
        <w:autoSpaceDE w:val="0"/>
        <w:autoSpaceDN w:val="0"/>
        <w:adjustRightInd w:val="0"/>
        <w:textAlignment w:val="baseline"/>
        <w:rPr>
          <w:rFonts w:eastAsia="SimSun"/>
        </w:rPr>
      </w:pPr>
      <w:r w:rsidRPr="00C07B2E">
        <w:rPr>
          <w:rFonts w:eastAsia="SimSun"/>
          <w:u w:val="single"/>
        </w:rPr>
        <w:t>Другие</w:t>
      </w:r>
      <w:r w:rsidRPr="00C07B2E">
        <w:rPr>
          <w:rFonts w:eastAsia="SimSun"/>
        </w:rPr>
        <w:t xml:space="preserve"> онкологические заболевания различных стадий и локализаций вне ремиссии.</w:t>
      </w:r>
    </w:p>
    <w:p w14:paraId="730E96A6" w14:textId="77777777" w:rsidR="00BE7F89" w:rsidRDefault="00BE7F89" w:rsidP="00BE7F89">
      <w:pPr>
        <w:rPr>
          <w:rFonts w:eastAsia="SimSun"/>
        </w:rPr>
      </w:pPr>
      <w:bookmarkStart w:id="110" w:name="_Toc44401110"/>
    </w:p>
    <w:p w14:paraId="11B6481B" w14:textId="504C0399" w:rsidR="00BE7F89" w:rsidRPr="00470D3D" w:rsidRDefault="00BE7F89" w:rsidP="00BE7F89">
      <w:pPr>
        <w:rPr>
          <w:rFonts w:eastAsia="SimSun"/>
          <w:i/>
          <w:u w:val="single"/>
        </w:rPr>
      </w:pPr>
      <w:bookmarkStart w:id="111" w:name="_Toc44401124"/>
      <w:r w:rsidRPr="00470D3D">
        <w:rPr>
          <w:rFonts w:eastAsia="SimSun"/>
          <w:i/>
          <w:u w:val="single"/>
        </w:rPr>
        <w:t>Список лабораторных и инструментальных исследований для обследования кандидатов на алло-ТГСК</w:t>
      </w:r>
      <w:bookmarkEnd w:id="111"/>
      <w:r w:rsidRPr="00470D3D">
        <w:rPr>
          <w:rFonts w:eastAsia="SimSun"/>
          <w:i/>
          <w:u w:val="single"/>
        </w:rPr>
        <w:t xml:space="preserve"> </w:t>
      </w:r>
      <w:r w:rsidRPr="00470D3D">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470D3D">
        <w:rPr>
          <w:rFonts w:eastAsia="SimSun"/>
          <w:i/>
          <w:u w:val="single"/>
        </w:rPr>
        <w:fldChar w:fldCharType="separate"/>
      </w:r>
      <w:r w:rsidRPr="00BE7F89">
        <w:rPr>
          <w:rFonts w:eastAsia="SimSun"/>
          <w:noProof/>
        </w:rPr>
        <w:t>[92]</w:t>
      </w:r>
      <w:r w:rsidRPr="00470D3D">
        <w:rPr>
          <w:rFonts w:eastAsia="SimSun"/>
          <w:i/>
          <w:u w:val="single"/>
        </w:rPr>
        <w:fldChar w:fldCharType="end"/>
      </w:r>
      <w:r>
        <w:rPr>
          <w:rFonts w:eastAsia="SimSun"/>
          <w:i/>
          <w:u w:val="single"/>
        </w:rPr>
        <w:t>:</w:t>
      </w:r>
    </w:p>
    <w:p w14:paraId="18F8F992"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Общеклинический анализ крови с лейкоцитарной формулой</w:t>
      </w:r>
      <w:r w:rsidRPr="003A51FD">
        <w:rPr>
          <w:rStyle w:val="aff"/>
        </w:rPr>
        <w:footnoteReference w:id="3"/>
      </w:r>
      <w:r w:rsidRPr="00470D3D">
        <w:rPr>
          <w:rFonts w:eastAsia="SimSun"/>
        </w:rPr>
        <w:t>.</w:t>
      </w:r>
    </w:p>
    <w:p w14:paraId="228B0DA3"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Биохимический анализ крови (общий белок, альбумин, глобулин, общий холестерин, мочевая кислота, креатинин, мочевина, билирубин и его фракции, АЛТ, АСТ, щелочная фосфатаза, ГГТП, ЛДГ, ферритин)</w:t>
      </w:r>
      <w:r w:rsidRPr="003A51FD">
        <w:rPr>
          <w:rStyle w:val="aff"/>
        </w:rPr>
        <w:footnoteReference w:id="4"/>
      </w:r>
      <w:r w:rsidRPr="00470D3D">
        <w:rPr>
          <w:rFonts w:eastAsia="SimSun"/>
        </w:rPr>
        <w:t>.</w:t>
      </w:r>
    </w:p>
    <w:p w14:paraId="4B96F783"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Коагулограмма (АЧТВ, фибриноген, ПТИ по Квику, МНО)</w:t>
      </w:r>
      <w:r w:rsidRPr="003A51FD">
        <w:rPr>
          <w:rStyle w:val="aff"/>
        </w:rPr>
        <w:footnoteReference w:id="5"/>
      </w:r>
      <w:r w:rsidRPr="00470D3D">
        <w:rPr>
          <w:rFonts w:eastAsia="SimSun"/>
        </w:rPr>
        <w:t>.</w:t>
      </w:r>
    </w:p>
    <w:p w14:paraId="79A2397F" w14:textId="77777777" w:rsidR="00BE7F89" w:rsidRPr="00C07B2E" w:rsidRDefault="00BE7F89" w:rsidP="005B002C">
      <w:pPr>
        <w:numPr>
          <w:ilvl w:val="0"/>
          <w:numId w:val="67"/>
        </w:numPr>
        <w:overflowPunct w:val="0"/>
        <w:autoSpaceDE w:val="0"/>
        <w:autoSpaceDN w:val="0"/>
        <w:adjustRightInd w:val="0"/>
        <w:textAlignment w:val="baseline"/>
        <w:rPr>
          <w:rFonts w:eastAsia="SimSun"/>
        </w:rPr>
      </w:pPr>
      <w:r w:rsidRPr="00C07B2E">
        <w:rPr>
          <w:rFonts w:eastAsia="SimSun"/>
        </w:rPr>
        <w:t>Глюкоза венозной крови натощак</w:t>
      </w:r>
      <w:r w:rsidRPr="003A51FD">
        <w:rPr>
          <w:rStyle w:val="aff"/>
        </w:rPr>
        <w:footnoteReference w:id="6"/>
      </w:r>
      <w:r w:rsidRPr="00C07B2E">
        <w:rPr>
          <w:rFonts w:eastAsia="SimSun"/>
        </w:rPr>
        <w:t>.</w:t>
      </w:r>
    </w:p>
    <w:p w14:paraId="5F84C654"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 xml:space="preserve">Серологические исследования гемотрансмиссивных инфекций (антитела к ВИЧ, </w:t>
      </w:r>
      <w:r w:rsidRPr="00C07B2E">
        <w:rPr>
          <w:rFonts w:eastAsia="SimSun"/>
        </w:rPr>
        <w:t>HB</w:t>
      </w:r>
      <w:r w:rsidRPr="00C07B2E">
        <w:rPr>
          <w:rFonts w:eastAsia="SimSun"/>
          <w:lang w:val="en-US"/>
        </w:rPr>
        <w:t>sAg</w:t>
      </w:r>
      <w:r w:rsidRPr="00470D3D">
        <w:rPr>
          <w:rFonts w:eastAsia="SimSun"/>
        </w:rPr>
        <w:t xml:space="preserve"> качественно, антитела к </w:t>
      </w:r>
      <w:r w:rsidRPr="00C07B2E">
        <w:rPr>
          <w:rFonts w:eastAsia="SimSun"/>
        </w:rPr>
        <w:t>HB</w:t>
      </w:r>
      <w:r w:rsidRPr="00C07B2E">
        <w:rPr>
          <w:rFonts w:eastAsia="SimSun"/>
          <w:lang w:val="en-US"/>
        </w:rPr>
        <w:t>sAg</w:t>
      </w:r>
      <w:r w:rsidRPr="00470D3D">
        <w:rPr>
          <w:rFonts w:eastAsia="SimSun"/>
        </w:rPr>
        <w:t xml:space="preserve"> качественно и количественно, анти-НВсо</w:t>
      </w:r>
      <w:r w:rsidRPr="00C07B2E">
        <w:rPr>
          <w:rFonts w:eastAsia="SimSun"/>
        </w:rPr>
        <w:t>r</w:t>
      </w:r>
      <w:r w:rsidRPr="00470D3D">
        <w:rPr>
          <w:rFonts w:eastAsia="SimSun"/>
        </w:rPr>
        <w:t xml:space="preserve"> качественно, </w:t>
      </w:r>
      <w:r w:rsidRPr="00C07B2E">
        <w:rPr>
          <w:rFonts w:eastAsia="SimSun"/>
          <w:lang w:val="en-US"/>
        </w:rPr>
        <w:t>HBeAg</w:t>
      </w:r>
      <w:r w:rsidRPr="00470D3D">
        <w:rPr>
          <w:rFonts w:eastAsia="SimSun"/>
        </w:rPr>
        <w:t xml:space="preserve"> качественно, анти-</w:t>
      </w:r>
      <w:r w:rsidRPr="00C07B2E">
        <w:rPr>
          <w:rFonts w:eastAsia="SimSun"/>
          <w:lang w:val="en-US"/>
        </w:rPr>
        <w:t>HBeAg</w:t>
      </w:r>
      <w:r w:rsidRPr="00470D3D">
        <w:rPr>
          <w:rFonts w:eastAsia="SimSun"/>
        </w:rPr>
        <w:t>, на сифилис)</w:t>
      </w:r>
      <w:r w:rsidRPr="003A51FD">
        <w:rPr>
          <w:rStyle w:val="aff"/>
        </w:rPr>
        <w:footnoteReference w:id="7"/>
      </w:r>
      <w:r w:rsidRPr="00470D3D">
        <w:rPr>
          <w:rFonts w:eastAsia="SimSun"/>
        </w:rPr>
        <w:t>.</w:t>
      </w:r>
    </w:p>
    <w:p w14:paraId="03B974D6"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Серологические исследования герпесвирусов (</w:t>
      </w:r>
      <w:r w:rsidRPr="00C07B2E">
        <w:rPr>
          <w:rFonts w:eastAsia="SimSun"/>
          <w:lang w:val="en-US"/>
        </w:rPr>
        <w:t>IgG</w:t>
      </w:r>
      <w:r w:rsidRPr="00470D3D">
        <w:rPr>
          <w:rFonts w:eastAsia="SimSun"/>
        </w:rPr>
        <w:t xml:space="preserve"> и </w:t>
      </w:r>
      <w:r w:rsidRPr="00C07B2E">
        <w:rPr>
          <w:rFonts w:eastAsia="SimSun"/>
          <w:lang w:val="en-US"/>
        </w:rPr>
        <w:t>IgM</w:t>
      </w:r>
      <w:r w:rsidRPr="00470D3D">
        <w:rPr>
          <w:rFonts w:eastAsia="SimSun"/>
        </w:rPr>
        <w:t xml:space="preserve"> к </w:t>
      </w:r>
      <w:r w:rsidRPr="00C07B2E">
        <w:rPr>
          <w:rFonts w:eastAsia="SimSun"/>
          <w:lang w:val="en-US"/>
        </w:rPr>
        <w:t>CMV</w:t>
      </w:r>
      <w:r w:rsidRPr="00470D3D">
        <w:rPr>
          <w:rFonts w:eastAsia="SimSun"/>
        </w:rPr>
        <w:t>, вирусу Эпштейна—Барр, герпесу простого герпеса и герпеса 6 типа) и токсоплазме (при возможности)</w:t>
      </w:r>
      <w:r w:rsidRPr="003A51FD">
        <w:rPr>
          <w:rStyle w:val="aff"/>
        </w:rPr>
        <w:footnoteReference w:id="8"/>
      </w:r>
      <w:r w:rsidRPr="00470D3D">
        <w:rPr>
          <w:rFonts w:eastAsia="SimSun"/>
        </w:rPr>
        <w:t xml:space="preserve">. </w:t>
      </w:r>
    </w:p>
    <w:p w14:paraId="7CC3F3EE" w14:textId="77777777" w:rsidR="00BE7F89" w:rsidRPr="00C07B2E"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 xml:space="preserve">Определение ДНК вируса гепатита В и РНК вируса гепатита С с помощью </w:t>
      </w:r>
      <w:r w:rsidRPr="00C07B2E">
        <w:rPr>
          <w:rFonts w:eastAsia="SimSun"/>
        </w:rPr>
        <w:t>ПЦР (качественно, в случае выявления — количественно)</w:t>
      </w:r>
      <w:r w:rsidRPr="003A51FD">
        <w:rPr>
          <w:rStyle w:val="aff"/>
        </w:rPr>
        <w:footnoteReference w:id="9"/>
      </w:r>
      <w:r w:rsidRPr="00C07B2E">
        <w:rPr>
          <w:rFonts w:eastAsia="SimSun"/>
        </w:rPr>
        <w:t>.</w:t>
      </w:r>
    </w:p>
    <w:p w14:paraId="0471E887"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Исследования по определению статуса основного заболевания</w:t>
      </w:r>
      <w:r w:rsidRPr="003A51FD">
        <w:rPr>
          <w:rStyle w:val="aff"/>
        </w:rPr>
        <w:footnoteReference w:id="10"/>
      </w:r>
      <w:r w:rsidRPr="00470D3D">
        <w:rPr>
          <w:rFonts w:eastAsia="SimSun"/>
        </w:rPr>
        <w:t>. Для пациентов с острыми лейкозами обязательна люмбальная пункция с интратекальным введением химиопрепаратов.</w:t>
      </w:r>
    </w:p>
    <w:p w14:paraId="20F22849"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КТ органов грудной клетки (с записью на электронный носитель)</w:t>
      </w:r>
      <w:r w:rsidRPr="003A51FD">
        <w:rPr>
          <w:rStyle w:val="aff"/>
        </w:rPr>
        <w:footnoteReference w:id="11"/>
      </w:r>
      <w:r w:rsidRPr="00470D3D">
        <w:rPr>
          <w:rFonts w:eastAsia="SimSun"/>
        </w:rPr>
        <w:t xml:space="preserve">.КТ других областей при необходимости </w:t>
      </w:r>
    </w:p>
    <w:p w14:paraId="05003690"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ПЭТ-КТ (при необходимости – в соответствии с клиническими рекомендациями (протоколами лечения) )</w:t>
      </w:r>
      <w:r w:rsidRPr="003A51FD">
        <w:rPr>
          <w:rStyle w:val="aff"/>
        </w:rPr>
        <w:footnoteReference w:id="12"/>
      </w:r>
      <w:r w:rsidRPr="00470D3D">
        <w:rPr>
          <w:rFonts w:eastAsia="SimSun"/>
        </w:rPr>
        <w:t>.</w:t>
      </w:r>
    </w:p>
    <w:p w14:paraId="7439F512"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МРТ головного мозга при наличии показаний (с записью на электронный носитель)</w:t>
      </w:r>
      <w:r w:rsidRPr="003A51FD">
        <w:rPr>
          <w:rStyle w:val="aff"/>
        </w:rPr>
        <w:footnoteReference w:id="13"/>
      </w:r>
      <w:r w:rsidRPr="00470D3D">
        <w:rPr>
          <w:rFonts w:eastAsia="SimSun"/>
        </w:rPr>
        <w:t xml:space="preserve">. </w:t>
      </w:r>
    </w:p>
    <w:p w14:paraId="6E7BADAB"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Рентген или КТ пазух носа.</w:t>
      </w:r>
    </w:p>
    <w:p w14:paraId="19C27C53" w14:textId="77777777" w:rsidR="00BE7F89" w:rsidRPr="00C07B2E" w:rsidRDefault="00BE7F89" w:rsidP="005B002C">
      <w:pPr>
        <w:numPr>
          <w:ilvl w:val="0"/>
          <w:numId w:val="67"/>
        </w:numPr>
        <w:overflowPunct w:val="0"/>
        <w:autoSpaceDE w:val="0"/>
        <w:autoSpaceDN w:val="0"/>
        <w:adjustRightInd w:val="0"/>
        <w:textAlignment w:val="baseline"/>
        <w:rPr>
          <w:rFonts w:eastAsia="SimSun"/>
        </w:rPr>
      </w:pPr>
      <w:r w:rsidRPr="00C07B2E">
        <w:rPr>
          <w:rFonts w:eastAsia="SimSun"/>
        </w:rPr>
        <w:t>УЗИ печени, селезенки, почек</w:t>
      </w:r>
      <w:r w:rsidRPr="003A51FD">
        <w:rPr>
          <w:rStyle w:val="aff"/>
        </w:rPr>
        <w:footnoteReference w:id="14"/>
      </w:r>
      <w:r w:rsidRPr="00C07B2E">
        <w:rPr>
          <w:rFonts w:eastAsia="SimSun"/>
        </w:rPr>
        <w:t xml:space="preserve">. </w:t>
      </w:r>
    </w:p>
    <w:p w14:paraId="552831BA" w14:textId="77777777" w:rsidR="00BE7F89" w:rsidRPr="00C07B2E" w:rsidRDefault="00BE7F89" w:rsidP="005B002C">
      <w:pPr>
        <w:numPr>
          <w:ilvl w:val="0"/>
          <w:numId w:val="67"/>
        </w:numPr>
        <w:overflowPunct w:val="0"/>
        <w:autoSpaceDE w:val="0"/>
        <w:autoSpaceDN w:val="0"/>
        <w:adjustRightInd w:val="0"/>
        <w:textAlignment w:val="baseline"/>
        <w:rPr>
          <w:rFonts w:eastAsia="SimSun"/>
        </w:rPr>
      </w:pPr>
      <w:r w:rsidRPr="00C07B2E">
        <w:rPr>
          <w:rFonts w:eastAsia="SimSun"/>
        </w:rPr>
        <w:t>ЭКГ</w:t>
      </w:r>
      <w:r w:rsidRPr="003A51FD">
        <w:rPr>
          <w:rStyle w:val="aff"/>
        </w:rPr>
        <w:footnoteReference w:id="15"/>
      </w:r>
      <w:r w:rsidRPr="00C07B2E">
        <w:rPr>
          <w:rFonts w:eastAsia="SimSun"/>
        </w:rPr>
        <w:t>.</w:t>
      </w:r>
    </w:p>
    <w:p w14:paraId="0208818B" w14:textId="77777777" w:rsidR="00BE7F89" w:rsidRPr="00C07B2E" w:rsidRDefault="00BE7F89" w:rsidP="005B002C">
      <w:pPr>
        <w:numPr>
          <w:ilvl w:val="0"/>
          <w:numId w:val="67"/>
        </w:numPr>
        <w:overflowPunct w:val="0"/>
        <w:autoSpaceDE w:val="0"/>
        <w:autoSpaceDN w:val="0"/>
        <w:adjustRightInd w:val="0"/>
        <w:textAlignment w:val="baseline"/>
        <w:rPr>
          <w:rFonts w:eastAsia="SimSun"/>
        </w:rPr>
      </w:pPr>
      <w:r>
        <w:rPr>
          <w:rFonts w:eastAsia="SimSun"/>
        </w:rPr>
        <w:t>Т</w:t>
      </w:r>
      <w:r w:rsidRPr="00C07B2E">
        <w:rPr>
          <w:rFonts w:eastAsia="SimSun"/>
        </w:rPr>
        <w:t>рансторакальная ЭхоКГ</w:t>
      </w:r>
      <w:r w:rsidRPr="003A51FD">
        <w:rPr>
          <w:rStyle w:val="aff"/>
        </w:rPr>
        <w:footnoteReference w:id="16"/>
      </w:r>
      <w:r w:rsidRPr="00C07B2E">
        <w:rPr>
          <w:rFonts w:eastAsia="SimSun"/>
        </w:rPr>
        <w:t>.</w:t>
      </w:r>
    </w:p>
    <w:p w14:paraId="1B5E643A"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Исследование функции внешнего дыхания с оценкой ОФВ1 и/или скорректированной диффузионной способности легких (</w:t>
      </w:r>
      <w:r w:rsidRPr="00C07B2E">
        <w:rPr>
          <w:rFonts w:eastAsia="SimSun"/>
        </w:rPr>
        <w:t>DLCO</w:t>
      </w:r>
      <w:r w:rsidRPr="00470D3D">
        <w:rPr>
          <w:rFonts w:eastAsia="SimSun"/>
        </w:rPr>
        <w:t>) (при возможности)</w:t>
      </w:r>
    </w:p>
    <w:p w14:paraId="0F37B76E"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ФГДС при наличии в анамнезе язвенных поражений желудка или ДПК</w:t>
      </w:r>
    </w:p>
    <w:p w14:paraId="67849D79" w14:textId="77777777" w:rsidR="00BE7F89" w:rsidRPr="00C07B2E" w:rsidRDefault="00BE7F89" w:rsidP="005B002C">
      <w:pPr>
        <w:numPr>
          <w:ilvl w:val="0"/>
          <w:numId w:val="67"/>
        </w:numPr>
        <w:overflowPunct w:val="0"/>
        <w:autoSpaceDE w:val="0"/>
        <w:autoSpaceDN w:val="0"/>
        <w:adjustRightInd w:val="0"/>
        <w:textAlignment w:val="baseline"/>
        <w:rPr>
          <w:rFonts w:eastAsia="SimSun"/>
        </w:rPr>
      </w:pPr>
      <w:r w:rsidRPr="00C07B2E">
        <w:rPr>
          <w:rFonts w:eastAsia="SimSun"/>
        </w:rPr>
        <w:t>ЭЭГ при необходимости</w:t>
      </w:r>
    </w:p>
    <w:p w14:paraId="659A12BB"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rPr>
          <w:rFonts w:eastAsia="SimSun"/>
        </w:rPr>
        <w:t>Осмотр специалистов: стоматолог (обязательно), гинеколог (обязательно для женщин), оториноларинголог (по показаниям)</w:t>
      </w:r>
      <w:r w:rsidRPr="003A51FD">
        <w:rPr>
          <w:rStyle w:val="aff"/>
        </w:rPr>
        <w:footnoteReference w:id="17"/>
      </w:r>
      <w:r w:rsidRPr="00470D3D">
        <w:rPr>
          <w:rFonts w:eastAsia="SimSun"/>
        </w:rPr>
        <w:t xml:space="preserve">. </w:t>
      </w:r>
    </w:p>
    <w:p w14:paraId="62CD7FBA" w14:textId="77777777" w:rsidR="00BE7F89" w:rsidRPr="00470D3D" w:rsidRDefault="00BE7F89" w:rsidP="005B002C">
      <w:pPr>
        <w:numPr>
          <w:ilvl w:val="0"/>
          <w:numId w:val="67"/>
        </w:numPr>
        <w:overflowPunct w:val="0"/>
        <w:autoSpaceDE w:val="0"/>
        <w:autoSpaceDN w:val="0"/>
        <w:adjustRightInd w:val="0"/>
        <w:textAlignment w:val="baseline"/>
        <w:rPr>
          <w:rFonts w:eastAsia="SimSun"/>
        </w:rPr>
      </w:pPr>
      <w:r w:rsidRPr="00470D3D">
        <w:t>Определение н</w:t>
      </w:r>
      <w:r w:rsidRPr="00470D3D">
        <w:rPr>
          <w:rFonts w:eastAsia="SimSun"/>
        </w:rPr>
        <w:t>аличия донорспецифичных анти-</w:t>
      </w:r>
      <w:r w:rsidRPr="00C07B2E">
        <w:rPr>
          <w:rFonts w:eastAsia="SimSun"/>
        </w:rPr>
        <w:t>HLA</w:t>
      </w:r>
      <w:r w:rsidRPr="00470D3D">
        <w:rPr>
          <w:rFonts w:eastAsia="SimSun"/>
        </w:rPr>
        <w:t>-антител при неродственной частично совместимой или гаплоидентичной ТГСК (при возможности)</w:t>
      </w:r>
    </w:p>
    <w:p w14:paraId="00A9DCB7" w14:textId="77777777" w:rsidR="00BE7F89" w:rsidRDefault="00BE7F89" w:rsidP="00BE7F89">
      <w:pPr>
        <w:rPr>
          <w:rFonts w:eastAsia="SimSun"/>
          <w:i/>
          <w:u w:val="single"/>
        </w:rPr>
      </w:pPr>
    </w:p>
    <w:p w14:paraId="0F84F94D" w14:textId="68F35162" w:rsidR="00BE7F89" w:rsidRPr="00EE51B1" w:rsidRDefault="00BE7F89" w:rsidP="00BE7F89">
      <w:pPr>
        <w:rPr>
          <w:rFonts w:eastAsia="SimSun"/>
          <w:i/>
          <w:u w:val="single"/>
        </w:rPr>
      </w:pPr>
      <w:r w:rsidRPr="00EE51B1">
        <w:rPr>
          <w:rFonts w:eastAsia="SimSun"/>
          <w:i/>
          <w:u w:val="single"/>
        </w:rPr>
        <w:t>Алгоритм принятия решения о выполнении алло-ТГСК</w:t>
      </w:r>
      <w:bookmarkEnd w:id="110"/>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BE7F89">
        <w:rPr>
          <w:rFonts w:eastAsia="SimSun"/>
          <w:noProof/>
        </w:rPr>
        <w:t>[92]</w:t>
      </w:r>
      <w:r w:rsidRPr="00EE51B1">
        <w:rPr>
          <w:rFonts w:eastAsia="SimSun"/>
          <w:i/>
          <w:u w:val="single"/>
        </w:rPr>
        <w:fldChar w:fldCharType="end"/>
      </w:r>
      <w:r w:rsidRPr="00EE51B1">
        <w:rPr>
          <w:rFonts w:eastAsia="SimSun"/>
          <w:i/>
          <w:u w:val="single"/>
        </w:rPr>
        <w:t xml:space="preserve">: </w:t>
      </w:r>
    </w:p>
    <w:p w14:paraId="7B5CC7E0" w14:textId="77777777" w:rsidR="00BE7F89" w:rsidRPr="00C07B2E" w:rsidRDefault="00BE7F89" w:rsidP="005B002C">
      <w:pPr>
        <w:ind w:firstLine="709"/>
        <w:rPr>
          <w:rFonts w:eastAsia="SimSun"/>
        </w:rPr>
      </w:pPr>
      <w:r w:rsidRPr="00C07B2E">
        <w:rPr>
          <w:rFonts w:eastAsia="SimSun"/>
        </w:rPr>
        <w:t>Медицинская организация, в которой проводятся наблюдение и лечение пациента, выявившая у пациента медицинские показания к проведению трансплантации костного мозга или гемопоэтических стволовых клеток, для рассмотрения вопроса о необходимости трансплантации костного мозга и гемопоэтических стволовых клеток осуществляет направление пациента в медицинскую организацию, осуществляющую трансплантацию, либо организует проведение дистанционного консилиума с применением телемедицинских технологий в соответствии с порядком организации оказания медицинской помощи с применением телемедицинских технологий.</w:t>
      </w:r>
    </w:p>
    <w:p w14:paraId="316CDDF7" w14:textId="77777777" w:rsidR="00BE7F89" w:rsidRPr="00C07B2E" w:rsidRDefault="00BE7F89" w:rsidP="005B002C">
      <w:pPr>
        <w:ind w:firstLine="709"/>
        <w:rPr>
          <w:rFonts w:eastAsia="SimSun"/>
        </w:rPr>
      </w:pPr>
      <w:r w:rsidRPr="00C07B2E">
        <w:rPr>
          <w:rFonts w:eastAsia="SimSun"/>
        </w:rPr>
        <w:t>Медицинское заключение о необходимости трансплантации костного мозга или гемопоэтических стволовых клеток (далее - заключение) потенциальному кандидату на проведение алло-ТГСК (реципиенту) выдается на бумажном носителе или в форме электронного документа консилиумом врачей (включая дистанционный консилиум, в случае невозможности проведения очной консультации) организацией, осуществляющей трансплантацию, в соответствии с Инструкцией о выдаче медицинского заключения о необходимости трансплантации органов и (или) тканей человека на основании консультации потенциального реципиента, результатов медицинского обследования, о чем вносится запись в медицинскую документацию пациента.</w:t>
      </w:r>
    </w:p>
    <w:p w14:paraId="388C1915" w14:textId="77777777" w:rsidR="00BE7F89" w:rsidRDefault="00BE7F89" w:rsidP="00BE7F89">
      <w:pPr>
        <w:rPr>
          <w:rFonts w:eastAsia="SimSun"/>
        </w:rPr>
      </w:pPr>
      <w:bookmarkStart w:id="112" w:name="_Toc44401111"/>
    </w:p>
    <w:p w14:paraId="71AB17FD" w14:textId="730AE590" w:rsidR="00BE7F89" w:rsidRPr="00EE51B1" w:rsidRDefault="00BE7F89" w:rsidP="00BE7F89">
      <w:pPr>
        <w:rPr>
          <w:rFonts w:eastAsia="SimSun"/>
          <w:i/>
          <w:u w:val="single"/>
        </w:rPr>
      </w:pPr>
      <w:r w:rsidRPr="00EE51B1">
        <w:rPr>
          <w:rFonts w:eastAsia="SimSun"/>
          <w:i/>
          <w:u w:val="single"/>
        </w:rPr>
        <w:t>Этапы принятия решений о проведении алло-ТГСК</w:t>
      </w:r>
      <w:bookmarkEnd w:id="112"/>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BE7F89">
        <w:rPr>
          <w:rFonts w:eastAsia="SimSun"/>
          <w:noProof/>
        </w:rPr>
        <w:t>[92]</w:t>
      </w:r>
      <w:r w:rsidRPr="00EE51B1">
        <w:rPr>
          <w:rFonts w:eastAsia="SimSun"/>
          <w:i/>
          <w:u w:val="single"/>
        </w:rPr>
        <w:fldChar w:fldCharType="end"/>
      </w:r>
      <w:r w:rsidRPr="00EE51B1">
        <w:rPr>
          <w:rFonts w:eastAsia="SimSun"/>
          <w:i/>
          <w:u w:val="single"/>
        </w:rPr>
        <w:t xml:space="preserve">: </w:t>
      </w:r>
    </w:p>
    <w:p w14:paraId="4BC42B30" w14:textId="77777777" w:rsidR="00BE7F89" w:rsidRPr="00C07B2E" w:rsidRDefault="00BE7F89" w:rsidP="00BE7F89">
      <w:pPr>
        <w:rPr>
          <w:rFonts w:eastAsia="SimSun"/>
        </w:rPr>
      </w:pPr>
      <w:r w:rsidRPr="00C07B2E">
        <w:rPr>
          <w:rFonts w:eastAsia="SimSun"/>
        </w:rPr>
        <w:t>Этап 1 — рассмотрение медицинской документации, формирование медицинского заключения о необходимости трансплантации костного мозга или гемопоэтических стволовых клеток и направление на инициальное типирование (для поиска родственного или неродственного донора) — решение о возможности проведения алло-ТГСК и инициация поиска донора принимается экспертами на трансплантационной комиссии</w:t>
      </w:r>
      <w:r w:rsidRPr="00C07B2E">
        <w:rPr>
          <w:rFonts w:eastAsia="SimSun"/>
          <w:vertAlign w:val="superscript"/>
        </w:rPr>
        <w:t>1</w:t>
      </w:r>
      <w:r w:rsidRPr="00C07B2E">
        <w:rPr>
          <w:rFonts w:eastAsia="SimSun"/>
        </w:rPr>
        <w:t xml:space="preserve">. После получения заключения о наличии показаний для выполнения алло-ТГСК пациент нуждается в проведении дообследования и стратификации рисков по общесоматическому статусу. </w:t>
      </w:r>
    </w:p>
    <w:p w14:paraId="3FB9A807" w14:textId="77777777" w:rsidR="00BE7F89" w:rsidRPr="00C07B2E" w:rsidRDefault="00BE7F89" w:rsidP="00BE7F89">
      <w:pPr>
        <w:rPr>
          <w:rFonts w:eastAsia="SimSun"/>
        </w:rPr>
      </w:pPr>
      <w:r w:rsidRPr="00C07B2E">
        <w:rPr>
          <w:rFonts w:eastAsia="SimSun"/>
        </w:rPr>
        <w:t>Этап 2</w:t>
      </w:r>
      <w:r w:rsidRPr="00C07B2E">
        <w:rPr>
          <w:rFonts w:eastAsia="SimSun"/>
          <w:i/>
        </w:rPr>
        <w:t xml:space="preserve"> — </w:t>
      </w:r>
      <w:r w:rsidRPr="00C07B2E">
        <w:rPr>
          <w:rFonts w:eastAsia="SimSun"/>
        </w:rPr>
        <w:t>получение информации о наличии потенциальных доноров (родственных и неродственных).</w:t>
      </w:r>
    </w:p>
    <w:p w14:paraId="506FFB58" w14:textId="77777777" w:rsidR="00BE7F89" w:rsidRPr="00C07B2E" w:rsidRDefault="00BE7F89" w:rsidP="00BE7F89">
      <w:pPr>
        <w:rPr>
          <w:rFonts w:eastAsia="SimSun"/>
        </w:rPr>
      </w:pPr>
      <w:r w:rsidRPr="00C07B2E">
        <w:rPr>
          <w:rFonts w:eastAsia="SimSun"/>
        </w:rPr>
        <w:t>Этап 3 — поиск донора (родственного или неродственного) завершен, согласована дата донации.</w:t>
      </w:r>
    </w:p>
    <w:p w14:paraId="730A40E6" w14:textId="77777777" w:rsidR="00BE7F89" w:rsidRDefault="00BE7F89" w:rsidP="00BE7F89">
      <w:pPr>
        <w:rPr>
          <w:rFonts w:eastAsia="SimSun"/>
        </w:rPr>
      </w:pPr>
      <w:r w:rsidRPr="00C07B2E">
        <w:rPr>
          <w:rFonts w:eastAsia="SimSun"/>
        </w:rPr>
        <w:t>Этап 4 — обсуждение сроков госпитализации пациента в отделение трансплантации костного мозга и обследование перед госпитализацией для выполнения алло-ТГСК — решение и дата госпитализации в отделение трансплантации костного мозга принимаются экспертами на трансплантационной комиссии за 4 нед до планируемой госпитализации.</w:t>
      </w:r>
    </w:p>
    <w:p w14:paraId="6B68A0E7" w14:textId="77777777" w:rsidR="00BE7F89" w:rsidRDefault="00BE7F89" w:rsidP="00BE7F89">
      <w:pPr>
        <w:rPr>
          <w:rFonts w:eastAsia="SimSun"/>
        </w:rPr>
      </w:pPr>
      <w:bookmarkStart w:id="113" w:name="_Toc44401112"/>
    </w:p>
    <w:p w14:paraId="27F1A6BF" w14:textId="77777777" w:rsidR="00BE7F89" w:rsidRPr="00EE51B1" w:rsidRDefault="00BE7F89" w:rsidP="00BE7F89">
      <w:pPr>
        <w:rPr>
          <w:rFonts w:eastAsia="SimSun"/>
          <w:b/>
        </w:rPr>
      </w:pPr>
      <w:r w:rsidRPr="00EE51B1">
        <w:rPr>
          <w:rFonts w:eastAsia="SimSun"/>
          <w:b/>
        </w:rPr>
        <w:t>2. Отбор доноров аллогенных ГСК</w:t>
      </w:r>
      <w:bookmarkEnd w:id="113"/>
      <w:r w:rsidRPr="00EE51B1">
        <w:rPr>
          <w:rFonts w:eastAsia="SimSun"/>
          <w:b/>
        </w:rPr>
        <w:t xml:space="preserve"> </w:t>
      </w:r>
    </w:p>
    <w:p w14:paraId="7C96A55B" w14:textId="0E4B2BCF" w:rsidR="00BE7F89" w:rsidRPr="00EE51B1" w:rsidRDefault="00BE7F89" w:rsidP="00BE7F89">
      <w:pPr>
        <w:rPr>
          <w:rFonts w:eastAsia="SimSun"/>
          <w:i/>
          <w:u w:val="single"/>
        </w:rPr>
      </w:pPr>
      <w:bookmarkStart w:id="114" w:name="_Toc44401114"/>
      <w:r w:rsidRPr="00EE51B1">
        <w:rPr>
          <w:rFonts w:eastAsia="SimSun"/>
          <w:i/>
          <w:u w:val="single"/>
        </w:rPr>
        <w:t>Основные критерии по отбору доноров аллогенных ГСК</w:t>
      </w:r>
      <w:bookmarkEnd w:id="114"/>
      <w:r>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BE7F89">
        <w:rPr>
          <w:rFonts w:eastAsia="SimSun"/>
          <w:noProof/>
        </w:rPr>
        <w:t>[92]</w:t>
      </w:r>
      <w:r w:rsidRPr="00EE51B1">
        <w:rPr>
          <w:rFonts w:eastAsia="SimSun"/>
          <w:i/>
          <w:u w:val="single"/>
        </w:rPr>
        <w:fldChar w:fldCharType="end"/>
      </w:r>
      <w:r>
        <w:rPr>
          <w:rFonts w:eastAsia="SimSun"/>
          <w:i/>
          <w:u w:val="single"/>
        </w:rPr>
        <w:t>:</w:t>
      </w:r>
      <w:r w:rsidRPr="00EE51B1">
        <w:rPr>
          <w:rFonts w:eastAsia="SimSun"/>
          <w:i/>
          <w:u w:val="single"/>
        </w:rPr>
        <w:t xml:space="preserve"> </w:t>
      </w:r>
    </w:p>
    <w:p w14:paraId="3A528833" w14:textId="4EA345BA" w:rsidR="00BE7F89" w:rsidRPr="005B002C" w:rsidRDefault="00BE7F89" w:rsidP="005B002C">
      <w:pPr>
        <w:numPr>
          <w:ilvl w:val="0"/>
          <w:numId w:val="62"/>
        </w:numPr>
        <w:overflowPunct w:val="0"/>
        <w:autoSpaceDE w:val="0"/>
        <w:autoSpaceDN w:val="0"/>
        <w:adjustRightInd w:val="0"/>
        <w:textAlignment w:val="baseline"/>
        <w:rPr>
          <w:rFonts w:eastAsia="SimSun"/>
        </w:rPr>
      </w:pPr>
      <w:r w:rsidRPr="00C07B2E">
        <w:rPr>
          <w:rFonts w:eastAsia="SimSun"/>
        </w:rPr>
        <w:t xml:space="preserve">Оценка статуса кандидата в доноры согласно определению индекса Карновского </w:t>
      </w:r>
      <w:r w:rsidRPr="005B002C">
        <w:rPr>
          <w:rFonts w:eastAsia="SimSun"/>
        </w:rPr>
        <w:t xml:space="preserve">и </w:t>
      </w:r>
      <w:r w:rsidRPr="005B002C">
        <w:rPr>
          <w:rFonts w:eastAsia="SimSun"/>
          <w:lang w:val="en-US"/>
        </w:rPr>
        <w:t>ECOG</w:t>
      </w:r>
      <w:r w:rsidRPr="005B002C">
        <w:rPr>
          <w:rFonts w:eastAsia="SimSun"/>
        </w:rPr>
        <w:t>-ВОЗ (приложение</w:t>
      </w:r>
      <w:r w:rsidR="005B002C">
        <w:rPr>
          <w:rFonts w:eastAsia="SimSun"/>
        </w:rPr>
        <w:t xml:space="preserve"> Г1</w:t>
      </w:r>
      <w:r w:rsidRPr="005B002C">
        <w:rPr>
          <w:rFonts w:eastAsia="SimSun"/>
        </w:rPr>
        <w:t>).</w:t>
      </w:r>
    </w:p>
    <w:p w14:paraId="0B3FD4FD" w14:textId="77777777" w:rsidR="00BE7F89" w:rsidRPr="00C07B2E" w:rsidRDefault="00BE7F89" w:rsidP="005B002C">
      <w:pPr>
        <w:numPr>
          <w:ilvl w:val="0"/>
          <w:numId w:val="62"/>
        </w:numPr>
        <w:overflowPunct w:val="0"/>
        <w:autoSpaceDE w:val="0"/>
        <w:autoSpaceDN w:val="0"/>
        <w:adjustRightInd w:val="0"/>
        <w:textAlignment w:val="baseline"/>
        <w:rPr>
          <w:rFonts w:eastAsia="SimSun"/>
        </w:rPr>
      </w:pPr>
      <w:r w:rsidRPr="00EE51B1">
        <w:rPr>
          <w:rFonts w:eastAsia="SimSun"/>
        </w:rPr>
        <w:t xml:space="preserve">Стандартный возраст кандидата в доноры 18–75 лет. В отдельных случаях в качестве доноров могут выступать несовершеннолетние сиблинги. </w:t>
      </w:r>
      <w:r w:rsidRPr="00C07B2E">
        <w:rPr>
          <w:rFonts w:eastAsia="SimSun"/>
        </w:rPr>
        <w:t>Решение о допуске на донацию в данном случае принимается родителями в соответствии с действующим законадательством РФ.</w:t>
      </w:r>
    </w:p>
    <w:p w14:paraId="2ADA93D3" w14:textId="77777777" w:rsidR="00BE7F89" w:rsidRPr="00C07B2E" w:rsidRDefault="00BE7F89" w:rsidP="005B002C">
      <w:pPr>
        <w:numPr>
          <w:ilvl w:val="0"/>
          <w:numId w:val="62"/>
        </w:numPr>
        <w:overflowPunct w:val="0"/>
        <w:autoSpaceDE w:val="0"/>
        <w:autoSpaceDN w:val="0"/>
        <w:adjustRightInd w:val="0"/>
        <w:textAlignment w:val="baseline"/>
        <w:rPr>
          <w:rFonts w:eastAsia="SimSun"/>
        </w:rPr>
      </w:pPr>
      <w:r w:rsidRPr="00C07B2E">
        <w:rPr>
          <w:rFonts w:eastAsia="SimSun"/>
        </w:rPr>
        <w:t xml:space="preserve">Адекватное психологическое состояние (юридическая дееспособность). </w:t>
      </w:r>
    </w:p>
    <w:p w14:paraId="1E65DC0C" w14:textId="77777777" w:rsidR="00BE7F89" w:rsidRPr="00C07B2E" w:rsidRDefault="00BE7F89" w:rsidP="005B002C">
      <w:pPr>
        <w:numPr>
          <w:ilvl w:val="0"/>
          <w:numId w:val="62"/>
        </w:numPr>
        <w:overflowPunct w:val="0"/>
        <w:autoSpaceDE w:val="0"/>
        <w:autoSpaceDN w:val="0"/>
        <w:adjustRightInd w:val="0"/>
        <w:textAlignment w:val="baseline"/>
        <w:rPr>
          <w:rFonts w:eastAsia="SimSun"/>
        </w:rPr>
      </w:pPr>
      <w:r w:rsidRPr="00C07B2E">
        <w:rPr>
          <w:rFonts w:eastAsia="SimSun"/>
        </w:rPr>
        <w:t xml:space="preserve">Наличие </w:t>
      </w:r>
      <w:r w:rsidRPr="00C07B2E">
        <w:rPr>
          <w:rFonts w:eastAsia="SimSun"/>
          <w:lang w:val="en-US"/>
        </w:rPr>
        <w:t>HLA</w:t>
      </w:r>
      <w:r w:rsidRPr="00C07B2E">
        <w:rPr>
          <w:rFonts w:eastAsia="SimSun"/>
        </w:rPr>
        <w:t xml:space="preserve">-типирования: для родственных — не менее чем по средне-низкому разрешению, для неродственных — по высокому разрешению.  Окончательные требования к разрешению типирования остаются на усмотрение трансплатационного центра в котором проводится алло-ТГСК. </w:t>
      </w:r>
    </w:p>
    <w:p w14:paraId="44B77C65" w14:textId="77777777" w:rsidR="00BE7F89" w:rsidRPr="00C07B2E" w:rsidRDefault="00BE7F89" w:rsidP="005B002C">
      <w:pPr>
        <w:numPr>
          <w:ilvl w:val="0"/>
          <w:numId w:val="62"/>
        </w:numPr>
        <w:overflowPunct w:val="0"/>
        <w:autoSpaceDE w:val="0"/>
        <w:autoSpaceDN w:val="0"/>
        <w:adjustRightInd w:val="0"/>
        <w:textAlignment w:val="baseline"/>
        <w:rPr>
          <w:rFonts w:eastAsia="SimSun"/>
        </w:rPr>
      </w:pPr>
      <w:r w:rsidRPr="00C07B2E">
        <w:rPr>
          <w:rFonts w:eastAsia="SimSun"/>
        </w:rPr>
        <w:t>Оценка статуса по гемотрансмиссивным инфекциям (ВИЧ, вирусные гепатиты с дополнительными маркерами и ПЦР, сифилис) и герпес-вирусам (</w:t>
      </w:r>
      <w:r w:rsidRPr="00C07B2E">
        <w:rPr>
          <w:rFonts w:eastAsia="SimSun"/>
          <w:lang w:val="en-US"/>
        </w:rPr>
        <w:t>IgG</w:t>
      </w:r>
      <w:r w:rsidRPr="00C07B2E">
        <w:rPr>
          <w:rFonts w:eastAsia="SimSun"/>
        </w:rPr>
        <w:t xml:space="preserve"> и </w:t>
      </w:r>
      <w:r w:rsidRPr="00C07B2E">
        <w:rPr>
          <w:rFonts w:eastAsia="SimSun"/>
          <w:lang w:val="en-US"/>
        </w:rPr>
        <w:t>IgM</w:t>
      </w:r>
      <w:r w:rsidRPr="00C07B2E">
        <w:rPr>
          <w:rFonts w:eastAsia="SimSun"/>
        </w:rPr>
        <w:t xml:space="preserve"> к </w:t>
      </w:r>
      <w:r w:rsidRPr="00C07B2E">
        <w:rPr>
          <w:rFonts w:eastAsia="SimSun"/>
          <w:lang w:val="en-US"/>
        </w:rPr>
        <w:t>CMV</w:t>
      </w:r>
      <w:r w:rsidRPr="00C07B2E">
        <w:rPr>
          <w:rFonts w:eastAsia="SimSun"/>
        </w:rPr>
        <w:t xml:space="preserve">, вирусу Эпштейна—Барр). </w:t>
      </w:r>
    </w:p>
    <w:p w14:paraId="4E2C05D5" w14:textId="77777777" w:rsidR="00BE7F89" w:rsidRPr="00C07B2E" w:rsidRDefault="00BE7F89" w:rsidP="005B002C">
      <w:pPr>
        <w:numPr>
          <w:ilvl w:val="0"/>
          <w:numId w:val="62"/>
        </w:numPr>
        <w:overflowPunct w:val="0"/>
        <w:autoSpaceDE w:val="0"/>
        <w:autoSpaceDN w:val="0"/>
        <w:adjustRightInd w:val="0"/>
        <w:textAlignment w:val="baseline"/>
        <w:rPr>
          <w:rFonts w:eastAsia="SimSun"/>
        </w:rPr>
      </w:pPr>
      <w:r w:rsidRPr="00C07B2E">
        <w:rPr>
          <w:rFonts w:eastAsia="SimSun"/>
        </w:rPr>
        <w:t>Наличие результатов обследования.</w:t>
      </w:r>
    </w:p>
    <w:p w14:paraId="09E89FBD" w14:textId="77777777" w:rsidR="00BE7F89" w:rsidRDefault="00BE7F89" w:rsidP="00BE7F89">
      <w:pPr>
        <w:rPr>
          <w:rFonts w:eastAsia="SimSun"/>
        </w:rPr>
      </w:pPr>
      <w:bookmarkStart w:id="115" w:name="_Toc44401115"/>
    </w:p>
    <w:p w14:paraId="3C44C397" w14:textId="26B85053" w:rsidR="00BE7F89" w:rsidRPr="00EE51B1" w:rsidRDefault="00BE7F89" w:rsidP="00BE7F89">
      <w:pPr>
        <w:rPr>
          <w:rFonts w:eastAsia="SimSun"/>
          <w:i/>
          <w:u w:val="single"/>
        </w:rPr>
      </w:pPr>
      <w:r w:rsidRPr="00EE51B1">
        <w:rPr>
          <w:rFonts w:eastAsia="SimSun"/>
          <w:i/>
          <w:u w:val="single"/>
        </w:rPr>
        <w:t>Дополнительные критерии по отбору доноров аллогенных ГСК</w:t>
      </w:r>
      <w:bookmarkEnd w:id="115"/>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BE7F89">
        <w:rPr>
          <w:rFonts w:eastAsia="SimSun"/>
          <w:noProof/>
        </w:rPr>
        <w:t>[92]</w:t>
      </w:r>
      <w:r w:rsidRPr="00EE51B1">
        <w:rPr>
          <w:rFonts w:eastAsia="SimSun"/>
          <w:i/>
          <w:u w:val="single"/>
        </w:rPr>
        <w:fldChar w:fldCharType="end"/>
      </w:r>
      <w:r>
        <w:rPr>
          <w:rFonts w:eastAsia="SimSun"/>
          <w:i/>
          <w:u w:val="single"/>
        </w:rPr>
        <w:t>:</w:t>
      </w:r>
    </w:p>
    <w:p w14:paraId="35105EF5" w14:textId="77777777" w:rsidR="00BE7F89" w:rsidRPr="00C07B2E" w:rsidRDefault="00BE7F89" w:rsidP="005B002C">
      <w:pPr>
        <w:numPr>
          <w:ilvl w:val="0"/>
          <w:numId w:val="63"/>
        </w:numPr>
        <w:overflowPunct w:val="0"/>
        <w:autoSpaceDE w:val="0"/>
        <w:autoSpaceDN w:val="0"/>
        <w:adjustRightInd w:val="0"/>
        <w:textAlignment w:val="baseline"/>
        <w:rPr>
          <w:rFonts w:eastAsia="SimSun"/>
        </w:rPr>
      </w:pPr>
      <w:r w:rsidRPr="00C07B2E">
        <w:rPr>
          <w:rFonts w:eastAsia="SimSun"/>
        </w:rPr>
        <w:t>Информация об инфекционном статусе. Перенесенных заболеваниях в том числе (</w:t>
      </w:r>
      <w:r w:rsidRPr="00C07B2E">
        <w:rPr>
          <w:rFonts w:eastAsia="SimSun"/>
          <w:lang w:val="en-US"/>
        </w:rPr>
        <w:t>COVID</w:t>
      </w:r>
      <w:r w:rsidRPr="00C07B2E">
        <w:rPr>
          <w:rFonts w:eastAsia="SimSun"/>
        </w:rPr>
        <w:t>-19, туберкулезе, вирусных гепатитах)</w:t>
      </w:r>
    </w:p>
    <w:p w14:paraId="5017B472" w14:textId="77777777" w:rsidR="00BE7F89" w:rsidRPr="00C07B2E" w:rsidRDefault="00BE7F89" w:rsidP="005B002C">
      <w:pPr>
        <w:numPr>
          <w:ilvl w:val="0"/>
          <w:numId w:val="63"/>
        </w:numPr>
        <w:overflowPunct w:val="0"/>
        <w:autoSpaceDE w:val="0"/>
        <w:autoSpaceDN w:val="0"/>
        <w:adjustRightInd w:val="0"/>
        <w:textAlignment w:val="baseline"/>
        <w:rPr>
          <w:rFonts w:eastAsia="SimSun"/>
        </w:rPr>
      </w:pPr>
      <w:r w:rsidRPr="00C07B2E">
        <w:rPr>
          <w:rFonts w:eastAsia="SimSun"/>
        </w:rPr>
        <w:t>Информация о структурных и врожденных аномалиях, наличии протезированного биоматериала.</w:t>
      </w:r>
    </w:p>
    <w:p w14:paraId="38725248" w14:textId="77777777" w:rsidR="00BE7F89" w:rsidRPr="00C07B2E" w:rsidRDefault="00BE7F89" w:rsidP="005B002C">
      <w:pPr>
        <w:numPr>
          <w:ilvl w:val="0"/>
          <w:numId w:val="63"/>
        </w:numPr>
        <w:overflowPunct w:val="0"/>
        <w:autoSpaceDE w:val="0"/>
        <w:autoSpaceDN w:val="0"/>
        <w:adjustRightInd w:val="0"/>
        <w:textAlignment w:val="baseline"/>
        <w:rPr>
          <w:rFonts w:eastAsia="SimSun"/>
        </w:rPr>
      </w:pPr>
      <w:r w:rsidRPr="00C07B2E">
        <w:rPr>
          <w:rFonts w:eastAsia="SimSun"/>
        </w:rPr>
        <w:t>Поездки в страны Юго-Восточной Азии, Африки, Центральной и Южной Америки.</w:t>
      </w:r>
    </w:p>
    <w:p w14:paraId="14CB57F8" w14:textId="77777777" w:rsidR="00BE7F89" w:rsidRPr="00C07B2E" w:rsidRDefault="00BE7F89" w:rsidP="005B002C">
      <w:pPr>
        <w:numPr>
          <w:ilvl w:val="0"/>
          <w:numId w:val="63"/>
        </w:numPr>
        <w:overflowPunct w:val="0"/>
        <w:autoSpaceDE w:val="0"/>
        <w:autoSpaceDN w:val="0"/>
        <w:adjustRightInd w:val="0"/>
        <w:textAlignment w:val="baseline"/>
        <w:rPr>
          <w:rFonts w:eastAsia="SimSun"/>
        </w:rPr>
      </w:pPr>
      <w:r w:rsidRPr="00C07B2E">
        <w:rPr>
          <w:rFonts w:eastAsia="SimSun"/>
        </w:rPr>
        <w:t>Информация о наличии хронических заболеваний и их стадии.</w:t>
      </w:r>
    </w:p>
    <w:p w14:paraId="57FA8754" w14:textId="77777777" w:rsidR="00BE7F89" w:rsidRPr="00C07B2E" w:rsidRDefault="00BE7F89" w:rsidP="005B002C">
      <w:pPr>
        <w:numPr>
          <w:ilvl w:val="0"/>
          <w:numId w:val="63"/>
        </w:numPr>
        <w:overflowPunct w:val="0"/>
        <w:autoSpaceDE w:val="0"/>
        <w:autoSpaceDN w:val="0"/>
        <w:adjustRightInd w:val="0"/>
        <w:textAlignment w:val="baseline"/>
        <w:rPr>
          <w:rFonts w:eastAsia="SimSun"/>
        </w:rPr>
      </w:pPr>
      <w:r w:rsidRPr="00C07B2E">
        <w:rPr>
          <w:rFonts w:eastAsia="SimSun"/>
        </w:rPr>
        <w:t>Информация о лечении зубов, переливании компонентов крови, татуировках в течение как минимум 6 мес до донации.</w:t>
      </w:r>
    </w:p>
    <w:p w14:paraId="4126913C" w14:textId="77777777" w:rsidR="00BE7F89" w:rsidRPr="00C07B2E" w:rsidRDefault="00BE7F89" w:rsidP="005B002C">
      <w:pPr>
        <w:numPr>
          <w:ilvl w:val="0"/>
          <w:numId w:val="63"/>
        </w:numPr>
        <w:overflowPunct w:val="0"/>
        <w:autoSpaceDE w:val="0"/>
        <w:autoSpaceDN w:val="0"/>
        <w:adjustRightInd w:val="0"/>
        <w:textAlignment w:val="baseline"/>
        <w:rPr>
          <w:rFonts w:eastAsia="SimSun"/>
        </w:rPr>
      </w:pPr>
      <w:r w:rsidRPr="00C07B2E">
        <w:rPr>
          <w:rFonts w:eastAsia="SimSun"/>
        </w:rPr>
        <w:t>Количество беременностей и родов в анамнезе.</w:t>
      </w:r>
    </w:p>
    <w:p w14:paraId="7F9E7DF7" w14:textId="77777777" w:rsidR="00BE7F89" w:rsidRPr="00C07B2E" w:rsidRDefault="00BE7F89" w:rsidP="005B002C">
      <w:pPr>
        <w:numPr>
          <w:ilvl w:val="0"/>
          <w:numId w:val="63"/>
        </w:numPr>
        <w:overflowPunct w:val="0"/>
        <w:autoSpaceDE w:val="0"/>
        <w:autoSpaceDN w:val="0"/>
        <w:adjustRightInd w:val="0"/>
        <w:textAlignment w:val="baseline"/>
        <w:rPr>
          <w:rFonts w:eastAsia="SimSun"/>
        </w:rPr>
      </w:pPr>
      <w:r w:rsidRPr="00C07B2E">
        <w:rPr>
          <w:rFonts w:eastAsia="SimSun"/>
        </w:rPr>
        <w:t>Вес донора и реципиента — если вес донора составляет менее 50% от веса пациента, то рекомендуется рассмотреть в качестве источника трансплантата СКК.</w:t>
      </w:r>
    </w:p>
    <w:p w14:paraId="7E535E65" w14:textId="77777777" w:rsidR="00BE7F89" w:rsidRPr="00C07B2E" w:rsidRDefault="00BE7F89" w:rsidP="005B002C">
      <w:pPr>
        <w:numPr>
          <w:ilvl w:val="0"/>
          <w:numId w:val="63"/>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(на основаниий ИМТ и/или концентрации альбумина в сыворотке крови). </w:t>
      </w:r>
    </w:p>
    <w:p w14:paraId="5F5937A9" w14:textId="77777777" w:rsidR="00BE7F89" w:rsidRPr="00C07B2E" w:rsidRDefault="00BE7F89" w:rsidP="005B002C">
      <w:pPr>
        <w:numPr>
          <w:ilvl w:val="0"/>
          <w:numId w:val="63"/>
        </w:numPr>
        <w:overflowPunct w:val="0"/>
        <w:autoSpaceDE w:val="0"/>
        <w:autoSpaceDN w:val="0"/>
        <w:adjustRightInd w:val="0"/>
        <w:textAlignment w:val="baseline"/>
        <w:rPr>
          <w:rFonts w:eastAsia="SimSun"/>
        </w:rPr>
      </w:pPr>
      <w:r w:rsidRPr="00C07B2E">
        <w:rPr>
          <w:rFonts w:eastAsia="SimSun"/>
        </w:rPr>
        <w:t>Оперативные вмешательства в анамнезе</w:t>
      </w:r>
    </w:p>
    <w:p w14:paraId="7CB928AE" w14:textId="77777777" w:rsidR="00BE7F89" w:rsidRPr="00C07B2E" w:rsidRDefault="00BE7F89" w:rsidP="005B002C">
      <w:pPr>
        <w:numPr>
          <w:ilvl w:val="0"/>
          <w:numId w:val="63"/>
        </w:numPr>
        <w:overflowPunct w:val="0"/>
        <w:autoSpaceDE w:val="0"/>
        <w:autoSpaceDN w:val="0"/>
        <w:adjustRightInd w:val="0"/>
        <w:textAlignment w:val="baseline"/>
        <w:rPr>
          <w:rFonts w:eastAsia="SimSun"/>
        </w:rPr>
      </w:pPr>
      <w:r w:rsidRPr="00C07B2E">
        <w:rPr>
          <w:rFonts w:eastAsia="SimSun"/>
        </w:rPr>
        <w:t>Предполагаемая трудная интубация трахеи (для доноров костного мозга)</w:t>
      </w:r>
    </w:p>
    <w:p w14:paraId="665A96B1" w14:textId="77777777" w:rsidR="00BE7F89" w:rsidRDefault="00BE7F89" w:rsidP="00BE7F89">
      <w:pPr>
        <w:rPr>
          <w:rFonts w:eastAsia="SimSun"/>
        </w:rPr>
      </w:pPr>
      <w:bookmarkStart w:id="116" w:name="_Toc44401116"/>
    </w:p>
    <w:p w14:paraId="3C53EB54" w14:textId="5DF7F40B" w:rsidR="00BE7F89" w:rsidRPr="00470D3D" w:rsidRDefault="00BE7F89" w:rsidP="00BE7F89">
      <w:pPr>
        <w:rPr>
          <w:rFonts w:eastAsia="SimSun"/>
          <w:i/>
          <w:u w:val="single"/>
        </w:rPr>
      </w:pPr>
      <w:r w:rsidRPr="00470D3D">
        <w:rPr>
          <w:rFonts w:eastAsia="SimSun"/>
          <w:i/>
          <w:u w:val="single"/>
        </w:rPr>
        <w:t>Противопоказания для донорства</w:t>
      </w:r>
      <w:bookmarkEnd w:id="116"/>
      <w:r>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BE7F89">
        <w:rPr>
          <w:rFonts w:eastAsia="SimSun"/>
          <w:noProof/>
        </w:rPr>
        <w:t>[92]</w:t>
      </w:r>
      <w:r w:rsidRPr="00EE51B1">
        <w:rPr>
          <w:rFonts w:eastAsia="SimSun"/>
          <w:i/>
          <w:u w:val="single"/>
        </w:rPr>
        <w:fldChar w:fldCharType="end"/>
      </w:r>
    </w:p>
    <w:p w14:paraId="7A77C5FC" w14:textId="77777777" w:rsidR="00BE7F89" w:rsidRPr="00C07B2E" w:rsidRDefault="00BE7F89" w:rsidP="005B002C">
      <w:pPr>
        <w:ind w:firstLine="709"/>
        <w:rPr>
          <w:rFonts w:eastAsia="SimSun"/>
        </w:rPr>
      </w:pPr>
      <w:r w:rsidRPr="00C07B2E">
        <w:rPr>
          <w:rFonts w:eastAsia="SimSun"/>
        </w:rPr>
        <w:t xml:space="preserve">Медицинские противопоказания для изъятия аллогенного костного мозга и/или забора аллогенных гемопоэтических стволовых клеток в целях их трансплантации являются следующие заболевания (состояния) у донора которые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 </w:t>
      </w:r>
    </w:p>
    <w:p w14:paraId="5FF357E5" w14:textId="77777777" w:rsidR="00BE7F89" w:rsidRPr="00C07B2E" w:rsidRDefault="00BE7F89" w:rsidP="00BE7F89">
      <w:pPr>
        <w:rPr>
          <w:rFonts w:eastAsia="SimSun"/>
        </w:rPr>
      </w:pPr>
    </w:p>
    <w:p w14:paraId="157FD611" w14:textId="289DBD5A" w:rsidR="00BE7F89" w:rsidRPr="00470D3D" w:rsidRDefault="00BE7F89" w:rsidP="00BE7F89">
      <w:pPr>
        <w:rPr>
          <w:bCs/>
          <w:i/>
          <w:u w:val="single"/>
        </w:rPr>
      </w:pPr>
      <w:bookmarkStart w:id="117" w:name="_Toc44401117"/>
      <w:r w:rsidRPr="00470D3D">
        <w:rPr>
          <w:bCs/>
          <w:i/>
          <w:u w:val="single"/>
        </w:rPr>
        <w:t>Абсолютные медицинские  противопоказания</w:t>
      </w:r>
      <w:r>
        <w:rPr>
          <w:bCs/>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BE7F89">
        <w:rPr>
          <w:rFonts w:eastAsia="SimSun"/>
          <w:noProof/>
        </w:rPr>
        <w:t>[92]</w:t>
      </w:r>
      <w:r w:rsidRPr="00EE51B1">
        <w:rPr>
          <w:rFonts w:eastAsia="SimSun"/>
          <w:i/>
          <w:u w:val="single"/>
        </w:rPr>
        <w:fldChar w:fldCharType="end"/>
      </w:r>
      <w:r w:rsidRPr="00470D3D">
        <w:rPr>
          <w:bCs/>
          <w:i/>
          <w:u w:val="single"/>
        </w:rPr>
        <w:t>:</w:t>
      </w:r>
      <w:bookmarkEnd w:id="117"/>
      <w:r w:rsidRPr="00470D3D">
        <w:rPr>
          <w:bCs/>
          <w:i/>
          <w:u w:val="single"/>
        </w:rPr>
        <w:t xml:space="preserve"> </w:t>
      </w:r>
    </w:p>
    <w:p w14:paraId="644416E7"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инфекционные заболевания в стадии обострения;</w:t>
      </w:r>
    </w:p>
    <w:p w14:paraId="232F75C2"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наличие в крови маркеров вируса иммунодефицита человека;</w:t>
      </w:r>
    </w:p>
    <w:p w14:paraId="6EC56525"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болезнь Крейтцфельдта-Якоба в анамнезе;</w:t>
      </w:r>
    </w:p>
    <w:p w14:paraId="25C63C32"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злокачественные новообразования;</w:t>
      </w:r>
    </w:p>
    <w:p w14:paraId="41001877"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кахексия;</w:t>
      </w:r>
    </w:p>
    <w:p w14:paraId="3BB75FF4"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терапия иммуносупрессивными лекарственными препаратами или иными лекарственными препаратами, которые могут повлиять на способность к самоподдержанию собственной популяции и полипотентность костного мозга и гемопоэтических стволовых клеток (на дату изъятия костного мозга и забора гемопоэтических стволовых клеток и до прекращения приема указанных лекарственных препаратов и восстановления кровяных ростков);</w:t>
      </w:r>
    </w:p>
    <w:p w14:paraId="04E8DB80"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психические расстройства и расстройства поведения в состоянии обострения и (или) представляющие опасность для больного и окружающих;</w:t>
      </w:r>
    </w:p>
    <w:p w14:paraId="74397864"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психические расстройства и расстройства поведения, вызванные употреблением психоактивных веществ;</w:t>
      </w:r>
    </w:p>
    <w:p w14:paraId="5BCC8BB0"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беременность;</w:t>
      </w:r>
    </w:p>
    <w:p w14:paraId="5117C66A"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грудное вскармливание</w:t>
      </w:r>
      <w:r w:rsidRPr="00C07B2E">
        <w:rPr>
          <w:bCs/>
          <w:lang w:val="en-US"/>
        </w:rPr>
        <w:t>;</w:t>
      </w:r>
    </w:p>
    <w:p w14:paraId="1823A46E" w14:textId="77777777" w:rsidR="00BE7F89" w:rsidRPr="00C07B2E" w:rsidRDefault="00BE7F89" w:rsidP="005B002C">
      <w:pPr>
        <w:numPr>
          <w:ilvl w:val="0"/>
          <w:numId w:val="64"/>
        </w:numPr>
        <w:overflowPunct w:val="0"/>
        <w:autoSpaceDE w:val="0"/>
        <w:autoSpaceDN w:val="0"/>
        <w:adjustRightInd w:val="0"/>
        <w:textAlignment w:val="baseline"/>
        <w:rPr>
          <w:bCs/>
        </w:rPr>
      </w:pPr>
      <w:r w:rsidRPr="00C07B2E">
        <w:rPr>
          <w:bCs/>
        </w:rPr>
        <w:t>отсутствие подписанного донором информированного согласия на забор ГСК или костного мозга</w:t>
      </w:r>
    </w:p>
    <w:p w14:paraId="2A67D439" w14:textId="77777777" w:rsidR="00BE7F89" w:rsidRPr="00C07B2E" w:rsidRDefault="00BE7F89" w:rsidP="00BE7F89">
      <w:pPr>
        <w:rPr>
          <w:rFonts w:eastAsia="SimSun"/>
        </w:rPr>
      </w:pPr>
    </w:p>
    <w:p w14:paraId="6C455463" w14:textId="0756F230" w:rsidR="00BE7F89" w:rsidRPr="00470D3D" w:rsidRDefault="00BE7F89" w:rsidP="00BE7F89">
      <w:pPr>
        <w:rPr>
          <w:rFonts w:eastAsia="SimSun"/>
          <w:i/>
          <w:u w:val="single"/>
        </w:rPr>
      </w:pPr>
      <w:bookmarkStart w:id="118" w:name="_Toc44401118"/>
      <w:r w:rsidRPr="00470D3D">
        <w:rPr>
          <w:rFonts w:eastAsia="SimSun"/>
          <w:i/>
          <w:u w:val="single"/>
        </w:rPr>
        <w:t>Относительные медицинские противопоказания</w:t>
      </w:r>
      <w:r>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BE7F89">
        <w:rPr>
          <w:rFonts w:eastAsia="SimSun"/>
          <w:noProof/>
        </w:rPr>
        <w:t>[92]</w:t>
      </w:r>
      <w:r w:rsidRPr="00EE51B1">
        <w:rPr>
          <w:rFonts w:eastAsia="SimSun"/>
          <w:i/>
          <w:u w:val="single"/>
        </w:rPr>
        <w:fldChar w:fldCharType="end"/>
      </w:r>
      <w:r w:rsidRPr="00470D3D">
        <w:rPr>
          <w:rFonts w:eastAsia="SimSun"/>
          <w:i/>
          <w:u w:val="single"/>
        </w:rPr>
        <w:t>:</w:t>
      </w:r>
      <w:bookmarkEnd w:id="118"/>
    </w:p>
    <w:p w14:paraId="3AC35752" w14:textId="77777777" w:rsidR="00BE7F89" w:rsidRPr="00C07B2E" w:rsidRDefault="00BE7F89" w:rsidP="005B002C">
      <w:pPr>
        <w:numPr>
          <w:ilvl w:val="0"/>
          <w:numId w:val="65"/>
        </w:numPr>
        <w:overflowPunct w:val="0"/>
        <w:autoSpaceDE w:val="0"/>
        <w:autoSpaceDN w:val="0"/>
        <w:adjustRightInd w:val="0"/>
        <w:textAlignment w:val="baseline"/>
        <w:rPr>
          <w:rFonts w:eastAsia="SimSun"/>
        </w:rPr>
      </w:pPr>
      <w:r w:rsidRPr="00C07B2E">
        <w:rPr>
          <w:rFonts w:eastAsia="SimSun"/>
        </w:rPr>
        <w:t>наличие инфекционных заболеваний вне обострения или инфекционные заболевания в анамнезе, в том числе выявление маркеров вирусов гепатитов (за исключением перенесенного гепатита A в анамнезе), сифилиса;</w:t>
      </w:r>
    </w:p>
    <w:p w14:paraId="72F9BA48" w14:textId="77777777" w:rsidR="00BE7F89" w:rsidRPr="00C07B2E" w:rsidRDefault="00BE7F89" w:rsidP="005B002C">
      <w:pPr>
        <w:numPr>
          <w:ilvl w:val="0"/>
          <w:numId w:val="65"/>
        </w:numPr>
        <w:overflowPunct w:val="0"/>
        <w:autoSpaceDE w:val="0"/>
        <w:autoSpaceDN w:val="0"/>
        <w:adjustRightInd w:val="0"/>
        <w:textAlignment w:val="baseline"/>
        <w:rPr>
          <w:rFonts w:eastAsia="SimSun"/>
        </w:rPr>
      </w:pPr>
      <w:r w:rsidRPr="00C07B2E">
        <w:rPr>
          <w:rFonts w:eastAsia="SimSun"/>
        </w:rPr>
        <w:t>доброкачественные новообразования;</w:t>
      </w:r>
    </w:p>
    <w:p w14:paraId="716C3FA9" w14:textId="77777777" w:rsidR="00BE7F89" w:rsidRPr="00C07B2E" w:rsidRDefault="00BE7F89" w:rsidP="005B002C">
      <w:pPr>
        <w:numPr>
          <w:ilvl w:val="0"/>
          <w:numId w:val="65"/>
        </w:numPr>
        <w:overflowPunct w:val="0"/>
        <w:autoSpaceDE w:val="0"/>
        <w:autoSpaceDN w:val="0"/>
        <w:adjustRightInd w:val="0"/>
        <w:textAlignment w:val="baseline"/>
        <w:rPr>
          <w:rFonts w:eastAsia="SimSun"/>
        </w:rPr>
      </w:pPr>
      <w:r w:rsidRPr="00C07B2E">
        <w:rPr>
          <w:rFonts w:eastAsia="SimSun"/>
        </w:rPr>
        <w:t>нарушения здоровья, связанные с нарушением двигательных функций, болезнями системы кровообращения, болезнями органов пищеварения и органов дыхания, болезнями мочеполовой системы, болезнями эндокринной системы, болезнями крови, кроветворных органов и отдельными нарушениями, вовлекающими иммунный механизм, психическими расстройствами и сопровождающиеся стойким расстройством функций организма;</w:t>
      </w:r>
    </w:p>
    <w:p w14:paraId="60D318A0" w14:textId="77777777" w:rsidR="00BE7F89" w:rsidRPr="00C07B2E" w:rsidRDefault="00BE7F89" w:rsidP="005B002C">
      <w:pPr>
        <w:numPr>
          <w:ilvl w:val="0"/>
          <w:numId w:val="65"/>
        </w:numPr>
        <w:overflowPunct w:val="0"/>
        <w:autoSpaceDE w:val="0"/>
        <w:autoSpaceDN w:val="0"/>
        <w:adjustRightInd w:val="0"/>
        <w:textAlignment w:val="baseline"/>
        <w:rPr>
          <w:rFonts w:eastAsia="SimSun"/>
        </w:rPr>
      </w:pPr>
      <w:r w:rsidRPr="00C07B2E">
        <w:rPr>
          <w:rFonts w:eastAsia="SimSun"/>
        </w:rPr>
        <w:t>При наличии у донора относительных медицинских противопоказаний для изъятия костного мозга и забора гемопоэтических стволовых клеток решение об изъятии костного мозга или заборе гемопоэтических стволовых клеток принимается консилиумом врачей медицинской организации, осуществляющей трансплантацию.</w:t>
      </w:r>
    </w:p>
    <w:p w14:paraId="1D649110" w14:textId="77777777" w:rsidR="00BE7F89" w:rsidRPr="00C07B2E" w:rsidRDefault="00BE7F89" w:rsidP="00BE7F89">
      <w:pPr>
        <w:rPr>
          <w:rFonts w:eastAsia="SimSun"/>
        </w:rPr>
      </w:pPr>
    </w:p>
    <w:p w14:paraId="361DCB9C" w14:textId="77777777" w:rsidR="00BE7F89" w:rsidRPr="00470D3D" w:rsidRDefault="00BE7F89" w:rsidP="00BE7F89">
      <w:pPr>
        <w:rPr>
          <w:rFonts w:eastAsia="SimSun"/>
          <w:i/>
          <w:u w:val="single"/>
        </w:rPr>
      </w:pPr>
      <w:bookmarkStart w:id="119" w:name="_Toc44401119"/>
      <w:r w:rsidRPr="00470D3D">
        <w:rPr>
          <w:rFonts w:eastAsia="SimSun"/>
          <w:i/>
          <w:u w:val="single"/>
        </w:rPr>
        <w:t>Особые случаи:</w:t>
      </w:r>
      <w:bookmarkEnd w:id="119"/>
    </w:p>
    <w:p w14:paraId="3018ED60" w14:textId="77777777" w:rsidR="00BE7F89" w:rsidRPr="00C07B2E" w:rsidRDefault="00BE7F89" w:rsidP="005B002C">
      <w:pPr>
        <w:ind w:firstLine="709"/>
        <w:rPr>
          <w:rFonts w:eastAsia="SimSun"/>
        </w:rPr>
      </w:pPr>
      <w:r w:rsidRPr="00C07B2E">
        <w:rPr>
          <w:rFonts w:eastAsia="SimSun"/>
        </w:rPr>
        <w:t>Допускается изъятие костного мозга и забор гемопоэтических стволовых у родственного донора, у которого выявлены маркеры вирусов гепатитов (за исключением перенесенного гепатита A в анамнезе), сифилиса, в случае невозможности подбора другого совместимого донора при соблюдении одновременно следующих условий:</w:t>
      </w:r>
    </w:p>
    <w:p w14:paraId="47573D36" w14:textId="77777777" w:rsidR="00BE7F89" w:rsidRPr="00C07B2E" w:rsidRDefault="00BE7F89" w:rsidP="005B002C">
      <w:pPr>
        <w:numPr>
          <w:ilvl w:val="0"/>
          <w:numId w:val="66"/>
        </w:numPr>
        <w:overflowPunct w:val="0"/>
        <w:autoSpaceDE w:val="0"/>
        <w:autoSpaceDN w:val="0"/>
        <w:adjustRightInd w:val="0"/>
        <w:textAlignment w:val="baseline"/>
        <w:rPr>
          <w:rFonts w:eastAsia="SimSun"/>
        </w:rPr>
      </w:pPr>
      <w:r w:rsidRPr="00C07B2E">
        <w:rPr>
          <w:rFonts w:eastAsia="SimSun"/>
        </w:rPr>
        <w:t>предварительное проведение этиотропного и симптоматического лечения вирусных гепатитов (за исключением перенесенного гепатита A в анамнезе), сифилиса;</w:t>
      </w:r>
    </w:p>
    <w:p w14:paraId="78D42970" w14:textId="77777777" w:rsidR="00BE7F89" w:rsidRPr="00C07B2E" w:rsidRDefault="00BE7F89" w:rsidP="005B002C">
      <w:pPr>
        <w:numPr>
          <w:ilvl w:val="0"/>
          <w:numId w:val="66"/>
        </w:numPr>
        <w:overflowPunct w:val="0"/>
        <w:autoSpaceDE w:val="0"/>
        <w:autoSpaceDN w:val="0"/>
        <w:adjustRightInd w:val="0"/>
        <w:textAlignment w:val="baseline"/>
        <w:rPr>
          <w:rFonts w:eastAsia="SimSun"/>
        </w:rPr>
      </w:pPr>
      <w:r w:rsidRPr="00C07B2E">
        <w:rPr>
          <w:rFonts w:eastAsia="SimSun"/>
        </w:rPr>
        <w:t>наличие информированного добровольного согласия пациента (реципиента) на медицинское вмешательство с указанием сведений о том, что забор костного мозга и гемопоэтических стволовых клеток будет осуществляться у донора, у которого выявлены маркеры вирусов гепатитов (за исключением перенесенного гепатита A в анамнезе), сифилиса.</w:t>
      </w:r>
    </w:p>
    <w:p w14:paraId="7E46B24F" w14:textId="77777777" w:rsidR="00BE7F89" w:rsidRPr="00470D3D" w:rsidRDefault="00BE7F89" w:rsidP="00BE7F89">
      <w:pPr>
        <w:rPr>
          <w:rFonts w:eastAsia="SimSun"/>
        </w:rPr>
      </w:pPr>
    </w:p>
    <w:p w14:paraId="79336E04" w14:textId="698A5E04" w:rsidR="00BE7F89" w:rsidRPr="00470D3D" w:rsidRDefault="00BE7F89" w:rsidP="00BE7F89">
      <w:pPr>
        <w:rPr>
          <w:rFonts w:eastAsia="SimSun"/>
          <w:i/>
          <w:u w:val="single"/>
        </w:rPr>
      </w:pPr>
      <w:bookmarkStart w:id="120" w:name="_Toc44401125"/>
      <w:r w:rsidRPr="00470D3D">
        <w:rPr>
          <w:rFonts w:eastAsia="SimSun"/>
          <w:i/>
          <w:u w:val="single"/>
        </w:rPr>
        <w:t>Список лабораторных и инструментальных исследований для обследования кандидатов в доноры</w:t>
      </w:r>
      <w:bookmarkEnd w:id="120"/>
      <w:r w:rsidRPr="00470D3D">
        <w:rPr>
          <w:rFonts w:eastAsia="SimSun"/>
          <w:i/>
          <w:u w:val="single"/>
        </w:rPr>
        <w:t xml:space="preserve"> </w:t>
      </w:r>
      <w:r w:rsidRPr="00470D3D">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470D3D">
        <w:rPr>
          <w:rFonts w:eastAsia="SimSun"/>
          <w:i/>
          <w:u w:val="single"/>
        </w:rPr>
        <w:fldChar w:fldCharType="separate"/>
      </w:r>
      <w:r w:rsidRPr="00BE7F89">
        <w:rPr>
          <w:rFonts w:eastAsia="SimSun"/>
          <w:noProof/>
        </w:rPr>
        <w:t>[92]</w:t>
      </w:r>
      <w:r w:rsidRPr="00470D3D">
        <w:rPr>
          <w:rFonts w:eastAsia="SimSun"/>
          <w:i/>
          <w:u w:val="single"/>
        </w:rPr>
        <w:fldChar w:fldCharType="end"/>
      </w:r>
      <w:r>
        <w:rPr>
          <w:rFonts w:eastAsia="SimSun"/>
          <w:i/>
          <w:u w:val="single"/>
        </w:rPr>
        <w:t>:</w:t>
      </w:r>
    </w:p>
    <w:p w14:paraId="45109041" w14:textId="77777777" w:rsidR="00BE7F89" w:rsidRPr="005B002C" w:rsidRDefault="00BE7F89" w:rsidP="005B002C">
      <w:pPr>
        <w:numPr>
          <w:ilvl w:val="0"/>
          <w:numId w:val="66"/>
        </w:numPr>
        <w:overflowPunct w:val="0"/>
        <w:autoSpaceDE w:val="0"/>
        <w:autoSpaceDN w:val="0"/>
        <w:adjustRightInd w:val="0"/>
        <w:textAlignment w:val="baseline"/>
        <w:rPr>
          <w:rFonts w:eastAsia="SimSun"/>
        </w:rPr>
      </w:pPr>
      <w:r w:rsidRPr="005B002C">
        <w:rPr>
          <w:rFonts w:eastAsia="SimSun"/>
        </w:rPr>
        <w:t>Общеклинический анализ крови (включая подсчет тромбоцитов)</w:t>
      </w:r>
    </w:p>
    <w:p w14:paraId="277AF0BF" w14:textId="77777777" w:rsidR="00BE7F89" w:rsidRPr="005B002C" w:rsidRDefault="00BE7F89" w:rsidP="005B002C">
      <w:pPr>
        <w:numPr>
          <w:ilvl w:val="0"/>
          <w:numId w:val="66"/>
        </w:numPr>
        <w:overflowPunct w:val="0"/>
        <w:autoSpaceDE w:val="0"/>
        <w:autoSpaceDN w:val="0"/>
        <w:adjustRightInd w:val="0"/>
        <w:textAlignment w:val="baseline"/>
        <w:rPr>
          <w:rFonts w:eastAsia="SimSun"/>
        </w:rPr>
      </w:pPr>
      <w:r w:rsidRPr="005B002C">
        <w:rPr>
          <w:rFonts w:eastAsia="SimSun"/>
        </w:rPr>
        <w:t>Биохимический анализ крови (общий белок, альбумин, глобулин, общий холестерин, мочевая кислота, креатинин (расчет клиренса креатитнина — см. приложение 3), мочевина, билирубин и его фракции, АЛТ, АСТ, ЩФ, ГГТП, ЛДГ, сывороточное железо).</w:t>
      </w:r>
    </w:p>
    <w:p w14:paraId="32728EC7" w14:textId="77777777" w:rsidR="00BE7F89" w:rsidRPr="005B002C" w:rsidRDefault="00BE7F89" w:rsidP="005B002C">
      <w:pPr>
        <w:numPr>
          <w:ilvl w:val="0"/>
          <w:numId w:val="66"/>
        </w:numPr>
        <w:overflowPunct w:val="0"/>
        <w:autoSpaceDE w:val="0"/>
        <w:autoSpaceDN w:val="0"/>
        <w:adjustRightInd w:val="0"/>
        <w:textAlignment w:val="baseline"/>
        <w:rPr>
          <w:rFonts w:eastAsia="SimSun"/>
        </w:rPr>
      </w:pPr>
      <w:r w:rsidRPr="005B002C">
        <w:rPr>
          <w:rFonts w:eastAsia="SimSun"/>
        </w:rPr>
        <w:t>Коагулограмма (АЧТВ, фибриноген, ПТИ по Квику, МНО).</w:t>
      </w:r>
    </w:p>
    <w:p w14:paraId="6FDC3564" w14:textId="77777777" w:rsidR="00BE7F89" w:rsidRPr="005B002C" w:rsidRDefault="00BE7F89" w:rsidP="005B002C">
      <w:pPr>
        <w:numPr>
          <w:ilvl w:val="0"/>
          <w:numId w:val="66"/>
        </w:numPr>
        <w:overflowPunct w:val="0"/>
        <w:autoSpaceDE w:val="0"/>
        <w:autoSpaceDN w:val="0"/>
        <w:adjustRightInd w:val="0"/>
        <w:textAlignment w:val="baseline"/>
        <w:rPr>
          <w:rFonts w:eastAsia="SimSun"/>
        </w:rPr>
      </w:pPr>
      <w:r w:rsidRPr="005B002C">
        <w:rPr>
          <w:rFonts w:eastAsia="SimSun"/>
        </w:rPr>
        <w:t>Глюкоза венозной крови натощак.</w:t>
      </w:r>
    </w:p>
    <w:p w14:paraId="6DF93A02" w14:textId="77777777" w:rsidR="00BE7F89" w:rsidRPr="005B002C" w:rsidRDefault="00BE7F89" w:rsidP="005B002C">
      <w:pPr>
        <w:numPr>
          <w:ilvl w:val="0"/>
          <w:numId w:val="66"/>
        </w:numPr>
        <w:overflowPunct w:val="0"/>
        <w:autoSpaceDE w:val="0"/>
        <w:autoSpaceDN w:val="0"/>
        <w:adjustRightInd w:val="0"/>
        <w:textAlignment w:val="baseline"/>
        <w:rPr>
          <w:rFonts w:eastAsia="SimSun"/>
        </w:rPr>
      </w:pPr>
      <w:r w:rsidRPr="005B002C">
        <w:rPr>
          <w:rFonts w:eastAsia="SimSun"/>
        </w:rPr>
        <w:t>Общий анализ мочи.</w:t>
      </w:r>
    </w:p>
    <w:p w14:paraId="0D334229" w14:textId="77777777" w:rsidR="00BE7F89" w:rsidRPr="005B002C" w:rsidRDefault="00BE7F89" w:rsidP="005B002C">
      <w:pPr>
        <w:numPr>
          <w:ilvl w:val="0"/>
          <w:numId w:val="66"/>
        </w:numPr>
        <w:overflowPunct w:val="0"/>
        <w:autoSpaceDE w:val="0"/>
        <w:autoSpaceDN w:val="0"/>
        <w:adjustRightInd w:val="0"/>
        <w:textAlignment w:val="baseline"/>
        <w:rPr>
          <w:rFonts w:eastAsia="SimSun"/>
        </w:rPr>
      </w:pPr>
      <w:r w:rsidRPr="005B002C">
        <w:rPr>
          <w:rFonts w:eastAsia="SimSun"/>
        </w:rPr>
        <w:t>Серологические исследования гемотрансмиссивных инфекций (антитела к ВИЧ, HBsAg качественно, антитела к HBsAg качественно и количественно, анти-НВсоr качественно, HBeAg качественно, анти-HBeAg, на сифилис).</w:t>
      </w:r>
    </w:p>
    <w:p w14:paraId="027DD3DF" w14:textId="77777777" w:rsidR="00BE7F89" w:rsidRPr="005B002C" w:rsidRDefault="00BE7F89" w:rsidP="005B002C">
      <w:pPr>
        <w:numPr>
          <w:ilvl w:val="0"/>
          <w:numId w:val="66"/>
        </w:numPr>
        <w:overflowPunct w:val="0"/>
        <w:autoSpaceDE w:val="0"/>
        <w:autoSpaceDN w:val="0"/>
        <w:adjustRightInd w:val="0"/>
        <w:textAlignment w:val="baseline"/>
        <w:rPr>
          <w:rFonts w:eastAsia="SimSun"/>
        </w:rPr>
      </w:pPr>
      <w:r w:rsidRPr="005B002C">
        <w:rPr>
          <w:rFonts w:eastAsia="SimSun"/>
        </w:rPr>
        <w:t>Серологические исследования герпесвирусных инфекций (CMV, Эпштейна—Барр, вирус герпеса человека 1 и 6-го типа).</w:t>
      </w:r>
    </w:p>
    <w:p w14:paraId="3035D599" w14:textId="77777777" w:rsidR="00BE7F89" w:rsidRPr="005B002C" w:rsidRDefault="00BE7F89" w:rsidP="005B002C">
      <w:pPr>
        <w:numPr>
          <w:ilvl w:val="0"/>
          <w:numId w:val="66"/>
        </w:numPr>
        <w:overflowPunct w:val="0"/>
        <w:autoSpaceDE w:val="0"/>
        <w:autoSpaceDN w:val="0"/>
        <w:adjustRightInd w:val="0"/>
        <w:textAlignment w:val="baseline"/>
        <w:rPr>
          <w:rFonts w:eastAsia="SimSun"/>
        </w:rPr>
      </w:pPr>
      <w:r w:rsidRPr="005B002C">
        <w:rPr>
          <w:rFonts w:eastAsia="SimSun"/>
        </w:rPr>
        <w:t>Определение ДНК вируса гепатита В и РНК вируса гепатита С с помощью ПЦР.</w:t>
      </w:r>
    </w:p>
    <w:p w14:paraId="1C502248" w14:textId="77777777" w:rsidR="00BE7F89" w:rsidRPr="005B002C" w:rsidRDefault="00BE7F89" w:rsidP="005B002C">
      <w:pPr>
        <w:numPr>
          <w:ilvl w:val="0"/>
          <w:numId w:val="66"/>
        </w:numPr>
        <w:overflowPunct w:val="0"/>
        <w:autoSpaceDE w:val="0"/>
        <w:autoSpaceDN w:val="0"/>
        <w:adjustRightInd w:val="0"/>
        <w:textAlignment w:val="baseline"/>
        <w:rPr>
          <w:rFonts w:eastAsia="SimSun"/>
        </w:rPr>
      </w:pPr>
      <w:r w:rsidRPr="005B002C">
        <w:rPr>
          <w:rFonts w:eastAsia="SimSun"/>
        </w:rPr>
        <w:t>ЭКГ, по показаниям — трансторакальная ЭхоКГ, холтеровский мониторинг ЭКГ и др.Рентгенография органов грудной клетки, по показаниям — КТ органов грудной клетки и др.</w:t>
      </w:r>
    </w:p>
    <w:p w14:paraId="493FEA84" w14:textId="77777777" w:rsidR="00BE7F89" w:rsidRPr="005B002C" w:rsidRDefault="00BE7F89" w:rsidP="005B002C">
      <w:pPr>
        <w:numPr>
          <w:ilvl w:val="0"/>
          <w:numId w:val="66"/>
        </w:numPr>
        <w:overflowPunct w:val="0"/>
        <w:autoSpaceDE w:val="0"/>
        <w:autoSpaceDN w:val="0"/>
        <w:adjustRightInd w:val="0"/>
        <w:textAlignment w:val="baseline"/>
        <w:rPr>
          <w:rFonts w:eastAsia="SimSun"/>
        </w:rPr>
      </w:pPr>
      <w:r w:rsidRPr="005B002C">
        <w:rPr>
          <w:rFonts w:eastAsia="SimSun"/>
        </w:rPr>
        <w:t xml:space="preserve">УЗИ органов брюшной полости (по показаниям). </w:t>
      </w:r>
    </w:p>
    <w:p w14:paraId="341492EF" w14:textId="77777777" w:rsidR="00BE7F89" w:rsidRDefault="00BE7F89" w:rsidP="00BE7F89">
      <w:pPr>
        <w:rPr>
          <w:rFonts w:eastAsia="SimSun"/>
        </w:rPr>
      </w:pPr>
      <w:bookmarkStart w:id="121" w:name="_Toc44401126"/>
    </w:p>
    <w:p w14:paraId="1455B185" w14:textId="77777777" w:rsidR="00BE7F89" w:rsidRPr="00470D3D" w:rsidRDefault="00BE7F89" w:rsidP="00BE7F89">
      <w:pPr>
        <w:rPr>
          <w:rFonts w:eastAsia="SimSun"/>
          <w:b/>
        </w:rPr>
      </w:pPr>
      <w:r>
        <w:rPr>
          <w:rFonts w:eastAsia="SimSun"/>
          <w:b/>
        </w:rPr>
        <w:t>3</w:t>
      </w:r>
      <w:r w:rsidRPr="00470D3D">
        <w:rPr>
          <w:rFonts w:eastAsia="SimSun"/>
          <w:b/>
        </w:rPr>
        <w:t>. Протокол подготовки к инфузии и  инфузии аллогенных гемопоэтических стволовых клеток</w:t>
      </w:r>
      <w:bookmarkEnd w:id="121"/>
    </w:p>
    <w:p w14:paraId="3687F4DD" w14:textId="77777777" w:rsidR="00BE7F89" w:rsidRPr="00E87507" w:rsidRDefault="00BE7F89" w:rsidP="00BE7F89">
      <w:pPr>
        <w:rPr>
          <w:rFonts w:eastAsia="SimSun"/>
          <w:i/>
          <w:u w:val="single"/>
        </w:rPr>
      </w:pPr>
      <w:bookmarkStart w:id="122" w:name="_Toc44401128"/>
      <w:r w:rsidRPr="00E87507">
        <w:rPr>
          <w:rFonts w:eastAsia="SimSun"/>
          <w:i/>
          <w:u w:val="single"/>
        </w:rPr>
        <w:t>Установка ЦВК</w:t>
      </w:r>
      <w:bookmarkEnd w:id="122"/>
    </w:p>
    <w:p w14:paraId="18C988F2" w14:textId="77777777" w:rsidR="00BE7F89" w:rsidRPr="00C07B2E" w:rsidRDefault="00BE7F89" w:rsidP="005B002C">
      <w:pPr>
        <w:ind w:firstLine="709"/>
        <w:rPr>
          <w:rFonts w:eastAsia="SimSun"/>
        </w:rPr>
      </w:pPr>
      <w:r w:rsidRPr="00C07B2E">
        <w:rPr>
          <w:rFonts w:eastAsia="SimSun"/>
        </w:rPr>
        <w:t xml:space="preserve">Перед началом кондиционирования больному устанавливают двух- или трехходовой ЦВК в подключичную вену (или во внутреннюю яремную, в наружную яремную вену). </w:t>
      </w:r>
    </w:p>
    <w:p w14:paraId="06976A68" w14:textId="77777777" w:rsidR="00BE7F89" w:rsidRDefault="00BE7F89" w:rsidP="00BE7F89">
      <w:pPr>
        <w:rPr>
          <w:rFonts w:eastAsia="SimSun"/>
        </w:rPr>
      </w:pPr>
      <w:bookmarkStart w:id="123" w:name="_Toc44401129"/>
    </w:p>
    <w:p w14:paraId="79D9DDFC" w14:textId="77777777" w:rsidR="00BE7F89" w:rsidRPr="00E87507" w:rsidRDefault="00BE7F89" w:rsidP="00BE7F89">
      <w:pPr>
        <w:rPr>
          <w:rFonts w:eastAsia="SimSun"/>
          <w:i/>
          <w:u w:val="single"/>
        </w:rPr>
      </w:pPr>
      <w:r w:rsidRPr="00E87507">
        <w:rPr>
          <w:rFonts w:eastAsia="SimSun"/>
          <w:i/>
          <w:u w:val="single"/>
        </w:rPr>
        <w:t>Порядок отсчета дней до и после алло-ТГСК</w:t>
      </w:r>
      <w:bookmarkEnd w:id="123"/>
    </w:p>
    <w:p w14:paraId="36261451" w14:textId="77777777" w:rsidR="00BE7F89" w:rsidRPr="00C07B2E" w:rsidRDefault="00BE7F89" w:rsidP="005B002C">
      <w:pPr>
        <w:ind w:firstLine="709"/>
        <w:rPr>
          <w:rFonts w:eastAsia="SimSun"/>
        </w:rPr>
      </w:pPr>
      <w:r w:rsidRPr="00C07B2E">
        <w:rPr>
          <w:rFonts w:eastAsia="SimSun"/>
        </w:rPr>
        <w:t>Днем отсчета считается дата трансплантации. Она обозначается как «день 0», «Д0», «0 день ТГСК» или просто «0». От дня начала кондиционирования до дня инфузии ГСК (первого из дней инфузии ГСК) ведут обратный счет дней. Например: дата алло-ТГСК — 5 января, день «–1» — это 4 января и т. д. В случае если дата следует после алло-ТГСК, то перед ней ставится знак «+». Например: дата алло-ТГСК — 7 декабря, день «+1» — это 8 декабря. Счет ведется до конца жизни пациента, или до следующей ТКМ.</w:t>
      </w:r>
    </w:p>
    <w:p w14:paraId="6DE6465C" w14:textId="77777777" w:rsidR="00BE7F89" w:rsidRDefault="00BE7F89" w:rsidP="00BE7F89">
      <w:pPr>
        <w:rPr>
          <w:rFonts w:eastAsia="SimSun"/>
        </w:rPr>
      </w:pPr>
      <w:bookmarkStart w:id="124" w:name="_Toc44401130"/>
    </w:p>
    <w:p w14:paraId="36261695" w14:textId="77777777" w:rsidR="00BE7F89" w:rsidRPr="00E87507" w:rsidRDefault="00BE7F89" w:rsidP="00BE7F89">
      <w:pPr>
        <w:rPr>
          <w:rFonts w:eastAsia="SimSun"/>
          <w:i/>
          <w:u w:val="single"/>
        </w:rPr>
      </w:pPr>
      <w:r w:rsidRPr="00E87507">
        <w:rPr>
          <w:rFonts w:eastAsia="SimSun"/>
          <w:i/>
          <w:u w:val="single"/>
        </w:rPr>
        <w:t>Подготовка к инфузии ГСК</w:t>
      </w:r>
      <w:bookmarkEnd w:id="124"/>
    </w:p>
    <w:p w14:paraId="6E3D1FFA" w14:textId="77777777" w:rsidR="00BE7F89" w:rsidRPr="00C07B2E" w:rsidRDefault="00BE7F89" w:rsidP="005B002C">
      <w:pPr>
        <w:ind w:firstLine="709"/>
        <w:rPr>
          <w:rFonts w:eastAsia="SimSun"/>
        </w:rPr>
      </w:pPr>
      <w:r w:rsidRPr="00C07B2E">
        <w:rPr>
          <w:rFonts w:eastAsia="SimSun"/>
        </w:rPr>
        <w:t>Убедитесь, что выполнены следующие условия:</w:t>
      </w:r>
    </w:p>
    <w:p w14:paraId="3A00AF75" w14:textId="77777777" w:rsidR="00BE7F89" w:rsidRPr="00C07B2E" w:rsidRDefault="00BE7F89" w:rsidP="005B002C">
      <w:pPr>
        <w:numPr>
          <w:ilvl w:val="0"/>
          <w:numId w:val="68"/>
        </w:numPr>
        <w:overflowPunct w:val="0"/>
        <w:autoSpaceDE w:val="0"/>
        <w:autoSpaceDN w:val="0"/>
        <w:adjustRightInd w:val="0"/>
        <w:textAlignment w:val="baseline"/>
        <w:rPr>
          <w:rFonts w:eastAsia="SimSun"/>
        </w:rPr>
      </w:pPr>
      <w:r w:rsidRPr="00C07B2E">
        <w:rPr>
          <w:rFonts w:eastAsia="SimSun"/>
        </w:rPr>
        <w:t xml:space="preserve">Пациент подписал добровольное информированное согласие на трансплантацию. </w:t>
      </w:r>
    </w:p>
    <w:p w14:paraId="4757FC3C" w14:textId="77777777" w:rsidR="00BE7F89" w:rsidRPr="00C07B2E" w:rsidRDefault="00BE7F89" w:rsidP="005B002C">
      <w:pPr>
        <w:numPr>
          <w:ilvl w:val="0"/>
          <w:numId w:val="68"/>
        </w:numPr>
        <w:overflowPunct w:val="0"/>
        <w:autoSpaceDE w:val="0"/>
        <w:autoSpaceDN w:val="0"/>
        <w:adjustRightInd w:val="0"/>
        <w:textAlignment w:val="baseline"/>
        <w:rPr>
          <w:rFonts w:eastAsia="SimSun"/>
        </w:rPr>
      </w:pPr>
      <w:r w:rsidRPr="00C07B2E">
        <w:rPr>
          <w:rFonts w:eastAsia="SimSun"/>
        </w:rPr>
        <w:t xml:space="preserve">Пациенту на момент введения ГСК установлен ЦВК. При отсутствии адекватно функционирующего ЦВК на момент инфузии допускается инфузия клеточной взвеси через периферическую вену, в которой содержание </w:t>
      </w:r>
      <w:r w:rsidRPr="00C07B2E">
        <w:rPr>
          <w:rFonts w:eastAsia="SimSun"/>
          <w:shd w:val="clear" w:color="auto" w:fill="FFFFFF"/>
        </w:rPr>
        <w:t>диметилсульфоксида</w:t>
      </w:r>
      <w:r w:rsidRPr="00C07B2E">
        <w:rPr>
          <w:rFonts w:eastAsia="SimSun"/>
        </w:rPr>
        <w:t xml:space="preserve"> не превышает 10%. </w:t>
      </w:r>
    </w:p>
    <w:p w14:paraId="157476BF" w14:textId="77777777" w:rsidR="00BE7F89" w:rsidRPr="00C07B2E" w:rsidRDefault="00BE7F89" w:rsidP="005B002C">
      <w:pPr>
        <w:numPr>
          <w:ilvl w:val="0"/>
          <w:numId w:val="68"/>
        </w:numPr>
        <w:overflowPunct w:val="0"/>
        <w:autoSpaceDE w:val="0"/>
        <w:autoSpaceDN w:val="0"/>
        <w:adjustRightInd w:val="0"/>
        <w:textAlignment w:val="baseline"/>
        <w:rPr>
          <w:rFonts w:eastAsia="SimSun"/>
        </w:rPr>
      </w:pPr>
      <w:r w:rsidRPr="00C07B2E">
        <w:rPr>
          <w:rFonts w:eastAsia="SimSun"/>
        </w:rPr>
        <w:t xml:space="preserve">Прошло не менее 36 ч после завершения введения цитостатических препаратов, входящих в режим кондиционирования. </w:t>
      </w:r>
    </w:p>
    <w:p w14:paraId="2FFC34E9" w14:textId="77777777" w:rsidR="00BE7F89" w:rsidRPr="00C07B2E" w:rsidRDefault="00BE7F89" w:rsidP="005B002C">
      <w:pPr>
        <w:numPr>
          <w:ilvl w:val="0"/>
          <w:numId w:val="68"/>
        </w:numPr>
        <w:overflowPunct w:val="0"/>
        <w:autoSpaceDE w:val="0"/>
        <w:autoSpaceDN w:val="0"/>
        <w:adjustRightInd w:val="0"/>
        <w:textAlignment w:val="baseline"/>
        <w:rPr>
          <w:rFonts w:eastAsia="SimSun"/>
        </w:rPr>
      </w:pPr>
      <w:r w:rsidRPr="00C07B2E">
        <w:rPr>
          <w:rFonts w:eastAsia="SimSun"/>
        </w:rPr>
        <w:t>При использовании с –1 дня циклоспорина</w:t>
      </w:r>
      <w:r w:rsidRPr="00C07B2E" w:rsidDel="00DA45A3">
        <w:rPr>
          <w:rFonts w:eastAsia="SimSun"/>
        </w:rPr>
        <w:t xml:space="preserve"> </w:t>
      </w:r>
      <w:r w:rsidRPr="00C07B2E">
        <w:rPr>
          <w:rFonts w:eastAsia="SimSun"/>
        </w:rPr>
        <w:t xml:space="preserve">(в режиме профилактики острой РТПХ) пациенту было введено не менее 3 доз препарата до инфузии ГСК. </w:t>
      </w:r>
    </w:p>
    <w:p w14:paraId="798698F8" w14:textId="77777777" w:rsidR="00BE7F89" w:rsidRPr="00C07B2E" w:rsidRDefault="00BE7F89" w:rsidP="005B002C">
      <w:pPr>
        <w:numPr>
          <w:ilvl w:val="0"/>
          <w:numId w:val="68"/>
        </w:numPr>
        <w:overflowPunct w:val="0"/>
        <w:autoSpaceDE w:val="0"/>
        <w:autoSpaceDN w:val="0"/>
        <w:adjustRightInd w:val="0"/>
        <w:textAlignment w:val="baseline"/>
        <w:rPr>
          <w:rFonts w:eastAsia="SimSun"/>
        </w:rPr>
      </w:pPr>
      <w:r w:rsidRPr="00C07B2E">
        <w:rPr>
          <w:rFonts w:eastAsia="SimSun"/>
        </w:rPr>
        <w:t>В момент инфузии ГСК введение других препаратов не проводится.</w:t>
      </w:r>
    </w:p>
    <w:p w14:paraId="3BA7697D" w14:textId="77777777" w:rsidR="00BE7F89" w:rsidRPr="00C07B2E" w:rsidRDefault="00BE7F89" w:rsidP="005B002C">
      <w:pPr>
        <w:numPr>
          <w:ilvl w:val="0"/>
          <w:numId w:val="68"/>
        </w:numPr>
        <w:overflowPunct w:val="0"/>
        <w:autoSpaceDE w:val="0"/>
        <w:autoSpaceDN w:val="0"/>
        <w:adjustRightInd w:val="0"/>
        <w:textAlignment w:val="baseline"/>
        <w:rPr>
          <w:rFonts w:eastAsia="SimSun"/>
        </w:rPr>
      </w:pPr>
      <w:r w:rsidRPr="00C07B2E">
        <w:rPr>
          <w:rFonts w:eastAsia="SimSun"/>
        </w:rPr>
        <w:t>В момент введения ГСК запрещено проведение плазмафереза и/или гемодиализа.</w:t>
      </w:r>
    </w:p>
    <w:p w14:paraId="2086C2F1" w14:textId="77777777" w:rsidR="00BE7F89" w:rsidRPr="00C07B2E" w:rsidRDefault="00BE7F89" w:rsidP="005B002C">
      <w:pPr>
        <w:ind w:firstLine="709"/>
        <w:rPr>
          <w:rFonts w:eastAsia="SimSun"/>
        </w:rPr>
      </w:pPr>
      <w:r w:rsidRPr="00C07B2E">
        <w:rPr>
          <w:rFonts w:eastAsia="SimSun"/>
        </w:rPr>
        <w:t>При необходимости проведения плазмафереза и/или гемодиализа инфузия ГСК выполняется до и/или через сутки после завершения этих процедур.</w:t>
      </w:r>
    </w:p>
    <w:p w14:paraId="6CF16BEB" w14:textId="77777777" w:rsidR="00BE7F89" w:rsidRPr="00C07B2E" w:rsidRDefault="00BE7F89" w:rsidP="005B002C">
      <w:pPr>
        <w:ind w:firstLine="709"/>
        <w:rPr>
          <w:rFonts w:eastAsia="SimSun"/>
        </w:rPr>
      </w:pPr>
      <w:r w:rsidRPr="00C07B2E">
        <w:rPr>
          <w:rFonts w:eastAsia="SimSun"/>
        </w:rPr>
        <w:t xml:space="preserve">За 2–3 ч до алло-ТГСК рекомендуется проводить инфузионную терапию (коллоидными и кристаллоидными растворами в объеме 500-1500 мл) в случае использования криоконсервированных ГСК. </w:t>
      </w:r>
    </w:p>
    <w:p w14:paraId="04C60472" w14:textId="77777777" w:rsidR="00BE7F89" w:rsidRPr="00C07B2E" w:rsidRDefault="00BE7F89" w:rsidP="005B002C">
      <w:pPr>
        <w:ind w:firstLine="709"/>
        <w:rPr>
          <w:rFonts w:eastAsia="SimSun"/>
        </w:rPr>
      </w:pPr>
      <w:r w:rsidRPr="00C07B2E">
        <w:rPr>
          <w:rFonts w:eastAsia="SimSun"/>
        </w:rPr>
        <w:t xml:space="preserve">За 30 мин до введения ГСК, при наличии реакций на трансфузию компонентов крови в анамнезе, должна быть использована премедикация антигистаминными препаратами и/или нестероиднымии противовоспалительными препаратами препаратами и/или метилпреднизолоном (если в предыдущие сутки использовали метилпреднизолон). </w:t>
      </w:r>
    </w:p>
    <w:p w14:paraId="3BA53672" w14:textId="3E2C5453" w:rsidR="00BE7F89" w:rsidRPr="00C07B2E" w:rsidRDefault="00BE7F89" w:rsidP="005B002C">
      <w:pPr>
        <w:ind w:firstLine="709"/>
        <w:rPr>
          <w:rFonts w:eastAsia="SimSun"/>
        </w:rPr>
      </w:pPr>
      <w:r w:rsidRPr="00C07B2E">
        <w:rPr>
          <w:rFonts w:eastAsia="SimSun"/>
        </w:rPr>
        <w:t xml:space="preserve">При любой несовместимости между донором и реципиентом по системе АВ0 возможно введение метилпреднизолона в дозе 60 мг перед введением ГСК. </w:t>
      </w:r>
    </w:p>
    <w:p w14:paraId="4C26939F" w14:textId="77777777" w:rsidR="00BE7F89" w:rsidRPr="00C07B2E" w:rsidRDefault="00BE7F89" w:rsidP="005B002C">
      <w:pPr>
        <w:ind w:firstLine="709"/>
        <w:rPr>
          <w:rFonts w:eastAsia="SimSun"/>
        </w:rPr>
      </w:pPr>
      <w:r w:rsidRPr="00C07B2E">
        <w:rPr>
          <w:rFonts w:eastAsia="SimSun"/>
        </w:rPr>
        <w:t>После получения из лаборатории мешка с ГСК производится его осмотр: указание Ф. И. О. пациента или донора (в зависимости от применяемых в центре требований к маркировке), даты рождения и группы крови, наличие внешних повреждений и/или посторонних примесей в мешке (сгустки, фрагменты костной ткани). В случае выявления «дефектов» мешок возвращается в лабораторию для их устранения.</w:t>
      </w:r>
    </w:p>
    <w:p w14:paraId="7EFA1D4A" w14:textId="77777777" w:rsidR="00BE7F89" w:rsidRPr="00C07B2E" w:rsidRDefault="00BE7F89" w:rsidP="005B002C">
      <w:pPr>
        <w:ind w:firstLine="709"/>
        <w:rPr>
          <w:rFonts w:eastAsia="SimSun"/>
        </w:rPr>
      </w:pPr>
    </w:p>
    <w:p w14:paraId="5C429A9D" w14:textId="77777777" w:rsidR="00BE7F89" w:rsidRPr="00985050" w:rsidRDefault="00BE7F89" w:rsidP="00BE7F89">
      <w:pPr>
        <w:rPr>
          <w:rFonts w:eastAsia="SimSun"/>
          <w:i/>
          <w:u w:val="single"/>
        </w:rPr>
      </w:pPr>
      <w:bookmarkStart w:id="125" w:name="_Toc44401131"/>
      <w:r w:rsidRPr="00985050">
        <w:rPr>
          <w:rFonts w:eastAsia="SimSun"/>
          <w:i/>
          <w:u w:val="single"/>
        </w:rPr>
        <w:t>Инфузия ГСК</w:t>
      </w:r>
      <w:bookmarkEnd w:id="125"/>
    </w:p>
    <w:p w14:paraId="02326742" w14:textId="77777777" w:rsidR="00BE7F89" w:rsidRPr="00C07B2E" w:rsidRDefault="00BE7F89" w:rsidP="005B002C">
      <w:pPr>
        <w:ind w:firstLine="709"/>
        <w:rPr>
          <w:rFonts w:eastAsia="SimSun"/>
        </w:rPr>
      </w:pPr>
      <w:r w:rsidRPr="00C07B2E">
        <w:rPr>
          <w:rFonts w:eastAsia="SimSun"/>
        </w:rPr>
        <w:t xml:space="preserve">Для первого введения выбирают мешок с максимальной клеточностью. При манипуляциях с мешком запрещается использовать металлические инструменты (зажимы, пинцеты и др.). В случае использования криоконсервированных ГСК их предварительно размораживают на водяной бане или программном размораживателе при температуре 37˚С. После разморозки врач проверяет, что в мешке отсутствуют остаточные фрагменты льда, после чего прокалывает мешок с использованием системы для инфузии. Система для инфузии должна иметь фильтр размером от 150–260 микрон (обычная система для инфузии крови имеет фильтр в 175 микрон). </w:t>
      </w:r>
    </w:p>
    <w:p w14:paraId="62B009DE" w14:textId="77777777" w:rsidR="00BE7F89" w:rsidRPr="00C07B2E" w:rsidRDefault="00BE7F89" w:rsidP="005B002C">
      <w:pPr>
        <w:ind w:firstLine="709"/>
        <w:rPr>
          <w:rFonts w:eastAsia="SimSun"/>
        </w:rPr>
      </w:pPr>
      <w:r w:rsidRPr="00C07B2E">
        <w:rPr>
          <w:rFonts w:eastAsia="SimSun"/>
        </w:rPr>
        <w:t>В случае развития гемолиза инфузия ГСК из следующего мешка не проводится. Инфузии ГСК из следующих мешков возобновляют после хотя бы частичного купирования лизиса эритроцитов. После завершения инфузии ход ЦВК, который был использован для трансплантации, промывают физиологическим раствором. Далее пациент находится под пристальным наблюдением медицинского персонала. По показаниям возможно наблюдение анестезиолога-реаниматолога и/или постоянный мониторинг витальных показателей с помощью прикроватного монитора состояния пациента. Через 2 ч после завершения инфузии выполняют биохимическое исследование крови (оценка сывороточной концентрации К</w:t>
      </w:r>
      <w:r w:rsidRPr="00C07B2E">
        <w:rPr>
          <w:rFonts w:eastAsia="SimSun"/>
          <w:vertAlign w:val="superscript"/>
        </w:rPr>
        <w:t>+</w:t>
      </w:r>
      <w:r w:rsidRPr="00C07B2E">
        <w:rPr>
          <w:rFonts w:eastAsia="SimSun"/>
        </w:rPr>
        <w:t xml:space="preserve">). </w:t>
      </w:r>
    </w:p>
    <w:p w14:paraId="16778104" w14:textId="77777777" w:rsidR="00BE7F89" w:rsidRDefault="00BE7F89" w:rsidP="00BE7F89">
      <w:pPr>
        <w:rPr>
          <w:rFonts w:eastAsia="SimSun"/>
        </w:rPr>
      </w:pPr>
      <w:bookmarkStart w:id="126" w:name="_Toc44401132"/>
    </w:p>
    <w:p w14:paraId="019D2822" w14:textId="77777777" w:rsidR="00BE7F89" w:rsidRPr="00470D3D" w:rsidRDefault="00BE7F89" w:rsidP="00BE7F89">
      <w:pPr>
        <w:rPr>
          <w:rFonts w:eastAsia="SimSun"/>
          <w:b/>
        </w:rPr>
      </w:pPr>
      <w:r>
        <w:rPr>
          <w:rFonts w:eastAsia="SimSun"/>
          <w:b/>
        </w:rPr>
        <w:t>5.</w:t>
      </w:r>
      <w:r w:rsidRPr="00470D3D">
        <w:rPr>
          <w:rFonts w:eastAsia="SimSun"/>
          <w:b/>
        </w:rPr>
        <w:t xml:space="preserve"> Протокол внутривенного введения антитимоцитарного глобулина</w:t>
      </w:r>
      <w:bookmarkEnd w:id="126"/>
    </w:p>
    <w:p w14:paraId="0519643E" w14:textId="77777777" w:rsidR="00BE7F89" w:rsidRPr="00985050" w:rsidRDefault="00BE7F89" w:rsidP="00BE7F89">
      <w:pPr>
        <w:rPr>
          <w:rFonts w:eastAsia="SimSun"/>
          <w:i/>
          <w:u w:val="single"/>
        </w:rPr>
      </w:pPr>
      <w:bookmarkStart w:id="127" w:name="_Toc44401134"/>
      <w:r w:rsidRPr="00985050">
        <w:rPr>
          <w:rFonts w:eastAsia="SimSun"/>
          <w:i/>
          <w:u w:val="single"/>
        </w:rPr>
        <w:t>Подготовка к введению</w:t>
      </w:r>
      <w:bookmarkEnd w:id="127"/>
      <w:r w:rsidRPr="00985050">
        <w:rPr>
          <w:rFonts w:eastAsia="SimSun"/>
          <w:i/>
          <w:u w:val="single"/>
        </w:rPr>
        <w:t xml:space="preserve"> </w:t>
      </w:r>
    </w:p>
    <w:p w14:paraId="3A27415E" w14:textId="77777777" w:rsidR="00BE7F89" w:rsidRPr="00C07B2E" w:rsidRDefault="00BE7F89" w:rsidP="005B002C">
      <w:pPr>
        <w:ind w:firstLine="709"/>
        <w:rPr>
          <w:rFonts w:eastAsia="SimSun"/>
        </w:rPr>
      </w:pPr>
      <w:r w:rsidRPr="00C07B2E">
        <w:rPr>
          <w:rFonts w:eastAsia="SimSun"/>
        </w:rPr>
        <w:t xml:space="preserve">Убедитесь, что вы информированы обо всех аллергических реакциях пациента. Перед началом введения препарата АТГ настоятельно рекомендуется проведение пробы с этим препаратом. Несмотря на то, что чувствительность и специфичность этого теста клинически не доказаны и его положительный результат не повлияет на введение препарата, проведение тестов рекомендовано для оценки вероятности развития анафилактической реакции на его введение. </w:t>
      </w:r>
    </w:p>
    <w:p w14:paraId="0F0383E2" w14:textId="77777777" w:rsidR="00BE7F89" w:rsidRDefault="00BE7F89" w:rsidP="00BE7F89">
      <w:pPr>
        <w:rPr>
          <w:rFonts w:eastAsia="SimSun"/>
        </w:rPr>
      </w:pPr>
      <w:bookmarkStart w:id="128" w:name="_Toc44401135"/>
    </w:p>
    <w:p w14:paraId="14E72954" w14:textId="77777777" w:rsidR="00BE7F89" w:rsidRPr="00985050" w:rsidRDefault="00BE7F89" w:rsidP="00BE7F89">
      <w:pPr>
        <w:rPr>
          <w:rFonts w:eastAsia="SimSun"/>
          <w:i/>
          <w:u w:val="single"/>
        </w:rPr>
      </w:pPr>
      <w:r w:rsidRPr="00985050">
        <w:rPr>
          <w:rFonts w:eastAsia="SimSun"/>
          <w:i/>
          <w:u w:val="single"/>
        </w:rPr>
        <w:t>Методика проведения пробы</w:t>
      </w:r>
      <w:bookmarkEnd w:id="128"/>
      <w:r w:rsidRPr="00985050">
        <w:rPr>
          <w:rFonts w:eastAsia="SimSun"/>
          <w:i/>
          <w:u w:val="single"/>
        </w:rPr>
        <w:t xml:space="preserve"> </w:t>
      </w:r>
    </w:p>
    <w:p w14:paraId="03294626" w14:textId="77777777" w:rsidR="00BE7F89" w:rsidRPr="00C07B2E" w:rsidRDefault="00BE7F89" w:rsidP="005B002C">
      <w:pPr>
        <w:ind w:firstLine="709"/>
        <w:rPr>
          <w:rFonts w:eastAsia="SimSun"/>
        </w:rPr>
      </w:pPr>
      <w:r w:rsidRPr="00C07B2E">
        <w:rPr>
          <w:rFonts w:eastAsia="SimSun"/>
        </w:rPr>
        <w:t>На внутренней стороне предплечья, отступив на 5 см от лучезапястного сустава, проводится укол в кожу на глубину 1–1,5 мм через каплю неразведенного препарата. Для этого используют инъекционные иглы для в/к вливаний, имеющие ограничитель глубины. Если через 20 мин после накалывания кожи не происходит образования папулы или волдыря, следует продолжить тестирование путем в/к инъекции: кожу сгибательной поверхности предплечья или на спине обрабатывают 70% спиртом после чего туберкулиновым или инсулиновым шприцем вводят 0,02 мл препарата, разведенного 0,9% раствором натрия хлорида для инъекций в концентрации 1:1000 (по объему) с одновременной контрольной инъекцией 0,9% раствора натрия хлорида для инъекций в том же объеме на расстоянии 5 см. Оценка результатов производится через 20 мин. Образование волдыря в месте введения препарата диаметром, превышающим на 3 мм и более диаметр волдыря в месте контрольной инъекции с 0,9% раствора натрия хлорида, а также положительный накожный тест свидетельствуют о повышенной чувствительности к препарату и вероятности развития системной аллергической реакции при его в/в введении.</w:t>
      </w:r>
    </w:p>
    <w:p w14:paraId="6174CFFB" w14:textId="77777777" w:rsidR="00BE7F89" w:rsidRDefault="00BE7F89" w:rsidP="00BE7F89">
      <w:pPr>
        <w:rPr>
          <w:rFonts w:eastAsia="SimSun"/>
        </w:rPr>
      </w:pPr>
      <w:bookmarkStart w:id="129" w:name="_Toc44401136"/>
    </w:p>
    <w:p w14:paraId="595BC885" w14:textId="77777777" w:rsidR="00BE7F89" w:rsidRPr="00985050" w:rsidRDefault="00BE7F89" w:rsidP="00BE7F89">
      <w:pPr>
        <w:rPr>
          <w:rFonts w:eastAsia="SimSun"/>
          <w:i/>
          <w:u w:val="single"/>
        </w:rPr>
      </w:pPr>
      <w:r w:rsidRPr="00985050">
        <w:rPr>
          <w:rFonts w:eastAsia="SimSun"/>
          <w:i/>
          <w:u w:val="single"/>
        </w:rPr>
        <w:t>Инфузия лошадиного АТГ</w:t>
      </w:r>
      <w:bookmarkEnd w:id="129"/>
      <w:r w:rsidRPr="00985050">
        <w:rPr>
          <w:rFonts w:eastAsia="SimSun"/>
          <w:i/>
          <w:u w:val="single"/>
        </w:rPr>
        <w:t xml:space="preserve"> </w:t>
      </w:r>
    </w:p>
    <w:p w14:paraId="31287C38" w14:textId="77777777" w:rsidR="00BE7F89" w:rsidRPr="00C07B2E" w:rsidRDefault="00BE7F89" w:rsidP="005B002C">
      <w:pPr>
        <w:ind w:firstLine="709"/>
        <w:rPr>
          <w:rFonts w:eastAsia="SimSun"/>
        </w:rPr>
      </w:pPr>
      <w:r w:rsidRPr="00C07B2E">
        <w:rPr>
          <w:rFonts w:eastAsia="SimSun"/>
        </w:rPr>
        <w:t>С целью снижения вероятности выпадения осадка суточная доза препарата АТГ делится на 2 приблизительно равные дозы. Рекомендуется подбирать дозы, кратные 250 мг (1 ампуле). Например, вес пациента 75 кг. Суточная доза 750 мг: утренняя — 500 мг, вечерняя — 250 мг.</w:t>
      </w:r>
    </w:p>
    <w:p w14:paraId="79324B61" w14:textId="77777777" w:rsidR="00BE7F89" w:rsidRPr="00C07B2E" w:rsidRDefault="00BE7F89" w:rsidP="005B002C">
      <w:pPr>
        <w:ind w:firstLine="709"/>
        <w:rPr>
          <w:rFonts w:eastAsia="SimSun"/>
        </w:rPr>
      </w:pPr>
      <w:r w:rsidRPr="00C07B2E">
        <w:rPr>
          <w:rFonts w:eastAsia="SimSun"/>
        </w:rPr>
        <w:t>Каждая доза препарата разводится на 0,9% растворе хлорида натрия в объеме 500 мл. Время введения каждой из доз препарата АТГ составляет 6 ч:</w:t>
      </w:r>
    </w:p>
    <w:p w14:paraId="1982BCAE" w14:textId="77777777" w:rsidR="00BE7F89" w:rsidRPr="00C07B2E" w:rsidRDefault="00BE7F89" w:rsidP="005B002C">
      <w:pPr>
        <w:ind w:firstLine="709"/>
        <w:rPr>
          <w:rFonts w:eastAsia="SimSun"/>
        </w:rPr>
      </w:pPr>
      <w:r w:rsidRPr="00C07B2E">
        <w:rPr>
          <w:rFonts w:eastAsia="SimSun"/>
        </w:rPr>
        <w:t>Утренняя доза — 10:00–16:00.</w:t>
      </w:r>
    </w:p>
    <w:p w14:paraId="478D1D2D" w14:textId="77777777" w:rsidR="00BE7F89" w:rsidRPr="00C07B2E" w:rsidRDefault="00BE7F89" w:rsidP="005B002C">
      <w:pPr>
        <w:ind w:firstLine="709"/>
        <w:rPr>
          <w:rFonts w:eastAsia="SimSun"/>
        </w:rPr>
      </w:pPr>
      <w:r w:rsidRPr="00C07B2E">
        <w:rPr>
          <w:rFonts w:eastAsia="SimSun"/>
        </w:rPr>
        <w:t>Вечерняя доза — 17:00–23:00.</w:t>
      </w:r>
    </w:p>
    <w:p w14:paraId="0BA52982" w14:textId="77777777" w:rsidR="00BE7F89" w:rsidRPr="00C07B2E" w:rsidRDefault="00BE7F89" w:rsidP="005B002C">
      <w:pPr>
        <w:ind w:firstLine="709"/>
        <w:rPr>
          <w:rFonts w:eastAsia="SimSun"/>
        </w:rPr>
      </w:pPr>
      <w:r w:rsidRPr="00C07B2E">
        <w:rPr>
          <w:rFonts w:eastAsia="SimSun"/>
        </w:rPr>
        <w:t>Введение препарата идет параллельно с введением метилпреднизолона в суммарной дозе 3 мг/кг (но не более 250 мг/сут). Началу инфузии препарата АТГ предшествует в/в болюсное введение 30 мг метилпреднизолона с последующей 13-часовой инфузией (с 10:00 по 23:00) оставшейся суточной дозы метилпреднизолона.</w:t>
      </w:r>
    </w:p>
    <w:p w14:paraId="5A3611C1" w14:textId="77777777" w:rsidR="00BE7F89" w:rsidRPr="00C07B2E" w:rsidRDefault="00BE7F89" w:rsidP="00BE7F89">
      <w:pPr>
        <w:rPr>
          <w:rFonts w:eastAsia="SimSun"/>
        </w:rPr>
      </w:pPr>
    </w:p>
    <w:p w14:paraId="6753F56C" w14:textId="77777777" w:rsidR="00BE7F89" w:rsidRPr="00985050" w:rsidRDefault="00BE7F89" w:rsidP="00BE7F89">
      <w:pPr>
        <w:rPr>
          <w:rFonts w:eastAsia="SimSun"/>
          <w:i/>
          <w:u w:val="single"/>
        </w:rPr>
      </w:pPr>
      <w:bookmarkStart w:id="130" w:name="_Toc44401137"/>
      <w:r w:rsidRPr="00985050">
        <w:rPr>
          <w:rFonts w:eastAsia="SimSun"/>
          <w:i/>
          <w:u w:val="single"/>
        </w:rPr>
        <w:t>Альтернативный способ введения лошадиного АТГ</w:t>
      </w:r>
      <w:bookmarkEnd w:id="130"/>
      <w:r w:rsidRPr="00985050">
        <w:rPr>
          <w:i/>
          <w:u w:val="single"/>
        </w:rPr>
        <w:t xml:space="preserve"> </w:t>
      </w:r>
    </w:p>
    <w:p w14:paraId="303C18D8" w14:textId="77777777" w:rsidR="00BE7F89" w:rsidRPr="00C07B2E" w:rsidRDefault="00BE7F89" w:rsidP="005B002C">
      <w:pPr>
        <w:ind w:firstLine="709"/>
      </w:pPr>
      <w:r w:rsidRPr="00C07B2E">
        <w:t xml:space="preserve">Лошадиный АТГ разводится на 500 мл физиологического раствора.  В случае отрицательной кожной пробы проводится 12- часовая инфузия с премедикацией 1 мг/кг метилпреднизолона в\в капельно перед началом введения и через 6 часов после начала введения. В случае положительной кожной пробы доза солумедрола увеличивается до 2 мг/кг. В случае развития аллергической реакции на фоне введения введение препарата останавливается и вводится 2 мг/кг метилпреднизолона. Инфузия возобновляется с удлинением времени введения до 18 часов после разрешения симптомов аллергии. </w:t>
      </w:r>
    </w:p>
    <w:p w14:paraId="0C91F10F" w14:textId="77777777" w:rsidR="00BE7F89" w:rsidRPr="00C07B2E" w:rsidRDefault="00BE7F89" w:rsidP="00BE7F89">
      <w:pPr>
        <w:rPr>
          <w:rFonts w:eastAsia="SimSun"/>
        </w:rPr>
      </w:pPr>
    </w:p>
    <w:p w14:paraId="55D99714" w14:textId="77777777" w:rsidR="00BE7F89" w:rsidRPr="00985050" w:rsidRDefault="00BE7F89" w:rsidP="00BE7F89">
      <w:pPr>
        <w:rPr>
          <w:rFonts w:eastAsia="SimSun"/>
          <w:i/>
          <w:u w:val="single"/>
        </w:rPr>
      </w:pPr>
      <w:bookmarkStart w:id="131" w:name="_Toc44401138"/>
      <w:r w:rsidRPr="00985050">
        <w:rPr>
          <w:rFonts w:eastAsia="SimSun"/>
          <w:i/>
          <w:u w:val="single"/>
        </w:rPr>
        <w:t>Инфузия кроличьего АТГ</w:t>
      </w:r>
      <w:bookmarkEnd w:id="131"/>
    </w:p>
    <w:p w14:paraId="1785B0D0" w14:textId="77777777" w:rsidR="00BE7F89" w:rsidRPr="00C07B2E" w:rsidRDefault="00BE7F89" w:rsidP="005B002C">
      <w:pPr>
        <w:ind w:firstLine="709"/>
      </w:pPr>
      <w:r w:rsidRPr="00C07B2E">
        <w:t>Тимоглобулин (кроличий антитимоцитарный глобулин) вводится в течение 2-3 дней до трансплантации в дозе 2.5 мг/кг на введение (суммарная доза 5-7.5 мг/кг). Крайне желательно, чтобы дни введения не совпадали с днями приема бусульфана, например в -2 и -1 дни. Тимоглобулин разводится на 500 мл физиологического раствора.  Кожная проба при использовании Тимоглобулина не проводится. Премедикация перед введением – метилпреднизолон 2 мг/кг в</w:t>
      </w:r>
      <w:r>
        <w:t>/</w:t>
      </w:r>
      <w:r w:rsidRPr="00C07B2E">
        <w:t xml:space="preserve">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14:paraId="76D1B1E1" w14:textId="77777777" w:rsidR="00BE7F89" w:rsidRPr="00C07B2E" w:rsidRDefault="00BE7F89" w:rsidP="005B002C">
      <w:pPr>
        <w:ind w:firstLine="709"/>
      </w:pPr>
      <w:r w:rsidRPr="00C07B2E">
        <w:t xml:space="preserve">Графалон (кроличий антитимоцитарный глобулин) вводится в течение 3 дней до трансплантации в дозе 20 мг/кг на введение (суммарная доза 60 мг/кг). Крайне желательно, чтобы дни введения не совпадали с днями приема бусульфана, например в -3, -2 и -1 дни. Графалон разводится на 500 мл физиологического раствора. Кожная проба не проводится. Премедикация перед введением – метилпреднизолон 2 мг/кг в\в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14:paraId="65A20F47" w14:textId="77777777" w:rsidR="00BE7F89" w:rsidRDefault="00BE7F89" w:rsidP="00BE7F89">
      <w:pPr>
        <w:rPr>
          <w:rFonts w:eastAsia="SimSun"/>
        </w:rPr>
      </w:pPr>
      <w:bookmarkStart w:id="132" w:name="_Toc44401139"/>
    </w:p>
    <w:p w14:paraId="15311174" w14:textId="77777777" w:rsidR="00BE7F89" w:rsidRPr="00470D3D" w:rsidRDefault="00BE7F89" w:rsidP="00BE7F89">
      <w:pPr>
        <w:rPr>
          <w:rFonts w:eastAsia="SimSun"/>
          <w:b/>
        </w:rPr>
      </w:pPr>
      <w:r>
        <w:rPr>
          <w:rFonts w:eastAsia="SimSun"/>
          <w:b/>
        </w:rPr>
        <w:t>5</w:t>
      </w:r>
      <w:r w:rsidRPr="00470D3D">
        <w:rPr>
          <w:rFonts w:eastAsia="SimSun"/>
          <w:b/>
        </w:rPr>
        <w:t>. Протоколы кондиционирования и профилактики РТПХ в зависимости от типа донора</w:t>
      </w:r>
      <w:bookmarkEnd w:id="132"/>
    </w:p>
    <w:p w14:paraId="16774FE2" w14:textId="77777777" w:rsidR="00BE7F89" w:rsidRPr="00985050" w:rsidRDefault="00BE7F89" w:rsidP="00BE7F89">
      <w:pPr>
        <w:rPr>
          <w:rFonts w:eastAsia="SimSun"/>
          <w:i/>
          <w:u w:val="single"/>
        </w:rPr>
      </w:pPr>
      <w:bookmarkStart w:id="133" w:name="_Toc44401140"/>
      <w:r>
        <w:rPr>
          <w:rFonts w:eastAsia="SimSun"/>
          <w:i/>
          <w:u w:val="single"/>
        </w:rPr>
        <w:t>5.</w:t>
      </w:r>
      <w:r w:rsidRPr="00985050">
        <w:rPr>
          <w:rFonts w:eastAsia="SimSun"/>
          <w:i/>
          <w:u w:val="single"/>
        </w:rPr>
        <w:t xml:space="preserve">1. Родственный </w:t>
      </w:r>
      <w:r w:rsidRPr="00985050">
        <w:rPr>
          <w:rFonts w:eastAsia="SimSun"/>
          <w:i/>
          <w:u w:val="single"/>
          <w:lang w:val="en-US"/>
        </w:rPr>
        <w:t>HLA</w:t>
      </w:r>
      <w:r w:rsidRPr="00985050">
        <w:rPr>
          <w:rFonts w:eastAsia="SimSun"/>
          <w:i/>
          <w:u w:val="single"/>
        </w:rPr>
        <w:t>-идентичный донор</w:t>
      </w:r>
      <w:bookmarkEnd w:id="133"/>
      <w:r w:rsidRPr="00985050">
        <w:rPr>
          <w:rFonts w:eastAsia="SimSun"/>
          <w:i/>
          <w:u w:val="single"/>
        </w:rPr>
        <w:t xml:space="preserve"> </w:t>
      </w:r>
    </w:p>
    <w:p w14:paraId="7A40422D" w14:textId="77777777" w:rsidR="00BE7F89" w:rsidRPr="00C07B2E" w:rsidRDefault="00BE7F89" w:rsidP="00BE7F89">
      <w:pPr>
        <w:rPr>
          <w:rFonts w:eastAsia="SimSun"/>
        </w:rPr>
      </w:pPr>
      <w:r w:rsidRPr="00C07B2E">
        <w:rPr>
          <w:rFonts w:eastAsia="SimSun"/>
        </w:rPr>
        <w:t xml:space="preserve">Схемы и режимы применения препаратов для кондиционирования и профилактики РТПХ указаны в Таблице </w:t>
      </w:r>
      <w:r>
        <w:rPr>
          <w:rFonts w:eastAsia="SimSun"/>
        </w:rPr>
        <w:t>5</w:t>
      </w:r>
      <w:r w:rsidRPr="00C07B2E">
        <w:rPr>
          <w:rFonts w:eastAsia="SimSun"/>
        </w:rPr>
        <w:t>.1.1</w:t>
      </w:r>
    </w:p>
    <w:p w14:paraId="0E37B794" w14:textId="77777777" w:rsidR="00BE7F89" w:rsidRPr="00C07B2E" w:rsidRDefault="00BE7F89" w:rsidP="00BE7F89">
      <w:pPr>
        <w:rPr>
          <w:rFonts w:eastAsia="SimSun"/>
        </w:rPr>
        <w:sectPr w:rsidR="00BE7F89" w:rsidRPr="00C07B2E" w:rsidSect="00BE7F89">
          <w:pgSz w:w="11907" w:h="16839" w:code="9"/>
          <w:pgMar w:top="1134" w:right="850" w:bottom="1134" w:left="1701" w:header="709" w:footer="567" w:gutter="0"/>
          <w:cols w:space="708"/>
          <w:docGrid w:linePitch="360"/>
        </w:sectPr>
      </w:pPr>
    </w:p>
    <w:p w14:paraId="0A8A6CBB" w14:textId="77777777" w:rsidR="00BE7F89" w:rsidRPr="00C07B2E" w:rsidRDefault="00BE7F89" w:rsidP="00BE7F89">
      <w:pPr>
        <w:rPr>
          <w:rFonts w:eastAsia="SimSun"/>
        </w:rPr>
      </w:pPr>
      <w:r w:rsidRPr="00C07B2E">
        <w:rPr>
          <w:rFonts w:eastAsia="SimSun"/>
        </w:rPr>
        <w:t xml:space="preserve">Таблица </w:t>
      </w:r>
      <w:r>
        <w:rPr>
          <w:rFonts w:eastAsia="SimSun"/>
        </w:rPr>
        <w:t>5</w:t>
      </w:r>
      <w:r w:rsidRPr="00C07B2E">
        <w:rPr>
          <w:rFonts w:eastAsia="SimSun"/>
        </w:rPr>
        <w:t xml:space="preserve">.1.1 Схемы и режимы применения препаратов для кондиционирования и профилактики РТПХ со ссылками на </w:t>
      </w:r>
      <w:r>
        <w:rPr>
          <w:rFonts w:eastAsia="SimSun"/>
        </w:rPr>
        <w:t>таблицы с описанием</w:t>
      </w:r>
    </w:p>
    <w:p w14:paraId="7B79EBBE" w14:textId="77777777" w:rsidR="00BE7F89" w:rsidRPr="00C07B2E" w:rsidRDefault="00BE7F89" w:rsidP="00BE7F89">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809"/>
        <w:gridCol w:w="1222"/>
        <w:gridCol w:w="1659"/>
        <w:gridCol w:w="1539"/>
        <w:gridCol w:w="1713"/>
        <w:gridCol w:w="1713"/>
        <w:gridCol w:w="1713"/>
        <w:gridCol w:w="1919"/>
      </w:tblGrid>
      <w:tr w:rsidR="00BE7F89" w:rsidRPr="00C07B2E" w14:paraId="0F62845E" w14:textId="77777777" w:rsidTr="005A428D">
        <w:trPr>
          <w:cantSplit/>
          <w:trHeight w:val="664"/>
        </w:trPr>
        <w:tc>
          <w:tcPr>
            <w:tcW w:w="1408" w:type="pct"/>
            <w:gridSpan w:val="3"/>
            <w:vMerge w:val="restart"/>
            <w:shd w:val="clear" w:color="auto" w:fill="auto"/>
            <w:vAlign w:val="center"/>
          </w:tcPr>
          <w:p w14:paraId="0F55BF81" w14:textId="77777777" w:rsidR="00BE7F89" w:rsidRPr="00C07B2E" w:rsidRDefault="00BE7F89" w:rsidP="005A428D">
            <w:pPr>
              <w:rPr>
                <w:rFonts w:eastAsia="SimSun"/>
              </w:rPr>
            </w:pPr>
            <w:r w:rsidRPr="00C07B2E">
              <w:rPr>
                <w:rFonts w:eastAsia="SimSun"/>
              </w:rPr>
              <w:t>Профилактика РТПХ</w:t>
            </w:r>
          </w:p>
        </w:tc>
        <w:tc>
          <w:tcPr>
            <w:tcW w:w="3592" w:type="pct"/>
            <w:gridSpan w:val="6"/>
            <w:shd w:val="clear" w:color="auto" w:fill="auto"/>
            <w:vAlign w:val="center"/>
          </w:tcPr>
          <w:p w14:paraId="67A0657E" w14:textId="77777777" w:rsidR="00BE7F89" w:rsidRPr="00C07B2E" w:rsidRDefault="00BE7F89" w:rsidP="005A428D">
            <w:pPr>
              <w:rPr>
                <w:rFonts w:eastAsia="SimSun"/>
              </w:rPr>
            </w:pPr>
            <w:r w:rsidRPr="00C07B2E">
              <w:rPr>
                <w:rFonts w:eastAsia="SimSun"/>
              </w:rPr>
              <w:t>Режим кондиционирования</w:t>
            </w:r>
          </w:p>
        </w:tc>
      </w:tr>
      <w:tr w:rsidR="00BE7F89" w:rsidRPr="00C07B2E" w14:paraId="3994A7B2" w14:textId="77777777" w:rsidTr="005A428D">
        <w:trPr>
          <w:cantSplit/>
          <w:trHeight w:val="676"/>
        </w:trPr>
        <w:tc>
          <w:tcPr>
            <w:tcW w:w="1408" w:type="pct"/>
            <w:gridSpan w:val="3"/>
            <w:vMerge/>
            <w:shd w:val="clear" w:color="auto" w:fill="auto"/>
            <w:vAlign w:val="center"/>
          </w:tcPr>
          <w:p w14:paraId="517CCBB6" w14:textId="77777777" w:rsidR="00BE7F89" w:rsidRPr="00C07B2E" w:rsidRDefault="00BE7F89" w:rsidP="005A428D">
            <w:pPr>
              <w:rPr>
                <w:rFonts w:eastAsia="SimSun"/>
              </w:rPr>
            </w:pPr>
          </w:p>
        </w:tc>
        <w:tc>
          <w:tcPr>
            <w:tcW w:w="1120" w:type="pct"/>
            <w:gridSpan w:val="2"/>
            <w:shd w:val="clear" w:color="auto" w:fill="BFBFBF"/>
            <w:vAlign w:val="center"/>
          </w:tcPr>
          <w:p w14:paraId="3B9FDC7C" w14:textId="77777777" w:rsidR="00BE7F89" w:rsidRPr="00C07B2E" w:rsidRDefault="00BE7F89" w:rsidP="005A428D">
            <w:pPr>
              <w:rPr>
                <w:rFonts w:eastAsia="SimSun"/>
              </w:rPr>
            </w:pPr>
            <w:r w:rsidRPr="00C07B2E">
              <w:rPr>
                <w:rFonts w:eastAsia="SimSun"/>
                <w:lang w:val="en-US"/>
              </w:rPr>
              <w:t>Cy</w:t>
            </w:r>
            <w:r w:rsidRPr="00C07B2E">
              <w:rPr>
                <w:rFonts w:eastAsia="SimSun"/>
              </w:rPr>
              <w:t>120</w:t>
            </w:r>
          </w:p>
        </w:tc>
        <w:tc>
          <w:tcPr>
            <w:tcW w:w="600" w:type="pct"/>
            <w:shd w:val="clear" w:color="auto" w:fill="BFBFBF"/>
            <w:vAlign w:val="center"/>
          </w:tcPr>
          <w:p w14:paraId="7EDA52F1" w14:textId="77777777" w:rsidR="00BE7F89" w:rsidRPr="00C07B2E" w:rsidRDefault="00BE7F89" w:rsidP="005A428D">
            <w:pPr>
              <w:rPr>
                <w:rFonts w:eastAsia="SimSun"/>
              </w:rPr>
            </w:pPr>
            <w:r w:rsidRPr="00C07B2E">
              <w:rPr>
                <w:rFonts w:eastAsia="SimSun"/>
                <w:lang w:val="en-US"/>
              </w:rPr>
              <w:t>Flu</w:t>
            </w:r>
            <w:r w:rsidRPr="00C07B2E">
              <w:rPr>
                <w:rFonts w:eastAsia="SimSun"/>
              </w:rPr>
              <w:t>150</w:t>
            </w:r>
          </w:p>
        </w:tc>
        <w:tc>
          <w:tcPr>
            <w:tcW w:w="1872" w:type="pct"/>
            <w:gridSpan w:val="3"/>
            <w:shd w:val="clear" w:color="auto" w:fill="BFBFBF"/>
            <w:vAlign w:val="center"/>
          </w:tcPr>
          <w:p w14:paraId="18ACD5D9" w14:textId="77777777" w:rsidR="00BE7F89" w:rsidRPr="00C07B2E" w:rsidRDefault="00BE7F89" w:rsidP="005A428D">
            <w:pPr>
              <w:rPr>
                <w:rFonts w:eastAsia="SimSun"/>
              </w:rPr>
            </w:pPr>
            <w:r w:rsidRPr="00C07B2E">
              <w:rPr>
                <w:rFonts w:eastAsia="SimSun"/>
                <w:lang w:val="en-US"/>
              </w:rPr>
              <w:t>Flu</w:t>
            </w:r>
            <w:r w:rsidRPr="00C07B2E">
              <w:rPr>
                <w:rFonts w:eastAsia="SimSun"/>
              </w:rPr>
              <w:t>180</w:t>
            </w:r>
          </w:p>
        </w:tc>
      </w:tr>
      <w:tr w:rsidR="00BE7F89" w:rsidRPr="00C07B2E" w14:paraId="28FD304B" w14:textId="77777777" w:rsidTr="005A428D">
        <w:trPr>
          <w:cantSplit/>
          <w:trHeight w:val="791"/>
        </w:trPr>
        <w:tc>
          <w:tcPr>
            <w:tcW w:w="1408" w:type="pct"/>
            <w:gridSpan w:val="3"/>
            <w:vMerge/>
            <w:shd w:val="clear" w:color="auto" w:fill="auto"/>
            <w:vAlign w:val="center"/>
          </w:tcPr>
          <w:p w14:paraId="16F2248B" w14:textId="77777777" w:rsidR="00BE7F89" w:rsidRPr="00C07B2E" w:rsidRDefault="00BE7F89" w:rsidP="005A428D">
            <w:pPr>
              <w:rPr>
                <w:rFonts w:eastAsia="SimSun"/>
              </w:rPr>
            </w:pPr>
          </w:p>
        </w:tc>
        <w:tc>
          <w:tcPr>
            <w:tcW w:w="581" w:type="pct"/>
            <w:shd w:val="clear" w:color="auto" w:fill="BFBFBF"/>
            <w:vAlign w:val="center"/>
          </w:tcPr>
          <w:p w14:paraId="6270A9E8" w14:textId="77777777" w:rsidR="00BE7F89" w:rsidRPr="00C07B2E" w:rsidRDefault="00BE7F89" w:rsidP="005A428D">
            <w:pPr>
              <w:rPr>
                <w:rFonts w:eastAsia="SimSun"/>
              </w:rPr>
            </w:pPr>
            <w:r w:rsidRPr="00C07B2E">
              <w:rPr>
                <w:rFonts w:eastAsia="SimSun"/>
                <w:lang w:val="en-US"/>
              </w:rPr>
              <w:t>Bu</w:t>
            </w:r>
            <w:r w:rsidRPr="00C07B2E">
              <w:rPr>
                <w:rFonts w:eastAsia="SimSun"/>
              </w:rPr>
              <w:t>12</w:t>
            </w:r>
          </w:p>
        </w:tc>
        <w:tc>
          <w:tcPr>
            <w:tcW w:w="539" w:type="pct"/>
            <w:shd w:val="clear" w:color="auto" w:fill="BFBFBF"/>
            <w:vAlign w:val="center"/>
          </w:tcPr>
          <w:p w14:paraId="17331914" w14:textId="77777777" w:rsidR="00BE7F89" w:rsidRPr="00C07B2E" w:rsidRDefault="00BE7F89" w:rsidP="005A428D">
            <w:pPr>
              <w:rPr>
                <w:rFonts w:eastAsia="SimSun"/>
              </w:rPr>
            </w:pPr>
            <w:r w:rsidRPr="00C07B2E">
              <w:rPr>
                <w:rFonts w:eastAsia="SimSun"/>
                <w:lang w:val="en-US"/>
              </w:rPr>
              <w:t>TBI</w:t>
            </w:r>
          </w:p>
        </w:tc>
        <w:tc>
          <w:tcPr>
            <w:tcW w:w="600" w:type="pct"/>
            <w:shd w:val="clear" w:color="auto" w:fill="BFBFBF"/>
            <w:vAlign w:val="center"/>
          </w:tcPr>
          <w:p w14:paraId="1E55C80B" w14:textId="77777777" w:rsidR="00BE7F89" w:rsidRPr="00C07B2E" w:rsidRDefault="00BE7F89" w:rsidP="005A428D">
            <w:pPr>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14:paraId="5BE8152D" w14:textId="77777777" w:rsidR="00BE7F89" w:rsidRPr="00C07B2E" w:rsidRDefault="00BE7F89" w:rsidP="005A428D">
            <w:pPr>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14:paraId="71814E9D" w14:textId="77777777" w:rsidR="00BE7F89" w:rsidRPr="00C07B2E" w:rsidRDefault="00BE7F89" w:rsidP="005A428D">
            <w:pPr>
              <w:rPr>
                <w:rFonts w:eastAsia="SimSun"/>
              </w:rPr>
            </w:pPr>
            <w:r w:rsidRPr="00C07B2E">
              <w:rPr>
                <w:rFonts w:eastAsia="SimSun"/>
                <w:lang w:val="en-US"/>
              </w:rPr>
              <w:t>Bu</w:t>
            </w:r>
            <w:r w:rsidRPr="00C07B2E">
              <w:rPr>
                <w:rFonts w:eastAsia="SimSun"/>
              </w:rPr>
              <w:t>14</w:t>
            </w:r>
          </w:p>
        </w:tc>
        <w:tc>
          <w:tcPr>
            <w:tcW w:w="672" w:type="pct"/>
            <w:shd w:val="clear" w:color="auto" w:fill="BFBFBF"/>
            <w:vAlign w:val="center"/>
          </w:tcPr>
          <w:p w14:paraId="08B1D320" w14:textId="77777777" w:rsidR="00BE7F89" w:rsidRPr="00C07B2E" w:rsidRDefault="00BE7F89" w:rsidP="005A428D">
            <w:pPr>
              <w:rPr>
                <w:rFonts w:eastAsia="SimSun"/>
              </w:rPr>
            </w:pPr>
            <w:r w:rsidRPr="00C07B2E">
              <w:rPr>
                <w:rFonts w:eastAsia="SimSun"/>
                <w:lang w:val="en-US"/>
              </w:rPr>
              <w:t>Treo</w:t>
            </w:r>
            <w:r w:rsidRPr="00C07B2E">
              <w:rPr>
                <w:rFonts w:eastAsia="SimSun"/>
              </w:rPr>
              <w:t>42</w:t>
            </w:r>
          </w:p>
        </w:tc>
      </w:tr>
      <w:tr w:rsidR="00BE7F89" w:rsidRPr="00C07B2E" w14:paraId="005CC236" w14:textId="77777777" w:rsidTr="005A428D">
        <w:trPr>
          <w:cantSplit/>
          <w:trHeight w:val="1020"/>
        </w:trPr>
        <w:tc>
          <w:tcPr>
            <w:tcW w:w="697" w:type="pct"/>
            <w:shd w:val="clear" w:color="auto" w:fill="BFBFBF"/>
            <w:vAlign w:val="center"/>
          </w:tcPr>
          <w:p w14:paraId="14327388" w14:textId="77777777" w:rsidR="00BE7F89" w:rsidRPr="00C07B2E" w:rsidRDefault="00BE7F89" w:rsidP="005A428D">
            <w:pPr>
              <w:rPr>
                <w:rFonts w:eastAsia="SimSun"/>
              </w:rPr>
            </w:pPr>
            <w:r w:rsidRPr="00C07B2E">
              <w:rPr>
                <w:rFonts w:eastAsia="SimSun"/>
              </w:rPr>
              <w:t>-</w:t>
            </w:r>
          </w:p>
        </w:tc>
        <w:tc>
          <w:tcPr>
            <w:tcW w:w="283" w:type="pct"/>
            <w:shd w:val="clear" w:color="auto" w:fill="BFBFBF"/>
            <w:vAlign w:val="center"/>
          </w:tcPr>
          <w:p w14:paraId="6E86EA6A" w14:textId="77777777" w:rsidR="00BE7F89" w:rsidRPr="00C07B2E" w:rsidRDefault="00BE7F89" w:rsidP="005A428D">
            <w:pPr>
              <w:rPr>
                <w:rFonts w:eastAsia="SimSun"/>
              </w:rPr>
            </w:pPr>
            <w:r w:rsidRPr="00C07B2E">
              <w:rPr>
                <w:rFonts w:eastAsia="SimSun"/>
                <w:lang w:val="en-US"/>
              </w:rPr>
              <w:t>CSA</w:t>
            </w:r>
          </w:p>
        </w:tc>
        <w:tc>
          <w:tcPr>
            <w:tcW w:w="428" w:type="pct"/>
            <w:shd w:val="clear" w:color="auto" w:fill="BFBFBF"/>
            <w:vAlign w:val="center"/>
          </w:tcPr>
          <w:p w14:paraId="48DBE5AF" w14:textId="77777777" w:rsidR="00BE7F89" w:rsidRPr="00C07B2E" w:rsidRDefault="00BE7F89" w:rsidP="005A428D">
            <w:pPr>
              <w:rPr>
                <w:rFonts w:eastAsia="SimSun"/>
              </w:rPr>
            </w:pPr>
            <w:r w:rsidRPr="00C07B2E">
              <w:rPr>
                <w:rFonts w:eastAsia="SimSun"/>
                <w:lang w:val="en-US"/>
              </w:rPr>
              <w:t>MTX</w:t>
            </w:r>
          </w:p>
        </w:tc>
        <w:tc>
          <w:tcPr>
            <w:tcW w:w="581" w:type="pct"/>
            <w:shd w:val="clear" w:color="auto" w:fill="auto"/>
            <w:vAlign w:val="center"/>
          </w:tcPr>
          <w:p w14:paraId="37074A1C" w14:textId="77777777" w:rsidR="00BE7F89" w:rsidRPr="00C07B2E" w:rsidRDefault="00BE7F89" w:rsidP="005A428D">
            <w:pPr>
              <w:rPr>
                <w:rFonts w:eastAsia="SimSun"/>
              </w:rPr>
            </w:pPr>
            <w:r>
              <w:rPr>
                <w:rFonts w:eastAsia="SimSun"/>
              </w:rPr>
              <w:t>5.</w:t>
            </w:r>
            <w:r w:rsidRPr="00C07B2E">
              <w:rPr>
                <w:rFonts w:eastAsia="SimSun"/>
              </w:rPr>
              <w:t>1.1.1</w:t>
            </w:r>
          </w:p>
        </w:tc>
        <w:tc>
          <w:tcPr>
            <w:tcW w:w="539" w:type="pct"/>
            <w:shd w:val="clear" w:color="auto" w:fill="auto"/>
            <w:vAlign w:val="center"/>
          </w:tcPr>
          <w:p w14:paraId="2DB2DE5A" w14:textId="77777777" w:rsidR="00BE7F89" w:rsidRPr="00C07B2E" w:rsidRDefault="00BE7F89" w:rsidP="005A428D">
            <w:pPr>
              <w:rPr>
                <w:rFonts w:eastAsia="SimSun"/>
              </w:rPr>
            </w:pPr>
            <w:r>
              <w:rPr>
                <w:rFonts w:eastAsia="SimSun"/>
              </w:rPr>
              <w:t>5.</w:t>
            </w:r>
            <w:r w:rsidRPr="00C07B2E">
              <w:rPr>
                <w:rFonts w:eastAsia="SimSun"/>
              </w:rPr>
              <w:t>1.1.2</w:t>
            </w:r>
          </w:p>
        </w:tc>
        <w:tc>
          <w:tcPr>
            <w:tcW w:w="600" w:type="pct"/>
            <w:shd w:val="clear" w:color="auto" w:fill="auto"/>
            <w:vAlign w:val="center"/>
          </w:tcPr>
          <w:p w14:paraId="4208F5CA" w14:textId="77777777" w:rsidR="00BE7F89" w:rsidRPr="00C07B2E" w:rsidRDefault="00BE7F89" w:rsidP="005A428D">
            <w:r w:rsidRPr="00C07B2E">
              <w:rPr>
                <w:rFonts w:eastAsia="SimSun"/>
              </w:rPr>
              <w:t>-</w:t>
            </w:r>
          </w:p>
        </w:tc>
        <w:tc>
          <w:tcPr>
            <w:tcW w:w="600" w:type="pct"/>
            <w:shd w:val="clear" w:color="auto" w:fill="auto"/>
            <w:vAlign w:val="center"/>
          </w:tcPr>
          <w:p w14:paraId="6CCA3114" w14:textId="77777777" w:rsidR="00BE7F89" w:rsidRPr="00C07B2E" w:rsidRDefault="00BE7F89" w:rsidP="005A428D">
            <w:r w:rsidRPr="00C07B2E">
              <w:rPr>
                <w:rFonts w:eastAsia="SimSun"/>
              </w:rPr>
              <w:t>-</w:t>
            </w:r>
          </w:p>
        </w:tc>
        <w:tc>
          <w:tcPr>
            <w:tcW w:w="600" w:type="pct"/>
            <w:shd w:val="clear" w:color="auto" w:fill="auto"/>
            <w:vAlign w:val="center"/>
          </w:tcPr>
          <w:p w14:paraId="23C9BF48" w14:textId="77777777" w:rsidR="00BE7F89" w:rsidRPr="00C07B2E" w:rsidRDefault="00BE7F89" w:rsidP="005A428D">
            <w:r w:rsidRPr="00C07B2E">
              <w:rPr>
                <w:rFonts w:eastAsia="SimSun"/>
              </w:rPr>
              <w:t>-</w:t>
            </w:r>
          </w:p>
        </w:tc>
        <w:tc>
          <w:tcPr>
            <w:tcW w:w="672" w:type="pct"/>
            <w:shd w:val="clear" w:color="auto" w:fill="auto"/>
            <w:vAlign w:val="center"/>
          </w:tcPr>
          <w:p w14:paraId="0DBC001B" w14:textId="77777777" w:rsidR="00BE7F89" w:rsidRPr="00C07B2E" w:rsidRDefault="00BE7F89" w:rsidP="005A428D">
            <w:r w:rsidRPr="00C07B2E">
              <w:rPr>
                <w:rFonts w:eastAsia="SimSun"/>
              </w:rPr>
              <w:t>-</w:t>
            </w:r>
          </w:p>
        </w:tc>
      </w:tr>
      <w:tr w:rsidR="00BE7F89" w:rsidRPr="00C07B2E" w14:paraId="025F0646" w14:textId="77777777" w:rsidTr="005A428D">
        <w:trPr>
          <w:cantSplit/>
          <w:trHeight w:val="1020"/>
        </w:trPr>
        <w:tc>
          <w:tcPr>
            <w:tcW w:w="697" w:type="pct"/>
            <w:shd w:val="clear" w:color="auto" w:fill="BFBFBF"/>
            <w:vAlign w:val="center"/>
          </w:tcPr>
          <w:p w14:paraId="01934027" w14:textId="77777777" w:rsidR="00BE7F89" w:rsidRPr="00C07B2E" w:rsidRDefault="00BE7F89" w:rsidP="005A428D">
            <w:pPr>
              <w:rPr>
                <w:rFonts w:eastAsia="SimSun"/>
                <w:lang w:val="en-US"/>
              </w:rPr>
            </w:pPr>
            <w:r w:rsidRPr="00C07B2E">
              <w:rPr>
                <w:rFonts w:eastAsia="SimSun"/>
                <w:lang w:val="en-US"/>
              </w:rPr>
              <w:t>-</w:t>
            </w:r>
          </w:p>
        </w:tc>
        <w:tc>
          <w:tcPr>
            <w:tcW w:w="283" w:type="pct"/>
            <w:shd w:val="clear" w:color="auto" w:fill="BFBFBF"/>
            <w:vAlign w:val="center"/>
          </w:tcPr>
          <w:p w14:paraId="0910C3EE" w14:textId="77777777" w:rsidR="00BE7F89" w:rsidRPr="00C07B2E" w:rsidRDefault="00BE7F89" w:rsidP="005A428D">
            <w:pPr>
              <w:rPr>
                <w:rFonts w:eastAsia="SimSun"/>
                <w:lang w:val="en-US"/>
              </w:rPr>
            </w:pPr>
            <w:r w:rsidRPr="00C07B2E">
              <w:rPr>
                <w:rFonts w:eastAsia="SimSun"/>
                <w:lang w:val="en-US"/>
              </w:rPr>
              <w:t>Tx</w:t>
            </w:r>
          </w:p>
        </w:tc>
        <w:tc>
          <w:tcPr>
            <w:tcW w:w="428" w:type="pct"/>
            <w:shd w:val="clear" w:color="auto" w:fill="BFBFBF"/>
            <w:vAlign w:val="center"/>
          </w:tcPr>
          <w:p w14:paraId="6339464E" w14:textId="77777777" w:rsidR="00BE7F89" w:rsidRPr="00C07B2E" w:rsidRDefault="00BE7F89" w:rsidP="005A428D">
            <w:pPr>
              <w:rPr>
                <w:rFonts w:eastAsia="SimSun"/>
                <w:lang w:val="en-US"/>
              </w:rPr>
            </w:pPr>
            <w:r w:rsidRPr="00C07B2E">
              <w:rPr>
                <w:rFonts w:eastAsia="SimSun"/>
                <w:lang w:val="en-US"/>
              </w:rPr>
              <w:t>MMF30</w:t>
            </w:r>
          </w:p>
        </w:tc>
        <w:tc>
          <w:tcPr>
            <w:tcW w:w="581" w:type="pct"/>
            <w:shd w:val="clear" w:color="auto" w:fill="auto"/>
            <w:vAlign w:val="center"/>
          </w:tcPr>
          <w:p w14:paraId="274B1061" w14:textId="77777777" w:rsidR="00BE7F89" w:rsidRPr="00C07B2E" w:rsidRDefault="00BE7F89" w:rsidP="005A428D">
            <w:r w:rsidRPr="00C07B2E">
              <w:rPr>
                <w:rFonts w:eastAsia="SimSun"/>
              </w:rPr>
              <w:t>-</w:t>
            </w:r>
          </w:p>
        </w:tc>
        <w:tc>
          <w:tcPr>
            <w:tcW w:w="539" w:type="pct"/>
            <w:shd w:val="clear" w:color="auto" w:fill="auto"/>
            <w:vAlign w:val="center"/>
          </w:tcPr>
          <w:p w14:paraId="05C01E40" w14:textId="77777777" w:rsidR="00BE7F89" w:rsidRPr="00C07B2E" w:rsidRDefault="00BE7F89" w:rsidP="005A428D">
            <w:r w:rsidRPr="00C07B2E">
              <w:rPr>
                <w:rFonts w:eastAsia="SimSun"/>
              </w:rPr>
              <w:t>-</w:t>
            </w:r>
          </w:p>
        </w:tc>
        <w:tc>
          <w:tcPr>
            <w:tcW w:w="600" w:type="pct"/>
            <w:shd w:val="clear" w:color="auto" w:fill="auto"/>
            <w:vAlign w:val="center"/>
          </w:tcPr>
          <w:p w14:paraId="36553BE4" w14:textId="77777777" w:rsidR="00BE7F89" w:rsidRPr="00C07B2E" w:rsidRDefault="00BE7F89" w:rsidP="005A428D">
            <w:r w:rsidRPr="00C07B2E">
              <w:rPr>
                <w:rFonts w:eastAsia="SimSun"/>
              </w:rPr>
              <w:t>-</w:t>
            </w:r>
          </w:p>
        </w:tc>
        <w:tc>
          <w:tcPr>
            <w:tcW w:w="600" w:type="pct"/>
            <w:shd w:val="clear" w:color="auto" w:fill="auto"/>
            <w:vAlign w:val="center"/>
          </w:tcPr>
          <w:p w14:paraId="7EE76DF8" w14:textId="77777777" w:rsidR="00BE7F89" w:rsidRPr="00C07B2E" w:rsidRDefault="00BE7F89" w:rsidP="005A428D">
            <w:pPr>
              <w:rPr>
                <w:rFonts w:eastAsia="SimSun"/>
                <w:lang w:val="en-US"/>
              </w:rPr>
            </w:pPr>
            <w:r>
              <w:rPr>
                <w:rFonts w:eastAsia="SimSun"/>
                <w:lang w:val="en-US"/>
              </w:rPr>
              <w:t>5.</w:t>
            </w:r>
            <w:r w:rsidRPr="00C07B2E">
              <w:rPr>
                <w:rFonts w:eastAsia="SimSun"/>
                <w:lang w:val="en-US"/>
              </w:rPr>
              <w:t>1.1.4</w:t>
            </w:r>
          </w:p>
        </w:tc>
        <w:tc>
          <w:tcPr>
            <w:tcW w:w="600" w:type="pct"/>
            <w:shd w:val="clear" w:color="auto" w:fill="auto"/>
            <w:vAlign w:val="center"/>
          </w:tcPr>
          <w:p w14:paraId="0F72C2A0" w14:textId="77777777" w:rsidR="00BE7F89" w:rsidRPr="00C07B2E" w:rsidRDefault="00BE7F89" w:rsidP="005A428D">
            <w:pPr>
              <w:rPr>
                <w:rFonts w:eastAsia="SimSun"/>
                <w:lang w:val="en-US"/>
              </w:rPr>
            </w:pPr>
            <w:r>
              <w:rPr>
                <w:rFonts w:eastAsia="SimSun"/>
                <w:lang w:val="en-US"/>
              </w:rPr>
              <w:t>5.</w:t>
            </w:r>
            <w:r w:rsidRPr="00C07B2E">
              <w:rPr>
                <w:rFonts w:eastAsia="SimSun"/>
                <w:lang w:val="en-US"/>
              </w:rPr>
              <w:t>1.1.11</w:t>
            </w:r>
          </w:p>
        </w:tc>
        <w:tc>
          <w:tcPr>
            <w:tcW w:w="672" w:type="pct"/>
            <w:shd w:val="clear" w:color="auto" w:fill="auto"/>
            <w:vAlign w:val="center"/>
          </w:tcPr>
          <w:p w14:paraId="40A12D98" w14:textId="77777777" w:rsidR="00BE7F89" w:rsidRPr="00C07B2E" w:rsidRDefault="00BE7F89" w:rsidP="005A428D">
            <w:pPr>
              <w:rPr>
                <w:rFonts w:eastAsia="SimSun"/>
                <w:lang w:val="en-US"/>
              </w:rPr>
            </w:pPr>
            <w:r>
              <w:rPr>
                <w:rFonts w:eastAsia="SimSun"/>
                <w:lang w:val="en-US"/>
              </w:rPr>
              <w:t>5.</w:t>
            </w:r>
            <w:r w:rsidRPr="00C07B2E">
              <w:rPr>
                <w:rFonts w:eastAsia="SimSun"/>
                <w:lang w:val="en-US"/>
              </w:rPr>
              <w:t>1.1.12</w:t>
            </w:r>
          </w:p>
        </w:tc>
      </w:tr>
      <w:tr w:rsidR="00BE7F89" w:rsidRPr="00C07B2E" w14:paraId="7CADD319" w14:textId="77777777" w:rsidTr="005A428D">
        <w:trPr>
          <w:cantSplit/>
          <w:trHeight w:val="1020"/>
        </w:trPr>
        <w:tc>
          <w:tcPr>
            <w:tcW w:w="697" w:type="pct"/>
            <w:vMerge w:val="restart"/>
            <w:shd w:val="clear" w:color="auto" w:fill="BFBFBF"/>
            <w:vAlign w:val="center"/>
          </w:tcPr>
          <w:p w14:paraId="12806E0B" w14:textId="77777777" w:rsidR="00BE7F89" w:rsidRPr="00C07B2E" w:rsidRDefault="00BE7F89" w:rsidP="005A428D">
            <w:pPr>
              <w:rPr>
                <w:rFonts w:eastAsia="SimSun"/>
                <w:lang w:val="en-US"/>
              </w:rPr>
            </w:pPr>
            <w:r w:rsidRPr="00C07B2E">
              <w:rPr>
                <w:rFonts w:eastAsia="SimSun"/>
                <w:lang w:val="en-US"/>
              </w:rPr>
              <w:t>PT-Cy</w:t>
            </w:r>
          </w:p>
          <w:p w14:paraId="640A61D4" w14:textId="77777777" w:rsidR="00BE7F89" w:rsidRPr="00C07B2E" w:rsidRDefault="00BE7F89" w:rsidP="005A428D">
            <w:pPr>
              <w:rPr>
                <w:rFonts w:eastAsia="SimSun"/>
                <w:lang w:val="en-US"/>
              </w:rPr>
            </w:pPr>
          </w:p>
        </w:tc>
        <w:tc>
          <w:tcPr>
            <w:tcW w:w="283" w:type="pct"/>
            <w:shd w:val="clear" w:color="auto" w:fill="BFBFBF"/>
            <w:vAlign w:val="center"/>
          </w:tcPr>
          <w:p w14:paraId="7D57FDF2" w14:textId="77777777" w:rsidR="00BE7F89" w:rsidRPr="00C07B2E" w:rsidRDefault="00BE7F89" w:rsidP="005A428D">
            <w:pPr>
              <w:rPr>
                <w:rFonts w:eastAsia="SimSun"/>
                <w:lang w:val="en-US"/>
              </w:rPr>
            </w:pPr>
            <w:r w:rsidRPr="00C07B2E">
              <w:rPr>
                <w:rFonts w:eastAsia="SimSun"/>
                <w:lang w:val="en-US"/>
              </w:rPr>
              <w:t>-</w:t>
            </w:r>
          </w:p>
        </w:tc>
        <w:tc>
          <w:tcPr>
            <w:tcW w:w="428" w:type="pct"/>
            <w:shd w:val="clear" w:color="auto" w:fill="BFBFBF"/>
            <w:vAlign w:val="center"/>
          </w:tcPr>
          <w:p w14:paraId="33B61763" w14:textId="77777777" w:rsidR="00BE7F89" w:rsidRPr="00C07B2E" w:rsidRDefault="00BE7F89" w:rsidP="005A428D">
            <w:pPr>
              <w:rPr>
                <w:rFonts w:eastAsia="SimSun"/>
                <w:lang w:val="en-US"/>
              </w:rPr>
            </w:pPr>
            <w:r w:rsidRPr="00C07B2E">
              <w:rPr>
                <w:rFonts w:eastAsia="SimSun"/>
                <w:lang w:val="en-US"/>
              </w:rPr>
              <w:t>-</w:t>
            </w:r>
          </w:p>
        </w:tc>
        <w:tc>
          <w:tcPr>
            <w:tcW w:w="581" w:type="pct"/>
            <w:shd w:val="clear" w:color="auto" w:fill="auto"/>
            <w:vAlign w:val="center"/>
          </w:tcPr>
          <w:p w14:paraId="6BAC0F26" w14:textId="77777777" w:rsidR="00BE7F89" w:rsidRPr="00C07B2E" w:rsidRDefault="00BE7F89" w:rsidP="005A428D">
            <w:r w:rsidRPr="00C07B2E">
              <w:rPr>
                <w:rFonts w:eastAsia="SimSun"/>
              </w:rPr>
              <w:t>-</w:t>
            </w:r>
          </w:p>
        </w:tc>
        <w:tc>
          <w:tcPr>
            <w:tcW w:w="539" w:type="pct"/>
            <w:shd w:val="clear" w:color="auto" w:fill="auto"/>
            <w:vAlign w:val="center"/>
          </w:tcPr>
          <w:p w14:paraId="42CE0B02" w14:textId="77777777" w:rsidR="00BE7F89" w:rsidRPr="00C07B2E" w:rsidRDefault="00BE7F89" w:rsidP="005A428D">
            <w:r w:rsidRPr="00C07B2E">
              <w:rPr>
                <w:rFonts w:eastAsia="SimSun"/>
              </w:rPr>
              <w:t>-</w:t>
            </w:r>
          </w:p>
        </w:tc>
        <w:tc>
          <w:tcPr>
            <w:tcW w:w="600" w:type="pct"/>
            <w:shd w:val="clear" w:color="auto" w:fill="auto"/>
            <w:vAlign w:val="center"/>
          </w:tcPr>
          <w:p w14:paraId="75891C46" w14:textId="77777777" w:rsidR="00BE7F89" w:rsidRPr="00C07B2E" w:rsidRDefault="00BE7F89" w:rsidP="005A428D">
            <w:r w:rsidRPr="00C07B2E">
              <w:rPr>
                <w:rFonts w:eastAsia="SimSun"/>
              </w:rPr>
              <w:t>-</w:t>
            </w:r>
          </w:p>
        </w:tc>
        <w:tc>
          <w:tcPr>
            <w:tcW w:w="600" w:type="pct"/>
            <w:shd w:val="clear" w:color="auto" w:fill="auto"/>
            <w:vAlign w:val="center"/>
          </w:tcPr>
          <w:p w14:paraId="280E8D63" w14:textId="77777777" w:rsidR="00BE7F89" w:rsidRPr="00C07B2E" w:rsidRDefault="00BE7F89" w:rsidP="005A428D">
            <w:pPr>
              <w:rPr>
                <w:rFonts w:eastAsia="SimSun"/>
                <w:lang w:val="en-US"/>
              </w:rPr>
            </w:pPr>
            <w:r>
              <w:rPr>
                <w:rFonts w:eastAsia="SimSun"/>
                <w:lang w:val="en-US"/>
              </w:rPr>
              <w:t>5.</w:t>
            </w:r>
            <w:r w:rsidRPr="00C07B2E">
              <w:rPr>
                <w:rFonts w:eastAsia="SimSun"/>
                <w:lang w:val="en-US"/>
              </w:rPr>
              <w:t>1.1.5</w:t>
            </w:r>
          </w:p>
        </w:tc>
        <w:tc>
          <w:tcPr>
            <w:tcW w:w="600" w:type="pct"/>
            <w:shd w:val="clear" w:color="auto" w:fill="auto"/>
            <w:vAlign w:val="center"/>
          </w:tcPr>
          <w:p w14:paraId="5152CE6E" w14:textId="77777777" w:rsidR="00BE7F89" w:rsidRPr="00C07B2E" w:rsidRDefault="00BE7F89" w:rsidP="005A428D">
            <w:pPr>
              <w:rPr>
                <w:rFonts w:eastAsia="SimSun"/>
                <w:lang w:val="en-US"/>
              </w:rPr>
            </w:pPr>
            <w:r>
              <w:rPr>
                <w:rFonts w:eastAsia="SimSun"/>
                <w:lang w:val="en-US"/>
              </w:rPr>
              <w:t>5.</w:t>
            </w:r>
            <w:r w:rsidRPr="00C07B2E">
              <w:rPr>
                <w:rFonts w:eastAsia="SimSun"/>
                <w:lang w:val="en-US"/>
              </w:rPr>
              <w:t>1.1.8</w:t>
            </w:r>
          </w:p>
        </w:tc>
        <w:tc>
          <w:tcPr>
            <w:tcW w:w="672" w:type="pct"/>
            <w:shd w:val="clear" w:color="auto" w:fill="auto"/>
            <w:vAlign w:val="center"/>
          </w:tcPr>
          <w:p w14:paraId="70C62607" w14:textId="77777777" w:rsidR="00BE7F89" w:rsidRPr="00C07B2E" w:rsidRDefault="00BE7F89" w:rsidP="005A428D">
            <w:r w:rsidRPr="00C07B2E">
              <w:rPr>
                <w:rFonts w:eastAsia="SimSun"/>
              </w:rPr>
              <w:t>-</w:t>
            </w:r>
          </w:p>
        </w:tc>
      </w:tr>
      <w:tr w:rsidR="00BE7F89" w:rsidRPr="00C07B2E" w14:paraId="06D5AD3C" w14:textId="77777777" w:rsidTr="005A428D">
        <w:trPr>
          <w:cantSplit/>
          <w:trHeight w:val="1020"/>
        </w:trPr>
        <w:tc>
          <w:tcPr>
            <w:tcW w:w="697" w:type="pct"/>
            <w:vMerge/>
            <w:shd w:val="clear" w:color="auto" w:fill="BFBFBF"/>
            <w:vAlign w:val="center"/>
          </w:tcPr>
          <w:p w14:paraId="33887053" w14:textId="77777777" w:rsidR="00BE7F89" w:rsidRPr="00C07B2E" w:rsidRDefault="00BE7F89" w:rsidP="005A428D">
            <w:pPr>
              <w:rPr>
                <w:rFonts w:eastAsia="SimSun"/>
                <w:lang w:val="en-US"/>
              </w:rPr>
            </w:pPr>
          </w:p>
        </w:tc>
        <w:tc>
          <w:tcPr>
            <w:tcW w:w="283" w:type="pct"/>
            <w:vMerge w:val="restart"/>
            <w:shd w:val="clear" w:color="auto" w:fill="BFBFBF"/>
            <w:vAlign w:val="center"/>
          </w:tcPr>
          <w:p w14:paraId="1449FEF1" w14:textId="77777777" w:rsidR="00BE7F89" w:rsidRPr="00C07B2E" w:rsidRDefault="00BE7F89" w:rsidP="005A428D">
            <w:pPr>
              <w:rPr>
                <w:rFonts w:eastAsia="SimSun"/>
              </w:rPr>
            </w:pPr>
            <w:r w:rsidRPr="00C07B2E">
              <w:rPr>
                <w:rFonts w:eastAsia="SimSun"/>
                <w:lang w:val="en-US"/>
              </w:rPr>
              <w:t>CSA</w:t>
            </w:r>
          </w:p>
          <w:p w14:paraId="75C60E68" w14:textId="77777777" w:rsidR="00BE7F89" w:rsidRPr="00C07B2E" w:rsidRDefault="00BE7F89" w:rsidP="005A428D">
            <w:pPr>
              <w:rPr>
                <w:rFonts w:eastAsia="SimSun"/>
              </w:rPr>
            </w:pPr>
          </w:p>
        </w:tc>
        <w:tc>
          <w:tcPr>
            <w:tcW w:w="428" w:type="pct"/>
            <w:shd w:val="clear" w:color="auto" w:fill="BFBFBF"/>
            <w:vAlign w:val="center"/>
          </w:tcPr>
          <w:p w14:paraId="4A23A816" w14:textId="77777777" w:rsidR="00BE7F89" w:rsidRPr="00C07B2E" w:rsidRDefault="00BE7F89" w:rsidP="005A428D">
            <w:pPr>
              <w:rPr>
                <w:rFonts w:eastAsia="SimSun"/>
              </w:rPr>
            </w:pPr>
            <w:r w:rsidRPr="00C07B2E">
              <w:rPr>
                <w:rFonts w:eastAsia="SimSun"/>
                <w:lang w:val="en-US"/>
              </w:rPr>
              <w:t>MMF30</w:t>
            </w:r>
          </w:p>
        </w:tc>
        <w:tc>
          <w:tcPr>
            <w:tcW w:w="581" w:type="pct"/>
            <w:shd w:val="clear" w:color="auto" w:fill="auto"/>
            <w:vAlign w:val="center"/>
          </w:tcPr>
          <w:p w14:paraId="54F43B05" w14:textId="77777777" w:rsidR="00BE7F89" w:rsidRPr="00C07B2E" w:rsidRDefault="00BE7F89" w:rsidP="005A428D">
            <w:r w:rsidRPr="00C07B2E">
              <w:rPr>
                <w:rFonts w:eastAsia="SimSun"/>
              </w:rPr>
              <w:t>-</w:t>
            </w:r>
          </w:p>
        </w:tc>
        <w:tc>
          <w:tcPr>
            <w:tcW w:w="539" w:type="pct"/>
            <w:shd w:val="clear" w:color="auto" w:fill="auto"/>
            <w:vAlign w:val="center"/>
          </w:tcPr>
          <w:p w14:paraId="3888FF4A" w14:textId="77777777" w:rsidR="00BE7F89" w:rsidRPr="00C07B2E" w:rsidRDefault="00BE7F89" w:rsidP="005A428D">
            <w:r w:rsidRPr="00C07B2E">
              <w:rPr>
                <w:rFonts w:eastAsia="SimSun"/>
              </w:rPr>
              <w:t>-</w:t>
            </w:r>
          </w:p>
        </w:tc>
        <w:tc>
          <w:tcPr>
            <w:tcW w:w="600" w:type="pct"/>
            <w:shd w:val="clear" w:color="auto" w:fill="auto"/>
            <w:vAlign w:val="center"/>
          </w:tcPr>
          <w:p w14:paraId="7AB696DE" w14:textId="77777777" w:rsidR="00BE7F89" w:rsidRPr="00C07B2E" w:rsidRDefault="00BE7F89" w:rsidP="005A428D">
            <w:r w:rsidRPr="00C07B2E">
              <w:rPr>
                <w:rFonts w:eastAsia="SimSun"/>
              </w:rPr>
              <w:t>-</w:t>
            </w:r>
          </w:p>
        </w:tc>
        <w:tc>
          <w:tcPr>
            <w:tcW w:w="600" w:type="pct"/>
            <w:shd w:val="clear" w:color="auto" w:fill="auto"/>
            <w:vAlign w:val="center"/>
          </w:tcPr>
          <w:p w14:paraId="49C6AC72" w14:textId="77777777" w:rsidR="00BE7F89" w:rsidRPr="00C07B2E" w:rsidRDefault="00BE7F89" w:rsidP="005A428D">
            <w:pPr>
              <w:rPr>
                <w:rFonts w:eastAsia="SimSun"/>
                <w:lang w:val="en-US"/>
              </w:rPr>
            </w:pPr>
            <w:r>
              <w:rPr>
                <w:rFonts w:eastAsia="SimSun"/>
                <w:lang w:val="en-US"/>
              </w:rPr>
              <w:t>5.</w:t>
            </w:r>
            <w:r w:rsidRPr="00C07B2E">
              <w:rPr>
                <w:rFonts w:eastAsia="SimSun"/>
                <w:lang w:val="en-US"/>
              </w:rPr>
              <w:t>1.1.7</w:t>
            </w:r>
          </w:p>
        </w:tc>
        <w:tc>
          <w:tcPr>
            <w:tcW w:w="600" w:type="pct"/>
            <w:shd w:val="clear" w:color="auto" w:fill="auto"/>
            <w:vAlign w:val="center"/>
          </w:tcPr>
          <w:p w14:paraId="65D27D89" w14:textId="77777777" w:rsidR="00BE7F89" w:rsidRPr="00C07B2E" w:rsidRDefault="00BE7F89" w:rsidP="005A428D">
            <w:pPr>
              <w:rPr>
                <w:rFonts w:eastAsia="SimSun"/>
                <w:lang w:val="en-US"/>
              </w:rPr>
            </w:pPr>
            <w:r>
              <w:rPr>
                <w:rFonts w:eastAsia="SimSun"/>
                <w:lang w:val="en-US"/>
              </w:rPr>
              <w:t>5.</w:t>
            </w:r>
            <w:r w:rsidRPr="00C07B2E">
              <w:rPr>
                <w:rFonts w:eastAsia="SimSun"/>
                <w:lang w:val="en-US"/>
              </w:rPr>
              <w:t>1.1.10</w:t>
            </w:r>
          </w:p>
        </w:tc>
        <w:tc>
          <w:tcPr>
            <w:tcW w:w="672" w:type="pct"/>
            <w:shd w:val="clear" w:color="auto" w:fill="auto"/>
            <w:vAlign w:val="center"/>
          </w:tcPr>
          <w:p w14:paraId="5726CEBB" w14:textId="77777777" w:rsidR="00BE7F89" w:rsidRPr="00C07B2E" w:rsidRDefault="00BE7F89" w:rsidP="005A428D">
            <w:r w:rsidRPr="00C07B2E">
              <w:rPr>
                <w:rFonts w:eastAsia="SimSun"/>
              </w:rPr>
              <w:t>-</w:t>
            </w:r>
          </w:p>
        </w:tc>
      </w:tr>
      <w:tr w:rsidR="00BE7F89" w:rsidRPr="00C07B2E" w14:paraId="0888285A" w14:textId="77777777" w:rsidTr="005A428D">
        <w:trPr>
          <w:cantSplit/>
          <w:trHeight w:val="1020"/>
        </w:trPr>
        <w:tc>
          <w:tcPr>
            <w:tcW w:w="697" w:type="pct"/>
            <w:vMerge/>
            <w:shd w:val="clear" w:color="auto" w:fill="BFBFBF"/>
            <w:vAlign w:val="center"/>
          </w:tcPr>
          <w:p w14:paraId="4E638D58" w14:textId="77777777" w:rsidR="00BE7F89" w:rsidRPr="00C07B2E" w:rsidRDefault="00BE7F89" w:rsidP="005A428D">
            <w:pPr>
              <w:rPr>
                <w:rFonts w:eastAsia="SimSun"/>
                <w:lang w:val="en-US"/>
              </w:rPr>
            </w:pPr>
          </w:p>
        </w:tc>
        <w:tc>
          <w:tcPr>
            <w:tcW w:w="283" w:type="pct"/>
            <w:vMerge/>
            <w:shd w:val="clear" w:color="auto" w:fill="BFBFBF"/>
            <w:vAlign w:val="center"/>
          </w:tcPr>
          <w:p w14:paraId="5C324BCC" w14:textId="77777777" w:rsidR="00BE7F89" w:rsidRPr="00C07B2E" w:rsidRDefault="00BE7F89" w:rsidP="005A428D">
            <w:pPr>
              <w:rPr>
                <w:rFonts w:eastAsia="SimSun"/>
                <w:lang w:val="en-US"/>
              </w:rPr>
            </w:pPr>
          </w:p>
        </w:tc>
        <w:tc>
          <w:tcPr>
            <w:tcW w:w="428" w:type="pct"/>
            <w:shd w:val="clear" w:color="auto" w:fill="BFBFBF"/>
            <w:vAlign w:val="center"/>
          </w:tcPr>
          <w:p w14:paraId="1092C15B" w14:textId="77777777" w:rsidR="00BE7F89" w:rsidRPr="00C07B2E" w:rsidRDefault="00BE7F89" w:rsidP="005A428D">
            <w:pPr>
              <w:rPr>
                <w:rFonts w:eastAsia="SimSun"/>
                <w:lang w:val="en-US"/>
              </w:rPr>
            </w:pPr>
            <w:r w:rsidRPr="00C07B2E">
              <w:rPr>
                <w:rFonts w:eastAsia="SimSun"/>
                <w:lang w:val="en-US"/>
              </w:rPr>
              <w:t>MMF45</w:t>
            </w:r>
          </w:p>
        </w:tc>
        <w:tc>
          <w:tcPr>
            <w:tcW w:w="581" w:type="pct"/>
            <w:shd w:val="clear" w:color="auto" w:fill="auto"/>
            <w:vAlign w:val="center"/>
          </w:tcPr>
          <w:p w14:paraId="69107747" w14:textId="77777777" w:rsidR="00BE7F89" w:rsidRPr="00C07B2E" w:rsidRDefault="00BE7F89" w:rsidP="005A428D">
            <w:r w:rsidRPr="00C07B2E">
              <w:rPr>
                <w:rFonts w:eastAsia="SimSun"/>
              </w:rPr>
              <w:t>-</w:t>
            </w:r>
          </w:p>
        </w:tc>
        <w:tc>
          <w:tcPr>
            <w:tcW w:w="539" w:type="pct"/>
            <w:shd w:val="clear" w:color="auto" w:fill="auto"/>
            <w:vAlign w:val="center"/>
          </w:tcPr>
          <w:p w14:paraId="37BCD9FA" w14:textId="77777777" w:rsidR="00BE7F89" w:rsidRPr="00C07B2E" w:rsidRDefault="00BE7F89" w:rsidP="005A428D">
            <w:r w:rsidRPr="00C07B2E">
              <w:rPr>
                <w:rFonts w:eastAsia="SimSun"/>
              </w:rPr>
              <w:t>-</w:t>
            </w:r>
          </w:p>
        </w:tc>
        <w:tc>
          <w:tcPr>
            <w:tcW w:w="600" w:type="pct"/>
            <w:shd w:val="clear" w:color="auto" w:fill="auto"/>
            <w:vAlign w:val="center"/>
          </w:tcPr>
          <w:p w14:paraId="630316F9" w14:textId="77777777" w:rsidR="00BE7F89" w:rsidRPr="00C07B2E" w:rsidRDefault="00BE7F89" w:rsidP="005A428D">
            <w:pPr>
              <w:rPr>
                <w:rFonts w:eastAsia="SimSun"/>
                <w:lang w:val="en-US"/>
              </w:rPr>
            </w:pPr>
            <w:r>
              <w:rPr>
                <w:rFonts w:eastAsia="SimSun"/>
              </w:rPr>
              <w:t>5.</w:t>
            </w:r>
            <w:r w:rsidRPr="00C07B2E">
              <w:rPr>
                <w:rFonts w:eastAsia="SimSun"/>
              </w:rPr>
              <w:t>1.1.</w:t>
            </w:r>
            <w:r w:rsidRPr="00C07B2E">
              <w:rPr>
                <w:rFonts w:eastAsia="SimSun"/>
                <w:lang w:val="en-US"/>
              </w:rPr>
              <w:t>3</w:t>
            </w:r>
          </w:p>
        </w:tc>
        <w:tc>
          <w:tcPr>
            <w:tcW w:w="600" w:type="pct"/>
            <w:shd w:val="clear" w:color="auto" w:fill="auto"/>
            <w:vAlign w:val="center"/>
          </w:tcPr>
          <w:p w14:paraId="08952F6B" w14:textId="77777777" w:rsidR="00BE7F89" w:rsidRPr="00C07B2E" w:rsidRDefault="00BE7F89" w:rsidP="005A428D">
            <w:r w:rsidRPr="00C07B2E">
              <w:rPr>
                <w:rFonts w:eastAsia="SimSun"/>
              </w:rPr>
              <w:t>-</w:t>
            </w:r>
          </w:p>
        </w:tc>
        <w:tc>
          <w:tcPr>
            <w:tcW w:w="600" w:type="pct"/>
            <w:shd w:val="clear" w:color="auto" w:fill="auto"/>
            <w:vAlign w:val="center"/>
          </w:tcPr>
          <w:p w14:paraId="5E48D0FE" w14:textId="77777777" w:rsidR="00BE7F89" w:rsidRPr="00C07B2E" w:rsidRDefault="00BE7F89" w:rsidP="005A428D">
            <w:r w:rsidRPr="00C07B2E">
              <w:rPr>
                <w:rFonts w:eastAsia="SimSun"/>
              </w:rPr>
              <w:t>-</w:t>
            </w:r>
          </w:p>
        </w:tc>
        <w:tc>
          <w:tcPr>
            <w:tcW w:w="672" w:type="pct"/>
            <w:shd w:val="clear" w:color="auto" w:fill="auto"/>
            <w:vAlign w:val="center"/>
          </w:tcPr>
          <w:p w14:paraId="2A869829" w14:textId="77777777" w:rsidR="00BE7F89" w:rsidRPr="00C07B2E" w:rsidRDefault="00BE7F89" w:rsidP="005A428D">
            <w:r w:rsidRPr="00C07B2E">
              <w:rPr>
                <w:rFonts w:eastAsia="SimSun"/>
              </w:rPr>
              <w:t>-</w:t>
            </w:r>
          </w:p>
        </w:tc>
      </w:tr>
      <w:tr w:rsidR="00BE7F89" w:rsidRPr="00C07B2E" w14:paraId="28DFC0F9" w14:textId="77777777" w:rsidTr="005A428D">
        <w:trPr>
          <w:cantSplit/>
          <w:trHeight w:val="1020"/>
        </w:trPr>
        <w:tc>
          <w:tcPr>
            <w:tcW w:w="697" w:type="pct"/>
            <w:vMerge/>
            <w:shd w:val="clear" w:color="auto" w:fill="BFBFBF"/>
            <w:vAlign w:val="center"/>
          </w:tcPr>
          <w:p w14:paraId="6A80B4CC" w14:textId="77777777" w:rsidR="00BE7F89" w:rsidRPr="00C07B2E" w:rsidRDefault="00BE7F89" w:rsidP="005A428D">
            <w:pPr>
              <w:rPr>
                <w:rFonts w:eastAsia="SimSun"/>
                <w:lang w:val="en-US"/>
              </w:rPr>
            </w:pPr>
          </w:p>
        </w:tc>
        <w:tc>
          <w:tcPr>
            <w:tcW w:w="283" w:type="pct"/>
            <w:shd w:val="clear" w:color="auto" w:fill="BFBFBF"/>
            <w:vAlign w:val="center"/>
          </w:tcPr>
          <w:p w14:paraId="66A4E779" w14:textId="77777777" w:rsidR="00BE7F89" w:rsidRPr="00C07B2E" w:rsidRDefault="00BE7F89" w:rsidP="005A428D">
            <w:pPr>
              <w:rPr>
                <w:rFonts w:eastAsia="SimSun"/>
                <w:lang w:val="en-US"/>
              </w:rPr>
            </w:pPr>
            <w:r w:rsidRPr="00C07B2E">
              <w:rPr>
                <w:rFonts w:eastAsia="SimSun"/>
                <w:lang w:val="en-US"/>
              </w:rPr>
              <w:t>Tx</w:t>
            </w:r>
          </w:p>
        </w:tc>
        <w:tc>
          <w:tcPr>
            <w:tcW w:w="428" w:type="pct"/>
            <w:shd w:val="clear" w:color="auto" w:fill="BFBFBF"/>
            <w:vAlign w:val="center"/>
          </w:tcPr>
          <w:p w14:paraId="5F510657" w14:textId="77777777" w:rsidR="00BE7F89" w:rsidRPr="00C07B2E" w:rsidRDefault="00BE7F89" w:rsidP="005A428D">
            <w:pPr>
              <w:rPr>
                <w:rFonts w:eastAsia="SimSun"/>
                <w:lang w:val="en-US"/>
              </w:rPr>
            </w:pPr>
            <w:r w:rsidRPr="00C07B2E">
              <w:rPr>
                <w:rFonts w:eastAsia="SimSun"/>
                <w:lang w:val="en-US"/>
              </w:rPr>
              <w:t>MMF30</w:t>
            </w:r>
          </w:p>
        </w:tc>
        <w:tc>
          <w:tcPr>
            <w:tcW w:w="581" w:type="pct"/>
            <w:shd w:val="clear" w:color="auto" w:fill="auto"/>
            <w:vAlign w:val="center"/>
          </w:tcPr>
          <w:p w14:paraId="426D1B56" w14:textId="77777777" w:rsidR="00BE7F89" w:rsidRPr="00C07B2E" w:rsidRDefault="00BE7F89" w:rsidP="005A428D">
            <w:r w:rsidRPr="00C07B2E">
              <w:rPr>
                <w:rFonts w:eastAsia="SimSun"/>
              </w:rPr>
              <w:t>-</w:t>
            </w:r>
          </w:p>
        </w:tc>
        <w:tc>
          <w:tcPr>
            <w:tcW w:w="539" w:type="pct"/>
            <w:shd w:val="clear" w:color="auto" w:fill="auto"/>
            <w:vAlign w:val="center"/>
          </w:tcPr>
          <w:p w14:paraId="6EBE8303" w14:textId="77777777" w:rsidR="00BE7F89" w:rsidRPr="00C07B2E" w:rsidRDefault="00BE7F89" w:rsidP="005A428D">
            <w:r w:rsidRPr="00C07B2E">
              <w:rPr>
                <w:rFonts w:eastAsia="SimSun"/>
              </w:rPr>
              <w:t>-</w:t>
            </w:r>
          </w:p>
        </w:tc>
        <w:tc>
          <w:tcPr>
            <w:tcW w:w="600" w:type="pct"/>
            <w:shd w:val="clear" w:color="auto" w:fill="auto"/>
            <w:vAlign w:val="center"/>
          </w:tcPr>
          <w:p w14:paraId="1DB502F4" w14:textId="77777777" w:rsidR="00BE7F89" w:rsidRPr="00C07B2E" w:rsidRDefault="00BE7F89" w:rsidP="005A428D">
            <w:r w:rsidRPr="00C07B2E">
              <w:rPr>
                <w:rFonts w:eastAsia="SimSun"/>
              </w:rPr>
              <w:t>-</w:t>
            </w:r>
          </w:p>
        </w:tc>
        <w:tc>
          <w:tcPr>
            <w:tcW w:w="600" w:type="pct"/>
            <w:shd w:val="clear" w:color="auto" w:fill="auto"/>
            <w:vAlign w:val="center"/>
          </w:tcPr>
          <w:p w14:paraId="443EFDAB" w14:textId="77777777" w:rsidR="00BE7F89" w:rsidRPr="00C07B2E" w:rsidRDefault="00BE7F89" w:rsidP="005A428D">
            <w:pPr>
              <w:rPr>
                <w:rFonts w:eastAsia="SimSun"/>
              </w:rPr>
            </w:pPr>
            <w:r>
              <w:rPr>
                <w:rFonts w:eastAsia="SimSun"/>
                <w:lang w:val="en-US"/>
              </w:rPr>
              <w:t>5.</w:t>
            </w:r>
            <w:r w:rsidRPr="00C07B2E">
              <w:rPr>
                <w:rFonts w:eastAsia="SimSun"/>
                <w:lang w:val="en-US"/>
              </w:rPr>
              <w:t>1.1.6</w:t>
            </w:r>
          </w:p>
        </w:tc>
        <w:tc>
          <w:tcPr>
            <w:tcW w:w="600" w:type="pct"/>
            <w:shd w:val="clear" w:color="auto" w:fill="auto"/>
            <w:vAlign w:val="center"/>
          </w:tcPr>
          <w:p w14:paraId="3F965759" w14:textId="77777777" w:rsidR="00BE7F89" w:rsidRPr="00C07B2E" w:rsidRDefault="00BE7F89" w:rsidP="005A428D">
            <w:pPr>
              <w:rPr>
                <w:rFonts w:eastAsia="SimSun"/>
                <w:lang w:val="en-US"/>
              </w:rPr>
            </w:pPr>
            <w:r>
              <w:rPr>
                <w:rFonts w:eastAsia="SimSun"/>
                <w:lang w:val="en-US"/>
              </w:rPr>
              <w:t>5.</w:t>
            </w:r>
            <w:r w:rsidRPr="00C07B2E">
              <w:rPr>
                <w:rFonts w:eastAsia="SimSun"/>
                <w:lang w:val="en-US"/>
              </w:rPr>
              <w:t>1.1.9</w:t>
            </w:r>
          </w:p>
        </w:tc>
        <w:tc>
          <w:tcPr>
            <w:tcW w:w="672" w:type="pct"/>
            <w:shd w:val="clear" w:color="auto" w:fill="auto"/>
            <w:vAlign w:val="center"/>
          </w:tcPr>
          <w:p w14:paraId="05A1BD17" w14:textId="77777777" w:rsidR="00BE7F89" w:rsidRPr="00C07B2E" w:rsidRDefault="00BE7F89" w:rsidP="005A428D">
            <w:r w:rsidRPr="00C07B2E">
              <w:rPr>
                <w:rFonts w:eastAsia="SimSun"/>
              </w:rPr>
              <w:t>-</w:t>
            </w:r>
          </w:p>
        </w:tc>
      </w:tr>
    </w:tbl>
    <w:p w14:paraId="2AFACAFA" w14:textId="77777777" w:rsidR="00BE7F89" w:rsidRPr="00C07B2E" w:rsidRDefault="00BE7F89" w:rsidP="00BE7F89">
      <w:pPr>
        <w:rPr>
          <w:rFonts w:eastAsia="SimSun"/>
        </w:rPr>
        <w:sectPr w:rsidR="00BE7F89" w:rsidRPr="00C07B2E" w:rsidSect="00980822">
          <w:type w:val="continuous"/>
          <w:pgSz w:w="16839" w:h="11907" w:orient="landscape" w:code="9"/>
          <w:pgMar w:top="1134" w:right="850" w:bottom="1134" w:left="1701" w:header="709" w:footer="567" w:gutter="0"/>
          <w:cols w:space="708"/>
          <w:docGrid w:linePitch="360"/>
        </w:sectPr>
      </w:pPr>
    </w:p>
    <w:p w14:paraId="7249AD56" w14:textId="77777777" w:rsidR="00BE7F89" w:rsidRPr="00C07B2E" w:rsidRDefault="00BE7F89" w:rsidP="00BE7F89">
      <w:pPr>
        <w:rPr>
          <w:rFonts w:eastAsia="SimSun"/>
        </w:rPr>
      </w:pPr>
      <w:bookmarkStart w:id="134" w:name="_Toc44401144"/>
      <w:r>
        <w:rPr>
          <w:rFonts w:eastAsia="SimSun"/>
        </w:rPr>
        <w:t>Таблица</w:t>
      </w:r>
      <w:r w:rsidRPr="00C07B2E">
        <w:rPr>
          <w:rFonts w:eastAsia="SimSun"/>
        </w:rPr>
        <w:t xml:space="preserve"> </w:t>
      </w:r>
      <w:r>
        <w:rPr>
          <w:rFonts w:eastAsia="SimSun"/>
        </w:rPr>
        <w:t>5</w:t>
      </w:r>
      <w:r w:rsidRPr="00C07B2E">
        <w:rPr>
          <w:rFonts w:eastAsia="SimSun"/>
        </w:rPr>
        <w:t>.1.1.1 – Bu12+Cy120 / CSA+MTX</w:t>
      </w:r>
      <w:bookmarkEnd w:id="134"/>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BE7F89" w:rsidRPr="00C07B2E" w14:paraId="5B43EA0A" w14:textId="77777777" w:rsidTr="005A428D">
        <w:trPr>
          <w:cantSplit/>
          <w:trHeight w:val="20"/>
          <w:tblHeader/>
        </w:trPr>
        <w:tc>
          <w:tcPr>
            <w:tcW w:w="709" w:type="dxa"/>
            <w:vAlign w:val="center"/>
          </w:tcPr>
          <w:p w14:paraId="0F8BB840" w14:textId="77777777" w:rsidR="00BE7F89" w:rsidRPr="00C07B2E" w:rsidRDefault="00BE7F89" w:rsidP="005A428D">
            <w:pPr>
              <w:ind w:left="57" w:right="57"/>
              <w:rPr>
                <w:rFonts w:eastAsia="SimSun"/>
              </w:rPr>
            </w:pPr>
            <w:bookmarkStart w:id="135" w:name="_Hlk513908710"/>
          </w:p>
        </w:tc>
        <w:tc>
          <w:tcPr>
            <w:tcW w:w="1843" w:type="dxa"/>
            <w:vAlign w:val="center"/>
          </w:tcPr>
          <w:p w14:paraId="7E283A66" w14:textId="77777777" w:rsidR="00BE7F89" w:rsidRPr="00C07B2E" w:rsidRDefault="00BE7F89" w:rsidP="005A428D">
            <w:pPr>
              <w:ind w:left="57" w:right="57"/>
              <w:rPr>
                <w:rFonts w:eastAsia="SimSun"/>
              </w:rPr>
            </w:pPr>
            <w:r w:rsidRPr="00C07B2E">
              <w:rPr>
                <w:rFonts w:eastAsia="SimSun"/>
              </w:rPr>
              <w:t>Препарат</w:t>
            </w:r>
          </w:p>
        </w:tc>
        <w:tc>
          <w:tcPr>
            <w:tcW w:w="1417" w:type="dxa"/>
            <w:vAlign w:val="center"/>
          </w:tcPr>
          <w:p w14:paraId="68556260" w14:textId="77777777" w:rsidR="00BE7F89" w:rsidRPr="00C07B2E" w:rsidRDefault="00BE7F89" w:rsidP="005A428D">
            <w:pPr>
              <w:ind w:left="57" w:right="57"/>
              <w:rPr>
                <w:rFonts w:eastAsia="SimSun"/>
              </w:rPr>
            </w:pPr>
            <w:r w:rsidRPr="00C07B2E">
              <w:rPr>
                <w:rFonts w:eastAsia="SimSun"/>
              </w:rPr>
              <w:t>Суточная доза</w:t>
            </w:r>
          </w:p>
        </w:tc>
        <w:tc>
          <w:tcPr>
            <w:tcW w:w="1418" w:type="dxa"/>
            <w:vAlign w:val="center"/>
          </w:tcPr>
          <w:p w14:paraId="2EABD884" w14:textId="77777777" w:rsidR="00BE7F89" w:rsidRPr="00C07B2E" w:rsidRDefault="00BE7F89" w:rsidP="005A428D">
            <w:pPr>
              <w:ind w:left="57" w:right="57"/>
              <w:rPr>
                <w:rFonts w:eastAsia="SimSun"/>
              </w:rPr>
            </w:pPr>
            <w:r w:rsidRPr="00C07B2E">
              <w:rPr>
                <w:rFonts w:eastAsia="SimSun"/>
              </w:rPr>
              <w:t>Курсовая доза</w:t>
            </w:r>
          </w:p>
        </w:tc>
        <w:tc>
          <w:tcPr>
            <w:tcW w:w="1701" w:type="dxa"/>
            <w:vAlign w:val="center"/>
          </w:tcPr>
          <w:p w14:paraId="119DF90D" w14:textId="77777777" w:rsidR="00BE7F89" w:rsidRPr="00C07B2E" w:rsidRDefault="00BE7F89" w:rsidP="005A428D">
            <w:pPr>
              <w:ind w:left="57" w:right="57"/>
              <w:rPr>
                <w:rFonts w:eastAsia="SimSun"/>
              </w:rPr>
            </w:pPr>
            <w:r w:rsidRPr="00C07B2E">
              <w:rPr>
                <w:rFonts w:eastAsia="SimSun"/>
              </w:rPr>
              <w:t>Дни введения</w:t>
            </w:r>
          </w:p>
        </w:tc>
        <w:tc>
          <w:tcPr>
            <w:tcW w:w="2268" w:type="dxa"/>
            <w:vAlign w:val="center"/>
          </w:tcPr>
          <w:p w14:paraId="74682AEE" w14:textId="77777777" w:rsidR="00BE7F89" w:rsidRPr="00C07B2E" w:rsidRDefault="00BE7F89" w:rsidP="005A428D">
            <w:pPr>
              <w:ind w:left="57" w:right="57"/>
              <w:rPr>
                <w:rFonts w:eastAsia="SimSun"/>
              </w:rPr>
            </w:pPr>
            <w:r w:rsidRPr="00C07B2E">
              <w:rPr>
                <w:rFonts w:eastAsia="SimSun"/>
              </w:rPr>
              <w:t>Порядок введения</w:t>
            </w:r>
          </w:p>
        </w:tc>
      </w:tr>
      <w:tr w:rsidR="00BE7F89" w:rsidRPr="00C07B2E" w14:paraId="1BB2B93F" w14:textId="77777777" w:rsidTr="005A428D">
        <w:trPr>
          <w:cantSplit/>
          <w:trHeight w:val="20"/>
        </w:trPr>
        <w:tc>
          <w:tcPr>
            <w:tcW w:w="709" w:type="dxa"/>
            <w:vMerge w:val="restart"/>
            <w:textDirection w:val="btLr"/>
            <w:vAlign w:val="center"/>
          </w:tcPr>
          <w:p w14:paraId="57766BF4" w14:textId="77777777" w:rsidR="00BE7F89" w:rsidRPr="00C07B2E" w:rsidRDefault="00BE7F89" w:rsidP="005A428D">
            <w:pPr>
              <w:ind w:left="57" w:right="57"/>
              <w:rPr>
                <w:rFonts w:eastAsia="SimSun"/>
              </w:rPr>
            </w:pPr>
            <w:r w:rsidRPr="00C07B2E">
              <w:rPr>
                <w:rFonts w:eastAsia="SimSun"/>
              </w:rPr>
              <w:t>Кондиционирование</w:t>
            </w:r>
          </w:p>
        </w:tc>
        <w:tc>
          <w:tcPr>
            <w:tcW w:w="1843" w:type="dxa"/>
            <w:vAlign w:val="center"/>
          </w:tcPr>
          <w:p w14:paraId="7518662D" w14:textId="77777777" w:rsidR="00BE7F89" w:rsidRPr="00C07B2E" w:rsidRDefault="00BE7F89" w:rsidP="005A428D">
            <w:pPr>
              <w:ind w:left="57" w:right="57"/>
              <w:rPr>
                <w:rFonts w:eastAsia="SimSun"/>
              </w:rPr>
            </w:pPr>
            <w:r w:rsidRPr="00C07B2E">
              <w:rPr>
                <w:rFonts w:eastAsia="SimSun"/>
              </w:rPr>
              <w:t>Бусульфан</w:t>
            </w:r>
          </w:p>
        </w:tc>
        <w:tc>
          <w:tcPr>
            <w:tcW w:w="1417" w:type="dxa"/>
            <w:vAlign w:val="center"/>
          </w:tcPr>
          <w:p w14:paraId="4414B3D3" w14:textId="77777777" w:rsidR="00BE7F89" w:rsidRPr="00C07B2E" w:rsidRDefault="00BE7F89" w:rsidP="005A428D">
            <w:pPr>
              <w:ind w:left="57" w:right="57"/>
              <w:rPr>
                <w:rFonts w:eastAsia="SimSun"/>
              </w:rPr>
            </w:pPr>
            <w:r w:rsidRPr="00C07B2E">
              <w:rPr>
                <w:rFonts w:eastAsia="SimSun"/>
              </w:rPr>
              <w:t>4 мг/кг</w:t>
            </w:r>
          </w:p>
        </w:tc>
        <w:tc>
          <w:tcPr>
            <w:tcW w:w="1418" w:type="dxa"/>
            <w:vAlign w:val="center"/>
          </w:tcPr>
          <w:p w14:paraId="694379A5" w14:textId="77777777" w:rsidR="00BE7F89" w:rsidRPr="00C07B2E" w:rsidRDefault="00BE7F89" w:rsidP="005A428D">
            <w:pPr>
              <w:ind w:left="57" w:right="57"/>
              <w:rPr>
                <w:rFonts w:eastAsia="SimSun"/>
              </w:rPr>
            </w:pPr>
            <w:r w:rsidRPr="00C07B2E">
              <w:rPr>
                <w:rFonts w:eastAsia="SimSun"/>
                <w:lang w:val="en-US"/>
              </w:rPr>
              <w:t>12</w:t>
            </w:r>
            <w:r w:rsidRPr="00C07B2E">
              <w:rPr>
                <w:rFonts w:eastAsia="SimSun"/>
              </w:rPr>
              <w:t xml:space="preserve"> мг/кг</w:t>
            </w:r>
          </w:p>
        </w:tc>
        <w:tc>
          <w:tcPr>
            <w:tcW w:w="1701" w:type="dxa"/>
            <w:vAlign w:val="center"/>
          </w:tcPr>
          <w:p w14:paraId="5C9EA088" w14:textId="77777777" w:rsidR="00BE7F89" w:rsidRPr="00C07B2E" w:rsidRDefault="00BE7F89" w:rsidP="005A428D">
            <w:pPr>
              <w:ind w:left="57" w:right="57"/>
              <w:rPr>
                <w:rFonts w:eastAsia="SimSun"/>
              </w:rPr>
            </w:pPr>
            <w:r w:rsidRPr="00C07B2E">
              <w:rPr>
                <w:rFonts w:eastAsia="SimSun"/>
                <w:lang w:val="en-US"/>
              </w:rPr>
              <w:t>C</w:t>
            </w:r>
            <w:r w:rsidRPr="00C07B2E">
              <w:rPr>
                <w:rFonts w:eastAsia="SimSun"/>
              </w:rPr>
              <w:t xml:space="preserve"> –6 по –4 день </w:t>
            </w:r>
          </w:p>
        </w:tc>
        <w:tc>
          <w:tcPr>
            <w:tcW w:w="2268" w:type="dxa"/>
            <w:vAlign w:val="center"/>
          </w:tcPr>
          <w:p w14:paraId="4C816955" w14:textId="77777777" w:rsidR="00BE7F89" w:rsidRPr="00985050" w:rsidRDefault="00BE7F89" w:rsidP="005A428D">
            <w:pPr>
              <w:ind w:left="57" w:right="57"/>
              <w:rPr>
                <w:rFonts w:eastAsia="SimSun"/>
              </w:rPr>
            </w:pPr>
            <w:r w:rsidRPr="00985050">
              <w:rPr>
                <w:rFonts w:eastAsia="SimSun"/>
              </w:rPr>
              <w:t>Внутрь, суммарная суточная доза разделяется на 4 приема с интервалом 6 часов.</w:t>
            </w:r>
          </w:p>
        </w:tc>
      </w:tr>
      <w:tr w:rsidR="00BE7F89" w:rsidRPr="00C07B2E" w14:paraId="6014CB21" w14:textId="77777777" w:rsidTr="005A428D">
        <w:trPr>
          <w:cantSplit/>
          <w:trHeight w:val="1207"/>
        </w:trPr>
        <w:tc>
          <w:tcPr>
            <w:tcW w:w="709" w:type="dxa"/>
            <w:vMerge/>
            <w:vAlign w:val="center"/>
          </w:tcPr>
          <w:p w14:paraId="327977C9" w14:textId="77777777" w:rsidR="00BE7F89" w:rsidRPr="00985050" w:rsidRDefault="00BE7F89" w:rsidP="005A428D">
            <w:pPr>
              <w:ind w:left="57" w:right="57"/>
              <w:rPr>
                <w:rFonts w:eastAsia="SimSun"/>
              </w:rPr>
            </w:pPr>
          </w:p>
        </w:tc>
        <w:tc>
          <w:tcPr>
            <w:tcW w:w="1843" w:type="dxa"/>
            <w:vAlign w:val="center"/>
          </w:tcPr>
          <w:p w14:paraId="78F521F3" w14:textId="77777777" w:rsidR="00BE7F89" w:rsidRPr="00C07B2E" w:rsidRDefault="00BE7F89" w:rsidP="005A428D">
            <w:pPr>
              <w:ind w:left="57" w:right="57"/>
              <w:rPr>
                <w:rFonts w:eastAsia="SimSun"/>
              </w:rPr>
            </w:pPr>
            <w:r w:rsidRPr="00C07B2E">
              <w:rPr>
                <w:rFonts w:eastAsia="SimSun"/>
              </w:rPr>
              <w:t>Циклофосфамид</w:t>
            </w:r>
          </w:p>
        </w:tc>
        <w:tc>
          <w:tcPr>
            <w:tcW w:w="1417" w:type="dxa"/>
            <w:vAlign w:val="center"/>
          </w:tcPr>
          <w:p w14:paraId="6F244F80" w14:textId="77777777" w:rsidR="00BE7F89" w:rsidRPr="00C07B2E" w:rsidRDefault="00BE7F89" w:rsidP="005A428D">
            <w:pPr>
              <w:ind w:left="57" w:right="57"/>
              <w:rPr>
                <w:rFonts w:eastAsia="SimSun"/>
              </w:rPr>
            </w:pPr>
            <w:r w:rsidRPr="00C07B2E">
              <w:rPr>
                <w:rFonts w:eastAsia="SimSun"/>
              </w:rPr>
              <w:t>60 мг/кг</w:t>
            </w:r>
          </w:p>
        </w:tc>
        <w:tc>
          <w:tcPr>
            <w:tcW w:w="1418" w:type="dxa"/>
            <w:vAlign w:val="center"/>
          </w:tcPr>
          <w:p w14:paraId="5F0AD4D0" w14:textId="77777777" w:rsidR="00BE7F89" w:rsidRPr="00C07B2E" w:rsidRDefault="00BE7F89" w:rsidP="005A428D">
            <w:pPr>
              <w:ind w:left="57" w:right="57"/>
              <w:rPr>
                <w:rFonts w:eastAsia="SimSun"/>
              </w:rPr>
            </w:pPr>
            <w:r w:rsidRPr="00C07B2E">
              <w:rPr>
                <w:rFonts w:eastAsia="SimSun"/>
              </w:rPr>
              <w:t>120 мг/кг</w:t>
            </w:r>
          </w:p>
        </w:tc>
        <w:tc>
          <w:tcPr>
            <w:tcW w:w="1701" w:type="dxa"/>
            <w:vAlign w:val="center"/>
          </w:tcPr>
          <w:p w14:paraId="3D931E62" w14:textId="77777777" w:rsidR="00BE7F89" w:rsidRPr="00C07B2E" w:rsidRDefault="00BE7F89" w:rsidP="005A428D">
            <w:pPr>
              <w:ind w:left="57" w:right="57"/>
              <w:rPr>
                <w:rFonts w:eastAsia="SimSun"/>
              </w:rPr>
            </w:pPr>
            <w:r w:rsidRPr="00C07B2E">
              <w:rPr>
                <w:rFonts w:eastAsia="SimSun"/>
                <w:lang w:val="en-US"/>
              </w:rPr>
              <w:t>–3, –2 дни</w:t>
            </w:r>
            <w:r w:rsidRPr="00C07B2E">
              <w:rPr>
                <w:rFonts w:eastAsia="SimSun"/>
              </w:rPr>
              <w:t xml:space="preserve"> </w:t>
            </w:r>
          </w:p>
        </w:tc>
        <w:tc>
          <w:tcPr>
            <w:tcW w:w="2268" w:type="dxa"/>
            <w:vAlign w:val="center"/>
          </w:tcPr>
          <w:p w14:paraId="500161E1" w14:textId="77777777" w:rsidR="00BE7F89" w:rsidRPr="00985050" w:rsidRDefault="00BE7F89" w:rsidP="005A428D">
            <w:pPr>
              <w:ind w:left="57" w:right="57"/>
              <w:rPr>
                <w:rFonts w:eastAsia="SimSun"/>
              </w:rPr>
            </w:pPr>
            <w:r w:rsidRPr="00985050">
              <w:rPr>
                <w:rFonts w:eastAsia="SimSun"/>
              </w:rPr>
              <w:t xml:space="preserve">В/в, в течение 2 ч  </w:t>
            </w:r>
          </w:p>
        </w:tc>
      </w:tr>
      <w:tr w:rsidR="00BE7F89" w:rsidRPr="00C07B2E" w14:paraId="2893B916" w14:textId="77777777" w:rsidTr="005A428D">
        <w:trPr>
          <w:cantSplit/>
          <w:trHeight w:val="20"/>
        </w:trPr>
        <w:tc>
          <w:tcPr>
            <w:tcW w:w="709" w:type="dxa"/>
            <w:vMerge w:val="restart"/>
            <w:textDirection w:val="btLr"/>
            <w:vAlign w:val="center"/>
          </w:tcPr>
          <w:p w14:paraId="18C19B64" w14:textId="77777777" w:rsidR="00BE7F89" w:rsidRPr="00C07B2E" w:rsidRDefault="00BE7F89" w:rsidP="005A428D">
            <w:pPr>
              <w:ind w:left="57" w:right="57"/>
              <w:rPr>
                <w:rFonts w:eastAsia="SimSun"/>
              </w:rPr>
            </w:pPr>
            <w:r w:rsidRPr="00C07B2E">
              <w:rPr>
                <w:rFonts w:eastAsia="SimSun"/>
              </w:rPr>
              <w:t>Профилактика РТПХ</w:t>
            </w:r>
          </w:p>
        </w:tc>
        <w:tc>
          <w:tcPr>
            <w:tcW w:w="1843" w:type="dxa"/>
            <w:vAlign w:val="center"/>
          </w:tcPr>
          <w:p w14:paraId="5672FC1B" w14:textId="77777777" w:rsidR="00BE7F89" w:rsidRPr="00C07B2E" w:rsidRDefault="00BE7F89" w:rsidP="005A428D">
            <w:pPr>
              <w:ind w:left="57" w:right="57"/>
              <w:rPr>
                <w:rFonts w:eastAsia="SimSun"/>
              </w:rPr>
            </w:pPr>
            <w:r w:rsidRPr="00C07B2E">
              <w:rPr>
                <w:rFonts w:eastAsia="SimSun"/>
              </w:rPr>
              <w:t xml:space="preserve">Циклоспорин </w:t>
            </w:r>
          </w:p>
        </w:tc>
        <w:tc>
          <w:tcPr>
            <w:tcW w:w="1417" w:type="dxa"/>
            <w:vAlign w:val="center"/>
          </w:tcPr>
          <w:p w14:paraId="143E7B2B" w14:textId="77777777" w:rsidR="00BE7F89" w:rsidRPr="00C07B2E" w:rsidRDefault="00BE7F89" w:rsidP="005A428D">
            <w:pPr>
              <w:ind w:left="57" w:right="57"/>
              <w:rPr>
                <w:rFonts w:eastAsia="SimSun"/>
              </w:rPr>
            </w:pPr>
            <w:r w:rsidRPr="00C07B2E">
              <w:rPr>
                <w:rFonts w:eastAsia="SimSun"/>
              </w:rPr>
              <w:t>3 мг/кг</w:t>
            </w:r>
          </w:p>
        </w:tc>
        <w:tc>
          <w:tcPr>
            <w:tcW w:w="1418" w:type="dxa"/>
            <w:vAlign w:val="center"/>
          </w:tcPr>
          <w:p w14:paraId="3C07CE8D" w14:textId="77777777" w:rsidR="00BE7F89" w:rsidRPr="00C07B2E" w:rsidRDefault="00BE7F89" w:rsidP="005A428D">
            <w:pPr>
              <w:ind w:left="57" w:right="57"/>
              <w:rPr>
                <w:rFonts w:eastAsia="SimSun"/>
                <w:lang w:val="en-US"/>
              </w:rPr>
            </w:pPr>
            <w:r w:rsidRPr="00C07B2E">
              <w:rPr>
                <w:rFonts w:eastAsia="SimSun"/>
                <w:lang w:val="en-US"/>
              </w:rPr>
              <w:t>–</w:t>
            </w:r>
          </w:p>
        </w:tc>
        <w:tc>
          <w:tcPr>
            <w:tcW w:w="1701" w:type="dxa"/>
            <w:vAlign w:val="center"/>
          </w:tcPr>
          <w:p w14:paraId="128BDE54" w14:textId="77777777" w:rsidR="00BE7F89" w:rsidRPr="00C07B2E" w:rsidRDefault="00BE7F89" w:rsidP="005A428D">
            <w:pPr>
              <w:ind w:left="57" w:right="57"/>
              <w:rPr>
                <w:rFonts w:eastAsia="SimSun"/>
              </w:rPr>
            </w:pPr>
            <w:r w:rsidRPr="00C07B2E">
              <w:rPr>
                <w:rFonts w:eastAsia="SimSun"/>
              </w:rPr>
              <w:t>С –1 дня по +90 день, затем постепенное снижение к +180 дню</w:t>
            </w:r>
          </w:p>
        </w:tc>
        <w:tc>
          <w:tcPr>
            <w:tcW w:w="2268" w:type="dxa"/>
            <w:vAlign w:val="center"/>
          </w:tcPr>
          <w:p w14:paraId="1ADCED99" w14:textId="77777777" w:rsidR="00BE7F89" w:rsidRPr="00985050" w:rsidRDefault="00BE7F89" w:rsidP="005A428D">
            <w:pPr>
              <w:ind w:left="57" w:right="57"/>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BE7F89" w:rsidRPr="00C07B2E" w14:paraId="3FBA1D6C" w14:textId="77777777" w:rsidTr="005A428D">
        <w:trPr>
          <w:cantSplit/>
          <w:trHeight w:val="20"/>
        </w:trPr>
        <w:tc>
          <w:tcPr>
            <w:tcW w:w="709" w:type="dxa"/>
            <w:vMerge/>
          </w:tcPr>
          <w:p w14:paraId="463044CD" w14:textId="77777777" w:rsidR="00BE7F89" w:rsidRPr="00985050" w:rsidRDefault="00BE7F89" w:rsidP="005A428D">
            <w:pPr>
              <w:ind w:left="57" w:right="57"/>
              <w:rPr>
                <w:rFonts w:eastAsia="SimSun"/>
              </w:rPr>
            </w:pPr>
          </w:p>
        </w:tc>
        <w:tc>
          <w:tcPr>
            <w:tcW w:w="1843" w:type="dxa"/>
            <w:vMerge w:val="restart"/>
            <w:vAlign w:val="center"/>
          </w:tcPr>
          <w:p w14:paraId="44CC5513" w14:textId="77777777" w:rsidR="00BE7F89" w:rsidRPr="00C07B2E" w:rsidRDefault="00BE7F89" w:rsidP="005A428D">
            <w:pPr>
              <w:ind w:left="57" w:right="57"/>
              <w:rPr>
                <w:rFonts w:eastAsia="SimSun"/>
              </w:rPr>
            </w:pPr>
            <w:r w:rsidRPr="00C07B2E">
              <w:rPr>
                <w:rFonts w:eastAsia="SimSun"/>
              </w:rPr>
              <w:t>Метотрексат</w:t>
            </w:r>
          </w:p>
        </w:tc>
        <w:tc>
          <w:tcPr>
            <w:tcW w:w="1417" w:type="dxa"/>
            <w:vAlign w:val="center"/>
          </w:tcPr>
          <w:p w14:paraId="6DE88341" w14:textId="77777777" w:rsidR="00BE7F89" w:rsidRPr="00C07B2E" w:rsidRDefault="00BE7F89" w:rsidP="005A428D">
            <w:pPr>
              <w:ind w:left="57" w:right="57"/>
              <w:rPr>
                <w:rFonts w:eastAsia="SimSun"/>
              </w:rPr>
            </w:pPr>
            <w:r w:rsidRPr="00C07B2E">
              <w:rPr>
                <w:rFonts w:eastAsia="SimSun"/>
              </w:rPr>
              <w:t>15 мг/м</w:t>
            </w:r>
            <w:r w:rsidRPr="00C07B2E">
              <w:rPr>
                <w:rFonts w:eastAsia="SimSun"/>
                <w:vertAlign w:val="superscript"/>
              </w:rPr>
              <w:t>2</w:t>
            </w:r>
          </w:p>
        </w:tc>
        <w:tc>
          <w:tcPr>
            <w:tcW w:w="1418" w:type="dxa"/>
            <w:vAlign w:val="center"/>
          </w:tcPr>
          <w:p w14:paraId="0C004E27" w14:textId="77777777" w:rsidR="00BE7F89" w:rsidRPr="00C07B2E" w:rsidRDefault="00BE7F89" w:rsidP="005A428D">
            <w:pPr>
              <w:ind w:left="57" w:right="57"/>
              <w:rPr>
                <w:rFonts w:eastAsia="SimSun"/>
              </w:rPr>
            </w:pPr>
            <w:r w:rsidRPr="00C07B2E">
              <w:rPr>
                <w:rFonts w:eastAsia="SimSun"/>
                <w:lang w:val="en-US"/>
              </w:rPr>
              <w:t>–</w:t>
            </w:r>
          </w:p>
        </w:tc>
        <w:tc>
          <w:tcPr>
            <w:tcW w:w="1701" w:type="dxa"/>
            <w:vAlign w:val="center"/>
          </w:tcPr>
          <w:p w14:paraId="02C2D343" w14:textId="77777777" w:rsidR="00BE7F89" w:rsidRPr="00C07B2E" w:rsidRDefault="00BE7F89" w:rsidP="005A428D">
            <w:pPr>
              <w:ind w:left="57" w:right="57"/>
              <w:rPr>
                <w:rFonts w:eastAsia="SimSun"/>
              </w:rPr>
            </w:pPr>
            <w:r w:rsidRPr="00C07B2E">
              <w:rPr>
                <w:rFonts w:eastAsia="SimSun"/>
              </w:rPr>
              <w:t>+1 день</w:t>
            </w:r>
          </w:p>
        </w:tc>
        <w:tc>
          <w:tcPr>
            <w:tcW w:w="2268" w:type="dxa"/>
            <w:vAlign w:val="center"/>
          </w:tcPr>
          <w:p w14:paraId="072F6173" w14:textId="77777777" w:rsidR="00BE7F89" w:rsidRPr="00C07B2E" w:rsidRDefault="00BE7F89" w:rsidP="005A428D">
            <w:pPr>
              <w:ind w:left="57" w:right="57"/>
              <w:rPr>
                <w:rFonts w:eastAsia="SimSun"/>
              </w:rPr>
            </w:pPr>
            <w:r w:rsidRPr="00C07B2E">
              <w:rPr>
                <w:rFonts w:eastAsia="SimSun"/>
              </w:rPr>
              <w:t>В/в, в 20 мл физ. р-ра</w:t>
            </w:r>
            <w:bookmarkStart w:id="136" w:name="OLE_LINK12"/>
            <w:bookmarkStart w:id="137" w:name="OLE_LINK13"/>
            <w:r w:rsidRPr="00C07B2E">
              <w:rPr>
                <w:rFonts w:eastAsia="SimSun"/>
              </w:rPr>
              <w:t xml:space="preserve"> </w:t>
            </w:r>
            <w:bookmarkEnd w:id="136"/>
            <w:bookmarkEnd w:id="137"/>
            <w:r w:rsidRPr="00C07B2E">
              <w:rPr>
                <w:rFonts w:eastAsia="SimSun"/>
              </w:rPr>
              <w:t xml:space="preserve"> </w:t>
            </w:r>
          </w:p>
        </w:tc>
      </w:tr>
      <w:tr w:rsidR="00BE7F89" w:rsidRPr="00C07B2E" w14:paraId="52979D46" w14:textId="77777777" w:rsidTr="005A428D">
        <w:trPr>
          <w:cantSplit/>
          <w:trHeight w:val="464"/>
        </w:trPr>
        <w:tc>
          <w:tcPr>
            <w:tcW w:w="709" w:type="dxa"/>
            <w:vMerge/>
          </w:tcPr>
          <w:p w14:paraId="62077BE2" w14:textId="77777777" w:rsidR="00BE7F89" w:rsidRPr="00C07B2E" w:rsidRDefault="00BE7F89" w:rsidP="005A428D">
            <w:pPr>
              <w:ind w:left="57" w:right="57"/>
              <w:rPr>
                <w:rFonts w:eastAsia="SimSun"/>
              </w:rPr>
            </w:pPr>
          </w:p>
        </w:tc>
        <w:tc>
          <w:tcPr>
            <w:tcW w:w="1843" w:type="dxa"/>
            <w:vMerge/>
            <w:vAlign w:val="center"/>
          </w:tcPr>
          <w:p w14:paraId="54287ED8" w14:textId="77777777" w:rsidR="00BE7F89" w:rsidRPr="00C07B2E" w:rsidRDefault="00BE7F89" w:rsidP="005A428D">
            <w:pPr>
              <w:ind w:left="57" w:right="57"/>
              <w:rPr>
                <w:rFonts w:eastAsia="SimSun"/>
              </w:rPr>
            </w:pPr>
          </w:p>
        </w:tc>
        <w:tc>
          <w:tcPr>
            <w:tcW w:w="1417" w:type="dxa"/>
            <w:vAlign w:val="center"/>
          </w:tcPr>
          <w:p w14:paraId="3096F3F8" w14:textId="77777777" w:rsidR="00BE7F89" w:rsidRPr="00C07B2E" w:rsidRDefault="00BE7F89" w:rsidP="005A428D">
            <w:pPr>
              <w:ind w:left="57" w:right="57"/>
              <w:rPr>
                <w:rFonts w:eastAsia="SimSun"/>
              </w:rPr>
            </w:pPr>
            <w:r w:rsidRPr="00C07B2E">
              <w:rPr>
                <w:rFonts w:eastAsia="SimSun"/>
              </w:rPr>
              <w:t>10 мг/м</w:t>
            </w:r>
            <w:r w:rsidRPr="00C07B2E">
              <w:rPr>
                <w:rFonts w:eastAsia="SimSun"/>
                <w:vertAlign w:val="superscript"/>
              </w:rPr>
              <w:t>2</w:t>
            </w:r>
          </w:p>
        </w:tc>
        <w:tc>
          <w:tcPr>
            <w:tcW w:w="1418" w:type="dxa"/>
            <w:vAlign w:val="center"/>
          </w:tcPr>
          <w:p w14:paraId="2A1A4038" w14:textId="77777777" w:rsidR="00BE7F89" w:rsidRPr="00C07B2E" w:rsidRDefault="00BE7F89" w:rsidP="005A428D">
            <w:pPr>
              <w:ind w:left="57" w:right="57"/>
              <w:rPr>
                <w:rFonts w:eastAsia="SimSun"/>
              </w:rPr>
            </w:pPr>
            <w:r w:rsidRPr="00C07B2E">
              <w:rPr>
                <w:rFonts w:eastAsia="SimSun"/>
                <w:lang w:val="en-US"/>
              </w:rPr>
              <w:t>–</w:t>
            </w:r>
          </w:p>
        </w:tc>
        <w:tc>
          <w:tcPr>
            <w:tcW w:w="1701" w:type="dxa"/>
            <w:vAlign w:val="center"/>
          </w:tcPr>
          <w:p w14:paraId="4C1E76FD" w14:textId="77777777" w:rsidR="00BE7F89" w:rsidRPr="00C07B2E" w:rsidRDefault="00BE7F89" w:rsidP="005A428D">
            <w:pPr>
              <w:ind w:left="57" w:right="57"/>
              <w:rPr>
                <w:rFonts w:eastAsia="SimSun"/>
              </w:rPr>
            </w:pPr>
            <w:r w:rsidRPr="00C07B2E">
              <w:rPr>
                <w:rFonts w:eastAsia="SimSun"/>
              </w:rPr>
              <w:t>+3, +6, +11 дни</w:t>
            </w:r>
          </w:p>
        </w:tc>
        <w:tc>
          <w:tcPr>
            <w:tcW w:w="2268" w:type="dxa"/>
            <w:vAlign w:val="center"/>
          </w:tcPr>
          <w:p w14:paraId="47C7AF29" w14:textId="77777777" w:rsidR="00BE7F89" w:rsidRPr="00C07B2E" w:rsidRDefault="00BE7F89" w:rsidP="005A428D">
            <w:pPr>
              <w:ind w:left="57" w:right="57"/>
              <w:rPr>
                <w:rFonts w:eastAsia="SimSun"/>
              </w:rPr>
            </w:pPr>
            <w:r w:rsidRPr="00C07B2E">
              <w:rPr>
                <w:rFonts w:eastAsia="SimSun"/>
              </w:rPr>
              <w:t xml:space="preserve">В/в, в 20 мл физ. р-ра  </w:t>
            </w:r>
          </w:p>
        </w:tc>
      </w:tr>
      <w:bookmarkEnd w:id="135"/>
    </w:tbl>
    <w:p w14:paraId="1D79570E" w14:textId="77777777" w:rsidR="00BE7F89" w:rsidRPr="00C07B2E" w:rsidRDefault="00BE7F89" w:rsidP="00BE7F89">
      <w:pPr>
        <w:rPr>
          <w:rFonts w:eastAsia="SimSun"/>
        </w:rPr>
      </w:pPr>
    </w:p>
    <w:p w14:paraId="530D78A5" w14:textId="77777777" w:rsidR="00BE7F89" w:rsidRPr="00C07B2E" w:rsidRDefault="00BE7F89" w:rsidP="00BE7F89">
      <w:pPr>
        <w:rPr>
          <w:rFonts w:eastAsia="SimSun"/>
        </w:rPr>
      </w:pPr>
      <w:bookmarkStart w:id="138" w:name="_Toc44401145"/>
      <w:r w:rsidRPr="00042499">
        <w:rPr>
          <w:rFonts w:eastAsia="SimSun"/>
        </w:rPr>
        <w:t>Таблица</w:t>
      </w:r>
      <w:r w:rsidRPr="00C07B2E">
        <w:rPr>
          <w:rFonts w:eastAsia="SimSun"/>
        </w:rPr>
        <w:t xml:space="preserve"> </w:t>
      </w:r>
      <w:r>
        <w:rPr>
          <w:rFonts w:eastAsia="SimSun"/>
        </w:rPr>
        <w:t>5</w:t>
      </w:r>
      <w:r w:rsidRPr="00C07B2E">
        <w:rPr>
          <w:rFonts w:eastAsia="SimSun"/>
        </w:rPr>
        <w:t>.1.1.2  – TBI+Cy120 / CSA+MTX</w:t>
      </w:r>
      <w:bookmarkEnd w:id="13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1921"/>
        <w:gridCol w:w="1303"/>
        <w:gridCol w:w="1375"/>
        <w:gridCol w:w="1688"/>
        <w:gridCol w:w="2172"/>
      </w:tblGrid>
      <w:tr w:rsidR="00BE7F89" w:rsidRPr="00C07B2E" w14:paraId="6D3E6872" w14:textId="77777777" w:rsidTr="005A428D">
        <w:trPr>
          <w:cantSplit/>
          <w:trHeight w:val="20"/>
          <w:tblHeader/>
        </w:trPr>
        <w:tc>
          <w:tcPr>
            <w:tcW w:w="376" w:type="pct"/>
            <w:vAlign w:val="center"/>
          </w:tcPr>
          <w:p w14:paraId="46DA337F" w14:textId="77777777" w:rsidR="00BE7F89" w:rsidRPr="00C07B2E" w:rsidRDefault="00BE7F89" w:rsidP="005A428D">
            <w:pPr>
              <w:rPr>
                <w:rFonts w:eastAsia="SimSun"/>
              </w:rPr>
            </w:pPr>
          </w:p>
        </w:tc>
        <w:tc>
          <w:tcPr>
            <w:tcW w:w="1027" w:type="pct"/>
            <w:vAlign w:val="center"/>
          </w:tcPr>
          <w:p w14:paraId="3BF67C02" w14:textId="77777777" w:rsidR="00BE7F89" w:rsidRPr="00C07B2E" w:rsidRDefault="00BE7F89" w:rsidP="005A428D">
            <w:pPr>
              <w:rPr>
                <w:rFonts w:eastAsia="SimSun"/>
              </w:rPr>
            </w:pPr>
            <w:r w:rsidRPr="00C07B2E">
              <w:rPr>
                <w:rFonts w:eastAsia="SimSun"/>
              </w:rPr>
              <w:t>Препарат</w:t>
            </w:r>
          </w:p>
        </w:tc>
        <w:tc>
          <w:tcPr>
            <w:tcW w:w="718" w:type="pct"/>
            <w:vAlign w:val="center"/>
          </w:tcPr>
          <w:p w14:paraId="7A002FA4" w14:textId="77777777" w:rsidR="00BE7F89" w:rsidRPr="00C07B2E" w:rsidRDefault="00BE7F89" w:rsidP="005A428D">
            <w:pPr>
              <w:rPr>
                <w:rFonts w:eastAsia="SimSun"/>
              </w:rPr>
            </w:pPr>
            <w:r w:rsidRPr="00C07B2E">
              <w:rPr>
                <w:rFonts w:eastAsia="SimSun"/>
              </w:rPr>
              <w:t>Суточная доза</w:t>
            </w:r>
          </w:p>
        </w:tc>
        <w:tc>
          <w:tcPr>
            <w:tcW w:w="757" w:type="pct"/>
            <w:vAlign w:val="center"/>
          </w:tcPr>
          <w:p w14:paraId="74309B63" w14:textId="77777777" w:rsidR="00BE7F89" w:rsidRPr="00C07B2E" w:rsidRDefault="00BE7F89" w:rsidP="005A428D">
            <w:pPr>
              <w:rPr>
                <w:rFonts w:eastAsia="SimSun"/>
              </w:rPr>
            </w:pPr>
            <w:r w:rsidRPr="00C07B2E">
              <w:rPr>
                <w:rFonts w:eastAsia="SimSun"/>
              </w:rPr>
              <w:t>Курсовая доза</w:t>
            </w:r>
          </w:p>
        </w:tc>
        <w:tc>
          <w:tcPr>
            <w:tcW w:w="928" w:type="pct"/>
            <w:vAlign w:val="center"/>
          </w:tcPr>
          <w:p w14:paraId="07C62C10" w14:textId="77777777" w:rsidR="00BE7F89" w:rsidRPr="00C07B2E" w:rsidRDefault="00BE7F89" w:rsidP="005A428D">
            <w:pPr>
              <w:rPr>
                <w:rFonts w:eastAsia="SimSun"/>
              </w:rPr>
            </w:pPr>
            <w:r w:rsidRPr="00C07B2E">
              <w:rPr>
                <w:rFonts w:eastAsia="SimSun"/>
              </w:rPr>
              <w:t>Дни введения</w:t>
            </w:r>
          </w:p>
        </w:tc>
        <w:tc>
          <w:tcPr>
            <w:tcW w:w="1193" w:type="pct"/>
            <w:vAlign w:val="center"/>
          </w:tcPr>
          <w:p w14:paraId="58952878" w14:textId="77777777" w:rsidR="00BE7F89" w:rsidRPr="00C07B2E" w:rsidRDefault="00BE7F89" w:rsidP="005A428D">
            <w:pPr>
              <w:rPr>
                <w:rFonts w:eastAsia="SimSun"/>
              </w:rPr>
            </w:pPr>
            <w:r w:rsidRPr="00C07B2E">
              <w:rPr>
                <w:rFonts w:eastAsia="SimSun"/>
              </w:rPr>
              <w:t>Порядок введения</w:t>
            </w:r>
          </w:p>
        </w:tc>
      </w:tr>
      <w:tr w:rsidR="00BE7F89" w:rsidRPr="00C07B2E" w14:paraId="02A9B774" w14:textId="77777777" w:rsidTr="005A428D">
        <w:trPr>
          <w:cantSplit/>
          <w:trHeight w:val="20"/>
        </w:trPr>
        <w:tc>
          <w:tcPr>
            <w:tcW w:w="376" w:type="pct"/>
            <w:vMerge w:val="restart"/>
            <w:textDirection w:val="btLr"/>
            <w:vAlign w:val="center"/>
          </w:tcPr>
          <w:p w14:paraId="0E39C9FD" w14:textId="77777777" w:rsidR="00BE7F89" w:rsidRPr="00C07B2E" w:rsidRDefault="00BE7F89" w:rsidP="005A428D">
            <w:pPr>
              <w:rPr>
                <w:rFonts w:eastAsia="SimSun"/>
              </w:rPr>
            </w:pPr>
            <w:r w:rsidRPr="00C07B2E">
              <w:rPr>
                <w:rFonts w:eastAsia="SimSun"/>
              </w:rPr>
              <w:t>Кондиционирование</w:t>
            </w:r>
          </w:p>
        </w:tc>
        <w:tc>
          <w:tcPr>
            <w:tcW w:w="1027" w:type="pct"/>
            <w:vAlign w:val="center"/>
          </w:tcPr>
          <w:p w14:paraId="5A06AA07" w14:textId="77777777" w:rsidR="00BE7F89" w:rsidRPr="00C07B2E" w:rsidRDefault="00BE7F89" w:rsidP="005A428D">
            <w:pPr>
              <w:rPr>
                <w:rFonts w:eastAsia="SimSun"/>
              </w:rPr>
            </w:pPr>
            <w:r w:rsidRPr="00C07B2E">
              <w:rPr>
                <w:rFonts w:eastAsia="SimSun"/>
              </w:rPr>
              <w:t>ТТО</w:t>
            </w:r>
          </w:p>
        </w:tc>
        <w:tc>
          <w:tcPr>
            <w:tcW w:w="718" w:type="pct"/>
            <w:vAlign w:val="center"/>
          </w:tcPr>
          <w:p w14:paraId="4CB5B472" w14:textId="77777777" w:rsidR="00BE7F89" w:rsidRPr="00C07B2E" w:rsidRDefault="00BE7F89" w:rsidP="005A428D">
            <w:pPr>
              <w:rPr>
                <w:rFonts w:eastAsia="SimSun"/>
              </w:rPr>
            </w:pPr>
            <w:r w:rsidRPr="00C07B2E">
              <w:rPr>
                <w:rFonts w:eastAsia="SimSun"/>
              </w:rPr>
              <w:t>4 Гр</w:t>
            </w:r>
          </w:p>
        </w:tc>
        <w:tc>
          <w:tcPr>
            <w:tcW w:w="757" w:type="pct"/>
            <w:vAlign w:val="center"/>
          </w:tcPr>
          <w:p w14:paraId="71D85473" w14:textId="77777777" w:rsidR="00BE7F89" w:rsidRPr="00C07B2E" w:rsidRDefault="00BE7F89" w:rsidP="005A428D">
            <w:pPr>
              <w:rPr>
                <w:rFonts w:eastAsia="SimSun"/>
              </w:rPr>
            </w:pPr>
            <w:r w:rsidRPr="00C07B2E">
              <w:rPr>
                <w:rFonts w:eastAsia="SimSun"/>
                <w:lang w:val="en-US"/>
              </w:rPr>
              <w:t>12</w:t>
            </w:r>
            <w:r w:rsidRPr="00C07B2E">
              <w:rPr>
                <w:rFonts w:eastAsia="SimSun"/>
              </w:rPr>
              <w:t xml:space="preserve"> Гр</w:t>
            </w:r>
          </w:p>
        </w:tc>
        <w:tc>
          <w:tcPr>
            <w:tcW w:w="928" w:type="pct"/>
            <w:vAlign w:val="center"/>
          </w:tcPr>
          <w:p w14:paraId="132CB438" w14:textId="77777777" w:rsidR="00BE7F89" w:rsidRPr="00C07B2E" w:rsidRDefault="00BE7F89" w:rsidP="005A428D">
            <w:pPr>
              <w:rPr>
                <w:rFonts w:eastAsia="SimSun"/>
              </w:rPr>
            </w:pPr>
            <w:r w:rsidRPr="00C07B2E">
              <w:rPr>
                <w:rFonts w:eastAsia="SimSun"/>
                <w:lang w:val="en-US"/>
              </w:rPr>
              <w:t>C</w:t>
            </w:r>
            <w:r w:rsidRPr="00C07B2E">
              <w:rPr>
                <w:rFonts w:eastAsia="SimSun"/>
              </w:rPr>
              <w:t xml:space="preserve"> –3 по –1 день </w:t>
            </w:r>
          </w:p>
        </w:tc>
        <w:tc>
          <w:tcPr>
            <w:tcW w:w="1193" w:type="pct"/>
            <w:vAlign w:val="center"/>
          </w:tcPr>
          <w:p w14:paraId="350A864F" w14:textId="77777777" w:rsidR="00BE7F89" w:rsidRPr="00C07B2E" w:rsidRDefault="00BE7F89" w:rsidP="005A428D">
            <w:pPr>
              <w:rPr>
                <w:rFonts w:eastAsia="SimSun"/>
              </w:rPr>
            </w:pPr>
            <w:r w:rsidRPr="00C07B2E">
              <w:rPr>
                <w:rFonts w:eastAsia="SimSun"/>
              </w:rPr>
              <w:t>6 фракций по 2 Гр 2 раза в день в течение 3-х дней  с экранированием легких.</w:t>
            </w:r>
          </w:p>
          <w:p w14:paraId="6FCF66DA" w14:textId="77777777" w:rsidR="00BE7F89" w:rsidRPr="00C07B2E" w:rsidRDefault="00BE7F89" w:rsidP="005A428D">
            <w:pPr>
              <w:rPr>
                <w:rFonts w:eastAsia="SimSun"/>
              </w:rPr>
            </w:pPr>
          </w:p>
        </w:tc>
      </w:tr>
      <w:tr w:rsidR="00BE7F89" w:rsidRPr="00C07B2E" w14:paraId="49725335" w14:textId="77777777" w:rsidTr="005A428D">
        <w:trPr>
          <w:cantSplit/>
          <w:trHeight w:val="1207"/>
        </w:trPr>
        <w:tc>
          <w:tcPr>
            <w:tcW w:w="376" w:type="pct"/>
            <w:vMerge/>
            <w:vAlign w:val="center"/>
          </w:tcPr>
          <w:p w14:paraId="43EF932A" w14:textId="77777777" w:rsidR="00BE7F89" w:rsidRPr="00C07B2E" w:rsidRDefault="00BE7F89" w:rsidP="005A428D">
            <w:pPr>
              <w:rPr>
                <w:rFonts w:eastAsia="SimSun"/>
              </w:rPr>
            </w:pPr>
          </w:p>
        </w:tc>
        <w:tc>
          <w:tcPr>
            <w:tcW w:w="1027" w:type="pct"/>
            <w:vAlign w:val="center"/>
          </w:tcPr>
          <w:p w14:paraId="58ED8AAD" w14:textId="77777777" w:rsidR="00BE7F89" w:rsidRPr="00C07B2E" w:rsidRDefault="00BE7F89" w:rsidP="005A428D">
            <w:pPr>
              <w:rPr>
                <w:rFonts w:eastAsia="SimSun"/>
              </w:rPr>
            </w:pPr>
            <w:r w:rsidRPr="00C07B2E">
              <w:rPr>
                <w:rFonts w:eastAsia="SimSun"/>
              </w:rPr>
              <w:t>Циклофосфамид</w:t>
            </w:r>
          </w:p>
        </w:tc>
        <w:tc>
          <w:tcPr>
            <w:tcW w:w="718" w:type="pct"/>
            <w:vAlign w:val="center"/>
          </w:tcPr>
          <w:p w14:paraId="2BEDE637" w14:textId="77777777" w:rsidR="00BE7F89" w:rsidRPr="00C07B2E" w:rsidRDefault="00BE7F89" w:rsidP="005A428D">
            <w:pPr>
              <w:rPr>
                <w:rFonts w:eastAsia="SimSun"/>
              </w:rPr>
            </w:pPr>
            <w:r w:rsidRPr="00C07B2E">
              <w:rPr>
                <w:rFonts w:eastAsia="SimSun"/>
              </w:rPr>
              <w:t>60 мг/кг</w:t>
            </w:r>
          </w:p>
        </w:tc>
        <w:tc>
          <w:tcPr>
            <w:tcW w:w="757" w:type="pct"/>
            <w:vAlign w:val="center"/>
          </w:tcPr>
          <w:p w14:paraId="60A59DE0" w14:textId="77777777" w:rsidR="00BE7F89" w:rsidRPr="00C07B2E" w:rsidRDefault="00BE7F89" w:rsidP="005A428D">
            <w:pPr>
              <w:rPr>
                <w:rFonts w:eastAsia="SimSun"/>
              </w:rPr>
            </w:pPr>
            <w:r w:rsidRPr="00C07B2E">
              <w:rPr>
                <w:rFonts w:eastAsia="SimSun"/>
              </w:rPr>
              <w:t>120 мг/кг</w:t>
            </w:r>
          </w:p>
        </w:tc>
        <w:tc>
          <w:tcPr>
            <w:tcW w:w="928" w:type="pct"/>
            <w:vAlign w:val="center"/>
          </w:tcPr>
          <w:p w14:paraId="4CA688AB" w14:textId="77777777" w:rsidR="00BE7F89" w:rsidRPr="00C07B2E" w:rsidRDefault="00BE7F89" w:rsidP="005A428D">
            <w:pPr>
              <w:rPr>
                <w:rFonts w:eastAsia="SimSun"/>
              </w:rPr>
            </w:pPr>
            <w:r w:rsidRPr="00C07B2E">
              <w:rPr>
                <w:rFonts w:eastAsia="SimSun"/>
                <w:lang w:val="en-US"/>
              </w:rPr>
              <w:t>–</w:t>
            </w:r>
            <w:r w:rsidRPr="00C07B2E">
              <w:rPr>
                <w:rFonts w:eastAsia="SimSun"/>
              </w:rPr>
              <w:t>6</w:t>
            </w:r>
            <w:r w:rsidRPr="00C07B2E">
              <w:rPr>
                <w:rFonts w:eastAsia="SimSun"/>
                <w:lang w:val="en-US"/>
              </w:rPr>
              <w:t>, –</w:t>
            </w:r>
            <w:r w:rsidRPr="00C07B2E">
              <w:rPr>
                <w:rFonts w:eastAsia="SimSun"/>
              </w:rPr>
              <w:t>5</w:t>
            </w:r>
            <w:r w:rsidRPr="00C07B2E">
              <w:rPr>
                <w:rFonts w:eastAsia="SimSun"/>
                <w:lang w:val="en-US"/>
              </w:rPr>
              <w:t xml:space="preserve"> дни</w:t>
            </w:r>
            <w:r w:rsidRPr="00C07B2E">
              <w:rPr>
                <w:rFonts w:eastAsia="SimSun"/>
              </w:rPr>
              <w:t xml:space="preserve"> </w:t>
            </w:r>
          </w:p>
        </w:tc>
        <w:tc>
          <w:tcPr>
            <w:tcW w:w="1193" w:type="pct"/>
            <w:vAlign w:val="center"/>
          </w:tcPr>
          <w:p w14:paraId="2BD5F059" w14:textId="77777777" w:rsidR="00BE7F89" w:rsidRPr="00C07B2E" w:rsidRDefault="00BE7F89" w:rsidP="005A428D">
            <w:pPr>
              <w:rPr>
                <w:rFonts w:eastAsia="SimSun"/>
              </w:rPr>
            </w:pPr>
            <w:r w:rsidRPr="00C07B2E">
              <w:rPr>
                <w:rFonts w:eastAsia="SimSun"/>
              </w:rPr>
              <w:t xml:space="preserve">В/в, в течение 2 ч </w:t>
            </w:r>
          </w:p>
        </w:tc>
      </w:tr>
      <w:tr w:rsidR="00BE7F89" w:rsidRPr="00C07B2E" w14:paraId="1467C952" w14:textId="77777777" w:rsidTr="005A428D">
        <w:trPr>
          <w:cantSplit/>
          <w:trHeight w:val="20"/>
        </w:trPr>
        <w:tc>
          <w:tcPr>
            <w:tcW w:w="376" w:type="pct"/>
            <w:vMerge w:val="restart"/>
            <w:textDirection w:val="btLr"/>
            <w:vAlign w:val="center"/>
          </w:tcPr>
          <w:p w14:paraId="41EF0008" w14:textId="77777777" w:rsidR="00BE7F89" w:rsidRPr="00C07B2E" w:rsidRDefault="00BE7F89" w:rsidP="005A428D">
            <w:pPr>
              <w:rPr>
                <w:rFonts w:eastAsia="SimSun"/>
              </w:rPr>
            </w:pPr>
            <w:r w:rsidRPr="00C07B2E">
              <w:rPr>
                <w:rFonts w:eastAsia="SimSun"/>
              </w:rPr>
              <w:t>Профилактика РТПХ</w:t>
            </w:r>
          </w:p>
        </w:tc>
        <w:tc>
          <w:tcPr>
            <w:tcW w:w="1027" w:type="pct"/>
            <w:vAlign w:val="center"/>
          </w:tcPr>
          <w:p w14:paraId="08E0FC57" w14:textId="77777777" w:rsidR="00BE7F89" w:rsidRPr="00C07B2E" w:rsidRDefault="00BE7F89" w:rsidP="005A428D">
            <w:pPr>
              <w:rPr>
                <w:rFonts w:eastAsia="SimSun"/>
              </w:rPr>
            </w:pPr>
            <w:r w:rsidRPr="00C07B2E">
              <w:rPr>
                <w:rFonts w:eastAsia="SimSun"/>
              </w:rPr>
              <w:t xml:space="preserve">Циклоспорин </w:t>
            </w:r>
          </w:p>
        </w:tc>
        <w:tc>
          <w:tcPr>
            <w:tcW w:w="718" w:type="pct"/>
            <w:vAlign w:val="center"/>
          </w:tcPr>
          <w:p w14:paraId="3A3D4962" w14:textId="77777777" w:rsidR="00BE7F89" w:rsidRPr="00C07B2E" w:rsidRDefault="00BE7F89" w:rsidP="005A428D">
            <w:pPr>
              <w:rPr>
                <w:rFonts w:eastAsia="SimSun"/>
              </w:rPr>
            </w:pPr>
            <w:r w:rsidRPr="00C07B2E">
              <w:rPr>
                <w:rFonts w:eastAsia="SimSun"/>
              </w:rPr>
              <w:t>3 мг/кг</w:t>
            </w:r>
          </w:p>
        </w:tc>
        <w:tc>
          <w:tcPr>
            <w:tcW w:w="757" w:type="pct"/>
            <w:vAlign w:val="center"/>
          </w:tcPr>
          <w:p w14:paraId="5C34FBC8" w14:textId="77777777" w:rsidR="00BE7F89" w:rsidRPr="00C07B2E" w:rsidRDefault="00BE7F89" w:rsidP="005A428D">
            <w:pPr>
              <w:rPr>
                <w:rFonts w:eastAsia="SimSun"/>
                <w:lang w:val="en-US"/>
              </w:rPr>
            </w:pPr>
            <w:r w:rsidRPr="00C07B2E">
              <w:rPr>
                <w:rFonts w:eastAsia="SimSun"/>
                <w:lang w:val="en-US"/>
              </w:rPr>
              <w:t>–</w:t>
            </w:r>
          </w:p>
        </w:tc>
        <w:tc>
          <w:tcPr>
            <w:tcW w:w="928" w:type="pct"/>
            <w:vAlign w:val="center"/>
          </w:tcPr>
          <w:p w14:paraId="77AC16EC" w14:textId="77777777" w:rsidR="00BE7F89" w:rsidRPr="00C07B2E" w:rsidRDefault="00BE7F89" w:rsidP="005A428D">
            <w:pPr>
              <w:rPr>
                <w:rFonts w:eastAsia="SimSun"/>
              </w:rPr>
            </w:pPr>
            <w:r w:rsidRPr="00C07B2E">
              <w:rPr>
                <w:rFonts w:eastAsia="SimSun"/>
              </w:rPr>
              <w:t>С –1 дня по +90 день, затем постепенное снижение к +180 дню</w:t>
            </w:r>
          </w:p>
        </w:tc>
        <w:tc>
          <w:tcPr>
            <w:tcW w:w="1193" w:type="pct"/>
            <w:vAlign w:val="center"/>
          </w:tcPr>
          <w:p w14:paraId="1FF851D3" w14:textId="77777777" w:rsidR="00BE7F89" w:rsidRPr="00985050" w:rsidRDefault="00BE7F89" w:rsidP="005A428D">
            <w:pPr>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BE7F89" w:rsidRPr="00C07B2E" w14:paraId="4AE2BF06" w14:textId="77777777" w:rsidTr="005A428D">
        <w:trPr>
          <w:cantSplit/>
          <w:trHeight w:val="20"/>
        </w:trPr>
        <w:tc>
          <w:tcPr>
            <w:tcW w:w="376" w:type="pct"/>
            <w:vMerge/>
          </w:tcPr>
          <w:p w14:paraId="6CA31512" w14:textId="77777777" w:rsidR="00BE7F89" w:rsidRPr="00985050" w:rsidRDefault="00BE7F89" w:rsidP="005A428D">
            <w:pPr>
              <w:rPr>
                <w:rFonts w:eastAsia="SimSun"/>
              </w:rPr>
            </w:pPr>
          </w:p>
        </w:tc>
        <w:tc>
          <w:tcPr>
            <w:tcW w:w="1027" w:type="pct"/>
            <w:vMerge w:val="restart"/>
            <w:vAlign w:val="center"/>
          </w:tcPr>
          <w:p w14:paraId="476C3BEA" w14:textId="77777777" w:rsidR="00BE7F89" w:rsidRPr="00C07B2E" w:rsidRDefault="00BE7F89" w:rsidP="005A428D">
            <w:pPr>
              <w:rPr>
                <w:rFonts w:eastAsia="SimSun"/>
              </w:rPr>
            </w:pPr>
            <w:r w:rsidRPr="00C07B2E">
              <w:rPr>
                <w:rFonts w:eastAsia="SimSun"/>
              </w:rPr>
              <w:t>Метотрексат</w:t>
            </w:r>
          </w:p>
        </w:tc>
        <w:tc>
          <w:tcPr>
            <w:tcW w:w="718" w:type="pct"/>
            <w:vAlign w:val="center"/>
          </w:tcPr>
          <w:p w14:paraId="1E435AE6" w14:textId="77777777" w:rsidR="00BE7F89" w:rsidRPr="00C07B2E" w:rsidRDefault="00BE7F89" w:rsidP="005A428D">
            <w:pPr>
              <w:rPr>
                <w:rFonts w:eastAsia="SimSun"/>
              </w:rPr>
            </w:pPr>
            <w:r w:rsidRPr="00C07B2E">
              <w:rPr>
                <w:rFonts w:eastAsia="SimSun"/>
              </w:rPr>
              <w:t>15 мг/м</w:t>
            </w:r>
            <w:r w:rsidRPr="00C07B2E">
              <w:rPr>
                <w:rFonts w:eastAsia="SimSun"/>
                <w:vertAlign w:val="superscript"/>
              </w:rPr>
              <w:t>2</w:t>
            </w:r>
          </w:p>
        </w:tc>
        <w:tc>
          <w:tcPr>
            <w:tcW w:w="757" w:type="pct"/>
            <w:vAlign w:val="center"/>
          </w:tcPr>
          <w:p w14:paraId="1902E9B2" w14:textId="77777777" w:rsidR="00BE7F89" w:rsidRPr="00C07B2E" w:rsidRDefault="00BE7F89" w:rsidP="005A428D">
            <w:pPr>
              <w:rPr>
                <w:rFonts w:eastAsia="SimSun"/>
              </w:rPr>
            </w:pPr>
            <w:r w:rsidRPr="00C07B2E">
              <w:rPr>
                <w:rFonts w:eastAsia="SimSun"/>
                <w:lang w:val="en-US"/>
              </w:rPr>
              <w:t>–</w:t>
            </w:r>
          </w:p>
        </w:tc>
        <w:tc>
          <w:tcPr>
            <w:tcW w:w="928" w:type="pct"/>
            <w:vAlign w:val="center"/>
          </w:tcPr>
          <w:p w14:paraId="1FCC17B9" w14:textId="77777777" w:rsidR="00BE7F89" w:rsidRPr="00C07B2E" w:rsidRDefault="00BE7F89" w:rsidP="005A428D">
            <w:pPr>
              <w:rPr>
                <w:rFonts w:eastAsia="SimSun"/>
              </w:rPr>
            </w:pPr>
            <w:r w:rsidRPr="00C07B2E">
              <w:rPr>
                <w:rFonts w:eastAsia="SimSun"/>
              </w:rPr>
              <w:t>+1 день</w:t>
            </w:r>
          </w:p>
        </w:tc>
        <w:tc>
          <w:tcPr>
            <w:tcW w:w="1193" w:type="pct"/>
            <w:vAlign w:val="center"/>
          </w:tcPr>
          <w:p w14:paraId="73B6E7AD" w14:textId="77777777" w:rsidR="00BE7F89" w:rsidRPr="00C07B2E" w:rsidRDefault="00BE7F89" w:rsidP="005A428D">
            <w:pPr>
              <w:rPr>
                <w:rFonts w:eastAsia="SimSun"/>
              </w:rPr>
            </w:pPr>
            <w:r w:rsidRPr="00C07B2E">
              <w:rPr>
                <w:rFonts w:eastAsia="SimSun"/>
              </w:rPr>
              <w:t>В/в, в 20 мл физ. р-ра</w:t>
            </w:r>
          </w:p>
        </w:tc>
      </w:tr>
      <w:tr w:rsidR="00BE7F89" w:rsidRPr="00C07B2E" w14:paraId="27590D50" w14:textId="77777777" w:rsidTr="005A428D">
        <w:trPr>
          <w:cantSplit/>
          <w:trHeight w:val="464"/>
        </w:trPr>
        <w:tc>
          <w:tcPr>
            <w:tcW w:w="376" w:type="pct"/>
            <w:vMerge/>
          </w:tcPr>
          <w:p w14:paraId="77C727A9" w14:textId="77777777" w:rsidR="00BE7F89" w:rsidRPr="00C07B2E" w:rsidRDefault="00BE7F89" w:rsidP="005A428D">
            <w:pPr>
              <w:rPr>
                <w:rFonts w:eastAsia="SimSun"/>
              </w:rPr>
            </w:pPr>
          </w:p>
        </w:tc>
        <w:tc>
          <w:tcPr>
            <w:tcW w:w="1027" w:type="pct"/>
            <w:vMerge/>
            <w:vAlign w:val="center"/>
          </w:tcPr>
          <w:p w14:paraId="2E498079" w14:textId="77777777" w:rsidR="00BE7F89" w:rsidRPr="00C07B2E" w:rsidRDefault="00BE7F89" w:rsidP="005A428D">
            <w:pPr>
              <w:rPr>
                <w:rFonts w:eastAsia="SimSun"/>
              </w:rPr>
            </w:pPr>
          </w:p>
        </w:tc>
        <w:tc>
          <w:tcPr>
            <w:tcW w:w="718" w:type="pct"/>
            <w:vAlign w:val="center"/>
          </w:tcPr>
          <w:p w14:paraId="54D26205" w14:textId="77777777" w:rsidR="00BE7F89" w:rsidRPr="00C07B2E" w:rsidRDefault="00BE7F89" w:rsidP="005A428D">
            <w:pPr>
              <w:rPr>
                <w:rFonts w:eastAsia="SimSun"/>
              </w:rPr>
            </w:pPr>
            <w:r w:rsidRPr="00C07B2E">
              <w:rPr>
                <w:rFonts w:eastAsia="SimSun"/>
              </w:rPr>
              <w:t>10 мг/м</w:t>
            </w:r>
            <w:r w:rsidRPr="00C07B2E">
              <w:rPr>
                <w:rFonts w:eastAsia="SimSun"/>
                <w:vertAlign w:val="superscript"/>
              </w:rPr>
              <w:t>2</w:t>
            </w:r>
          </w:p>
        </w:tc>
        <w:tc>
          <w:tcPr>
            <w:tcW w:w="757" w:type="pct"/>
            <w:vAlign w:val="center"/>
          </w:tcPr>
          <w:p w14:paraId="26073F45" w14:textId="77777777" w:rsidR="00BE7F89" w:rsidRPr="00C07B2E" w:rsidRDefault="00BE7F89" w:rsidP="005A428D">
            <w:pPr>
              <w:rPr>
                <w:rFonts w:eastAsia="SimSun"/>
              </w:rPr>
            </w:pPr>
            <w:r w:rsidRPr="00C07B2E">
              <w:rPr>
                <w:rFonts w:eastAsia="SimSun"/>
                <w:lang w:val="en-US"/>
              </w:rPr>
              <w:t>–</w:t>
            </w:r>
          </w:p>
        </w:tc>
        <w:tc>
          <w:tcPr>
            <w:tcW w:w="928" w:type="pct"/>
            <w:vAlign w:val="center"/>
          </w:tcPr>
          <w:p w14:paraId="7F1311A7" w14:textId="77777777" w:rsidR="00BE7F89" w:rsidRPr="00C07B2E" w:rsidRDefault="00BE7F89" w:rsidP="005A428D">
            <w:pPr>
              <w:rPr>
                <w:rFonts w:eastAsia="SimSun"/>
              </w:rPr>
            </w:pPr>
            <w:r w:rsidRPr="00C07B2E">
              <w:rPr>
                <w:rFonts w:eastAsia="SimSun"/>
              </w:rPr>
              <w:t>+3, +6, +11 дни</w:t>
            </w:r>
          </w:p>
        </w:tc>
        <w:tc>
          <w:tcPr>
            <w:tcW w:w="1193" w:type="pct"/>
            <w:vAlign w:val="center"/>
          </w:tcPr>
          <w:p w14:paraId="199940D6" w14:textId="77777777" w:rsidR="00BE7F89" w:rsidRPr="00C07B2E" w:rsidRDefault="00BE7F89" w:rsidP="005A428D">
            <w:pPr>
              <w:rPr>
                <w:rFonts w:eastAsia="SimSun"/>
              </w:rPr>
            </w:pPr>
            <w:r w:rsidRPr="00C07B2E">
              <w:rPr>
                <w:rFonts w:eastAsia="SimSun"/>
              </w:rPr>
              <w:t xml:space="preserve">В/в, в 20 мл физ. р-ра </w:t>
            </w:r>
          </w:p>
        </w:tc>
      </w:tr>
    </w:tbl>
    <w:p w14:paraId="1E60790D" w14:textId="77777777" w:rsidR="00BE7F89" w:rsidRPr="00C07B2E" w:rsidRDefault="00BE7F89" w:rsidP="00BE7F89">
      <w:pPr>
        <w:rPr>
          <w:rFonts w:eastAsia="SimSun"/>
        </w:rPr>
      </w:pPr>
    </w:p>
    <w:p w14:paraId="7610AA08" w14:textId="77777777" w:rsidR="00BE7F89" w:rsidRPr="00C07B2E" w:rsidRDefault="00BE7F89" w:rsidP="00BE7F89">
      <w:pPr>
        <w:rPr>
          <w:rFonts w:eastAsia="SimSun"/>
        </w:rPr>
      </w:pPr>
      <w:bookmarkStart w:id="139" w:name="_Toc44401146"/>
      <w:r w:rsidRPr="00042499">
        <w:rPr>
          <w:rFonts w:eastAsia="SimSun"/>
        </w:rPr>
        <w:t>Таблица</w:t>
      </w:r>
      <w:r w:rsidRPr="00C07B2E">
        <w:rPr>
          <w:rFonts w:eastAsia="SimSun"/>
        </w:rPr>
        <w:t xml:space="preserve"> </w:t>
      </w:r>
      <w:r>
        <w:rPr>
          <w:rFonts w:eastAsia="SimSun"/>
        </w:rPr>
        <w:t>5</w:t>
      </w:r>
      <w:r w:rsidRPr="00C07B2E">
        <w:rPr>
          <w:rFonts w:eastAsia="SimSun"/>
        </w:rPr>
        <w:t>.1.1.3  – Flu150+Bu12 / PT-Cy+CSA+MMF45</w:t>
      </w:r>
      <w:bookmarkEnd w:id="139"/>
    </w:p>
    <w:tbl>
      <w:tblPr>
        <w:tblW w:w="9356" w:type="dxa"/>
        <w:tblInd w:w="108" w:type="dxa"/>
        <w:tblLayout w:type="fixed"/>
        <w:tblCellMar>
          <w:left w:w="10" w:type="dxa"/>
          <w:right w:w="10" w:type="dxa"/>
        </w:tblCellMar>
        <w:tblLook w:val="0000" w:firstRow="0" w:lastRow="0" w:firstColumn="0" w:lastColumn="0" w:noHBand="0" w:noVBand="0"/>
      </w:tblPr>
      <w:tblGrid>
        <w:gridCol w:w="709"/>
        <w:gridCol w:w="1843"/>
        <w:gridCol w:w="1417"/>
        <w:gridCol w:w="1418"/>
        <w:gridCol w:w="1701"/>
        <w:gridCol w:w="2268"/>
      </w:tblGrid>
      <w:tr w:rsidR="00BE7F89" w:rsidRPr="00C07B2E" w14:paraId="5EFF0F83" w14:textId="77777777" w:rsidTr="005A428D">
        <w:trPr>
          <w:cantSplit/>
          <w:trHeight w:val="20"/>
          <w:tblHeader/>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57EB97" w14:textId="77777777" w:rsidR="00BE7F89" w:rsidRPr="00470D3D" w:rsidRDefault="00BE7F89" w:rsidP="005A428D">
            <w:pPr>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F5F544" w14:textId="77777777" w:rsidR="00BE7F89" w:rsidRPr="00C07B2E" w:rsidRDefault="00BE7F89" w:rsidP="005A428D">
            <w:r w:rsidRPr="00C07B2E">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CF23D1" w14:textId="77777777" w:rsidR="00BE7F89" w:rsidRPr="00C07B2E" w:rsidRDefault="00BE7F89" w:rsidP="005A428D">
            <w:r w:rsidRPr="00C07B2E">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9DFB45" w14:textId="77777777" w:rsidR="00BE7F89" w:rsidRPr="00C07B2E" w:rsidRDefault="00BE7F89" w:rsidP="005A428D">
            <w:r w:rsidRPr="00C07B2E">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BD40BC" w14:textId="77777777" w:rsidR="00BE7F89" w:rsidRPr="00C07B2E" w:rsidRDefault="00BE7F89" w:rsidP="005A428D">
            <w:r w:rsidRPr="00C07B2E">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694EC1" w14:textId="77777777" w:rsidR="00BE7F89" w:rsidRPr="00C07B2E" w:rsidRDefault="00BE7F89" w:rsidP="005A428D">
            <w:r w:rsidRPr="00C07B2E">
              <w:rPr>
                <w:rFonts w:eastAsia="SimSun"/>
              </w:rPr>
              <w:t>Порядок введения</w:t>
            </w:r>
          </w:p>
        </w:tc>
      </w:tr>
      <w:tr w:rsidR="00BE7F89" w:rsidRPr="00C07B2E" w14:paraId="46F47A8E" w14:textId="77777777" w:rsidTr="005A428D">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A0306C7" w14:textId="77777777" w:rsidR="00BE7F89" w:rsidRPr="00C07B2E" w:rsidRDefault="00BE7F89" w:rsidP="005A428D">
            <w:r w:rsidRPr="00C07B2E">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27F99A" w14:textId="77777777" w:rsidR="00BE7F89" w:rsidRPr="00C07B2E" w:rsidRDefault="00BE7F89" w:rsidP="005A428D">
            <w:r w:rsidRPr="00C07B2E">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9F65C8" w14:textId="77777777" w:rsidR="00BE7F89" w:rsidRPr="00C07B2E" w:rsidRDefault="00BE7F89" w:rsidP="005A428D">
            <w:r w:rsidRPr="00C07B2E">
              <w:t>30 мг/м</w:t>
            </w:r>
            <w:r w:rsidRPr="00C07B2E">
              <w:rPr>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108584" w14:textId="77777777" w:rsidR="00BE7F89" w:rsidRPr="00C07B2E" w:rsidRDefault="00BE7F89" w:rsidP="005A428D">
            <w:r w:rsidRPr="00C07B2E">
              <w:t>150 мг/м</w:t>
            </w:r>
            <w:r w:rsidRPr="00C07B2E">
              <w:rPr>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DF0D52" w14:textId="77777777" w:rsidR="00BE7F89" w:rsidRPr="00C07B2E" w:rsidRDefault="00BE7F89" w:rsidP="005A428D">
            <w:r w:rsidRPr="00C07B2E">
              <w:rPr>
                <w:rFonts w:eastAsia="SimSun"/>
              </w:rPr>
              <w:t xml:space="preserve">С </w:t>
            </w:r>
            <w:r w:rsidRPr="00C07B2E">
              <w:rPr>
                <w:rFonts w:eastAsia="SimSun"/>
                <w:lang w:val="en-US"/>
              </w:rPr>
              <w:t>–</w:t>
            </w:r>
            <w:r w:rsidRPr="00C07B2E">
              <w:rPr>
                <w:rFonts w:eastAsia="SimSun"/>
              </w:rPr>
              <w:t xml:space="preserve">6 по </w:t>
            </w:r>
            <w:r w:rsidRPr="00C07B2E">
              <w:rPr>
                <w:rFonts w:eastAsia="SimSun"/>
                <w:lang w:val="en-US"/>
              </w:rPr>
              <w:t>–</w:t>
            </w:r>
            <w:r w:rsidRPr="00C07B2E">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0EB9A2" w14:textId="77777777" w:rsidR="00BE7F89" w:rsidRPr="00C07B2E" w:rsidRDefault="00BE7F89" w:rsidP="005A428D">
            <w:r w:rsidRPr="00C07B2E">
              <w:rPr>
                <w:rFonts w:eastAsia="SimSun"/>
              </w:rPr>
              <w:t>В/в, в течение 30 - 60 мин</w:t>
            </w:r>
          </w:p>
        </w:tc>
      </w:tr>
      <w:tr w:rsidR="00BE7F89" w:rsidRPr="00C07B2E" w14:paraId="060D2A19" w14:textId="77777777" w:rsidTr="005A428D">
        <w:trPr>
          <w:cantSplit/>
          <w:trHeight w:val="2123"/>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0E7959" w14:textId="77777777" w:rsidR="00BE7F89" w:rsidRPr="00C07B2E" w:rsidRDefault="00BE7F89" w:rsidP="005A428D"/>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52040E" w14:textId="77777777" w:rsidR="00BE7F89" w:rsidRPr="00C07B2E" w:rsidRDefault="00BE7F89" w:rsidP="005A428D">
            <w:r w:rsidRPr="00C07B2E">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7253D1" w14:textId="77777777" w:rsidR="00BE7F89" w:rsidRPr="00C07B2E" w:rsidRDefault="00BE7F89" w:rsidP="005A428D">
            <w:r w:rsidRPr="00C07B2E">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0664BF" w14:textId="77777777" w:rsidR="00BE7F89" w:rsidRPr="00C07B2E" w:rsidRDefault="00BE7F89" w:rsidP="005A428D">
            <w:r w:rsidRPr="00C07B2E">
              <w:rPr>
                <w:rFonts w:eastAsia="SimSun"/>
              </w:rPr>
              <w:t>12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53DBD6" w14:textId="77777777" w:rsidR="00BE7F89" w:rsidRPr="00C07B2E" w:rsidRDefault="00BE7F89" w:rsidP="005A428D">
            <w:r w:rsidRPr="00C07B2E">
              <w:rPr>
                <w:rFonts w:eastAsia="SimSun"/>
                <w:lang w:val="en-US"/>
              </w:rPr>
              <w:t>-5, –4</w:t>
            </w:r>
            <w:r w:rsidRPr="00C07B2E">
              <w:rPr>
                <w:rFonts w:eastAsia="SimSun"/>
              </w:rPr>
              <w:t xml:space="preserve">, </w:t>
            </w:r>
            <w:r w:rsidRPr="00C07B2E">
              <w:rPr>
                <w:rFonts w:eastAsia="SimSun"/>
                <w:lang w:val="en-US"/>
              </w:rPr>
              <w:t>–3</w:t>
            </w:r>
            <w:r w:rsidRPr="00C07B2E">
              <w:rPr>
                <w:rFonts w:eastAsia="SimSun"/>
              </w:rPr>
              <w:t xml:space="preserve">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258286" w14:textId="77777777" w:rsidR="00BE7F89" w:rsidRPr="00C07B2E" w:rsidRDefault="00BE7F89" w:rsidP="005A428D">
            <w:r w:rsidRPr="00C07B2E">
              <w:rPr>
                <w:rFonts w:eastAsia="SimSun"/>
              </w:rPr>
              <w:t>Внутрь, суммарная суточная доза разделяется на 4 приема с интервалом 6 часов.</w:t>
            </w:r>
          </w:p>
        </w:tc>
      </w:tr>
      <w:tr w:rsidR="00BE7F89" w:rsidRPr="00C07B2E" w14:paraId="204EBAB4" w14:textId="77777777" w:rsidTr="005A428D">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214A546" w14:textId="77777777" w:rsidR="00BE7F89" w:rsidRPr="00C07B2E" w:rsidRDefault="00BE7F89" w:rsidP="005A428D">
            <w:r w:rsidRPr="00C07B2E">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153E01" w14:textId="77777777" w:rsidR="00BE7F89" w:rsidRPr="00C07B2E" w:rsidRDefault="00BE7F89" w:rsidP="005A428D">
            <w:r w:rsidRPr="00C07B2E">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F88275" w14:textId="77777777" w:rsidR="00BE7F89" w:rsidRPr="00C07B2E" w:rsidRDefault="00BE7F89" w:rsidP="005A428D">
            <w:r w:rsidRPr="00C07B2E">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B19108" w14:textId="77777777" w:rsidR="00BE7F89" w:rsidRPr="00C07B2E" w:rsidRDefault="00BE7F89" w:rsidP="005A428D">
            <w:r w:rsidRPr="00C07B2E">
              <w:rPr>
                <w:rFonts w:eastAsia="SimSun"/>
                <w:lang w:val="en-US"/>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15A12B" w14:textId="77777777" w:rsidR="00BE7F89" w:rsidRPr="00C07B2E" w:rsidRDefault="00BE7F89" w:rsidP="005A428D">
            <w:r w:rsidRPr="00C07B2E">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D4D07B" w14:textId="77777777" w:rsidR="00BE7F89" w:rsidRPr="000F445E" w:rsidRDefault="00BE7F89" w:rsidP="005A428D">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х</w:t>
            </w:r>
            <w:r w:rsidRPr="000F445E">
              <w:rPr>
                <w:rFonts w:eastAsia="SimSun"/>
              </w:rPr>
              <w:t xml:space="preserve"> 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r w:rsidR="00BE7F89" w:rsidRPr="00C07B2E" w14:paraId="5BDA7300" w14:textId="77777777" w:rsidTr="005A428D">
        <w:trPr>
          <w:cantSplit/>
          <w:trHeight w:val="20"/>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5D51D4" w14:textId="77777777" w:rsidR="00BE7F89" w:rsidRPr="00C07B2E" w:rsidRDefault="00BE7F89" w:rsidP="005A428D"/>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18DB9A" w14:textId="77777777" w:rsidR="00BE7F89" w:rsidRPr="00C07B2E" w:rsidRDefault="00BE7F89" w:rsidP="005A428D">
            <w:r w:rsidRPr="00C07B2E">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AD7585" w14:textId="77777777" w:rsidR="00BE7F89" w:rsidRPr="00C07B2E" w:rsidRDefault="00BE7F89" w:rsidP="005A428D">
            <w:r w:rsidRPr="00C07B2E">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82293C" w14:textId="77777777" w:rsidR="00BE7F89" w:rsidRPr="00C07B2E" w:rsidRDefault="00BE7F89" w:rsidP="005A428D">
            <w:r w:rsidRPr="00C07B2E">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74CC4C" w14:textId="77777777" w:rsidR="00BE7F89" w:rsidRPr="00C07B2E" w:rsidRDefault="00BE7F89" w:rsidP="005A428D">
            <w:r w:rsidRPr="00C07B2E">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CE4FDB" w14:textId="77777777" w:rsidR="00BE7F89" w:rsidRPr="000F445E" w:rsidRDefault="00BE7F89" w:rsidP="005A428D">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BE7F89" w:rsidRPr="00C07B2E" w14:paraId="70D227A0" w14:textId="77777777" w:rsidTr="005A428D">
        <w:trPr>
          <w:cantSplit/>
          <w:trHeight w:val="464"/>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7ABD29" w14:textId="77777777" w:rsidR="00BE7F89" w:rsidRPr="00C07B2E" w:rsidRDefault="00BE7F89" w:rsidP="005A428D"/>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B7B8E5" w14:textId="77777777" w:rsidR="00BE7F89" w:rsidRPr="00C07B2E" w:rsidRDefault="00BE7F89" w:rsidP="005A428D">
            <w:r w:rsidRPr="00C07B2E">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3CEB5A" w14:textId="77777777" w:rsidR="00BE7F89" w:rsidRPr="00C07B2E" w:rsidRDefault="00BE7F89" w:rsidP="005A428D">
            <w:r w:rsidRPr="00C07B2E">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1DC472" w14:textId="77777777" w:rsidR="00BE7F89" w:rsidRPr="00C07B2E" w:rsidRDefault="00BE7F89" w:rsidP="005A428D">
            <w:r w:rsidRPr="00C07B2E">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0620B5" w14:textId="77777777" w:rsidR="00BE7F89" w:rsidRPr="00C07B2E" w:rsidRDefault="00BE7F89" w:rsidP="005A428D">
            <w:r w:rsidRPr="00C07B2E">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218AAF" w14:textId="77777777" w:rsidR="00BE7F89" w:rsidRPr="00C07B2E" w:rsidRDefault="00BE7F89" w:rsidP="005A428D">
            <w:r w:rsidRPr="00C07B2E">
              <w:rPr>
                <w:rFonts w:eastAsia="SimSun"/>
              </w:rPr>
              <w:t xml:space="preserve">В/в, в течение 2 ч  </w:t>
            </w:r>
          </w:p>
        </w:tc>
      </w:tr>
    </w:tbl>
    <w:p w14:paraId="49470CFA" w14:textId="77777777" w:rsidR="00BE7F89" w:rsidRPr="00C07B2E" w:rsidRDefault="00BE7F89" w:rsidP="00BE7F89">
      <w:pPr>
        <w:rPr>
          <w:rFonts w:eastAsia="SimSun"/>
        </w:rPr>
      </w:pPr>
    </w:p>
    <w:p w14:paraId="45C9A35E" w14:textId="77777777" w:rsidR="00BE7F89" w:rsidRPr="00C07B2E" w:rsidRDefault="00BE7F89" w:rsidP="00BE7F89">
      <w:pPr>
        <w:rPr>
          <w:rFonts w:eastAsia="SimSun"/>
        </w:rPr>
      </w:pPr>
      <w:bookmarkStart w:id="140" w:name="_Toc44401147"/>
      <w:r w:rsidRPr="00042499">
        <w:rPr>
          <w:rFonts w:eastAsia="SimSun"/>
        </w:rPr>
        <w:t>Таблица</w:t>
      </w:r>
      <w:r w:rsidRPr="00C07B2E">
        <w:rPr>
          <w:rFonts w:eastAsia="SimSun"/>
        </w:rPr>
        <w:t xml:space="preserve"> </w:t>
      </w:r>
      <w:r>
        <w:rPr>
          <w:rFonts w:eastAsia="SimSun"/>
        </w:rPr>
        <w:t>5</w:t>
      </w:r>
      <w:r w:rsidRPr="00C07B2E">
        <w:rPr>
          <w:rFonts w:eastAsia="SimSun"/>
        </w:rPr>
        <w:t>.1.1.4  – Flu180+Bu12 / Tx+MMF30</w:t>
      </w:r>
      <w:bookmarkEnd w:id="140"/>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BE7F89" w:rsidRPr="00C07B2E" w14:paraId="59ABBBCE" w14:textId="77777777" w:rsidTr="005A428D">
        <w:trPr>
          <w:cantSplit/>
          <w:trHeight w:val="20"/>
          <w:tblHeader/>
          <w:jc w:val="right"/>
        </w:trPr>
        <w:tc>
          <w:tcPr>
            <w:tcW w:w="709" w:type="dxa"/>
            <w:vAlign w:val="center"/>
          </w:tcPr>
          <w:p w14:paraId="638D311A" w14:textId="77777777" w:rsidR="00BE7F89" w:rsidRPr="00C07B2E" w:rsidRDefault="00BE7F89" w:rsidP="005A428D">
            <w:pPr>
              <w:rPr>
                <w:rFonts w:eastAsia="SimSun"/>
              </w:rPr>
            </w:pPr>
          </w:p>
        </w:tc>
        <w:tc>
          <w:tcPr>
            <w:tcW w:w="1843" w:type="dxa"/>
            <w:vAlign w:val="center"/>
          </w:tcPr>
          <w:p w14:paraId="3AA19820" w14:textId="77777777" w:rsidR="00BE7F89" w:rsidRPr="00C07B2E" w:rsidRDefault="00BE7F89" w:rsidP="005A428D">
            <w:pPr>
              <w:rPr>
                <w:rFonts w:eastAsia="SimSun"/>
              </w:rPr>
            </w:pPr>
            <w:r w:rsidRPr="00C07B2E">
              <w:rPr>
                <w:rFonts w:eastAsia="SimSun"/>
              </w:rPr>
              <w:t>Препарат</w:t>
            </w:r>
          </w:p>
        </w:tc>
        <w:tc>
          <w:tcPr>
            <w:tcW w:w="1417" w:type="dxa"/>
            <w:vAlign w:val="center"/>
          </w:tcPr>
          <w:p w14:paraId="6455C9C2" w14:textId="77777777" w:rsidR="00BE7F89" w:rsidRPr="00C07B2E" w:rsidRDefault="00BE7F89" w:rsidP="005A428D">
            <w:pPr>
              <w:rPr>
                <w:rFonts w:eastAsia="SimSun"/>
              </w:rPr>
            </w:pPr>
            <w:r w:rsidRPr="00C07B2E">
              <w:rPr>
                <w:rFonts w:eastAsia="SimSun"/>
              </w:rPr>
              <w:t>Суточная доза</w:t>
            </w:r>
          </w:p>
        </w:tc>
        <w:tc>
          <w:tcPr>
            <w:tcW w:w="1418" w:type="dxa"/>
            <w:vAlign w:val="center"/>
          </w:tcPr>
          <w:p w14:paraId="4A29F1EA" w14:textId="77777777" w:rsidR="00BE7F89" w:rsidRPr="00C07B2E" w:rsidRDefault="00BE7F89" w:rsidP="005A428D">
            <w:pPr>
              <w:rPr>
                <w:rFonts w:eastAsia="SimSun"/>
              </w:rPr>
            </w:pPr>
            <w:r w:rsidRPr="00C07B2E">
              <w:rPr>
                <w:rFonts w:eastAsia="SimSun"/>
              </w:rPr>
              <w:t>Курсовая доза</w:t>
            </w:r>
          </w:p>
        </w:tc>
        <w:tc>
          <w:tcPr>
            <w:tcW w:w="1701" w:type="dxa"/>
            <w:vAlign w:val="center"/>
          </w:tcPr>
          <w:p w14:paraId="46328110" w14:textId="77777777" w:rsidR="00BE7F89" w:rsidRPr="00C07B2E" w:rsidRDefault="00BE7F89" w:rsidP="005A428D">
            <w:pPr>
              <w:rPr>
                <w:rFonts w:eastAsia="SimSun"/>
              </w:rPr>
            </w:pPr>
            <w:r w:rsidRPr="00C07B2E">
              <w:rPr>
                <w:rFonts w:eastAsia="SimSun"/>
              </w:rPr>
              <w:t>Дни введения</w:t>
            </w:r>
          </w:p>
        </w:tc>
        <w:tc>
          <w:tcPr>
            <w:tcW w:w="2268" w:type="dxa"/>
            <w:vAlign w:val="center"/>
          </w:tcPr>
          <w:p w14:paraId="1A8E2199" w14:textId="77777777" w:rsidR="00BE7F89" w:rsidRPr="00C07B2E" w:rsidRDefault="00BE7F89" w:rsidP="005A428D">
            <w:pPr>
              <w:rPr>
                <w:rFonts w:eastAsia="SimSun"/>
              </w:rPr>
            </w:pPr>
            <w:r w:rsidRPr="00C07B2E">
              <w:rPr>
                <w:rFonts w:eastAsia="SimSun"/>
              </w:rPr>
              <w:t>Порядок введения</w:t>
            </w:r>
          </w:p>
        </w:tc>
      </w:tr>
      <w:tr w:rsidR="00BE7F89" w:rsidRPr="00C07B2E" w14:paraId="0099F043" w14:textId="77777777" w:rsidTr="005A428D">
        <w:trPr>
          <w:cantSplit/>
          <w:trHeight w:val="20"/>
          <w:jc w:val="right"/>
        </w:trPr>
        <w:tc>
          <w:tcPr>
            <w:tcW w:w="709" w:type="dxa"/>
            <w:vMerge w:val="restart"/>
            <w:textDirection w:val="btLr"/>
            <w:vAlign w:val="center"/>
          </w:tcPr>
          <w:p w14:paraId="2C50A3C8" w14:textId="77777777" w:rsidR="00BE7F89" w:rsidRPr="00C07B2E" w:rsidRDefault="00BE7F89" w:rsidP="005A428D">
            <w:pPr>
              <w:rPr>
                <w:rFonts w:eastAsia="SimSun"/>
              </w:rPr>
            </w:pPr>
            <w:r w:rsidRPr="00C07B2E">
              <w:rPr>
                <w:rFonts w:eastAsia="SimSun"/>
              </w:rPr>
              <w:t>Кондиционирование</w:t>
            </w:r>
          </w:p>
        </w:tc>
        <w:tc>
          <w:tcPr>
            <w:tcW w:w="1843" w:type="dxa"/>
            <w:vAlign w:val="center"/>
          </w:tcPr>
          <w:p w14:paraId="2CA7F03F" w14:textId="77777777" w:rsidR="00BE7F89" w:rsidRPr="00C07B2E" w:rsidRDefault="00BE7F89" w:rsidP="005A428D">
            <w:pPr>
              <w:rPr>
                <w:rFonts w:eastAsia="SimSun"/>
              </w:rPr>
            </w:pPr>
            <w:r w:rsidRPr="00C07B2E">
              <w:rPr>
                <w:rFonts w:eastAsia="SimSun"/>
              </w:rPr>
              <w:t xml:space="preserve">Флударабин </w:t>
            </w:r>
          </w:p>
        </w:tc>
        <w:tc>
          <w:tcPr>
            <w:tcW w:w="1417" w:type="dxa"/>
            <w:vAlign w:val="center"/>
          </w:tcPr>
          <w:p w14:paraId="41B86A64" w14:textId="77777777" w:rsidR="00BE7F89" w:rsidRPr="00C07B2E" w:rsidRDefault="00BE7F89" w:rsidP="005A428D">
            <w:pPr>
              <w:rPr>
                <w:rFonts w:eastAsia="SimSun"/>
              </w:rPr>
            </w:pPr>
            <w:r w:rsidRPr="00C07B2E">
              <w:rPr>
                <w:rFonts w:eastAsia="SimSun"/>
              </w:rPr>
              <w:t>30 мг/</w:t>
            </w:r>
            <w:r w:rsidRPr="000F445E">
              <w:rPr>
                <w:rFonts w:eastAsia="SimSun"/>
              </w:rPr>
              <w:t>м</w:t>
            </w:r>
            <w:r w:rsidRPr="000F445E">
              <w:rPr>
                <w:rFonts w:eastAsia="SimSun"/>
                <w:vertAlign w:val="superscript"/>
              </w:rPr>
              <w:t>2</w:t>
            </w:r>
          </w:p>
        </w:tc>
        <w:tc>
          <w:tcPr>
            <w:tcW w:w="1418" w:type="dxa"/>
            <w:vAlign w:val="center"/>
          </w:tcPr>
          <w:p w14:paraId="5AD65F6F" w14:textId="77777777" w:rsidR="00BE7F89" w:rsidRPr="00C07B2E" w:rsidRDefault="00BE7F89" w:rsidP="005A428D">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6D180EBF" w14:textId="77777777" w:rsidR="00BE7F89" w:rsidRPr="00C07B2E" w:rsidRDefault="00BE7F89" w:rsidP="005A428D">
            <w:pPr>
              <w:rPr>
                <w:rFonts w:eastAsia="SimSun"/>
              </w:rPr>
            </w:pPr>
            <w:r w:rsidRPr="00C07B2E">
              <w:rPr>
                <w:rFonts w:eastAsia="SimSun"/>
              </w:rPr>
              <w:t>С -7 дня по -2 день</w:t>
            </w:r>
          </w:p>
        </w:tc>
        <w:tc>
          <w:tcPr>
            <w:tcW w:w="2268" w:type="dxa"/>
            <w:vAlign w:val="center"/>
          </w:tcPr>
          <w:p w14:paraId="4EFAA508" w14:textId="77777777" w:rsidR="00BE7F89" w:rsidRPr="00C07B2E" w:rsidRDefault="00BE7F89" w:rsidP="005A428D">
            <w:pPr>
              <w:rPr>
                <w:rFonts w:eastAsia="SimSun"/>
              </w:rPr>
            </w:pPr>
            <w:r w:rsidRPr="00C07B2E">
              <w:rPr>
                <w:rFonts w:eastAsia="SimSun"/>
              </w:rPr>
              <w:t>В/в, в течение 30 - 60 мин</w:t>
            </w:r>
          </w:p>
        </w:tc>
      </w:tr>
      <w:tr w:rsidR="00BE7F89" w:rsidRPr="00C07B2E" w14:paraId="0A628D4F" w14:textId="77777777" w:rsidTr="005A428D">
        <w:trPr>
          <w:cantSplit/>
          <w:trHeight w:val="1207"/>
          <w:jc w:val="right"/>
        </w:trPr>
        <w:tc>
          <w:tcPr>
            <w:tcW w:w="709" w:type="dxa"/>
            <w:vMerge/>
            <w:vAlign w:val="center"/>
          </w:tcPr>
          <w:p w14:paraId="2CA2F157" w14:textId="77777777" w:rsidR="00BE7F89" w:rsidRPr="00C07B2E" w:rsidRDefault="00BE7F89" w:rsidP="005A428D">
            <w:pPr>
              <w:rPr>
                <w:rFonts w:eastAsia="SimSun"/>
              </w:rPr>
            </w:pPr>
          </w:p>
        </w:tc>
        <w:tc>
          <w:tcPr>
            <w:tcW w:w="1843" w:type="dxa"/>
            <w:vAlign w:val="center"/>
          </w:tcPr>
          <w:p w14:paraId="02115686" w14:textId="77777777" w:rsidR="00BE7F89" w:rsidRPr="00C07B2E" w:rsidRDefault="00BE7F89" w:rsidP="005A428D">
            <w:pPr>
              <w:rPr>
                <w:rFonts w:eastAsia="SimSun"/>
              </w:rPr>
            </w:pPr>
            <w:r w:rsidRPr="00C07B2E">
              <w:rPr>
                <w:rFonts w:eastAsia="SimSun"/>
              </w:rPr>
              <w:t>Бусульфан</w:t>
            </w:r>
          </w:p>
        </w:tc>
        <w:tc>
          <w:tcPr>
            <w:tcW w:w="1417" w:type="dxa"/>
            <w:vAlign w:val="center"/>
          </w:tcPr>
          <w:p w14:paraId="6E310F55" w14:textId="77777777" w:rsidR="00BE7F89" w:rsidRPr="00C07B2E" w:rsidRDefault="00BE7F89" w:rsidP="005A428D">
            <w:pPr>
              <w:rPr>
                <w:rFonts w:eastAsia="SimSun"/>
              </w:rPr>
            </w:pPr>
            <w:r w:rsidRPr="00C07B2E">
              <w:rPr>
                <w:rFonts w:eastAsia="SimSun"/>
              </w:rPr>
              <w:t xml:space="preserve">4 мг/кг </w:t>
            </w:r>
          </w:p>
        </w:tc>
        <w:tc>
          <w:tcPr>
            <w:tcW w:w="1418" w:type="dxa"/>
            <w:vAlign w:val="center"/>
          </w:tcPr>
          <w:p w14:paraId="6B261E5C" w14:textId="77777777" w:rsidR="00BE7F89" w:rsidRPr="00C07B2E" w:rsidRDefault="00BE7F89" w:rsidP="005A428D">
            <w:pPr>
              <w:rPr>
                <w:rFonts w:eastAsia="SimSun"/>
              </w:rPr>
            </w:pPr>
            <w:r w:rsidRPr="00C07B2E">
              <w:rPr>
                <w:rFonts w:eastAsia="SimSun"/>
                <w:lang w:val="en-US"/>
              </w:rPr>
              <w:t>12</w:t>
            </w:r>
            <w:r w:rsidRPr="00C07B2E">
              <w:rPr>
                <w:rFonts w:eastAsia="SimSun"/>
              </w:rPr>
              <w:t xml:space="preserve"> мг/кг </w:t>
            </w:r>
          </w:p>
        </w:tc>
        <w:tc>
          <w:tcPr>
            <w:tcW w:w="1701" w:type="dxa"/>
            <w:vAlign w:val="center"/>
          </w:tcPr>
          <w:p w14:paraId="3067ACEE" w14:textId="77777777" w:rsidR="00BE7F89" w:rsidRPr="00C07B2E" w:rsidRDefault="00BE7F89" w:rsidP="005A428D">
            <w:pPr>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14:paraId="1461E388" w14:textId="77777777" w:rsidR="00BE7F89" w:rsidRPr="00C07B2E" w:rsidRDefault="00BE7F89" w:rsidP="005A428D">
            <w:pPr>
              <w:rPr>
                <w:rFonts w:eastAsia="SimSun"/>
              </w:rPr>
            </w:pPr>
            <w:r w:rsidRPr="00C07B2E">
              <w:rPr>
                <w:rFonts w:eastAsia="SimSun"/>
              </w:rPr>
              <w:t xml:space="preserve">Внутрь, суммарная суточная доза разделяется на 4 приема с интервалом 6 часов. </w:t>
            </w:r>
          </w:p>
        </w:tc>
      </w:tr>
      <w:tr w:rsidR="00BE7F89" w:rsidRPr="00C07B2E" w14:paraId="46DE68BC" w14:textId="77777777" w:rsidTr="005A428D">
        <w:trPr>
          <w:cantSplit/>
          <w:trHeight w:val="1498"/>
          <w:jc w:val="right"/>
        </w:trPr>
        <w:tc>
          <w:tcPr>
            <w:tcW w:w="709" w:type="dxa"/>
            <w:vMerge w:val="restart"/>
            <w:textDirection w:val="btLr"/>
            <w:vAlign w:val="center"/>
          </w:tcPr>
          <w:p w14:paraId="01D3CC52" w14:textId="77777777" w:rsidR="00BE7F89" w:rsidRPr="00C07B2E" w:rsidRDefault="00BE7F89" w:rsidP="005A428D">
            <w:pPr>
              <w:rPr>
                <w:rFonts w:eastAsia="SimSun"/>
              </w:rPr>
            </w:pPr>
            <w:r w:rsidRPr="00C07B2E">
              <w:rPr>
                <w:rFonts w:eastAsia="SimSun"/>
              </w:rPr>
              <w:t>Профилактика РТПХ</w:t>
            </w:r>
          </w:p>
        </w:tc>
        <w:tc>
          <w:tcPr>
            <w:tcW w:w="1843" w:type="dxa"/>
            <w:vAlign w:val="center"/>
          </w:tcPr>
          <w:p w14:paraId="3552173E" w14:textId="77777777" w:rsidR="00BE7F89" w:rsidRPr="00C07B2E" w:rsidRDefault="00BE7F89" w:rsidP="005A428D">
            <w:pPr>
              <w:rPr>
                <w:rFonts w:eastAsia="SimSun"/>
              </w:rPr>
            </w:pPr>
            <w:r w:rsidRPr="00C07B2E">
              <w:rPr>
                <w:rFonts w:eastAsia="SimSun"/>
              </w:rPr>
              <w:t xml:space="preserve">Такролимус </w:t>
            </w:r>
          </w:p>
        </w:tc>
        <w:tc>
          <w:tcPr>
            <w:tcW w:w="1417" w:type="dxa"/>
            <w:vAlign w:val="center"/>
          </w:tcPr>
          <w:p w14:paraId="29527ADF" w14:textId="77777777" w:rsidR="00BE7F89" w:rsidRPr="00C07B2E" w:rsidRDefault="00BE7F89" w:rsidP="005A428D">
            <w:pPr>
              <w:rPr>
                <w:rFonts w:eastAsia="SimSun"/>
              </w:rPr>
            </w:pPr>
            <w:r w:rsidRPr="00C07B2E">
              <w:rPr>
                <w:rFonts w:eastAsia="SimSun"/>
              </w:rPr>
              <w:t>0,03 мг/кг</w:t>
            </w:r>
          </w:p>
        </w:tc>
        <w:tc>
          <w:tcPr>
            <w:tcW w:w="1418" w:type="dxa"/>
            <w:vAlign w:val="center"/>
          </w:tcPr>
          <w:p w14:paraId="5C408338" w14:textId="77777777" w:rsidR="00BE7F89" w:rsidRPr="00C07B2E" w:rsidRDefault="00BE7F89" w:rsidP="005A428D">
            <w:pPr>
              <w:rPr>
                <w:rFonts w:eastAsia="SimSun"/>
              </w:rPr>
            </w:pPr>
            <w:r w:rsidRPr="00C07B2E">
              <w:rPr>
                <w:rFonts w:eastAsia="SimSun"/>
                <w:lang w:val="en-US"/>
              </w:rPr>
              <w:t>–</w:t>
            </w:r>
          </w:p>
        </w:tc>
        <w:tc>
          <w:tcPr>
            <w:tcW w:w="1701" w:type="dxa"/>
            <w:vAlign w:val="center"/>
          </w:tcPr>
          <w:p w14:paraId="31F6DCC0" w14:textId="77777777" w:rsidR="00BE7F89" w:rsidRPr="00C07B2E" w:rsidRDefault="00BE7F89" w:rsidP="005A428D">
            <w:pPr>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длительно </w:t>
            </w:r>
          </w:p>
        </w:tc>
        <w:tc>
          <w:tcPr>
            <w:tcW w:w="2268" w:type="dxa"/>
            <w:vAlign w:val="center"/>
          </w:tcPr>
          <w:p w14:paraId="667F90AF" w14:textId="77777777" w:rsidR="00BE7F89" w:rsidRPr="000F445E" w:rsidRDefault="00BE7F89" w:rsidP="005A428D">
            <w:pPr>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lang w:val="en-US"/>
              </w:rPr>
              <w:t>Tx</w:t>
            </w:r>
            <w:r w:rsidRPr="000F445E">
              <w:rPr>
                <w:rFonts w:eastAsia="SimSun"/>
              </w:rPr>
              <w:t xml:space="preserve"> 5-15 нг/мл.    </w:t>
            </w:r>
          </w:p>
        </w:tc>
      </w:tr>
      <w:tr w:rsidR="00BE7F89" w:rsidRPr="00C07B2E" w14:paraId="4E8150D8" w14:textId="77777777" w:rsidTr="005A428D">
        <w:trPr>
          <w:cantSplit/>
          <w:trHeight w:val="2381"/>
          <w:jc w:val="right"/>
        </w:trPr>
        <w:tc>
          <w:tcPr>
            <w:tcW w:w="709" w:type="dxa"/>
            <w:vMerge/>
            <w:textDirection w:val="btLr"/>
            <w:vAlign w:val="center"/>
          </w:tcPr>
          <w:p w14:paraId="5D64C1FF" w14:textId="77777777" w:rsidR="00BE7F89" w:rsidRPr="000F445E" w:rsidRDefault="00BE7F89" w:rsidP="005A428D">
            <w:pPr>
              <w:rPr>
                <w:rFonts w:eastAsia="SimSun"/>
              </w:rPr>
            </w:pPr>
          </w:p>
        </w:tc>
        <w:tc>
          <w:tcPr>
            <w:tcW w:w="1843" w:type="dxa"/>
            <w:vAlign w:val="center"/>
          </w:tcPr>
          <w:p w14:paraId="7D733B56" w14:textId="77777777" w:rsidR="00BE7F89" w:rsidRPr="00C07B2E" w:rsidRDefault="00BE7F89" w:rsidP="005A428D">
            <w:pPr>
              <w:rPr>
                <w:rFonts w:eastAsia="SimSun"/>
              </w:rPr>
            </w:pPr>
            <w:r w:rsidRPr="00C07B2E">
              <w:rPr>
                <w:rFonts w:eastAsia="SimSun"/>
              </w:rPr>
              <w:t>Микофенолата мофетил</w:t>
            </w:r>
          </w:p>
        </w:tc>
        <w:tc>
          <w:tcPr>
            <w:tcW w:w="1417" w:type="dxa"/>
            <w:vAlign w:val="center"/>
          </w:tcPr>
          <w:p w14:paraId="48B83B11" w14:textId="77777777" w:rsidR="00BE7F89" w:rsidRPr="00C07B2E" w:rsidRDefault="00BE7F89" w:rsidP="005A428D">
            <w:pPr>
              <w:rPr>
                <w:rFonts w:eastAsia="SimSun"/>
              </w:rPr>
            </w:pPr>
            <w:r w:rsidRPr="00C07B2E">
              <w:rPr>
                <w:rFonts w:eastAsia="SimSun"/>
              </w:rPr>
              <w:t xml:space="preserve">30 мг/кг </w:t>
            </w:r>
          </w:p>
        </w:tc>
        <w:tc>
          <w:tcPr>
            <w:tcW w:w="1418" w:type="dxa"/>
            <w:vAlign w:val="center"/>
          </w:tcPr>
          <w:p w14:paraId="5EBED982" w14:textId="77777777" w:rsidR="00BE7F89" w:rsidRPr="00C07B2E" w:rsidRDefault="00BE7F89" w:rsidP="005A428D">
            <w:pPr>
              <w:rPr>
                <w:rFonts w:eastAsia="SimSun"/>
              </w:rPr>
            </w:pPr>
            <w:r w:rsidRPr="00C07B2E">
              <w:rPr>
                <w:rFonts w:eastAsia="SimSun"/>
              </w:rPr>
              <w:t>–</w:t>
            </w:r>
          </w:p>
        </w:tc>
        <w:tc>
          <w:tcPr>
            <w:tcW w:w="1701" w:type="dxa"/>
            <w:vAlign w:val="center"/>
          </w:tcPr>
          <w:p w14:paraId="5AAB445D" w14:textId="77777777" w:rsidR="00BE7F89" w:rsidRPr="00C07B2E" w:rsidRDefault="00BE7F89" w:rsidP="005A428D">
            <w:pPr>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по +3</w:t>
            </w:r>
            <w:r w:rsidRPr="00C07B2E">
              <w:rPr>
                <w:rFonts w:eastAsia="SimSun"/>
                <w:lang w:val="en-US"/>
              </w:rPr>
              <w:t>0</w:t>
            </w:r>
            <w:r w:rsidRPr="00C07B2E">
              <w:rPr>
                <w:rFonts w:eastAsia="SimSun"/>
              </w:rPr>
              <w:t xml:space="preserve"> день </w:t>
            </w:r>
          </w:p>
        </w:tc>
        <w:tc>
          <w:tcPr>
            <w:tcW w:w="2268" w:type="dxa"/>
            <w:vAlign w:val="center"/>
          </w:tcPr>
          <w:p w14:paraId="776A9274" w14:textId="77777777" w:rsidR="00BE7F89" w:rsidRPr="00C07B2E" w:rsidRDefault="00BE7F89" w:rsidP="005A428D">
            <w:pPr>
              <w:ind w:right="-138"/>
              <w:rPr>
                <w:rFonts w:eastAsia="SimSun"/>
              </w:rPr>
            </w:pPr>
            <w:r w:rsidRPr="00C07B2E">
              <w:rPr>
                <w:rFonts w:eastAsia="SimSun"/>
              </w:rPr>
              <w:t>Внутрь, суммарная суточная доза разделяется на 2- 4 приема (не более 3г/сут)</w:t>
            </w:r>
          </w:p>
        </w:tc>
      </w:tr>
    </w:tbl>
    <w:p w14:paraId="52074D1A" w14:textId="77777777" w:rsidR="00BE7F89" w:rsidRPr="00C07B2E" w:rsidRDefault="00BE7F89" w:rsidP="00BE7F89">
      <w:pPr>
        <w:rPr>
          <w:rFonts w:eastAsia="SimSun"/>
        </w:rPr>
        <w:sectPr w:rsidR="00BE7F89" w:rsidRPr="00C07B2E" w:rsidSect="00980822">
          <w:type w:val="continuous"/>
          <w:pgSz w:w="11907" w:h="16839" w:code="9"/>
          <w:pgMar w:top="1134" w:right="850" w:bottom="1134" w:left="1701" w:header="709" w:footer="567" w:gutter="0"/>
          <w:cols w:space="708"/>
          <w:docGrid w:linePitch="360"/>
        </w:sectPr>
      </w:pPr>
    </w:p>
    <w:p w14:paraId="7D25C817" w14:textId="77777777" w:rsidR="00BE7F89" w:rsidRDefault="00BE7F89" w:rsidP="00BE7F89">
      <w:pPr>
        <w:rPr>
          <w:rFonts w:eastAsia="SimSun"/>
        </w:rPr>
      </w:pPr>
      <w:bookmarkStart w:id="141" w:name="_Toc44401148"/>
    </w:p>
    <w:p w14:paraId="2D7A1EE8"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.1.1.5  – Flu180+Bu12 / PT-Cy</w:t>
      </w:r>
      <w:bookmarkEnd w:id="141"/>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337"/>
        <w:gridCol w:w="1701"/>
        <w:gridCol w:w="2268"/>
      </w:tblGrid>
      <w:tr w:rsidR="00BE7F89" w:rsidRPr="00C07B2E" w14:paraId="6E4869D4" w14:textId="77777777" w:rsidTr="005A428D">
        <w:trPr>
          <w:cantSplit/>
          <w:trHeight w:val="20"/>
          <w:tblHeader/>
        </w:trPr>
        <w:tc>
          <w:tcPr>
            <w:tcW w:w="959" w:type="dxa"/>
            <w:vAlign w:val="center"/>
          </w:tcPr>
          <w:p w14:paraId="41006A32" w14:textId="77777777" w:rsidR="00BE7F89" w:rsidRPr="00980822" w:rsidRDefault="00BE7F89" w:rsidP="005A428D">
            <w:pPr>
              <w:ind w:firstLine="98"/>
              <w:rPr>
                <w:rFonts w:eastAsia="SimSun"/>
              </w:rPr>
            </w:pPr>
          </w:p>
        </w:tc>
        <w:tc>
          <w:tcPr>
            <w:tcW w:w="1843" w:type="dxa"/>
            <w:vAlign w:val="center"/>
          </w:tcPr>
          <w:p w14:paraId="47F6D7AE" w14:textId="77777777" w:rsidR="00BE7F89" w:rsidRPr="00C07B2E" w:rsidRDefault="00BE7F89" w:rsidP="005A428D">
            <w:pPr>
              <w:ind w:firstLine="98"/>
              <w:rPr>
                <w:rFonts w:eastAsia="SimSun"/>
              </w:rPr>
            </w:pPr>
            <w:r w:rsidRPr="00C07B2E">
              <w:rPr>
                <w:rFonts w:eastAsia="SimSun"/>
              </w:rPr>
              <w:t>Препарат</w:t>
            </w:r>
          </w:p>
        </w:tc>
        <w:tc>
          <w:tcPr>
            <w:tcW w:w="1417" w:type="dxa"/>
            <w:vAlign w:val="center"/>
          </w:tcPr>
          <w:p w14:paraId="63BD0E0B" w14:textId="77777777" w:rsidR="00BE7F89" w:rsidRPr="00C07B2E" w:rsidRDefault="00BE7F89" w:rsidP="005A428D">
            <w:pPr>
              <w:ind w:firstLine="98"/>
              <w:rPr>
                <w:rFonts w:eastAsia="SimSun"/>
              </w:rPr>
            </w:pPr>
            <w:r w:rsidRPr="00C07B2E">
              <w:rPr>
                <w:rFonts w:eastAsia="SimSun"/>
              </w:rPr>
              <w:t>Суточная доза</w:t>
            </w:r>
          </w:p>
        </w:tc>
        <w:tc>
          <w:tcPr>
            <w:tcW w:w="1337" w:type="dxa"/>
            <w:vAlign w:val="center"/>
          </w:tcPr>
          <w:p w14:paraId="66D0A20C" w14:textId="77777777" w:rsidR="00BE7F89" w:rsidRPr="00C07B2E" w:rsidRDefault="00BE7F89" w:rsidP="005A428D">
            <w:pPr>
              <w:ind w:firstLine="98"/>
              <w:rPr>
                <w:rFonts w:eastAsia="SimSun"/>
              </w:rPr>
            </w:pPr>
            <w:r w:rsidRPr="00C07B2E">
              <w:rPr>
                <w:rFonts w:eastAsia="SimSun"/>
              </w:rPr>
              <w:t>Курсовая доза</w:t>
            </w:r>
          </w:p>
        </w:tc>
        <w:tc>
          <w:tcPr>
            <w:tcW w:w="1701" w:type="dxa"/>
            <w:vAlign w:val="center"/>
          </w:tcPr>
          <w:p w14:paraId="6CE58F55" w14:textId="77777777" w:rsidR="00BE7F89" w:rsidRPr="00C07B2E" w:rsidRDefault="00BE7F89" w:rsidP="005A428D">
            <w:pPr>
              <w:ind w:firstLine="98"/>
              <w:rPr>
                <w:rFonts w:eastAsia="SimSun"/>
              </w:rPr>
            </w:pPr>
            <w:r w:rsidRPr="00C07B2E">
              <w:rPr>
                <w:rFonts w:eastAsia="SimSun"/>
              </w:rPr>
              <w:t>Дни введения</w:t>
            </w:r>
          </w:p>
        </w:tc>
        <w:tc>
          <w:tcPr>
            <w:tcW w:w="2268" w:type="dxa"/>
            <w:vAlign w:val="center"/>
          </w:tcPr>
          <w:p w14:paraId="3DB89C13" w14:textId="77777777" w:rsidR="00BE7F89" w:rsidRPr="00C07B2E" w:rsidRDefault="00BE7F89" w:rsidP="005A428D">
            <w:pPr>
              <w:ind w:firstLine="98"/>
              <w:rPr>
                <w:rFonts w:eastAsia="SimSun"/>
              </w:rPr>
            </w:pPr>
            <w:r w:rsidRPr="00C07B2E">
              <w:rPr>
                <w:rFonts w:eastAsia="SimSun"/>
              </w:rPr>
              <w:t>Порядок введения</w:t>
            </w:r>
          </w:p>
        </w:tc>
      </w:tr>
      <w:tr w:rsidR="00BE7F89" w:rsidRPr="00C07B2E" w14:paraId="5AF87DD3" w14:textId="77777777" w:rsidTr="005A428D">
        <w:trPr>
          <w:cantSplit/>
          <w:trHeight w:val="20"/>
        </w:trPr>
        <w:tc>
          <w:tcPr>
            <w:tcW w:w="959" w:type="dxa"/>
            <w:vMerge w:val="restart"/>
            <w:textDirection w:val="btLr"/>
            <w:vAlign w:val="center"/>
          </w:tcPr>
          <w:p w14:paraId="6B10DD8E" w14:textId="77777777" w:rsidR="00BE7F89" w:rsidRPr="00C07B2E" w:rsidRDefault="00BE7F89" w:rsidP="005A428D">
            <w:pPr>
              <w:ind w:firstLine="98"/>
              <w:rPr>
                <w:rFonts w:eastAsia="SimSun"/>
              </w:rPr>
            </w:pPr>
            <w:r w:rsidRPr="00C07B2E">
              <w:rPr>
                <w:rFonts w:eastAsia="SimSun"/>
              </w:rPr>
              <w:t>Кондиционирование</w:t>
            </w:r>
          </w:p>
        </w:tc>
        <w:tc>
          <w:tcPr>
            <w:tcW w:w="1843" w:type="dxa"/>
            <w:vAlign w:val="center"/>
          </w:tcPr>
          <w:p w14:paraId="01106E07" w14:textId="77777777" w:rsidR="00BE7F89" w:rsidRPr="00C07B2E" w:rsidRDefault="00BE7F89" w:rsidP="005A428D">
            <w:pPr>
              <w:ind w:firstLine="98"/>
              <w:rPr>
                <w:rFonts w:eastAsia="SimSun"/>
              </w:rPr>
            </w:pPr>
            <w:r w:rsidRPr="00C07B2E">
              <w:rPr>
                <w:rFonts w:eastAsia="SimSun"/>
              </w:rPr>
              <w:t xml:space="preserve">Флударабин </w:t>
            </w:r>
          </w:p>
        </w:tc>
        <w:tc>
          <w:tcPr>
            <w:tcW w:w="1417" w:type="dxa"/>
            <w:vAlign w:val="center"/>
          </w:tcPr>
          <w:p w14:paraId="6E59A322" w14:textId="77777777" w:rsidR="00BE7F89" w:rsidRPr="00C07B2E" w:rsidRDefault="00BE7F89" w:rsidP="005A428D">
            <w:pPr>
              <w:ind w:firstLine="98"/>
              <w:rPr>
                <w:rFonts w:eastAsia="SimSun"/>
              </w:rPr>
            </w:pPr>
            <w:r w:rsidRPr="00C07B2E">
              <w:rPr>
                <w:rFonts w:eastAsia="SimSun"/>
              </w:rPr>
              <w:t>30 мг/м</w:t>
            </w:r>
            <w:r w:rsidRPr="000F445E">
              <w:rPr>
                <w:rFonts w:eastAsia="SimSun"/>
                <w:vertAlign w:val="superscript"/>
              </w:rPr>
              <w:t>2</w:t>
            </w:r>
          </w:p>
        </w:tc>
        <w:tc>
          <w:tcPr>
            <w:tcW w:w="1337" w:type="dxa"/>
            <w:vAlign w:val="center"/>
          </w:tcPr>
          <w:p w14:paraId="7FD45013" w14:textId="77777777" w:rsidR="00BE7F89" w:rsidRPr="00C07B2E" w:rsidRDefault="00BE7F89" w:rsidP="005A428D">
            <w:pPr>
              <w:ind w:firstLine="98"/>
              <w:rPr>
                <w:rFonts w:eastAsia="SimSun"/>
              </w:rPr>
            </w:pPr>
            <w:r w:rsidRPr="00C07B2E">
              <w:rPr>
                <w:rFonts w:eastAsia="SimSun"/>
              </w:rPr>
              <w:t>180 мг/м</w:t>
            </w:r>
            <w:r w:rsidRPr="000F445E">
              <w:rPr>
                <w:rFonts w:eastAsia="SimSun"/>
                <w:vertAlign w:val="superscript"/>
              </w:rPr>
              <w:t>2</w:t>
            </w:r>
          </w:p>
        </w:tc>
        <w:tc>
          <w:tcPr>
            <w:tcW w:w="1701" w:type="dxa"/>
            <w:vAlign w:val="center"/>
          </w:tcPr>
          <w:p w14:paraId="0F10F6E5" w14:textId="77777777" w:rsidR="00BE7F89" w:rsidRPr="00C07B2E" w:rsidRDefault="00BE7F89" w:rsidP="005A428D">
            <w:pPr>
              <w:ind w:firstLine="98"/>
              <w:rPr>
                <w:rFonts w:eastAsia="SimSun"/>
              </w:rPr>
            </w:pPr>
            <w:r w:rsidRPr="00C07B2E">
              <w:rPr>
                <w:rFonts w:eastAsia="SimSun"/>
              </w:rPr>
              <w:t>С -7 дня по -2 день</w:t>
            </w:r>
          </w:p>
        </w:tc>
        <w:tc>
          <w:tcPr>
            <w:tcW w:w="2268" w:type="dxa"/>
            <w:vAlign w:val="center"/>
          </w:tcPr>
          <w:p w14:paraId="18DC6AC3" w14:textId="77777777" w:rsidR="00BE7F89" w:rsidRPr="00C07B2E" w:rsidRDefault="00BE7F89" w:rsidP="005A428D">
            <w:pPr>
              <w:ind w:firstLine="98"/>
              <w:rPr>
                <w:rFonts w:eastAsia="SimSun"/>
              </w:rPr>
            </w:pPr>
            <w:r w:rsidRPr="00C07B2E">
              <w:rPr>
                <w:rFonts w:eastAsia="SimSun"/>
              </w:rPr>
              <w:t>В/в, в течение 30 - 60 мин</w:t>
            </w:r>
          </w:p>
        </w:tc>
      </w:tr>
      <w:tr w:rsidR="00BE7F89" w:rsidRPr="00C07B2E" w14:paraId="4D890C22" w14:textId="77777777" w:rsidTr="005A428D">
        <w:trPr>
          <w:cantSplit/>
          <w:trHeight w:val="1207"/>
        </w:trPr>
        <w:tc>
          <w:tcPr>
            <w:tcW w:w="959" w:type="dxa"/>
            <w:vMerge/>
            <w:vAlign w:val="center"/>
          </w:tcPr>
          <w:p w14:paraId="09FFF055" w14:textId="77777777" w:rsidR="00BE7F89" w:rsidRPr="00C07B2E" w:rsidRDefault="00BE7F89" w:rsidP="005A428D">
            <w:pPr>
              <w:ind w:firstLine="98"/>
              <w:rPr>
                <w:rFonts w:eastAsia="SimSun"/>
              </w:rPr>
            </w:pPr>
          </w:p>
        </w:tc>
        <w:tc>
          <w:tcPr>
            <w:tcW w:w="1843" w:type="dxa"/>
            <w:vAlign w:val="center"/>
          </w:tcPr>
          <w:p w14:paraId="3AB396D7" w14:textId="77777777" w:rsidR="00BE7F89" w:rsidRPr="00C07B2E" w:rsidRDefault="00BE7F89" w:rsidP="005A428D">
            <w:pPr>
              <w:ind w:firstLine="98"/>
              <w:rPr>
                <w:rFonts w:eastAsia="SimSun"/>
              </w:rPr>
            </w:pPr>
            <w:r w:rsidRPr="00C07B2E">
              <w:rPr>
                <w:rFonts w:eastAsia="SimSun"/>
              </w:rPr>
              <w:t>Бусульфан</w:t>
            </w:r>
          </w:p>
        </w:tc>
        <w:tc>
          <w:tcPr>
            <w:tcW w:w="1417" w:type="dxa"/>
            <w:vAlign w:val="center"/>
          </w:tcPr>
          <w:p w14:paraId="16AE8528" w14:textId="77777777" w:rsidR="00BE7F89" w:rsidRPr="00C07B2E" w:rsidRDefault="00BE7F89" w:rsidP="005A428D">
            <w:pPr>
              <w:ind w:firstLine="98"/>
              <w:rPr>
                <w:rFonts w:eastAsia="SimSun"/>
              </w:rPr>
            </w:pPr>
            <w:r w:rsidRPr="00C07B2E">
              <w:rPr>
                <w:rFonts w:eastAsia="SimSun"/>
              </w:rPr>
              <w:t xml:space="preserve">4 мг/кг </w:t>
            </w:r>
          </w:p>
        </w:tc>
        <w:tc>
          <w:tcPr>
            <w:tcW w:w="1337" w:type="dxa"/>
            <w:vAlign w:val="center"/>
          </w:tcPr>
          <w:p w14:paraId="40371B36" w14:textId="77777777" w:rsidR="00BE7F89" w:rsidRPr="00C07B2E" w:rsidRDefault="00BE7F89" w:rsidP="005A428D">
            <w:pPr>
              <w:ind w:firstLine="98"/>
              <w:rPr>
                <w:rFonts w:eastAsia="SimSun"/>
              </w:rPr>
            </w:pPr>
            <w:r w:rsidRPr="00C07B2E">
              <w:rPr>
                <w:rFonts w:eastAsia="SimSun"/>
                <w:lang w:val="en-US"/>
              </w:rPr>
              <w:t>12</w:t>
            </w:r>
            <w:r w:rsidRPr="00C07B2E">
              <w:rPr>
                <w:rFonts w:eastAsia="SimSun"/>
              </w:rPr>
              <w:t xml:space="preserve"> мг/кг </w:t>
            </w:r>
          </w:p>
        </w:tc>
        <w:tc>
          <w:tcPr>
            <w:tcW w:w="1701" w:type="dxa"/>
            <w:vAlign w:val="center"/>
          </w:tcPr>
          <w:p w14:paraId="1D1BABA1" w14:textId="77777777" w:rsidR="00BE7F89" w:rsidRPr="00C07B2E" w:rsidRDefault="00BE7F89" w:rsidP="005A428D">
            <w:pPr>
              <w:ind w:firstLine="98"/>
              <w:rPr>
                <w:rFonts w:eastAsia="SimSun"/>
              </w:rPr>
            </w:pPr>
            <w:r w:rsidRPr="00C07B2E">
              <w:rPr>
                <w:rFonts w:eastAsia="SimSun"/>
              </w:rPr>
              <w:t>С -5 дня по -3 день</w:t>
            </w:r>
          </w:p>
        </w:tc>
        <w:tc>
          <w:tcPr>
            <w:tcW w:w="2268" w:type="dxa"/>
            <w:vAlign w:val="center"/>
          </w:tcPr>
          <w:p w14:paraId="4993FE21" w14:textId="77777777" w:rsidR="00BE7F89" w:rsidRPr="00C07B2E" w:rsidRDefault="00BE7F89" w:rsidP="005A428D">
            <w:pPr>
              <w:ind w:firstLine="98"/>
              <w:rPr>
                <w:rFonts w:eastAsia="SimSun"/>
              </w:rPr>
            </w:pPr>
            <w:r w:rsidRPr="00C07B2E">
              <w:rPr>
                <w:rFonts w:eastAsia="SimSun"/>
              </w:rPr>
              <w:t>Внутрь, суммарная суточная доза разделяется на 4 приема с интервалом 6 часов.</w:t>
            </w:r>
          </w:p>
        </w:tc>
      </w:tr>
      <w:tr w:rsidR="00BE7F89" w:rsidRPr="00C07B2E" w14:paraId="1807B9A5" w14:textId="77777777" w:rsidTr="005A428D">
        <w:trPr>
          <w:cantSplit/>
          <w:trHeight w:val="1498"/>
        </w:trPr>
        <w:tc>
          <w:tcPr>
            <w:tcW w:w="959" w:type="dxa"/>
            <w:textDirection w:val="btLr"/>
            <w:vAlign w:val="center"/>
          </w:tcPr>
          <w:p w14:paraId="1DA34D85" w14:textId="77777777" w:rsidR="00BE7F89" w:rsidRPr="00C07B2E" w:rsidRDefault="00BE7F89" w:rsidP="005A428D">
            <w:pPr>
              <w:ind w:firstLine="98"/>
              <w:rPr>
                <w:rFonts w:eastAsia="SimSun"/>
              </w:rPr>
            </w:pPr>
            <w:r w:rsidRPr="00C07B2E">
              <w:rPr>
                <w:rFonts w:eastAsia="SimSun"/>
              </w:rPr>
              <w:t>Профилактика РТПХ</w:t>
            </w:r>
          </w:p>
        </w:tc>
        <w:tc>
          <w:tcPr>
            <w:tcW w:w="1843" w:type="dxa"/>
            <w:vAlign w:val="center"/>
          </w:tcPr>
          <w:p w14:paraId="1CE1A0A4" w14:textId="77777777" w:rsidR="00BE7F89" w:rsidRPr="00C07B2E" w:rsidRDefault="00BE7F89" w:rsidP="005A428D">
            <w:pPr>
              <w:ind w:firstLine="98"/>
              <w:rPr>
                <w:rFonts w:eastAsia="SimSun"/>
              </w:rPr>
            </w:pPr>
            <w:r w:rsidRPr="00C07B2E">
              <w:rPr>
                <w:rFonts w:eastAsia="SimSun"/>
              </w:rPr>
              <w:t>Циклофосфамид</w:t>
            </w:r>
          </w:p>
        </w:tc>
        <w:tc>
          <w:tcPr>
            <w:tcW w:w="1417" w:type="dxa"/>
            <w:vAlign w:val="center"/>
          </w:tcPr>
          <w:p w14:paraId="16DC6555" w14:textId="77777777" w:rsidR="00BE7F89" w:rsidRPr="00C07B2E" w:rsidRDefault="00BE7F89" w:rsidP="005A428D">
            <w:pPr>
              <w:ind w:firstLine="98"/>
              <w:rPr>
                <w:rFonts w:eastAsia="SimSun"/>
              </w:rPr>
            </w:pPr>
            <w:r w:rsidRPr="00C07B2E">
              <w:rPr>
                <w:rFonts w:eastAsia="SimSun"/>
              </w:rPr>
              <w:t>50 мг/кг</w:t>
            </w:r>
          </w:p>
        </w:tc>
        <w:tc>
          <w:tcPr>
            <w:tcW w:w="1337" w:type="dxa"/>
            <w:vAlign w:val="center"/>
          </w:tcPr>
          <w:p w14:paraId="202838BC" w14:textId="77777777" w:rsidR="00BE7F89" w:rsidRPr="00C07B2E" w:rsidRDefault="00BE7F89" w:rsidP="005A428D">
            <w:pPr>
              <w:ind w:firstLine="98"/>
              <w:rPr>
                <w:rFonts w:eastAsia="SimSun"/>
              </w:rPr>
            </w:pPr>
            <w:r w:rsidRPr="00C07B2E">
              <w:rPr>
                <w:rFonts w:eastAsia="SimSun"/>
              </w:rPr>
              <w:t>100 мг/кг</w:t>
            </w:r>
          </w:p>
        </w:tc>
        <w:tc>
          <w:tcPr>
            <w:tcW w:w="1701" w:type="dxa"/>
            <w:vAlign w:val="center"/>
          </w:tcPr>
          <w:p w14:paraId="42154962" w14:textId="77777777" w:rsidR="00BE7F89" w:rsidRPr="00C07B2E" w:rsidRDefault="00BE7F89" w:rsidP="005A428D">
            <w:pPr>
              <w:ind w:firstLine="98"/>
              <w:rPr>
                <w:rFonts w:eastAsia="SimSun"/>
              </w:rPr>
            </w:pPr>
            <w:r w:rsidRPr="00C07B2E">
              <w:rPr>
                <w:rFonts w:eastAsia="SimSun"/>
              </w:rPr>
              <w:t>С +3 дня по +4 день</w:t>
            </w:r>
          </w:p>
        </w:tc>
        <w:tc>
          <w:tcPr>
            <w:tcW w:w="2268" w:type="dxa"/>
            <w:vAlign w:val="center"/>
          </w:tcPr>
          <w:p w14:paraId="45ACFA36" w14:textId="77777777" w:rsidR="00BE7F89" w:rsidRPr="00C07B2E" w:rsidRDefault="00BE7F89" w:rsidP="005A428D">
            <w:pPr>
              <w:ind w:firstLine="98"/>
              <w:rPr>
                <w:rFonts w:eastAsia="SimSun"/>
              </w:rPr>
            </w:pPr>
            <w:r w:rsidRPr="00C07B2E">
              <w:rPr>
                <w:rFonts w:eastAsia="SimSun"/>
              </w:rPr>
              <w:t xml:space="preserve">В/в, в течение 2 ч  </w:t>
            </w:r>
          </w:p>
        </w:tc>
      </w:tr>
    </w:tbl>
    <w:p w14:paraId="7B69A21D" w14:textId="77777777" w:rsidR="00BE7F89" w:rsidRPr="00C07B2E" w:rsidRDefault="00BE7F89" w:rsidP="00BE7F89">
      <w:pPr>
        <w:rPr>
          <w:rFonts w:eastAsia="SimSun"/>
        </w:rPr>
      </w:pPr>
    </w:p>
    <w:p w14:paraId="1E7D3510" w14:textId="77777777" w:rsidR="00BE7F89" w:rsidRPr="00C07B2E" w:rsidRDefault="00BE7F89" w:rsidP="00BE7F89">
      <w:pPr>
        <w:rPr>
          <w:rFonts w:eastAsia="SimSun"/>
        </w:rPr>
      </w:pPr>
      <w:r w:rsidRPr="00C07B2E">
        <w:rPr>
          <w:rFonts w:eastAsia="SimSun"/>
        </w:rPr>
        <w:tab/>
      </w:r>
    </w:p>
    <w:p w14:paraId="44696A79" w14:textId="77777777" w:rsidR="00BE7F89" w:rsidRPr="00C07B2E" w:rsidRDefault="00BE7F89" w:rsidP="00BE7F89">
      <w:pPr>
        <w:rPr>
          <w:rFonts w:eastAsia="SimSun"/>
        </w:rPr>
      </w:pPr>
      <w:bookmarkStart w:id="142" w:name="_Toc44401149"/>
      <w:r w:rsidRPr="00042499">
        <w:rPr>
          <w:rFonts w:eastAsia="SimSun"/>
        </w:rPr>
        <w:t>Таблица</w:t>
      </w:r>
      <w:r w:rsidRPr="00C07B2E">
        <w:rPr>
          <w:rFonts w:eastAsia="SimSun"/>
        </w:rPr>
        <w:t xml:space="preserve"> </w:t>
      </w:r>
      <w:r>
        <w:rPr>
          <w:rFonts w:eastAsia="SimSun"/>
        </w:rPr>
        <w:t>5</w:t>
      </w:r>
      <w:r w:rsidRPr="00C07B2E">
        <w:rPr>
          <w:rFonts w:eastAsia="SimSun"/>
        </w:rPr>
        <w:t>.1.1.6  – Flu180+Bu12 / PT-Cy+Tx+MMF30</w:t>
      </w:r>
      <w:bookmarkEnd w:id="14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BE7F89" w:rsidRPr="00C07B2E" w14:paraId="4DAB52DE" w14:textId="77777777" w:rsidTr="005A428D">
        <w:trPr>
          <w:cantSplit/>
          <w:trHeight w:val="20"/>
          <w:tblHeader/>
        </w:trPr>
        <w:tc>
          <w:tcPr>
            <w:tcW w:w="993" w:type="dxa"/>
            <w:vAlign w:val="center"/>
          </w:tcPr>
          <w:p w14:paraId="1B267E9F" w14:textId="77777777" w:rsidR="00BE7F89" w:rsidRPr="00470D3D" w:rsidRDefault="00BE7F89" w:rsidP="005A428D">
            <w:pPr>
              <w:rPr>
                <w:rFonts w:eastAsia="SimSun"/>
              </w:rPr>
            </w:pPr>
          </w:p>
        </w:tc>
        <w:tc>
          <w:tcPr>
            <w:tcW w:w="1843" w:type="dxa"/>
            <w:vAlign w:val="center"/>
          </w:tcPr>
          <w:p w14:paraId="2ED46B5C" w14:textId="77777777" w:rsidR="00BE7F89" w:rsidRPr="00C07B2E" w:rsidRDefault="00BE7F89" w:rsidP="005A428D">
            <w:pPr>
              <w:rPr>
                <w:rFonts w:eastAsia="SimSun"/>
              </w:rPr>
            </w:pPr>
            <w:r w:rsidRPr="00C07B2E">
              <w:rPr>
                <w:rFonts w:eastAsia="SimSun"/>
              </w:rPr>
              <w:t>Препарат</w:t>
            </w:r>
          </w:p>
        </w:tc>
        <w:tc>
          <w:tcPr>
            <w:tcW w:w="1417" w:type="dxa"/>
            <w:vAlign w:val="center"/>
          </w:tcPr>
          <w:p w14:paraId="26277AD8" w14:textId="77777777" w:rsidR="00BE7F89" w:rsidRPr="00C07B2E" w:rsidRDefault="00BE7F89" w:rsidP="005A428D">
            <w:pPr>
              <w:rPr>
                <w:rFonts w:eastAsia="SimSun"/>
              </w:rPr>
            </w:pPr>
            <w:r w:rsidRPr="00C07B2E">
              <w:rPr>
                <w:rFonts w:eastAsia="SimSun"/>
              </w:rPr>
              <w:t>Суточная доза</w:t>
            </w:r>
          </w:p>
        </w:tc>
        <w:tc>
          <w:tcPr>
            <w:tcW w:w="1418" w:type="dxa"/>
            <w:vAlign w:val="center"/>
          </w:tcPr>
          <w:p w14:paraId="53A082D0" w14:textId="77777777" w:rsidR="00BE7F89" w:rsidRPr="00C07B2E" w:rsidRDefault="00BE7F89" w:rsidP="005A428D">
            <w:pPr>
              <w:rPr>
                <w:rFonts w:eastAsia="SimSun"/>
              </w:rPr>
            </w:pPr>
            <w:r w:rsidRPr="00C07B2E">
              <w:rPr>
                <w:rFonts w:eastAsia="SimSun"/>
              </w:rPr>
              <w:t>Курсовая доза</w:t>
            </w:r>
          </w:p>
        </w:tc>
        <w:tc>
          <w:tcPr>
            <w:tcW w:w="1701" w:type="dxa"/>
            <w:vAlign w:val="center"/>
          </w:tcPr>
          <w:p w14:paraId="4FC7574E" w14:textId="77777777" w:rsidR="00BE7F89" w:rsidRPr="00C07B2E" w:rsidRDefault="00BE7F89" w:rsidP="005A428D">
            <w:pPr>
              <w:rPr>
                <w:rFonts w:eastAsia="SimSun"/>
              </w:rPr>
            </w:pPr>
            <w:r w:rsidRPr="00C07B2E">
              <w:rPr>
                <w:rFonts w:eastAsia="SimSun"/>
              </w:rPr>
              <w:t>Дни введения</w:t>
            </w:r>
          </w:p>
        </w:tc>
        <w:tc>
          <w:tcPr>
            <w:tcW w:w="2268" w:type="dxa"/>
            <w:vAlign w:val="center"/>
          </w:tcPr>
          <w:p w14:paraId="2D6D1AD6" w14:textId="77777777" w:rsidR="00BE7F89" w:rsidRPr="00C07B2E" w:rsidRDefault="00BE7F89" w:rsidP="005A428D">
            <w:pPr>
              <w:rPr>
                <w:rFonts w:eastAsia="SimSun"/>
              </w:rPr>
            </w:pPr>
            <w:r w:rsidRPr="00C07B2E">
              <w:rPr>
                <w:rFonts w:eastAsia="SimSun"/>
              </w:rPr>
              <w:t>Порядок введения</w:t>
            </w:r>
          </w:p>
        </w:tc>
      </w:tr>
      <w:tr w:rsidR="00BE7F89" w:rsidRPr="00C07B2E" w14:paraId="5B5D0620" w14:textId="77777777" w:rsidTr="005A428D">
        <w:trPr>
          <w:cantSplit/>
          <w:trHeight w:val="20"/>
        </w:trPr>
        <w:tc>
          <w:tcPr>
            <w:tcW w:w="993" w:type="dxa"/>
            <w:vMerge w:val="restart"/>
            <w:textDirection w:val="btLr"/>
            <w:vAlign w:val="center"/>
          </w:tcPr>
          <w:p w14:paraId="4096E14B" w14:textId="77777777" w:rsidR="00BE7F89" w:rsidRPr="00C07B2E" w:rsidRDefault="00BE7F89" w:rsidP="005A428D">
            <w:pPr>
              <w:rPr>
                <w:rFonts w:eastAsia="SimSun"/>
              </w:rPr>
            </w:pPr>
            <w:r w:rsidRPr="00C07B2E">
              <w:rPr>
                <w:rFonts w:eastAsia="SimSun"/>
              </w:rPr>
              <w:t>Кондиционирование</w:t>
            </w:r>
          </w:p>
        </w:tc>
        <w:tc>
          <w:tcPr>
            <w:tcW w:w="1843" w:type="dxa"/>
            <w:vAlign w:val="center"/>
          </w:tcPr>
          <w:p w14:paraId="774DE17F" w14:textId="77777777" w:rsidR="00BE7F89" w:rsidRPr="00C07B2E" w:rsidRDefault="00BE7F89" w:rsidP="005A428D">
            <w:pPr>
              <w:rPr>
                <w:rFonts w:eastAsia="SimSun"/>
              </w:rPr>
            </w:pPr>
            <w:r w:rsidRPr="00C07B2E">
              <w:rPr>
                <w:rFonts w:eastAsia="SimSun"/>
              </w:rPr>
              <w:t xml:space="preserve">Флударабин </w:t>
            </w:r>
          </w:p>
        </w:tc>
        <w:tc>
          <w:tcPr>
            <w:tcW w:w="1417" w:type="dxa"/>
            <w:vAlign w:val="center"/>
          </w:tcPr>
          <w:p w14:paraId="01D0AA85" w14:textId="77777777" w:rsidR="00BE7F89" w:rsidRPr="00C07B2E" w:rsidRDefault="00BE7F89" w:rsidP="005A428D">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3D2A5AA7" w14:textId="77777777" w:rsidR="00BE7F89" w:rsidRPr="00C07B2E" w:rsidRDefault="00BE7F89" w:rsidP="005A428D">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1CE48433" w14:textId="77777777" w:rsidR="00BE7F89" w:rsidRPr="00C07B2E" w:rsidRDefault="00BE7F89" w:rsidP="005A428D">
            <w:pPr>
              <w:rPr>
                <w:rFonts w:eastAsia="SimSun"/>
              </w:rPr>
            </w:pPr>
            <w:r w:rsidRPr="00C07B2E">
              <w:rPr>
                <w:rFonts w:eastAsia="SimSun"/>
              </w:rPr>
              <w:t>С -7 дня по -2 день</w:t>
            </w:r>
          </w:p>
        </w:tc>
        <w:tc>
          <w:tcPr>
            <w:tcW w:w="2268" w:type="dxa"/>
            <w:vAlign w:val="center"/>
          </w:tcPr>
          <w:p w14:paraId="05B0669B" w14:textId="77777777" w:rsidR="00BE7F89" w:rsidRPr="00C07B2E" w:rsidRDefault="00BE7F89" w:rsidP="005A428D">
            <w:pPr>
              <w:rPr>
                <w:rFonts w:eastAsia="SimSun"/>
              </w:rPr>
            </w:pPr>
            <w:r w:rsidRPr="00C07B2E">
              <w:rPr>
                <w:rFonts w:eastAsia="SimSun"/>
              </w:rPr>
              <w:t>В/в, в течение 30 - 60 мин</w:t>
            </w:r>
          </w:p>
        </w:tc>
      </w:tr>
      <w:tr w:rsidR="00BE7F89" w:rsidRPr="00C07B2E" w14:paraId="0B161DBB" w14:textId="77777777" w:rsidTr="005A428D">
        <w:trPr>
          <w:cantSplit/>
          <w:trHeight w:val="1207"/>
        </w:trPr>
        <w:tc>
          <w:tcPr>
            <w:tcW w:w="993" w:type="dxa"/>
            <w:vMerge/>
            <w:vAlign w:val="center"/>
          </w:tcPr>
          <w:p w14:paraId="1AC0CDD9" w14:textId="77777777" w:rsidR="00BE7F89" w:rsidRPr="00C07B2E" w:rsidRDefault="00BE7F89" w:rsidP="005A428D">
            <w:pPr>
              <w:rPr>
                <w:rFonts w:eastAsia="SimSun"/>
              </w:rPr>
            </w:pPr>
          </w:p>
        </w:tc>
        <w:tc>
          <w:tcPr>
            <w:tcW w:w="1843" w:type="dxa"/>
            <w:vAlign w:val="center"/>
          </w:tcPr>
          <w:p w14:paraId="71A5B799" w14:textId="77777777" w:rsidR="00BE7F89" w:rsidRPr="00C07B2E" w:rsidRDefault="00BE7F89" w:rsidP="005A428D">
            <w:pPr>
              <w:rPr>
                <w:rFonts w:eastAsia="SimSun"/>
              </w:rPr>
            </w:pPr>
            <w:r w:rsidRPr="00C07B2E">
              <w:rPr>
                <w:rFonts w:eastAsia="SimSun"/>
              </w:rPr>
              <w:t>Бусульфан</w:t>
            </w:r>
          </w:p>
        </w:tc>
        <w:tc>
          <w:tcPr>
            <w:tcW w:w="1417" w:type="dxa"/>
            <w:vAlign w:val="center"/>
          </w:tcPr>
          <w:p w14:paraId="7D816A81" w14:textId="77777777" w:rsidR="00BE7F89" w:rsidRPr="00C07B2E" w:rsidRDefault="00BE7F89" w:rsidP="005A428D">
            <w:pPr>
              <w:rPr>
                <w:rFonts w:eastAsia="SimSun"/>
              </w:rPr>
            </w:pPr>
            <w:r w:rsidRPr="00C07B2E">
              <w:rPr>
                <w:rFonts w:eastAsia="SimSun"/>
              </w:rPr>
              <w:t xml:space="preserve">4 мг/кг </w:t>
            </w:r>
          </w:p>
        </w:tc>
        <w:tc>
          <w:tcPr>
            <w:tcW w:w="1418" w:type="dxa"/>
            <w:vAlign w:val="center"/>
          </w:tcPr>
          <w:p w14:paraId="68DFD5DD" w14:textId="77777777" w:rsidR="00BE7F89" w:rsidRPr="00C07B2E" w:rsidRDefault="00BE7F89" w:rsidP="005A428D">
            <w:pPr>
              <w:rPr>
                <w:rFonts w:eastAsia="SimSun"/>
              </w:rPr>
            </w:pPr>
            <w:r w:rsidRPr="00C07B2E">
              <w:rPr>
                <w:rFonts w:eastAsia="SimSun"/>
                <w:lang w:val="en-US"/>
              </w:rPr>
              <w:t>1</w:t>
            </w:r>
            <w:r w:rsidRPr="00C07B2E">
              <w:rPr>
                <w:rFonts w:eastAsia="SimSun"/>
              </w:rPr>
              <w:t xml:space="preserve">2мг/кг </w:t>
            </w:r>
          </w:p>
        </w:tc>
        <w:tc>
          <w:tcPr>
            <w:tcW w:w="1701" w:type="dxa"/>
            <w:vAlign w:val="center"/>
          </w:tcPr>
          <w:p w14:paraId="6E1C7AFD" w14:textId="77777777" w:rsidR="00BE7F89" w:rsidRPr="00C07B2E" w:rsidRDefault="00BE7F89" w:rsidP="005A428D">
            <w:pPr>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14:paraId="55A737D7" w14:textId="77777777" w:rsidR="00BE7F89" w:rsidRPr="00C07B2E" w:rsidRDefault="00BE7F89" w:rsidP="005A428D">
            <w:pPr>
              <w:rPr>
                <w:rFonts w:eastAsia="SimSun"/>
              </w:rPr>
            </w:pPr>
            <w:r w:rsidRPr="00C07B2E">
              <w:rPr>
                <w:rFonts w:eastAsia="SimSun"/>
              </w:rPr>
              <w:t>Внутрь, суммарная суточная доза разделяется на 4 приема с интервалом 6 часов.</w:t>
            </w:r>
          </w:p>
        </w:tc>
      </w:tr>
      <w:tr w:rsidR="00BE7F89" w:rsidRPr="00C07B2E" w14:paraId="79753A08" w14:textId="77777777" w:rsidTr="005A428D">
        <w:trPr>
          <w:cantSplit/>
          <w:trHeight w:val="1498"/>
        </w:trPr>
        <w:tc>
          <w:tcPr>
            <w:tcW w:w="993" w:type="dxa"/>
            <w:vMerge w:val="restart"/>
            <w:textDirection w:val="btLr"/>
            <w:vAlign w:val="center"/>
          </w:tcPr>
          <w:p w14:paraId="6A7F549D" w14:textId="77777777" w:rsidR="00BE7F89" w:rsidRPr="00C07B2E" w:rsidRDefault="00BE7F89" w:rsidP="005A428D">
            <w:pPr>
              <w:rPr>
                <w:rFonts w:eastAsia="SimSun"/>
              </w:rPr>
            </w:pPr>
            <w:r w:rsidRPr="00C07B2E">
              <w:rPr>
                <w:rFonts w:eastAsia="SimSun"/>
              </w:rPr>
              <w:t>Профилактика РТПХ</w:t>
            </w:r>
          </w:p>
        </w:tc>
        <w:tc>
          <w:tcPr>
            <w:tcW w:w="1843" w:type="dxa"/>
            <w:vAlign w:val="center"/>
          </w:tcPr>
          <w:p w14:paraId="31DE0864" w14:textId="77777777" w:rsidR="00BE7F89" w:rsidRPr="00C07B2E" w:rsidRDefault="00BE7F89" w:rsidP="005A428D">
            <w:pPr>
              <w:rPr>
                <w:rFonts w:eastAsia="SimSun"/>
              </w:rPr>
            </w:pPr>
            <w:r w:rsidRPr="00C07B2E">
              <w:rPr>
                <w:rFonts w:eastAsia="SimSun"/>
              </w:rPr>
              <w:t>Циклофосфамид</w:t>
            </w:r>
          </w:p>
        </w:tc>
        <w:tc>
          <w:tcPr>
            <w:tcW w:w="1417" w:type="dxa"/>
            <w:vAlign w:val="center"/>
          </w:tcPr>
          <w:p w14:paraId="2DF4B9BF" w14:textId="77777777" w:rsidR="00BE7F89" w:rsidRPr="00C07B2E" w:rsidRDefault="00BE7F89" w:rsidP="005A428D">
            <w:pPr>
              <w:rPr>
                <w:rFonts w:eastAsia="SimSun"/>
              </w:rPr>
            </w:pPr>
            <w:r w:rsidRPr="00C07B2E">
              <w:rPr>
                <w:rFonts w:eastAsia="SimSun"/>
              </w:rPr>
              <w:t>50 мг/кг</w:t>
            </w:r>
          </w:p>
        </w:tc>
        <w:tc>
          <w:tcPr>
            <w:tcW w:w="1418" w:type="dxa"/>
            <w:vAlign w:val="center"/>
          </w:tcPr>
          <w:p w14:paraId="2086B0ED" w14:textId="77777777" w:rsidR="00BE7F89" w:rsidRPr="00C07B2E" w:rsidRDefault="00BE7F89" w:rsidP="005A428D">
            <w:pPr>
              <w:rPr>
                <w:rFonts w:eastAsia="SimSun"/>
              </w:rPr>
            </w:pPr>
            <w:r w:rsidRPr="00C07B2E">
              <w:rPr>
                <w:rFonts w:eastAsia="SimSun"/>
              </w:rPr>
              <w:t>100 мг/кг</w:t>
            </w:r>
          </w:p>
        </w:tc>
        <w:tc>
          <w:tcPr>
            <w:tcW w:w="1701" w:type="dxa"/>
            <w:vAlign w:val="center"/>
          </w:tcPr>
          <w:p w14:paraId="6A3E3416" w14:textId="77777777" w:rsidR="00BE7F89" w:rsidRPr="00C07B2E" w:rsidRDefault="00BE7F89" w:rsidP="005A428D">
            <w:pPr>
              <w:rPr>
                <w:rFonts w:eastAsia="SimSun"/>
              </w:rPr>
            </w:pPr>
            <w:r w:rsidRPr="00C07B2E">
              <w:rPr>
                <w:rFonts w:eastAsia="SimSun"/>
              </w:rPr>
              <w:t>С +3 дня по +4 день</w:t>
            </w:r>
          </w:p>
        </w:tc>
        <w:tc>
          <w:tcPr>
            <w:tcW w:w="2268" w:type="dxa"/>
            <w:vAlign w:val="center"/>
          </w:tcPr>
          <w:p w14:paraId="6F610E79" w14:textId="77777777" w:rsidR="00BE7F89" w:rsidRPr="00C07B2E" w:rsidRDefault="00BE7F89" w:rsidP="005A428D">
            <w:pPr>
              <w:rPr>
                <w:rFonts w:eastAsia="SimSun"/>
              </w:rPr>
            </w:pPr>
            <w:r w:rsidRPr="00C07B2E">
              <w:rPr>
                <w:rFonts w:eastAsia="SimSun"/>
              </w:rPr>
              <w:t xml:space="preserve">В/в, в течение 2 ч  </w:t>
            </w:r>
          </w:p>
        </w:tc>
      </w:tr>
      <w:tr w:rsidR="00BE7F89" w:rsidRPr="00C07B2E" w14:paraId="3F5095C1" w14:textId="77777777" w:rsidTr="005A428D">
        <w:trPr>
          <w:cantSplit/>
          <w:trHeight w:val="958"/>
        </w:trPr>
        <w:tc>
          <w:tcPr>
            <w:tcW w:w="993" w:type="dxa"/>
            <w:vMerge/>
            <w:textDirection w:val="btLr"/>
            <w:vAlign w:val="center"/>
          </w:tcPr>
          <w:p w14:paraId="21402B56" w14:textId="77777777" w:rsidR="00BE7F89" w:rsidRPr="00C07B2E" w:rsidRDefault="00BE7F89" w:rsidP="005A428D">
            <w:pPr>
              <w:rPr>
                <w:rFonts w:eastAsia="SimSun"/>
              </w:rPr>
            </w:pPr>
          </w:p>
        </w:tc>
        <w:tc>
          <w:tcPr>
            <w:tcW w:w="1843" w:type="dxa"/>
            <w:vAlign w:val="center"/>
          </w:tcPr>
          <w:p w14:paraId="35CB4168" w14:textId="77777777" w:rsidR="00BE7F89" w:rsidRPr="00C07B2E" w:rsidRDefault="00BE7F89" w:rsidP="005A428D">
            <w:pPr>
              <w:rPr>
                <w:rFonts w:eastAsia="SimSun"/>
              </w:rPr>
            </w:pPr>
            <w:r w:rsidRPr="00C07B2E">
              <w:rPr>
                <w:rFonts w:eastAsia="SimSun"/>
              </w:rPr>
              <w:t xml:space="preserve">Такролимус </w:t>
            </w:r>
          </w:p>
        </w:tc>
        <w:tc>
          <w:tcPr>
            <w:tcW w:w="1417" w:type="dxa"/>
            <w:vAlign w:val="center"/>
          </w:tcPr>
          <w:p w14:paraId="51991157" w14:textId="77777777" w:rsidR="00BE7F89" w:rsidRPr="00C07B2E" w:rsidRDefault="00BE7F89" w:rsidP="005A428D">
            <w:pPr>
              <w:rPr>
                <w:rFonts w:eastAsia="SimSun"/>
              </w:rPr>
            </w:pPr>
            <w:r w:rsidRPr="00C07B2E">
              <w:rPr>
                <w:rFonts w:eastAsia="SimSun"/>
              </w:rPr>
              <w:t>0,03 мг/кг</w:t>
            </w:r>
          </w:p>
        </w:tc>
        <w:tc>
          <w:tcPr>
            <w:tcW w:w="1418" w:type="dxa"/>
            <w:vAlign w:val="center"/>
          </w:tcPr>
          <w:p w14:paraId="783B1948" w14:textId="77777777" w:rsidR="00BE7F89" w:rsidRPr="00C07B2E" w:rsidRDefault="00BE7F89" w:rsidP="005A428D">
            <w:pPr>
              <w:rPr>
                <w:rFonts w:eastAsia="SimSun"/>
              </w:rPr>
            </w:pPr>
            <w:r w:rsidRPr="00C07B2E">
              <w:rPr>
                <w:rFonts w:eastAsia="SimSun"/>
                <w:lang w:val="en-US"/>
              </w:rPr>
              <w:t>–</w:t>
            </w:r>
          </w:p>
        </w:tc>
        <w:tc>
          <w:tcPr>
            <w:tcW w:w="1701" w:type="dxa"/>
            <w:vAlign w:val="center"/>
          </w:tcPr>
          <w:p w14:paraId="0E45E7D4" w14:textId="77777777" w:rsidR="00BE7F89" w:rsidRPr="00C07B2E" w:rsidRDefault="00BE7F89" w:rsidP="005A428D">
            <w:pPr>
              <w:rPr>
                <w:rFonts w:eastAsia="SimSun"/>
              </w:rPr>
            </w:pPr>
            <w:r w:rsidRPr="00C07B2E">
              <w:rPr>
                <w:rFonts w:eastAsia="SimSun"/>
              </w:rPr>
              <w:t xml:space="preserve">С +5 дня длительно </w:t>
            </w:r>
          </w:p>
        </w:tc>
        <w:tc>
          <w:tcPr>
            <w:tcW w:w="2268" w:type="dxa"/>
            <w:vAlign w:val="center"/>
          </w:tcPr>
          <w:p w14:paraId="2ADB6F7B" w14:textId="77777777" w:rsidR="00BE7F89" w:rsidRPr="000F445E" w:rsidRDefault="00BE7F89" w:rsidP="005A428D">
            <w:pPr>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BE7F89" w:rsidRPr="00C07B2E" w14:paraId="10D44653" w14:textId="77777777" w:rsidTr="005A428D">
        <w:trPr>
          <w:cantSplit/>
          <w:trHeight w:val="1861"/>
        </w:trPr>
        <w:tc>
          <w:tcPr>
            <w:tcW w:w="993" w:type="dxa"/>
            <w:vMerge/>
            <w:textDirection w:val="btLr"/>
            <w:vAlign w:val="center"/>
          </w:tcPr>
          <w:p w14:paraId="118DDF50" w14:textId="77777777" w:rsidR="00BE7F89" w:rsidRPr="000F445E" w:rsidRDefault="00BE7F89" w:rsidP="005A428D">
            <w:pPr>
              <w:rPr>
                <w:rFonts w:eastAsia="SimSun"/>
              </w:rPr>
            </w:pPr>
          </w:p>
        </w:tc>
        <w:tc>
          <w:tcPr>
            <w:tcW w:w="1843" w:type="dxa"/>
            <w:vAlign w:val="center"/>
          </w:tcPr>
          <w:p w14:paraId="0ABCBD82" w14:textId="77777777" w:rsidR="00BE7F89" w:rsidRPr="00C07B2E" w:rsidRDefault="00BE7F89" w:rsidP="005A428D">
            <w:pPr>
              <w:rPr>
                <w:rFonts w:eastAsia="SimSun"/>
              </w:rPr>
            </w:pPr>
            <w:r w:rsidRPr="00C07B2E">
              <w:rPr>
                <w:rFonts w:eastAsia="SimSun"/>
              </w:rPr>
              <w:t>Микофенолата мофетил</w:t>
            </w:r>
          </w:p>
        </w:tc>
        <w:tc>
          <w:tcPr>
            <w:tcW w:w="1417" w:type="dxa"/>
            <w:vAlign w:val="center"/>
          </w:tcPr>
          <w:p w14:paraId="05BED59C" w14:textId="77777777" w:rsidR="00BE7F89" w:rsidRPr="00C07B2E" w:rsidRDefault="00BE7F89" w:rsidP="005A428D">
            <w:pPr>
              <w:rPr>
                <w:rFonts w:eastAsia="SimSun"/>
              </w:rPr>
            </w:pPr>
            <w:r w:rsidRPr="00C07B2E">
              <w:rPr>
                <w:rFonts w:eastAsia="SimSun"/>
              </w:rPr>
              <w:t xml:space="preserve">30 мг/кг </w:t>
            </w:r>
          </w:p>
        </w:tc>
        <w:tc>
          <w:tcPr>
            <w:tcW w:w="1418" w:type="dxa"/>
            <w:vAlign w:val="center"/>
          </w:tcPr>
          <w:p w14:paraId="051569B0" w14:textId="77777777" w:rsidR="00BE7F89" w:rsidRPr="00C07B2E" w:rsidRDefault="00BE7F89" w:rsidP="005A428D">
            <w:pPr>
              <w:rPr>
                <w:rFonts w:eastAsia="SimSun"/>
              </w:rPr>
            </w:pPr>
            <w:r w:rsidRPr="00C07B2E">
              <w:rPr>
                <w:rFonts w:eastAsia="SimSun"/>
              </w:rPr>
              <w:t>–</w:t>
            </w:r>
          </w:p>
        </w:tc>
        <w:tc>
          <w:tcPr>
            <w:tcW w:w="1701" w:type="dxa"/>
            <w:vAlign w:val="center"/>
          </w:tcPr>
          <w:p w14:paraId="21843844" w14:textId="77777777" w:rsidR="00BE7F89" w:rsidRPr="00C07B2E" w:rsidRDefault="00BE7F89" w:rsidP="005A428D">
            <w:pPr>
              <w:rPr>
                <w:rFonts w:eastAsia="SimSun"/>
              </w:rPr>
            </w:pPr>
            <w:r w:rsidRPr="00C07B2E">
              <w:rPr>
                <w:rFonts w:eastAsia="SimSun"/>
              </w:rPr>
              <w:t xml:space="preserve">С +5 дня по +35 день </w:t>
            </w:r>
          </w:p>
        </w:tc>
        <w:tc>
          <w:tcPr>
            <w:tcW w:w="2268" w:type="dxa"/>
            <w:vAlign w:val="center"/>
          </w:tcPr>
          <w:p w14:paraId="686F4C70" w14:textId="77777777" w:rsidR="00BE7F89" w:rsidRPr="00C07B2E" w:rsidRDefault="00BE7F89" w:rsidP="005A428D">
            <w:pPr>
              <w:rPr>
                <w:rFonts w:eastAsia="SimSun"/>
              </w:rPr>
            </w:pPr>
            <w:r w:rsidRPr="00C07B2E">
              <w:rPr>
                <w:rFonts w:eastAsia="SimSun"/>
              </w:rPr>
              <w:t>Внутрь, суммарная суточная доза разделяется на 2- 4 приема (не более 3г/сут).</w:t>
            </w:r>
          </w:p>
        </w:tc>
      </w:tr>
    </w:tbl>
    <w:p w14:paraId="3A9A8544" w14:textId="77777777" w:rsidR="00BE7F89" w:rsidRPr="00C07B2E" w:rsidRDefault="00BE7F89" w:rsidP="00BE7F89">
      <w:pPr>
        <w:rPr>
          <w:rFonts w:eastAsia="SimSun"/>
        </w:rPr>
      </w:pPr>
    </w:p>
    <w:p w14:paraId="54F7547F" w14:textId="77777777" w:rsidR="00BE7F89" w:rsidRPr="00C07B2E" w:rsidRDefault="00BE7F89" w:rsidP="00BE7F89">
      <w:pPr>
        <w:rPr>
          <w:rFonts w:eastAsia="SimSun"/>
        </w:rPr>
      </w:pPr>
      <w:bookmarkStart w:id="143" w:name="_Toc44401150"/>
      <w:r w:rsidRPr="00042499">
        <w:rPr>
          <w:rFonts w:eastAsia="SimSun"/>
        </w:rPr>
        <w:t>Таблица</w:t>
      </w:r>
      <w:r w:rsidRPr="00C07B2E">
        <w:rPr>
          <w:rFonts w:eastAsia="SimSun"/>
        </w:rPr>
        <w:t xml:space="preserve"> </w:t>
      </w:r>
      <w:r>
        <w:rPr>
          <w:rFonts w:eastAsia="SimSun"/>
        </w:rPr>
        <w:t>5</w:t>
      </w:r>
      <w:r w:rsidRPr="00C07B2E">
        <w:rPr>
          <w:rFonts w:eastAsia="SimSun"/>
        </w:rPr>
        <w:t>.1.1.7  – Flu180+Bu12 / PT-Cy+CSA+MMF30</w:t>
      </w:r>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1921"/>
        <w:gridCol w:w="1305"/>
        <w:gridCol w:w="1400"/>
        <w:gridCol w:w="1653"/>
        <w:gridCol w:w="2172"/>
      </w:tblGrid>
      <w:tr w:rsidR="00BE7F89" w:rsidRPr="00C07B2E" w14:paraId="22443E80" w14:textId="77777777" w:rsidTr="005A428D">
        <w:trPr>
          <w:cantSplit/>
          <w:trHeight w:val="20"/>
          <w:tblHeader/>
        </w:trPr>
        <w:tc>
          <w:tcPr>
            <w:tcW w:w="484" w:type="pct"/>
            <w:vAlign w:val="center"/>
          </w:tcPr>
          <w:p w14:paraId="2F718153" w14:textId="77777777" w:rsidR="00BE7F89" w:rsidRPr="00470D3D" w:rsidRDefault="00BE7F89" w:rsidP="005A428D">
            <w:pPr>
              <w:rPr>
                <w:rFonts w:eastAsia="SimSun"/>
              </w:rPr>
            </w:pPr>
          </w:p>
        </w:tc>
        <w:tc>
          <w:tcPr>
            <w:tcW w:w="1003" w:type="pct"/>
            <w:vAlign w:val="center"/>
          </w:tcPr>
          <w:p w14:paraId="307B2A4A" w14:textId="77777777" w:rsidR="00BE7F89" w:rsidRPr="00C07B2E" w:rsidRDefault="00BE7F89" w:rsidP="005A428D">
            <w:pPr>
              <w:rPr>
                <w:rFonts w:eastAsia="SimSun"/>
              </w:rPr>
            </w:pPr>
            <w:r w:rsidRPr="00C07B2E">
              <w:rPr>
                <w:rFonts w:eastAsia="SimSun"/>
              </w:rPr>
              <w:t>Препарат</w:t>
            </w:r>
          </w:p>
        </w:tc>
        <w:tc>
          <w:tcPr>
            <w:tcW w:w="703" w:type="pct"/>
            <w:vAlign w:val="center"/>
          </w:tcPr>
          <w:p w14:paraId="00122A42" w14:textId="77777777" w:rsidR="00BE7F89" w:rsidRPr="00C07B2E" w:rsidRDefault="00BE7F89" w:rsidP="005A428D">
            <w:pPr>
              <w:rPr>
                <w:rFonts w:eastAsia="SimSun"/>
              </w:rPr>
            </w:pPr>
            <w:r w:rsidRPr="00C07B2E">
              <w:rPr>
                <w:rFonts w:eastAsia="SimSun"/>
              </w:rPr>
              <w:t>Суточная доза</w:t>
            </w:r>
          </w:p>
        </w:tc>
        <w:tc>
          <w:tcPr>
            <w:tcW w:w="754" w:type="pct"/>
            <w:vAlign w:val="center"/>
          </w:tcPr>
          <w:p w14:paraId="53EBE37E" w14:textId="77777777" w:rsidR="00BE7F89" w:rsidRPr="00C07B2E" w:rsidRDefault="00BE7F89" w:rsidP="005A428D">
            <w:pPr>
              <w:rPr>
                <w:rFonts w:eastAsia="SimSun"/>
              </w:rPr>
            </w:pPr>
            <w:r w:rsidRPr="00C07B2E">
              <w:rPr>
                <w:rFonts w:eastAsia="SimSun"/>
              </w:rPr>
              <w:t>Курсовая доза</w:t>
            </w:r>
          </w:p>
        </w:tc>
        <w:tc>
          <w:tcPr>
            <w:tcW w:w="889" w:type="pct"/>
            <w:vAlign w:val="center"/>
          </w:tcPr>
          <w:p w14:paraId="1B83377D" w14:textId="77777777" w:rsidR="00BE7F89" w:rsidRPr="00C07B2E" w:rsidRDefault="00BE7F89" w:rsidP="005A428D">
            <w:pPr>
              <w:rPr>
                <w:rFonts w:eastAsia="SimSun"/>
              </w:rPr>
            </w:pPr>
            <w:r w:rsidRPr="00C07B2E">
              <w:rPr>
                <w:rFonts w:eastAsia="SimSun"/>
              </w:rPr>
              <w:t>Дни введения</w:t>
            </w:r>
          </w:p>
        </w:tc>
        <w:tc>
          <w:tcPr>
            <w:tcW w:w="1167" w:type="pct"/>
            <w:vAlign w:val="center"/>
          </w:tcPr>
          <w:p w14:paraId="13F467F1" w14:textId="77777777" w:rsidR="00BE7F89" w:rsidRPr="00C07B2E" w:rsidRDefault="00BE7F89" w:rsidP="005A428D">
            <w:pPr>
              <w:rPr>
                <w:rFonts w:eastAsia="SimSun"/>
              </w:rPr>
            </w:pPr>
            <w:r w:rsidRPr="00C07B2E">
              <w:rPr>
                <w:rFonts w:eastAsia="SimSun"/>
              </w:rPr>
              <w:t>Порядок введения</w:t>
            </w:r>
          </w:p>
        </w:tc>
      </w:tr>
      <w:tr w:rsidR="00BE7F89" w:rsidRPr="00C07B2E" w14:paraId="07948D72" w14:textId="77777777" w:rsidTr="005A428D">
        <w:trPr>
          <w:cantSplit/>
          <w:trHeight w:val="20"/>
        </w:trPr>
        <w:tc>
          <w:tcPr>
            <w:tcW w:w="484" w:type="pct"/>
            <w:vMerge w:val="restart"/>
            <w:textDirection w:val="btLr"/>
            <w:vAlign w:val="center"/>
          </w:tcPr>
          <w:p w14:paraId="2F1E85F3" w14:textId="77777777" w:rsidR="00BE7F89" w:rsidRPr="00C07B2E" w:rsidRDefault="00BE7F89" w:rsidP="005A428D">
            <w:pPr>
              <w:rPr>
                <w:rFonts w:eastAsia="SimSun"/>
              </w:rPr>
            </w:pPr>
            <w:r w:rsidRPr="00C07B2E">
              <w:rPr>
                <w:rFonts w:eastAsia="SimSun"/>
              </w:rPr>
              <w:t>Кондиционирование</w:t>
            </w:r>
          </w:p>
        </w:tc>
        <w:tc>
          <w:tcPr>
            <w:tcW w:w="1003" w:type="pct"/>
            <w:vAlign w:val="center"/>
          </w:tcPr>
          <w:p w14:paraId="41057FC3" w14:textId="77777777" w:rsidR="00BE7F89" w:rsidRPr="00C07B2E" w:rsidRDefault="00BE7F89" w:rsidP="005A428D">
            <w:pPr>
              <w:rPr>
                <w:rFonts w:eastAsia="SimSun"/>
              </w:rPr>
            </w:pPr>
            <w:r w:rsidRPr="00C07B2E">
              <w:rPr>
                <w:rFonts w:eastAsia="SimSun"/>
              </w:rPr>
              <w:t xml:space="preserve">Флударабин </w:t>
            </w:r>
          </w:p>
        </w:tc>
        <w:tc>
          <w:tcPr>
            <w:tcW w:w="703" w:type="pct"/>
            <w:vAlign w:val="center"/>
          </w:tcPr>
          <w:p w14:paraId="0B03366F" w14:textId="77777777" w:rsidR="00BE7F89" w:rsidRPr="00C07B2E" w:rsidRDefault="00BE7F89" w:rsidP="005A428D">
            <w:pPr>
              <w:rPr>
                <w:rFonts w:eastAsia="SimSun"/>
              </w:rPr>
            </w:pPr>
            <w:r w:rsidRPr="00C07B2E">
              <w:rPr>
                <w:rFonts w:eastAsia="SimSun"/>
              </w:rPr>
              <w:t>30 мг/м</w:t>
            </w:r>
            <w:r w:rsidRPr="000F445E">
              <w:rPr>
                <w:rFonts w:eastAsia="SimSun"/>
                <w:vertAlign w:val="superscript"/>
              </w:rPr>
              <w:t>2</w:t>
            </w:r>
          </w:p>
        </w:tc>
        <w:tc>
          <w:tcPr>
            <w:tcW w:w="754" w:type="pct"/>
            <w:vAlign w:val="center"/>
          </w:tcPr>
          <w:p w14:paraId="154BE498" w14:textId="77777777" w:rsidR="00BE7F89" w:rsidRPr="00C07B2E" w:rsidRDefault="00BE7F89" w:rsidP="005A428D">
            <w:pPr>
              <w:rPr>
                <w:rFonts w:eastAsia="SimSun"/>
              </w:rPr>
            </w:pPr>
            <w:r w:rsidRPr="00C07B2E">
              <w:rPr>
                <w:rFonts w:eastAsia="SimSun"/>
              </w:rPr>
              <w:t>180 мг/м</w:t>
            </w:r>
            <w:r w:rsidRPr="000F445E">
              <w:rPr>
                <w:rFonts w:eastAsia="SimSun"/>
                <w:vertAlign w:val="superscript"/>
              </w:rPr>
              <w:t>2</w:t>
            </w:r>
          </w:p>
        </w:tc>
        <w:tc>
          <w:tcPr>
            <w:tcW w:w="889" w:type="pct"/>
            <w:vAlign w:val="center"/>
          </w:tcPr>
          <w:p w14:paraId="1B8D4B66" w14:textId="77777777" w:rsidR="00BE7F89" w:rsidRPr="00C07B2E" w:rsidRDefault="00BE7F89" w:rsidP="005A428D">
            <w:pPr>
              <w:rPr>
                <w:rFonts w:eastAsia="SimSun"/>
              </w:rPr>
            </w:pPr>
            <w:r w:rsidRPr="00C07B2E">
              <w:rPr>
                <w:rFonts w:eastAsia="SimSun"/>
              </w:rPr>
              <w:t>С -7 дня по -2 день</w:t>
            </w:r>
          </w:p>
        </w:tc>
        <w:tc>
          <w:tcPr>
            <w:tcW w:w="1167" w:type="pct"/>
            <w:vAlign w:val="center"/>
          </w:tcPr>
          <w:p w14:paraId="16925A07" w14:textId="77777777" w:rsidR="00BE7F89" w:rsidRPr="00C07B2E" w:rsidRDefault="00BE7F89" w:rsidP="005A428D">
            <w:pPr>
              <w:rPr>
                <w:rFonts w:eastAsia="SimSun"/>
              </w:rPr>
            </w:pPr>
            <w:r w:rsidRPr="00C07B2E">
              <w:rPr>
                <w:rFonts w:eastAsia="SimSun"/>
              </w:rPr>
              <w:t>В/в, в течение 30 - 60 мин</w:t>
            </w:r>
          </w:p>
        </w:tc>
      </w:tr>
      <w:tr w:rsidR="00BE7F89" w:rsidRPr="00C07B2E" w14:paraId="68364CAB" w14:textId="77777777" w:rsidTr="005A428D">
        <w:trPr>
          <w:cantSplit/>
          <w:trHeight w:val="1207"/>
        </w:trPr>
        <w:tc>
          <w:tcPr>
            <w:tcW w:w="484" w:type="pct"/>
            <w:vMerge/>
            <w:vAlign w:val="center"/>
          </w:tcPr>
          <w:p w14:paraId="69030C27" w14:textId="77777777" w:rsidR="00BE7F89" w:rsidRPr="00C07B2E" w:rsidRDefault="00BE7F89" w:rsidP="005A428D">
            <w:pPr>
              <w:rPr>
                <w:rFonts w:eastAsia="SimSun"/>
              </w:rPr>
            </w:pPr>
          </w:p>
        </w:tc>
        <w:tc>
          <w:tcPr>
            <w:tcW w:w="1003" w:type="pct"/>
            <w:vAlign w:val="center"/>
          </w:tcPr>
          <w:p w14:paraId="34F627C9" w14:textId="77777777" w:rsidR="00BE7F89" w:rsidRPr="00C07B2E" w:rsidRDefault="00BE7F89" w:rsidP="005A428D">
            <w:pPr>
              <w:rPr>
                <w:rFonts w:eastAsia="SimSun"/>
              </w:rPr>
            </w:pPr>
            <w:r w:rsidRPr="00C07B2E">
              <w:rPr>
                <w:rFonts w:eastAsia="SimSun"/>
              </w:rPr>
              <w:t>Бусульфан</w:t>
            </w:r>
          </w:p>
        </w:tc>
        <w:tc>
          <w:tcPr>
            <w:tcW w:w="703" w:type="pct"/>
            <w:vAlign w:val="center"/>
          </w:tcPr>
          <w:p w14:paraId="626107E9" w14:textId="77777777" w:rsidR="00BE7F89" w:rsidRPr="00C07B2E" w:rsidRDefault="00BE7F89" w:rsidP="005A428D">
            <w:pPr>
              <w:rPr>
                <w:rFonts w:eastAsia="SimSun"/>
              </w:rPr>
            </w:pPr>
            <w:r w:rsidRPr="00C07B2E">
              <w:rPr>
                <w:rFonts w:eastAsia="SimSun"/>
              </w:rPr>
              <w:t xml:space="preserve">4 мг/кг </w:t>
            </w:r>
          </w:p>
        </w:tc>
        <w:tc>
          <w:tcPr>
            <w:tcW w:w="754" w:type="pct"/>
            <w:vAlign w:val="center"/>
          </w:tcPr>
          <w:p w14:paraId="3F7950D5" w14:textId="77777777" w:rsidR="00BE7F89" w:rsidRPr="00C07B2E" w:rsidRDefault="00BE7F89" w:rsidP="005A428D">
            <w:pPr>
              <w:rPr>
                <w:rFonts w:eastAsia="SimSun"/>
              </w:rPr>
            </w:pPr>
            <w:r w:rsidRPr="00C07B2E">
              <w:rPr>
                <w:rFonts w:eastAsia="SimSun"/>
                <w:lang w:val="en-US"/>
              </w:rPr>
              <w:t>12</w:t>
            </w:r>
            <w:r w:rsidRPr="00C07B2E">
              <w:rPr>
                <w:rFonts w:eastAsia="SimSun"/>
              </w:rPr>
              <w:t xml:space="preserve"> мг/кг </w:t>
            </w:r>
          </w:p>
        </w:tc>
        <w:tc>
          <w:tcPr>
            <w:tcW w:w="889" w:type="pct"/>
            <w:vAlign w:val="center"/>
          </w:tcPr>
          <w:p w14:paraId="2C1ED764" w14:textId="77777777" w:rsidR="00BE7F89" w:rsidRPr="00C07B2E" w:rsidRDefault="00BE7F89" w:rsidP="005A428D">
            <w:pPr>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1167" w:type="pct"/>
            <w:vAlign w:val="center"/>
          </w:tcPr>
          <w:p w14:paraId="3639F344" w14:textId="77777777" w:rsidR="00BE7F89" w:rsidRPr="00C07B2E" w:rsidRDefault="00BE7F89" w:rsidP="005A428D">
            <w:pPr>
              <w:rPr>
                <w:rFonts w:eastAsia="SimSun"/>
              </w:rPr>
            </w:pPr>
            <w:r w:rsidRPr="00C07B2E">
              <w:rPr>
                <w:rFonts w:eastAsia="SimSun"/>
              </w:rPr>
              <w:t>Внутрь, суммарная суточная доза разделяется на 4 приема с интервалом 6 часов.</w:t>
            </w:r>
          </w:p>
        </w:tc>
      </w:tr>
      <w:tr w:rsidR="00BE7F89" w:rsidRPr="00C07B2E" w14:paraId="2313DACF" w14:textId="77777777" w:rsidTr="005A428D">
        <w:trPr>
          <w:cantSplit/>
          <w:trHeight w:val="1498"/>
        </w:trPr>
        <w:tc>
          <w:tcPr>
            <w:tcW w:w="484" w:type="pct"/>
            <w:vMerge w:val="restart"/>
            <w:textDirection w:val="btLr"/>
            <w:vAlign w:val="center"/>
          </w:tcPr>
          <w:p w14:paraId="06283B94" w14:textId="77777777" w:rsidR="00BE7F89" w:rsidRPr="00C07B2E" w:rsidRDefault="00BE7F89" w:rsidP="005A428D">
            <w:pPr>
              <w:rPr>
                <w:rFonts w:eastAsia="SimSun"/>
              </w:rPr>
            </w:pPr>
            <w:r w:rsidRPr="00C07B2E">
              <w:rPr>
                <w:rFonts w:eastAsia="SimSun"/>
              </w:rPr>
              <w:t>Профилактика РТПХ</w:t>
            </w:r>
          </w:p>
        </w:tc>
        <w:tc>
          <w:tcPr>
            <w:tcW w:w="1003" w:type="pct"/>
            <w:vAlign w:val="center"/>
          </w:tcPr>
          <w:p w14:paraId="50824F1E" w14:textId="77777777" w:rsidR="00BE7F89" w:rsidRPr="00C07B2E" w:rsidRDefault="00BE7F89" w:rsidP="005A428D">
            <w:pPr>
              <w:rPr>
                <w:rFonts w:eastAsia="SimSun"/>
              </w:rPr>
            </w:pPr>
            <w:r w:rsidRPr="00C07B2E">
              <w:rPr>
                <w:rFonts w:eastAsia="SimSun"/>
              </w:rPr>
              <w:t>Циклофосфамид</w:t>
            </w:r>
          </w:p>
        </w:tc>
        <w:tc>
          <w:tcPr>
            <w:tcW w:w="703" w:type="pct"/>
            <w:vAlign w:val="center"/>
          </w:tcPr>
          <w:p w14:paraId="32220E23" w14:textId="77777777" w:rsidR="00BE7F89" w:rsidRPr="00C07B2E" w:rsidRDefault="00BE7F89" w:rsidP="005A428D">
            <w:pPr>
              <w:rPr>
                <w:rFonts w:eastAsia="SimSun"/>
              </w:rPr>
            </w:pPr>
            <w:r w:rsidRPr="00C07B2E">
              <w:rPr>
                <w:rFonts w:eastAsia="SimSun"/>
              </w:rPr>
              <w:t>50 мг/кг</w:t>
            </w:r>
          </w:p>
        </w:tc>
        <w:tc>
          <w:tcPr>
            <w:tcW w:w="754" w:type="pct"/>
            <w:vAlign w:val="center"/>
          </w:tcPr>
          <w:p w14:paraId="5F851F31" w14:textId="77777777" w:rsidR="00BE7F89" w:rsidRPr="00C07B2E" w:rsidRDefault="00BE7F89" w:rsidP="005A428D">
            <w:pPr>
              <w:rPr>
                <w:rFonts w:eastAsia="SimSun"/>
              </w:rPr>
            </w:pPr>
            <w:r w:rsidRPr="00C07B2E">
              <w:rPr>
                <w:rFonts w:eastAsia="SimSun"/>
              </w:rPr>
              <w:t>100 мг/кг</w:t>
            </w:r>
          </w:p>
        </w:tc>
        <w:tc>
          <w:tcPr>
            <w:tcW w:w="889" w:type="pct"/>
            <w:vAlign w:val="center"/>
          </w:tcPr>
          <w:p w14:paraId="110A89C6" w14:textId="77777777" w:rsidR="00BE7F89" w:rsidRPr="00C07B2E" w:rsidRDefault="00BE7F89" w:rsidP="005A428D">
            <w:pPr>
              <w:rPr>
                <w:rFonts w:eastAsia="SimSun"/>
              </w:rPr>
            </w:pPr>
            <w:r w:rsidRPr="00C07B2E">
              <w:rPr>
                <w:rFonts w:eastAsia="SimSun"/>
              </w:rPr>
              <w:t>В +3 день  и +5 день</w:t>
            </w:r>
          </w:p>
        </w:tc>
        <w:tc>
          <w:tcPr>
            <w:tcW w:w="1167" w:type="pct"/>
            <w:vAlign w:val="center"/>
          </w:tcPr>
          <w:p w14:paraId="5C5424C7" w14:textId="77777777" w:rsidR="00BE7F89" w:rsidRPr="00C07B2E" w:rsidRDefault="00BE7F89" w:rsidP="005A428D">
            <w:pPr>
              <w:rPr>
                <w:rFonts w:eastAsia="SimSun"/>
              </w:rPr>
            </w:pPr>
            <w:r w:rsidRPr="00C07B2E">
              <w:rPr>
                <w:rFonts w:eastAsia="SimSun"/>
              </w:rPr>
              <w:t xml:space="preserve">В/в, в течение 2 ч  </w:t>
            </w:r>
          </w:p>
        </w:tc>
      </w:tr>
      <w:tr w:rsidR="00BE7F89" w:rsidRPr="00C07B2E" w14:paraId="25EC50B6" w14:textId="77777777" w:rsidTr="005A428D">
        <w:trPr>
          <w:cantSplit/>
          <w:trHeight w:val="958"/>
        </w:trPr>
        <w:tc>
          <w:tcPr>
            <w:tcW w:w="484" w:type="pct"/>
            <w:vMerge/>
            <w:textDirection w:val="btLr"/>
            <w:vAlign w:val="center"/>
          </w:tcPr>
          <w:p w14:paraId="4BBDFBFC" w14:textId="77777777" w:rsidR="00BE7F89" w:rsidRPr="00C07B2E" w:rsidRDefault="00BE7F89" w:rsidP="005A428D">
            <w:pPr>
              <w:rPr>
                <w:rFonts w:eastAsia="SimSun"/>
              </w:rPr>
            </w:pPr>
          </w:p>
        </w:tc>
        <w:tc>
          <w:tcPr>
            <w:tcW w:w="1003" w:type="pct"/>
            <w:vAlign w:val="center"/>
          </w:tcPr>
          <w:p w14:paraId="5278C2A5" w14:textId="77777777" w:rsidR="00BE7F89" w:rsidRPr="00C07B2E" w:rsidRDefault="00BE7F89" w:rsidP="005A428D">
            <w:pPr>
              <w:rPr>
                <w:rFonts w:eastAsia="SimSun"/>
              </w:rPr>
            </w:pPr>
            <w:r w:rsidRPr="00C07B2E">
              <w:rPr>
                <w:rFonts w:eastAsia="SimSun"/>
              </w:rPr>
              <w:t>Микофенолата мофетил</w:t>
            </w:r>
          </w:p>
        </w:tc>
        <w:tc>
          <w:tcPr>
            <w:tcW w:w="703" w:type="pct"/>
            <w:vAlign w:val="center"/>
          </w:tcPr>
          <w:p w14:paraId="7DD01472" w14:textId="77777777" w:rsidR="00BE7F89" w:rsidRPr="00C07B2E" w:rsidRDefault="00BE7F89" w:rsidP="005A428D">
            <w:pPr>
              <w:rPr>
                <w:rFonts w:eastAsia="SimSun"/>
              </w:rPr>
            </w:pPr>
            <w:r w:rsidRPr="00C07B2E">
              <w:rPr>
                <w:rFonts w:eastAsia="SimSun"/>
              </w:rPr>
              <w:t xml:space="preserve">30 мг/кг </w:t>
            </w:r>
          </w:p>
        </w:tc>
        <w:tc>
          <w:tcPr>
            <w:tcW w:w="754" w:type="pct"/>
            <w:vAlign w:val="center"/>
          </w:tcPr>
          <w:p w14:paraId="32AD57D2" w14:textId="77777777" w:rsidR="00BE7F89" w:rsidRPr="00C07B2E" w:rsidRDefault="00BE7F89" w:rsidP="005A428D">
            <w:pPr>
              <w:rPr>
                <w:rFonts w:eastAsia="SimSun"/>
              </w:rPr>
            </w:pPr>
            <w:r w:rsidRPr="00C07B2E">
              <w:rPr>
                <w:rFonts w:eastAsia="SimSun"/>
              </w:rPr>
              <w:t>–</w:t>
            </w:r>
          </w:p>
        </w:tc>
        <w:tc>
          <w:tcPr>
            <w:tcW w:w="889" w:type="pct"/>
            <w:vAlign w:val="center"/>
          </w:tcPr>
          <w:p w14:paraId="3F0ED740" w14:textId="77777777" w:rsidR="00BE7F89" w:rsidRPr="00C07B2E" w:rsidRDefault="00BE7F89" w:rsidP="005A428D">
            <w:pPr>
              <w:rPr>
                <w:rFonts w:eastAsia="SimSun"/>
              </w:rPr>
            </w:pPr>
            <w:r w:rsidRPr="00C07B2E">
              <w:rPr>
                <w:rFonts w:eastAsia="SimSun"/>
              </w:rPr>
              <w:t xml:space="preserve">С +1 дня по +28 день </w:t>
            </w:r>
          </w:p>
        </w:tc>
        <w:tc>
          <w:tcPr>
            <w:tcW w:w="1167" w:type="pct"/>
            <w:vAlign w:val="center"/>
          </w:tcPr>
          <w:p w14:paraId="3764826D" w14:textId="77777777" w:rsidR="00BE7F89" w:rsidRPr="000F445E" w:rsidRDefault="00BE7F89" w:rsidP="005A428D">
            <w:pPr>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BE7F89" w:rsidRPr="000F445E" w14:paraId="574A5256" w14:textId="77777777" w:rsidTr="005A428D">
        <w:trPr>
          <w:cantSplit/>
          <w:trHeight w:val="958"/>
        </w:trPr>
        <w:tc>
          <w:tcPr>
            <w:tcW w:w="484" w:type="pct"/>
            <w:vMerge/>
            <w:textDirection w:val="btLr"/>
            <w:vAlign w:val="center"/>
          </w:tcPr>
          <w:p w14:paraId="75E12A09" w14:textId="77777777" w:rsidR="00BE7F89" w:rsidRPr="000F445E" w:rsidRDefault="00BE7F89" w:rsidP="005A428D">
            <w:pPr>
              <w:rPr>
                <w:rFonts w:eastAsia="SimSun"/>
              </w:rPr>
            </w:pPr>
          </w:p>
        </w:tc>
        <w:tc>
          <w:tcPr>
            <w:tcW w:w="1003" w:type="pct"/>
            <w:vAlign w:val="center"/>
          </w:tcPr>
          <w:p w14:paraId="5A1685E4" w14:textId="77777777" w:rsidR="00BE7F89" w:rsidRPr="00C07B2E" w:rsidRDefault="00BE7F89" w:rsidP="005A428D">
            <w:pPr>
              <w:rPr>
                <w:rFonts w:eastAsia="SimSun"/>
              </w:rPr>
            </w:pPr>
            <w:r w:rsidRPr="00C07B2E">
              <w:rPr>
                <w:rFonts w:eastAsia="SimSun"/>
              </w:rPr>
              <w:t>Циклоспорин А</w:t>
            </w:r>
          </w:p>
        </w:tc>
        <w:tc>
          <w:tcPr>
            <w:tcW w:w="703" w:type="pct"/>
            <w:vAlign w:val="center"/>
          </w:tcPr>
          <w:p w14:paraId="2D1B67F3" w14:textId="77777777" w:rsidR="00BE7F89" w:rsidRPr="00C07B2E" w:rsidRDefault="00BE7F89" w:rsidP="005A428D">
            <w:pPr>
              <w:rPr>
                <w:rFonts w:eastAsia="SimSun"/>
              </w:rPr>
            </w:pPr>
            <w:r w:rsidRPr="00C07B2E">
              <w:rPr>
                <w:rFonts w:eastAsia="SimSun"/>
              </w:rPr>
              <w:t>3  мг/кг</w:t>
            </w:r>
          </w:p>
        </w:tc>
        <w:tc>
          <w:tcPr>
            <w:tcW w:w="754" w:type="pct"/>
            <w:vAlign w:val="center"/>
          </w:tcPr>
          <w:p w14:paraId="0F6FB33E" w14:textId="77777777" w:rsidR="00BE7F89" w:rsidRPr="00C07B2E" w:rsidRDefault="00BE7F89" w:rsidP="005A428D">
            <w:pPr>
              <w:rPr>
                <w:rFonts w:eastAsia="SimSun"/>
              </w:rPr>
            </w:pPr>
            <w:r w:rsidRPr="00C07B2E">
              <w:rPr>
                <w:rFonts w:eastAsia="SimSun"/>
              </w:rPr>
              <w:t>-</w:t>
            </w:r>
          </w:p>
        </w:tc>
        <w:tc>
          <w:tcPr>
            <w:tcW w:w="889" w:type="pct"/>
            <w:vAlign w:val="center"/>
          </w:tcPr>
          <w:p w14:paraId="4B3BFC75" w14:textId="77777777" w:rsidR="00BE7F89" w:rsidRPr="00C07B2E" w:rsidRDefault="00BE7F89" w:rsidP="005A428D">
            <w:pPr>
              <w:rPr>
                <w:rFonts w:eastAsia="SimSun"/>
              </w:rPr>
            </w:pPr>
            <w:r w:rsidRPr="00C07B2E">
              <w:rPr>
                <w:rFonts w:eastAsia="SimSun"/>
              </w:rPr>
              <w:t xml:space="preserve">С -1 дня по +100 день </w:t>
            </w:r>
          </w:p>
        </w:tc>
        <w:tc>
          <w:tcPr>
            <w:tcW w:w="1167" w:type="pct"/>
            <w:vAlign w:val="center"/>
          </w:tcPr>
          <w:p w14:paraId="5750F16A" w14:textId="77777777" w:rsidR="00BE7F89" w:rsidRPr="000F445E" w:rsidRDefault="00BE7F89" w:rsidP="005A428D">
            <w:pPr>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bl>
    <w:p w14:paraId="59459D7C" w14:textId="77777777" w:rsidR="00BE7F89" w:rsidRPr="00C07B2E" w:rsidRDefault="00BE7F89" w:rsidP="00BE7F89">
      <w:pPr>
        <w:rPr>
          <w:rFonts w:eastAsia="SimSun"/>
        </w:rPr>
      </w:pPr>
    </w:p>
    <w:p w14:paraId="5EB77BA1" w14:textId="77777777" w:rsidR="00BE7F89" w:rsidRPr="00C07B2E" w:rsidRDefault="00BE7F89" w:rsidP="00BE7F89">
      <w:pPr>
        <w:rPr>
          <w:rFonts w:eastAsia="SimSun"/>
        </w:rPr>
      </w:pPr>
      <w:bookmarkStart w:id="144" w:name="_Toc44401151"/>
      <w:r w:rsidRPr="00042499">
        <w:rPr>
          <w:rFonts w:eastAsia="SimSun"/>
        </w:rPr>
        <w:t>Таблица</w:t>
      </w:r>
      <w:r w:rsidRPr="00C07B2E">
        <w:rPr>
          <w:rFonts w:eastAsia="SimSun"/>
        </w:rPr>
        <w:t xml:space="preserve"> </w:t>
      </w:r>
      <w:r>
        <w:rPr>
          <w:rFonts w:eastAsia="SimSun"/>
        </w:rPr>
        <w:t>5</w:t>
      </w:r>
      <w:r w:rsidRPr="00C07B2E">
        <w:rPr>
          <w:rFonts w:eastAsia="SimSun"/>
        </w:rPr>
        <w:t>.1.1.8  – Flu180+Bu14 / PT-Cy</w:t>
      </w:r>
      <w:bookmarkEnd w:id="14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BE7F89" w:rsidRPr="00C07B2E" w14:paraId="328BD62F" w14:textId="77777777" w:rsidTr="005A428D">
        <w:trPr>
          <w:cantSplit/>
          <w:trHeight w:val="20"/>
          <w:tblHeader/>
        </w:trPr>
        <w:tc>
          <w:tcPr>
            <w:tcW w:w="993" w:type="dxa"/>
            <w:vAlign w:val="center"/>
          </w:tcPr>
          <w:p w14:paraId="400ECAAC" w14:textId="77777777" w:rsidR="00BE7F89" w:rsidRPr="00C07B2E" w:rsidRDefault="00BE7F89" w:rsidP="005A428D">
            <w:pPr>
              <w:rPr>
                <w:rFonts w:eastAsia="SimSun"/>
              </w:rPr>
            </w:pPr>
          </w:p>
        </w:tc>
        <w:tc>
          <w:tcPr>
            <w:tcW w:w="1809" w:type="dxa"/>
            <w:vAlign w:val="center"/>
          </w:tcPr>
          <w:p w14:paraId="1281F3A4" w14:textId="77777777" w:rsidR="00BE7F89" w:rsidRPr="00C07B2E" w:rsidRDefault="00BE7F89" w:rsidP="005A428D">
            <w:pPr>
              <w:rPr>
                <w:rFonts w:eastAsia="SimSun"/>
              </w:rPr>
            </w:pPr>
            <w:r w:rsidRPr="00C07B2E">
              <w:rPr>
                <w:rFonts w:eastAsia="SimSun"/>
              </w:rPr>
              <w:t>Препарат</w:t>
            </w:r>
          </w:p>
        </w:tc>
        <w:tc>
          <w:tcPr>
            <w:tcW w:w="1417" w:type="dxa"/>
            <w:vAlign w:val="center"/>
          </w:tcPr>
          <w:p w14:paraId="1E6C952D" w14:textId="77777777" w:rsidR="00BE7F89" w:rsidRPr="00C07B2E" w:rsidRDefault="00BE7F89" w:rsidP="005A428D">
            <w:pPr>
              <w:rPr>
                <w:rFonts w:eastAsia="SimSun"/>
              </w:rPr>
            </w:pPr>
            <w:r w:rsidRPr="00C07B2E">
              <w:rPr>
                <w:rFonts w:eastAsia="SimSun"/>
              </w:rPr>
              <w:t>Суточная доза</w:t>
            </w:r>
          </w:p>
        </w:tc>
        <w:tc>
          <w:tcPr>
            <w:tcW w:w="1418" w:type="dxa"/>
            <w:vAlign w:val="center"/>
          </w:tcPr>
          <w:p w14:paraId="46A39479" w14:textId="77777777" w:rsidR="00BE7F89" w:rsidRPr="00C07B2E" w:rsidRDefault="00BE7F89" w:rsidP="005A428D">
            <w:pPr>
              <w:rPr>
                <w:rFonts w:eastAsia="SimSun"/>
              </w:rPr>
            </w:pPr>
            <w:r w:rsidRPr="00C07B2E">
              <w:rPr>
                <w:rFonts w:eastAsia="SimSun"/>
              </w:rPr>
              <w:t>Курсовая доза</w:t>
            </w:r>
          </w:p>
        </w:tc>
        <w:tc>
          <w:tcPr>
            <w:tcW w:w="1701" w:type="dxa"/>
            <w:vAlign w:val="center"/>
          </w:tcPr>
          <w:p w14:paraId="0C83B77C" w14:textId="77777777" w:rsidR="00BE7F89" w:rsidRPr="00C07B2E" w:rsidRDefault="00BE7F89" w:rsidP="005A428D">
            <w:pPr>
              <w:rPr>
                <w:rFonts w:eastAsia="SimSun"/>
              </w:rPr>
            </w:pPr>
            <w:r w:rsidRPr="00C07B2E">
              <w:rPr>
                <w:rFonts w:eastAsia="SimSun"/>
              </w:rPr>
              <w:t>Дни введения</w:t>
            </w:r>
          </w:p>
        </w:tc>
        <w:tc>
          <w:tcPr>
            <w:tcW w:w="2268" w:type="dxa"/>
            <w:vAlign w:val="center"/>
          </w:tcPr>
          <w:p w14:paraId="3422B523" w14:textId="77777777" w:rsidR="00BE7F89" w:rsidRPr="00C07B2E" w:rsidRDefault="00BE7F89" w:rsidP="005A428D">
            <w:pPr>
              <w:rPr>
                <w:rFonts w:eastAsia="SimSun"/>
              </w:rPr>
            </w:pPr>
            <w:r w:rsidRPr="00C07B2E">
              <w:rPr>
                <w:rFonts w:eastAsia="SimSun"/>
              </w:rPr>
              <w:t>Порядок введения</w:t>
            </w:r>
          </w:p>
        </w:tc>
      </w:tr>
      <w:tr w:rsidR="00BE7F89" w:rsidRPr="00C07B2E" w14:paraId="6C5D2C9B" w14:textId="77777777" w:rsidTr="005A428D">
        <w:trPr>
          <w:cantSplit/>
          <w:trHeight w:val="20"/>
        </w:trPr>
        <w:tc>
          <w:tcPr>
            <w:tcW w:w="993" w:type="dxa"/>
            <w:vMerge w:val="restart"/>
            <w:textDirection w:val="btLr"/>
            <w:vAlign w:val="center"/>
          </w:tcPr>
          <w:p w14:paraId="39A49414" w14:textId="77777777" w:rsidR="00BE7F89" w:rsidRPr="00C07B2E" w:rsidRDefault="00BE7F89" w:rsidP="005A428D">
            <w:pPr>
              <w:rPr>
                <w:rFonts w:eastAsia="SimSun"/>
              </w:rPr>
            </w:pPr>
            <w:r w:rsidRPr="00C07B2E">
              <w:rPr>
                <w:rFonts w:eastAsia="SimSun"/>
              </w:rPr>
              <w:t>Кондиционирование</w:t>
            </w:r>
          </w:p>
        </w:tc>
        <w:tc>
          <w:tcPr>
            <w:tcW w:w="1809" w:type="dxa"/>
            <w:vAlign w:val="center"/>
          </w:tcPr>
          <w:p w14:paraId="79D19648" w14:textId="77777777" w:rsidR="00BE7F89" w:rsidRPr="00C07B2E" w:rsidRDefault="00BE7F89" w:rsidP="005A428D">
            <w:pPr>
              <w:rPr>
                <w:rFonts w:eastAsia="SimSun"/>
              </w:rPr>
            </w:pPr>
            <w:r w:rsidRPr="00C07B2E">
              <w:rPr>
                <w:rFonts w:eastAsia="SimSun"/>
              </w:rPr>
              <w:t xml:space="preserve">Флударабин </w:t>
            </w:r>
          </w:p>
        </w:tc>
        <w:tc>
          <w:tcPr>
            <w:tcW w:w="1417" w:type="dxa"/>
            <w:vAlign w:val="center"/>
          </w:tcPr>
          <w:p w14:paraId="787F523F" w14:textId="77777777" w:rsidR="00BE7F89" w:rsidRPr="00C07B2E" w:rsidRDefault="00BE7F89" w:rsidP="005A428D">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47833219" w14:textId="77777777" w:rsidR="00BE7F89" w:rsidRPr="00C07B2E" w:rsidRDefault="00BE7F89" w:rsidP="005A428D">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0F25C2A0" w14:textId="77777777" w:rsidR="00BE7F89" w:rsidRPr="00C07B2E" w:rsidRDefault="00BE7F89" w:rsidP="005A428D">
            <w:pPr>
              <w:rPr>
                <w:rFonts w:eastAsia="SimSun"/>
              </w:rPr>
            </w:pPr>
            <w:r w:rsidRPr="00C07B2E">
              <w:rPr>
                <w:rFonts w:eastAsia="SimSun"/>
              </w:rPr>
              <w:t>С -7 дня по -2 день</w:t>
            </w:r>
          </w:p>
        </w:tc>
        <w:tc>
          <w:tcPr>
            <w:tcW w:w="2268" w:type="dxa"/>
            <w:vAlign w:val="center"/>
          </w:tcPr>
          <w:p w14:paraId="36A829ED" w14:textId="77777777" w:rsidR="00BE7F89" w:rsidRPr="00C07B2E" w:rsidRDefault="00BE7F89" w:rsidP="005A428D">
            <w:pPr>
              <w:rPr>
                <w:rFonts w:eastAsia="SimSun"/>
              </w:rPr>
            </w:pPr>
            <w:r w:rsidRPr="00C07B2E">
              <w:rPr>
                <w:rFonts w:eastAsia="SimSun"/>
              </w:rPr>
              <w:t>В/в, в течение 30 - 60 мин</w:t>
            </w:r>
          </w:p>
        </w:tc>
      </w:tr>
      <w:tr w:rsidR="00BE7F89" w:rsidRPr="00C07B2E" w14:paraId="0CFF7003" w14:textId="77777777" w:rsidTr="005A428D">
        <w:trPr>
          <w:cantSplit/>
          <w:trHeight w:val="1207"/>
        </w:trPr>
        <w:tc>
          <w:tcPr>
            <w:tcW w:w="993" w:type="dxa"/>
            <w:vMerge/>
            <w:vAlign w:val="center"/>
          </w:tcPr>
          <w:p w14:paraId="4D852966" w14:textId="77777777" w:rsidR="00BE7F89" w:rsidRPr="00C07B2E" w:rsidRDefault="00BE7F89" w:rsidP="005A428D">
            <w:pPr>
              <w:rPr>
                <w:rFonts w:eastAsia="SimSun"/>
              </w:rPr>
            </w:pPr>
          </w:p>
        </w:tc>
        <w:tc>
          <w:tcPr>
            <w:tcW w:w="1809" w:type="dxa"/>
            <w:vAlign w:val="center"/>
          </w:tcPr>
          <w:p w14:paraId="089207E6" w14:textId="77777777" w:rsidR="00BE7F89" w:rsidRPr="00C07B2E" w:rsidRDefault="00BE7F89" w:rsidP="005A428D">
            <w:pPr>
              <w:rPr>
                <w:rFonts w:eastAsia="SimSun"/>
              </w:rPr>
            </w:pPr>
            <w:r w:rsidRPr="00C07B2E">
              <w:rPr>
                <w:rFonts w:eastAsia="SimSun"/>
              </w:rPr>
              <w:t>Бусульфан</w:t>
            </w:r>
          </w:p>
        </w:tc>
        <w:tc>
          <w:tcPr>
            <w:tcW w:w="1417" w:type="dxa"/>
            <w:vAlign w:val="center"/>
          </w:tcPr>
          <w:p w14:paraId="6545ADDC" w14:textId="77777777" w:rsidR="00BE7F89" w:rsidRPr="00C07B2E" w:rsidRDefault="00BE7F89" w:rsidP="005A428D">
            <w:pPr>
              <w:rPr>
                <w:rFonts w:eastAsia="SimSun"/>
              </w:rPr>
            </w:pPr>
            <w:r w:rsidRPr="00C07B2E">
              <w:rPr>
                <w:rFonts w:eastAsia="SimSun"/>
              </w:rPr>
              <w:t xml:space="preserve">4 мг/кг </w:t>
            </w:r>
          </w:p>
        </w:tc>
        <w:tc>
          <w:tcPr>
            <w:tcW w:w="1418" w:type="dxa"/>
            <w:vAlign w:val="center"/>
          </w:tcPr>
          <w:p w14:paraId="3D2BD0AD" w14:textId="77777777" w:rsidR="00BE7F89" w:rsidRPr="00C07B2E" w:rsidRDefault="00BE7F89" w:rsidP="005A428D">
            <w:pPr>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54F14B12" w14:textId="77777777" w:rsidR="00BE7F89" w:rsidRPr="00C07B2E" w:rsidRDefault="00BE7F89" w:rsidP="005A428D">
            <w:pPr>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47D9E3A8" w14:textId="77777777" w:rsidR="00BE7F89" w:rsidRPr="00C07B2E" w:rsidRDefault="00BE7F89" w:rsidP="005A428D">
            <w:pPr>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C07B2E" w14:paraId="2E5BD339" w14:textId="77777777" w:rsidTr="005A428D">
        <w:trPr>
          <w:cantSplit/>
          <w:trHeight w:val="1498"/>
        </w:trPr>
        <w:tc>
          <w:tcPr>
            <w:tcW w:w="993" w:type="dxa"/>
            <w:textDirection w:val="btLr"/>
            <w:vAlign w:val="center"/>
          </w:tcPr>
          <w:p w14:paraId="3E78DD9C" w14:textId="77777777" w:rsidR="00BE7F89" w:rsidRPr="00C07B2E" w:rsidRDefault="00BE7F89" w:rsidP="005A428D">
            <w:pPr>
              <w:rPr>
                <w:rFonts w:eastAsia="SimSun"/>
              </w:rPr>
            </w:pPr>
            <w:r w:rsidRPr="00C07B2E">
              <w:rPr>
                <w:rFonts w:eastAsia="SimSun"/>
              </w:rPr>
              <w:t>Профилактика РТПХ</w:t>
            </w:r>
          </w:p>
        </w:tc>
        <w:tc>
          <w:tcPr>
            <w:tcW w:w="1809" w:type="dxa"/>
            <w:vAlign w:val="center"/>
          </w:tcPr>
          <w:p w14:paraId="3DDA7E31" w14:textId="77777777" w:rsidR="00BE7F89" w:rsidRPr="00C07B2E" w:rsidRDefault="00BE7F89" w:rsidP="005A428D">
            <w:pPr>
              <w:rPr>
                <w:rFonts w:eastAsia="SimSun"/>
              </w:rPr>
            </w:pPr>
            <w:r w:rsidRPr="00C07B2E">
              <w:rPr>
                <w:rFonts w:eastAsia="SimSun"/>
              </w:rPr>
              <w:t>Циклофосфамид</w:t>
            </w:r>
          </w:p>
        </w:tc>
        <w:tc>
          <w:tcPr>
            <w:tcW w:w="1417" w:type="dxa"/>
            <w:vAlign w:val="center"/>
          </w:tcPr>
          <w:p w14:paraId="0227F373" w14:textId="77777777" w:rsidR="00BE7F89" w:rsidRPr="00C07B2E" w:rsidRDefault="00BE7F89" w:rsidP="005A428D">
            <w:pPr>
              <w:rPr>
                <w:rFonts w:eastAsia="SimSun"/>
              </w:rPr>
            </w:pPr>
            <w:r w:rsidRPr="00C07B2E">
              <w:rPr>
                <w:rFonts w:eastAsia="SimSun"/>
              </w:rPr>
              <w:t>50 мг/кг</w:t>
            </w:r>
          </w:p>
        </w:tc>
        <w:tc>
          <w:tcPr>
            <w:tcW w:w="1418" w:type="dxa"/>
            <w:vAlign w:val="center"/>
          </w:tcPr>
          <w:p w14:paraId="51B3277E" w14:textId="77777777" w:rsidR="00BE7F89" w:rsidRPr="00C07B2E" w:rsidRDefault="00BE7F89" w:rsidP="005A428D">
            <w:pPr>
              <w:rPr>
                <w:rFonts w:eastAsia="SimSun"/>
              </w:rPr>
            </w:pPr>
            <w:r w:rsidRPr="00C07B2E">
              <w:rPr>
                <w:rFonts w:eastAsia="SimSun"/>
              </w:rPr>
              <w:t>100 мг/кг</w:t>
            </w:r>
          </w:p>
        </w:tc>
        <w:tc>
          <w:tcPr>
            <w:tcW w:w="1701" w:type="dxa"/>
            <w:vAlign w:val="center"/>
          </w:tcPr>
          <w:p w14:paraId="60FEE6C3" w14:textId="77777777" w:rsidR="00BE7F89" w:rsidRPr="00C07B2E" w:rsidRDefault="00BE7F89" w:rsidP="005A428D">
            <w:pPr>
              <w:rPr>
                <w:rFonts w:eastAsia="SimSun"/>
              </w:rPr>
            </w:pPr>
            <w:r w:rsidRPr="00C07B2E">
              <w:rPr>
                <w:rFonts w:eastAsia="SimSun"/>
              </w:rPr>
              <w:t>С +3 дня по +4 день</w:t>
            </w:r>
          </w:p>
        </w:tc>
        <w:tc>
          <w:tcPr>
            <w:tcW w:w="2268" w:type="dxa"/>
            <w:vAlign w:val="center"/>
          </w:tcPr>
          <w:p w14:paraId="2DE7BD74" w14:textId="77777777" w:rsidR="00BE7F89" w:rsidRPr="00C07B2E" w:rsidRDefault="00BE7F89" w:rsidP="005A428D">
            <w:pPr>
              <w:rPr>
                <w:rFonts w:eastAsia="SimSun"/>
              </w:rPr>
            </w:pPr>
            <w:r w:rsidRPr="00C07B2E">
              <w:rPr>
                <w:rFonts w:eastAsia="SimSun"/>
              </w:rPr>
              <w:t xml:space="preserve">В/в, в течение 2 ч  </w:t>
            </w:r>
          </w:p>
        </w:tc>
      </w:tr>
    </w:tbl>
    <w:p w14:paraId="13C30182" w14:textId="77777777" w:rsidR="00BE7F89" w:rsidRPr="00C07B2E" w:rsidRDefault="00BE7F89" w:rsidP="00BE7F89">
      <w:pPr>
        <w:rPr>
          <w:rFonts w:eastAsia="SimSun"/>
        </w:rPr>
      </w:pPr>
    </w:p>
    <w:p w14:paraId="3B1D9CDD" w14:textId="77777777" w:rsidR="00BE7F89" w:rsidRPr="00C07B2E" w:rsidRDefault="00BE7F89" w:rsidP="00BE7F89">
      <w:pPr>
        <w:rPr>
          <w:rFonts w:eastAsia="SimSun"/>
        </w:rPr>
      </w:pPr>
      <w:bookmarkStart w:id="145" w:name="_Toc44401152"/>
      <w:r w:rsidRPr="00042499">
        <w:rPr>
          <w:rFonts w:eastAsia="SimSun"/>
        </w:rPr>
        <w:t>Таблица</w:t>
      </w:r>
      <w:r w:rsidRPr="00C07B2E">
        <w:rPr>
          <w:rFonts w:eastAsia="SimSun"/>
        </w:rPr>
        <w:t xml:space="preserve"> </w:t>
      </w:r>
      <w:r>
        <w:rPr>
          <w:rFonts w:eastAsia="SimSun"/>
        </w:rPr>
        <w:t>5</w:t>
      </w:r>
      <w:r w:rsidRPr="00C07B2E">
        <w:rPr>
          <w:rFonts w:eastAsia="SimSun"/>
        </w:rPr>
        <w:t>.1.1.9 – Flu180+Bu14 / PT-Cy+Tx+MMF30</w:t>
      </w:r>
      <w:bookmarkEnd w:id="14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BE7F89" w:rsidRPr="00C07B2E" w14:paraId="350CDD81" w14:textId="77777777" w:rsidTr="005A428D">
        <w:trPr>
          <w:cantSplit/>
          <w:trHeight w:val="20"/>
          <w:tblHeader/>
        </w:trPr>
        <w:tc>
          <w:tcPr>
            <w:tcW w:w="993" w:type="dxa"/>
            <w:vAlign w:val="center"/>
          </w:tcPr>
          <w:p w14:paraId="7A178C72" w14:textId="77777777" w:rsidR="00BE7F89" w:rsidRPr="00470D3D" w:rsidRDefault="00BE7F89" w:rsidP="005A428D">
            <w:pPr>
              <w:rPr>
                <w:rFonts w:eastAsia="SimSun"/>
              </w:rPr>
            </w:pPr>
          </w:p>
        </w:tc>
        <w:tc>
          <w:tcPr>
            <w:tcW w:w="1809" w:type="dxa"/>
            <w:vAlign w:val="center"/>
          </w:tcPr>
          <w:p w14:paraId="7473DA29" w14:textId="77777777" w:rsidR="00BE7F89" w:rsidRPr="00C07B2E" w:rsidRDefault="00BE7F89" w:rsidP="005A428D">
            <w:pPr>
              <w:rPr>
                <w:rFonts w:eastAsia="SimSun"/>
              </w:rPr>
            </w:pPr>
            <w:r w:rsidRPr="00C07B2E">
              <w:rPr>
                <w:rFonts w:eastAsia="SimSun"/>
              </w:rPr>
              <w:t>Препарат</w:t>
            </w:r>
          </w:p>
        </w:tc>
        <w:tc>
          <w:tcPr>
            <w:tcW w:w="1417" w:type="dxa"/>
            <w:vAlign w:val="center"/>
          </w:tcPr>
          <w:p w14:paraId="1B8554B4" w14:textId="77777777" w:rsidR="00BE7F89" w:rsidRPr="00C07B2E" w:rsidRDefault="00BE7F89" w:rsidP="005A428D">
            <w:pPr>
              <w:rPr>
                <w:rFonts w:eastAsia="SimSun"/>
              </w:rPr>
            </w:pPr>
            <w:r w:rsidRPr="00C07B2E">
              <w:rPr>
                <w:rFonts w:eastAsia="SimSun"/>
              </w:rPr>
              <w:t>Суточная доза</w:t>
            </w:r>
          </w:p>
        </w:tc>
        <w:tc>
          <w:tcPr>
            <w:tcW w:w="1418" w:type="dxa"/>
            <w:vAlign w:val="center"/>
          </w:tcPr>
          <w:p w14:paraId="650F2FF7" w14:textId="77777777" w:rsidR="00BE7F89" w:rsidRPr="00C07B2E" w:rsidRDefault="00BE7F89" w:rsidP="005A428D">
            <w:pPr>
              <w:rPr>
                <w:rFonts w:eastAsia="SimSun"/>
              </w:rPr>
            </w:pPr>
            <w:r w:rsidRPr="00C07B2E">
              <w:rPr>
                <w:rFonts w:eastAsia="SimSun"/>
              </w:rPr>
              <w:t>Курсовая доза</w:t>
            </w:r>
          </w:p>
        </w:tc>
        <w:tc>
          <w:tcPr>
            <w:tcW w:w="1701" w:type="dxa"/>
            <w:vAlign w:val="center"/>
          </w:tcPr>
          <w:p w14:paraId="12B007E0" w14:textId="77777777" w:rsidR="00BE7F89" w:rsidRPr="00C07B2E" w:rsidRDefault="00BE7F89" w:rsidP="005A428D">
            <w:pPr>
              <w:rPr>
                <w:rFonts w:eastAsia="SimSun"/>
              </w:rPr>
            </w:pPr>
            <w:r w:rsidRPr="00C07B2E">
              <w:rPr>
                <w:rFonts w:eastAsia="SimSun"/>
              </w:rPr>
              <w:t>Дни введения</w:t>
            </w:r>
          </w:p>
        </w:tc>
        <w:tc>
          <w:tcPr>
            <w:tcW w:w="2268" w:type="dxa"/>
            <w:vAlign w:val="center"/>
          </w:tcPr>
          <w:p w14:paraId="062ADA7F" w14:textId="77777777" w:rsidR="00BE7F89" w:rsidRPr="00C07B2E" w:rsidRDefault="00BE7F89" w:rsidP="005A428D">
            <w:pPr>
              <w:rPr>
                <w:rFonts w:eastAsia="SimSun"/>
              </w:rPr>
            </w:pPr>
            <w:r w:rsidRPr="00C07B2E">
              <w:rPr>
                <w:rFonts w:eastAsia="SimSun"/>
              </w:rPr>
              <w:t>Порядок введения</w:t>
            </w:r>
          </w:p>
        </w:tc>
      </w:tr>
      <w:tr w:rsidR="00BE7F89" w:rsidRPr="00C07B2E" w14:paraId="1AA8E3D2" w14:textId="77777777" w:rsidTr="005A428D">
        <w:trPr>
          <w:cantSplit/>
          <w:trHeight w:val="20"/>
        </w:trPr>
        <w:tc>
          <w:tcPr>
            <w:tcW w:w="993" w:type="dxa"/>
            <w:vMerge w:val="restart"/>
            <w:textDirection w:val="btLr"/>
            <w:vAlign w:val="center"/>
          </w:tcPr>
          <w:p w14:paraId="499A6D83" w14:textId="77777777" w:rsidR="00BE7F89" w:rsidRPr="00C07B2E" w:rsidRDefault="00BE7F89" w:rsidP="005A428D">
            <w:pPr>
              <w:rPr>
                <w:rFonts w:eastAsia="SimSun"/>
              </w:rPr>
            </w:pPr>
            <w:r w:rsidRPr="00C07B2E">
              <w:rPr>
                <w:rFonts w:eastAsia="SimSun"/>
              </w:rPr>
              <w:t>Кондиционирование</w:t>
            </w:r>
          </w:p>
        </w:tc>
        <w:tc>
          <w:tcPr>
            <w:tcW w:w="1809" w:type="dxa"/>
            <w:vAlign w:val="center"/>
          </w:tcPr>
          <w:p w14:paraId="446817A7" w14:textId="77777777" w:rsidR="00BE7F89" w:rsidRPr="00C07B2E" w:rsidRDefault="00BE7F89" w:rsidP="005A428D">
            <w:pPr>
              <w:rPr>
                <w:rFonts w:eastAsia="SimSun"/>
              </w:rPr>
            </w:pPr>
            <w:r w:rsidRPr="00C07B2E">
              <w:rPr>
                <w:rFonts w:eastAsia="SimSun"/>
              </w:rPr>
              <w:t xml:space="preserve">Флударабин </w:t>
            </w:r>
          </w:p>
        </w:tc>
        <w:tc>
          <w:tcPr>
            <w:tcW w:w="1417" w:type="dxa"/>
            <w:vAlign w:val="center"/>
          </w:tcPr>
          <w:p w14:paraId="68602C12" w14:textId="77777777" w:rsidR="00BE7F89" w:rsidRPr="00C07B2E" w:rsidRDefault="00BE7F89" w:rsidP="005A428D">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4C87968A" w14:textId="77777777" w:rsidR="00BE7F89" w:rsidRPr="00C07B2E" w:rsidRDefault="00BE7F89" w:rsidP="005A428D">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08A70A79" w14:textId="77777777" w:rsidR="00BE7F89" w:rsidRPr="00C07B2E" w:rsidRDefault="00BE7F89" w:rsidP="005A428D">
            <w:pPr>
              <w:rPr>
                <w:rFonts w:eastAsia="SimSun"/>
              </w:rPr>
            </w:pPr>
            <w:r w:rsidRPr="00C07B2E">
              <w:rPr>
                <w:rFonts w:eastAsia="SimSun"/>
              </w:rPr>
              <w:t>С -7 дня по -2 день</w:t>
            </w:r>
          </w:p>
        </w:tc>
        <w:tc>
          <w:tcPr>
            <w:tcW w:w="2268" w:type="dxa"/>
            <w:vAlign w:val="center"/>
          </w:tcPr>
          <w:p w14:paraId="0B496B5F" w14:textId="77777777" w:rsidR="00BE7F89" w:rsidRPr="00C07B2E" w:rsidRDefault="00BE7F89" w:rsidP="005A428D">
            <w:pPr>
              <w:rPr>
                <w:rFonts w:eastAsia="SimSun"/>
              </w:rPr>
            </w:pPr>
            <w:r w:rsidRPr="00C07B2E">
              <w:rPr>
                <w:rFonts w:eastAsia="SimSun"/>
              </w:rPr>
              <w:t>В/в, в течение 30 - 60 мин</w:t>
            </w:r>
          </w:p>
        </w:tc>
      </w:tr>
      <w:tr w:rsidR="00BE7F89" w:rsidRPr="00C07B2E" w14:paraId="282F03C9" w14:textId="77777777" w:rsidTr="005A428D">
        <w:trPr>
          <w:cantSplit/>
          <w:trHeight w:val="1207"/>
        </w:trPr>
        <w:tc>
          <w:tcPr>
            <w:tcW w:w="993" w:type="dxa"/>
            <w:vMerge/>
            <w:vAlign w:val="center"/>
          </w:tcPr>
          <w:p w14:paraId="5C38ADA1" w14:textId="77777777" w:rsidR="00BE7F89" w:rsidRPr="00C07B2E" w:rsidRDefault="00BE7F89" w:rsidP="005A428D">
            <w:pPr>
              <w:rPr>
                <w:rFonts w:eastAsia="SimSun"/>
              </w:rPr>
            </w:pPr>
          </w:p>
        </w:tc>
        <w:tc>
          <w:tcPr>
            <w:tcW w:w="1809" w:type="dxa"/>
            <w:vAlign w:val="center"/>
          </w:tcPr>
          <w:p w14:paraId="0569D820" w14:textId="77777777" w:rsidR="00BE7F89" w:rsidRPr="00C07B2E" w:rsidRDefault="00BE7F89" w:rsidP="005A428D">
            <w:pPr>
              <w:rPr>
                <w:rFonts w:eastAsia="SimSun"/>
              </w:rPr>
            </w:pPr>
            <w:r w:rsidRPr="00C07B2E">
              <w:rPr>
                <w:rFonts w:eastAsia="SimSun"/>
              </w:rPr>
              <w:t>Бусульфан</w:t>
            </w:r>
          </w:p>
        </w:tc>
        <w:tc>
          <w:tcPr>
            <w:tcW w:w="1417" w:type="dxa"/>
            <w:vAlign w:val="center"/>
          </w:tcPr>
          <w:p w14:paraId="489506E9" w14:textId="77777777" w:rsidR="00BE7F89" w:rsidRPr="00C07B2E" w:rsidRDefault="00BE7F89" w:rsidP="005A428D">
            <w:pPr>
              <w:rPr>
                <w:rFonts w:eastAsia="SimSun"/>
              </w:rPr>
            </w:pPr>
            <w:r w:rsidRPr="00C07B2E">
              <w:rPr>
                <w:rFonts w:eastAsia="SimSun"/>
              </w:rPr>
              <w:t xml:space="preserve">4 мг/кг </w:t>
            </w:r>
          </w:p>
        </w:tc>
        <w:tc>
          <w:tcPr>
            <w:tcW w:w="1418" w:type="dxa"/>
            <w:vAlign w:val="center"/>
          </w:tcPr>
          <w:p w14:paraId="1836F6D5" w14:textId="77777777" w:rsidR="00BE7F89" w:rsidRPr="00C07B2E" w:rsidRDefault="00BE7F89" w:rsidP="005A428D">
            <w:pPr>
              <w:rPr>
                <w:rFonts w:eastAsia="SimSun"/>
              </w:rPr>
            </w:pPr>
            <w:r w:rsidRPr="00C07B2E">
              <w:rPr>
                <w:rFonts w:eastAsia="SimSun"/>
                <w:lang w:val="en-US"/>
              </w:rPr>
              <w:t>1</w:t>
            </w:r>
            <w:r w:rsidRPr="00C07B2E">
              <w:rPr>
                <w:rFonts w:eastAsia="SimSun"/>
              </w:rPr>
              <w:t xml:space="preserve">4мг/кг </w:t>
            </w:r>
          </w:p>
        </w:tc>
        <w:tc>
          <w:tcPr>
            <w:tcW w:w="1701" w:type="dxa"/>
            <w:vAlign w:val="center"/>
          </w:tcPr>
          <w:p w14:paraId="0FA80939" w14:textId="77777777" w:rsidR="00BE7F89" w:rsidRPr="00C07B2E" w:rsidRDefault="00BE7F89" w:rsidP="005A428D">
            <w:pPr>
              <w:rPr>
                <w:rFonts w:eastAsia="SimSun"/>
              </w:rPr>
            </w:pPr>
            <w:r w:rsidRPr="00C07B2E">
              <w:rPr>
                <w:rFonts w:eastAsia="SimSun"/>
              </w:rPr>
              <w:t>С -6 дня по -3 день</w:t>
            </w:r>
          </w:p>
        </w:tc>
        <w:tc>
          <w:tcPr>
            <w:tcW w:w="2268" w:type="dxa"/>
            <w:vAlign w:val="center"/>
          </w:tcPr>
          <w:p w14:paraId="3C7679E4" w14:textId="77777777" w:rsidR="00BE7F89" w:rsidRPr="00C07B2E" w:rsidRDefault="00BE7F89" w:rsidP="005A428D">
            <w:pPr>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C07B2E" w14:paraId="729A9E0D" w14:textId="77777777" w:rsidTr="005A428D">
        <w:trPr>
          <w:cantSplit/>
          <w:trHeight w:val="622"/>
        </w:trPr>
        <w:tc>
          <w:tcPr>
            <w:tcW w:w="993" w:type="dxa"/>
            <w:vMerge w:val="restart"/>
            <w:textDirection w:val="btLr"/>
            <w:vAlign w:val="center"/>
          </w:tcPr>
          <w:p w14:paraId="2EB0F556" w14:textId="77777777" w:rsidR="00BE7F89" w:rsidRPr="00C07B2E" w:rsidRDefault="00BE7F89" w:rsidP="005A428D">
            <w:pPr>
              <w:rPr>
                <w:rFonts w:eastAsia="SimSun"/>
              </w:rPr>
            </w:pPr>
            <w:r w:rsidRPr="00C07B2E">
              <w:rPr>
                <w:rFonts w:eastAsia="SimSun"/>
              </w:rPr>
              <w:t>Профилактика РТПХ</w:t>
            </w:r>
          </w:p>
        </w:tc>
        <w:tc>
          <w:tcPr>
            <w:tcW w:w="1809" w:type="dxa"/>
            <w:vAlign w:val="center"/>
          </w:tcPr>
          <w:p w14:paraId="55C0AA60" w14:textId="77777777" w:rsidR="00BE7F89" w:rsidRPr="00C07B2E" w:rsidRDefault="00BE7F89" w:rsidP="005A428D">
            <w:pPr>
              <w:rPr>
                <w:rFonts w:eastAsia="SimSun"/>
              </w:rPr>
            </w:pPr>
            <w:r w:rsidRPr="00C07B2E">
              <w:rPr>
                <w:rFonts w:eastAsia="SimSun"/>
              </w:rPr>
              <w:t>Циклофосфамид</w:t>
            </w:r>
          </w:p>
        </w:tc>
        <w:tc>
          <w:tcPr>
            <w:tcW w:w="1417" w:type="dxa"/>
            <w:vAlign w:val="center"/>
          </w:tcPr>
          <w:p w14:paraId="5B54FF50" w14:textId="77777777" w:rsidR="00BE7F89" w:rsidRPr="00C07B2E" w:rsidRDefault="00BE7F89" w:rsidP="005A428D">
            <w:pPr>
              <w:rPr>
                <w:rFonts w:eastAsia="SimSun"/>
              </w:rPr>
            </w:pPr>
            <w:r w:rsidRPr="00C07B2E">
              <w:rPr>
                <w:rFonts w:eastAsia="SimSun"/>
              </w:rPr>
              <w:t>50 мг/кг</w:t>
            </w:r>
          </w:p>
        </w:tc>
        <w:tc>
          <w:tcPr>
            <w:tcW w:w="1418" w:type="dxa"/>
            <w:vAlign w:val="center"/>
          </w:tcPr>
          <w:p w14:paraId="66D3831E" w14:textId="77777777" w:rsidR="00BE7F89" w:rsidRPr="00C07B2E" w:rsidRDefault="00BE7F89" w:rsidP="005A428D">
            <w:pPr>
              <w:rPr>
                <w:rFonts w:eastAsia="SimSun"/>
              </w:rPr>
            </w:pPr>
            <w:r w:rsidRPr="00C07B2E">
              <w:rPr>
                <w:rFonts w:eastAsia="SimSun"/>
              </w:rPr>
              <w:t>100 мг/кг</w:t>
            </w:r>
          </w:p>
        </w:tc>
        <w:tc>
          <w:tcPr>
            <w:tcW w:w="1701" w:type="dxa"/>
            <w:vAlign w:val="center"/>
          </w:tcPr>
          <w:p w14:paraId="5B59F4AE" w14:textId="77777777" w:rsidR="00BE7F89" w:rsidRPr="00C07B2E" w:rsidRDefault="00BE7F89" w:rsidP="005A428D">
            <w:pPr>
              <w:rPr>
                <w:rFonts w:eastAsia="SimSun"/>
              </w:rPr>
            </w:pPr>
            <w:r w:rsidRPr="00C07B2E">
              <w:rPr>
                <w:rFonts w:eastAsia="SimSun"/>
              </w:rPr>
              <w:t>С +3 дня по +4 день</w:t>
            </w:r>
          </w:p>
        </w:tc>
        <w:tc>
          <w:tcPr>
            <w:tcW w:w="2268" w:type="dxa"/>
            <w:vAlign w:val="center"/>
          </w:tcPr>
          <w:p w14:paraId="250CAECC" w14:textId="77777777" w:rsidR="00BE7F89" w:rsidRPr="00C07B2E" w:rsidRDefault="00BE7F89" w:rsidP="005A428D">
            <w:pPr>
              <w:rPr>
                <w:rFonts w:eastAsia="SimSun"/>
              </w:rPr>
            </w:pPr>
            <w:r w:rsidRPr="00C07B2E">
              <w:rPr>
                <w:rFonts w:eastAsia="SimSun"/>
              </w:rPr>
              <w:t xml:space="preserve">В/в, в течение 2 ч  </w:t>
            </w:r>
          </w:p>
        </w:tc>
      </w:tr>
      <w:tr w:rsidR="00BE7F89" w:rsidRPr="00C07B2E" w14:paraId="2EB6D927" w14:textId="77777777" w:rsidTr="005A428D">
        <w:trPr>
          <w:cantSplit/>
          <w:trHeight w:val="958"/>
        </w:trPr>
        <w:tc>
          <w:tcPr>
            <w:tcW w:w="993" w:type="dxa"/>
            <w:vMerge/>
            <w:textDirection w:val="btLr"/>
            <w:vAlign w:val="center"/>
          </w:tcPr>
          <w:p w14:paraId="30AE3FAD" w14:textId="77777777" w:rsidR="00BE7F89" w:rsidRPr="00C07B2E" w:rsidRDefault="00BE7F89" w:rsidP="005A428D">
            <w:pPr>
              <w:rPr>
                <w:rFonts w:eastAsia="SimSun"/>
              </w:rPr>
            </w:pPr>
          </w:p>
        </w:tc>
        <w:tc>
          <w:tcPr>
            <w:tcW w:w="1809" w:type="dxa"/>
            <w:vAlign w:val="center"/>
          </w:tcPr>
          <w:p w14:paraId="27CD9981" w14:textId="77777777" w:rsidR="00BE7F89" w:rsidRPr="00C07B2E" w:rsidRDefault="00BE7F89" w:rsidP="005A428D">
            <w:pPr>
              <w:rPr>
                <w:rFonts w:eastAsia="SimSun"/>
              </w:rPr>
            </w:pPr>
            <w:r w:rsidRPr="00C07B2E">
              <w:rPr>
                <w:rFonts w:eastAsia="SimSun"/>
              </w:rPr>
              <w:t xml:space="preserve">Такролимус </w:t>
            </w:r>
          </w:p>
        </w:tc>
        <w:tc>
          <w:tcPr>
            <w:tcW w:w="1417" w:type="dxa"/>
            <w:vAlign w:val="center"/>
          </w:tcPr>
          <w:p w14:paraId="1586B28C" w14:textId="77777777" w:rsidR="00BE7F89" w:rsidRPr="00C07B2E" w:rsidRDefault="00BE7F89" w:rsidP="005A428D">
            <w:pPr>
              <w:rPr>
                <w:rFonts w:eastAsia="SimSun"/>
              </w:rPr>
            </w:pPr>
            <w:r w:rsidRPr="00C07B2E">
              <w:rPr>
                <w:rFonts w:eastAsia="SimSun"/>
              </w:rPr>
              <w:t>0,03 мг/кг</w:t>
            </w:r>
          </w:p>
        </w:tc>
        <w:tc>
          <w:tcPr>
            <w:tcW w:w="1418" w:type="dxa"/>
            <w:vAlign w:val="center"/>
          </w:tcPr>
          <w:p w14:paraId="6B7C5FAD" w14:textId="77777777" w:rsidR="00BE7F89" w:rsidRPr="00C07B2E" w:rsidRDefault="00BE7F89" w:rsidP="005A428D">
            <w:pPr>
              <w:rPr>
                <w:rFonts w:eastAsia="SimSun"/>
              </w:rPr>
            </w:pPr>
            <w:r w:rsidRPr="00C07B2E">
              <w:rPr>
                <w:rFonts w:eastAsia="SimSun"/>
                <w:lang w:val="en-US"/>
              </w:rPr>
              <w:t>–</w:t>
            </w:r>
          </w:p>
        </w:tc>
        <w:tc>
          <w:tcPr>
            <w:tcW w:w="1701" w:type="dxa"/>
            <w:vAlign w:val="center"/>
          </w:tcPr>
          <w:p w14:paraId="1D6F603E" w14:textId="77777777" w:rsidR="00BE7F89" w:rsidRPr="00C07B2E" w:rsidRDefault="00BE7F89" w:rsidP="005A428D">
            <w:pPr>
              <w:rPr>
                <w:rFonts w:eastAsia="SimSun"/>
              </w:rPr>
            </w:pPr>
            <w:r w:rsidRPr="00C07B2E">
              <w:rPr>
                <w:rFonts w:eastAsia="SimSun"/>
              </w:rPr>
              <w:t xml:space="preserve">С +5 дня длительно </w:t>
            </w:r>
          </w:p>
        </w:tc>
        <w:tc>
          <w:tcPr>
            <w:tcW w:w="2268" w:type="dxa"/>
            <w:vAlign w:val="center"/>
          </w:tcPr>
          <w:p w14:paraId="54CBEFAE" w14:textId="77777777" w:rsidR="00BE7F89" w:rsidRPr="000F445E" w:rsidRDefault="00BE7F89" w:rsidP="005A428D">
            <w:pPr>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BE7F89" w:rsidRPr="00C07B2E" w14:paraId="69353AB6" w14:textId="77777777" w:rsidTr="005A428D">
        <w:trPr>
          <w:cantSplit/>
          <w:trHeight w:val="986"/>
        </w:trPr>
        <w:tc>
          <w:tcPr>
            <w:tcW w:w="993" w:type="dxa"/>
            <w:vMerge/>
            <w:textDirection w:val="btLr"/>
            <w:vAlign w:val="center"/>
          </w:tcPr>
          <w:p w14:paraId="37B57912" w14:textId="77777777" w:rsidR="00BE7F89" w:rsidRPr="000F445E" w:rsidRDefault="00BE7F89" w:rsidP="005A428D">
            <w:pPr>
              <w:rPr>
                <w:rFonts w:eastAsia="SimSun"/>
              </w:rPr>
            </w:pPr>
          </w:p>
        </w:tc>
        <w:tc>
          <w:tcPr>
            <w:tcW w:w="1809" w:type="dxa"/>
            <w:vAlign w:val="center"/>
          </w:tcPr>
          <w:p w14:paraId="47F28174" w14:textId="77777777" w:rsidR="00BE7F89" w:rsidRPr="00C07B2E" w:rsidRDefault="00BE7F89" w:rsidP="005A428D">
            <w:pPr>
              <w:rPr>
                <w:rFonts w:eastAsia="SimSun"/>
              </w:rPr>
            </w:pPr>
            <w:r w:rsidRPr="00C07B2E">
              <w:rPr>
                <w:rFonts w:eastAsia="SimSun"/>
              </w:rPr>
              <w:t>Микофенолата мофетил</w:t>
            </w:r>
          </w:p>
        </w:tc>
        <w:tc>
          <w:tcPr>
            <w:tcW w:w="1417" w:type="dxa"/>
            <w:vAlign w:val="center"/>
          </w:tcPr>
          <w:p w14:paraId="3D5D17C8" w14:textId="77777777" w:rsidR="00BE7F89" w:rsidRPr="00C07B2E" w:rsidRDefault="00BE7F89" w:rsidP="005A428D">
            <w:pPr>
              <w:rPr>
                <w:rFonts w:eastAsia="SimSun"/>
              </w:rPr>
            </w:pPr>
            <w:r w:rsidRPr="00C07B2E">
              <w:rPr>
                <w:rFonts w:eastAsia="SimSun"/>
              </w:rPr>
              <w:t xml:space="preserve">30 мг/кг </w:t>
            </w:r>
          </w:p>
        </w:tc>
        <w:tc>
          <w:tcPr>
            <w:tcW w:w="1418" w:type="dxa"/>
            <w:vAlign w:val="center"/>
          </w:tcPr>
          <w:p w14:paraId="376628ED" w14:textId="77777777" w:rsidR="00BE7F89" w:rsidRPr="00C07B2E" w:rsidRDefault="00BE7F89" w:rsidP="005A428D">
            <w:pPr>
              <w:rPr>
                <w:rFonts w:eastAsia="SimSun"/>
              </w:rPr>
            </w:pPr>
            <w:r w:rsidRPr="00C07B2E">
              <w:rPr>
                <w:rFonts w:eastAsia="SimSun"/>
              </w:rPr>
              <w:t>–</w:t>
            </w:r>
          </w:p>
        </w:tc>
        <w:tc>
          <w:tcPr>
            <w:tcW w:w="1701" w:type="dxa"/>
            <w:vAlign w:val="center"/>
          </w:tcPr>
          <w:p w14:paraId="653CDAB2" w14:textId="77777777" w:rsidR="00BE7F89" w:rsidRPr="00C07B2E" w:rsidRDefault="00BE7F89" w:rsidP="005A428D">
            <w:pPr>
              <w:rPr>
                <w:rFonts w:eastAsia="SimSun"/>
              </w:rPr>
            </w:pPr>
            <w:r w:rsidRPr="00C07B2E">
              <w:rPr>
                <w:rFonts w:eastAsia="SimSun"/>
              </w:rPr>
              <w:t xml:space="preserve">С +5 дня по +35 день </w:t>
            </w:r>
          </w:p>
        </w:tc>
        <w:tc>
          <w:tcPr>
            <w:tcW w:w="2268" w:type="dxa"/>
            <w:vAlign w:val="center"/>
          </w:tcPr>
          <w:p w14:paraId="6A9ECD42" w14:textId="77777777" w:rsidR="00BE7F89" w:rsidRPr="00C07B2E" w:rsidRDefault="00BE7F89" w:rsidP="005A428D">
            <w:pPr>
              <w:rPr>
                <w:rFonts w:eastAsia="SimSun"/>
              </w:rPr>
            </w:pPr>
            <w:r w:rsidRPr="00C07B2E">
              <w:rPr>
                <w:rFonts w:eastAsia="SimSun"/>
              </w:rPr>
              <w:t>Внутрь, суммарная суточная доза разделяется на 2- 4 приема (не более 3г/сут).</w:t>
            </w:r>
          </w:p>
        </w:tc>
      </w:tr>
    </w:tbl>
    <w:p w14:paraId="3A1A3AE0" w14:textId="77777777" w:rsidR="00BE7F89" w:rsidRPr="00C07B2E" w:rsidRDefault="00BE7F89" w:rsidP="00BE7F89">
      <w:pPr>
        <w:rPr>
          <w:rFonts w:eastAsia="SimSun"/>
        </w:rPr>
      </w:pPr>
    </w:p>
    <w:p w14:paraId="1B51664A" w14:textId="77777777" w:rsidR="00BE7F89" w:rsidRPr="00C07B2E" w:rsidRDefault="00BE7F89" w:rsidP="00BE7F89">
      <w:pPr>
        <w:rPr>
          <w:rFonts w:eastAsia="SimSun"/>
        </w:rPr>
      </w:pPr>
      <w:bookmarkStart w:id="146" w:name="_Toc44401153"/>
      <w:r w:rsidRPr="00042499">
        <w:rPr>
          <w:rFonts w:eastAsia="SimSun"/>
        </w:rPr>
        <w:t>Таблица</w:t>
      </w:r>
      <w:r w:rsidRPr="00C07B2E">
        <w:rPr>
          <w:rFonts w:eastAsia="SimSun"/>
        </w:rPr>
        <w:t xml:space="preserve"> </w:t>
      </w:r>
      <w:r>
        <w:rPr>
          <w:rFonts w:eastAsia="SimSun"/>
        </w:rPr>
        <w:t>5</w:t>
      </w:r>
      <w:r w:rsidRPr="00C07B2E">
        <w:rPr>
          <w:rFonts w:eastAsia="SimSun"/>
        </w:rPr>
        <w:t>.1.1.10  – Flu180+Bu14 / PT-Cy+CSA+MMF30</w:t>
      </w:r>
      <w:bookmarkEnd w:id="14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810"/>
        <w:gridCol w:w="1417"/>
        <w:gridCol w:w="1418"/>
        <w:gridCol w:w="1701"/>
        <w:gridCol w:w="2268"/>
      </w:tblGrid>
      <w:tr w:rsidR="00BE7F89" w:rsidRPr="00C07B2E" w14:paraId="6F06B972" w14:textId="77777777" w:rsidTr="005A428D">
        <w:trPr>
          <w:cantSplit/>
          <w:trHeight w:val="20"/>
          <w:tblHeader/>
        </w:trPr>
        <w:tc>
          <w:tcPr>
            <w:tcW w:w="992" w:type="dxa"/>
            <w:vAlign w:val="center"/>
          </w:tcPr>
          <w:p w14:paraId="1CCDE03A" w14:textId="77777777" w:rsidR="00BE7F89" w:rsidRPr="00470D3D" w:rsidRDefault="00BE7F89" w:rsidP="005A428D">
            <w:pPr>
              <w:rPr>
                <w:rFonts w:eastAsia="SimSun"/>
              </w:rPr>
            </w:pPr>
          </w:p>
        </w:tc>
        <w:tc>
          <w:tcPr>
            <w:tcW w:w="1810" w:type="dxa"/>
            <w:vAlign w:val="center"/>
          </w:tcPr>
          <w:p w14:paraId="211FE584" w14:textId="77777777" w:rsidR="00BE7F89" w:rsidRPr="00C07B2E" w:rsidRDefault="00BE7F89" w:rsidP="005A428D">
            <w:pPr>
              <w:rPr>
                <w:rFonts w:eastAsia="SimSun"/>
              </w:rPr>
            </w:pPr>
            <w:r w:rsidRPr="00C07B2E">
              <w:rPr>
                <w:rFonts w:eastAsia="SimSun"/>
              </w:rPr>
              <w:t>Препарат</w:t>
            </w:r>
          </w:p>
        </w:tc>
        <w:tc>
          <w:tcPr>
            <w:tcW w:w="1417" w:type="dxa"/>
            <w:vAlign w:val="center"/>
          </w:tcPr>
          <w:p w14:paraId="5FB4C7A0" w14:textId="77777777" w:rsidR="00BE7F89" w:rsidRPr="00C07B2E" w:rsidRDefault="00BE7F89" w:rsidP="005A428D">
            <w:pPr>
              <w:rPr>
                <w:rFonts w:eastAsia="SimSun"/>
              </w:rPr>
            </w:pPr>
            <w:r w:rsidRPr="00C07B2E">
              <w:rPr>
                <w:rFonts w:eastAsia="SimSun"/>
              </w:rPr>
              <w:t>Суточная доза</w:t>
            </w:r>
          </w:p>
        </w:tc>
        <w:tc>
          <w:tcPr>
            <w:tcW w:w="1418" w:type="dxa"/>
            <w:vAlign w:val="center"/>
          </w:tcPr>
          <w:p w14:paraId="355B3AB0" w14:textId="77777777" w:rsidR="00BE7F89" w:rsidRPr="00C07B2E" w:rsidRDefault="00BE7F89" w:rsidP="005A428D">
            <w:pPr>
              <w:rPr>
                <w:rFonts w:eastAsia="SimSun"/>
              </w:rPr>
            </w:pPr>
            <w:r w:rsidRPr="00C07B2E">
              <w:rPr>
                <w:rFonts w:eastAsia="SimSun"/>
              </w:rPr>
              <w:t>Курсовая доза</w:t>
            </w:r>
          </w:p>
        </w:tc>
        <w:tc>
          <w:tcPr>
            <w:tcW w:w="1701" w:type="dxa"/>
            <w:vAlign w:val="center"/>
          </w:tcPr>
          <w:p w14:paraId="07E74B8E" w14:textId="77777777" w:rsidR="00BE7F89" w:rsidRPr="00C07B2E" w:rsidRDefault="00BE7F89" w:rsidP="005A428D">
            <w:pPr>
              <w:rPr>
                <w:rFonts w:eastAsia="SimSun"/>
              </w:rPr>
            </w:pPr>
            <w:r w:rsidRPr="00C07B2E">
              <w:rPr>
                <w:rFonts w:eastAsia="SimSun"/>
              </w:rPr>
              <w:t>Дни введения</w:t>
            </w:r>
          </w:p>
        </w:tc>
        <w:tc>
          <w:tcPr>
            <w:tcW w:w="2268" w:type="dxa"/>
            <w:vAlign w:val="center"/>
          </w:tcPr>
          <w:p w14:paraId="4F4A435A" w14:textId="77777777" w:rsidR="00BE7F89" w:rsidRPr="00C07B2E" w:rsidRDefault="00BE7F89" w:rsidP="005A428D">
            <w:pPr>
              <w:rPr>
                <w:rFonts w:eastAsia="SimSun"/>
              </w:rPr>
            </w:pPr>
            <w:r w:rsidRPr="00C07B2E">
              <w:rPr>
                <w:rFonts w:eastAsia="SimSun"/>
              </w:rPr>
              <w:t>Порядок введения</w:t>
            </w:r>
          </w:p>
        </w:tc>
      </w:tr>
      <w:tr w:rsidR="00BE7F89" w:rsidRPr="00C07B2E" w14:paraId="284D31B2" w14:textId="77777777" w:rsidTr="005A428D">
        <w:trPr>
          <w:cantSplit/>
          <w:trHeight w:val="20"/>
        </w:trPr>
        <w:tc>
          <w:tcPr>
            <w:tcW w:w="992" w:type="dxa"/>
            <w:vMerge w:val="restart"/>
            <w:textDirection w:val="btLr"/>
            <w:vAlign w:val="center"/>
          </w:tcPr>
          <w:p w14:paraId="70053DE0" w14:textId="77777777" w:rsidR="00BE7F89" w:rsidRPr="00C07B2E" w:rsidRDefault="00BE7F89" w:rsidP="005A428D">
            <w:pPr>
              <w:rPr>
                <w:rFonts w:eastAsia="SimSun"/>
              </w:rPr>
            </w:pPr>
            <w:r w:rsidRPr="00C07B2E">
              <w:rPr>
                <w:rFonts w:eastAsia="SimSun"/>
              </w:rPr>
              <w:t>Кондиционирование</w:t>
            </w:r>
          </w:p>
        </w:tc>
        <w:tc>
          <w:tcPr>
            <w:tcW w:w="1810" w:type="dxa"/>
            <w:vAlign w:val="center"/>
          </w:tcPr>
          <w:p w14:paraId="1423B722" w14:textId="77777777" w:rsidR="00BE7F89" w:rsidRPr="00C07B2E" w:rsidRDefault="00BE7F89" w:rsidP="005A428D">
            <w:pPr>
              <w:rPr>
                <w:rFonts w:eastAsia="SimSun"/>
              </w:rPr>
            </w:pPr>
            <w:r w:rsidRPr="00C07B2E">
              <w:rPr>
                <w:rFonts w:eastAsia="SimSun"/>
              </w:rPr>
              <w:t xml:space="preserve">Флударабин </w:t>
            </w:r>
          </w:p>
        </w:tc>
        <w:tc>
          <w:tcPr>
            <w:tcW w:w="1417" w:type="dxa"/>
            <w:vAlign w:val="center"/>
          </w:tcPr>
          <w:p w14:paraId="39355776" w14:textId="77777777" w:rsidR="00BE7F89" w:rsidRPr="00C07B2E" w:rsidRDefault="00BE7F89" w:rsidP="005A428D">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4E6927FA" w14:textId="77777777" w:rsidR="00BE7F89" w:rsidRPr="00C07B2E" w:rsidRDefault="00BE7F89" w:rsidP="005A428D">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332F810E" w14:textId="77777777" w:rsidR="00BE7F89" w:rsidRPr="00C07B2E" w:rsidRDefault="00BE7F89" w:rsidP="005A428D">
            <w:pPr>
              <w:rPr>
                <w:rFonts w:eastAsia="SimSun"/>
              </w:rPr>
            </w:pPr>
            <w:r w:rsidRPr="00C07B2E">
              <w:rPr>
                <w:rFonts w:eastAsia="SimSun"/>
              </w:rPr>
              <w:t>С -7 дня по -2 день</w:t>
            </w:r>
          </w:p>
        </w:tc>
        <w:tc>
          <w:tcPr>
            <w:tcW w:w="2268" w:type="dxa"/>
            <w:vAlign w:val="center"/>
          </w:tcPr>
          <w:p w14:paraId="4076CAC1" w14:textId="77777777" w:rsidR="00BE7F89" w:rsidRPr="00C07B2E" w:rsidRDefault="00BE7F89" w:rsidP="005A428D">
            <w:pPr>
              <w:rPr>
                <w:rFonts w:eastAsia="SimSun"/>
              </w:rPr>
            </w:pPr>
            <w:r w:rsidRPr="00C07B2E">
              <w:rPr>
                <w:rFonts w:eastAsia="SimSun"/>
              </w:rPr>
              <w:t>В/в, в течение 30 - 60 мин</w:t>
            </w:r>
          </w:p>
        </w:tc>
      </w:tr>
      <w:tr w:rsidR="00BE7F89" w:rsidRPr="00C07B2E" w14:paraId="11D4FA52" w14:textId="77777777" w:rsidTr="005A428D">
        <w:trPr>
          <w:cantSplit/>
          <w:trHeight w:val="1207"/>
        </w:trPr>
        <w:tc>
          <w:tcPr>
            <w:tcW w:w="992" w:type="dxa"/>
            <w:vMerge/>
            <w:vAlign w:val="center"/>
          </w:tcPr>
          <w:p w14:paraId="34783C80" w14:textId="77777777" w:rsidR="00BE7F89" w:rsidRPr="00C07B2E" w:rsidRDefault="00BE7F89" w:rsidP="005A428D">
            <w:pPr>
              <w:rPr>
                <w:rFonts w:eastAsia="SimSun"/>
              </w:rPr>
            </w:pPr>
          </w:p>
        </w:tc>
        <w:tc>
          <w:tcPr>
            <w:tcW w:w="1810" w:type="dxa"/>
            <w:vAlign w:val="center"/>
          </w:tcPr>
          <w:p w14:paraId="03B5D53E" w14:textId="77777777" w:rsidR="00BE7F89" w:rsidRPr="00C07B2E" w:rsidRDefault="00BE7F89" w:rsidP="005A428D">
            <w:pPr>
              <w:rPr>
                <w:rFonts w:eastAsia="SimSun"/>
              </w:rPr>
            </w:pPr>
            <w:r w:rsidRPr="00C07B2E">
              <w:rPr>
                <w:rFonts w:eastAsia="SimSun"/>
              </w:rPr>
              <w:t>Бусульфан</w:t>
            </w:r>
          </w:p>
        </w:tc>
        <w:tc>
          <w:tcPr>
            <w:tcW w:w="1417" w:type="dxa"/>
            <w:vAlign w:val="center"/>
          </w:tcPr>
          <w:p w14:paraId="71C25DB9" w14:textId="77777777" w:rsidR="00BE7F89" w:rsidRPr="00C07B2E" w:rsidRDefault="00BE7F89" w:rsidP="005A428D">
            <w:pPr>
              <w:rPr>
                <w:rFonts w:eastAsia="SimSun"/>
              </w:rPr>
            </w:pPr>
            <w:r w:rsidRPr="00C07B2E">
              <w:rPr>
                <w:rFonts w:eastAsia="SimSun"/>
              </w:rPr>
              <w:t xml:space="preserve">4 мг/кг </w:t>
            </w:r>
          </w:p>
        </w:tc>
        <w:tc>
          <w:tcPr>
            <w:tcW w:w="1418" w:type="dxa"/>
            <w:vAlign w:val="center"/>
          </w:tcPr>
          <w:p w14:paraId="489276DF" w14:textId="77777777" w:rsidR="00BE7F89" w:rsidRPr="00C07B2E" w:rsidRDefault="00BE7F89" w:rsidP="005A428D">
            <w:pPr>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35E71BCF" w14:textId="77777777" w:rsidR="00BE7F89" w:rsidRPr="00C07B2E" w:rsidRDefault="00BE7F89" w:rsidP="005A428D">
            <w:pPr>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7E22A305" w14:textId="77777777" w:rsidR="00BE7F89" w:rsidRPr="00C07B2E" w:rsidRDefault="00BE7F89" w:rsidP="005A428D">
            <w:pPr>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C07B2E" w14:paraId="39E97496" w14:textId="77777777" w:rsidTr="005A428D">
        <w:trPr>
          <w:cantSplit/>
          <w:trHeight w:val="424"/>
        </w:trPr>
        <w:tc>
          <w:tcPr>
            <w:tcW w:w="992" w:type="dxa"/>
            <w:vMerge w:val="restart"/>
            <w:textDirection w:val="btLr"/>
            <w:vAlign w:val="center"/>
          </w:tcPr>
          <w:p w14:paraId="3293C6E0" w14:textId="77777777" w:rsidR="00BE7F89" w:rsidRPr="00C07B2E" w:rsidRDefault="00BE7F89" w:rsidP="005A428D">
            <w:pPr>
              <w:rPr>
                <w:rFonts w:eastAsia="SimSun"/>
              </w:rPr>
            </w:pPr>
            <w:r w:rsidRPr="00C07B2E">
              <w:rPr>
                <w:rFonts w:eastAsia="SimSun"/>
              </w:rPr>
              <w:t>Профилактика РТПХ</w:t>
            </w:r>
          </w:p>
        </w:tc>
        <w:tc>
          <w:tcPr>
            <w:tcW w:w="1810" w:type="dxa"/>
            <w:vAlign w:val="center"/>
          </w:tcPr>
          <w:p w14:paraId="6A4143DB" w14:textId="77777777" w:rsidR="00BE7F89" w:rsidRPr="00C07B2E" w:rsidRDefault="00BE7F89" w:rsidP="005A428D">
            <w:pPr>
              <w:rPr>
                <w:rFonts w:eastAsia="SimSun"/>
              </w:rPr>
            </w:pPr>
            <w:r w:rsidRPr="00C07B2E">
              <w:rPr>
                <w:rFonts w:eastAsia="SimSun"/>
              </w:rPr>
              <w:t>Циклофосфамид</w:t>
            </w:r>
          </w:p>
        </w:tc>
        <w:tc>
          <w:tcPr>
            <w:tcW w:w="1417" w:type="dxa"/>
            <w:vAlign w:val="center"/>
          </w:tcPr>
          <w:p w14:paraId="64D52982" w14:textId="77777777" w:rsidR="00BE7F89" w:rsidRPr="00C07B2E" w:rsidRDefault="00BE7F89" w:rsidP="005A428D">
            <w:pPr>
              <w:rPr>
                <w:rFonts w:eastAsia="SimSun"/>
              </w:rPr>
            </w:pPr>
            <w:r w:rsidRPr="00C07B2E">
              <w:rPr>
                <w:rFonts w:eastAsia="SimSun"/>
              </w:rPr>
              <w:t>50 мг/кг</w:t>
            </w:r>
          </w:p>
        </w:tc>
        <w:tc>
          <w:tcPr>
            <w:tcW w:w="1418" w:type="dxa"/>
            <w:vAlign w:val="center"/>
          </w:tcPr>
          <w:p w14:paraId="60A65137" w14:textId="77777777" w:rsidR="00BE7F89" w:rsidRPr="00C07B2E" w:rsidRDefault="00BE7F89" w:rsidP="005A428D">
            <w:pPr>
              <w:rPr>
                <w:rFonts w:eastAsia="SimSun"/>
              </w:rPr>
            </w:pPr>
            <w:r w:rsidRPr="00C07B2E">
              <w:rPr>
                <w:rFonts w:eastAsia="SimSun"/>
              </w:rPr>
              <w:t>100 мг/кг</w:t>
            </w:r>
          </w:p>
        </w:tc>
        <w:tc>
          <w:tcPr>
            <w:tcW w:w="1701" w:type="dxa"/>
            <w:vAlign w:val="center"/>
          </w:tcPr>
          <w:p w14:paraId="6786A7E2" w14:textId="77777777" w:rsidR="00BE7F89" w:rsidRPr="00C07B2E" w:rsidRDefault="00BE7F89" w:rsidP="005A428D">
            <w:pPr>
              <w:rPr>
                <w:rFonts w:eastAsia="SimSun"/>
              </w:rPr>
            </w:pPr>
            <w:r w:rsidRPr="00C07B2E">
              <w:rPr>
                <w:rFonts w:eastAsia="SimSun"/>
              </w:rPr>
              <w:t>В +3 день  и +5 день</w:t>
            </w:r>
          </w:p>
        </w:tc>
        <w:tc>
          <w:tcPr>
            <w:tcW w:w="2268" w:type="dxa"/>
            <w:vAlign w:val="center"/>
          </w:tcPr>
          <w:p w14:paraId="33E38170" w14:textId="77777777" w:rsidR="00BE7F89" w:rsidRPr="00C07B2E" w:rsidRDefault="00BE7F89" w:rsidP="005A428D">
            <w:pPr>
              <w:rPr>
                <w:rFonts w:eastAsia="SimSun"/>
              </w:rPr>
            </w:pPr>
            <w:r w:rsidRPr="00C07B2E">
              <w:rPr>
                <w:rFonts w:eastAsia="SimSun"/>
              </w:rPr>
              <w:t xml:space="preserve">В/в, в течение 2 ч  </w:t>
            </w:r>
          </w:p>
        </w:tc>
      </w:tr>
      <w:tr w:rsidR="00BE7F89" w:rsidRPr="00C07B2E" w14:paraId="2A4AF778" w14:textId="77777777" w:rsidTr="005A428D">
        <w:trPr>
          <w:cantSplit/>
          <w:trHeight w:val="958"/>
        </w:trPr>
        <w:tc>
          <w:tcPr>
            <w:tcW w:w="992" w:type="dxa"/>
            <w:vMerge/>
            <w:textDirection w:val="btLr"/>
            <w:vAlign w:val="center"/>
          </w:tcPr>
          <w:p w14:paraId="4C2A8299" w14:textId="77777777" w:rsidR="00BE7F89" w:rsidRPr="00C07B2E" w:rsidRDefault="00BE7F89" w:rsidP="005A428D">
            <w:pPr>
              <w:rPr>
                <w:rFonts w:eastAsia="SimSun"/>
              </w:rPr>
            </w:pPr>
          </w:p>
        </w:tc>
        <w:tc>
          <w:tcPr>
            <w:tcW w:w="1810" w:type="dxa"/>
            <w:vAlign w:val="center"/>
          </w:tcPr>
          <w:p w14:paraId="15E0F4D6" w14:textId="77777777" w:rsidR="00BE7F89" w:rsidRPr="00C07B2E" w:rsidRDefault="00BE7F89" w:rsidP="005A428D">
            <w:pPr>
              <w:rPr>
                <w:rFonts w:eastAsia="SimSun"/>
              </w:rPr>
            </w:pPr>
            <w:r w:rsidRPr="00C07B2E">
              <w:rPr>
                <w:rFonts w:eastAsia="SimSun"/>
              </w:rPr>
              <w:t>Микофенолата мофетил</w:t>
            </w:r>
          </w:p>
        </w:tc>
        <w:tc>
          <w:tcPr>
            <w:tcW w:w="1417" w:type="dxa"/>
            <w:vAlign w:val="center"/>
          </w:tcPr>
          <w:p w14:paraId="721D73A1" w14:textId="77777777" w:rsidR="00BE7F89" w:rsidRPr="00C07B2E" w:rsidRDefault="00BE7F89" w:rsidP="005A428D">
            <w:pPr>
              <w:rPr>
                <w:rFonts w:eastAsia="SimSun"/>
              </w:rPr>
            </w:pPr>
            <w:r w:rsidRPr="00C07B2E">
              <w:rPr>
                <w:rFonts w:eastAsia="SimSun"/>
              </w:rPr>
              <w:t xml:space="preserve">30 мг/кг </w:t>
            </w:r>
          </w:p>
        </w:tc>
        <w:tc>
          <w:tcPr>
            <w:tcW w:w="1418" w:type="dxa"/>
            <w:vAlign w:val="center"/>
          </w:tcPr>
          <w:p w14:paraId="6EE9E909" w14:textId="77777777" w:rsidR="00BE7F89" w:rsidRPr="00C07B2E" w:rsidRDefault="00BE7F89" w:rsidP="005A428D">
            <w:pPr>
              <w:rPr>
                <w:rFonts w:eastAsia="SimSun"/>
              </w:rPr>
            </w:pPr>
            <w:r w:rsidRPr="00C07B2E">
              <w:rPr>
                <w:rFonts w:eastAsia="SimSun"/>
              </w:rPr>
              <w:t>–</w:t>
            </w:r>
          </w:p>
        </w:tc>
        <w:tc>
          <w:tcPr>
            <w:tcW w:w="1701" w:type="dxa"/>
            <w:vAlign w:val="center"/>
          </w:tcPr>
          <w:p w14:paraId="1E9E00B9" w14:textId="77777777" w:rsidR="00BE7F89" w:rsidRPr="00C07B2E" w:rsidRDefault="00BE7F89" w:rsidP="005A428D">
            <w:pPr>
              <w:rPr>
                <w:rFonts w:eastAsia="SimSun"/>
              </w:rPr>
            </w:pPr>
            <w:r w:rsidRPr="00C07B2E">
              <w:rPr>
                <w:rFonts w:eastAsia="SimSun"/>
              </w:rPr>
              <w:t xml:space="preserve">С +1 дня по +28 день </w:t>
            </w:r>
          </w:p>
        </w:tc>
        <w:tc>
          <w:tcPr>
            <w:tcW w:w="2268" w:type="dxa"/>
            <w:vAlign w:val="center"/>
          </w:tcPr>
          <w:p w14:paraId="2E8E75D3" w14:textId="77777777" w:rsidR="00BE7F89" w:rsidRPr="00C07B2E" w:rsidRDefault="00BE7F89" w:rsidP="005A428D">
            <w:pPr>
              <w:rPr>
                <w:rFonts w:eastAsia="SimSun"/>
              </w:rPr>
            </w:pPr>
            <w:r w:rsidRPr="00C07B2E">
              <w:rPr>
                <w:rFonts w:eastAsia="SimSun"/>
              </w:rPr>
              <w:t>Внутрь, суммарная суточная доза разделяется на 2- 4 приема (не более 3г/сут).</w:t>
            </w:r>
          </w:p>
        </w:tc>
      </w:tr>
      <w:tr w:rsidR="00BE7F89" w:rsidRPr="000F445E" w14:paraId="776D49D1" w14:textId="77777777" w:rsidTr="005A428D">
        <w:trPr>
          <w:cantSplit/>
          <w:trHeight w:val="958"/>
        </w:trPr>
        <w:tc>
          <w:tcPr>
            <w:tcW w:w="992" w:type="dxa"/>
            <w:vMerge/>
            <w:textDirection w:val="btLr"/>
            <w:vAlign w:val="center"/>
          </w:tcPr>
          <w:p w14:paraId="19048BF1" w14:textId="77777777" w:rsidR="00BE7F89" w:rsidRPr="00C07B2E" w:rsidRDefault="00BE7F89" w:rsidP="005A428D">
            <w:pPr>
              <w:rPr>
                <w:rFonts w:eastAsia="SimSun"/>
              </w:rPr>
            </w:pPr>
          </w:p>
        </w:tc>
        <w:tc>
          <w:tcPr>
            <w:tcW w:w="1810" w:type="dxa"/>
            <w:vAlign w:val="center"/>
          </w:tcPr>
          <w:p w14:paraId="5E794BC1" w14:textId="77777777" w:rsidR="00BE7F89" w:rsidRPr="00C07B2E" w:rsidRDefault="00BE7F89" w:rsidP="005A428D">
            <w:pPr>
              <w:rPr>
                <w:rFonts w:eastAsia="SimSun"/>
              </w:rPr>
            </w:pPr>
            <w:r w:rsidRPr="00C07B2E">
              <w:rPr>
                <w:rFonts w:eastAsia="SimSun"/>
              </w:rPr>
              <w:t>Циклоспорин А</w:t>
            </w:r>
          </w:p>
        </w:tc>
        <w:tc>
          <w:tcPr>
            <w:tcW w:w="1417" w:type="dxa"/>
            <w:vAlign w:val="center"/>
          </w:tcPr>
          <w:p w14:paraId="6E5C1595" w14:textId="77777777" w:rsidR="00BE7F89" w:rsidRPr="00C07B2E" w:rsidRDefault="00BE7F89" w:rsidP="005A428D">
            <w:pPr>
              <w:rPr>
                <w:rFonts w:eastAsia="SimSun"/>
              </w:rPr>
            </w:pPr>
            <w:r w:rsidRPr="00C07B2E">
              <w:rPr>
                <w:rFonts w:eastAsia="SimSun"/>
              </w:rPr>
              <w:t>3 мг/кг</w:t>
            </w:r>
          </w:p>
        </w:tc>
        <w:tc>
          <w:tcPr>
            <w:tcW w:w="1418" w:type="dxa"/>
            <w:vAlign w:val="center"/>
          </w:tcPr>
          <w:p w14:paraId="5DB4F99A" w14:textId="77777777" w:rsidR="00BE7F89" w:rsidRPr="00C07B2E" w:rsidRDefault="00BE7F89" w:rsidP="005A428D">
            <w:pPr>
              <w:rPr>
                <w:rFonts w:eastAsia="SimSun"/>
              </w:rPr>
            </w:pPr>
            <w:r w:rsidRPr="00C07B2E">
              <w:rPr>
                <w:rFonts w:eastAsia="SimSun"/>
              </w:rPr>
              <w:t>-</w:t>
            </w:r>
          </w:p>
        </w:tc>
        <w:tc>
          <w:tcPr>
            <w:tcW w:w="1701" w:type="dxa"/>
            <w:vAlign w:val="center"/>
          </w:tcPr>
          <w:p w14:paraId="02D8682F" w14:textId="77777777" w:rsidR="00BE7F89" w:rsidRPr="00C07B2E" w:rsidRDefault="00BE7F89" w:rsidP="005A428D">
            <w:pPr>
              <w:rPr>
                <w:rFonts w:eastAsia="SimSun"/>
              </w:rPr>
            </w:pPr>
            <w:r w:rsidRPr="00C07B2E">
              <w:rPr>
                <w:rFonts w:eastAsia="SimSun"/>
              </w:rPr>
              <w:t xml:space="preserve">С -1 дня по +100 день </w:t>
            </w:r>
          </w:p>
        </w:tc>
        <w:tc>
          <w:tcPr>
            <w:tcW w:w="2268" w:type="dxa"/>
            <w:vAlign w:val="center"/>
          </w:tcPr>
          <w:p w14:paraId="43218161" w14:textId="77777777" w:rsidR="00BE7F89" w:rsidRPr="000F445E" w:rsidRDefault="00BE7F89" w:rsidP="005A428D">
            <w:pPr>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х 1</w:t>
            </w:r>
            <w:r w:rsidRPr="000F445E">
              <w:rPr>
                <w:rFonts w:eastAsia="SimSun"/>
              </w:rPr>
              <w:t>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150-350пг/мл.</w:t>
            </w:r>
          </w:p>
        </w:tc>
      </w:tr>
    </w:tbl>
    <w:p w14:paraId="36B5D721" w14:textId="77777777" w:rsidR="00BE7F89" w:rsidRPr="00C07B2E" w:rsidRDefault="00BE7F89" w:rsidP="00BE7F89">
      <w:pPr>
        <w:rPr>
          <w:rFonts w:eastAsia="SimSun"/>
        </w:rPr>
      </w:pPr>
    </w:p>
    <w:p w14:paraId="790ADEBB" w14:textId="77777777" w:rsidR="00BE7F89" w:rsidRPr="00C07B2E" w:rsidRDefault="00BE7F89" w:rsidP="00BE7F89">
      <w:pPr>
        <w:rPr>
          <w:rFonts w:eastAsia="SimSun"/>
        </w:rPr>
      </w:pPr>
      <w:bookmarkStart w:id="147" w:name="_Toc44401154"/>
      <w:r w:rsidRPr="00042499">
        <w:rPr>
          <w:rFonts w:eastAsia="SimSun"/>
        </w:rPr>
        <w:t>Таблица</w:t>
      </w:r>
      <w:r w:rsidRPr="00C07B2E">
        <w:rPr>
          <w:rFonts w:eastAsia="SimSun"/>
        </w:rPr>
        <w:t xml:space="preserve"> </w:t>
      </w:r>
      <w:r>
        <w:rPr>
          <w:rFonts w:eastAsia="SimSun"/>
        </w:rPr>
        <w:t>5</w:t>
      </w:r>
      <w:r w:rsidRPr="00C07B2E">
        <w:rPr>
          <w:rFonts w:eastAsia="SimSun"/>
        </w:rPr>
        <w:t>.1.1.11  – Flu180+Bu14 / Tx+MMF30</w:t>
      </w:r>
      <w:bookmarkEnd w:id="14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BE7F89" w:rsidRPr="00C07B2E" w14:paraId="69401AE9" w14:textId="77777777" w:rsidTr="005A428D">
        <w:trPr>
          <w:cantSplit/>
          <w:trHeight w:val="20"/>
          <w:tblHeader/>
        </w:trPr>
        <w:tc>
          <w:tcPr>
            <w:tcW w:w="993" w:type="dxa"/>
            <w:vAlign w:val="center"/>
          </w:tcPr>
          <w:p w14:paraId="310FB2A8" w14:textId="77777777" w:rsidR="00BE7F89" w:rsidRPr="00C07B2E" w:rsidRDefault="00BE7F89" w:rsidP="005A428D">
            <w:pPr>
              <w:rPr>
                <w:rFonts w:eastAsia="SimSun"/>
              </w:rPr>
            </w:pPr>
          </w:p>
        </w:tc>
        <w:tc>
          <w:tcPr>
            <w:tcW w:w="1809" w:type="dxa"/>
            <w:vAlign w:val="center"/>
          </w:tcPr>
          <w:p w14:paraId="4245A149" w14:textId="77777777" w:rsidR="00BE7F89" w:rsidRPr="00C07B2E" w:rsidRDefault="00BE7F89" w:rsidP="005A428D">
            <w:pPr>
              <w:rPr>
                <w:rFonts w:eastAsia="SimSun"/>
              </w:rPr>
            </w:pPr>
            <w:r w:rsidRPr="00C07B2E">
              <w:rPr>
                <w:rFonts w:eastAsia="SimSun"/>
              </w:rPr>
              <w:t>Препарат</w:t>
            </w:r>
          </w:p>
        </w:tc>
        <w:tc>
          <w:tcPr>
            <w:tcW w:w="1417" w:type="dxa"/>
            <w:vAlign w:val="center"/>
          </w:tcPr>
          <w:p w14:paraId="04494796" w14:textId="77777777" w:rsidR="00BE7F89" w:rsidRPr="00C07B2E" w:rsidRDefault="00BE7F89" w:rsidP="005A428D">
            <w:pPr>
              <w:rPr>
                <w:rFonts w:eastAsia="SimSun"/>
              </w:rPr>
            </w:pPr>
            <w:r w:rsidRPr="00C07B2E">
              <w:rPr>
                <w:rFonts w:eastAsia="SimSun"/>
              </w:rPr>
              <w:t>Суточная доза</w:t>
            </w:r>
          </w:p>
        </w:tc>
        <w:tc>
          <w:tcPr>
            <w:tcW w:w="1418" w:type="dxa"/>
            <w:vAlign w:val="center"/>
          </w:tcPr>
          <w:p w14:paraId="0A4C05B6" w14:textId="77777777" w:rsidR="00BE7F89" w:rsidRPr="00C07B2E" w:rsidRDefault="00BE7F89" w:rsidP="005A428D">
            <w:pPr>
              <w:rPr>
                <w:rFonts w:eastAsia="SimSun"/>
              </w:rPr>
            </w:pPr>
            <w:r w:rsidRPr="00C07B2E">
              <w:rPr>
                <w:rFonts w:eastAsia="SimSun"/>
              </w:rPr>
              <w:t>Курсовая доза</w:t>
            </w:r>
          </w:p>
        </w:tc>
        <w:tc>
          <w:tcPr>
            <w:tcW w:w="1701" w:type="dxa"/>
            <w:vAlign w:val="center"/>
          </w:tcPr>
          <w:p w14:paraId="2183BDC8" w14:textId="77777777" w:rsidR="00BE7F89" w:rsidRPr="00C07B2E" w:rsidRDefault="00BE7F89" w:rsidP="005A428D">
            <w:pPr>
              <w:rPr>
                <w:rFonts w:eastAsia="SimSun"/>
              </w:rPr>
            </w:pPr>
            <w:r w:rsidRPr="00C07B2E">
              <w:rPr>
                <w:rFonts w:eastAsia="SimSun"/>
              </w:rPr>
              <w:t>Дни введения</w:t>
            </w:r>
          </w:p>
        </w:tc>
        <w:tc>
          <w:tcPr>
            <w:tcW w:w="2268" w:type="dxa"/>
            <w:vAlign w:val="center"/>
          </w:tcPr>
          <w:p w14:paraId="56147101" w14:textId="77777777" w:rsidR="00BE7F89" w:rsidRPr="00C07B2E" w:rsidRDefault="00BE7F89" w:rsidP="005A428D">
            <w:pPr>
              <w:rPr>
                <w:rFonts w:eastAsia="SimSun"/>
              </w:rPr>
            </w:pPr>
            <w:r w:rsidRPr="00C07B2E">
              <w:rPr>
                <w:rFonts w:eastAsia="SimSun"/>
              </w:rPr>
              <w:t>Порядок введения</w:t>
            </w:r>
          </w:p>
        </w:tc>
      </w:tr>
      <w:tr w:rsidR="00BE7F89" w:rsidRPr="00C07B2E" w14:paraId="59C53BCD" w14:textId="77777777" w:rsidTr="005A428D">
        <w:trPr>
          <w:cantSplit/>
          <w:trHeight w:val="20"/>
        </w:trPr>
        <w:tc>
          <w:tcPr>
            <w:tcW w:w="993" w:type="dxa"/>
            <w:vMerge w:val="restart"/>
            <w:textDirection w:val="btLr"/>
            <w:vAlign w:val="center"/>
          </w:tcPr>
          <w:p w14:paraId="5B555DE5" w14:textId="77777777" w:rsidR="00BE7F89" w:rsidRPr="00C07B2E" w:rsidRDefault="00BE7F89" w:rsidP="005A428D">
            <w:pPr>
              <w:rPr>
                <w:rFonts w:eastAsia="SimSun"/>
              </w:rPr>
            </w:pPr>
            <w:r w:rsidRPr="00C07B2E">
              <w:rPr>
                <w:rFonts w:eastAsia="SimSun"/>
              </w:rPr>
              <w:t>Кондиционирование</w:t>
            </w:r>
          </w:p>
        </w:tc>
        <w:tc>
          <w:tcPr>
            <w:tcW w:w="1809" w:type="dxa"/>
            <w:vAlign w:val="center"/>
          </w:tcPr>
          <w:p w14:paraId="750000B1" w14:textId="77777777" w:rsidR="00BE7F89" w:rsidRPr="00C07B2E" w:rsidRDefault="00BE7F89" w:rsidP="005A428D">
            <w:pPr>
              <w:rPr>
                <w:rFonts w:eastAsia="SimSun"/>
              </w:rPr>
            </w:pPr>
            <w:r w:rsidRPr="00C07B2E">
              <w:rPr>
                <w:rFonts w:eastAsia="SimSun"/>
              </w:rPr>
              <w:t xml:space="preserve">Флударабин </w:t>
            </w:r>
          </w:p>
        </w:tc>
        <w:tc>
          <w:tcPr>
            <w:tcW w:w="1417" w:type="dxa"/>
            <w:vAlign w:val="center"/>
          </w:tcPr>
          <w:p w14:paraId="1C2772B9" w14:textId="77777777" w:rsidR="00BE7F89" w:rsidRPr="00C07B2E" w:rsidRDefault="00BE7F89" w:rsidP="005A428D">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3068F6C1" w14:textId="77777777" w:rsidR="00BE7F89" w:rsidRPr="00C07B2E" w:rsidRDefault="00BE7F89" w:rsidP="005A428D">
            <w:pPr>
              <w:rPr>
                <w:rFonts w:eastAsia="SimSun"/>
              </w:rPr>
            </w:pPr>
            <w:r w:rsidRPr="00C07B2E">
              <w:rPr>
                <w:rFonts w:eastAsia="SimSun"/>
              </w:rPr>
              <w:t>180 мг/м</w:t>
            </w:r>
            <w:r w:rsidRPr="000F445E">
              <w:rPr>
                <w:rFonts w:eastAsia="SimSun"/>
                <w:vertAlign w:val="superscript"/>
              </w:rPr>
              <w:t>2</w:t>
            </w:r>
          </w:p>
        </w:tc>
        <w:tc>
          <w:tcPr>
            <w:tcW w:w="1701" w:type="dxa"/>
            <w:vAlign w:val="center"/>
          </w:tcPr>
          <w:p w14:paraId="45CF11E5" w14:textId="77777777" w:rsidR="00BE7F89" w:rsidRPr="00C07B2E" w:rsidRDefault="00BE7F89" w:rsidP="005A428D">
            <w:pPr>
              <w:rPr>
                <w:rFonts w:eastAsia="SimSun"/>
              </w:rPr>
            </w:pPr>
            <w:r w:rsidRPr="00C07B2E">
              <w:rPr>
                <w:rFonts w:eastAsia="SimSun"/>
              </w:rPr>
              <w:t>С -7 дня по -2 день</w:t>
            </w:r>
          </w:p>
        </w:tc>
        <w:tc>
          <w:tcPr>
            <w:tcW w:w="2268" w:type="dxa"/>
            <w:vAlign w:val="center"/>
          </w:tcPr>
          <w:p w14:paraId="33EE587B" w14:textId="77777777" w:rsidR="00BE7F89" w:rsidRPr="00C07B2E" w:rsidRDefault="00BE7F89" w:rsidP="005A428D">
            <w:pPr>
              <w:rPr>
                <w:rFonts w:eastAsia="SimSun"/>
              </w:rPr>
            </w:pPr>
            <w:r w:rsidRPr="00C07B2E">
              <w:rPr>
                <w:rFonts w:eastAsia="SimSun"/>
              </w:rPr>
              <w:t>В/в, в течение 30 - 60 мин</w:t>
            </w:r>
          </w:p>
        </w:tc>
      </w:tr>
      <w:tr w:rsidR="00BE7F89" w:rsidRPr="00C07B2E" w14:paraId="636DF2FB" w14:textId="77777777" w:rsidTr="005A428D">
        <w:trPr>
          <w:cantSplit/>
          <w:trHeight w:val="1207"/>
        </w:trPr>
        <w:tc>
          <w:tcPr>
            <w:tcW w:w="993" w:type="dxa"/>
            <w:vMerge/>
            <w:vAlign w:val="center"/>
          </w:tcPr>
          <w:p w14:paraId="7E940E7F" w14:textId="77777777" w:rsidR="00BE7F89" w:rsidRPr="00C07B2E" w:rsidRDefault="00BE7F89" w:rsidP="005A428D">
            <w:pPr>
              <w:rPr>
                <w:rFonts w:eastAsia="SimSun"/>
              </w:rPr>
            </w:pPr>
          </w:p>
        </w:tc>
        <w:tc>
          <w:tcPr>
            <w:tcW w:w="1809" w:type="dxa"/>
            <w:vAlign w:val="center"/>
          </w:tcPr>
          <w:p w14:paraId="10FD14FA" w14:textId="77777777" w:rsidR="00BE7F89" w:rsidRPr="00C07B2E" w:rsidRDefault="00BE7F89" w:rsidP="005A428D">
            <w:pPr>
              <w:rPr>
                <w:rFonts w:eastAsia="SimSun"/>
              </w:rPr>
            </w:pPr>
            <w:r w:rsidRPr="00C07B2E">
              <w:rPr>
                <w:rFonts w:eastAsia="SimSun"/>
              </w:rPr>
              <w:t>Бусульфан</w:t>
            </w:r>
          </w:p>
        </w:tc>
        <w:tc>
          <w:tcPr>
            <w:tcW w:w="1417" w:type="dxa"/>
            <w:vAlign w:val="center"/>
          </w:tcPr>
          <w:p w14:paraId="581A7197" w14:textId="77777777" w:rsidR="00BE7F89" w:rsidRPr="00C07B2E" w:rsidRDefault="00BE7F89" w:rsidP="005A428D">
            <w:pPr>
              <w:rPr>
                <w:rFonts w:eastAsia="SimSun"/>
              </w:rPr>
            </w:pPr>
            <w:r w:rsidRPr="00C07B2E">
              <w:rPr>
                <w:rFonts w:eastAsia="SimSun"/>
              </w:rPr>
              <w:t xml:space="preserve">4 мг/кг </w:t>
            </w:r>
          </w:p>
        </w:tc>
        <w:tc>
          <w:tcPr>
            <w:tcW w:w="1418" w:type="dxa"/>
            <w:vAlign w:val="center"/>
          </w:tcPr>
          <w:p w14:paraId="0984A598" w14:textId="77777777" w:rsidR="00BE7F89" w:rsidRPr="00C07B2E" w:rsidRDefault="00BE7F89" w:rsidP="005A428D">
            <w:pPr>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40D175BC" w14:textId="77777777" w:rsidR="00BE7F89" w:rsidRPr="00C07B2E" w:rsidRDefault="00BE7F89" w:rsidP="005A428D">
            <w:pPr>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3E9E8C02" w14:textId="77777777" w:rsidR="00BE7F89" w:rsidRPr="00C07B2E" w:rsidRDefault="00BE7F89" w:rsidP="005A428D">
            <w:pPr>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0F445E" w14:paraId="67CB0C55" w14:textId="77777777" w:rsidTr="005A428D">
        <w:trPr>
          <w:cantSplit/>
          <w:trHeight w:val="1498"/>
        </w:trPr>
        <w:tc>
          <w:tcPr>
            <w:tcW w:w="993" w:type="dxa"/>
            <w:vMerge w:val="restart"/>
            <w:textDirection w:val="btLr"/>
            <w:vAlign w:val="center"/>
          </w:tcPr>
          <w:p w14:paraId="0C0F6140" w14:textId="77777777" w:rsidR="00BE7F89" w:rsidRPr="00C07B2E" w:rsidRDefault="00BE7F89" w:rsidP="005A428D">
            <w:pPr>
              <w:rPr>
                <w:rFonts w:eastAsia="SimSun"/>
              </w:rPr>
            </w:pPr>
            <w:r w:rsidRPr="00C07B2E">
              <w:rPr>
                <w:rFonts w:eastAsia="SimSun"/>
              </w:rPr>
              <w:t>Профилактика РТПХ</w:t>
            </w:r>
          </w:p>
        </w:tc>
        <w:tc>
          <w:tcPr>
            <w:tcW w:w="1809" w:type="dxa"/>
            <w:vAlign w:val="center"/>
          </w:tcPr>
          <w:p w14:paraId="45129477" w14:textId="77777777" w:rsidR="00BE7F89" w:rsidRPr="00C07B2E" w:rsidRDefault="00BE7F89" w:rsidP="005A428D">
            <w:pPr>
              <w:rPr>
                <w:rFonts w:eastAsia="SimSun"/>
              </w:rPr>
            </w:pPr>
            <w:r w:rsidRPr="00C07B2E">
              <w:rPr>
                <w:rFonts w:eastAsia="SimSun"/>
              </w:rPr>
              <w:t xml:space="preserve">Такролимус </w:t>
            </w:r>
          </w:p>
        </w:tc>
        <w:tc>
          <w:tcPr>
            <w:tcW w:w="1417" w:type="dxa"/>
            <w:vAlign w:val="center"/>
          </w:tcPr>
          <w:p w14:paraId="74D66641" w14:textId="77777777" w:rsidR="00BE7F89" w:rsidRPr="00C07B2E" w:rsidRDefault="00BE7F89" w:rsidP="005A428D">
            <w:pPr>
              <w:rPr>
                <w:rFonts w:eastAsia="SimSun"/>
              </w:rPr>
            </w:pPr>
            <w:r w:rsidRPr="00C07B2E">
              <w:rPr>
                <w:rFonts w:eastAsia="SimSun"/>
              </w:rPr>
              <w:t>0,03 мг/кг</w:t>
            </w:r>
          </w:p>
        </w:tc>
        <w:tc>
          <w:tcPr>
            <w:tcW w:w="1418" w:type="dxa"/>
            <w:vAlign w:val="center"/>
          </w:tcPr>
          <w:p w14:paraId="601DC153" w14:textId="77777777" w:rsidR="00BE7F89" w:rsidRPr="00C07B2E" w:rsidRDefault="00BE7F89" w:rsidP="005A428D">
            <w:pPr>
              <w:rPr>
                <w:rFonts w:eastAsia="SimSun"/>
              </w:rPr>
            </w:pPr>
            <w:r w:rsidRPr="00C07B2E">
              <w:rPr>
                <w:rFonts w:eastAsia="SimSun"/>
              </w:rPr>
              <w:t>–</w:t>
            </w:r>
          </w:p>
        </w:tc>
        <w:tc>
          <w:tcPr>
            <w:tcW w:w="1701" w:type="dxa"/>
            <w:vAlign w:val="center"/>
          </w:tcPr>
          <w:p w14:paraId="708E74C7" w14:textId="77777777" w:rsidR="00BE7F89" w:rsidRPr="00C07B2E" w:rsidRDefault="00BE7F89" w:rsidP="005A428D">
            <w:pPr>
              <w:rPr>
                <w:rFonts w:eastAsia="SimSun"/>
              </w:rPr>
            </w:pPr>
            <w:r w:rsidRPr="00C07B2E">
              <w:rPr>
                <w:rFonts w:eastAsia="SimSun"/>
              </w:rPr>
              <w:t xml:space="preserve">С +5 дня длительно </w:t>
            </w:r>
          </w:p>
        </w:tc>
        <w:tc>
          <w:tcPr>
            <w:tcW w:w="2268" w:type="dxa"/>
            <w:vAlign w:val="center"/>
          </w:tcPr>
          <w:p w14:paraId="2422D827" w14:textId="77777777" w:rsidR="00BE7F89" w:rsidRPr="000F445E" w:rsidRDefault="00BE7F89" w:rsidP="005A428D">
            <w:pPr>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 xml:space="preserve">Перевод на прием внутрь при условии восстановления лейкоцитов &gt; 1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BE7F89" w:rsidRPr="00C07B2E" w14:paraId="4CF29764" w14:textId="77777777" w:rsidTr="005A428D">
        <w:trPr>
          <w:cantSplit/>
          <w:trHeight w:val="805"/>
        </w:trPr>
        <w:tc>
          <w:tcPr>
            <w:tcW w:w="993" w:type="dxa"/>
            <w:vMerge/>
            <w:textDirection w:val="btLr"/>
            <w:vAlign w:val="center"/>
          </w:tcPr>
          <w:p w14:paraId="73A5139C" w14:textId="77777777" w:rsidR="00BE7F89" w:rsidRPr="000F445E" w:rsidRDefault="00BE7F89" w:rsidP="005A428D">
            <w:pPr>
              <w:rPr>
                <w:rFonts w:eastAsia="SimSun"/>
              </w:rPr>
            </w:pPr>
          </w:p>
        </w:tc>
        <w:tc>
          <w:tcPr>
            <w:tcW w:w="1809" w:type="dxa"/>
            <w:vAlign w:val="center"/>
          </w:tcPr>
          <w:p w14:paraId="1EEE35BE" w14:textId="77777777" w:rsidR="00BE7F89" w:rsidRPr="00C07B2E" w:rsidRDefault="00BE7F89" w:rsidP="005A428D">
            <w:pPr>
              <w:rPr>
                <w:rFonts w:eastAsia="SimSun"/>
              </w:rPr>
            </w:pPr>
            <w:r w:rsidRPr="00C07B2E">
              <w:rPr>
                <w:rFonts w:eastAsia="SimSun"/>
              </w:rPr>
              <w:t>Микофенолата мофетил</w:t>
            </w:r>
          </w:p>
        </w:tc>
        <w:tc>
          <w:tcPr>
            <w:tcW w:w="1417" w:type="dxa"/>
            <w:vAlign w:val="center"/>
          </w:tcPr>
          <w:p w14:paraId="33908D6B" w14:textId="77777777" w:rsidR="00BE7F89" w:rsidRPr="00C07B2E" w:rsidRDefault="00BE7F89" w:rsidP="005A428D">
            <w:pPr>
              <w:rPr>
                <w:rFonts w:eastAsia="SimSun"/>
              </w:rPr>
            </w:pPr>
            <w:r w:rsidRPr="00C07B2E">
              <w:rPr>
                <w:rFonts w:eastAsia="SimSun"/>
              </w:rPr>
              <w:t xml:space="preserve">30 мг/кг </w:t>
            </w:r>
          </w:p>
        </w:tc>
        <w:tc>
          <w:tcPr>
            <w:tcW w:w="1418" w:type="dxa"/>
            <w:vAlign w:val="center"/>
          </w:tcPr>
          <w:p w14:paraId="4B8E2214" w14:textId="77777777" w:rsidR="00BE7F89" w:rsidRPr="00C07B2E" w:rsidRDefault="00BE7F89" w:rsidP="005A428D">
            <w:pPr>
              <w:rPr>
                <w:rFonts w:eastAsia="SimSun"/>
              </w:rPr>
            </w:pPr>
            <w:r w:rsidRPr="00C07B2E">
              <w:rPr>
                <w:rFonts w:eastAsia="SimSun"/>
              </w:rPr>
              <w:t>–</w:t>
            </w:r>
          </w:p>
        </w:tc>
        <w:tc>
          <w:tcPr>
            <w:tcW w:w="1701" w:type="dxa"/>
            <w:vAlign w:val="center"/>
          </w:tcPr>
          <w:p w14:paraId="26BE3BCC" w14:textId="77777777" w:rsidR="00BE7F89" w:rsidRPr="00C07B2E" w:rsidRDefault="00BE7F89" w:rsidP="005A428D">
            <w:pPr>
              <w:rPr>
                <w:rFonts w:eastAsia="SimSun"/>
              </w:rPr>
            </w:pPr>
            <w:r w:rsidRPr="00C07B2E">
              <w:rPr>
                <w:rFonts w:eastAsia="SimSun"/>
              </w:rPr>
              <w:t xml:space="preserve">С +5 дня по +35 день </w:t>
            </w:r>
          </w:p>
        </w:tc>
        <w:tc>
          <w:tcPr>
            <w:tcW w:w="2268" w:type="dxa"/>
            <w:vAlign w:val="center"/>
          </w:tcPr>
          <w:p w14:paraId="6B08D57A" w14:textId="77777777" w:rsidR="00BE7F89" w:rsidRPr="000F445E" w:rsidRDefault="00BE7F89" w:rsidP="005A428D">
            <w:pPr>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bl>
    <w:p w14:paraId="11A6AABA" w14:textId="77777777" w:rsidR="00BE7F89" w:rsidRPr="00C07B2E" w:rsidRDefault="00BE7F89" w:rsidP="00BE7F89">
      <w:pPr>
        <w:rPr>
          <w:rFonts w:eastAsia="SimSun"/>
        </w:rPr>
      </w:pPr>
    </w:p>
    <w:p w14:paraId="41F05B6A" w14:textId="77777777" w:rsidR="00BE7F89" w:rsidRPr="00C07B2E" w:rsidRDefault="00BE7F89" w:rsidP="00BE7F89">
      <w:pPr>
        <w:rPr>
          <w:rFonts w:eastAsia="SimSun"/>
        </w:rPr>
      </w:pPr>
      <w:bookmarkStart w:id="148" w:name="_Toc44401155"/>
      <w:r w:rsidRPr="00042499">
        <w:rPr>
          <w:rFonts w:eastAsia="SimSun"/>
        </w:rPr>
        <w:t>Таблица</w:t>
      </w:r>
      <w:r w:rsidRPr="00C07B2E">
        <w:rPr>
          <w:rFonts w:eastAsia="SimSun"/>
        </w:rPr>
        <w:t xml:space="preserve"> </w:t>
      </w:r>
      <w:r>
        <w:rPr>
          <w:rFonts w:eastAsia="SimSun"/>
        </w:rPr>
        <w:t>5</w:t>
      </w:r>
      <w:r w:rsidRPr="00C07B2E">
        <w:rPr>
          <w:rFonts w:eastAsia="SimSun"/>
        </w:rPr>
        <w:t>.1.1.12  – Flu180+Treo42 / PT-Cy+Tx+MMF30</w:t>
      </w:r>
      <w:bookmarkEnd w:id="14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701"/>
        <w:gridCol w:w="1417"/>
        <w:gridCol w:w="1418"/>
        <w:gridCol w:w="1701"/>
        <w:gridCol w:w="2268"/>
      </w:tblGrid>
      <w:tr w:rsidR="00BE7F89" w:rsidRPr="00C07B2E" w14:paraId="4B1A45DB" w14:textId="77777777" w:rsidTr="005A428D">
        <w:trPr>
          <w:cantSplit/>
          <w:trHeight w:val="20"/>
          <w:tblHeader/>
        </w:trPr>
        <w:tc>
          <w:tcPr>
            <w:tcW w:w="1101" w:type="dxa"/>
            <w:vAlign w:val="center"/>
          </w:tcPr>
          <w:p w14:paraId="3CEFD40A" w14:textId="77777777" w:rsidR="00BE7F89" w:rsidRPr="00470D3D" w:rsidRDefault="00BE7F89" w:rsidP="005A428D">
            <w:pPr>
              <w:rPr>
                <w:rFonts w:eastAsia="SimSun"/>
              </w:rPr>
            </w:pPr>
          </w:p>
        </w:tc>
        <w:tc>
          <w:tcPr>
            <w:tcW w:w="1701" w:type="dxa"/>
            <w:vAlign w:val="center"/>
          </w:tcPr>
          <w:p w14:paraId="57A65800" w14:textId="77777777" w:rsidR="00BE7F89" w:rsidRPr="00C07B2E" w:rsidRDefault="00BE7F89" w:rsidP="005A428D">
            <w:pPr>
              <w:rPr>
                <w:rFonts w:eastAsia="SimSun"/>
              </w:rPr>
            </w:pPr>
            <w:r w:rsidRPr="00C07B2E">
              <w:rPr>
                <w:rFonts w:eastAsia="SimSun"/>
              </w:rPr>
              <w:t>Препарат</w:t>
            </w:r>
          </w:p>
        </w:tc>
        <w:tc>
          <w:tcPr>
            <w:tcW w:w="1417" w:type="dxa"/>
            <w:vAlign w:val="center"/>
          </w:tcPr>
          <w:p w14:paraId="238AE612" w14:textId="77777777" w:rsidR="00BE7F89" w:rsidRPr="00C07B2E" w:rsidRDefault="00BE7F89" w:rsidP="005A428D">
            <w:pPr>
              <w:rPr>
                <w:rFonts w:eastAsia="SimSun"/>
              </w:rPr>
            </w:pPr>
            <w:r w:rsidRPr="00C07B2E">
              <w:rPr>
                <w:rFonts w:eastAsia="SimSun"/>
              </w:rPr>
              <w:t>Суточная доза</w:t>
            </w:r>
          </w:p>
        </w:tc>
        <w:tc>
          <w:tcPr>
            <w:tcW w:w="1418" w:type="dxa"/>
            <w:vAlign w:val="center"/>
          </w:tcPr>
          <w:p w14:paraId="22A913DD" w14:textId="77777777" w:rsidR="00BE7F89" w:rsidRPr="00C07B2E" w:rsidRDefault="00BE7F89" w:rsidP="005A428D">
            <w:pPr>
              <w:rPr>
                <w:rFonts w:eastAsia="SimSun"/>
              </w:rPr>
            </w:pPr>
            <w:r w:rsidRPr="00C07B2E">
              <w:rPr>
                <w:rFonts w:eastAsia="SimSun"/>
              </w:rPr>
              <w:t>Курсовая доза</w:t>
            </w:r>
          </w:p>
        </w:tc>
        <w:tc>
          <w:tcPr>
            <w:tcW w:w="1701" w:type="dxa"/>
            <w:vAlign w:val="center"/>
          </w:tcPr>
          <w:p w14:paraId="4B6BB829" w14:textId="77777777" w:rsidR="00BE7F89" w:rsidRPr="00C07B2E" w:rsidRDefault="00BE7F89" w:rsidP="005A428D">
            <w:pPr>
              <w:rPr>
                <w:rFonts w:eastAsia="SimSun"/>
              </w:rPr>
            </w:pPr>
            <w:r w:rsidRPr="00C07B2E">
              <w:rPr>
                <w:rFonts w:eastAsia="SimSun"/>
              </w:rPr>
              <w:t>Дни введения</w:t>
            </w:r>
          </w:p>
        </w:tc>
        <w:tc>
          <w:tcPr>
            <w:tcW w:w="2268" w:type="dxa"/>
            <w:vAlign w:val="center"/>
          </w:tcPr>
          <w:p w14:paraId="7E84E38B" w14:textId="77777777" w:rsidR="00BE7F89" w:rsidRPr="00C07B2E" w:rsidRDefault="00BE7F89" w:rsidP="005A428D">
            <w:pPr>
              <w:rPr>
                <w:rFonts w:eastAsia="SimSun"/>
              </w:rPr>
            </w:pPr>
            <w:r w:rsidRPr="00C07B2E">
              <w:rPr>
                <w:rFonts w:eastAsia="SimSun"/>
              </w:rPr>
              <w:t>Порядок введения</w:t>
            </w:r>
          </w:p>
        </w:tc>
      </w:tr>
      <w:tr w:rsidR="00BE7F89" w:rsidRPr="00C07B2E" w14:paraId="4142B03E" w14:textId="77777777" w:rsidTr="005A428D">
        <w:trPr>
          <w:cantSplit/>
          <w:trHeight w:val="20"/>
        </w:trPr>
        <w:tc>
          <w:tcPr>
            <w:tcW w:w="1101" w:type="dxa"/>
            <w:vMerge w:val="restart"/>
            <w:textDirection w:val="btLr"/>
            <w:vAlign w:val="center"/>
          </w:tcPr>
          <w:p w14:paraId="49F6ADDC" w14:textId="77777777" w:rsidR="00BE7F89" w:rsidRPr="00C07B2E" w:rsidRDefault="00BE7F89" w:rsidP="005A428D">
            <w:pPr>
              <w:rPr>
                <w:rFonts w:eastAsia="SimSun"/>
              </w:rPr>
            </w:pPr>
            <w:r w:rsidRPr="00C07B2E">
              <w:rPr>
                <w:rFonts w:eastAsia="SimSun"/>
              </w:rPr>
              <w:t>Кондиционирование</w:t>
            </w:r>
          </w:p>
        </w:tc>
        <w:tc>
          <w:tcPr>
            <w:tcW w:w="1701" w:type="dxa"/>
            <w:vAlign w:val="center"/>
          </w:tcPr>
          <w:p w14:paraId="1778BFD2" w14:textId="77777777" w:rsidR="00BE7F89" w:rsidRPr="00C07B2E" w:rsidRDefault="00BE7F89" w:rsidP="005A428D">
            <w:pPr>
              <w:rPr>
                <w:rFonts w:eastAsia="SimSun"/>
              </w:rPr>
            </w:pPr>
            <w:r w:rsidRPr="00C07B2E">
              <w:rPr>
                <w:rFonts w:eastAsia="SimSun"/>
              </w:rPr>
              <w:t xml:space="preserve">Флударабин </w:t>
            </w:r>
          </w:p>
        </w:tc>
        <w:tc>
          <w:tcPr>
            <w:tcW w:w="1417" w:type="dxa"/>
            <w:vAlign w:val="center"/>
          </w:tcPr>
          <w:p w14:paraId="0E63882D" w14:textId="77777777" w:rsidR="00BE7F89" w:rsidRPr="000F445E" w:rsidRDefault="00BE7F89" w:rsidP="005A428D">
            <w:pPr>
              <w:rPr>
                <w:rFonts w:eastAsia="SimSun"/>
              </w:rPr>
            </w:pPr>
            <w:r w:rsidRPr="00C07B2E">
              <w:rPr>
                <w:rFonts w:eastAsia="SimSun"/>
              </w:rPr>
              <w:t>30 мг/м</w:t>
            </w:r>
            <w:r w:rsidRPr="000F445E">
              <w:rPr>
                <w:rFonts w:eastAsia="SimSun"/>
                <w:vertAlign w:val="superscript"/>
              </w:rPr>
              <w:t>2</w:t>
            </w:r>
          </w:p>
        </w:tc>
        <w:tc>
          <w:tcPr>
            <w:tcW w:w="1418" w:type="dxa"/>
            <w:vAlign w:val="center"/>
          </w:tcPr>
          <w:p w14:paraId="1B6BD242" w14:textId="77777777" w:rsidR="00BE7F89" w:rsidRPr="00C07B2E" w:rsidRDefault="00BE7F89" w:rsidP="005A428D">
            <w:pPr>
              <w:rPr>
                <w:rFonts w:eastAsia="SimSun"/>
              </w:rPr>
            </w:pPr>
            <w:r w:rsidRPr="00C07B2E">
              <w:rPr>
                <w:rFonts w:eastAsia="SimSun"/>
              </w:rPr>
              <w:t>180 мг/м</w:t>
            </w:r>
            <w:r w:rsidRPr="005659AA">
              <w:rPr>
                <w:rFonts w:eastAsia="SimSun"/>
                <w:vertAlign w:val="superscript"/>
              </w:rPr>
              <w:t>2</w:t>
            </w:r>
          </w:p>
        </w:tc>
        <w:tc>
          <w:tcPr>
            <w:tcW w:w="1701" w:type="dxa"/>
            <w:vAlign w:val="center"/>
          </w:tcPr>
          <w:p w14:paraId="126DF264" w14:textId="77777777" w:rsidR="00BE7F89" w:rsidRPr="00C07B2E" w:rsidRDefault="00BE7F89" w:rsidP="005A428D">
            <w:pPr>
              <w:rPr>
                <w:rFonts w:eastAsia="SimSun"/>
              </w:rPr>
            </w:pPr>
            <w:r w:rsidRPr="00C07B2E">
              <w:rPr>
                <w:rFonts w:eastAsia="SimSun"/>
              </w:rPr>
              <w:t>С -7 дня по -2 день</w:t>
            </w:r>
          </w:p>
        </w:tc>
        <w:tc>
          <w:tcPr>
            <w:tcW w:w="2268" w:type="dxa"/>
            <w:vAlign w:val="center"/>
          </w:tcPr>
          <w:p w14:paraId="1EF89396" w14:textId="77777777" w:rsidR="00BE7F89" w:rsidRPr="006A31EC" w:rsidRDefault="00BE7F89" w:rsidP="005A428D">
            <w:pPr>
              <w:rPr>
                <w:rFonts w:eastAsia="SimSun"/>
              </w:rPr>
            </w:pPr>
            <w:r w:rsidRPr="006A31EC">
              <w:rPr>
                <w:rFonts w:eastAsia="SimSun"/>
              </w:rPr>
              <w:t>В/в, в течение 30 - 60 мин</w:t>
            </w:r>
          </w:p>
        </w:tc>
      </w:tr>
      <w:tr w:rsidR="00BE7F89" w:rsidRPr="00C07B2E" w14:paraId="2EAE8D80" w14:textId="77777777" w:rsidTr="005A428D">
        <w:trPr>
          <w:cantSplit/>
          <w:trHeight w:val="778"/>
        </w:trPr>
        <w:tc>
          <w:tcPr>
            <w:tcW w:w="1101" w:type="dxa"/>
            <w:vMerge/>
            <w:vAlign w:val="center"/>
          </w:tcPr>
          <w:p w14:paraId="367010B1" w14:textId="77777777" w:rsidR="00BE7F89" w:rsidRPr="006A31EC" w:rsidRDefault="00BE7F89" w:rsidP="005A428D">
            <w:pPr>
              <w:rPr>
                <w:rFonts w:eastAsia="SimSun"/>
              </w:rPr>
            </w:pPr>
          </w:p>
        </w:tc>
        <w:tc>
          <w:tcPr>
            <w:tcW w:w="1701" w:type="dxa"/>
            <w:vAlign w:val="center"/>
          </w:tcPr>
          <w:p w14:paraId="043D2BCC" w14:textId="77777777" w:rsidR="00BE7F89" w:rsidRPr="00C07B2E" w:rsidRDefault="00BE7F89" w:rsidP="005A428D">
            <w:pPr>
              <w:rPr>
                <w:rFonts w:eastAsia="SimSun"/>
              </w:rPr>
            </w:pPr>
            <w:r w:rsidRPr="00C07B2E">
              <w:rPr>
                <w:rFonts w:eastAsia="SimSun"/>
              </w:rPr>
              <w:t xml:space="preserve">Треосульфан </w:t>
            </w:r>
          </w:p>
        </w:tc>
        <w:tc>
          <w:tcPr>
            <w:tcW w:w="1417" w:type="dxa"/>
            <w:vAlign w:val="center"/>
          </w:tcPr>
          <w:p w14:paraId="39C5EE40" w14:textId="77777777" w:rsidR="00BE7F89" w:rsidRPr="00C07B2E" w:rsidRDefault="00BE7F89" w:rsidP="005A428D">
            <w:pPr>
              <w:rPr>
                <w:rFonts w:eastAsia="SimSun"/>
              </w:rPr>
            </w:pPr>
            <w:r w:rsidRPr="00C07B2E">
              <w:rPr>
                <w:rFonts w:eastAsia="SimSun"/>
              </w:rPr>
              <w:t>14 г/кг</w:t>
            </w:r>
          </w:p>
        </w:tc>
        <w:tc>
          <w:tcPr>
            <w:tcW w:w="1418" w:type="dxa"/>
            <w:vAlign w:val="center"/>
          </w:tcPr>
          <w:p w14:paraId="7951EF7A" w14:textId="77777777" w:rsidR="00BE7F89" w:rsidRPr="00C07B2E" w:rsidRDefault="00BE7F89" w:rsidP="005A428D">
            <w:pPr>
              <w:rPr>
                <w:rFonts w:eastAsia="SimSun"/>
              </w:rPr>
            </w:pPr>
            <w:r w:rsidRPr="00C07B2E">
              <w:rPr>
                <w:rFonts w:eastAsia="SimSun"/>
              </w:rPr>
              <w:t>42 г/кг</w:t>
            </w:r>
          </w:p>
        </w:tc>
        <w:tc>
          <w:tcPr>
            <w:tcW w:w="1701" w:type="dxa"/>
            <w:vAlign w:val="center"/>
          </w:tcPr>
          <w:p w14:paraId="575D208B" w14:textId="77777777" w:rsidR="00BE7F89" w:rsidRPr="00C07B2E" w:rsidRDefault="00BE7F89" w:rsidP="005A428D">
            <w:pPr>
              <w:rPr>
                <w:rFonts w:eastAsia="SimSun"/>
              </w:rPr>
            </w:pPr>
            <w:r w:rsidRPr="00C07B2E">
              <w:rPr>
                <w:rFonts w:eastAsia="SimSun"/>
              </w:rPr>
              <w:t xml:space="preserve">С -5 дня по -3 день </w:t>
            </w:r>
          </w:p>
        </w:tc>
        <w:tc>
          <w:tcPr>
            <w:tcW w:w="2268" w:type="dxa"/>
            <w:vAlign w:val="center"/>
          </w:tcPr>
          <w:p w14:paraId="2AB64CD7" w14:textId="77777777" w:rsidR="00BE7F89" w:rsidRPr="006A31EC" w:rsidRDefault="00BE7F89" w:rsidP="005A428D">
            <w:pPr>
              <w:rPr>
                <w:rFonts w:eastAsia="SimSun"/>
              </w:rPr>
            </w:pPr>
            <w:r w:rsidRPr="006A31EC">
              <w:rPr>
                <w:rFonts w:eastAsia="SimSun"/>
              </w:rPr>
              <w:t xml:space="preserve">В/в инфуия, в течение 2 часов </w:t>
            </w:r>
          </w:p>
        </w:tc>
      </w:tr>
      <w:tr w:rsidR="00BE7F89" w:rsidRPr="005659AA" w14:paraId="5EBAF4C1" w14:textId="77777777" w:rsidTr="005A428D">
        <w:trPr>
          <w:cantSplit/>
          <w:trHeight w:val="1498"/>
        </w:trPr>
        <w:tc>
          <w:tcPr>
            <w:tcW w:w="1101" w:type="dxa"/>
            <w:vMerge w:val="restart"/>
            <w:textDirection w:val="btLr"/>
            <w:vAlign w:val="center"/>
          </w:tcPr>
          <w:p w14:paraId="79774695" w14:textId="77777777" w:rsidR="00BE7F89" w:rsidRPr="00C07B2E" w:rsidRDefault="00BE7F89" w:rsidP="005A428D">
            <w:pPr>
              <w:rPr>
                <w:rFonts w:eastAsia="SimSun"/>
              </w:rPr>
            </w:pPr>
            <w:r w:rsidRPr="00C07B2E">
              <w:rPr>
                <w:rFonts w:eastAsia="SimSun"/>
              </w:rPr>
              <w:t>Профилактика РТПХ</w:t>
            </w:r>
          </w:p>
        </w:tc>
        <w:tc>
          <w:tcPr>
            <w:tcW w:w="1701" w:type="dxa"/>
            <w:vAlign w:val="center"/>
          </w:tcPr>
          <w:p w14:paraId="6FDBAF39" w14:textId="77777777" w:rsidR="00BE7F89" w:rsidRPr="00C07B2E" w:rsidRDefault="00BE7F89" w:rsidP="005A428D">
            <w:pPr>
              <w:rPr>
                <w:rFonts w:eastAsia="SimSun"/>
              </w:rPr>
            </w:pPr>
            <w:r w:rsidRPr="00C07B2E">
              <w:rPr>
                <w:rFonts w:eastAsia="SimSun"/>
              </w:rPr>
              <w:t xml:space="preserve">Такролимус </w:t>
            </w:r>
          </w:p>
        </w:tc>
        <w:tc>
          <w:tcPr>
            <w:tcW w:w="1417" w:type="dxa"/>
            <w:vAlign w:val="center"/>
          </w:tcPr>
          <w:p w14:paraId="59DE0987" w14:textId="77777777" w:rsidR="00BE7F89" w:rsidRPr="00C07B2E" w:rsidRDefault="00BE7F89" w:rsidP="005A428D">
            <w:pPr>
              <w:rPr>
                <w:rFonts w:eastAsia="SimSun"/>
              </w:rPr>
            </w:pPr>
            <w:r w:rsidRPr="00C07B2E">
              <w:rPr>
                <w:rFonts w:eastAsia="SimSun"/>
              </w:rPr>
              <w:t>0,03 мг/кг</w:t>
            </w:r>
          </w:p>
        </w:tc>
        <w:tc>
          <w:tcPr>
            <w:tcW w:w="1418" w:type="dxa"/>
            <w:vAlign w:val="center"/>
          </w:tcPr>
          <w:p w14:paraId="36206892" w14:textId="77777777" w:rsidR="00BE7F89" w:rsidRPr="00C07B2E" w:rsidRDefault="00BE7F89" w:rsidP="005A428D">
            <w:pPr>
              <w:rPr>
                <w:rFonts w:eastAsia="SimSun"/>
              </w:rPr>
            </w:pPr>
            <w:r w:rsidRPr="00C07B2E">
              <w:rPr>
                <w:rFonts w:eastAsia="SimSun"/>
                <w:lang w:val="en-US"/>
              </w:rPr>
              <w:t>–</w:t>
            </w:r>
          </w:p>
        </w:tc>
        <w:tc>
          <w:tcPr>
            <w:tcW w:w="1701" w:type="dxa"/>
            <w:vAlign w:val="center"/>
          </w:tcPr>
          <w:p w14:paraId="14586B6E" w14:textId="77777777" w:rsidR="00BE7F89" w:rsidRPr="00C07B2E" w:rsidRDefault="00BE7F89" w:rsidP="005A428D">
            <w:pPr>
              <w:rPr>
                <w:rFonts w:eastAsia="SimSun"/>
              </w:rPr>
            </w:pPr>
            <w:r w:rsidRPr="00C07B2E">
              <w:rPr>
                <w:rFonts w:eastAsia="SimSun"/>
              </w:rPr>
              <w:t xml:space="preserve">С +5 дня длительно </w:t>
            </w:r>
          </w:p>
        </w:tc>
        <w:tc>
          <w:tcPr>
            <w:tcW w:w="2268" w:type="dxa"/>
            <w:vAlign w:val="center"/>
          </w:tcPr>
          <w:p w14:paraId="1F1E0BE4" w14:textId="77777777" w:rsidR="00BE7F89" w:rsidRPr="005659AA" w:rsidRDefault="00BE7F89" w:rsidP="005A428D">
            <w:pPr>
              <w:rPr>
                <w:rFonts w:eastAsia="SimSun"/>
              </w:rPr>
            </w:pPr>
            <w:r w:rsidRPr="006A31EC">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w:t>
            </w:r>
            <w:r>
              <w:rPr>
                <w:rFonts w:eastAsia="SimSun"/>
              </w:rPr>
              <w:t xml:space="preserve">х </w:t>
            </w:r>
            <w:r w:rsidRPr="006A31EC">
              <w:rPr>
                <w:rFonts w:eastAsia="SimSun"/>
              </w:rPr>
              <w:t>10</w:t>
            </w:r>
            <w:r w:rsidRPr="006A31EC">
              <w:rPr>
                <w:rFonts w:eastAsia="SimSun"/>
                <w:vertAlign w:val="superscript"/>
              </w:rPr>
              <w:t>9</w:t>
            </w:r>
            <w:r w:rsidRPr="006A31EC">
              <w:rPr>
                <w:rFonts w:eastAsia="SimSun"/>
              </w:rPr>
              <w:t xml:space="preserve">/л, при отсутствии тошноты, рвоты, диареи и возможности приема внутрь. </w:t>
            </w:r>
            <w:r w:rsidRPr="005659AA">
              <w:rPr>
                <w:rFonts w:eastAsia="SimSun"/>
              </w:rPr>
              <w:t xml:space="preserve">Концентрация </w:t>
            </w:r>
            <w:r w:rsidRPr="00C07B2E">
              <w:rPr>
                <w:rFonts w:eastAsia="SimSun"/>
              </w:rPr>
              <w:t>Tx</w:t>
            </w:r>
            <w:r w:rsidRPr="005659AA">
              <w:rPr>
                <w:rFonts w:eastAsia="SimSun"/>
              </w:rPr>
              <w:t xml:space="preserve"> 5-15 нг/мл.    </w:t>
            </w:r>
          </w:p>
        </w:tc>
      </w:tr>
      <w:tr w:rsidR="00BE7F89" w:rsidRPr="00C07B2E" w14:paraId="34B9D3BD" w14:textId="77777777" w:rsidTr="005A428D">
        <w:trPr>
          <w:cantSplit/>
          <w:trHeight w:val="858"/>
        </w:trPr>
        <w:tc>
          <w:tcPr>
            <w:tcW w:w="1101" w:type="dxa"/>
            <w:vMerge/>
            <w:textDirection w:val="btLr"/>
            <w:vAlign w:val="center"/>
          </w:tcPr>
          <w:p w14:paraId="454C8287" w14:textId="77777777" w:rsidR="00BE7F89" w:rsidRPr="005659AA" w:rsidRDefault="00BE7F89" w:rsidP="005A428D">
            <w:pPr>
              <w:rPr>
                <w:rFonts w:eastAsia="SimSun"/>
              </w:rPr>
            </w:pPr>
          </w:p>
        </w:tc>
        <w:tc>
          <w:tcPr>
            <w:tcW w:w="1701" w:type="dxa"/>
            <w:vAlign w:val="center"/>
          </w:tcPr>
          <w:p w14:paraId="23385CE5" w14:textId="77777777" w:rsidR="00BE7F89" w:rsidRPr="00C07B2E" w:rsidRDefault="00BE7F89" w:rsidP="005A428D">
            <w:pPr>
              <w:rPr>
                <w:rFonts w:eastAsia="SimSun"/>
              </w:rPr>
            </w:pPr>
            <w:r w:rsidRPr="00C07B2E">
              <w:rPr>
                <w:rFonts w:eastAsia="SimSun"/>
              </w:rPr>
              <w:t>Микофенолата мофетил</w:t>
            </w:r>
          </w:p>
        </w:tc>
        <w:tc>
          <w:tcPr>
            <w:tcW w:w="1417" w:type="dxa"/>
            <w:vAlign w:val="center"/>
          </w:tcPr>
          <w:p w14:paraId="44508D97" w14:textId="77777777" w:rsidR="00BE7F89" w:rsidRPr="00C07B2E" w:rsidRDefault="00BE7F89" w:rsidP="005A428D">
            <w:pPr>
              <w:rPr>
                <w:rFonts w:eastAsia="SimSun"/>
              </w:rPr>
            </w:pPr>
            <w:r w:rsidRPr="00C07B2E">
              <w:rPr>
                <w:rFonts w:eastAsia="SimSun"/>
                <w:lang w:val="en-US"/>
              </w:rPr>
              <w:t>30</w:t>
            </w:r>
            <w:r w:rsidRPr="00C07B2E">
              <w:rPr>
                <w:rFonts w:eastAsia="SimSun"/>
              </w:rPr>
              <w:t xml:space="preserve"> мг/кг </w:t>
            </w:r>
          </w:p>
        </w:tc>
        <w:tc>
          <w:tcPr>
            <w:tcW w:w="1418" w:type="dxa"/>
            <w:vAlign w:val="center"/>
          </w:tcPr>
          <w:p w14:paraId="6154AFDF" w14:textId="77777777" w:rsidR="00BE7F89" w:rsidRPr="00C07B2E" w:rsidRDefault="00BE7F89" w:rsidP="005A428D">
            <w:pPr>
              <w:rPr>
                <w:rFonts w:eastAsia="SimSun"/>
              </w:rPr>
            </w:pPr>
            <w:r w:rsidRPr="00C07B2E">
              <w:rPr>
                <w:rFonts w:eastAsia="SimSun"/>
              </w:rPr>
              <w:t>–</w:t>
            </w:r>
          </w:p>
        </w:tc>
        <w:tc>
          <w:tcPr>
            <w:tcW w:w="1701" w:type="dxa"/>
            <w:vAlign w:val="center"/>
          </w:tcPr>
          <w:p w14:paraId="08EBEBEF" w14:textId="77777777" w:rsidR="00BE7F89" w:rsidRPr="00C07B2E" w:rsidRDefault="00BE7F89" w:rsidP="005A428D">
            <w:pPr>
              <w:rPr>
                <w:rFonts w:eastAsia="SimSun"/>
              </w:rPr>
            </w:pPr>
            <w:r w:rsidRPr="00C07B2E">
              <w:rPr>
                <w:rFonts w:eastAsia="SimSun"/>
              </w:rPr>
              <w:t xml:space="preserve">С +5 дня по +35 день </w:t>
            </w:r>
          </w:p>
        </w:tc>
        <w:tc>
          <w:tcPr>
            <w:tcW w:w="2268" w:type="dxa"/>
            <w:vAlign w:val="center"/>
          </w:tcPr>
          <w:p w14:paraId="5DC6F535" w14:textId="77777777" w:rsidR="00BE7F89" w:rsidRPr="005659AA" w:rsidRDefault="00BE7F89" w:rsidP="005A428D">
            <w:pPr>
              <w:rPr>
                <w:rFonts w:eastAsia="SimSun"/>
              </w:rPr>
            </w:pPr>
            <w:r w:rsidRPr="005659AA">
              <w:rPr>
                <w:rFonts w:eastAsia="SimSun"/>
              </w:rPr>
              <w:t>Внутрь, суммарная суточная доза разделяется на 2- 4 приема (не более 3</w:t>
            </w:r>
            <w:r>
              <w:rPr>
                <w:rFonts w:eastAsia="SimSun"/>
              </w:rPr>
              <w:t xml:space="preserve"> </w:t>
            </w:r>
            <w:r w:rsidRPr="005659AA">
              <w:rPr>
                <w:rFonts w:eastAsia="SimSun"/>
              </w:rPr>
              <w:t>г/сут).</w:t>
            </w:r>
          </w:p>
        </w:tc>
      </w:tr>
      <w:tr w:rsidR="00BE7F89" w:rsidRPr="00C07B2E" w14:paraId="4F683988" w14:textId="77777777" w:rsidTr="005A428D">
        <w:trPr>
          <w:cantSplit/>
          <w:trHeight w:val="472"/>
        </w:trPr>
        <w:tc>
          <w:tcPr>
            <w:tcW w:w="1101" w:type="dxa"/>
            <w:vMerge/>
            <w:textDirection w:val="btLr"/>
            <w:vAlign w:val="center"/>
          </w:tcPr>
          <w:p w14:paraId="57FCB933" w14:textId="77777777" w:rsidR="00BE7F89" w:rsidRPr="005659AA" w:rsidRDefault="00BE7F89" w:rsidP="005A428D">
            <w:pPr>
              <w:rPr>
                <w:rFonts w:eastAsia="SimSun"/>
              </w:rPr>
            </w:pPr>
          </w:p>
        </w:tc>
        <w:tc>
          <w:tcPr>
            <w:tcW w:w="1701" w:type="dxa"/>
            <w:vAlign w:val="center"/>
          </w:tcPr>
          <w:p w14:paraId="1559B491" w14:textId="77777777" w:rsidR="00BE7F89" w:rsidRPr="00C07B2E" w:rsidRDefault="00BE7F89" w:rsidP="005A428D">
            <w:pPr>
              <w:rPr>
                <w:rFonts w:eastAsia="SimSun"/>
              </w:rPr>
            </w:pPr>
            <w:r w:rsidRPr="00C07B2E">
              <w:rPr>
                <w:rFonts w:eastAsia="SimSun"/>
              </w:rPr>
              <w:t xml:space="preserve">Циклофосфамид </w:t>
            </w:r>
          </w:p>
        </w:tc>
        <w:tc>
          <w:tcPr>
            <w:tcW w:w="1417" w:type="dxa"/>
            <w:vAlign w:val="center"/>
          </w:tcPr>
          <w:p w14:paraId="2D70ECC1" w14:textId="77777777" w:rsidR="00BE7F89" w:rsidRPr="00C07B2E" w:rsidRDefault="00BE7F89" w:rsidP="005A428D">
            <w:pPr>
              <w:rPr>
                <w:rFonts w:eastAsia="SimSun"/>
              </w:rPr>
            </w:pPr>
            <w:r w:rsidRPr="00C07B2E">
              <w:rPr>
                <w:rFonts w:eastAsia="SimSun"/>
              </w:rPr>
              <w:t xml:space="preserve">50 мг/кг </w:t>
            </w:r>
          </w:p>
        </w:tc>
        <w:tc>
          <w:tcPr>
            <w:tcW w:w="1418" w:type="dxa"/>
            <w:vAlign w:val="center"/>
          </w:tcPr>
          <w:p w14:paraId="603765ED" w14:textId="77777777" w:rsidR="00BE7F89" w:rsidRPr="00C07B2E" w:rsidRDefault="00BE7F89" w:rsidP="005A428D">
            <w:pPr>
              <w:rPr>
                <w:rFonts w:eastAsia="SimSun"/>
              </w:rPr>
            </w:pPr>
            <w:r w:rsidRPr="00C07B2E">
              <w:rPr>
                <w:rFonts w:eastAsia="SimSun"/>
              </w:rPr>
              <w:t>100 мг/кг</w:t>
            </w:r>
          </w:p>
        </w:tc>
        <w:tc>
          <w:tcPr>
            <w:tcW w:w="1701" w:type="dxa"/>
            <w:vAlign w:val="center"/>
          </w:tcPr>
          <w:p w14:paraId="484E2FAE" w14:textId="77777777" w:rsidR="00BE7F89" w:rsidRPr="00C07B2E" w:rsidRDefault="00BE7F89" w:rsidP="005A428D">
            <w:pPr>
              <w:rPr>
                <w:rFonts w:eastAsia="SimSun"/>
              </w:rPr>
            </w:pPr>
            <w:r w:rsidRPr="00C07B2E">
              <w:rPr>
                <w:rFonts w:eastAsia="SimSun"/>
              </w:rPr>
              <w:t>С +3 дня по +4 день</w:t>
            </w:r>
          </w:p>
        </w:tc>
        <w:tc>
          <w:tcPr>
            <w:tcW w:w="2268" w:type="dxa"/>
            <w:vAlign w:val="center"/>
          </w:tcPr>
          <w:p w14:paraId="7A880657" w14:textId="77777777" w:rsidR="00BE7F89" w:rsidRPr="00C07B2E" w:rsidRDefault="00BE7F89" w:rsidP="005A428D">
            <w:pPr>
              <w:rPr>
                <w:rFonts w:eastAsia="SimSun"/>
              </w:rPr>
            </w:pPr>
            <w:r w:rsidRPr="00C07B2E">
              <w:rPr>
                <w:rFonts w:eastAsia="SimSun"/>
              </w:rPr>
              <w:t xml:space="preserve">В/в, в течение 2 ч  </w:t>
            </w:r>
          </w:p>
        </w:tc>
      </w:tr>
    </w:tbl>
    <w:p w14:paraId="6C73EF0B" w14:textId="77777777" w:rsidR="00BE7F89" w:rsidRPr="00C07B2E" w:rsidRDefault="00BE7F89" w:rsidP="00BE7F89">
      <w:pPr>
        <w:rPr>
          <w:rFonts w:eastAsia="SimSun"/>
        </w:rPr>
        <w:sectPr w:rsidR="00BE7F89" w:rsidRPr="00C07B2E" w:rsidSect="00980822">
          <w:type w:val="continuous"/>
          <w:pgSz w:w="11907" w:h="16839" w:code="9"/>
          <w:pgMar w:top="1134" w:right="850" w:bottom="1134" w:left="1701" w:header="709" w:footer="567" w:gutter="0"/>
          <w:cols w:space="708"/>
          <w:docGrid w:linePitch="360"/>
        </w:sectPr>
      </w:pPr>
    </w:p>
    <w:p w14:paraId="36A674A1" w14:textId="77777777" w:rsidR="00BE7F89" w:rsidRDefault="00BE7F89" w:rsidP="00BE7F89">
      <w:pPr>
        <w:rPr>
          <w:rFonts w:eastAsia="SimSun"/>
        </w:rPr>
      </w:pPr>
      <w:bookmarkStart w:id="149" w:name="_Toc44401156"/>
    </w:p>
    <w:bookmarkEnd w:id="149"/>
    <w:p w14:paraId="2AD5133D" w14:textId="77777777" w:rsidR="00BE7F89" w:rsidRPr="00C07B2E" w:rsidRDefault="00BE7F89" w:rsidP="00BE7F89">
      <w:pPr>
        <w:rPr>
          <w:rFonts w:eastAsia="SimSun"/>
        </w:rPr>
      </w:pPr>
      <w:r w:rsidRPr="00C07B2E">
        <w:rPr>
          <w:rFonts w:eastAsia="SimSun"/>
        </w:rPr>
        <w:t>Схемы и режимы применения препаратов для кондиционирования и профилактики РТПХ</w:t>
      </w:r>
      <w:r>
        <w:rPr>
          <w:rFonts w:eastAsia="SimSun"/>
        </w:rPr>
        <w:t xml:space="preserve"> при проведении </w:t>
      </w:r>
      <w:r w:rsidRPr="006A31EC">
        <w:rPr>
          <w:rFonts w:eastAsia="SimSun"/>
          <w:b/>
          <w:u w:val="single"/>
        </w:rPr>
        <w:t>аллоТГСК в режиме пониженной интенсивности</w:t>
      </w:r>
      <w:r w:rsidRPr="00C07B2E">
        <w:rPr>
          <w:rFonts w:eastAsia="SimSun"/>
        </w:rPr>
        <w:t xml:space="preserve"> указаны в Таблице </w:t>
      </w:r>
      <w:r>
        <w:rPr>
          <w:rFonts w:eastAsia="SimSun"/>
        </w:rPr>
        <w:t>5.</w:t>
      </w:r>
      <w:r w:rsidRPr="00C07B2E">
        <w:rPr>
          <w:rFonts w:eastAsia="SimSun"/>
        </w:rPr>
        <w:t>1.2</w:t>
      </w:r>
    </w:p>
    <w:p w14:paraId="4B4FE154" w14:textId="77777777" w:rsidR="00BE7F89" w:rsidRPr="00C07B2E" w:rsidRDefault="00BE7F89" w:rsidP="00BE7F89">
      <w:pPr>
        <w:rPr>
          <w:rFonts w:eastAsia="SimSun"/>
        </w:rPr>
        <w:sectPr w:rsidR="00BE7F89" w:rsidRPr="00C07B2E" w:rsidSect="00980822">
          <w:footerReference w:type="default" r:id="rId8"/>
          <w:type w:val="continuous"/>
          <w:pgSz w:w="11907" w:h="16839" w:code="9"/>
          <w:pgMar w:top="1134" w:right="850" w:bottom="1134" w:left="1701" w:header="709" w:footer="567" w:gutter="0"/>
          <w:cols w:space="708"/>
          <w:docGrid w:linePitch="360"/>
        </w:sectPr>
      </w:pPr>
    </w:p>
    <w:p w14:paraId="52842902" w14:textId="77777777" w:rsidR="00BE7F89" w:rsidRPr="00C07B2E" w:rsidRDefault="00BE7F89" w:rsidP="00BE7F89">
      <w:pPr>
        <w:rPr>
          <w:rFonts w:eastAsia="SimSun"/>
        </w:rPr>
      </w:pPr>
      <w:r w:rsidRPr="00C07B2E">
        <w:rPr>
          <w:rFonts w:eastAsia="SimSun"/>
        </w:rPr>
        <w:t xml:space="preserve">Таблица </w:t>
      </w:r>
      <w:r>
        <w:rPr>
          <w:rFonts w:eastAsia="SimSun"/>
        </w:rPr>
        <w:t>5.</w:t>
      </w:r>
      <w:r w:rsidRPr="00C07B2E">
        <w:rPr>
          <w:rFonts w:eastAsia="SimSun"/>
        </w:rPr>
        <w:t xml:space="preserve">1.2 Схемы и режимы применения препаратов для кондиционирования и профилактики РТПХ со ссылками на </w:t>
      </w:r>
      <w:r>
        <w:rPr>
          <w:rFonts w:eastAsia="SimSun"/>
        </w:rPr>
        <w:t>таблицы с описанием</w:t>
      </w:r>
    </w:p>
    <w:p w14:paraId="3326153C" w14:textId="77777777" w:rsidR="00BE7F89" w:rsidRPr="00C07B2E" w:rsidRDefault="00BE7F89" w:rsidP="00BE7F89">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08"/>
        <w:gridCol w:w="742"/>
        <w:gridCol w:w="1136"/>
        <w:gridCol w:w="959"/>
        <w:gridCol w:w="931"/>
        <w:gridCol w:w="959"/>
        <w:gridCol w:w="839"/>
        <w:gridCol w:w="839"/>
        <w:gridCol w:w="959"/>
        <w:gridCol w:w="960"/>
        <w:gridCol w:w="1143"/>
        <w:gridCol w:w="1260"/>
        <w:gridCol w:w="960"/>
        <w:gridCol w:w="949"/>
      </w:tblGrid>
      <w:tr w:rsidR="00BE7F89" w:rsidRPr="006A31EC" w14:paraId="0CEC2798" w14:textId="77777777" w:rsidTr="005A428D">
        <w:trPr>
          <w:cantSplit/>
          <w:trHeight w:val="381"/>
        </w:trPr>
        <w:tc>
          <w:tcPr>
            <w:tcW w:w="1237" w:type="pct"/>
            <w:gridSpan w:val="4"/>
            <w:vMerge w:val="restart"/>
            <w:shd w:val="clear" w:color="auto" w:fill="auto"/>
            <w:vAlign w:val="center"/>
          </w:tcPr>
          <w:p w14:paraId="57095AAA" w14:textId="77777777" w:rsidR="00BE7F89" w:rsidRPr="006A31EC" w:rsidRDefault="00BE7F89" w:rsidP="005A428D">
            <w:pPr>
              <w:rPr>
                <w:rFonts w:eastAsia="SimSun"/>
                <w:sz w:val="22"/>
              </w:rPr>
            </w:pPr>
            <w:r w:rsidRPr="006A31EC">
              <w:rPr>
                <w:rFonts w:eastAsia="SimSun"/>
                <w:sz w:val="22"/>
              </w:rPr>
              <w:t>Профилактика РТПХ</w:t>
            </w:r>
          </w:p>
        </w:tc>
        <w:tc>
          <w:tcPr>
            <w:tcW w:w="3763" w:type="pct"/>
            <w:gridSpan w:val="11"/>
          </w:tcPr>
          <w:p w14:paraId="1CE80A9F" w14:textId="77777777" w:rsidR="00BE7F89" w:rsidRPr="006A31EC" w:rsidRDefault="00BE7F89" w:rsidP="005A428D">
            <w:pPr>
              <w:rPr>
                <w:rFonts w:eastAsia="SimSun"/>
                <w:sz w:val="22"/>
              </w:rPr>
            </w:pPr>
            <w:r w:rsidRPr="006A31EC">
              <w:rPr>
                <w:rFonts w:eastAsia="SimSun"/>
                <w:sz w:val="22"/>
              </w:rPr>
              <w:t>Режим кондиционирования</w:t>
            </w:r>
          </w:p>
        </w:tc>
      </w:tr>
      <w:tr w:rsidR="00BE7F89" w:rsidRPr="006A31EC" w14:paraId="3A30861A" w14:textId="77777777" w:rsidTr="005A428D">
        <w:trPr>
          <w:cantSplit/>
          <w:trHeight w:val="400"/>
        </w:trPr>
        <w:tc>
          <w:tcPr>
            <w:tcW w:w="1237" w:type="pct"/>
            <w:gridSpan w:val="4"/>
            <w:vMerge/>
            <w:shd w:val="clear" w:color="auto" w:fill="auto"/>
            <w:vAlign w:val="center"/>
          </w:tcPr>
          <w:p w14:paraId="5AB79DAD" w14:textId="77777777" w:rsidR="00BE7F89" w:rsidRPr="006A31EC" w:rsidRDefault="00BE7F89" w:rsidP="005A428D">
            <w:pPr>
              <w:rPr>
                <w:rFonts w:eastAsia="SimSun"/>
                <w:sz w:val="22"/>
                <w:lang w:val="en-US"/>
              </w:rPr>
            </w:pPr>
          </w:p>
        </w:tc>
        <w:tc>
          <w:tcPr>
            <w:tcW w:w="337" w:type="pct"/>
            <w:shd w:val="clear" w:color="auto" w:fill="D9D9D9"/>
            <w:vAlign w:val="center"/>
          </w:tcPr>
          <w:p w14:paraId="5128DD2C" w14:textId="77777777" w:rsidR="00BE7F89" w:rsidRPr="006A31EC" w:rsidRDefault="00BE7F89" w:rsidP="005A428D">
            <w:pPr>
              <w:rPr>
                <w:rFonts w:eastAsia="SimSun"/>
                <w:sz w:val="22"/>
              </w:rPr>
            </w:pPr>
            <w:r w:rsidRPr="006A31EC">
              <w:rPr>
                <w:rFonts w:eastAsia="SimSun"/>
                <w:sz w:val="22"/>
                <w:lang w:val="en-US"/>
              </w:rPr>
              <w:t>Flu</w:t>
            </w:r>
            <w:r w:rsidRPr="006A31EC">
              <w:rPr>
                <w:rFonts w:eastAsia="SimSun"/>
                <w:sz w:val="22"/>
              </w:rPr>
              <w:t>90</w:t>
            </w:r>
          </w:p>
        </w:tc>
        <w:tc>
          <w:tcPr>
            <w:tcW w:w="312" w:type="pct"/>
            <w:shd w:val="clear" w:color="auto" w:fill="D9D9D9"/>
            <w:vAlign w:val="center"/>
          </w:tcPr>
          <w:p w14:paraId="27B9CD55" w14:textId="77777777" w:rsidR="00BE7F89" w:rsidRPr="006A31EC" w:rsidRDefault="00BE7F89" w:rsidP="005A428D">
            <w:pPr>
              <w:rPr>
                <w:rFonts w:eastAsia="SimSun"/>
                <w:sz w:val="22"/>
                <w:lang w:val="en-US"/>
              </w:rPr>
            </w:pPr>
            <w:r w:rsidRPr="006A31EC">
              <w:rPr>
                <w:rFonts w:eastAsia="SimSun"/>
                <w:sz w:val="22"/>
                <w:lang w:val="en-US"/>
              </w:rPr>
              <w:t>Flu10</w:t>
            </w:r>
            <w:r w:rsidRPr="006A31EC">
              <w:rPr>
                <w:rFonts w:eastAsia="SimSun"/>
                <w:sz w:val="22"/>
              </w:rPr>
              <w:t>0</w:t>
            </w:r>
          </w:p>
        </w:tc>
        <w:tc>
          <w:tcPr>
            <w:tcW w:w="337" w:type="pct"/>
            <w:shd w:val="clear" w:color="auto" w:fill="D9D9D9"/>
            <w:vAlign w:val="center"/>
          </w:tcPr>
          <w:p w14:paraId="1E070262" w14:textId="77777777" w:rsidR="00BE7F89" w:rsidRPr="006A31EC" w:rsidRDefault="00BE7F89" w:rsidP="005A428D">
            <w:pPr>
              <w:rPr>
                <w:rFonts w:eastAsia="SimSun"/>
                <w:sz w:val="22"/>
              </w:rPr>
            </w:pPr>
            <w:r w:rsidRPr="006A31EC">
              <w:rPr>
                <w:rFonts w:eastAsia="SimSun"/>
                <w:sz w:val="22"/>
                <w:lang w:val="en-US"/>
              </w:rPr>
              <w:t>Flu1</w:t>
            </w:r>
            <w:r w:rsidRPr="006A31EC">
              <w:rPr>
                <w:rFonts w:eastAsia="SimSun"/>
                <w:sz w:val="22"/>
              </w:rPr>
              <w:t>20</w:t>
            </w:r>
          </w:p>
        </w:tc>
        <w:tc>
          <w:tcPr>
            <w:tcW w:w="1264" w:type="pct"/>
            <w:gridSpan w:val="4"/>
            <w:shd w:val="clear" w:color="auto" w:fill="D9D9D9"/>
            <w:vAlign w:val="center"/>
          </w:tcPr>
          <w:p w14:paraId="0DF32E8A" w14:textId="77777777" w:rsidR="00BE7F89" w:rsidRPr="006A31EC" w:rsidRDefault="00BE7F89" w:rsidP="005A428D">
            <w:pPr>
              <w:rPr>
                <w:rFonts w:eastAsia="SimSun"/>
                <w:sz w:val="22"/>
              </w:rPr>
            </w:pPr>
            <w:r w:rsidRPr="006A31EC">
              <w:rPr>
                <w:rFonts w:eastAsia="SimSun"/>
                <w:sz w:val="22"/>
                <w:lang w:val="en-US"/>
              </w:rPr>
              <w:t>Flu150</w:t>
            </w:r>
          </w:p>
        </w:tc>
        <w:tc>
          <w:tcPr>
            <w:tcW w:w="1515" w:type="pct"/>
            <w:gridSpan w:val="4"/>
            <w:shd w:val="clear" w:color="auto" w:fill="D9D9D9"/>
            <w:vAlign w:val="center"/>
          </w:tcPr>
          <w:p w14:paraId="454D1BCE" w14:textId="77777777" w:rsidR="00BE7F89" w:rsidRPr="006A31EC" w:rsidRDefault="00BE7F89" w:rsidP="005A428D">
            <w:pPr>
              <w:rPr>
                <w:rFonts w:eastAsia="SimSun"/>
                <w:sz w:val="22"/>
                <w:lang w:val="en-US"/>
              </w:rPr>
            </w:pPr>
            <w:r w:rsidRPr="006A31EC">
              <w:rPr>
                <w:rFonts w:eastAsia="SimSun"/>
                <w:sz w:val="22"/>
                <w:lang w:val="en-US"/>
              </w:rPr>
              <w:t>Flu180</w:t>
            </w:r>
          </w:p>
        </w:tc>
      </w:tr>
      <w:tr w:rsidR="00BE7F89" w:rsidRPr="006A31EC" w14:paraId="549827DD" w14:textId="77777777" w:rsidTr="005A428D">
        <w:trPr>
          <w:cantSplit/>
          <w:trHeight w:val="351"/>
        </w:trPr>
        <w:tc>
          <w:tcPr>
            <w:tcW w:w="1237" w:type="pct"/>
            <w:gridSpan w:val="4"/>
            <w:vMerge/>
            <w:shd w:val="clear" w:color="auto" w:fill="auto"/>
            <w:vAlign w:val="center"/>
          </w:tcPr>
          <w:p w14:paraId="72956C3C" w14:textId="77777777" w:rsidR="00BE7F89" w:rsidRPr="006A31EC" w:rsidRDefault="00BE7F89" w:rsidP="005A428D">
            <w:pPr>
              <w:rPr>
                <w:rFonts w:eastAsia="SimSun"/>
                <w:sz w:val="22"/>
                <w:lang w:val="en-US"/>
              </w:rPr>
            </w:pPr>
          </w:p>
        </w:tc>
        <w:tc>
          <w:tcPr>
            <w:tcW w:w="337" w:type="pct"/>
            <w:shd w:val="clear" w:color="auto" w:fill="D9D9D9"/>
            <w:vAlign w:val="center"/>
          </w:tcPr>
          <w:p w14:paraId="69661D00" w14:textId="77777777" w:rsidR="00BE7F89" w:rsidRPr="006A31EC" w:rsidRDefault="00BE7F89" w:rsidP="005A428D">
            <w:pPr>
              <w:rPr>
                <w:rFonts w:eastAsia="SimSun"/>
                <w:sz w:val="22"/>
                <w:lang w:val="en-US"/>
              </w:rPr>
            </w:pPr>
            <w:r w:rsidRPr="006A31EC">
              <w:rPr>
                <w:rFonts w:eastAsia="SimSun"/>
                <w:sz w:val="22"/>
                <w:lang w:val="en-US"/>
              </w:rPr>
              <w:t>Benda</w:t>
            </w:r>
          </w:p>
        </w:tc>
        <w:tc>
          <w:tcPr>
            <w:tcW w:w="312" w:type="pct"/>
            <w:shd w:val="clear" w:color="auto" w:fill="D9D9D9"/>
            <w:vAlign w:val="center"/>
          </w:tcPr>
          <w:p w14:paraId="0D7375B9" w14:textId="77777777" w:rsidR="00BE7F89" w:rsidRPr="006A31EC" w:rsidRDefault="00BE7F89" w:rsidP="005A428D">
            <w:pPr>
              <w:rPr>
                <w:rFonts w:eastAsia="SimSun"/>
                <w:sz w:val="22"/>
                <w:lang w:val="en-US"/>
              </w:rPr>
            </w:pPr>
            <w:r w:rsidRPr="006A31EC">
              <w:rPr>
                <w:rFonts w:eastAsia="SimSun"/>
                <w:sz w:val="22"/>
                <w:lang w:val="en-US"/>
              </w:rPr>
              <w:t>Cy100</w:t>
            </w:r>
          </w:p>
        </w:tc>
        <w:tc>
          <w:tcPr>
            <w:tcW w:w="337" w:type="pct"/>
            <w:shd w:val="clear" w:color="auto" w:fill="D9D9D9"/>
            <w:vAlign w:val="center"/>
          </w:tcPr>
          <w:p w14:paraId="21780330" w14:textId="77777777" w:rsidR="00BE7F89" w:rsidRPr="006A31EC" w:rsidRDefault="00BE7F89" w:rsidP="005A428D">
            <w:pPr>
              <w:rPr>
                <w:rFonts w:eastAsia="SimSun"/>
                <w:sz w:val="22"/>
                <w:lang w:val="en-US"/>
              </w:rPr>
            </w:pPr>
            <w:r w:rsidRPr="006A31EC">
              <w:rPr>
                <w:rFonts w:eastAsia="SimSun"/>
                <w:sz w:val="22"/>
                <w:lang w:val="en-US"/>
              </w:rPr>
              <w:t>Cy2000</w:t>
            </w:r>
          </w:p>
        </w:tc>
        <w:tc>
          <w:tcPr>
            <w:tcW w:w="590" w:type="pct"/>
            <w:gridSpan w:val="2"/>
            <w:shd w:val="clear" w:color="auto" w:fill="D9D9D9"/>
            <w:vAlign w:val="center"/>
          </w:tcPr>
          <w:p w14:paraId="141F1F22" w14:textId="77777777" w:rsidR="00BE7F89" w:rsidRPr="006A31EC" w:rsidRDefault="00BE7F89" w:rsidP="005A428D">
            <w:pPr>
              <w:rPr>
                <w:rFonts w:eastAsia="SimSun"/>
                <w:sz w:val="22"/>
                <w:lang w:val="en-US"/>
              </w:rPr>
            </w:pPr>
            <w:r w:rsidRPr="006A31EC">
              <w:rPr>
                <w:rFonts w:eastAsia="SimSun"/>
                <w:sz w:val="22"/>
                <w:lang w:val="en-US"/>
              </w:rPr>
              <w:t>Bu8</w:t>
            </w:r>
          </w:p>
        </w:tc>
        <w:tc>
          <w:tcPr>
            <w:tcW w:w="337" w:type="pct"/>
            <w:shd w:val="clear" w:color="auto" w:fill="D9D9D9"/>
            <w:vAlign w:val="center"/>
          </w:tcPr>
          <w:p w14:paraId="08FA14E6" w14:textId="77777777" w:rsidR="00BE7F89" w:rsidRPr="006A31EC" w:rsidRDefault="00BE7F89" w:rsidP="005A428D">
            <w:pPr>
              <w:rPr>
                <w:rFonts w:eastAsia="SimSun"/>
                <w:sz w:val="22"/>
                <w:lang w:val="en-US"/>
              </w:rPr>
            </w:pPr>
            <w:r w:rsidRPr="006A31EC">
              <w:rPr>
                <w:rFonts w:eastAsia="SimSun"/>
                <w:sz w:val="22"/>
                <w:lang w:val="en-US"/>
              </w:rPr>
              <w:t>-</w:t>
            </w:r>
          </w:p>
        </w:tc>
        <w:tc>
          <w:tcPr>
            <w:tcW w:w="337" w:type="pct"/>
            <w:shd w:val="clear" w:color="auto" w:fill="D9D9D9"/>
            <w:vAlign w:val="center"/>
          </w:tcPr>
          <w:p w14:paraId="7D008235" w14:textId="77777777" w:rsidR="00BE7F89" w:rsidRPr="006A31EC" w:rsidRDefault="00BE7F89" w:rsidP="005A428D">
            <w:pPr>
              <w:rPr>
                <w:rFonts w:eastAsia="SimSun"/>
                <w:sz w:val="22"/>
                <w:lang w:val="en-US"/>
              </w:rPr>
            </w:pPr>
            <w:r w:rsidRPr="006A31EC">
              <w:rPr>
                <w:rFonts w:eastAsia="SimSun"/>
                <w:sz w:val="22"/>
                <w:lang w:val="en-US"/>
              </w:rPr>
              <w:t>-</w:t>
            </w:r>
          </w:p>
        </w:tc>
        <w:tc>
          <w:tcPr>
            <w:tcW w:w="401" w:type="pct"/>
            <w:shd w:val="clear" w:color="auto" w:fill="D9D9D9"/>
            <w:vAlign w:val="center"/>
          </w:tcPr>
          <w:p w14:paraId="17903679" w14:textId="77777777" w:rsidR="00BE7F89" w:rsidRPr="006A31EC" w:rsidRDefault="00BE7F89" w:rsidP="005A428D">
            <w:pPr>
              <w:rPr>
                <w:rFonts w:eastAsia="SimSun"/>
                <w:sz w:val="22"/>
                <w:lang w:val="en-US"/>
              </w:rPr>
            </w:pPr>
            <w:r w:rsidRPr="006A31EC">
              <w:rPr>
                <w:rFonts w:eastAsia="SimSun"/>
                <w:sz w:val="22"/>
                <w:lang w:val="en-US"/>
              </w:rPr>
              <w:t>Bu8</w:t>
            </w:r>
          </w:p>
        </w:tc>
        <w:tc>
          <w:tcPr>
            <w:tcW w:w="442" w:type="pct"/>
            <w:shd w:val="clear" w:color="auto" w:fill="D9D9D9"/>
            <w:vAlign w:val="center"/>
          </w:tcPr>
          <w:p w14:paraId="12868651" w14:textId="77777777" w:rsidR="00BE7F89" w:rsidRPr="006A31EC" w:rsidRDefault="00BE7F89" w:rsidP="005A428D">
            <w:pPr>
              <w:rPr>
                <w:rFonts w:eastAsia="SimSun"/>
                <w:sz w:val="22"/>
                <w:lang w:val="en-US"/>
              </w:rPr>
            </w:pPr>
            <w:r w:rsidRPr="006A31EC">
              <w:rPr>
                <w:rFonts w:eastAsia="SimSun"/>
                <w:sz w:val="22"/>
                <w:lang w:val="en-US"/>
              </w:rPr>
              <w:t>Bu10</w:t>
            </w:r>
          </w:p>
        </w:tc>
        <w:tc>
          <w:tcPr>
            <w:tcW w:w="337" w:type="pct"/>
            <w:shd w:val="clear" w:color="auto" w:fill="D9D9D9"/>
            <w:vAlign w:val="center"/>
          </w:tcPr>
          <w:p w14:paraId="4DDB9A68" w14:textId="77777777" w:rsidR="00BE7F89" w:rsidRPr="006A31EC" w:rsidRDefault="00BE7F89" w:rsidP="005A428D">
            <w:pPr>
              <w:rPr>
                <w:rFonts w:eastAsia="SimSun"/>
                <w:sz w:val="22"/>
                <w:lang w:val="en-US"/>
              </w:rPr>
            </w:pPr>
            <w:r w:rsidRPr="006A31EC">
              <w:rPr>
                <w:rFonts w:eastAsia="SimSun"/>
                <w:sz w:val="22"/>
                <w:lang w:val="en-US"/>
              </w:rPr>
              <w:t>Cy</w:t>
            </w:r>
            <w:r w:rsidRPr="006A31EC">
              <w:rPr>
                <w:rFonts w:eastAsia="SimSun"/>
                <w:sz w:val="22"/>
              </w:rPr>
              <w:t>12</w:t>
            </w:r>
            <w:r w:rsidRPr="006A31EC">
              <w:rPr>
                <w:rFonts w:eastAsia="SimSun"/>
                <w:sz w:val="22"/>
                <w:lang w:val="en-US"/>
              </w:rPr>
              <w:t>00</w:t>
            </w:r>
          </w:p>
        </w:tc>
        <w:tc>
          <w:tcPr>
            <w:tcW w:w="337" w:type="pct"/>
            <w:shd w:val="clear" w:color="auto" w:fill="D9D9D9"/>
            <w:vAlign w:val="center"/>
          </w:tcPr>
          <w:p w14:paraId="7CBF5E78" w14:textId="77777777" w:rsidR="00BE7F89" w:rsidRPr="006A31EC" w:rsidRDefault="00BE7F89" w:rsidP="005A428D">
            <w:pPr>
              <w:rPr>
                <w:rFonts w:eastAsia="SimSun"/>
                <w:sz w:val="22"/>
                <w:lang w:val="en-US"/>
              </w:rPr>
            </w:pPr>
            <w:r w:rsidRPr="006A31EC">
              <w:rPr>
                <w:rFonts w:eastAsia="SimSun"/>
                <w:sz w:val="22"/>
                <w:lang w:val="en-US"/>
              </w:rPr>
              <w:t>Mel100</w:t>
            </w:r>
          </w:p>
        </w:tc>
      </w:tr>
      <w:tr w:rsidR="00BE7F89" w:rsidRPr="006A31EC" w14:paraId="28324C82" w14:textId="77777777" w:rsidTr="005A428D">
        <w:trPr>
          <w:cantSplit/>
          <w:trHeight w:val="354"/>
        </w:trPr>
        <w:tc>
          <w:tcPr>
            <w:tcW w:w="1237" w:type="pct"/>
            <w:gridSpan w:val="4"/>
            <w:vMerge/>
            <w:shd w:val="clear" w:color="auto" w:fill="auto"/>
            <w:vAlign w:val="center"/>
          </w:tcPr>
          <w:p w14:paraId="6C3E364E" w14:textId="77777777" w:rsidR="00BE7F89" w:rsidRPr="006A31EC" w:rsidRDefault="00BE7F89" w:rsidP="005A428D">
            <w:pPr>
              <w:rPr>
                <w:rFonts w:eastAsia="SimSun"/>
                <w:sz w:val="22"/>
                <w:lang w:val="en-US"/>
              </w:rPr>
            </w:pPr>
          </w:p>
        </w:tc>
        <w:tc>
          <w:tcPr>
            <w:tcW w:w="337" w:type="pct"/>
            <w:shd w:val="clear" w:color="auto" w:fill="D9D9D9"/>
            <w:vAlign w:val="center"/>
          </w:tcPr>
          <w:p w14:paraId="29B63331" w14:textId="77777777" w:rsidR="00BE7F89" w:rsidRPr="006A31EC" w:rsidRDefault="00BE7F89" w:rsidP="005A428D">
            <w:pPr>
              <w:rPr>
                <w:rFonts w:eastAsia="SimSun"/>
                <w:sz w:val="22"/>
                <w:lang w:val="en-US"/>
              </w:rPr>
            </w:pPr>
            <w:r w:rsidRPr="006A31EC">
              <w:rPr>
                <w:rFonts w:eastAsia="SimSun"/>
                <w:sz w:val="22"/>
                <w:lang w:val="en-US"/>
              </w:rPr>
              <w:t>-</w:t>
            </w:r>
          </w:p>
        </w:tc>
        <w:tc>
          <w:tcPr>
            <w:tcW w:w="312" w:type="pct"/>
            <w:shd w:val="clear" w:color="auto" w:fill="D9D9D9"/>
          </w:tcPr>
          <w:p w14:paraId="4DD6A528" w14:textId="77777777" w:rsidR="00BE7F89" w:rsidRPr="006A31EC" w:rsidRDefault="00BE7F89" w:rsidP="005A428D">
            <w:pPr>
              <w:rPr>
                <w:rFonts w:eastAsia="SimSun"/>
                <w:sz w:val="22"/>
                <w:lang w:val="en-US"/>
              </w:rPr>
            </w:pPr>
          </w:p>
        </w:tc>
        <w:tc>
          <w:tcPr>
            <w:tcW w:w="337" w:type="pct"/>
            <w:shd w:val="clear" w:color="auto" w:fill="D9D9D9"/>
            <w:vAlign w:val="center"/>
          </w:tcPr>
          <w:p w14:paraId="3E8ADEE0" w14:textId="77777777" w:rsidR="00BE7F89" w:rsidRPr="006A31EC" w:rsidRDefault="00BE7F89" w:rsidP="005A428D">
            <w:pPr>
              <w:rPr>
                <w:rFonts w:eastAsia="SimSun"/>
                <w:sz w:val="22"/>
                <w:lang w:val="en-US"/>
              </w:rPr>
            </w:pPr>
            <w:r w:rsidRPr="006A31EC">
              <w:rPr>
                <w:rFonts w:eastAsia="SimSun"/>
                <w:sz w:val="22"/>
                <w:lang w:val="en-US"/>
              </w:rPr>
              <w:t>Mel 140</w:t>
            </w:r>
          </w:p>
        </w:tc>
        <w:tc>
          <w:tcPr>
            <w:tcW w:w="295" w:type="pct"/>
            <w:shd w:val="clear" w:color="auto" w:fill="D9D9D9"/>
          </w:tcPr>
          <w:p w14:paraId="70950E10" w14:textId="77777777" w:rsidR="00BE7F89" w:rsidRPr="006A31EC" w:rsidRDefault="00BE7F89" w:rsidP="005A428D">
            <w:pPr>
              <w:rPr>
                <w:rFonts w:eastAsia="SimSun"/>
                <w:sz w:val="22"/>
                <w:lang w:val="en-US"/>
              </w:rPr>
            </w:pPr>
            <w:r w:rsidRPr="006A31EC">
              <w:rPr>
                <w:rFonts w:eastAsia="SimSun"/>
                <w:sz w:val="22"/>
                <w:lang w:val="en-US"/>
              </w:rPr>
              <w:t>-</w:t>
            </w:r>
          </w:p>
        </w:tc>
        <w:tc>
          <w:tcPr>
            <w:tcW w:w="295" w:type="pct"/>
            <w:shd w:val="clear" w:color="auto" w:fill="D9D9D9"/>
            <w:vAlign w:val="center"/>
          </w:tcPr>
          <w:p w14:paraId="21498216" w14:textId="77777777" w:rsidR="00BE7F89" w:rsidRPr="006A31EC" w:rsidRDefault="00BE7F89" w:rsidP="005A428D">
            <w:pPr>
              <w:rPr>
                <w:rFonts w:eastAsia="SimSun"/>
                <w:sz w:val="22"/>
                <w:lang w:val="en-US"/>
              </w:rPr>
            </w:pPr>
            <w:r w:rsidRPr="006A31EC">
              <w:rPr>
                <w:rFonts w:eastAsia="SimSun"/>
                <w:sz w:val="22"/>
                <w:lang w:val="en-US"/>
              </w:rPr>
              <w:t>Thio</w:t>
            </w:r>
          </w:p>
        </w:tc>
        <w:tc>
          <w:tcPr>
            <w:tcW w:w="337" w:type="pct"/>
            <w:shd w:val="clear" w:color="auto" w:fill="D9D9D9"/>
            <w:vAlign w:val="center"/>
          </w:tcPr>
          <w:p w14:paraId="1C104CA7" w14:textId="77777777" w:rsidR="00BE7F89" w:rsidRPr="006A31EC" w:rsidRDefault="00BE7F89" w:rsidP="005A428D">
            <w:pPr>
              <w:rPr>
                <w:rFonts w:eastAsia="SimSun"/>
                <w:sz w:val="22"/>
                <w:lang w:val="en-US"/>
              </w:rPr>
            </w:pPr>
            <w:r w:rsidRPr="006A31EC">
              <w:rPr>
                <w:rFonts w:eastAsia="SimSun"/>
                <w:sz w:val="22"/>
                <w:lang w:val="en-US"/>
              </w:rPr>
              <w:t>Treo36</w:t>
            </w:r>
          </w:p>
        </w:tc>
        <w:tc>
          <w:tcPr>
            <w:tcW w:w="337" w:type="pct"/>
            <w:shd w:val="clear" w:color="auto" w:fill="D9D9D9"/>
            <w:vAlign w:val="center"/>
          </w:tcPr>
          <w:p w14:paraId="38596129" w14:textId="77777777" w:rsidR="00BE7F89" w:rsidRPr="006A31EC" w:rsidRDefault="00BE7F89" w:rsidP="005A428D">
            <w:pPr>
              <w:rPr>
                <w:rFonts w:eastAsia="SimSun"/>
                <w:sz w:val="22"/>
                <w:lang w:val="en-US"/>
              </w:rPr>
            </w:pPr>
            <w:r w:rsidRPr="006A31EC">
              <w:rPr>
                <w:rFonts w:eastAsia="SimSun"/>
                <w:sz w:val="22"/>
                <w:lang w:val="en-US"/>
              </w:rPr>
              <w:t>Thio</w:t>
            </w:r>
          </w:p>
        </w:tc>
        <w:tc>
          <w:tcPr>
            <w:tcW w:w="401" w:type="pct"/>
            <w:shd w:val="clear" w:color="auto" w:fill="D9D9D9"/>
            <w:vAlign w:val="center"/>
          </w:tcPr>
          <w:p w14:paraId="57F1281A" w14:textId="77777777" w:rsidR="00BE7F89" w:rsidRPr="006A31EC" w:rsidRDefault="00BE7F89" w:rsidP="005A428D">
            <w:pPr>
              <w:rPr>
                <w:rFonts w:eastAsia="SimSun"/>
                <w:sz w:val="22"/>
                <w:lang w:val="en-US"/>
              </w:rPr>
            </w:pPr>
            <w:r w:rsidRPr="006A31EC">
              <w:rPr>
                <w:rFonts w:eastAsia="SimSun"/>
                <w:sz w:val="22"/>
                <w:lang w:val="en-US"/>
              </w:rPr>
              <w:t>-</w:t>
            </w:r>
          </w:p>
        </w:tc>
        <w:tc>
          <w:tcPr>
            <w:tcW w:w="442" w:type="pct"/>
            <w:shd w:val="clear" w:color="auto" w:fill="D9D9D9"/>
            <w:vAlign w:val="center"/>
          </w:tcPr>
          <w:p w14:paraId="599C4EDA" w14:textId="77777777" w:rsidR="00BE7F89" w:rsidRPr="006A31EC" w:rsidRDefault="00BE7F89" w:rsidP="005A428D">
            <w:pPr>
              <w:rPr>
                <w:rFonts w:eastAsia="SimSun"/>
                <w:sz w:val="22"/>
                <w:lang w:val="en-US"/>
              </w:rPr>
            </w:pPr>
            <w:r w:rsidRPr="006A31EC">
              <w:rPr>
                <w:rFonts w:eastAsia="SimSun"/>
                <w:sz w:val="22"/>
                <w:lang w:val="en-US"/>
              </w:rPr>
              <w:t>-</w:t>
            </w:r>
          </w:p>
        </w:tc>
        <w:tc>
          <w:tcPr>
            <w:tcW w:w="337" w:type="pct"/>
            <w:shd w:val="clear" w:color="auto" w:fill="D9D9D9"/>
            <w:vAlign w:val="center"/>
          </w:tcPr>
          <w:p w14:paraId="5C89E021" w14:textId="77777777" w:rsidR="00BE7F89" w:rsidRPr="006A31EC" w:rsidRDefault="00BE7F89" w:rsidP="005A428D">
            <w:pPr>
              <w:rPr>
                <w:rFonts w:eastAsia="SimSun"/>
                <w:sz w:val="22"/>
                <w:lang w:val="en-US"/>
              </w:rPr>
            </w:pPr>
            <w:r w:rsidRPr="006A31EC">
              <w:rPr>
                <w:rFonts w:eastAsia="SimSun"/>
                <w:sz w:val="22"/>
                <w:lang w:val="en-US"/>
              </w:rPr>
              <w:t>-</w:t>
            </w:r>
          </w:p>
        </w:tc>
        <w:tc>
          <w:tcPr>
            <w:tcW w:w="337" w:type="pct"/>
            <w:shd w:val="clear" w:color="auto" w:fill="D9D9D9"/>
          </w:tcPr>
          <w:p w14:paraId="30683126" w14:textId="77777777" w:rsidR="00BE7F89" w:rsidRPr="006A31EC" w:rsidRDefault="00BE7F89" w:rsidP="005A428D">
            <w:pPr>
              <w:rPr>
                <w:rFonts w:eastAsia="SimSun"/>
                <w:sz w:val="22"/>
                <w:lang w:val="en-US"/>
              </w:rPr>
            </w:pPr>
          </w:p>
        </w:tc>
      </w:tr>
      <w:tr w:rsidR="00BE7F89" w:rsidRPr="006A31EC" w14:paraId="7EFED4D7" w14:textId="77777777" w:rsidTr="005A428D">
        <w:trPr>
          <w:cantSplit/>
          <w:trHeight w:val="624"/>
        </w:trPr>
        <w:tc>
          <w:tcPr>
            <w:tcW w:w="293" w:type="pct"/>
            <w:vMerge w:val="restart"/>
            <w:shd w:val="clear" w:color="auto" w:fill="D9D9D9"/>
            <w:vAlign w:val="center"/>
          </w:tcPr>
          <w:p w14:paraId="2CADD891" w14:textId="77777777" w:rsidR="00BE7F89" w:rsidRPr="006A31EC" w:rsidRDefault="00BE7F89" w:rsidP="005A428D">
            <w:pPr>
              <w:rPr>
                <w:rFonts w:eastAsia="SimSun"/>
                <w:sz w:val="22"/>
                <w:lang w:val="en-US"/>
              </w:rPr>
            </w:pPr>
            <w:r w:rsidRPr="006A31EC">
              <w:rPr>
                <w:rFonts w:eastAsia="SimSun"/>
                <w:sz w:val="22"/>
                <w:lang w:val="en-US"/>
              </w:rPr>
              <w:t>hATG</w:t>
            </w:r>
          </w:p>
        </w:tc>
        <w:tc>
          <w:tcPr>
            <w:tcW w:w="284" w:type="pct"/>
            <w:vMerge w:val="restart"/>
            <w:shd w:val="clear" w:color="auto" w:fill="D9D9D9"/>
            <w:vAlign w:val="center"/>
          </w:tcPr>
          <w:p w14:paraId="2459F524" w14:textId="77777777" w:rsidR="00BE7F89" w:rsidRPr="006A31EC" w:rsidRDefault="00BE7F89" w:rsidP="005A428D">
            <w:pPr>
              <w:rPr>
                <w:rFonts w:eastAsia="SimSun"/>
                <w:sz w:val="22"/>
                <w:lang w:val="en-US"/>
              </w:rPr>
            </w:pPr>
            <w:r w:rsidRPr="006A31EC">
              <w:rPr>
                <w:rFonts w:eastAsia="SimSun"/>
                <w:sz w:val="22"/>
                <w:lang w:val="en-US"/>
              </w:rPr>
              <w:t>CSA</w:t>
            </w:r>
          </w:p>
        </w:tc>
        <w:tc>
          <w:tcPr>
            <w:tcW w:w="261" w:type="pct"/>
            <w:vMerge w:val="restart"/>
            <w:shd w:val="clear" w:color="auto" w:fill="D9D9D9"/>
            <w:vAlign w:val="center"/>
          </w:tcPr>
          <w:p w14:paraId="2A1E1DFA" w14:textId="77777777" w:rsidR="00BE7F89" w:rsidRPr="006A31EC" w:rsidRDefault="00BE7F89" w:rsidP="005A428D">
            <w:pPr>
              <w:rPr>
                <w:rFonts w:eastAsia="SimSun"/>
                <w:sz w:val="22"/>
                <w:lang w:val="en-US"/>
              </w:rPr>
            </w:pPr>
            <w:r w:rsidRPr="006A31EC">
              <w:rPr>
                <w:rFonts w:eastAsia="SimSun"/>
                <w:sz w:val="22"/>
                <w:lang w:val="en-US"/>
              </w:rPr>
              <w:t>MTX</w:t>
            </w:r>
          </w:p>
        </w:tc>
        <w:tc>
          <w:tcPr>
            <w:tcW w:w="398" w:type="pct"/>
            <w:shd w:val="clear" w:color="auto" w:fill="D9D9D9"/>
            <w:vAlign w:val="center"/>
          </w:tcPr>
          <w:p w14:paraId="6070C6A0" w14:textId="77777777" w:rsidR="00BE7F89" w:rsidRPr="006A31EC" w:rsidRDefault="00BE7F89" w:rsidP="005A428D">
            <w:pPr>
              <w:rPr>
                <w:rFonts w:eastAsia="SimSun"/>
                <w:sz w:val="22"/>
                <w:lang w:val="en-US"/>
              </w:rPr>
            </w:pPr>
            <w:r w:rsidRPr="006A31EC">
              <w:rPr>
                <w:rFonts w:eastAsia="SimSun"/>
                <w:sz w:val="22"/>
                <w:lang w:val="en-US"/>
              </w:rPr>
              <w:t>-</w:t>
            </w:r>
          </w:p>
        </w:tc>
        <w:tc>
          <w:tcPr>
            <w:tcW w:w="337" w:type="pct"/>
            <w:shd w:val="clear" w:color="auto" w:fill="auto"/>
            <w:vAlign w:val="center"/>
          </w:tcPr>
          <w:p w14:paraId="6180DAEA" w14:textId="77777777" w:rsidR="00BE7F89" w:rsidRPr="006A31EC" w:rsidRDefault="00BE7F89" w:rsidP="005A428D">
            <w:pPr>
              <w:rPr>
                <w:rFonts w:eastAsia="SimSun"/>
                <w:sz w:val="22"/>
                <w:lang w:val="en-US"/>
              </w:rPr>
            </w:pPr>
          </w:p>
        </w:tc>
        <w:tc>
          <w:tcPr>
            <w:tcW w:w="312" w:type="pct"/>
            <w:vAlign w:val="center"/>
          </w:tcPr>
          <w:p w14:paraId="275B2757" w14:textId="77777777" w:rsidR="00BE7F89" w:rsidRPr="006A31EC" w:rsidRDefault="00BE7F89" w:rsidP="005A428D">
            <w:pPr>
              <w:rPr>
                <w:rFonts w:eastAsia="SimSun"/>
                <w:sz w:val="22"/>
              </w:rPr>
            </w:pPr>
            <w:r w:rsidRPr="006A31EC">
              <w:rPr>
                <w:rFonts w:eastAsia="SimSun"/>
                <w:sz w:val="22"/>
                <w:lang w:val="en-US"/>
              </w:rPr>
              <w:t>5.1.2.</w:t>
            </w:r>
            <w:r w:rsidRPr="006A31EC">
              <w:rPr>
                <w:rFonts w:eastAsia="SimSun"/>
                <w:sz w:val="22"/>
              </w:rPr>
              <w:t>18</w:t>
            </w:r>
          </w:p>
        </w:tc>
        <w:tc>
          <w:tcPr>
            <w:tcW w:w="337" w:type="pct"/>
            <w:shd w:val="clear" w:color="auto" w:fill="auto"/>
            <w:vAlign w:val="center"/>
          </w:tcPr>
          <w:p w14:paraId="6F00F065" w14:textId="77777777" w:rsidR="00BE7F89" w:rsidRPr="006A31EC" w:rsidRDefault="00BE7F89" w:rsidP="005A428D">
            <w:pPr>
              <w:rPr>
                <w:rFonts w:eastAsia="SimSun"/>
                <w:sz w:val="22"/>
                <w:lang w:val="en-US"/>
              </w:rPr>
            </w:pPr>
          </w:p>
        </w:tc>
        <w:tc>
          <w:tcPr>
            <w:tcW w:w="295" w:type="pct"/>
            <w:shd w:val="clear" w:color="auto" w:fill="auto"/>
            <w:vAlign w:val="center"/>
          </w:tcPr>
          <w:p w14:paraId="121350F3" w14:textId="77777777" w:rsidR="00BE7F89" w:rsidRPr="006A31EC" w:rsidRDefault="00BE7F89" w:rsidP="005A428D">
            <w:pPr>
              <w:rPr>
                <w:rFonts w:eastAsia="SimSun"/>
                <w:sz w:val="22"/>
                <w:lang w:val="en-US"/>
              </w:rPr>
            </w:pPr>
          </w:p>
        </w:tc>
        <w:tc>
          <w:tcPr>
            <w:tcW w:w="295" w:type="pct"/>
            <w:shd w:val="clear" w:color="auto" w:fill="auto"/>
            <w:vAlign w:val="center"/>
          </w:tcPr>
          <w:p w14:paraId="0A15304E" w14:textId="77777777" w:rsidR="00BE7F89" w:rsidRPr="006A31EC" w:rsidRDefault="00BE7F89" w:rsidP="005A428D">
            <w:pPr>
              <w:rPr>
                <w:rFonts w:eastAsia="SimSun"/>
                <w:sz w:val="22"/>
                <w:lang w:val="en-US"/>
              </w:rPr>
            </w:pPr>
          </w:p>
        </w:tc>
        <w:tc>
          <w:tcPr>
            <w:tcW w:w="337" w:type="pct"/>
            <w:shd w:val="clear" w:color="auto" w:fill="auto"/>
            <w:vAlign w:val="center"/>
          </w:tcPr>
          <w:p w14:paraId="69EAD263" w14:textId="77777777" w:rsidR="00BE7F89" w:rsidRPr="006A31EC" w:rsidRDefault="00BE7F89" w:rsidP="005A428D">
            <w:pPr>
              <w:rPr>
                <w:rFonts w:eastAsia="SimSun"/>
                <w:sz w:val="22"/>
                <w:lang w:val="en-US"/>
              </w:rPr>
            </w:pPr>
          </w:p>
        </w:tc>
        <w:tc>
          <w:tcPr>
            <w:tcW w:w="337" w:type="pct"/>
            <w:shd w:val="clear" w:color="auto" w:fill="auto"/>
            <w:vAlign w:val="center"/>
          </w:tcPr>
          <w:p w14:paraId="709606B0" w14:textId="77777777" w:rsidR="00BE7F89" w:rsidRPr="006A31EC" w:rsidRDefault="00BE7F89" w:rsidP="005A428D">
            <w:pPr>
              <w:rPr>
                <w:sz w:val="22"/>
              </w:rPr>
            </w:pPr>
          </w:p>
        </w:tc>
        <w:tc>
          <w:tcPr>
            <w:tcW w:w="401" w:type="pct"/>
            <w:shd w:val="clear" w:color="auto" w:fill="auto"/>
            <w:vAlign w:val="center"/>
          </w:tcPr>
          <w:p w14:paraId="468B8F43" w14:textId="77777777" w:rsidR="00BE7F89" w:rsidRPr="006A31EC" w:rsidRDefault="00BE7F89" w:rsidP="005A428D">
            <w:pPr>
              <w:rPr>
                <w:sz w:val="22"/>
              </w:rPr>
            </w:pPr>
          </w:p>
        </w:tc>
        <w:tc>
          <w:tcPr>
            <w:tcW w:w="442" w:type="pct"/>
            <w:shd w:val="clear" w:color="auto" w:fill="auto"/>
            <w:vAlign w:val="center"/>
          </w:tcPr>
          <w:p w14:paraId="7303EAF5" w14:textId="77777777" w:rsidR="00BE7F89" w:rsidRPr="006A31EC" w:rsidRDefault="00BE7F89" w:rsidP="005A428D">
            <w:pPr>
              <w:rPr>
                <w:rFonts w:eastAsia="SimSun"/>
                <w:sz w:val="22"/>
                <w:lang w:val="en-US"/>
              </w:rPr>
            </w:pPr>
          </w:p>
        </w:tc>
        <w:tc>
          <w:tcPr>
            <w:tcW w:w="337" w:type="pct"/>
            <w:shd w:val="clear" w:color="auto" w:fill="auto"/>
            <w:vAlign w:val="center"/>
          </w:tcPr>
          <w:p w14:paraId="7859AF3D" w14:textId="77777777" w:rsidR="00BE7F89" w:rsidRPr="006A31EC" w:rsidRDefault="00BE7F89" w:rsidP="005A428D">
            <w:pPr>
              <w:rPr>
                <w:rFonts w:eastAsia="SimSun"/>
                <w:sz w:val="22"/>
                <w:lang w:val="en-US"/>
              </w:rPr>
            </w:pPr>
          </w:p>
        </w:tc>
        <w:tc>
          <w:tcPr>
            <w:tcW w:w="337" w:type="pct"/>
          </w:tcPr>
          <w:p w14:paraId="23A4A947" w14:textId="77777777" w:rsidR="00BE7F89" w:rsidRPr="006A31EC" w:rsidRDefault="00BE7F89" w:rsidP="005A428D">
            <w:pPr>
              <w:rPr>
                <w:rFonts w:eastAsia="SimSun"/>
                <w:sz w:val="22"/>
                <w:lang w:val="en-US"/>
              </w:rPr>
            </w:pPr>
          </w:p>
        </w:tc>
      </w:tr>
      <w:tr w:rsidR="00BE7F89" w:rsidRPr="006A31EC" w14:paraId="56541EF1" w14:textId="77777777" w:rsidTr="005A428D">
        <w:trPr>
          <w:cantSplit/>
          <w:trHeight w:val="624"/>
        </w:trPr>
        <w:tc>
          <w:tcPr>
            <w:tcW w:w="293" w:type="pct"/>
            <w:vMerge/>
            <w:shd w:val="clear" w:color="auto" w:fill="D9D9D9"/>
            <w:vAlign w:val="center"/>
          </w:tcPr>
          <w:p w14:paraId="11384A53" w14:textId="77777777" w:rsidR="00BE7F89" w:rsidRPr="006A31EC" w:rsidRDefault="00BE7F89" w:rsidP="005A428D">
            <w:pPr>
              <w:rPr>
                <w:rFonts w:eastAsia="SimSun"/>
                <w:sz w:val="22"/>
                <w:lang w:val="en-US"/>
              </w:rPr>
            </w:pPr>
          </w:p>
        </w:tc>
        <w:tc>
          <w:tcPr>
            <w:tcW w:w="284" w:type="pct"/>
            <w:vMerge/>
            <w:shd w:val="clear" w:color="auto" w:fill="D9D9D9"/>
            <w:vAlign w:val="center"/>
          </w:tcPr>
          <w:p w14:paraId="3787FC56" w14:textId="77777777" w:rsidR="00BE7F89" w:rsidRPr="006A31EC" w:rsidRDefault="00BE7F89" w:rsidP="005A428D">
            <w:pPr>
              <w:rPr>
                <w:rFonts w:eastAsia="SimSun"/>
                <w:sz w:val="22"/>
                <w:lang w:val="en-US"/>
              </w:rPr>
            </w:pPr>
          </w:p>
        </w:tc>
        <w:tc>
          <w:tcPr>
            <w:tcW w:w="261" w:type="pct"/>
            <w:vMerge/>
            <w:shd w:val="clear" w:color="auto" w:fill="D9D9D9"/>
            <w:vAlign w:val="center"/>
          </w:tcPr>
          <w:p w14:paraId="76E85332" w14:textId="77777777" w:rsidR="00BE7F89" w:rsidRPr="006A31EC" w:rsidRDefault="00BE7F89" w:rsidP="005A428D">
            <w:pPr>
              <w:rPr>
                <w:rFonts w:eastAsia="SimSun"/>
                <w:sz w:val="22"/>
                <w:lang w:val="en-US"/>
              </w:rPr>
            </w:pPr>
          </w:p>
        </w:tc>
        <w:tc>
          <w:tcPr>
            <w:tcW w:w="398" w:type="pct"/>
            <w:shd w:val="clear" w:color="auto" w:fill="D9D9D9"/>
            <w:vAlign w:val="center"/>
          </w:tcPr>
          <w:p w14:paraId="49CC8AD7" w14:textId="77777777" w:rsidR="00BE7F89" w:rsidRPr="006A31EC" w:rsidRDefault="00BE7F89" w:rsidP="005A428D">
            <w:pPr>
              <w:rPr>
                <w:rFonts w:eastAsia="SimSun"/>
                <w:sz w:val="22"/>
                <w:lang w:val="en-US"/>
              </w:rPr>
            </w:pPr>
            <w:r w:rsidRPr="006A31EC">
              <w:rPr>
                <w:rFonts w:eastAsia="SimSun"/>
                <w:sz w:val="22"/>
                <w:lang w:val="en-US"/>
              </w:rPr>
              <w:t>MMF30</w:t>
            </w:r>
          </w:p>
        </w:tc>
        <w:tc>
          <w:tcPr>
            <w:tcW w:w="337" w:type="pct"/>
            <w:shd w:val="clear" w:color="auto" w:fill="auto"/>
            <w:vAlign w:val="center"/>
          </w:tcPr>
          <w:p w14:paraId="46F746AD" w14:textId="77777777" w:rsidR="00BE7F89" w:rsidRPr="006A31EC" w:rsidRDefault="00BE7F89" w:rsidP="005A428D">
            <w:pPr>
              <w:rPr>
                <w:sz w:val="22"/>
              </w:rPr>
            </w:pPr>
            <w:r w:rsidRPr="006A31EC">
              <w:rPr>
                <w:rFonts w:eastAsia="SimSun"/>
                <w:sz w:val="22"/>
                <w:lang w:val="en-US"/>
              </w:rPr>
              <w:t>-</w:t>
            </w:r>
          </w:p>
        </w:tc>
        <w:tc>
          <w:tcPr>
            <w:tcW w:w="312" w:type="pct"/>
          </w:tcPr>
          <w:p w14:paraId="175F3C42" w14:textId="77777777" w:rsidR="00BE7F89" w:rsidRPr="006A31EC" w:rsidRDefault="00BE7F89" w:rsidP="005A428D">
            <w:pPr>
              <w:rPr>
                <w:rFonts w:eastAsia="SimSun"/>
                <w:sz w:val="22"/>
                <w:lang w:val="en-US"/>
              </w:rPr>
            </w:pPr>
          </w:p>
        </w:tc>
        <w:tc>
          <w:tcPr>
            <w:tcW w:w="337" w:type="pct"/>
            <w:shd w:val="clear" w:color="auto" w:fill="auto"/>
            <w:vAlign w:val="center"/>
          </w:tcPr>
          <w:p w14:paraId="3B97688C"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3A92A205"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265E6785" w14:textId="77777777" w:rsidR="00BE7F89" w:rsidRPr="006A31EC" w:rsidRDefault="00BE7F89" w:rsidP="005A428D">
            <w:pPr>
              <w:rPr>
                <w:rFonts w:eastAsia="SimSun"/>
                <w:sz w:val="22"/>
                <w:lang w:val="en-US"/>
              </w:rPr>
            </w:pPr>
            <w:r w:rsidRPr="006A31EC">
              <w:rPr>
                <w:rFonts w:eastAsia="SimSun"/>
                <w:sz w:val="22"/>
                <w:lang w:val="en-US"/>
              </w:rPr>
              <w:t>5.1.2.1</w:t>
            </w:r>
          </w:p>
        </w:tc>
        <w:tc>
          <w:tcPr>
            <w:tcW w:w="337" w:type="pct"/>
            <w:shd w:val="clear" w:color="auto" w:fill="auto"/>
            <w:vAlign w:val="center"/>
          </w:tcPr>
          <w:p w14:paraId="0EB61AA8"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7B29617D" w14:textId="77777777" w:rsidR="00BE7F89" w:rsidRPr="006A31EC" w:rsidRDefault="00BE7F89" w:rsidP="005A428D">
            <w:pPr>
              <w:rPr>
                <w:sz w:val="22"/>
              </w:rPr>
            </w:pPr>
          </w:p>
        </w:tc>
        <w:tc>
          <w:tcPr>
            <w:tcW w:w="401" w:type="pct"/>
            <w:shd w:val="clear" w:color="auto" w:fill="auto"/>
            <w:vAlign w:val="center"/>
          </w:tcPr>
          <w:p w14:paraId="7D8DFD08" w14:textId="77777777" w:rsidR="00BE7F89" w:rsidRPr="006A31EC" w:rsidRDefault="00BE7F89" w:rsidP="005A428D">
            <w:pPr>
              <w:rPr>
                <w:sz w:val="22"/>
              </w:rPr>
            </w:pPr>
            <w:r w:rsidRPr="006A31EC">
              <w:rPr>
                <w:sz w:val="22"/>
              </w:rPr>
              <w:t>5.1.2.5</w:t>
            </w:r>
          </w:p>
        </w:tc>
        <w:tc>
          <w:tcPr>
            <w:tcW w:w="442" w:type="pct"/>
            <w:shd w:val="clear" w:color="auto" w:fill="auto"/>
            <w:vAlign w:val="center"/>
          </w:tcPr>
          <w:p w14:paraId="4B31093A"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333BD083" w14:textId="77777777" w:rsidR="00BE7F89" w:rsidRPr="006A31EC" w:rsidRDefault="00BE7F89" w:rsidP="005A428D">
            <w:pPr>
              <w:rPr>
                <w:sz w:val="22"/>
              </w:rPr>
            </w:pPr>
            <w:r w:rsidRPr="006A31EC">
              <w:rPr>
                <w:rFonts w:eastAsia="SimSun"/>
                <w:sz w:val="22"/>
                <w:lang w:val="en-US"/>
              </w:rPr>
              <w:t>-</w:t>
            </w:r>
          </w:p>
        </w:tc>
        <w:tc>
          <w:tcPr>
            <w:tcW w:w="337" w:type="pct"/>
          </w:tcPr>
          <w:p w14:paraId="18BAEE49" w14:textId="77777777" w:rsidR="00BE7F89" w:rsidRPr="006A31EC" w:rsidRDefault="00BE7F89" w:rsidP="005A428D">
            <w:pPr>
              <w:rPr>
                <w:rFonts w:eastAsia="SimSun"/>
                <w:sz w:val="22"/>
                <w:lang w:val="en-US"/>
              </w:rPr>
            </w:pPr>
          </w:p>
        </w:tc>
      </w:tr>
      <w:tr w:rsidR="00BE7F89" w:rsidRPr="006A31EC" w14:paraId="01910D1F" w14:textId="77777777" w:rsidTr="005A428D">
        <w:trPr>
          <w:cantSplit/>
          <w:trHeight w:val="624"/>
        </w:trPr>
        <w:tc>
          <w:tcPr>
            <w:tcW w:w="293" w:type="pct"/>
            <w:vMerge/>
            <w:shd w:val="clear" w:color="auto" w:fill="D9D9D9"/>
            <w:vAlign w:val="center"/>
          </w:tcPr>
          <w:p w14:paraId="7433D4C5" w14:textId="77777777" w:rsidR="00BE7F89" w:rsidRPr="006A31EC" w:rsidRDefault="00BE7F89" w:rsidP="005A428D">
            <w:pPr>
              <w:rPr>
                <w:rFonts w:eastAsia="SimSun"/>
                <w:sz w:val="22"/>
                <w:lang w:val="en-US"/>
              </w:rPr>
            </w:pPr>
          </w:p>
        </w:tc>
        <w:tc>
          <w:tcPr>
            <w:tcW w:w="284" w:type="pct"/>
            <w:shd w:val="clear" w:color="auto" w:fill="D9D9D9"/>
            <w:vAlign w:val="center"/>
          </w:tcPr>
          <w:p w14:paraId="037685E0" w14:textId="77777777" w:rsidR="00BE7F89" w:rsidRPr="006A31EC" w:rsidRDefault="00BE7F89" w:rsidP="005A428D">
            <w:pPr>
              <w:rPr>
                <w:rFonts w:eastAsia="SimSun"/>
                <w:sz w:val="22"/>
                <w:lang w:val="en-US"/>
              </w:rPr>
            </w:pPr>
            <w:r w:rsidRPr="006A31EC">
              <w:rPr>
                <w:rFonts w:eastAsia="SimSun"/>
                <w:sz w:val="22"/>
                <w:lang w:val="en-US"/>
              </w:rPr>
              <w:t>Tx</w:t>
            </w:r>
          </w:p>
        </w:tc>
        <w:tc>
          <w:tcPr>
            <w:tcW w:w="261" w:type="pct"/>
            <w:shd w:val="clear" w:color="auto" w:fill="D9D9D9"/>
            <w:vAlign w:val="center"/>
          </w:tcPr>
          <w:p w14:paraId="74FAA309" w14:textId="77777777" w:rsidR="00BE7F89" w:rsidRPr="006A31EC" w:rsidRDefault="00BE7F89" w:rsidP="005A428D">
            <w:pPr>
              <w:rPr>
                <w:rFonts w:eastAsia="SimSun"/>
                <w:sz w:val="22"/>
                <w:lang w:val="en-US"/>
              </w:rPr>
            </w:pPr>
            <w:r w:rsidRPr="006A31EC">
              <w:rPr>
                <w:rFonts w:eastAsia="SimSun"/>
                <w:sz w:val="22"/>
                <w:lang w:val="en-US"/>
              </w:rPr>
              <w:t>-</w:t>
            </w:r>
          </w:p>
        </w:tc>
        <w:tc>
          <w:tcPr>
            <w:tcW w:w="398" w:type="pct"/>
            <w:shd w:val="clear" w:color="auto" w:fill="D9D9D9"/>
            <w:vAlign w:val="center"/>
          </w:tcPr>
          <w:p w14:paraId="4E4D871B" w14:textId="77777777" w:rsidR="00BE7F89" w:rsidRPr="006A31EC" w:rsidRDefault="00BE7F89" w:rsidP="005A428D">
            <w:pPr>
              <w:rPr>
                <w:rFonts w:eastAsia="SimSun"/>
                <w:sz w:val="22"/>
                <w:lang w:val="en-US"/>
              </w:rPr>
            </w:pPr>
            <w:r w:rsidRPr="006A31EC">
              <w:rPr>
                <w:rFonts w:eastAsia="SimSun"/>
                <w:sz w:val="22"/>
                <w:lang w:val="en-US"/>
              </w:rPr>
              <w:t>MMF30</w:t>
            </w:r>
          </w:p>
        </w:tc>
        <w:tc>
          <w:tcPr>
            <w:tcW w:w="337" w:type="pct"/>
            <w:shd w:val="clear" w:color="auto" w:fill="auto"/>
            <w:vAlign w:val="center"/>
          </w:tcPr>
          <w:p w14:paraId="0F44F3F3" w14:textId="77777777" w:rsidR="00BE7F89" w:rsidRPr="006A31EC" w:rsidRDefault="00BE7F89" w:rsidP="005A428D">
            <w:pPr>
              <w:rPr>
                <w:sz w:val="22"/>
              </w:rPr>
            </w:pPr>
            <w:r w:rsidRPr="006A31EC">
              <w:rPr>
                <w:rFonts w:eastAsia="SimSun"/>
                <w:sz w:val="22"/>
                <w:lang w:val="en-US"/>
              </w:rPr>
              <w:t>-</w:t>
            </w:r>
          </w:p>
        </w:tc>
        <w:tc>
          <w:tcPr>
            <w:tcW w:w="312" w:type="pct"/>
          </w:tcPr>
          <w:p w14:paraId="634F5C49" w14:textId="77777777" w:rsidR="00BE7F89" w:rsidRPr="006A31EC" w:rsidRDefault="00BE7F89" w:rsidP="005A428D">
            <w:pPr>
              <w:rPr>
                <w:rFonts w:eastAsia="SimSun"/>
                <w:sz w:val="22"/>
                <w:lang w:val="en-US"/>
              </w:rPr>
            </w:pPr>
          </w:p>
        </w:tc>
        <w:tc>
          <w:tcPr>
            <w:tcW w:w="337" w:type="pct"/>
            <w:shd w:val="clear" w:color="auto" w:fill="auto"/>
            <w:vAlign w:val="center"/>
          </w:tcPr>
          <w:p w14:paraId="76944065"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307767C4"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6FD49474"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49502691"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22E46F68" w14:textId="77777777" w:rsidR="00BE7F89" w:rsidRPr="006A31EC" w:rsidRDefault="00BE7F89" w:rsidP="005A428D">
            <w:pPr>
              <w:rPr>
                <w:sz w:val="22"/>
              </w:rPr>
            </w:pPr>
            <w:r w:rsidRPr="006A31EC">
              <w:rPr>
                <w:sz w:val="22"/>
              </w:rPr>
              <w:t>5.1.2.21</w:t>
            </w:r>
          </w:p>
        </w:tc>
        <w:tc>
          <w:tcPr>
            <w:tcW w:w="401" w:type="pct"/>
            <w:shd w:val="clear" w:color="auto" w:fill="auto"/>
            <w:vAlign w:val="center"/>
          </w:tcPr>
          <w:p w14:paraId="30929D62" w14:textId="77777777" w:rsidR="00BE7F89" w:rsidRPr="006A31EC" w:rsidRDefault="00BE7F89" w:rsidP="005A428D">
            <w:pPr>
              <w:rPr>
                <w:sz w:val="22"/>
              </w:rPr>
            </w:pPr>
            <w:r w:rsidRPr="006A31EC">
              <w:rPr>
                <w:rFonts w:eastAsia="SimSun"/>
                <w:sz w:val="22"/>
                <w:lang w:val="en-US"/>
              </w:rPr>
              <w:t>-</w:t>
            </w:r>
          </w:p>
        </w:tc>
        <w:tc>
          <w:tcPr>
            <w:tcW w:w="442" w:type="pct"/>
            <w:shd w:val="clear" w:color="auto" w:fill="auto"/>
            <w:vAlign w:val="center"/>
          </w:tcPr>
          <w:p w14:paraId="03AC7FB6"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0BAC2B0F" w14:textId="77777777" w:rsidR="00BE7F89" w:rsidRPr="006A31EC" w:rsidRDefault="00BE7F89" w:rsidP="005A428D">
            <w:pPr>
              <w:rPr>
                <w:rFonts w:eastAsia="SimSun"/>
                <w:sz w:val="22"/>
              </w:rPr>
            </w:pPr>
            <w:r w:rsidRPr="006A31EC">
              <w:rPr>
                <w:rFonts w:eastAsia="SimSun"/>
                <w:sz w:val="22"/>
                <w:lang w:val="en-US"/>
              </w:rPr>
              <w:t>5.1.2.2</w:t>
            </w:r>
            <w:r w:rsidRPr="006A31EC">
              <w:rPr>
                <w:rFonts w:eastAsia="SimSun"/>
                <w:sz w:val="22"/>
              </w:rPr>
              <w:t>2</w:t>
            </w:r>
          </w:p>
        </w:tc>
        <w:tc>
          <w:tcPr>
            <w:tcW w:w="337" w:type="pct"/>
          </w:tcPr>
          <w:p w14:paraId="66FC8BEE" w14:textId="77777777" w:rsidR="00BE7F89" w:rsidRPr="006A31EC" w:rsidRDefault="00BE7F89" w:rsidP="005A428D">
            <w:pPr>
              <w:rPr>
                <w:rFonts w:eastAsia="SimSun"/>
                <w:sz w:val="22"/>
                <w:lang w:val="en-US"/>
              </w:rPr>
            </w:pPr>
          </w:p>
        </w:tc>
      </w:tr>
      <w:tr w:rsidR="00BE7F89" w:rsidRPr="006A31EC" w14:paraId="10A8FCC8" w14:textId="77777777" w:rsidTr="005A428D">
        <w:trPr>
          <w:cantSplit/>
          <w:trHeight w:val="624"/>
        </w:trPr>
        <w:tc>
          <w:tcPr>
            <w:tcW w:w="293" w:type="pct"/>
            <w:vMerge w:val="restart"/>
            <w:shd w:val="clear" w:color="auto" w:fill="D9D9D9"/>
            <w:vAlign w:val="center"/>
          </w:tcPr>
          <w:p w14:paraId="34B101B4" w14:textId="77777777" w:rsidR="00BE7F89" w:rsidRPr="006A31EC" w:rsidRDefault="00BE7F89" w:rsidP="005A428D">
            <w:pPr>
              <w:rPr>
                <w:rFonts w:eastAsia="SimSun"/>
                <w:sz w:val="22"/>
                <w:lang w:val="en-US"/>
              </w:rPr>
            </w:pPr>
            <w:r w:rsidRPr="006A31EC">
              <w:rPr>
                <w:rFonts w:eastAsia="SimSun"/>
                <w:sz w:val="22"/>
                <w:lang w:val="en-US"/>
              </w:rPr>
              <w:t>rATG</w:t>
            </w:r>
          </w:p>
        </w:tc>
        <w:tc>
          <w:tcPr>
            <w:tcW w:w="284" w:type="pct"/>
            <w:shd w:val="clear" w:color="auto" w:fill="D9D9D9"/>
            <w:vAlign w:val="center"/>
          </w:tcPr>
          <w:p w14:paraId="059B2D03" w14:textId="77777777" w:rsidR="00BE7F89" w:rsidRPr="006A31EC" w:rsidRDefault="00BE7F89" w:rsidP="005A428D">
            <w:pPr>
              <w:rPr>
                <w:rFonts w:eastAsia="SimSun"/>
                <w:sz w:val="22"/>
                <w:lang w:val="en-US"/>
              </w:rPr>
            </w:pPr>
            <w:r w:rsidRPr="006A31EC">
              <w:rPr>
                <w:rFonts w:eastAsia="SimSun"/>
                <w:sz w:val="22"/>
                <w:lang w:val="en-US"/>
              </w:rPr>
              <w:t>CSA</w:t>
            </w:r>
          </w:p>
        </w:tc>
        <w:tc>
          <w:tcPr>
            <w:tcW w:w="261" w:type="pct"/>
            <w:shd w:val="clear" w:color="auto" w:fill="D9D9D9"/>
            <w:vAlign w:val="center"/>
          </w:tcPr>
          <w:p w14:paraId="2D1A8A2B" w14:textId="77777777" w:rsidR="00BE7F89" w:rsidRPr="006A31EC" w:rsidRDefault="00BE7F89" w:rsidP="005A428D">
            <w:pPr>
              <w:rPr>
                <w:rFonts w:eastAsia="SimSun"/>
                <w:sz w:val="22"/>
                <w:lang w:val="en-US"/>
              </w:rPr>
            </w:pPr>
            <w:r w:rsidRPr="006A31EC">
              <w:rPr>
                <w:rFonts w:eastAsia="SimSun"/>
                <w:sz w:val="22"/>
                <w:lang w:val="en-US"/>
              </w:rPr>
              <w:t>MTX</w:t>
            </w:r>
          </w:p>
        </w:tc>
        <w:tc>
          <w:tcPr>
            <w:tcW w:w="398" w:type="pct"/>
            <w:shd w:val="clear" w:color="auto" w:fill="D9D9D9"/>
            <w:vAlign w:val="center"/>
          </w:tcPr>
          <w:p w14:paraId="6E336D0C" w14:textId="77777777" w:rsidR="00BE7F89" w:rsidRPr="006A31EC" w:rsidRDefault="00BE7F89" w:rsidP="005A428D">
            <w:pPr>
              <w:rPr>
                <w:rFonts w:eastAsia="SimSun"/>
                <w:sz w:val="22"/>
                <w:lang w:val="en-US"/>
              </w:rPr>
            </w:pPr>
            <w:r w:rsidRPr="006A31EC">
              <w:rPr>
                <w:rFonts w:eastAsia="SimSun"/>
                <w:sz w:val="22"/>
                <w:lang w:val="en-US"/>
              </w:rPr>
              <w:t>MMF30</w:t>
            </w:r>
          </w:p>
        </w:tc>
        <w:tc>
          <w:tcPr>
            <w:tcW w:w="337" w:type="pct"/>
            <w:shd w:val="clear" w:color="auto" w:fill="auto"/>
            <w:vAlign w:val="center"/>
          </w:tcPr>
          <w:p w14:paraId="45EB4A40" w14:textId="77777777" w:rsidR="00BE7F89" w:rsidRPr="006A31EC" w:rsidRDefault="00BE7F89" w:rsidP="005A428D">
            <w:pPr>
              <w:rPr>
                <w:sz w:val="22"/>
              </w:rPr>
            </w:pPr>
            <w:r w:rsidRPr="006A31EC">
              <w:rPr>
                <w:rFonts w:eastAsia="SimSun"/>
                <w:sz w:val="22"/>
                <w:lang w:val="en-US"/>
              </w:rPr>
              <w:t>-</w:t>
            </w:r>
          </w:p>
        </w:tc>
        <w:tc>
          <w:tcPr>
            <w:tcW w:w="312" w:type="pct"/>
          </w:tcPr>
          <w:p w14:paraId="6E8C563C" w14:textId="77777777" w:rsidR="00BE7F89" w:rsidRPr="006A31EC" w:rsidRDefault="00BE7F89" w:rsidP="005A428D">
            <w:pPr>
              <w:rPr>
                <w:rFonts w:eastAsia="SimSun"/>
                <w:sz w:val="22"/>
                <w:lang w:val="en-US"/>
              </w:rPr>
            </w:pPr>
          </w:p>
        </w:tc>
        <w:tc>
          <w:tcPr>
            <w:tcW w:w="337" w:type="pct"/>
            <w:shd w:val="clear" w:color="auto" w:fill="auto"/>
            <w:vAlign w:val="center"/>
          </w:tcPr>
          <w:p w14:paraId="18D52599"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44102457"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3A4EFB91" w14:textId="77777777" w:rsidR="00BE7F89" w:rsidRPr="006A31EC" w:rsidRDefault="00BE7F89" w:rsidP="005A428D">
            <w:pPr>
              <w:rPr>
                <w:rFonts w:eastAsia="SimSun"/>
                <w:sz w:val="22"/>
                <w:lang w:val="en-US"/>
              </w:rPr>
            </w:pPr>
            <w:r w:rsidRPr="006A31EC">
              <w:rPr>
                <w:rFonts w:eastAsia="SimSun"/>
                <w:sz w:val="22"/>
                <w:lang w:val="en-US"/>
              </w:rPr>
              <w:t>5.1.2.2</w:t>
            </w:r>
          </w:p>
        </w:tc>
        <w:tc>
          <w:tcPr>
            <w:tcW w:w="337" w:type="pct"/>
            <w:shd w:val="clear" w:color="auto" w:fill="auto"/>
            <w:vAlign w:val="center"/>
          </w:tcPr>
          <w:p w14:paraId="0315BAFA"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73B2BF5E" w14:textId="77777777" w:rsidR="00BE7F89" w:rsidRPr="006A31EC" w:rsidRDefault="00BE7F89" w:rsidP="005A428D">
            <w:pPr>
              <w:rPr>
                <w:rFonts w:eastAsia="SimSun"/>
                <w:sz w:val="22"/>
              </w:rPr>
            </w:pPr>
            <w:r w:rsidRPr="006A31EC">
              <w:rPr>
                <w:rFonts w:eastAsia="SimSun"/>
                <w:sz w:val="22"/>
                <w:lang w:val="en-US"/>
              </w:rPr>
              <w:t>-</w:t>
            </w:r>
          </w:p>
        </w:tc>
        <w:tc>
          <w:tcPr>
            <w:tcW w:w="401" w:type="pct"/>
            <w:shd w:val="clear" w:color="auto" w:fill="auto"/>
            <w:vAlign w:val="center"/>
          </w:tcPr>
          <w:p w14:paraId="2B645BFC" w14:textId="77777777" w:rsidR="00BE7F89" w:rsidRPr="006A31EC" w:rsidRDefault="00BE7F89" w:rsidP="005A428D">
            <w:pPr>
              <w:rPr>
                <w:rFonts w:eastAsia="SimSun"/>
                <w:sz w:val="22"/>
                <w:lang w:val="en-US"/>
              </w:rPr>
            </w:pPr>
            <w:r w:rsidRPr="006A31EC">
              <w:rPr>
                <w:rFonts w:eastAsia="SimSun"/>
                <w:sz w:val="22"/>
                <w:lang w:val="en-US"/>
              </w:rPr>
              <w:t>5.1.2.6</w:t>
            </w:r>
          </w:p>
        </w:tc>
        <w:tc>
          <w:tcPr>
            <w:tcW w:w="442" w:type="pct"/>
            <w:shd w:val="clear" w:color="auto" w:fill="auto"/>
            <w:vAlign w:val="center"/>
          </w:tcPr>
          <w:p w14:paraId="44298D11"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091599B3" w14:textId="77777777" w:rsidR="00BE7F89" w:rsidRPr="006A31EC" w:rsidRDefault="00BE7F89" w:rsidP="005A428D">
            <w:pPr>
              <w:rPr>
                <w:sz w:val="22"/>
              </w:rPr>
            </w:pPr>
            <w:r w:rsidRPr="006A31EC">
              <w:rPr>
                <w:rFonts w:eastAsia="SimSun"/>
                <w:sz w:val="22"/>
                <w:lang w:val="en-US"/>
              </w:rPr>
              <w:t>-</w:t>
            </w:r>
          </w:p>
        </w:tc>
        <w:tc>
          <w:tcPr>
            <w:tcW w:w="337" w:type="pct"/>
          </w:tcPr>
          <w:p w14:paraId="1CB6174F" w14:textId="77777777" w:rsidR="00BE7F89" w:rsidRPr="006A31EC" w:rsidRDefault="00BE7F89" w:rsidP="005A428D">
            <w:pPr>
              <w:rPr>
                <w:rFonts w:eastAsia="SimSun"/>
                <w:sz w:val="22"/>
                <w:lang w:val="en-US"/>
              </w:rPr>
            </w:pPr>
          </w:p>
        </w:tc>
      </w:tr>
      <w:tr w:rsidR="00BE7F89" w:rsidRPr="006A31EC" w14:paraId="1088DFE9" w14:textId="77777777" w:rsidTr="005A428D">
        <w:trPr>
          <w:cantSplit/>
          <w:trHeight w:val="624"/>
        </w:trPr>
        <w:tc>
          <w:tcPr>
            <w:tcW w:w="293" w:type="pct"/>
            <w:vMerge/>
            <w:shd w:val="clear" w:color="auto" w:fill="D9D9D9"/>
            <w:vAlign w:val="center"/>
          </w:tcPr>
          <w:p w14:paraId="3DF63848" w14:textId="77777777" w:rsidR="00BE7F89" w:rsidRPr="006A31EC" w:rsidRDefault="00BE7F89" w:rsidP="005A428D">
            <w:pPr>
              <w:rPr>
                <w:rFonts w:eastAsia="SimSun"/>
                <w:sz w:val="22"/>
                <w:lang w:val="en-US"/>
              </w:rPr>
            </w:pPr>
          </w:p>
        </w:tc>
        <w:tc>
          <w:tcPr>
            <w:tcW w:w="284" w:type="pct"/>
            <w:shd w:val="clear" w:color="auto" w:fill="D9D9D9"/>
            <w:vAlign w:val="center"/>
          </w:tcPr>
          <w:p w14:paraId="29DA01C4" w14:textId="77777777" w:rsidR="00BE7F89" w:rsidRPr="006A31EC" w:rsidRDefault="00BE7F89" w:rsidP="005A428D">
            <w:pPr>
              <w:rPr>
                <w:rFonts w:eastAsia="SimSun"/>
                <w:sz w:val="22"/>
                <w:lang w:val="en-US"/>
              </w:rPr>
            </w:pPr>
            <w:r w:rsidRPr="006A31EC">
              <w:rPr>
                <w:rFonts w:eastAsia="SimSun"/>
                <w:sz w:val="22"/>
                <w:lang w:val="en-US"/>
              </w:rPr>
              <w:t>Tx</w:t>
            </w:r>
          </w:p>
        </w:tc>
        <w:tc>
          <w:tcPr>
            <w:tcW w:w="261" w:type="pct"/>
            <w:shd w:val="clear" w:color="auto" w:fill="D9D9D9"/>
            <w:vAlign w:val="center"/>
          </w:tcPr>
          <w:p w14:paraId="2B828D5A" w14:textId="77777777" w:rsidR="00BE7F89" w:rsidRPr="006A31EC" w:rsidRDefault="00BE7F89" w:rsidP="005A428D">
            <w:pPr>
              <w:rPr>
                <w:rFonts w:eastAsia="SimSun"/>
                <w:sz w:val="22"/>
                <w:lang w:val="en-US"/>
              </w:rPr>
            </w:pPr>
            <w:r w:rsidRPr="006A31EC">
              <w:rPr>
                <w:rFonts w:eastAsia="SimSun"/>
                <w:sz w:val="22"/>
                <w:lang w:val="en-US"/>
              </w:rPr>
              <w:t>-</w:t>
            </w:r>
          </w:p>
        </w:tc>
        <w:tc>
          <w:tcPr>
            <w:tcW w:w="398" w:type="pct"/>
            <w:shd w:val="clear" w:color="auto" w:fill="D9D9D9"/>
            <w:vAlign w:val="center"/>
          </w:tcPr>
          <w:p w14:paraId="4A7584AB" w14:textId="77777777" w:rsidR="00BE7F89" w:rsidRPr="006A31EC" w:rsidRDefault="00BE7F89" w:rsidP="005A428D">
            <w:pPr>
              <w:rPr>
                <w:rFonts w:eastAsia="SimSun"/>
                <w:sz w:val="22"/>
              </w:rPr>
            </w:pPr>
            <w:r w:rsidRPr="006A31EC">
              <w:rPr>
                <w:rFonts w:eastAsia="SimSun"/>
                <w:sz w:val="22"/>
                <w:lang w:val="en-US"/>
              </w:rPr>
              <w:t>MMF30</w:t>
            </w:r>
          </w:p>
        </w:tc>
        <w:tc>
          <w:tcPr>
            <w:tcW w:w="337" w:type="pct"/>
            <w:shd w:val="clear" w:color="auto" w:fill="auto"/>
            <w:vAlign w:val="center"/>
          </w:tcPr>
          <w:p w14:paraId="196F7F32" w14:textId="77777777" w:rsidR="00BE7F89" w:rsidRPr="006A31EC" w:rsidRDefault="00BE7F89" w:rsidP="005A428D">
            <w:pPr>
              <w:rPr>
                <w:sz w:val="22"/>
              </w:rPr>
            </w:pPr>
            <w:r w:rsidRPr="006A31EC">
              <w:rPr>
                <w:rFonts w:eastAsia="SimSun"/>
                <w:sz w:val="22"/>
                <w:lang w:val="en-US"/>
              </w:rPr>
              <w:t>-</w:t>
            </w:r>
          </w:p>
        </w:tc>
        <w:tc>
          <w:tcPr>
            <w:tcW w:w="312" w:type="pct"/>
          </w:tcPr>
          <w:p w14:paraId="656F6A4B" w14:textId="77777777" w:rsidR="00BE7F89" w:rsidRPr="006A31EC" w:rsidRDefault="00BE7F89" w:rsidP="005A428D">
            <w:pPr>
              <w:rPr>
                <w:rFonts w:eastAsia="SimSun"/>
                <w:sz w:val="22"/>
                <w:lang w:val="en-US"/>
              </w:rPr>
            </w:pPr>
          </w:p>
        </w:tc>
        <w:tc>
          <w:tcPr>
            <w:tcW w:w="337" w:type="pct"/>
            <w:shd w:val="clear" w:color="auto" w:fill="auto"/>
            <w:vAlign w:val="center"/>
          </w:tcPr>
          <w:p w14:paraId="7E4DA3DF"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0394A00C"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77CC8D8D"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7D5F45F7"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4B0C1CBA" w14:textId="77777777" w:rsidR="00BE7F89" w:rsidRPr="006A31EC" w:rsidRDefault="00BE7F89" w:rsidP="005A428D">
            <w:pPr>
              <w:rPr>
                <w:sz w:val="22"/>
              </w:rPr>
            </w:pPr>
            <w:r w:rsidRPr="006A31EC">
              <w:rPr>
                <w:rFonts w:eastAsia="SimSun"/>
                <w:sz w:val="22"/>
                <w:lang w:val="en-US"/>
              </w:rPr>
              <w:t>-</w:t>
            </w:r>
          </w:p>
        </w:tc>
        <w:tc>
          <w:tcPr>
            <w:tcW w:w="401" w:type="pct"/>
            <w:shd w:val="clear" w:color="auto" w:fill="auto"/>
            <w:vAlign w:val="center"/>
          </w:tcPr>
          <w:p w14:paraId="2AB6D91F" w14:textId="77777777" w:rsidR="00BE7F89" w:rsidRPr="006A31EC" w:rsidRDefault="00BE7F89" w:rsidP="005A428D">
            <w:pPr>
              <w:rPr>
                <w:sz w:val="22"/>
              </w:rPr>
            </w:pPr>
            <w:r w:rsidRPr="006A31EC">
              <w:rPr>
                <w:rFonts w:eastAsia="SimSun"/>
                <w:sz w:val="22"/>
                <w:lang w:val="en-US"/>
              </w:rPr>
              <w:t>-</w:t>
            </w:r>
          </w:p>
        </w:tc>
        <w:tc>
          <w:tcPr>
            <w:tcW w:w="442" w:type="pct"/>
            <w:shd w:val="clear" w:color="auto" w:fill="auto"/>
            <w:vAlign w:val="center"/>
          </w:tcPr>
          <w:p w14:paraId="43B45407"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78085B3E" w14:textId="77777777" w:rsidR="00BE7F89" w:rsidRPr="006A31EC" w:rsidRDefault="00BE7F89" w:rsidP="005A428D">
            <w:pPr>
              <w:rPr>
                <w:rFonts w:eastAsia="SimSun"/>
                <w:sz w:val="22"/>
              </w:rPr>
            </w:pPr>
            <w:r w:rsidRPr="006A31EC">
              <w:rPr>
                <w:rFonts w:eastAsia="SimSun"/>
                <w:sz w:val="22"/>
                <w:lang w:val="en-US"/>
              </w:rPr>
              <w:t>5.1.2.2</w:t>
            </w:r>
            <w:r w:rsidRPr="006A31EC">
              <w:rPr>
                <w:rFonts w:eastAsia="SimSun"/>
                <w:sz w:val="22"/>
              </w:rPr>
              <w:t>3</w:t>
            </w:r>
          </w:p>
        </w:tc>
        <w:tc>
          <w:tcPr>
            <w:tcW w:w="337" w:type="pct"/>
          </w:tcPr>
          <w:p w14:paraId="73A15D65" w14:textId="77777777" w:rsidR="00BE7F89" w:rsidRPr="006A31EC" w:rsidRDefault="00BE7F89" w:rsidP="005A428D">
            <w:pPr>
              <w:rPr>
                <w:rFonts w:eastAsia="SimSun"/>
                <w:sz w:val="22"/>
                <w:lang w:val="en-US"/>
              </w:rPr>
            </w:pPr>
          </w:p>
        </w:tc>
      </w:tr>
      <w:tr w:rsidR="00BE7F89" w:rsidRPr="006A31EC" w14:paraId="194D49A2" w14:textId="77777777" w:rsidTr="005A428D">
        <w:trPr>
          <w:cantSplit/>
          <w:trHeight w:val="624"/>
        </w:trPr>
        <w:tc>
          <w:tcPr>
            <w:tcW w:w="293" w:type="pct"/>
            <w:vMerge w:val="restart"/>
            <w:shd w:val="clear" w:color="auto" w:fill="D9D9D9"/>
            <w:vAlign w:val="center"/>
          </w:tcPr>
          <w:p w14:paraId="6E0296A1" w14:textId="77777777" w:rsidR="00BE7F89" w:rsidRPr="006A31EC" w:rsidRDefault="00BE7F89" w:rsidP="005A428D">
            <w:pPr>
              <w:rPr>
                <w:rFonts w:eastAsia="SimSun"/>
                <w:sz w:val="22"/>
                <w:lang w:val="en-US"/>
              </w:rPr>
            </w:pPr>
            <w:r w:rsidRPr="006A31EC">
              <w:rPr>
                <w:rFonts w:eastAsia="SimSun"/>
                <w:sz w:val="22"/>
                <w:lang w:val="en-US"/>
              </w:rPr>
              <w:t>PT-Cy</w:t>
            </w:r>
          </w:p>
          <w:p w14:paraId="74598609" w14:textId="77777777" w:rsidR="00BE7F89" w:rsidRPr="006A31EC" w:rsidRDefault="00BE7F89" w:rsidP="005A428D">
            <w:pPr>
              <w:rPr>
                <w:rFonts w:eastAsia="SimSun"/>
                <w:sz w:val="22"/>
                <w:lang w:val="en-US"/>
              </w:rPr>
            </w:pPr>
          </w:p>
        </w:tc>
        <w:tc>
          <w:tcPr>
            <w:tcW w:w="284" w:type="pct"/>
            <w:shd w:val="clear" w:color="auto" w:fill="D9D9D9"/>
            <w:vAlign w:val="center"/>
          </w:tcPr>
          <w:p w14:paraId="297808AC" w14:textId="77777777" w:rsidR="00BE7F89" w:rsidRPr="006A31EC" w:rsidRDefault="00BE7F89" w:rsidP="005A428D">
            <w:pPr>
              <w:rPr>
                <w:rFonts w:eastAsia="SimSun"/>
                <w:sz w:val="22"/>
                <w:lang w:val="en-US"/>
              </w:rPr>
            </w:pPr>
            <w:r w:rsidRPr="006A31EC">
              <w:rPr>
                <w:rFonts w:eastAsia="SimSun"/>
                <w:sz w:val="22"/>
                <w:lang w:val="en-US"/>
              </w:rPr>
              <w:t>-</w:t>
            </w:r>
          </w:p>
        </w:tc>
        <w:tc>
          <w:tcPr>
            <w:tcW w:w="261" w:type="pct"/>
            <w:shd w:val="clear" w:color="auto" w:fill="D9D9D9"/>
            <w:vAlign w:val="center"/>
          </w:tcPr>
          <w:p w14:paraId="7CF17CA2" w14:textId="77777777" w:rsidR="00BE7F89" w:rsidRPr="006A31EC" w:rsidRDefault="00BE7F89" w:rsidP="005A428D">
            <w:pPr>
              <w:rPr>
                <w:rFonts w:eastAsia="SimSun"/>
                <w:sz w:val="22"/>
                <w:lang w:val="en-US"/>
              </w:rPr>
            </w:pPr>
            <w:r w:rsidRPr="006A31EC">
              <w:rPr>
                <w:rFonts w:eastAsia="SimSun"/>
                <w:sz w:val="22"/>
                <w:lang w:val="en-US"/>
              </w:rPr>
              <w:t>-</w:t>
            </w:r>
          </w:p>
        </w:tc>
        <w:tc>
          <w:tcPr>
            <w:tcW w:w="398" w:type="pct"/>
            <w:shd w:val="clear" w:color="auto" w:fill="D9D9D9"/>
            <w:vAlign w:val="center"/>
          </w:tcPr>
          <w:p w14:paraId="57473DFF" w14:textId="77777777" w:rsidR="00BE7F89" w:rsidRPr="006A31EC" w:rsidRDefault="00BE7F89" w:rsidP="005A428D">
            <w:pPr>
              <w:rPr>
                <w:rFonts w:eastAsia="SimSun"/>
                <w:sz w:val="22"/>
                <w:lang w:val="en-US"/>
              </w:rPr>
            </w:pPr>
            <w:r w:rsidRPr="006A31EC">
              <w:rPr>
                <w:rFonts w:eastAsia="SimSun"/>
                <w:sz w:val="22"/>
                <w:lang w:val="en-US"/>
              </w:rPr>
              <w:t>-</w:t>
            </w:r>
          </w:p>
        </w:tc>
        <w:tc>
          <w:tcPr>
            <w:tcW w:w="337" w:type="pct"/>
            <w:shd w:val="clear" w:color="auto" w:fill="auto"/>
            <w:vAlign w:val="center"/>
          </w:tcPr>
          <w:p w14:paraId="6322563F" w14:textId="77777777" w:rsidR="00BE7F89" w:rsidRPr="006A31EC" w:rsidRDefault="00BE7F89" w:rsidP="005A428D">
            <w:pPr>
              <w:rPr>
                <w:rFonts w:eastAsia="SimSun"/>
                <w:sz w:val="22"/>
                <w:lang w:val="en-US"/>
              </w:rPr>
            </w:pPr>
            <w:r w:rsidRPr="006A31EC">
              <w:rPr>
                <w:rFonts w:eastAsia="SimSun"/>
                <w:sz w:val="22"/>
                <w:lang w:val="en-US"/>
              </w:rPr>
              <w:t>5.1.2.17</w:t>
            </w:r>
          </w:p>
        </w:tc>
        <w:tc>
          <w:tcPr>
            <w:tcW w:w="312" w:type="pct"/>
          </w:tcPr>
          <w:p w14:paraId="37539D55" w14:textId="77777777" w:rsidR="00BE7F89" w:rsidRPr="006A31EC" w:rsidRDefault="00BE7F89" w:rsidP="005A428D">
            <w:pPr>
              <w:rPr>
                <w:rFonts w:eastAsia="SimSun"/>
                <w:sz w:val="22"/>
                <w:lang w:val="en-US"/>
              </w:rPr>
            </w:pPr>
          </w:p>
        </w:tc>
        <w:tc>
          <w:tcPr>
            <w:tcW w:w="337" w:type="pct"/>
            <w:shd w:val="clear" w:color="auto" w:fill="auto"/>
            <w:vAlign w:val="center"/>
          </w:tcPr>
          <w:p w14:paraId="1DC795AE"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0CC5F8D9"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21E85EFF"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6A911F05"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5C600078" w14:textId="77777777" w:rsidR="00BE7F89" w:rsidRPr="006A31EC" w:rsidRDefault="00BE7F89" w:rsidP="005A428D">
            <w:pPr>
              <w:rPr>
                <w:sz w:val="22"/>
              </w:rPr>
            </w:pPr>
            <w:r w:rsidRPr="006A31EC">
              <w:rPr>
                <w:rFonts w:eastAsia="SimSun"/>
                <w:sz w:val="22"/>
                <w:lang w:val="en-US"/>
              </w:rPr>
              <w:t>-</w:t>
            </w:r>
          </w:p>
        </w:tc>
        <w:tc>
          <w:tcPr>
            <w:tcW w:w="401" w:type="pct"/>
            <w:shd w:val="clear" w:color="auto" w:fill="auto"/>
            <w:vAlign w:val="center"/>
          </w:tcPr>
          <w:p w14:paraId="69FEECE2" w14:textId="77777777" w:rsidR="00BE7F89" w:rsidRPr="006A31EC" w:rsidRDefault="00BE7F89" w:rsidP="005A428D">
            <w:pPr>
              <w:rPr>
                <w:rFonts w:eastAsia="SimSun"/>
                <w:sz w:val="22"/>
                <w:lang w:val="en-US"/>
              </w:rPr>
            </w:pPr>
            <w:r w:rsidRPr="006A31EC">
              <w:rPr>
                <w:rFonts w:eastAsia="SimSun"/>
                <w:sz w:val="22"/>
                <w:lang w:val="en-US"/>
              </w:rPr>
              <w:t>5.1.2.8</w:t>
            </w:r>
          </w:p>
        </w:tc>
        <w:tc>
          <w:tcPr>
            <w:tcW w:w="442" w:type="pct"/>
            <w:shd w:val="clear" w:color="auto" w:fill="auto"/>
            <w:vAlign w:val="center"/>
          </w:tcPr>
          <w:p w14:paraId="73D28C84" w14:textId="77777777" w:rsidR="00BE7F89" w:rsidRPr="006A31EC" w:rsidRDefault="00BE7F89" w:rsidP="005A428D">
            <w:pPr>
              <w:rPr>
                <w:rFonts w:eastAsia="SimSun"/>
                <w:sz w:val="22"/>
                <w:lang w:val="en-US"/>
              </w:rPr>
            </w:pPr>
            <w:r w:rsidRPr="006A31EC">
              <w:rPr>
                <w:rFonts w:eastAsia="SimSun"/>
                <w:sz w:val="22"/>
                <w:lang w:val="en-US"/>
              </w:rPr>
              <w:t>5.1.2.13</w:t>
            </w:r>
          </w:p>
        </w:tc>
        <w:tc>
          <w:tcPr>
            <w:tcW w:w="337" w:type="pct"/>
            <w:shd w:val="clear" w:color="auto" w:fill="auto"/>
            <w:vAlign w:val="center"/>
          </w:tcPr>
          <w:p w14:paraId="6F658BCD" w14:textId="77777777" w:rsidR="00BE7F89" w:rsidRPr="006A31EC" w:rsidRDefault="00BE7F89" w:rsidP="005A428D">
            <w:pPr>
              <w:rPr>
                <w:sz w:val="22"/>
              </w:rPr>
            </w:pPr>
            <w:r w:rsidRPr="006A31EC">
              <w:rPr>
                <w:rFonts w:eastAsia="SimSun"/>
                <w:sz w:val="22"/>
                <w:lang w:val="en-US"/>
              </w:rPr>
              <w:t>-</w:t>
            </w:r>
          </w:p>
        </w:tc>
        <w:tc>
          <w:tcPr>
            <w:tcW w:w="337" w:type="pct"/>
          </w:tcPr>
          <w:p w14:paraId="25B12E63" w14:textId="77777777" w:rsidR="00BE7F89" w:rsidRPr="006A31EC" w:rsidRDefault="00BE7F89" w:rsidP="005A428D">
            <w:pPr>
              <w:rPr>
                <w:rFonts w:eastAsia="SimSun"/>
                <w:sz w:val="22"/>
                <w:lang w:val="en-US"/>
              </w:rPr>
            </w:pPr>
          </w:p>
        </w:tc>
      </w:tr>
      <w:tr w:rsidR="00BE7F89" w:rsidRPr="006A31EC" w14:paraId="1A3E68CD" w14:textId="77777777" w:rsidTr="005A428D">
        <w:trPr>
          <w:cantSplit/>
          <w:trHeight w:val="624"/>
        </w:trPr>
        <w:tc>
          <w:tcPr>
            <w:tcW w:w="293" w:type="pct"/>
            <w:vMerge/>
            <w:shd w:val="clear" w:color="auto" w:fill="D9D9D9"/>
            <w:vAlign w:val="center"/>
          </w:tcPr>
          <w:p w14:paraId="450E9222" w14:textId="77777777" w:rsidR="00BE7F89" w:rsidRPr="006A31EC" w:rsidRDefault="00BE7F89" w:rsidP="005A428D">
            <w:pPr>
              <w:rPr>
                <w:rFonts w:eastAsia="SimSun"/>
                <w:sz w:val="22"/>
                <w:lang w:val="en-US"/>
              </w:rPr>
            </w:pPr>
          </w:p>
        </w:tc>
        <w:tc>
          <w:tcPr>
            <w:tcW w:w="284" w:type="pct"/>
            <w:vMerge w:val="restart"/>
            <w:shd w:val="clear" w:color="auto" w:fill="D9D9D9"/>
            <w:vAlign w:val="center"/>
          </w:tcPr>
          <w:p w14:paraId="5B090ABA" w14:textId="77777777" w:rsidR="00BE7F89" w:rsidRPr="006A31EC" w:rsidRDefault="00BE7F89" w:rsidP="005A428D">
            <w:pPr>
              <w:rPr>
                <w:rFonts w:eastAsia="SimSun"/>
                <w:sz w:val="22"/>
              </w:rPr>
            </w:pPr>
            <w:r w:rsidRPr="006A31EC">
              <w:rPr>
                <w:rFonts w:eastAsia="SimSun"/>
                <w:sz w:val="22"/>
                <w:lang w:val="en-US"/>
              </w:rPr>
              <w:t>CSA</w:t>
            </w:r>
          </w:p>
          <w:p w14:paraId="04ED5C63" w14:textId="77777777" w:rsidR="00BE7F89" w:rsidRPr="006A31EC" w:rsidRDefault="00BE7F89" w:rsidP="005A428D">
            <w:pPr>
              <w:rPr>
                <w:rFonts w:eastAsia="SimSun"/>
                <w:sz w:val="22"/>
              </w:rPr>
            </w:pPr>
          </w:p>
        </w:tc>
        <w:tc>
          <w:tcPr>
            <w:tcW w:w="261" w:type="pct"/>
            <w:shd w:val="clear" w:color="auto" w:fill="D9D9D9"/>
            <w:vAlign w:val="center"/>
          </w:tcPr>
          <w:p w14:paraId="20FDFB23" w14:textId="77777777" w:rsidR="00BE7F89" w:rsidRPr="006A31EC" w:rsidRDefault="00BE7F89" w:rsidP="005A428D">
            <w:pPr>
              <w:rPr>
                <w:rFonts w:eastAsia="SimSun"/>
                <w:sz w:val="22"/>
                <w:lang w:val="en-US"/>
              </w:rPr>
            </w:pPr>
            <w:r w:rsidRPr="006A31EC">
              <w:rPr>
                <w:rFonts w:eastAsia="SimSun"/>
                <w:sz w:val="22"/>
                <w:lang w:val="en-US"/>
              </w:rPr>
              <w:t>-</w:t>
            </w:r>
          </w:p>
        </w:tc>
        <w:tc>
          <w:tcPr>
            <w:tcW w:w="398" w:type="pct"/>
            <w:shd w:val="clear" w:color="auto" w:fill="D9D9D9"/>
            <w:vAlign w:val="center"/>
          </w:tcPr>
          <w:p w14:paraId="4A9837E5" w14:textId="77777777" w:rsidR="00BE7F89" w:rsidRPr="006A31EC" w:rsidRDefault="00BE7F89" w:rsidP="005A428D">
            <w:pPr>
              <w:rPr>
                <w:rFonts w:eastAsia="SimSun"/>
                <w:sz w:val="22"/>
              </w:rPr>
            </w:pPr>
            <w:r w:rsidRPr="006A31EC">
              <w:rPr>
                <w:rFonts w:eastAsia="SimSun"/>
                <w:sz w:val="22"/>
                <w:lang w:val="en-US"/>
              </w:rPr>
              <w:t>MMF30</w:t>
            </w:r>
          </w:p>
        </w:tc>
        <w:tc>
          <w:tcPr>
            <w:tcW w:w="337" w:type="pct"/>
            <w:shd w:val="clear" w:color="auto" w:fill="auto"/>
            <w:vAlign w:val="center"/>
          </w:tcPr>
          <w:p w14:paraId="4CA51F49" w14:textId="77777777" w:rsidR="00BE7F89" w:rsidRPr="006A31EC" w:rsidRDefault="00BE7F89" w:rsidP="005A428D">
            <w:pPr>
              <w:rPr>
                <w:sz w:val="22"/>
              </w:rPr>
            </w:pPr>
            <w:r w:rsidRPr="006A31EC">
              <w:rPr>
                <w:rFonts w:eastAsia="SimSun"/>
                <w:sz w:val="22"/>
                <w:lang w:val="en-US"/>
              </w:rPr>
              <w:t>-</w:t>
            </w:r>
          </w:p>
        </w:tc>
        <w:tc>
          <w:tcPr>
            <w:tcW w:w="312" w:type="pct"/>
          </w:tcPr>
          <w:p w14:paraId="75AE1E37" w14:textId="77777777" w:rsidR="00BE7F89" w:rsidRPr="006A31EC" w:rsidRDefault="00BE7F89" w:rsidP="005A428D">
            <w:pPr>
              <w:rPr>
                <w:rFonts w:eastAsia="SimSun"/>
                <w:sz w:val="22"/>
                <w:lang w:val="en-US"/>
              </w:rPr>
            </w:pPr>
          </w:p>
        </w:tc>
        <w:tc>
          <w:tcPr>
            <w:tcW w:w="337" w:type="pct"/>
            <w:shd w:val="clear" w:color="auto" w:fill="auto"/>
            <w:vAlign w:val="center"/>
          </w:tcPr>
          <w:p w14:paraId="33CA16FF"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6AE10794"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55ECBBE4" w14:textId="77777777" w:rsidR="00BE7F89" w:rsidRPr="006A31EC" w:rsidRDefault="00BE7F89" w:rsidP="005A428D">
            <w:pPr>
              <w:rPr>
                <w:sz w:val="22"/>
              </w:rPr>
            </w:pPr>
            <w:r w:rsidRPr="006A31EC">
              <w:rPr>
                <w:rFonts w:eastAsia="SimSun"/>
                <w:sz w:val="22"/>
                <w:lang w:val="en-US"/>
              </w:rPr>
              <w:t>5.1.2.4</w:t>
            </w:r>
          </w:p>
        </w:tc>
        <w:tc>
          <w:tcPr>
            <w:tcW w:w="337" w:type="pct"/>
            <w:shd w:val="clear" w:color="auto" w:fill="auto"/>
            <w:vAlign w:val="center"/>
          </w:tcPr>
          <w:p w14:paraId="75F0EEDE" w14:textId="77777777" w:rsidR="00BE7F89" w:rsidRPr="006A31EC" w:rsidRDefault="00BE7F89" w:rsidP="005A428D">
            <w:pPr>
              <w:rPr>
                <w:sz w:val="22"/>
              </w:rPr>
            </w:pPr>
            <w:r w:rsidRPr="006A31EC">
              <w:rPr>
                <w:sz w:val="22"/>
              </w:rPr>
              <w:t>5.1.2.20</w:t>
            </w:r>
          </w:p>
        </w:tc>
        <w:tc>
          <w:tcPr>
            <w:tcW w:w="337" w:type="pct"/>
            <w:shd w:val="clear" w:color="auto" w:fill="auto"/>
            <w:vAlign w:val="center"/>
          </w:tcPr>
          <w:p w14:paraId="3708C112" w14:textId="77777777" w:rsidR="00BE7F89" w:rsidRPr="006A31EC" w:rsidRDefault="00BE7F89" w:rsidP="005A428D">
            <w:pPr>
              <w:rPr>
                <w:sz w:val="22"/>
              </w:rPr>
            </w:pPr>
            <w:r w:rsidRPr="006A31EC">
              <w:rPr>
                <w:rFonts w:eastAsia="SimSun"/>
                <w:sz w:val="22"/>
                <w:lang w:val="en-US"/>
              </w:rPr>
              <w:t>-</w:t>
            </w:r>
          </w:p>
        </w:tc>
        <w:tc>
          <w:tcPr>
            <w:tcW w:w="401" w:type="pct"/>
            <w:shd w:val="clear" w:color="auto" w:fill="auto"/>
            <w:vAlign w:val="center"/>
          </w:tcPr>
          <w:p w14:paraId="65E3A448" w14:textId="77777777" w:rsidR="00BE7F89" w:rsidRPr="006A31EC" w:rsidRDefault="00BE7F89" w:rsidP="005A428D">
            <w:pPr>
              <w:rPr>
                <w:rFonts w:eastAsia="SimSun"/>
                <w:sz w:val="22"/>
                <w:lang w:val="en-US"/>
              </w:rPr>
            </w:pPr>
            <w:r w:rsidRPr="006A31EC">
              <w:rPr>
                <w:rFonts w:eastAsia="SimSun"/>
                <w:sz w:val="22"/>
                <w:lang w:val="en-US"/>
              </w:rPr>
              <w:t>5.1.2.7/11</w:t>
            </w:r>
          </w:p>
        </w:tc>
        <w:tc>
          <w:tcPr>
            <w:tcW w:w="442" w:type="pct"/>
            <w:shd w:val="clear" w:color="auto" w:fill="auto"/>
            <w:vAlign w:val="center"/>
          </w:tcPr>
          <w:p w14:paraId="692248B4"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634C0678" w14:textId="77777777" w:rsidR="00BE7F89" w:rsidRPr="006A31EC" w:rsidRDefault="00BE7F89" w:rsidP="005A428D">
            <w:pPr>
              <w:rPr>
                <w:sz w:val="22"/>
              </w:rPr>
            </w:pPr>
            <w:r w:rsidRPr="006A31EC">
              <w:rPr>
                <w:rFonts w:eastAsia="SimSun"/>
                <w:sz w:val="22"/>
                <w:lang w:val="en-US"/>
              </w:rPr>
              <w:t>-</w:t>
            </w:r>
          </w:p>
        </w:tc>
        <w:tc>
          <w:tcPr>
            <w:tcW w:w="337" w:type="pct"/>
          </w:tcPr>
          <w:p w14:paraId="76A104B4" w14:textId="77777777" w:rsidR="00BE7F89" w:rsidRPr="006A31EC" w:rsidRDefault="00BE7F89" w:rsidP="005A428D">
            <w:pPr>
              <w:rPr>
                <w:rFonts w:eastAsia="SimSun"/>
                <w:sz w:val="22"/>
                <w:lang w:val="en-US"/>
              </w:rPr>
            </w:pPr>
          </w:p>
        </w:tc>
      </w:tr>
      <w:tr w:rsidR="00BE7F89" w:rsidRPr="006A31EC" w14:paraId="1E27F1BC" w14:textId="77777777" w:rsidTr="005A428D">
        <w:trPr>
          <w:cantSplit/>
          <w:trHeight w:val="624"/>
        </w:trPr>
        <w:tc>
          <w:tcPr>
            <w:tcW w:w="293" w:type="pct"/>
            <w:vMerge/>
            <w:shd w:val="clear" w:color="auto" w:fill="D9D9D9"/>
            <w:vAlign w:val="center"/>
          </w:tcPr>
          <w:p w14:paraId="67473A3E" w14:textId="77777777" w:rsidR="00BE7F89" w:rsidRPr="006A31EC" w:rsidRDefault="00BE7F89" w:rsidP="005A428D">
            <w:pPr>
              <w:rPr>
                <w:rFonts w:eastAsia="SimSun"/>
                <w:sz w:val="22"/>
                <w:lang w:val="en-US"/>
              </w:rPr>
            </w:pPr>
          </w:p>
        </w:tc>
        <w:tc>
          <w:tcPr>
            <w:tcW w:w="284" w:type="pct"/>
            <w:vMerge/>
            <w:shd w:val="clear" w:color="auto" w:fill="D9D9D9"/>
            <w:vAlign w:val="center"/>
          </w:tcPr>
          <w:p w14:paraId="32923816" w14:textId="77777777" w:rsidR="00BE7F89" w:rsidRPr="006A31EC" w:rsidRDefault="00BE7F89" w:rsidP="005A428D">
            <w:pPr>
              <w:rPr>
                <w:rFonts w:eastAsia="SimSun"/>
                <w:sz w:val="22"/>
                <w:lang w:val="en-US"/>
              </w:rPr>
            </w:pPr>
          </w:p>
        </w:tc>
        <w:tc>
          <w:tcPr>
            <w:tcW w:w="261" w:type="pct"/>
            <w:shd w:val="clear" w:color="auto" w:fill="D9D9D9"/>
            <w:vAlign w:val="center"/>
          </w:tcPr>
          <w:p w14:paraId="2E7E7C7C" w14:textId="77777777" w:rsidR="00BE7F89" w:rsidRPr="006A31EC" w:rsidRDefault="00BE7F89" w:rsidP="005A428D">
            <w:pPr>
              <w:rPr>
                <w:rFonts w:eastAsia="SimSun"/>
                <w:sz w:val="22"/>
                <w:lang w:val="en-US"/>
              </w:rPr>
            </w:pPr>
            <w:r w:rsidRPr="006A31EC">
              <w:rPr>
                <w:rFonts w:eastAsia="SimSun"/>
                <w:sz w:val="22"/>
                <w:lang w:val="en-US"/>
              </w:rPr>
              <w:t>-</w:t>
            </w:r>
          </w:p>
        </w:tc>
        <w:tc>
          <w:tcPr>
            <w:tcW w:w="398" w:type="pct"/>
            <w:shd w:val="clear" w:color="auto" w:fill="D9D9D9"/>
            <w:vAlign w:val="center"/>
          </w:tcPr>
          <w:p w14:paraId="457A6861" w14:textId="77777777" w:rsidR="00BE7F89" w:rsidRPr="006A31EC" w:rsidRDefault="00BE7F89" w:rsidP="005A428D">
            <w:pPr>
              <w:rPr>
                <w:rFonts w:eastAsia="SimSun"/>
                <w:sz w:val="22"/>
                <w:lang w:val="en-US"/>
              </w:rPr>
            </w:pPr>
            <w:r w:rsidRPr="006A31EC">
              <w:rPr>
                <w:rFonts w:eastAsia="SimSun"/>
                <w:sz w:val="22"/>
                <w:lang w:val="en-US"/>
              </w:rPr>
              <w:t>MMF45</w:t>
            </w:r>
          </w:p>
        </w:tc>
        <w:tc>
          <w:tcPr>
            <w:tcW w:w="337" w:type="pct"/>
            <w:shd w:val="clear" w:color="auto" w:fill="auto"/>
            <w:vAlign w:val="center"/>
          </w:tcPr>
          <w:p w14:paraId="04032816" w14:textId="77777777" w:rsidR="00BE7F89" w:rsidRPr="006A31EC" w:rsidRDefault="00BE7F89" w:rsidP="005A428D">
            <w:pPr>
              <w:rPr>
                <w:rFonts w:eastAsia="SimSun"/>
                <w:sz w:val="22"/>
              </w:rPr>
            </w:pPr>
            <w:r w:rsidRPr="006A31EC">
              <w:rPr>
                <w:rFonts w:eastAsia="SimSun"/>
                <w:sz w:val="22"/>
                <w:lang w:val="en-US"/>
              </w:rPr>
              <w:t>-</w:t>
            </w:r>
          </w:p>
        </w:tc>
        <w:tc>
          <w:tcPr>
            <w:tcW w:w="312" w:type="pct"/>
          </w:tcPr>
          <w:p w14:paraId="0825751D" w14:textId="77777777" w:rsidR="00BE7F89" w:rsidRPr="006A31EC" w:rsidRDefault="00BE7F89" w:rsidP="005A428D">
            <w:pPr>
              <w:rPr>
                <w:rFonts w:eastAsia="SimSun"/>
                <w:sz w:val="22"/>
                <w:lang w:val="en-US"/>
              </w:rPr>
            </w:pPr>
          </w:p>
        </w:tc>
        <w:tc>
          <w:tcPr>
            <w:tcW w:w="337" w:type="pct"/>
            <w:shd w:val="clear" w:color="auto" w:fill="auto"/>
            <w:vAlign w:val="center"/>
          </w:tcPr>
          <w:p w14:paraId="200A97F4" w14:textId="77777777" w:rsidR="00BE7F89" w:rsidRPr="006A31EC" w:rsidRDefault="00BE7F89" w:rsidP="005A428D">
            <w:pPr>
              <w:rPr>
                <w:rFonts w:eastAsia="SimSun"/>
                <w:sz w:val="22"/>
              </w:rPr>
            </w:pPr>
            <w:r w:rsidRPr="006A31EC">
              <w:rPr>
                <w:rFonts w:eastAsia="SimSun"/>
                <w:sz w:val="22"/>
                <w:lang w:val="en-US"/>
              </w:rPr>
              <w:t>5.1.2.1</w:t>
            </w:r>
            <w:r w:rsidRPr="006A31EC">
              <w:rPr>
                <w:rFonts w:eastAsia="SimSun"/>
                <w:sz w:val="22"/>
              </w:rPr>
              <w:t>9</w:t>
            </w:r>
          </w:p>
        </w:tc>
        <w:tc>
          <w:tcPr>
            <w:tcW w:w="295" w:type="pct"/>
            <w:shd w:val="clear" w:color="auto" w:fill="auto"/>
            <w:vAlign w:val="center"/>
          </w:tcPr>
          <w:p w14:paraId="51742AE1" w14:textId="77777777" w:rsidR="00BE7F89" w:rsidRPr="006A31EC" w:rsidRDefault="00BE7F89" w:rsidP="005A428D">
            <w:pPr>
              <w:rPr>
                <w:sz w:val="22"/>
              </w:rPr>
            </w:pPr>
            <w:r w:rsidRPr="006A31EC">
              <w:rPr>
                <w:rFonts w:eastAsia="SimSun"/>
                <w:sz w:val="22"/>
                <w:lang w:val="en-US"/>
              </w:rPr>
              <w:t>5.1.2.3</w:t>
            </w:r>
          </w:p>
        </w:tc>
        <w:tc>
          <w:tcPr>
            <w:tcW w:w="295" w:type="pct"/>
            <w:shd w:val="clear" w:color="auto" w:fill="auto"/>
            <w:vAlign w:val="center"/>
          </w:tcPr>
          <w:p w14:paraId="709DDF43"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738B1243"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3948772C" w14:textId="77777777" w:rsidR="00BE7F89" w:rsidRPr="006A31EC" w:rsidRDefault="00BE7F89" w:rsidP="005A428D">
            <w:pPr>
              <w:rPr>
                <w:sz w:val="22"/>
              </w:rPr>
            </w:pPr>
            <w:r w:rsidRPr="006A31EC">
              <w:rPr>
                <w:rFonts w:eastAsia="SimSun"/>
                <w:sz w:val="22"/>
                <w:lang w:val="en-US"/>
              </w:rPr>
              <w:t>-</w:t>
            </w:r>
          </w:p>
        </w:tc>
        <w:tc>
          <w:tcPr>
            <w:tcW w:w="401" w:type="pct"/>
            <w:shd w:val="clear" w:color="auto" w:fill="auto"/>
            <w:vAlign w:val="center"/>
          </w:tcPr>
          <w:p w14:paraId="2C109CF1" w14:textId="77777777" w:rsidR="00BE7F89" w:rsidRPr="006A31EC" w:rsidRDefault="00BE7F89" w:rsidP="005A428D">
            <w:pPr>
              <w:rPr>
                <w:sz w:val="22"/>
              </w:rPr>
            </w:pPr>
            <w:r w:rsidRPr="006A31EC">
              <w:rPr>
                <w:rFonts w:eastAsia="SimSun"/>
                <w:sz w:val="22"/>
                <w:lang w:val="en-US"/>
              </w:rPr>
              <w:t>-</w:t>
            </w:r>
          </w:p>
        </w:tc>
        <w:tc>
          <w:tcPr>
            <w:tcW w:w="442" w:type="pct"/>
            <w:shd w:val="clear" w:color="auto" w:fill="auto"/>
            <w:vAlign w:val="center"/>
          </w:tcPr>
          <w:p w14:paraId="146187BF"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7CA154B8" w14:textId="77777777" w:rsidR="00BE7F89" w:rsidRPr="006A31EC" w:rsidRDefault="00BE7F89" w:rsidP="005A428D">
            <w:pPr>
              <w:rPr>
                <w:sz w:val="22"/>
              </w:rPr>
            </w:pPr>
            <w:r w:rsidRPr="006A31EC">
              <w:rPr>
                <w:rFonts w:eastAsia="SimSun"/>
                <w:sz w:val="22"/>
                <w:lang w:val="en-US"/>
              </w:rPr>
              <w:t>-</w:t>
            </w:r>
          </w:p>
        </w:tc>
        <w:tc>
          <w:tcPr>
            <w:tcW w:w="337" w:type="pct"/>
          </w:tcPr>
          <w:p w14:paraId="543C08BC" w14:textId="77777777" w:rsidR="00BE7F89" w:rsidRPr="006A31EC" w:rsidRDefault="00BE7F89" w:rsidP="005A428D">
            <w:pPr>
              <w:rPr>
                <w:rFonts w:eastAsia="SimSun"/>
                <w:sz w:val="22"/>
                <w:lang w:val="en-US"/>
              </w:rPr>
            </w:pPr>
          </w:p>
        </w:tc>
      </w:tr>
      <w:tr w:rsidR="00BE7F89" w:rsidRPr="006A31EC" w14:paraId="2AAA90C2" w14:textId="77777777" w:rsidTr="005A428D">
        <w:trPr>
          <w:cantSplit/>
          <w:trHeight w:val="624"/>
        </w:trPr>
        <w:tc>
          <w:tcPr>
            <w:tcW w:w="293" w:type="pct"/>
            <w:vMerge/>
            <w:shd w:val="clear" w:color="auto" w:fill="D9D9D9"/>
            <w:vAlign w:val="center"/>
          </w:tcPr>
          <w:p w14:paraId="7D71802D" w14:textId="77777777" w:rsidR="00BE7F89" w:rsidRPr="006A31EC" w:rsidRDefault="00BE7F89" w:rsidP="005A428D">
            <w:pPr>
              <w:rPr>
                <w:rFonts w:eastAsia="SimSun"/>
                <w:sz w:val="22"/>
                <w:lang w:val="en-US"/>
              </w:rPr>
            </w:pPr>
          </w:p>
        </w:tc>
        <w:tc>
          <w:tcPr>
            <w:tcW w:w="284" w:type="pct"/>
            <w:shd w:val="clear" w:color="auto" w:fill="D9D9D9"/>
            <w:vAlign w:val="center"/>
          </w:tcPr>
          <w:p w14:paraId="064F381C" w14:textId="77777777" w:rsidR="00BE7F89" w:rsidRPr="006A31EC" w:rsidRDefault="00BE7F89" w:rsidP="005A428D">
            <w:pPr>
              <w:rPr>
                <w:rFonts w:eastAsia="SimSun"/>
                <w:sz w:val="22"/>
                <w:lang w:val="en-US"/>
              </w:rPr>
            </w:pPr>
            <w:r w:rsidRPr="006A31EC">
              <w:rPr>
                <w:rFonts w:eastAsia="SimSun"/>
                <w:sz w:val="22"/>
                <w:lang w:val="en-US"/>
              </w:rPr>
              <w:t>Tx</w:t>
            </w:r>
          </w:p>
        </w:tc>
        <w:tc>
          <w:tcPr>
            <w:tcW w:w="261" w:type="pct"/>
            <w:shd w:val="clear" w:color="auto" w:fill="D9D9D9"/>
            <w:vAlign w:val="center"/>
          </w:tcPr>
          <w:p w14:paraId="28284418" w14:textId="77777777" w:rsidR="00BE7F89" w:rsidRPr="006A31EC" w:rsidRDefault="00BE7F89" w:rsidP="005A428D">
            <w:pPr>
              <w:rPr>
                <w:rFonts w:eastAsia="SimSun"/>
                <w:sz w:val="22"/>
                <w:lang w:val="en-US"/>
              </w:rPr>
            </w:pPr>
            <w:r w:rsidRPr="006A31EC">
              <w:rPr>
                <w:rFonts w:eastAsia="SimSun"/>
                <w:sz w:val="22"/>
                <w:lang w:val="en-US"/>
              </w:rPr>
              <w:t>-</w:t>
            </w:r>
          </w:p>
        </w:tc>
        <w:tc>
          <w:tcPr>
            <w:tcW w:w="398" w:type="pct"/>
            <w:shd w:val="clear" w:color="auto" w:fill="D9D9D9"/>
            <w:vAlign w:val="center"/>
          </w:tcPr>
          <w:p w14:paraId="2BC90FDB" w14:textId="77777777" w:rsidR="00BE7F89" w:rsidRPr="006A31EC" w:rsidRDefault="00BE7F89" w:rsidP="005A428D">
            <w:pPr>
              <w:rPr>
                <w:rFonts w:eastAsia="SimSun"/>
                <w:sz w:val="22"/>
                <w:lang w:val="en-US"/>
              </w:rPr>
            </w:pPr>
            <w:r w:rsidRPr="006A31EC">
              <w:rPr>
                <w:rFonts w:eastAsia="SimSun"/>
                <w:sz w:val="22"/>
                <w:lang w:val="en-US"/>
              </w:rPr>
              <w:t>MMF30</w:t>
            </w:r>
          </w:p>
        </w:tc>
        <w:tc>
          <w:tcPr>
            <w:tcW w:w="337" w:type="pct"/>
            <w:shd w:val="clear" w:color="auto" w:fill="auto"/>
            <w:vAlign w:val="center"/>
          </w:tcPr>
          <w:p w14:paraId="5B7214CE" w14:textId="77777777" w:rsidR="00BE7F89" w:rsidRPr="006A31EC" w:rsidRDefault="00BE7F89" w:rsidP="005A428D">
            <w:pPr>
              <w:rPr>
                <w:rFonts w:eastAsia="SimSun"/>
                <w:sz w:val="22"/>
                <w:lang w:val="en-US"/>
              </w:rPr>
            </w:pPr>
            <w:r w:rsidRPr="006A31EC">
              <w:rPr>
                <w:rFonts w:eastAsia="SimSun"/>
                <w:sz w:val="22"/>
                <w:lang w:val="en-US"/>
              </w:rPr>
              <w:t>5.1.2.16</w:t>
            </w:r>
          </w:p>
        </w:tc>
        <w:tc>
          <w:tcPr>
            <w:tcW w:w="312" w:type="pct"/>
          </w:tcPr>
          <w:p w14:paraId="42951148" w14:textId="77777777" w:rsidR="00BE7F89" w:rsidRPr="006A31EC" w:rsidRDefault="00BE7F89" w:rsidP="005A428D">
            <w:pPr>
              <w:rPr>
                <w:rFonts w:eastAsia="SimSun"/>
                <w:sz w:val="22"/>
                <w:lang w:val="en-US"/>
              </w:rPr>
            </w:pPr>
          </w:p>
        </w:tc>
        <w:tc>
          <w:tcPr>
            <w:tcW w:w="337" w:type="pct"/>
            <w:shd w:val="clear" w:color="auto" w:fill="auto"/>
            <w:vAlign w:val="center"/>
          </w:tcPr>
          <w:p w14:paraId="6BC4C6F4"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771169A3"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720E7ABD"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30878D7C"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5B4BAC61" w14:textId="77777777" w:rsidR="00BE7F89" w:rsidRPr="006A31EC" w:rsidRDefault="00BE7F89" w:rsidP="005A428D">
            <w:pPr>
              <w:rPr>
                <w:sz w:val="22"/>
              </w:rPr>
            </w:pPr>
            <w:r w:rsidRPr="006A31EC">
              <w:rPr>
                <w:rFonts w:eastAsia="SimSun"/>
                <w:sz w:val="22"/>
                <w:lang w:val="en-US"/>
              </w:rPr>
              <w:t>-</w:t>
            </w:r>
          </w:p>
        </w:tc>
        <w:tc>
          <w:tcPr>
            <w:tcW w:w="401" w:type="pct"/>
            <w:shd w:val="clear" w:color="auto" w:fill="auto"/>
            <w:vAlign w:val="center"/>
          </w:tcPr>
          <w:p w14:paraId="0120F962" w14:textId="77777777" w:rsidR="00BE7F89" w:rsidRPr="006A31EC" w:rsidRDefault="00BE7F89" w:rsidP="005A428D">
            <w:pPr>
              <w:rPr>
                <w:rFonts w:eastAsia="SimSun"/>
                <w:sz w:val="22"/>
                <w:lang w:val="en-US"/>
              </w:rPr>
            </w:pPr>
            <w:r w:rsidRPr="006A31EC">
              <w:rPr>
                <w:rFonts w:eastAsia="SimSun"/>
                <w:sz w:val="22"/>
                <w:lang w:val="en-US"/>
              </w:rPr>
              <w:t>5.1.2.9</w:t>
            </w:r>
          </w:p>
        </w:tc>
        <w:tc>
          <w:tcPr>
            <w:tcW w:w="442" w:type="pct"/>
            <w:shd w:val="clear" w:color="auto" w:fill="auto"/>
            <w:vAlign w:val="center"/>
          </w:tcPr>
          <w:p w14:paraId="690BC68B" w14:textId="77777777" w:rsidR="00BE7F89" w:rsidRPr="006A31EC" w:rsidRDefault="00BE7F89" w:rsidP="005A428D">
            <w:pPr>
              <w:rPr>
                <w:rFonts w:eastAsia="SimSun"/>
                <w:sz w:val="22"/>
                <w:lang w:val="en-US"/>
              </w:rPr>
            </w:pPr>
            <w:r w:rsidRPr="006A31EC">
              <w:rPr>
                <w:rFonts w:eastAsia="SimSun"/>
                <w:sz w:val="22"/>
                <w:lang w:val="en-US"/>
              </w:rPr>
              <w:t>5.1.2.14</w:t>
            </w:r>
          </w:p>
        </w:tc>
        <w:tc>
          <w:tcPr>
            <w:tcW w:w="337" w:type="pct"/>
            <w:shd w:val="clear" w:color="auto" w:fill="auto"/>
            <w:vAlign w:val="center"/>
          </w:tcPr>
          <w:p w14:paraId="03CCA734" w14:textId="77777777" w:rsidR="00BE7F89" w:rsidRPr="006A31EC" w:rsidRDefault="00BE7F89" w:rsidP="005A428D">
            <w:pPr>
              <w:rPr>
                <w:sz w:val="22"/>
              </w:rPr>
            </w:pPr>
            <w:r w:rsidRPr="006A31EC">
              <w:rPr>
                <w:rFonts w:eastAsia="SimSun"/>
                <w:sz w:val="22"/>
              </w:rPr>
              <w:t xml:space="preserve">      </w:t>
            </w:r>
            <w:r w:rsidRPr="006A31EC">
              <w:rPr>
                <w:rFonts w:eastAsia="SimSun"/>
                <w:sz w:val="22"/>
                <w:lang w:val="en-US"/>
              </w:rPr>
              <w:t>-</w:t>
            </w:r>
          </w:p>
        </w:tc>
        <w:tc>
          <w:tcPr>
            <w:tcW w:w="337" w:type="pct"/>
          </w:tcPr>
          <w:p w14:paraId="5D3739A0" w14:textId="77777777" w:rsidR="00BE7F89" w:rsidRPr="006A31EC" w:rsidRDefault="00BE7F89" w:rsidP="005A428D">
            <w:pPr>
              <w:rPr>
                <w:rFonts w:eastAsia="SimSun"/>
                <w:sz w:val="22"/>
              </w:rPr>
            </w:pPr>
            <w:r w:rsidRPr="006A31EC">
              <w:rPr>
                <w:rFonts w:eastAsia="SimSun"/>
                <w:sz w:val="22"/>
                <w:lang w:val="en-US"/>
              </w:rPr>
              <w:t>5.1.2.2</w:t>
            </w:r>
            <w:r w:rsidRPr="006A31EC">
              <w:rPr>
                <w:rFonts w:eastAsia="SimSun"/>
                <w:sz w:val="22"/>
              </w:rPr>
              <w:t>4</w:t>
            </w:r>
          </w:p>
        </w:tc>
      </w:tr>
      <w:tr w:rsidR="00BE7F89" w:rsidRPr="006A31EC" w14:paraId="4AAD8179" w14:textId="77777777" w:rsidTr="005A428D">
        <w:trPr>
          <w:cantSplit/>
          <w:trHeight w:val="624"/>
        </w:trPr>
        <w:tc>
          <w:tcPr>
            <w:tcW w:w="293" w:type="pct"/>
            <w:vMerge/>
            <w:shd w:val="clear" w:color="auto" w:fill="D9D9D9"/>
            <w:vAlign w:val="center"/>
          </w:tcPr>
          <w:p w14:paraId="6C802FF3" w14:textId="77777777" w:rsidR="00BE7F89" w:rsidRPr="006A31EC" w:rsidRDefault="00BE7F89" w:rsidP="005A428D">
            <w:pPr>
              <w:rPr>
                <w:rFonts w:eastAsia="SimSun"/>
                <w:sz w:val="22"/>
                <w:lang w:val="en-US"/>
              </w:rPr>
            </w:pPr>
          </w:p>
        </w:tc>
        <w:tc>
          <w:tcPr>
            <w:tcW w:w="284" w:type="pct"/>
            <w:shd w:val="clear" w:color="auto" w:fill="D9D9D9"/>
            <w:vAlign w:val="center"/>
          </w:tcPr>
          <w:p w14:paraId="0CBC7671" w14:textId="77777777" w:rsidR="00BE7F89" w:rsidRPr="006A31EC" w:rsidRDefault="00BE7F89" w:rsidP="005A428D">
            <w:pPr>
              <w:rPr>
                <w:rFonts w:eastAsia="SimSun"/>
                <w:sz w:val="22"/>
                <w:lang w:val="en-US"/>
              </w:rPr>
            </w:pPr>
            <w:r w:rsidRPr="006A31EC">
              <w:rPr>
                <w:rFonts w:eastAsia="SimSun"/>
                <w:sz w:val="22"/>
                <w:lang w:val="en-US"/>
              </w:rPr>
              <w:t>Ruxo</w:t>
            </w:r>
          </w:p>
        </w:tc>
        <w:tc>
          <w:tcPr>
            <w:tcW w:w="261" w:type="pct"/>
            <w:shd w:val="clear" w:color="auto" w:fill="D9D9D9"/>
            <w:vAlign w:val="center"/>
          </w:tcPr>
          <w:p w14:paraId="35187597" w14:textId="77777777" w:rsidR="00BE7F89" w:rsidRPr="006A31EC" w:rsidRDefault="00BE7F89" w:rsidP="005A428D">
            <w:pPr>
              <w:rPr>
                <w:rFonts w:eastAsia="SimSun"/>
                <w:sz w:val="22"/>
                <w:lang w:val="en-US"/>
              </w:rPr>
            </w:pPr>
            <w:r w:rsidRPr="006A31EC">
              <w:rPr>
                <w:rFonts w:eastAsia="SimSun"/>
                <w:sz w:val="22"/>
                <w:lang w:val="en-US"/>
              </w:rPr>
              <w:t>-</w:t>
            </w:r>
          </w:p>
        </w:tc>
        <w:tc>
          <w:tcPr>
            <w:tcW w:w="398" w:type="pct"/>
            <w:shd w:val="clear" w:color="auto" w:fill="D9D9D9"/>
            <w:vAlign w:val="center"/>
          </w:tcPr>
          <w:p w14:paraId="0663DF9A" w14:textId="77777777" w:rsidR="00BE7F89" w:rsidRPr="006A31EC" w:rsidRDefault="00BE7F89" w:rsidP="005A428D">
            <w:pPr>
              <w:rPr>
                <w:rFonts w:eastAsia="SimSun"/>
                <w:sz w:val="22"/>
                <w:lang w:val="en-US"/>
              </w:rPr>
            </w:pPr>
            <w:r w:rsidRPr="006A31EC">
              <w:rPr>
                <w:rFonts w:eastAsia="SimSun"/>
                <w:sz w:val="22"/>
                <w:lang w:val="en-US"/>
              </w:rPr>
              <w:t>-</w:t>
            </w:r>
          </w:p>
        </w:tc>
        <w:tc>
          <w:tcPr>
            <w:tcW w:w="337" w:type="pct"/>
            <w:shd w:val="clear" w:color="auto" w:fill="auto"/>
            <w:vAlign w:val="center"/>
          </w:tcPr>
          <w:p w14:paraId="4085BDD5" w14:textId="77777777" w:rsidR="00BE7F89" w:rsidRPr="006A31EC" w:rsidRDefault="00BE7F89" w:rsidP="005A428D">
            <w:pPr>
              <w:rPr>
                <w:sz w:val="22"/>
              </w:rPr>
            </w:pPr>
            <w:r w:rsidRPr="006A31EC">
              <w:rPr>
                <w:rFonts w:eastAsia="SimSun"/>
                <w:sz w:val="22"/>
                <w:lang w:val="en-US"/>
              </w:rPr>
              <w:t>-</w:t>
            </w:r>
          </w:p>
        </w:tc>
        <w:tc>
          <w:tcPr>
            <w:tcW w:w="312" w:type="pct"/>
          </w:tcPr>
          <w:p w14:paraId="65D078A2" w14:textId="77777777" w:rsidR="00BE7F89" w:rsidRPr="006A31EC" w:rsidRDefault="00BE7F89" w:rsidP="005A428D">
            <w:pPr>
              <w:rPr>
                <w:rFonts w:eastAsia="SimSun"/>
                <w:sz w:val="22"/>
                <w:lang w:val="en-US"/>
              </w:rPr>
            </w:pPr>
          </w:p>
        </w:tc>
        <w:tc>
          <w:tcPr>
            <w:tcW w:w="337" w:type="pct"/>
            <w:shd w:val="clear" w:color="auto" w:fill="auto"/>
            <w:vAlign w:val="center"/>
          </w:tcPr>
          <w:p w14:paraId="09B0BA0B"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5BDDEDA5"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6BF2AEE0"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582BC2B5"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21D972FF" w14:textId="77777777" w:rsidR="00BE7F89" w:rsidRPr="006A31EC" w:rsidRDefault="00BE7F89" w:rsidP="005A428D">
            <w:pPr>
              <w:rPr>
                <w:sz w:val="22"/>
              </w:rPr>
            </w:pPr>
            <w:r w:rsidRPr="006A31EC">
              <w:rPr>
                <w:rFonts w:eastAsia="SimSun"/>
                <w:sz w:val="22"/>
                <w:lang w:val="en-US"/>
              </w:rPr>
              <w:t>-</w:t>
            </w:r>
          </w:p>
        </w:tc>
        <w:tc>
          <w:tcPr>
            <w:tcW w:w="401" w:type="pct"/>
            <w:shd w:val="clear" w:color="auto" w:fill="auto"/>
            <w:vAlign w:val="center"/>
          </w:tcPr>
          <w:p w14:paraId="2E1D60ED" w14:textId="77777777" w:rsidR="00BE7F89" w:rsidRPr="006A31EC" w:rsidRDefault="00BE7F89" w:rsidP="005A428D">
            <w:pPr>
              <w:rPr>
                <w:rFonts w:eastAsia="SimSun"/>
                <w:sz w:val="22"/>
              </w:rPr>
            </w:pPr>
          </w:p>
        </w:tc>
        <w:tc>
          <w:tcPr>
            <w:tcW w:w="442" w:type="pct"/>
            <w:shd w:val="clear" w:color="auto" w:fill="auto"/>
            <w:vAlign w:val="center"/>
          </w:tcPr>
          <w:p w14:paraId="381C3818" w14:textId="77777777" w:rsidR="00BE7F89" w:rsidRPr="006A31EC" w:rsidRDefault="00BE7F89" w:rsidP="005A428D">
            <w:pPr>
              <w:rPr>
                <w:rFonts w:eastAsia="SimSun"/>
                <w:sz w:val="22"/>
                <w:lang w:val="en-US"/>
              </w:rPr>
            </w:pPr>
            <w:r w:rsidRPr="006A31EC">
              <w:rPr>
                <w:rFonts w:eastAsia="SimSun"/>
                <w:sz w:val="22"/>
                <w:lang w:val="en-US"/>
              </w:rPr>
              <w:t>5.1.2.12/15</w:t>
            </w:r>
          </w:p>
        </w:tc>
        <w:tc>
          <w:tcPr>
            <w:tcW w:w="337" w:type="pct"/>
            <w:shd w:val="clear" w:color="auto" w:fill="auto"/>
            <w:vAlign w:val="center"/>
          </w:tcPr>
          <w:p w14:paraId="2DA0BBF3" w14:textId="77777777" w:rsidR="00BE7F89" w:rsidRPr="006A31EC" w:rsidRDefault="00BE7F89" w:rsidP="005A428D">
            <w:pPr>
              <w:rPr>
                <w:sz w:val="22"/>
              </w:rPr>
            </w:pPr>
            <w:r w:rsidRPr="006A31EC">
              <w:rPr>
                <w:rFonts w:eastAsia="SimSun"/>
                <w:sz w:val="22"/>
                <w:lang w:val="en-US"/>
              </w:rPr>
              <w:t>-</w:t>
            </w:r>
          </w:p>
        </w:tc>
        <w:tc>
          <w:tcPr>
            <w:tcW w:w="337" w:type="pct"/>
          </w:tcPr>
          <w:p w14:paraId="0A571AD8" w14:textId="77777777" w:rsidR="00BE7F89" w:rsidRPr="006A31EC" w:rsidRDefault="00BE7F89" w:rsidP="005A428D">
            <w:pPr>
              <w:rPr>
                <w:rFonts w:eastAsia="SimSun"/>
                <w:sz w:val="22"/>
                <w:lang w:val="en-US"/>
              </w:rPr>
            </w:pPr>
          </w:p>
        </w:tc>
      </w:tr>
      <w:tr w:rsidR="00BE7F89" w:rsidRPr="006A31EC" w14:paraId="41496963" w14:textId="77777777" w:rsidTr="005A428D">
        <w:trPr>
          <w:cantSplit/>
          <w:trHeight w:val="624"/>
        </w:trPr>
        <w:tc>
          <w:tcPr>
            <w:tcW w:w="293" w:type="pct"/>
            <w:shd w:val="clear" w:color="auto" w:fill="D9D9D9"/>
            <w:vAlign w:val="center"/>
          </w:tcPr>
          <w:p w14:paraId="7D4CD0DA" w14:textId="77777777" w:rsidR="00BE7F89" w:rsidRPr="006A31EC" w:rsidRDefault="00BE7F89" w:rsidP="005A428D">
            <w:pPr>
              <w:rPr>
                <w:rFonts w:eastAsia="SimSun"/>
                <w:sz w:val="22"/>
                <w:lang w:val="en-US"/>
              </w:rPr>
            </w:pPr>
            <w:r w:rsidRPr="006A31EC">
              <w:rPr>
                <w:rFonts w:eastAsia="SimSun"/>
                <w:sz w:val="22"/>
                <w:lang w:val="en-US"/>
              </w:rPr>
              <w:t>-</w:t>
            </w:r>
          </w:p>
        </w:tc>
        <w:tc>
          <w:tcPr>
            <w:tcW w:w="284" w:type="pct"/>
            <w:shd w:val="clear" w:color="auto" w:fill="D9D9D9"/>
            <w:vAlign w:val="center"/>
          </w:tcPr>
          <w:p w14:paraId="06F5297E" w14:textId="77777777" w:rsidR="00BE7F89" w:rsidRPr="006A31EC" w:rsidRDefault="00BE7F89" w:rsidP="005A428D">
            <w:pPr>
              <w:rPr>
                <w:rFonts w:eastAsia="SimSun"/>
                <w:sz w:val="22"/>
                <w:lang w:val="en-US"/>
              </w:rPr>
            </w:pPr>
            <w:r w:rsidRPr="006A31EC">
              <w:rPr>
                <w:rFonts w:eastAsia="SimSun"/>
                <w:sz w:val="22"/>
                <w:lang w:val="en-US"/>
              </w:rPr>
              <w:t>Tx</w:t>
            </w:r>
          </w:p>
        </w:tc>
        <w:tc>
          <w:tcPr>
            <w:tcW w:w="261" w:type="pct"/>
            <w:shd w:val="clear" w:color="auto" w:fill="D9D9D9"/>
            <w:vAlign w:val="center"/>
          </w:tcPr>
          <w:p w14:paraId="064588A4" w14:textId="77777777" w:rsidR="00BE7F89" w:rsidRPr="006A31EC" w:rsidRDefault="00BE7F89" w:rsidP="005A428D">
            <w:pPr>
              <w:rPr>
                <w:rFonts w:eastAsia="SimSun"/>
                <w:sz w:val="22"/>
                <w:lang w:val="en-US"/>
              </w:rPr>
            </w:pPr>
            <w:r w:rsidRPr="006A31EC">
              <w:rPr>
                <w:rFonts w:eastAsia="SimSun"/>
                <w:sz w:val="22"/>
                <w:lang w:val="en-US"/>
              </w:rPr>
              <w:t>-</w:t>
            </w:r>
          </w:p>
        </w:tc>
        <w:tc>
          <w:tcPr>
            <w:tcW w:w="398" w:type="pct"/>
            <w:shd w:val="clear" w:color="auto" w:fill="D9D9D9"/>
            <w:vAlign w:val="center"/>
          </w:tcPr>
          <w:p w14:paraId="3497A218" w14:textId="77777777" w:rsidR="00BE7F89" w:rsidRPr="006A31EC" w:rsidRDefault="00BE7F89" w:rsidP="005A428D">
            <w:pPr>
              <w:rPr>
                <w:rFonts w:eastAsia="SimSun"/>
                <w:sz w:val="22"/>
                <w:lang w:val="en-US"/>
              </w:rPr>
            </w:pPr>
            <w:r w:rsidRPr="006A31EC">
              <w:rPr>
                <w:rFonts w:eastAsia="SimSun"/>
                <w:sz w:val="22"/>
                <w:lang w:val="en-US"/>
              </w:rPr>
              <w:t>MMF30</w:t>
            </w:r>
          </w:p>
        </w:tc>
        <w:tc>
          <w:tcPr>
            <w:tcW w:w="337" w:type="pct"/>
            <w:shd w:val="clear" w:color="auto" w:fill="auto"/>
            <w:vAlign w:val="center"/>
          </w:tcPr>
          <w:p w14:paraId="38323422" w14:textId="77777777" w:rsidR="00BE7F89" w:rsidRPr="006A31EC" w:rsidRDefault="00BE7F89" w:rsidP="005A428D">
            <w:pPr>
              <w:rPr>
                <w:sz w:val="22"/>
              </w:rPr>
            </w:pPr>
            <w:r w:rsidRPr="006A31EC">
              <w:rPr>
                <w:rFonts w:eastAsia="SimSun"/>
                <w:sz w:val="22"/>
                <w:lang w:val="en-US"/>
              </w:rPr>
              <w:t>-</w:t>
            </w:r>
          </w:p>
        </w:tc>
        <w:tc>
          <w:tcPr>
            <w:tcW w:w="312" w:type="pct"/>
          </w:tcPr>
          <w:p w14:paraId="7906C5C7" w14:textId="77777777" w:rsidR="00BE7F89" w:rsidRPr="006A31EC" w:rsidRDefault="00BE7F89" w:rsidP="005A428D">
            <w:pPr>
              <w:rPr>
                <w:rFonts w:eastAsia="SimSun"/>
                <w:sz w:val="22"/>
                <w:lang w:val="en-US"/>
              </w:rPr>
            </w:pPr>
          </w:p>
        </w:tc>
        <w:tc>
          <w:tcPr>
            <w:tcW w:w="337" w:type="pct"/>
            <w:shd w:val="clear" w:color="auto" w:fill="auto"/>
            <w:vAlign w:val="center"/>
          </w:tcPr>
          <w:p w14:paraId="13DE63CC"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55A7505D" w14:textId="77777777" w:rsidR="00BE7F89" w:rsidRPr="006A31EC" w:rsidRDefault="00BE7F89" w:rsidP="005A428D">
            <w:pPr>
              <w:rPr>
                <w:sz w:val="22"/>
              </w:rPr>
            </w:pPr>
            <w:r w:rsidRPr="006A31EC">
              <w:rPr>
                <w:rFonts w:eastAsia="SimSun"/>
                <w:sz w:val="22"/>
                <w:lang w:val="en-US"/>
              </w:rPr>
              <w:t>-</w:t>
            </w:r>
          </w:p>
        </w:tc>
        <w:tc>
          <w:tcPr>
            <w:tcW w:w="295" w:type="pct"/>
            <w:shd w:val="clear" w:color="auto" w:fill="auto"/>
            <w:vAlign w:val="center"/>
          </w:tcPr>
          <w:p w14:paraId="0EC2F606"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68650FC8" w14:textId="77777777" w:rsidR="00BE7F89" w:rsidRPr="006A31EC" w:rsidRDefault="00BE7F89" w:rsidP="005A428D">
            <w:pPr>
              <w:rPr>
                <w:sz w:val="22"/>
              </w:rPr>
            </w:pPr>
            <w:r w:rsidRPr="006A31EC">
              <w:rPr>
                <w:rFonts w:eastAsia="SimSun"/>
                <w:sz w:val="22"/>
                <w:lang w:val="en-US"/>
              </w:rPr>
              <w:t>-</w:t>
            </w:r>
          </w:p>
        </w:tc>
        <w:tc>
          <w:tcPr>
            <w:tcW w:w="337" w:type="pct"/>
            <w:shd w:val="clear" w:color="auto" w:fill="auto"/>
            <w:vAlign w:val="center"/>
          </w:tcPr>
          <w:p w14:paraId="081B5010" w14:textId="77777777" w:rsidR="00BE7F89" w:rsidRPr="006A31EC" w:rsidRDefault="00BE7F89" w:rsidP="005A428D">
            <w:pPr>
              <w:rPr>
                <w:sz w:val="22"/>
              </w:rPr>
            </w:pPr>
            <w:r w:rsidRPr="006A31EC">
              <w:rPr>
                <w:rFonts w:eastAsia="SimSun"/>
                <w:sz w:val="22"/>
                <w:lang w:val="en-US"/>
              </w:rPr>
              <w:t>-</w:t>
            </w:r>
          </w:p>
        </w:tc>
        <w:tc>
          <w:tcPr>
            <w:tcW w:w="401" w:type="pct"/>
            <w:shd w:val="clear" w:color="auto" w:fill="auto"/>
            <w:vAlign w:val="center"/>
          </w:tcPr>
          <w:p w14:paraId="1ADB3894" w14:textId="77777777" w:rsidR="00BE7F89" w:rsidRPr="006A31EC" w:rsidRDefault="00BE7F89" w:rsidP="005A428D">
            <w:pPr>
              <w:rPr>
                <w:rFonts w:eastAsia="SimSun"/>
                <w:sz w:val="22"/>
                <w:lang w:val="en-US"/>
              </w:rPr>
            </w:pPr>
            <w:r w:rsidRPr="006A31EC">
              <w:rPr>
                <w:rFonts w:eastAsia="SimSun"/>
                <w:sz w:val="22"/>
                <w:lang w:val="en-US"/>
              </w:rPr>
              <w:t>5.1.2.10</w:t>
            </w:r>
          </w:p>
        </w:tc>
        <w:tc>
          <w:tcPr>
            <w:tcW w:w="442" w:type="pct"/>
            <w:shd w:val="clear" w:color="auto" w:fill="auto"/>
            <w:vAlign w:val="center"/>
          </w:tcPr>
          <w:p w14:paraId="6716332C" w14:textId="77777777" w:rsidR="00BE7F89" w:rsidRPr="006A31EC" w:rsidRDefault="00BE7F89" w:rsidP="005A428D">
            <w:pPr>
              <w:rPr>
                <w:rFonts w:eastAsia="SimSun"/>
                <w:sz w:val="22"/>
                <w:lang w:val="en-US"/>
              </w:rPr>
            </w:pPr>
          </w:p>
        </w:tc>
        <w:tc>
          <w:tcPr>
            <w:tcW w:w="337" w:type="pct"/>
            <w:shd w:val="clear" w:color="auto" w:fill="auto"/>
            <w:vAlign w:val="center"/>
          </w:tcPr>
          <w:p w14:paraId="59B5FBAB" w14:textId="77777777" w:rsidR="00BE7F89" w:rsidRPr="006A31EC" w:rsidRDefault="00BE7F89" w:rsidP="005A428D">
            <w:pPr>
              <w:rPr>
                <w:sz w:val="22"/>
              </w:rPr>
            </w:pPr>
            <w:r w:rsidRPr="006A31EC">
              <w:rPr>
                <w:rFonts w:eastAsia="SimSun"/>
                <w:sz w:val="22"/>
                <w:lang w:val="en-US"/>
              </w:rPr>
              <w:t>-</w:t>
            </w:r>
          </w:p>
        </w:tc>
        <w:tc>
          <w:tcPr>
            <w:tcW w:w="337" w:type="pct"/>
          </w:tcPr>
          <w:p w14:paraId="3584C369" w14:textId="77777777" w:rsidR="00BE7F89" w:rsidRPr="006A31EC" w:rsidRDefault="00BE7F89" w:rsidP="005A428D">
            <w:pPr>
              <w:rPr>
                <w:rFonts w:eastAsia="SimSun"/>
                <w:sz w:val="22"/>
                <w:lang w:val="en-US"/>
              </w:rPr>
            </w:pPr>
          </w:p>
        </w:tc>
      </w:tr>
    </w:tbl>
    <w:p w14:paraId="385CD76D" w14:textId="77777777" w:rsidR="00BE7F89" w:rsidRPr="00C07B2E" w:rsidRDefault="00BE7F89" w:rsidP="00BE7F89">
      <w:pPr>
        <w:rPr>
          <w:rFonts w:eastAsia="SimSun"/>
        </w:rPr>
        <w:sectPr w:rsidR="00BE7F89" w:rsidRPr="00C07B2E" w:rsidSect="00980822">
          <w:type w:val="continuous"/>
          <w:pgSz w:w="16839" w:h="11907" w:orient="landscape" w:code="9"/>
          <w:pgMar w:top="1134" w:right="850" w:bottom="1134" w:left="1701" w:header="709" w:footer="567" w:gutter="0"/>
          <w:cols w:space="708"/>
          <w:docGrid w:linePitch="360"/>
        </w:sectPr>
      </w:pPr>
    </w:p>
    <w:p w14:paraId="5CC14FFB" w14:textId="77777777" w:rsidR="00BE7F89" w:rsidRPr="00C07B2E" w:rsidRDefault="00BE7F89" w:rsidP="00BE7F89">
      <w:pPr>
        <w:rPr>
          <w:rFonts w:eastAsia="SimSun"/>
        </w:rPr>
      </w:pPr>
    </w:p>
    <w:p w14:paraId="7F2632C9" w14:textId="77777777" w:rsidR="00BE7F89" w:rsidRPr="00C07B2E" w:rsidRDefault="00BE7F89" w:rsidP="00BE7F89">
      <w:pPr>
        <w:rPr>
          <w:rFonts w:eastAsia="SimSun"/>
        </w:rPr>
      </w:pPr>
      <w:bookmarkStart w:id="150" w:name="_Toc44401159"/>
      <w:r w:rsidRPr="00042499">
        <w:rPr>
          <w:rFonts w:eastAsia="SimSun"/>
        </w:rPr>
        <w:t>Таблица</w:t>
      </w:r>
      <w:r w:rsidRPr="00C07B2E">
        <w:rPr>
          <w:rFonts w:eastAsia="SimSun"/>
        </w:rPr>
        <w:t xml:space="preserve"> </w:t>
      </w:r>
      <w:r>
        <w:rPr>
          <w:rFonts w:eastAsia="SimSun"/>
        </w:rPr>
        <w:t>5.</w:t>
      </w:r>
      <w:r w:rsidRPr="00C07B2E">
        <w:rPr>
          <w:rFonts w:eastAsia="SimSun"/>
        </w:rPr>
        <w:t>1.2.1  – Flu150+Bu8+Thio / hATG+CSA+MTX+MMF30</w:t>
      </w:r>
      <w:bookmarkEnd w:id="15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BE7F89" w:rsidRPr="00AC3044" w14:paraId="253A9C2E" w14:textId="77777777" w:rsidTr="005A428D">
        <w:trPr>
          <w:cantSplit/>
          <w:trHeight w:val="20"/>
          <w:tblHeader/>
        </w:trPr>
        <w:tc>
          <w:tcPr>
            <w:tcW w:w="993" w:type="dxa"/>
          </w:tcPr>
          <w:p w14:paraId="77774AB8" w14:textId="77777777" w:rsidR="00BE7F89" w:rsidRPr="00470D3D" w:rsidRDefault="00BE7F89" w:rsidP="005A428D">
            <w:pPr>
              <w:rPr>
                <w:rFonts w:eastAsia="SimSun"/>
              </w:rPr>
            </w:pPr>
          </w:p>
        </w:tc>
        <w:tc>
          <w:tcPr>
            <w:tcW w:w="1843" w:type="dxa"/>
            <w:vAlign w:val="center"/>
          </w:tcPr>
          <w:p w14:paraId="367A5EDE"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0F964564"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12F0BF88"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38F092B5"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0038FC7B"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6FF2E44" w14:textId="77777777" w:rsidTr="005A428D">
        <w:trPr>
          <w:cantSplit/>
          <w:trHeight w:val="20"/>
        </w:trPr>
        <w:tc>
          <w:tcPr>
            <w:tcW w:w="993" w:type="dxa"/>
            <w:vMerge w:val="restart"/>
            <w:textDirection w:val="btLr"/>
            <w:vAlign w:val="center"/>
          </w:tcPr>
          <w:p w14:paraId="54864B9B"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3F0F58B1"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4ACA60E8" w14:textId="77777777" w:rsidR="00BE7F89" w:rsidRPr="00AC3044" w:rsidRDefault="00BE7F89" w:rsidP="005A428D">
            <w:pPr>
              <w:rPr>
                <w:rFonts w:eastAsia="SimSun"/>
              </w:rPr>
            </w:pPr>
            <w:r w:rsidRPr="00AC3044">
              <w:rPr>
                <w:rFonts w:eastAsia="SimSun"/>
              </w:rPr>
              <w:t>50 мг/м</w:t>
            </w:r>
            <w:r w:rsidRPr="005659AA">
              <w:rPr>
                <w:rFonts w:eastAsia="SimSun"/>
                <w:vertAlign w:val="superscript"/>
              </w:rPr>
              <w:t>2</w:t>
            </w:r>
          </w:p>
        </w:tc>
        <w:tc>
          <w:tcPr>
            <w:tcW w:w="1418" w:type="dxa"/>
            <w:vAlign w:val="center"/>
          </w:tcPr>
          <w:p w14:paraId="50F47F9E" w14:textId="77777777" w:rsidR="00BE7F89" w:rsidRPr="00AC3044" w:rsidRDefault="00BE7F89" w:rsidP="005A428D">
            <w:pPr>
              <w:rPr>
                <w:rFonts w:eastAsia="SimSun"/>
              </w:rPr>
            </w:pPr>
            <w:r w:rsidRPr="00AC3044">
              <w:rPr>
                <w:rFonts w:eastAsia="SimSun"/>
              </w:rPr>
              <w:t>150 мг/м</w:t>
            </w:r>
            <w:r w:rsidRPr="005659AA">
              <w:rPr>
                <w:rFonts w:eastAsia="SimSun"/>
                <w:vertAlign w:val="superscript"/>
              </w:rPr>
              <w:t>2</w:t>
            </w:r>
          </w:p>
        </w:tc>
        <w:tc>
          <w:tcPr>
            <w:tcW w:w="1701" w:type="dxa"/>
            <w:vAlign w:val="center"/>
          </w:tcPr>
          <w:p w14:paraId="4ED0BA59" w14:textId="77777777" w:rsidR="00BE7F89" w:rsidRPr="00AC3044" w:rsidRDefault="00BE7F89" w:rsidP="005A428D">
            <w:pPr>
              <w:rPr>
                <w:rFonts w:eastAsia="SimSun"/>
              </w:rPr>
            </w:pPr>
            <w:r w:rsidRPr="00AC3044">
              <w:rPr>
                <w:rFonts w:eastAsia="SimSun"/>
              </w:rPr>
              <w:t>С –4 по –2 день</w:t>
            </w:r>
          </w:p>
        </w:tc>
        <w:tc>
          <w:tcPr>
            <w:tcW w:w="2268" w:type="dxa"/>
            <w:vAlign w:val="center"/>
          </w:tcPr>
          <w:p w14:paraId="3889BC07"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00D66AD" w14:textId="77777777" w:rsidTr="005A428D">
        <w:trPr>
          <w:cantSplit/>
          <w:trHeight w:val="731"/>
        </w:trPr>
        <w:tc>
          <w:tcPr>
            <w:tcW w:w="993" w:type="dxa"/>
            <w:vMerge/>
            <w:textDirection w:val="btLr"/>
            <w:vAlign w:val="center"/>
          </w:tcPr>
          <w:p w14:paraId="569E9263" w14:textId="77777777" w:rsidR="00BE7F89" w:rsidRPr="00AC3044" w:rsidRDefault="00BE7F89" w:rsidP="005A428D">
            <w:pPr>
              <w:rPr>
                <w:rFonts w:eastAsia="SimSun"/>
              </w:rPr>
            </w:pPr>
          </w:p>
        </w:tc>
        <w:tc>
          <w:tcPr>
            <w:tcW w:w="1843" w:type="dxa"/>
            <w:vAlign w:val="center"/>
          </w:tcPr>
          <w:p w14:paraId="1C62B5D6"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11E68C5D" w14:textId="77777777" w:rsidR="00BE7F89" w:rsidRPr="00AC3044" w:rsidRDefault="00BE7F89" w:rsidP="005A428D">
            <w:pPr>
              <w:rPr>
                <w:rFonts w:eastAsia="SimSun"/>
              </w:rPr>
            </w:pPr>
            <w:r w:rsidRPr="00AC3044">
              <w:rPr>
                <w:rFonts w:eastAsia="SimSun"/>
              </w:rPr>
              <w:t>4 мг/кг</w:t>
            </w:r>
          </w:p>
        </w:tc>
        <w:tc>
          <w:tcPr>
            <w:tcW w:w="1418" w:type="dxa"/>
            <w:vAlign w:val="center"/>
          </w:tcPr>
          <w:p w14:paraId="54A39969" w14:textId="77777777" w:rsidR="00BE7F89" w:rsidRPr="00AC3044" w:rsidRDefault="00BE7F89" w:rsidP="005A428D">
            <w:pPr>
              <w:rPr>
                <w:rFonts w:eastAsia="SimSun"/>
              </w:rPr>
            </w:pPr>
            <w:r w:rsidRPr="00AC3044">
              <w:rPr>
                <w:rFonts w:eastAsia="SimSun"/>
              </w:rPr>
              <w:t>8 мг/кг</w:t>
            </w:r>
          </w:p>
        </w:tc>
        <w:tc>
          <w:tcPr>
            <w:tcW w:w="1701" w:type="dxa"/>
            <w:vAlign w:val="center"/>
          </w:tcPr>
          <w:p w14:paraId="234131E1" w14:textId="77777777" w:rsidR="00BE7F89" w:rsidRPr="00AC3044" w:rsidRDefault="00BE7F89" w:rsidP="005A428D">
            <w:pPr>
              <w:rPr>
                <w:rFonts w:eastAsia="SimSun"/>
              </w:rPr>
            </w:pPr>
            <w:r w:rsidRPr="00AC3044">
              <w:rPr>
                <w:rFonts w:eastAsia="SimSun"/>
              </w:rPr>
              <w:t>–3, –2 дни</w:t>
            </w:r>
          </w:p>
        </w:tc>
        <w:tc>
          <w:tcPr>
            <w:tcW w:w="2268" w:type="dxa"/>
            <w:vAlign w:val="center"/>
          </w:tcPr>
          <w:p w14:paraId="17234B53"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4488D5D5" w14:textId="77777777" w:rsidTr="005A428D">
        <w:trPr>
          <w:cantSplit/>
          <w:trHeight w:val="700"/>
        </w:trPr>
        <w:tc>
          <w:tcPr>
            <w:tcW w:w="993" w:type="dxa"/>
            <w:vMerge/>
            <w:textDirection w:val="btLr"/>
            <w:vAlign w:val="center"/>
          </w:tcPr>
          <w:p w14:paraId="5D28C52D" w14:textId="77777777" w:rsidR="00BE7F89" w:rsidRPr="00AC3044" w:rsidRDefault="00BE7F89" w:rsidP="005A428D">
            <w:pPr>
              <w:rPr>
                <w:rFonts w:eastAsia="SimSun"/>
              </w:rPr>
            </w:pPr>
          </w:p>
        </w:tc>
        <w:tc>
          <w:tcPr>
            <w:tcW w:w="1843" w:type="dxa"/>
            <w:vAlign w:val="center"/>
          </w:tcPr>
          <w:p w14:paraId="00213062" w14:textId="77777777" w:rsidR="00BE7F89" w:rsidRPr="00AC3044" w:rsidRDefault="00BE7F89" w:rsidP="005A428D">
            <w:pPr>
              <w:rPr>
                <w:rFonts w:eastAsia="SimSun"/>
              </w:rPr>
            </w:pPr>
            <w:r w:rsidRPr="00AC3044">
              <w:rPr>
                <w:rFonts w:eastAsia="SimSun"/>
              </w:rPr>
              <w:t>Тиотепа</w:t>
            </w:r>
          </w:p>
        </w:tc>
        <w:tc>
          <w:tcPr>
            <w:tcW w:w="1417" w:type="dxa"/>
            <w:vAlign w:val="center"/>
          </w:tcPr>
          <w:p w14:paraId="1449DBB2" w14:textId="77777777" w:rsidR="00BE7F89" w:rsidRPr="00AC3044" w:rsidRDefault="00BE7F89" w:rsidP="005A428D">
            <w:pPr>
              <w:rPr>
                <w:rFonts w:eastAsia="SimSun"/>
              </w:rPr>
            </w:pPr>
            <w:r w:rsidRPr="00AC3044">
              <w:rPr>
                <w:rFonts w:eastAsia="SimSun"/>
              </w:rPr>
              <w:t>5 мг/кг</w:t>
            </w:r>
          </w:p>
        </w:tc>
        <w:tc>
          <w:tcPr>
            <w:tcW w:w="1418" w:type="dxa"/>
            <w:vAlign w:val="center"/>
          </w:tcPr>
          <w:p w14:paraId="707E0910" w14:textId="77777777" w:rsidR="00BE7F89" w:rsidRPr="00AC3044" w:rsidRDefault="00BE7F89" w:rsidP="005A428D">
            <w:pPr>
              <w:rPr>
                <w:rFonts w:eastAsia="SimSun"/>
              </w:rPr>
            </w:pPr>
            <w:r w:rsidRPr="00AC3044">
              <w:rPr>
                <w:rFonts w:eastAsia="SimSun"/>
              </w:rPr>
              <w:t>10 мг/кг</w:t>
            </w:r>
          </w:p>
        </w:tc>
        <w:tc>
          <w:tcPr>
            <w:tcW w:w="1701" w:type="dxa"/>
            <w:vAlign w:val="center"/>
          </w:tcPr>
          <w:p w14:paraId="2E2EAB5F" w14:textId="77777777" w:rsidR="00BE7F89" w:rsidRPr="00AC3044" w:rsidRDefault="00BE7F89" w:rsidP="005A428D">
            <w:pPr>
              <w:rPr>
                <w:rFonts w:eastAsia="SimSun"/>
              </w:rPr>
            </w:pPr>
            <w:r w:rsidRPr="00AC3044">
              <w:rPr>
                <w:rFonts w:eastAsia="SimSun"/>
              </w:rPr>
              <w:t>-6,-5 дни</w:t>
            </w:r>
          </w:p>
        </w:tc>
        <w:tc>
          <w:tcPr>
            <w:tcW w:w="2268" w:type="dxa"/>
            <w:vAlign w:val="center"/>
          </w:tcPr>
          <w:p w14:paraId="4F71319B" w14:textId="77777777" w:rsidR="00BE7F89" w:rsidRPr="00AC3044" w:rsidRDefault="00BE7F89" w:rsidP="005A428D">
            <w:pPr>
              <w:rPr>
                <w:rFonts w:eastAsia="SimSun"/>
              </w:rPr>
            </w:pPr>
            <w:r w:rsidRPr="00AC3044">
              <w:rPr>
                <w:rFonts w:eastAsia="SimSun"/>
              </w:rPr>
              <w:t>В/в, в течение 2 ч</w:t>
            </w:r>
          </w:p>
        </w:tc>
      </w:tr>
      <w:tr w:rsidR="00BE7F89" w:rsidRPr="00AC3044" w14:paraId="19666023" w14:textId="77777777" w:rsidTr="005A428D">
        <w:trPr>
          <w:cantSplit/>
          <w:trHeight w:val="20"/>
        </w:trPr>
        <w:tc>
          <w:tcPr>
            <w:tcW w:w="993" w:type="dxa"/>
            <w:vMerge w:val="restart"/>
            <w:textDirection w:val="btLr"/>
          </w:tcPr>
          <w:p w14:paraId="50803401"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6157EC38" w14:textId="77777777" w:rsidR="00BE7F89" w:rsidRPr="00AC3044" w:rsidRDefault="00BE7F89" w:rsidP="005A428D">
            <w:pPr>
              <w:rPr>
                <w:rFonts w:eastAsia="SimSun"/>
              </w:rPr>
            </w:pPr>
            <w:r w:rsidRPr="00AC3044">
              <w:rPr>
                <w:rFonts w:eastAsia="SimSun"/>
              </w:rPr>
              <w:t>АТГ (лошадиный)</w:t>
            </w:r>
          </w:p>
        </w:tc>
        <w:tc>
          <w:tcPr>
            <w:tcW w:w="1417" w:type="dxa"/>
            <w:vAlign w:val="center"/>
          </w:tcPr>
          <w:p w14:paraId="050E02BB" w14:textId="77777777" w:rsidR="00BE7F89" w:rsidRPr="00AC3044" w:rsidRDefault="00BE7F89" w:rsidP="005A428D">
            <w:pPr>
              <w:rPr>
                <w:rFonts w:eastAsia="SimSun"/>
              </w:rPr>
            </w:pPr>
            <w:r w:rsidRPr="00AC3044">
              <w:rPr>
                <w:rFonts w:eastAsia="SimSun"/>
              </w:rPr>
              <w:t>10-15 мг/кг</w:t>
            </w:r>
          </w:p>
        </w:tc>
        <w:tc>
          <w:tcPr>
            <w:tcW w:w="1418" w:type="dxa"/>
            <w:vAlign w:val="center"/>
          </w:tcPr>
          <w:p w14:paraId="058B6002" w14:textId="77777777" w:rsidR="00BE7F89" w:rsidRPr="00AC3044" w:rsidRDefault="00BE7F89" w:rsidP="005A428D">
            <w:pPr>
              <w:rPr>
                <w:rFonts w:eastAsia="SimSun"/>
              </w:rPr>
            </w:pPr>
            <w:r w:rsidRPr="00AC3044">
              <w:rPr>
                <w:rFonts w:eastAsia="SimSun"/>
              </w:rPr>
              <w:t>40-60 мг/кг</w:t>
            </w:r>
          </w:p>
        </w:tc>
        <w:tc>
          <w:tcPr>
            <w:tcW w:w="1701" w:type="dxa"/>
            <w:vAlign w:val="center"/>
          </w:tcPr>
          <w:p w14:paraId="4EEED650" w14:textId="77777777" w:rsidR="00BE7F89" w:rsidRPr="00AC3044" w:rsidRDefault="00BE7F89" w:rsidP="005A428D">
            <w:pPr>
              <w:rPr>
                <w:rFonts w:eastAsia="SimSun"/>
              </w:rPr>
            </w:pPr>
            <w:r w:rsidRPr="00AC3044">
              <w:rPr>
                <w:rFonts w:eastAsia="SimSun"/>
              </w:rPr>
              <w:t>С –4 по –1 день</w:t>
            </w:r>
          </w:p>
        </w:tc>
        <w:tc>
          <w:tcPr>
            <w:tcW w:w="2268" w:type="dxa"/>
            <w:vAlign w:val="center"/>
          </w:tcPr>
          <w:p w14:paraId="3BA08DA2" w14:textId="77777777" w:rsidR="00BE7F89" w:rsidRPr="00AC3044" w:rsidRDefault="00BE7F89" w:rsidP="005A428D">
            <w:pPr>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 «Инфузия АТГ») </w:t>
            </w:r>
          </w:p>
        </w:tc>
      </w:tr>
      <w:tr w:rsidR="00BE7F89" w:rsidRPr="00AC3044" w14:paraId="6DC73F4F" w14:textId="77777777" w:rsidTr="005A428D">
        <w:trPr>
          <w:cantSplit/>
          <w:trHeight w:val="20"/>
        </w:trPr>
        <w:tc>
          <w:tcPr>
            <w:tcW w:w="993" w:type="dxa"/>
            <w:vMerge/>
            <w:textDirection w:val="btLr"/>
          </w:tcPr>
          <w:p w14:paraId="0782E1DB" w14:textId="77777777" w:rsidR="00BE7F89" w:rsidRPr="00AC3044" w:rsidRDefault="00BE7F89" w:rsidP="005A428D">
            <w:pPr>
              <w:rPr>
                <w:rFonts w:eastAsia="SimSun"/>
              </w:rPr>
            </w:pPr>
          </w:p>
        </w:tc>
        <w:tc>
          <w:tcPr>
            <w:tcW w:w="1843" w:type="dxa"/>
            <w:vAlign w:val="center"/>
          </w:tcPr>
          <w:p w14:paraId="431F3872" w14:textId="77777777" w:rsidR="00BE7F89" w:rsidRPr="00AC3044" w:rsidRDefault="00BE7F89" w:rsidP="005A428D">
            <w:pPr>
              <w:rPr>
                <w:rFonts w:eastAsia="SimSun"/>
              </w:rPr>
            </w:pPr>
            <w:r w:rsidRPr="00AC3044">
              <w:rPr>
                <w:rFonts w:eastAsia="SimSun"/>
              </w:rPr>
              <w:t>Циклоспорин</w:t>
            </w:r>
          </w:p>
        </w:tc>
        <w:tc>
          <w:tcPr>
            <w:tcW w:w="1417" w:type="dxa"/>
            <w:vAlign w:val="center"/>
          </w:tcPr>
          <w:p w14:paraId="1FC5357F" w14:textId="77777777" w:rsidR="00BE7F89" w:rsidRPr="00AC3044" w:rsidRDefault="00BE7F89" w:rsidP="005A428D">
            <w:pPr>
              <w:rPr>
                <w:rFonts w:eastAsia="SimSun"/>
              </w:rPr>
            </w:pPr>
            <w:r w:rsidRPr="00AC3044">
              <w:rPr>
                <w:rFonts w:eastAsia="SimSun"/>
              </w:rPr>
              <w:t>3 мг/кг</w:t>
            </w:r>
          </w:p>
        </w:tc>
        <w:tc>
          <w:tcPr>
            <w:tcW w:w="1418" w:type="dxa"/>
            <w:vAlign w:val="center"/>
          </w:tcPr>
          <w:p w14:paraId="6BA218EF" w14:textId="77777777" w:rsidR="00BE7F89" w:rsidRPr="00AC3044" w:rsidRDefault="00BE7F89" w:rsidP="005A428D">
            <w:pPr>
              <w:rPr>
                <w:rFonts w:eastAsia="SimSun"/>
              </w:rPr>
            </w:pPr>
            <w:r w:rsidRPr="00AC3044">
              <w:rPr>
                <w:rFonts w:eastAsia="SimSun"/>
              </w:rPr>
              <w:t>–</w:t>
            </w:r>
          </w:p>
        </w:tc>
        <w:tc>
          <w:tcPr>
            <w:tcW w:w="1701" w:type="dxa"/>
            <w:vAlign w:val="center"/>
          </w:tcPr>
          <w:p w14:paraId="44A373D2" w14:textId="77777777" w:rsidR="00BE7F89" w:rsidRPr="00AC3044" w:rsidRDefault="00BE7F89" w:rsidP="005A428D">
            <w:pPr>
              <w:rPr>
                <w:rFonts w:eastAsia="SimSun"/>
              </w:rPr>
            </w:pPr>
            <w:r w:rsidRPr="00AC3044">
              <w:rPr>
                <w:rFonts w:eastAsia="SimSun"/>
              </w:rPr>
              <w:t>С –1 дня по +90 день, затем постепенное снижение к +180 дню</w:t>
            </w:r>
          </w:p>
        </w:tc>
        <w:tc>
          <w:tcPr>
            <w:tcW w:w="2268" w:type="dxa"/>
            <w:vAlign w:val="center"/>
          </w:tcPr>
          <w:p w14:paraId="4D9F27D0"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BE7F89" w:rsidRPr="00AC3044" w14:paraId="274C9D76" w14:textId="77777777" w:rsidTr="005A428D">
        <w:trPr>
          <w:cantSplit/>
          <w:trHeight w:val="20"/>
        </w:trPr>
        <w:tc>
          <w:tcPr>
            <w:tcW w:w="993" w:type="dxa"/>
            <w:vMerge/>
          </w:tcPr>
          <w:p w14:paraId="0FD4B75B" w14:textId="77777777" w:rsidR="00BE7F89" w:rsidRPr="00AC3044" w:rsidRDefault="00BE7F89" w:rsidP="005A428D">
            <w:pPr>
              <w:rPr>
                <w:rFonts w:eastAsia="SimSun"/>
              </w:rPr>
            </w:pPr>
          </w:p>
        </w:tc>
        <w:tc>
          <w:tcPr>
            <w:tcW w:w="1843" w:type="dxa"/>
            <w:vMerge w:val="restart"/>
            <w:vAlign w:val="center"/>
          </w:tcPr>
          <w:p w14:paraId="6E8AE90F" w14:textId="77777777" w:rsidR="00BE7F89" w:rsidRPr="00AC3044" w:rsidRDefault="00BE7F89" w:rsidP="005A428D">
            <w:pPr>
              <w:rPr>
                <w:rFonts w:eastAsia="SimSun"/>
              </w:rPr>
            </w:pPr>
            <w:r w:rsidRPr="00AC3044">
              <w:rPr>
                <w:rFonts w:eastAsia="SimSun"/>
              </w:rPr>
              <w:t>Метотрексат</w:t>
            </w:r>
          </w:p>
        </w:tc>
        <w:tc>
          <w:tcPr>
            <w:tcW w:w="1417" w:type="dxa"/>
            <w:vAlign w:val="center"/>
          </w:tcPr>
          <w:p w14:paraId="621BDDD5" w14:textId="77777777" w:rsidR="00BE7F89" w:rsidRPr="00AC3044" w:rsidRDefault="00BE7F89" w:rsidP="005A428D">
            <w:pPr>
              <w:rPr>
                <w:rFonts w:eastAsia="SimSun"/>
              </w:rPr>
            </w:pPr>
            <w:r w:rsidRPr="00AC3044">
              <w:rPr>
                <w:rFonts w:eastAsia="SimSun"/>
              </w:rPr>
              <w:t>15 мг/м</w:t>
            </w:r>
            <w:r w:rsidRPr="000C005F">
              <w:rPr>
                <w:rFonts w:eastAsia="SimSun"/>
                <w:vertAlign w:val="superscript"/>
              </w:rPr>
              <w:t>2</w:t>
            </w:r>
          </w:p>
        </w:tc>
        <w:tc>
          <w:tcPr>
            <w:tcW w:w="1418" w:type="dxa"/>
            <w:vAlign w:val="center"/>
          </w:tcPr>
          <w:p w14:paraId="621A181B" w14:textId="77777777" w:rsidR="00BE7F89" w:rsidRPr="00AC3044" w:rsidRDefault="00BE7F89" w:rsidP="005A428D">
            <w:pPr>
              <w:rPr>
                <w:rFonts w:eastAsia="SimSun"/>
              </w:rPr>
            </w:pPr>
            <w:r w:rsidRPr="00AC3044">
              <w:rPr>
                <w:rFonts w:eastAsia="SimSun"/>
              </w:rPr>
              <w:t>–</w:t>
            </w:r>
          </w:p>
        </w:tc>
        <w:tc>
          <w:tcPr>
            <w:tcW w:w="1701" w:type="dxa"/>
            <w:vAlign w:val="center"/>
          </w:tcPr>
          <w:p w14:paraId="1E1BBAF2" w14:textId="77777777" w:rsidR="00BE7F89" w:rsidRPr="00AC3044" w:rsidRDefault="00BE7F89" w:rsidP="005A428D">
            <w:pPr>
              <w:rPr>
                <w:rFonts w:eastAsia="SimSun"/>
              </w:rPr>
            </w:pPr>
            <w:r w:rsidRPr="00AC3044">
              <w:rPr>
                <w:rFonts w:eastAsia="SimSun"/>
              </w:rPr>
              <w:t>+1 день</w:t>
            </w:r>
          </w:p>
        </w:tc>
        <w:tc>
          <w:tcPr>
            <w:tcW w:w="2268" w:type="dxa"/>
            <w:vAlign w:val="center"/>
          </w:tcPr>
          <w:p w14:paraId="28DFA869"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048C2C9F" w14:textId="77777777" w:rsidTr="005A428D">
        <w:trPr>
          <w:cantSplit/>
          <w:trHeight w:val="464"/>
        </w:trPr>
        <w:tc>
          <w:tcPr>
            <w:tcW w:w="993" w:type="dxa"/>
            <w:vMerge/>
          </w:tcPr>
          <w:p w14:paraId="41417F20" w14:textId="77777777" w:rsidR="00BE7F89" w:rsidRPr="00AC3044" w:rsidRDefault="00BE7F89" w:rsidP="005A428D">
            <w:pPr>
              <w:rPr>
                <w:rFonts w:eastAsia="SimSun"/>
              </w:rPr>
            </w:pPr>
          </w:p>
        </w:tc>
        <w:tc>
          <w:tcPr>
            <w:tcW w:w="1843" w:type="dxa"/>
            <w:vMerge/>
            <w:vAlign w:val="center"/>
          </w:tcPr>
          <w:p w14:paraId="08B6BE81" w14:textId="77777777" w:rsidR="00BE7F89" w:rsidRPr="00AC3044" w:rsidRDefault="00BE7F89" w:rsidP="005A428D">
            <w:pPr>
              <w:rPr>
                <w:rFonts w:eastAsia="SimSun"/>
              </w:rPr>
            </w:pPr>
          </w:p>
        </w:tc>
        <w:tc>
          <w:tcPr>
            <w:tcW w:w="1417" w:type="dxa"/>
            <w:vAlign w:val="center"/>
          </w:tcPr>
          <w:p w14:paraId="65B7001A" w14:textId="77777777" w:rsidR="00BE7F89" w:rsidRPr="00AC3044" w:rsidRDefault="00BE7F89" w:rsidP="005A428D">
            <w:pPr>
              <w:rPr>
                <w:rFonts w:eastAsia="SimSun"/>
              </w:rPr>
            </w:pPr>
            <w:r w:rsidRPr="00AC3044">
              <w:rPr>
                <w:rFonts w:eastAsia="SimSun"/>
              </w:rPr>
              <w:t>10 мг/м</w:t>
            </w:r>
            <w:r w:rsidRPr="000C005F">
              <w:rPr>
                <w:rFonts w:eastAsia="SimSun"/>
                <w:vertAlign w:val="superscript"/>
              </w:rPr>
              <w:t>2</w:t>
            </w:r>
          </w:p>
        </w:tc>
        <w:tc>
          <w:tcPr>
            <w:tcW w:w="1418" w:type="dxa"/>
            <w:vAlign w:val="center"/>
          </w:tcPr>
          <w:p w14:paraId="388BC9DA" w14:textId="77777777" w:rsidR="00BE7F89" w:rsidRPr="00AC3044" w:rsidRDefault="00BE7F89" w:rsidP="005A428D">
            <w:pPr>
              <w:rPr>
                <w:rFonts w:eastAsia="SimSun"/>
              </w:rPr>
            </w:pPr>
            <w:r w:rsidRPr="00AC3044">
              <w:rPr>
                <w:rFonts w:eastAsia="SimSun"/>
              </w:rPr>
              <w:t>–</w:t>
            </w:r>
          </w:p>
        </w:tc>
        <w:tc>
          <w:tcPr>
            <w:tcW w:w="1701" w:type="dxa"/>
            <w:vAlign w:val="center"/>
          </w:tcPr>
          <w:p w14:paraId="65CB72F4" w14:textId="77777777" w:rsidR="00BE7F89" w:rsidRPr="00AC3044" w:rsidRDefault="00BE7F89" w:rsidP="005A428D">
            <w:pPr>
              <w:rPr>
                <w:rFonts w:eastAsia="SimSun"/>
              </w:rPr>
            </w:pPr>
            <w:r w:rsidRPr="00AC3044">
              <w:rPr>
                <w:rFonts w:eastAsia="SimSun"/>
              </w:rPr>
              <w:t>+3, +6, +11 день</w:t>
            </w:r>
          </w:p>
        </w:tc>
        <w:tc>
          <w:tcPr>
            <w:tcW w:w="2268" w:type="dxa"/>
            <w:vAlign w:val="center"/>
          </w:tcPr>
          <w:p w14:paraId="4905F4C6" w14:textId="77777777" w:rsidR="00BE7F89" w:rsidRPr="00AC3044" w:rsidRDefault="00BE7F89" w:rsidP="005A428D">
            <w:pPr>
              <w:rPr>
                <w:rFonts w:eastAsia="SimSun"/>
              </w:rPr>
            </w:pPr>
            <w:r w:rsidRPr="00AC3044">
              <w:rPr>
                <w:rFonts w:eastAsia="SimSun"/>
              </w:rPr>
              <w:t>В/в, в 20 мл физ. р-ра</w:t>
            </w:r>
          </w:p>
        </w:tc>
      </w:tr>
      <w:tr w:rsidR="00BE7F89" w:rsidRPr="00AC3044" w14:paraId="0E2710A6" w14:textId="77777777" w:rsidTr="005A428D">
        <w:trPr>
          <w:cantSplit/>
          <w:trHeight w:val="464"/>
        </w:trPr>
        <w:tc>
          <w:tcPr>
            <w:tcW w:w="993" w:type="dxa"/>
            <w:vMerge/>
          </w:tcPr>
          <w:p w14:paraId="10987754" w14:textId="77777777" w:rsidR="00BE7F89" w:rsidRPr="00AC3044" w:rsidRDefault="00BE7F89" w:rsidP="005A428D">
            <w:pPr>
              <w:rPr>
                <w:rFonts w:eastAsia="SimSun"/>
              </w:rPr>
            </w:pPr>
          </w:p>
        </w:tc>
        <w:tc>
          <w:tcPr>
            <w:tcW w:w="1843" w:type="dxa"/>
            <w:vMerge w:val="restart"/>
            <w:vAlign w:val="center"/>
          </w:tcPr>
          <w:p w14:paraId="44268165" w14:textId="77777777" w:rsidR="00BE7F89" w:rsidRPr="00AC3044" w:rsidRDefault="00BE7F89" w:rsidP="005A428D">
            <w:pPr>
              <w:rPr>
                <w:rFonts w:eastAsia="SimSun"/>
              </w:rPr>
            </w:pPr>
            <w:r w:rsidRPr="00AC3044">
              <w:rPr>
                <w:rFonts w:eastAsia="SimSun"/>
              </w:rPr>
              <w:t>Микофенолата мофетил (только при использовании СКК)</w:t>
            </w:r>
          </w:p>
        </w:tc>
        <w:tc>
          <w:tcPr>
            <w:tcW w:w="1417" w:type="dxa"/>
            <w:vAlign w:val="center"/>
          </w:tcPr>
          <w:p w14:paraId="143EDC28" w14:textId="77777777" w:rsidR="00BE7F89" w:rsidRPr="00AC3044" w:rsidRDefault="00BE7F89" w:rsidP="005A428D">
            <w:pPr>
              <w:rPr>
                <w:rFonts w:eastAsia="SimSun"/>
              </w:rPr>
            </w:pPr>
            <w:r w:rsidRPr="00AC3044">
              <w:rPr>
                <w:rFonts w:eastAsia="SimSun"/>
              </w:rPr>
              <w:t>2000 мг</w:t>
            </w:r>
          </w:p>
        </w:tc>
        <w:tc>
          <w:tcPr>
            <w:tcW w:w="1418" w:type="dxa"/>
            <w:vAlign w:val="center"/>
          </w:tcPr>
          <w:p w14:paraId="4A90A38D" w14:textId="77777777" w:rsidR="00BE7F89" w:rsidRPr="00AC3044" w:rsidRDefault="00BE7F89" w:rsidP="005A428D">
            <w:pPr>
              <w:rPr>
                <w:rFonts w:eastAsia="SimSun"/>
              </w:rPr>
            </w:pPr>
            <w:r w:rsidRPr="00AC3044">
              <w:rPr>
                <w:rFonts w:eastAsia="SimSun"/>
              </w:rPr>
              <w:t>–</w:t>
            </w:r>
          </w:p>
        </w:tc>
        <w:tc>
          <w:tcPr>
            <w:tcW w:w="1701" w:type="dxa"/>
            <w:vAlign w:val="center"/>
          </w:tcPr>
          <w:p w14:paraId="29DF3AD4" w14:textId="77777777" w:rsidR="00BE7F89" w:rsidRPr="00AC3044" w:rsidRDefault="00BE7F89" w:rsidP="005A428D">
            <w:pPr>
              <w:rPr>
                <w:rFonts w:eastAsia="SimSun"/>
              </w:rPr>
            </w:pPr>
            <w:r w:rsidRPr="00AC3044">
              <w:rPr>
                <w:rFonts w:eastAsia="SimSun"/>
              </w:rPr>
              <w:t>С +1 по +14 день</w:t>
            </w:r>
          </w:p>
        </w:tc>
        <w:tc>
          <w:tcPr>
            <w:tcW w:w="2268" w:type="dxa"/>
            <w:vAlign w:val="center"/>
          </w:tcPr>
          <w:p w14:paraId="73E0B25A"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3г/сут).</w:t>
            </w:r>
          </w:p>
        </w:tc>
      </w:tr>
      <w:tr w:rsidR="00BE7F89" w:rsidRPr="00AC3044" w14:paraId="456D8A9F" w14:textId="77777777" w:rsidTr="005A428D">
        <w:trPr>
          <w:cantSplit/>
          <w:trHeight w:val="464"/>
        </w:trPr>
        <w:tc>
          <w:tcPr>
            <w:tcW w:w="993" w:type="dxa"/>
            <w:vMerge/>
          </w:tcPr>
          <w:p w14:paraId="0BB65DCA" w14:textId="77777777" w:rsidR="00BE7F89" w:rsidRPr="00AC3044" w:rsidRDefault="00BE7F89" w:rsidP="005A428D">
            <w:pPr>
              <w:rPr>
                <w:rFonts w:eastAsia="SimSun"/>
              </w:rPr>
            </w:pPr>
          </w:p>
        </w:tc>
        <w:tc>
          <w:tcPr>
            <w:tcW w:w="1843" w:type="dxa"/>
            <w:vMerge/>
            <w:vAlign w:val="center"/>
          </w:tcPr>
          <w:p w14:paraId="6E38CBAC" w14:textId="77777777" w:rsidR="00BE7F89" w:rsidRPr="00AC3044" w:rsidRDefault="00BE7F89" w:rsidP="005A428D">
            <w:pPr>
              <w:rPr>
                <w:rFonts w:eastAsia="SimSun"/>
              </w:rPr>
            </w:pPr>
          </w:p>
        </w:tc>
        <w:tc>
          <w:tcPr>
            <w:tcW w:w="1417" w:type="dxa"/>
            <w:vAlign w:val="center"/>
          </w:tcPr>
          <w:p w14:paraId="13EA75A8" w14:textId="77777777" w:rsidR="00BE7F89" w:rsidRPr="00AC3044" w:rsidRDefault="00BE7F89" w:rsidP="005A428D">
            <w:pPr>
              <w:rPr>
                <w:rFonts w:eastAsia="SimSun"/>
              </w:rPr>
            </w:pPr>
            <w:r w:rsidRPr="00AC3044">
              <w:rPr>
                <w:rFonts w:eastAsia="SimSun"/>
              </w:rPr>
              <w:t>1000 мг</w:t>
            </w:r>
          </w:p>
        </w:tc>
        <w:tc>
          <w:tcPr>
            <w:tcW w:w="1418" w:type="dxa"/>
            <w:vAlign w:val="center"/>
          </w:tcPr>
          <w:p w14:paraId="24B05E5D" w14:textId="77777777" w:rsidR="00BE7F89" w:rsidRPr="00AC3044" w:rsidRDefault="00BE7F89" w:rsidP="005A428D">
            <w:pPr>
              <w:rPr>
                <w:rFonts w:eastAsia="SimSun"/>
              </w:rPr>
            </w:pPr>
            <w:r w:rsidRPr="00AC3044">
              <w:rPr>
                <w:rFonts w:eastAsia="SimSun"/>
              </w:rPr>
              <w:t>–</w:t>
            </w:r>
          </w:p>
        </w:tc>
        <w:tc>
          <w:tcPr>
            <w:tcW w:w="1701" w:type="dxa"/>
            <w:vAlign w:val="center"/>
          </w:tcPr>
          <w:p w14:paraId="1D20CF55" w14:textId="77777777" w:rsidR="00BE7F89" w:rsidRPr="00AC3044" w:rsidRDefault="00BE7F89" w:rsidP="005A428D">
            <w:pPr>
              <w:rPr>
                <w:rFonts w:eastAsia="SimSun"/>
              </w:rPr>
            </w:pPr>
            <w:r w:rsidRPr="00AC3044">
              <w:rPr>
                <w:rFonts w:eastAsia="SimSun"/>
              </w:rPr>
              <w:t>С +15 по +90 день</w:t>
            </w:r>
          </w:p>
        </w:tc>
        <w:tc>
          <w:tcPr>
            <w:tcW w:w="2268" w:type="dxa"/>
            <w:vAlign w:val="center"/>
          </w:tcPr>
          <w:p w14:paraId="0EBEB68A"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14:paraId="166BE256" w14:textId="77777777" w:rsidR="00BE7F89" w:rsidRDefault="00BE7F89" w:rsidP="00BE7F89">
      <w:pPr>
        <w:rPr>
          <w:rFonts w:eastAsia="SimSun"/>
        </w:rPr>
      </w:pPr>
      <w:bookmarkStart w:id="151" w:name="_Toc44401160"/>
    </w:p>
    <w:p w14:paraId="43D6B849"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  – Flu150+Bu8+Thio / rATG+CSA+MTX+MMF30</w:t>
      </w:r>
      <w:bookmarkEnd w:id="15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BE7F89" w:rsidRPr="00AC3044" w14:paraId="1C44ADBC" w14:textId="77777777" w:rsidTr="005A428D">
        <w:trPr>
          <w:cantSplit/>
          <w:trHeight w:val="20"/>
          <w:tblHeader/>
        </w:trPr>
        <w:tc>
          <w:tcPr>
            <w:tcW w:w="993" w:type="dxa"/>
          </w:tcPr>
          <w:p w14:paraId="1F68A775" w14:textId="77777777" w:rsidR="00BE7F89" w:rsidRPr="00470D3D" w:rsidRDefault="00BE7F89" w:rsidP="005A428D">
            <w:pPr>
              <w:rPr>
                <w:rFonts w:eastAsia="SimSun"/>
              </w:rPr>
            </w:pPr>
          </w:p>
        </w:tc>
        <w:tc>
          <w:tcPr>
            <w:tcW w:w="1843" w:type="dxa"/>
            <w:vAlign w:val="center"/>
          </w:tcPr>
          <w:p w14:paraId="0CECEC4E"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783213AC"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34299530"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3A4D14E6"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3A2799D1"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2F82E718" w14:textId="77777777" w:rsidTr="005A428D">
        <w:trPr>
          <w:cantSplit/>
          <w:trHeight w:val="20"/>
        </w:trPr>
        <w:tc>
          <w:tcPr>
            <w:tcW w:w="993" w:type="dxa"/>
            <w:vMerge w:val="restart"/>
            <w:textDirection w:val="btLr"/>
            <w:vAlign w:val="center"/>
          </w:tcPr>
          <w:p w14:paraId="11C9D1BA"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067F8A8A"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65F28BEC" w14:textId="77777777" w:rsidR="00BE7F89" w:rsidRPr="00AC3044" w:rsidRDefault="00BE7F89" w:rsidP="005A428D">
            <w:pPr>
              <w:rPr>
                <w:rFonts w:eastAsia="SimSun"/>
              </w:rPr>
            </w:pPr>
            <w:r w:rsidRPr="00AC3044">
              <w:rPr>
                <w:rFonts w:eastAsia="SimSun"/>
              </w:rPr>
              <w:t>50 мг/м</w:t>
            </w:r>
            <w:r w:rsidRPr="000C005F">
              <w:rPr>
                <w:rFonts w:eastAsia="SimSun"/>
                <w:vertAlign w:val="superscript"/>
              </w:rPr>
              <w:t>2</w:t>
            </w:r>
          </w:p>
        </w:tc>
        <w:tc>
          <w:tcPr>
            <w:tcW w:w="1418" w:type="dxa"/>
            <w:vAlign w:val="center"/>
          </w:tcPr>
          <w:p w14:paraId="24EEDAFE" w14:textId="77777777" w:rsidR="00BE7F89" w:rsidRPr="00AC3044" w:rsidRDefault="00BE7F89" w:rsidP="005A428D">
            <w:pPr>
              <w:rPr>
                <w:rFonts w:eastAsia="SimSun"/>
              </w:rPr>
            </w:pPr>
            <w:r w:rsidRPr="00AC3044">
              <w:rPr>
                <w:rFonts w:eastAsia="SimSun"/>
              </w:rPr>
              <w:t>150 мг/м</w:t>
            </w:r>
            <w:r w:rsidRPr="000C005F">
              <w:rPr>
                <w:rFonts w:eastAsia="SimSun"/>
                <w:vertAlign w:val="superscript"/>
              </w:rPr>
              <w:t>2</w:t>
            </w:r>
          </w:p>
        </w:tc>
        <w:tc>
          <w:tcPr>
            <w:tcW w:w="1701" w:type="dxa"/>
            <w:vAlign w:val="center"/>
          </w:tcPr>
          <w:p w14:paraId="7A53F838" w14:textId="77777777" w:rsidR="00BE7F89" w:rsidRPr="00AC3044" w:rsidRDefault="00BE7F89" w:rsidP="005A428D">
            <w:pPr>
              <w:rPr>
                <w:rFonts w:eastAsia="SimSun"/>
              </w:rPr>
            </w:pPr>
            <w:r w:rsidRPr="00AC3044">
              <w:rPr>
                <w:rFonts w:eastAsia="SimSun"/>
              </w:rPr>
              <w:t>С –4 по –2 день</w:t>
            </w:r>
          </w:p>
        </w:tc>
        <w:tc>
          <w:tcPr>
            <w:tcW w:w="2268" w:type="dxa"/>
            <w:vAlign w:val="center"/>
          </w:tcPr>
          <w:p w14:paraId="02667428"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1F4E9851" w14:textId="77777777" w:rsidTr="005A428D">
        <w:trPr>
          <w:cantSplit/>
          <w:trHeight w:val="687"/>
        </w:trPr>
        <w:tc>
          <w:tcPr>
            <w:tcW w:w="993" w:type="dxa"/>
            <w:vMerge/>
            <w:textDirection w:val="btLr"/>
            <w:vAlign w:val="center"/>
          </w:tcPr>
          <w:p w14:paraId="4BE83EEA" w14:textId="77777777" w:rsidR="00BE7F89" w:rsidRPr="00AC3044" w:rsidRDefault="00BE7F89" w:rsidP="005A428D">
            <w:pPr>
              <w:rPr>
                <w:rFonts w:eastAsia="SimSun"/>
              </w:rPr>
            </w:pPr>
          </w:p>
        </w:tc>
        <w:tc>
          <w:tcPr>
            <w:tcW w:w="1843" w:type="dxa"/>
            <w:vAlign w:val="center"/>
          </w:tcPr>
          <w:p w14:paraId="27C27485"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69FCE02A" w14:textId="77777777" w:rsidR="00BE7F89" w:rsidRPr="00AC3044" w:rsidRDefault="00BE7F89" w:rsidP="005A428D">
            <w:pPr>
              <w:rPr>
                <w:rFonts w:eastAsia="SimSun"/>
              </w:rPr>
            </w:pPr>
            <w:r w:rsidRPr="00AC3044">
              <w:rPr>
                <w:rFonts w:eastAsia="SimSun"/>
              </w:rPr>
              <w:t>4 мг/кг</w:t>
            </w:r>
          </w:p>
        </w:tc>
        <w:tc>
          <w:tcPr>
            <w:tcW w:w="1418" w:type="dxa"/>
            <w:vAlign w:val="center"/>
          </w:tcPr>
          <w:p w14:paraId="2530A0E6" w14:textId="77777777" w:rsidR="00BE7F89" w:rsidRPr="00AC3044" w:rsidRDefault="00BE7F89" w:rsidP="005A428D">
            <w:pPr>
              <w:rPr>
                <w:rFonts w:eastAsia="SimSun"/>
              </w:rPr>
            </w:pPr>
            <w:r w:rsidRPr="00AC3044">
              <w:rPr>
                <w:rFonts w:eastAsia="SimSun"/>
              </w:rPr>
              <w:t>8 мг/кг</w:t>
            </w:r>
          </w:p>
        </w:tc>
        <w:tc>
          <w:tcPr>
            <w:tcW w:w="1701" w:type="dxa"/>
            <w:vAlign w:val="center"/>
          </w:tcPr>
          <w:p w14:paraId="559951C6" w14:textId="77777777" w:rsidR="00BE7F89" w:rsidRPr="00AC3044" w:rsidRDefault="00BE7F89" w:rsidP="005A428D">
            <w:pPr>
              <w:rPr>
                <w:rFonts w:eastAsia="SimSun"/>
              </w:rPr>
            </w:pPr>
            <w:r w:rsidRPr="00AC3044">
              <w:rPr>
                <w:rFonts w:eastAsia="SimSun"/>
              </w:rPr>
              <w:t>–3, –2 дни</w:t>
            </w:r>
          </w:p>
        </w:tc>
        <w:tc>
          <w:tcPr>
            <w:tcW w:w="2268" w:type="dxa"/>
            <w:vAlign w:val="center"/>
          </w:tcPr>
          <w:p w14:paraId="75E2F7F0"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w:t>
            </w:r>
          </w:p>
        </w:tc>
      </w:tr>
      <w:tr w:rsidR="00BE7F89" w:rsidRPr="00AC3044" w14:paraId="5C375A86" w14:textId="77777777" w:rsidTr="005A428D">
        <w:trPr>
          <w:cantSplit/>
          <w:trHeight w:val="697"/>
        </w:trPr>
        <w:tc>
          <w:tcPr>
            <w:tcW w:w="993" w:type="dxa"/>
            <w:vMerge/>
            <w:textDirection w:val="btLr"/>
            <w:vAlign w:val="center"/>
          </w:tcPr>
          <w:p w14:paraId="25362515" w14:textId="77777777" w:rsidR="00BE7F89" w:rsidRPr="00AC3044" w:rsidRDefault="00BE7F89" w:rsidP="005A428D">
            <w:pPr>
              <w:rPr>
                <w:rFonts w:eastAsia="SimSun"/>
              </w:rPr>
            </w:pPr>
          </w:p>
        </w:tc>
        <w:tc>
          <w:tcPr>
            <w:tcW w:w="1843" w:type="dxa"/>
            <w:vAlign w:val="center"/>
          </w:tcPr>
          <w:p w14:paraId="29395F50" w14:textId="77777777" w:rsidR="00BE7F89" w:rsidRPr="00AC3044" w:rsidRDefault="00BE7F89" w:rsidP="005A428D">
            <w:pPr>
              <w:rPr>
                <w:rFonts w:eastAsia="SimSun"/>
              </w:rPr>
            </w:pPr>
            <w:r w:rsidRPr="00AC3044">
              <w:rPr>
                <w:rFonts w:eastAsia="SimSun"/>
              </w:rPr>
              <w:t>Тиотепа</w:t>
            </w:r>
          </w:p>
        </w:tc>
        <w:tc>
          <w:tcPr>
            <w:tcW w:w="1417" w:type="dxa"/>
            <w:vAlign w:val="center"/>
          </w:tcPr>
          <w:p w14:paraId="190A3AE2" w14:textId="77777777" w:rsidR="00BE7F89" w:rsidRPr="00AC3044" w:rsidRDefault="00BE7F89" w:rsidP="005A428D">
            <w:pPr>
              <w:rPr>
                <w:rFonts w:eastAsia="SimSun"/>
              </w:rPr>
            </w:pPr>
            <w:r w:rsidRPr="00AC3044">
              <w:rPr>
                <w:rFonts w:eastAsia="SimSun"/>
              </w:rPr>
              <w:t>5 мг/кг</w:t>
            </w:r>
          </w:p>
        </w:tc>
        <w:tc>
          <w:tcPr>
            <w:tcW w:w="1418" w:type="dxa"/>
            <w:vAlign w:val="center"/>
          </w:tcPr>
          <w:p w14:paraId="3881BA22" w14:textId="77777777" w:rsidR="00BE7F89" w:rsidRPr="00AC3044" w:rsidRDefault="00BE7F89" w:rsidP="005A428D">
            <w:pPr>
              <w:rPr>
                <w:rFonts w:eastAsia="SimSun"/>
              </w:rPr>
            </w:pPr>
            <w:r w:rsidRPr="00AC3044">
              <w:rPr>
                <w:rFonts w:eastAsia="SimSun"/>
              </w:rPr>
              <w:t>10 мг/кг</w:t>
            </w:r>
          </w:p>
        </w:tc>
        <w:tc>
          <w:tcPr>
            <w:tcW w:w="1701" w:type="dxa"/>
            <w:vAlign w:val="center"/>
          </w:tcPr>
          <w:p w14:paraId="63CE6F82" w14:textId="77777777" w:rsidR="00BE7F89" w:rsidRPr="00AC3044" w:rsidRDefault="00BE7F89" w:rsidP="005A428D">
            <w:pPr>
              <w:rPr>
                <w:rFonts w:eastAsia="SimSun"/>
              </w:rPr>
            </w:pPr>
            <w:r w:rsidRPr="00AC3044">
              <w:rPr>
                <w:rFonts w:eastAsia="SimSun"/>
              </w:rPr>
              <w:t>-6,-5 дни</w:t>
            </w:r>
          </w:p>
        </w:tc>
        <w:tc>
          <w:tcPr>
            <w:tcW w:w="2268" w:type="dxa"/>
            <w:vAlign w:val="center"/>
          </w:tcPr>
          <w:p w14:paraId="0198C12C" w14:textId="77777777" w:rsidR="00BE7F89" w:rsidRPr="00AC3044" w:rsidRDefault="00BE7F89" w:rsidP="005A428D">
            <w:pPr>
              <w:rPr>
                <w:rFonts w:eastAsia="SimSun"/>
              </w:rPr>
            </w:pPr>
            <w:r w:rsidRPr="00AC3044">
              <w:rPr>
                <w:rFonts w:eastAsia="SimSun"/>
              </w:rPr>
              <w:t>В/в, в течение 2 ч</w:t>
            </w:r>
          </w:p>
        </w:tc>
      </w:tr>
      <w:tr w:rsidR="00BE7F89" w:rsidRPr="00AC3044" w14:paraId="60728212" w14:textId="77777777" w:rsidTr="005A428D">
        <w:trPr>
          <w:cantSplit/>
          <w:trHeight w:val="20"/>
        </w:trPr>
        <w:tc>
          <w:tcPr>
            <w:tcW w:w="993" w:type="dxa"/>
            <w:vMerge w:val="restart"/>
            <w:textDirection w:val="btLr"/>
            <w:vAlign w:val="center"/>
          </w:tcPr>
          <w:p w14:paraId="5298A098"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4455CB53" w14:textId="77777777" w:rsidR="00BE7F89" w:rsidRPr="00AC3044" w:rsidRDefault="00BE7F89" w:rsidP="005A428D">
            <w:pPr>
              <w:rPr>
                <w:rFonts w:eastAsia="SimSun"/>
              </w:rPr>
            </w:pPr>
            <w:r w:rsidRPr="00AC3044">
              <w:rPr>
                <w:rFonts w:eastAsia="SimSun"/>
              </w:rPr>
              <w:t>АТГ (кроличий)</w:t>
            </w:r>
          </w:p>
        </w:tc>
        <w:tc>
          <w:tcPr>
            <w:tcW w:w="1417" w:type="dxa"/>
            <w:vAlign w:val="center"/>
          </w:tcPr>
          <w:p w14:paraId="2A65FC68" w14:textId="77777777" w:rsidR="00BE7F89" w:rsidRPr="00AC3044" w:rsidRDefault="00BE7F89" w:rsidP="005A428D">
            <w:pPr>
              <w:rPr>
                <w:rFonts w:eastAsia="SimSun"/>
              </w:rPr>
            </w:pPr>
            <w:r w:rsidRPr="00AC3044">
              <w:rPr>
                <w:rFonts w:eastAsia="SimSun"/>
              </w:rPr>
              <w:t>2,5 мг/кг</w:t>
            </w:r>
          </w:p>
        </w:tc>
        <w:tc>
          <w:tcPr>
            <w:tcW w:w="1418" w:type="dxa"/>
            <w:vAlign w:val="center"/>
          </w:tcPr>
          <w:p w14:paraId="2590DFAD" w14:textId="77777777" w:rsidR="00BE7F89" w:rsidRPr="00AC3044" w:rsidRDefault="00BE7F89" w:rsidP="005A428D">
            <w:pPr>
              <w:rPr>
                <w:rFonts w:eastAsia="SimSun"/>
              </w:rPr>
            </w:pPr>
            <w:r w:rsidRPr="00AC3044">
              <w:rPr>
                <w:rFonts w:eastAsia="SimSun"/>
              </w:rPr>
              <w:t>5- 7,5 мг/кг2</w:t>
            </w:r>
          </w:p>
        </w:tc>
        <w:tc>
          <w:tcPr>
            <w:tcW w:w="1701" w:type="dxa"/>
            <w:vAlign w:val="center"/>
          </w:tcPr>
          <w:p w14:paraId="41E1A4AC" w14:textId="77777777" w:rsidR="00BE7F89" w:rsidRPr="00AC3044" w:rsidRDefault="00BE7F89" w:rsidP="005A428D">
            <w:pPr>
              <w:rPr>
                <w:rFonts w:eastAsia="SimSun"/>
              </w:rPr>
            </w:pPr>
            <w:r w:rsidRPr="00AC3044">
              <w:rPr>
                <w:rFonts w:eastAsia="SimSun"/>
              </w:rPr>
              <w:t>С –3 по – 2 (-1) день</w:t>
            </w:r>
          </w:p>
        </w:tc>
        <w:tc>
          <w:tcPr>
            <w:tcW w:w="2268" w:type="dxa"/>
            <w:vAlign w:val="center"/>
          </w:tcPr>
          <w:p w14:paraId="08773680" w14:textId="77777777" w:rsidR="00BE7F89" w:rsidRPr="00AC3044" w:rsidRDefault="00BE7F89" w:rsidP="005A428D">
            <w:pPr>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BE7F89" w:rsidRPr="00AC3044" w14:paraId="5589BCC2" w14:textId="77777777" w:rsidTr="005A428D">
        <w:trPr>
          <w:cantSplit/>
          <w:trHeight w:val="20"/>
        </w:trPr>
        <w:tc>
          <w:tcPr>
            <w:tcW w:w="993" w:type="dxa"/>
            <w:vMerge/>
            <w:textDirection w:val="btLr"/>
            <w:vAlign w:val="center"/>
          </w:tcPr>
          <w:p w14:paraId="23F4E7E0" w14:textId="77777777" w:rsidR="00BE7F89" w:rsidRPr="00AC3044" w:rsidRDefault="00BE7F89" w:rsidP="005A428D">
            <w:pPr>
              <w:rPr>
                <w:rFonts w:eastAsia="SimSun"/>
              </w:rPr>
            </w:pPr>
          </w:p>
        </w:tc>
        <w:tc>
          <w:tcPr>
            <w:tcW w:w="1843" w:type="dxa"/>
            <w:vAlign w:val="center"/>
          </w:tcPr>
          <w:p w14:paraId="05702F1B" w14:textId="77777777" w:rsidR="00BE7F89" w:rsidRPr="00AC3044" w:rsidRDefault="00BE7F89" w:rsidP="005A428D">
            <w:pPr>
              <w:rPr>
                <w:rFonts w:eastAsia="SimSun"/>
              </w:rPr>
            </w:pPr>
            <w:r w:rsidRPr="00AC3044">
              <w:rPr>
                <w:rFonts w:eastAsia="SimSun"/>
              </w:rPr>
              <w:t>Циклоспорин</w:t>
            </w:r>
          </w:p>
        </w:tc>
        <w:tc>
          <w:tcPr>
            <w:tcW w:w="1417" w:type="dxa"/>
            <w:vAlign w:val="center"/>
          </w:tcPr>
          <w:p w14:paraId="3BCBD129" w14:textId="77777777" w:rsidR="00BE7F89" w:rsidRPr="00AC3044" w:rsidRDefault="00BE7F89" w:rsidP="005A428D">
            <w:pPr>
              <w:rPr>
                <w:rFonts w:eastAsia="SimSun"/>
              </w:rPr>
            </w:pPr>
            <w:r w:rsidRPr="00AC3044">
              <w:rPr>
                <w:rFonts w:eastAsia="SimSun"/>
              </w:rPr>
              <w:t>3 мг/кг</w:t>
            </w:r>
          </w:p>
        </w:tc>
        <w:tc>
          <w:tcPr>
            <w:tcW w:w="1418" w:type="dxa"/>
            <w:vAlign w:val="center"/>
          </w:tcPr>
          <w:p w14:paraId="1523EE22" w14:textId="77777777" w:rsidR="00BE7F89" w:rsidRPr="00AC3044" w:rsidRDefault="00BE7F89" w:rsidP="005A428D">
            <w:pPr>
              <w:rPr>
                <w:rFonts w:eastAsia="SimSun"/>
              </w:rPr>
            </w:pPr>
            <w:r w:rsidRPr="00AC3044">
              <w:rPr>
                <w:rFonts w:eastAsia="SimSun"/>
              </w:rPr>
              <w:t>–</w:t>
            </w:r>
          </w:p>
        </w:tc>
        <w:tc>
          <w:tcPr>
            <w:tcW w:w="1701" w:type="dxa"/>
            <w:vAlign w:val="center"/>
          </w:tcPr>
          <w:p w14:paraId="1E7358D5" w14:textId="77777777" w:rsidR="00BE7F89" w:rsidRPr="00AC3044" w:rsidRDefault="00BE7F89" w:rsidP="005A428D">
            <w:pPr>
              <w:rPr>
                <w:rFonts w:eastAsia="SimSun"/>
              </w:rPr>
            </w:pPr>
            <w:r w:rsidRPr="00AC3044">
              <w:rPr>
                <w:rFonts w:eastAsia="SimSun"/>
              </w:rPr>
              <w:t>С –1 дня по +90 день, затем постепенное снижение к +180 дню</w:t>
            </w:r>
          </w:p>
        </w:tc>
        <w:tc>
          <w:tcPr>
            <w:tcW w:w="2268" w:type="dxa"/>
            <w:vAlign w:val="center"/>
          </w:tcPr>
          <w:p w14:paraId="4A23ABFC"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BE7F89" w:rsidRPr="00AC3044" w14:paraId="632D8F24" w14:textId="77777777" w:rsidTr="005A428D">
        <w:trPr>
          <w:cantSplit/>
          <w:trHeight w:val="20"/>
        </w:trPr>
        <w:tc>
          <w:tcPr>
            <w:tcW w:w="993" w:type="dxa"/>
            <w:vMerge/>
            <w:vAlign w:val="center"/>
          </w:tcPr>
          <w:p w14:paraId="201B52FE" w14:textId="77777777" w:rsidR="00BE7F89" w:rsidRPr="00AC3044" w:rsidRDefault="00BE7F89" w:rsidP="005A428D">
            <w:pPr>
              <w:rPr>
                <w:rFonts w:eastAsia="SimSun"/>
              </w:rPr>
            </w:pPr>
          </w:p>
        </w:tc>
        <w:tc>
          <w:tcPr>
            <w:tcW w:w="1843" w:type="dxa"/>
            <w:vMerge w:val="restart"/>
            <w:vAlign w:val="center"/>
          </w:tcPr>
          <w:p w14:paraId="534B9F0F" w14:textId="77777777" w:rsidR="00BE7F89" w:rsidRPr="00AC3044" w:rsidRDefault="00BE7F89" w:rsidP="005A428D">
            <w:pPr>
              <w:rPr>
                <w:rFonts w:eastAsia="SimSun"/>
              </w:rPr>
            </w:pPr>
            <w:r w:rsidRPr="00AC3044">
              <w:rPr>
                <w:rFonts w:eastAsia="SimSun"/>
              </w:rPr>
              <w:t>Метотрексат</w:t>
            </w:r>
          </w:p>
        </w:tc>
        <w:tc>
          <w:tcPr>
            <w:tcW w:w="1417" w:type="dxa"/>
            <w:vAlign w:val="center"/>
          </w:tcPr>
          <w:p w14:paraId="1721D28D" w14:textId="77777777" w:rsidR="00BE7F89" w:rsidRPr="00AC3044" w:rsidRDefault="00BE7F89" w:rsidP="005A428D">
            <w:pPr>
              <w:rPr>
                <w:rFonts w:eastAsia="SimSun"/>
              </w:rPr>
            </w:pPr>
            <w:r w:rsidRPr="00AC3044">
              <w:rPr>
                <w:rFonts w:eastAsia="SimSun"/>
              </w:rPr>
              <w:t>15 мг/м</w:t>
            </w:r>
            <w:r w:rsidRPr="000C005F">
              <w:rPr>
                <w:rFonts w:eastAsia="SimSun"/>
                <w:vertAlign w:val="superscript"/>
              </w:rPr>
              <w:t>2</w:t>
            </w:r>
          </w:p>
        </w:tc>
        <w:tc>
          <w:tcPr>
            <w:tcW w:w="1418" w:type="dxa"/>
            <w:vAlign w:val="center"/>
          </w:tcPr>
          <w:p w14:paraId="0797255F" w14:textId="77777777" w:rsidR="00BE7F89" w:rsidRPr="00AC3044" w:rsidRDefault="00BE7F89" w:rsidP="005A428D">
            <w:pPr>
              <w:rPr>
                <w:rFonts w:eastAsia="SimSun"/>
              </w:rPr>
            </w:pPr>
            <w:r w:rsidRPr="00AC3044">
              <w:rPr>
                <w:rFonts w:eastAsia="SimSun"/>
              </w:rPr>
              <w:t>–</w:t>
            </w:r>
          </w:p>
        </w:tc>
        <w:tc>
          <w:tcPr>
            <w:tcW w:w="1701" w:type="dxa"/>
            <w:vAlign w:val="center"/>
          </w:tcPr>
          <w:p w14:paraId="4C815F30" w14:textId="77777777" w:rsidR="00BE7F89" w:rsidRPr="00AC3044" w:rsidRDefault="00BE7F89" w:rsidP="005A428D">
            <w:pPr>
              <w:rPr>
                <w:rFonts w:eastAsia="SimSun"/>
              </w:rPr>
            </w:pPr>
            <w:r w:rsidRPr="00AC3044">
              <w:rPr>
                <w:rFonts w:eastAsia="SimSun"/>
              </w:rPr>
              <w:t>+1 день</w:t>
            </w:r>
          </w:p>
        </w:tc>
        <w:tc>
          <w:tcPr>
            <w:tcW w:w="2268" w:type="dxa"/>
            <w:vAlign w:val="center"/>
          </w:tcPr>
          <w:p w14:paraId="1A2D9EB0"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3BE4BCCD" w14:textId="77777777" w:rsidTr="005A428D">
        <w:trPr>
          <w:cantSplit/>
          <w:trHeight w:val="464"/>
        </w:trPr>
        <w:tc>
          <w:tcPr>
            <w:tcW w:w="993" w:type="dxa"/>
            <w:vMerge/>
            <w:vAlign w:val="center"/>
          </w:tcPr>
          <w:p w14:paraId="65D943AC" w14:textId="77777777" w:rsidR="00BE7F89" w:rsidRPr="00AC3044" w:rsidRDefault="00BE7F89" w:rsidP="005A428D">
            <w:pPr>
              <w:rPr>
                <w:rFonts w:eastAsia="SimSun"/>
              </w:rPr>
            </w:pPr>
          </w:p>
        </w:tc>
        <w:tc>
          <w:tcPr>
            <w:tcW w:w="1843" w:type="dxa"/>
            <w:vMerge/>
            <w:vAlign w:val="center"/>
          </w:tcPr>
          <w:p w14:paraId="5B061764" w14:textId="77777777" w:rsidR="00BE7F89" w:rsidRPr="00AC3044" w:rsidRDefault="00BE7F89" w:rsidP="005A428D">
            <w:pPr>
              <w:rPr>
                <w:rFonts w:eastAsia="SimSun"/>
              </w:rPr>
            </w:pPr>
          </w:p>
        </w:tc>
        <w:tc>
          <w:tcPr>
            <w:tcW w:w="1417" w:type="dxa"/>
            <w:vAlign w:val="center"/>
          </w:tcPr>
          <w:p w14:paraId="13BC457A" w14:textId="77777777" w:rsidR="00BE7F89" w:rsidRPr="00AC3044" w:rsidRDefault="00BE7F89" w:rsidP="005A428D">
            <w:pPr>
              <w:rPr>
                <w:rFonts w:eastAsia="SimSun"/>
              </w:rPr>
            </w:pPr>
            <w:r w:rsidRPr="00AC3044">
              <w:rPr>
                <w:rFonts w:eastAsia="SimSun"/>
              </w:rPr>
              <w:t>10 мг/м</w:t>
            </w:r>
            <w:r w:rsidRPr="000C005F">
              <w:rPr>
                <w:rFonts w:eastAsia="SimSun"/>
                <w:vertAlign w:val="superscript"/>
              </w:rPr>
              <w:t>2</w:t>
            </w:r>
          </w:p>
        </w:tc>
        <w:tc>
          <w:tcPr>
            <w:tcW w:w="1418" w:type="dxa"/>
            <w:vAlign w:val="center"/>
          </w:tcPr>
          <w:p w14:paraId="38C20D3F" w14:textId="77777777" w:rsidR="00BE7F89" w:rsidRPr="00AC3044" w:rsidRDefault="00BE7F89" w:rsidP="005A428D">
            <w:pPr>
              <w:rPr>
                <w:rFonts w:eastAsia="SimSun"/>
              </w:rPr>
            </w:pPr>
            <w:r w:rsidRPr="00AC3044">
              <w:rPr>
                <w:rFonts w:eastAsia="SimSun"/>
              </w:rPr>
              <w:t>–</w:t>
            </w:r>
          </w:p>
        </w:tc>
        <w:tc>
          <w:tcPr>
            <w:tcW w:w="1701" w:type="dxa"/>
            <w:vAlign w:val="center"/>
          </w:tcPr>
          <w:p w14:paraId="0782FF02" w14:textId="77777777" w:rsidR="00BE7F89" w:rsidRPr="00AC3044" w:rsidRDefault="00BE7F89" w:rsidP="005A428D">
            <w:pPr>
              <w:rPr>
                <w:rFonts w:eastAsia="SimSun"/>
              </w:rPr>
            </w:pPr>
            <w:r w:rsidRPr="00AC3044">
              <w:rPr>
                <w:rFonts w:eastAsia="SimSun"/>
              </w:rPr>
              <w:t>+3, +6, +11 день</w:t>
            </w:r>
          </w:p>
        </w:tc>
        <w:tc>
          <w:tcPr>
            <w:tcW w:w="2268" w:type="dxa"/>
            <w:vAlign w:val="center"/>
          </w:tcPr>
          <w:p w14:paraId="477DB064"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0B411855" w14:textId="77777777" w:rsidTr="005A428D">
        <w:trPr>
          <w:cantSplit/>
          <w:trHeight w:val="464"/>
        </w:trPr>
        <w:tc>
          <w:tcPr>
            <w:tcW w:w="993" w:type="dxa"/>
            <w:vMerge/>
            <w:vAlign w:val="center"/>
          </w:tcPr>
          <w:p w14:paraId="512BE175" w14:textId="77777777" w:rsidR="00BE7F89" w:rsidRPr="00AC3044" w:rsidRDefault="00BE7F89" w:rsidP="005A428D">
            <w:pPr>
              <w:rPr>
                <w:rFonts w:eastAsia="SimSun"/>
              </w:rPr>
            </w:pPr>
          </w:p>
        </w:tc>
        <w:tc>
          <w:tcPr>
            <w:tcW w:w="1843" w:type="dxa"/>
            <w:vMerge w:val="restart"/>
            <w:vAlign w:val="center"/>
          </w:tcPr>
          <w:p w14:paraId="1B752F4E" w14:textId="77777777" w:rsidR="00BE7F89" w:rsidRPr="00AC3044" w:rsidRDefault="00BE7F89" w:rsidP="005A428D">
            <w:pPr>
              <w:rPr>
                <w:rFonts w:eastAsia="SimSun"/>
              </w:rPr>
            </w:pPr>
            <w:r w:rsidRPr="00AC3044">
              <w:rPr>
                <w:rFonts w:eastAsia="SimSun"/>
              </w:rPr>
              <w:t>Микофенолата мофетил (только при использовании СКК)</w:t>
            </w:r>
          </w:p>
        </w:tc>
        <w:tc>
          <w:tcPr>
            <w:tcW w:w="1417" w:type="dxa"/>
            <w:vAlign w:val="center"/>
          </w:tcPr>
          <w:p w14:paraId="79A48917" w14:textId="77777777" w:rsidR="00BE7F89" w:rsidRPr="00AC3044" w:rsidRDefault="00BE7F89" w:rsidP="005A428D">
            <w:pPr>
              <w:rPr>
                <w:rFonts w:eastAsia="SimSun"/>
              </w:rPr>
            </w:pPr>
            <w:r w:rsidRPr="00AC3044">
              <w:rPr>
                <w:rFonts w:eastAsia="SimSun"/>
              </w:rPr>
              <w:t>2000 мг</w:t>
            </w:r>
          </w:p>
        </w:tc>
        <w:tc>
          <w:tcPr>
            <w:tcW w:w="1418" w:type="dxa"/>
            <w:vAlign w:val="center"/>
          </w:tcPr>
          <w:p w14:paraId="382C3BAE" w14:textId="77777777" w:rsidR="00BE7F89" w:rsidRPr="00AC3044" w:rsidRDefault="00BE7F89" w:rsidP="005A428D">
            <w:pPr>
              <w:rPr>
                <w:rFonts w:eastAsia="SimSun"/>
              </w:rPr>
            </w:pPr>
            <w:r w:rsidRPr="00AC3044">
              <w:rPr>
                <w:rFonts w:eastAsia="SimSun"/>
              </w:rPr>
              <w:t>–</w:t>
            </w:r>
          </w:p>
        </w:tc>
        <w:tc>
          <w:tcPr>
            <w:tcW w:w="1701" w:type="dxa"/>
            <w:vAlign w:val="center"/>
          </w:tcPr>
          <w:p w14:paraId="13FA53A9" w14:textId="77777777" w:rsidR="00BE7F89" w:rsidRPr="00AC3044" w:rsidRDefault="00BE7F89" w:rsidP="005A428D">
            <w:pPr>
              <w:rPr>
                <w:rFonts w:eastAsia="SimSun"/>
              </w:rPr>
            </w:pPr>
            <w:r w:rsidRPr="00AC3044">
              <w:rPr>
                <w:rFonts w:eastAsia="SimSun"/>
              </w:rPr>
              <w:t>С +1 по +14 день</w:t>
            </w:r>
          </w:p>
        </w:tc>
        <w:tc>
          <w:tcPr>
            <w:tcW w:w="2268" w:type="dxa"/>
            <w:vAlign w:val="center"/>
          </w:tcPr>
          <w:p w14:paraId="05683EE2"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w:t>
            </w:r>
          </w:p>
        </w:tc>
      </w:tr>
      <w:tr w:rsidR="00BE7F89" w:rsidRPr="00AC3044" w14:paraId="492A89C7" w14:textId="77777777" w:rsidTr="005A428D">
        <w:trPr>
          <w:cantSplit/>
          <w:trHeight w:val="464"/>
        </w:trPr>
        <w:tc>
          <w:tcPr>
            <w:tcW w:w="993" w:type="dxa"/>
            <w:vMerge/>
            <w:vAlign w:val="center"/>
          </w:tcPr>
          <w:p w14:paraId="5B4F1925" w14:textId="77777777" w:rsidR="00BE7F89" w:rsidRPr="00AC3044" w:rsidRDefault="00BE7F89" w:rsidP="005A428D">
            <w:pPr>
              <w:rPr>
                <w:rFonts w:eastAsia="SimSun"/>
              </w:rPr>
            </w:pPr>
          </w:p>
        </w:tc>
        <w:tc>
          <w:tcPr>
            <w:tcW w:w="1843" w:type="dxa"/>
            <w:vMerge/>
            <w:vAlign w:val="center"/>
          </w:tcPr>
          <w:p w14:paraId="048476FD" w14:textId="77777777" w:rsidR="00BE7F89" w:rsidRPr="00AC3044" w:rsidRDefault="00BE7F89" w:rsidP="005A428D">
            <w:pPr>
              <w:rPr>
                <w:rFonts w:eastAsia="SimSun"/>
              </w:rPr>
            </w:pPr>
          </w:p>
        </w:tc>
        <w:tc>
          <w:tcPr>
            <w:tcW w:w="1417" w:type="dxa"/>
            <w:vAlign w:val="center"/>
          </w:tcPr>
          <w:p w14:paraId="68D57384" w14:textId="77777777" w:rsidR="00BE7F89" w:rsidRPr="00AC3044" w:rsidRDefault="00BE7F89" w:rsidP="005A428D">
            <w:pPr>
              <w:rPr>
                <w:rFonts w:eastAsia="SimSun"/>
              </w:rPr>
            </w:pPr>
            <w:r w:rsidRPr="00AC3044">
              <w:rPr>
                <w:rFonts w:eastAsia="SimSun"/>
              </w:rPr>
              <w:t>1000 мг</w:t>
            </w:r>
          </w:p>
        </w:tc>
        <w:tc>
          <w:tcPr>
            <w:tcW w:w="1418" w:type="dxa"/>
            <w:vAlign w:val="center"/>
          </w:tcPr>
          <w:p w14:paraId="5FBD8437" w14:textId="77777777" w:rsidR="00BE7F89" w:rsidRPr="00AC3044" w:rsidRDefault="00BE7F89" w:rsidP="005A428D">
            <w:pPr>
              <w:rPr>
                <w:rFonts w:eastAsia="SimSun"/>
              </w:rPr>
            </w:pPr>
            <w:r w:rsidRPr="00AC3044">
              <w:rPr>
                <w:rFonts w:eastAsia="SimSun"/>
              </w:rPr>
              <w:t>–</w:t>
            </w:r>
          </w:p>
        </w:tc>
        <w:tc>
          <w:tcPr>
            <w:tcW w:w="1701" w:type="dxa"/>
            <w:vAlign w:val="center"/>
          </w:tcPr>
          <w:p w14:paraId="04861617" w14:textId="77777777" w:rsidR="00BE7F89" w:rsidRPr="00AC3044" w:rsidRDefault="00BE7F89" w:rsidP="005A428D">
            <w:pPr>
              <w:rPr>
                <w:rFonts w:eastAsia="SimSun"/>
              </w:rPr>
            </w:pPr>
            <w:r w:rsidRPr="00AC3044">
              <w:rPr>
                <w:rFonts w:eastAsia="SimSun"/>
              </w:rPr>
              <w:t>С +15 по +90 день</w:t>
            </w:r>
          </w:p>
        </w:tc>
        <w:tc>
          <w:tcPr>
            <w:tcW w:w="2268" w:type="dxa"/>
            <w:vAlign w:val="center"/>
          </w:tcPr>
          <w:p w14:paraId="270A173F"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w:t>
            </w:r>
          </w:p>
        </w:tc>
      </w:tr>
    </w:tbl>
    <w:p w14:paraId="7FF4727A" w14:textId="77777777" w:rsidR="00BE7F89" w:rsidRDefault="00BE7F89" w:rsidP="00BE7F89">
      <w:pPr>
        <w:rPr>
          <w:rFonts w:eastAsia="SimSun"/>
        </w:rPr>
      </w:pPr>
      <w:bookmarkStart w:id="152" w:name="_Toc44401161"/>
    </w:p>
    <w:p w14:paraId="5FD8B4B2"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1.2.3 – Flu150+Bu8 / PT-Cy+CSA+MMF45</w:t>
      </w:r>
      <w:bookmarkEnd w:id="152"/>
    </w:p>
    <w:tbl>
      <w:tblPr>
        <w:tblW w:w="9640" w:type="dxa"/>
        <w:tblInd w:w="-34" w:type="dxa"/>
        <w:tblLayout w:type="fixed"/>
        <w:tblCellMar>
          <w:left w:w="10" w:type="dxa"/>
          <w:right w:w="10" w:type="dxa"/>
        </w:tblCellMar>
        <w:tblLook w:val="0000" w:firstRow="0" w:lastRow="0" w:firstColumn="0" w:lastColumn="0" w:noHBand="0" w:noVBand="0"/>
      </w:tblPr>
      <w:tblGrid>
        <w:gridCol w:w="993"/>
        <w:gridCol w:w="1843"/>
        <w:gridCol w:w="1417"/>
        <w:gridCol w:w="1418"/>
        <w:gridCol w:w="1701"/>
        <w:gridCol w:w="2268"/>
      </w:tblGrid>
      <w:tr w:rsidR="00BE7F89" w:rsidRPr="00AC3044" w14:paraId="4F97A30A" w14:textId="77777777" w:rsidTr="005A428D">
        <w:trPr>
          <w:cantSplit/>
          <w:trHeight w:val="20"/>
          <w:tblHeader/>
        </w:trPr>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98EC9B" w14:textId="77777777" w:rsidR="00BE7F89" w:rsidRPr="00470D3D" w:rsidRDefault="00BE7F89" w:rsidP="005A428D">
            <w:pPr>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B9A4EA" w14:textId="77777777" w:rsidR="00BE7F89" w:rsidRPr="00AC3044" w:rsidRDefault="00BE7F89" w:rsidP="005A428D">
            <w:pPr>
              <w:rPr>
                <w:rFonts w:eastAsia="SimSun"/>
              </w:rPr>
            </w:pPr>
            <w:r w:rsidRPr="00AC3044">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F87E19" w14:textId="77777777" w:rsidR="00BE7F89" w:rsidRPr="00AC3044" w:rsidRDefault="00BE7F89" w:rsidP="005A428D">
            <w:pPr>
              <w:rPr>
                <w:rFonts w:eastAsia="SimSun"/>
              </w:rPr>
            </w:pPr>
            <w:r w:rsidRPr="00AC3044">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0A5DCB" w14:textId="77777777" w:rsidR="00BE7F89" w:rsidRPr="00AC3044" w:rsidRDefault="00BE7F89" w:rsidP="005A428D">
            <w:pPr>
              <w:rPr>
                <w:rFonts w:eastAsia="SimSun"/>
              </w:rPr>
            </w:pPr>
            <w:r w:rsidRPr="00AC3044">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BD3758" w14:textId="77777777" w:rsidR="00BE7F89" w:rsidRPr="00AC3044" w:rsidRDefault="00BE7F89" w:rsidP="005A428D">
            <w:pPr>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011BE4"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2978EC57" w14:textId="77777777" w:rsidTr="005A428D">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7568CBB" w14:textId="77777777" w:rsidR="00BE7F89" w:rsidRPr="00AC3044" w:rsidRDefault="00BE7F89" w:rsidP="005A428D">
            <w:pPr>
              <w:rPr>
                <w:rFonts w:eastAsia="SimSun"/>
              </w:rPr>
            </w:pPr>
            <w:r w:rsidRPr="00AC3044">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618A19" w14:textId="77777777" w:rsidR="00BE7F89" w:rsidRPr="00AC3044" w:rsidRDefault="00BE7F89" w:rsidP="005A428D">
            <w:pPr>
              <w:rPr>
                <w:rFonts w:eastAsia="SimSun"/>
              </w:rPr>
            </w:pPr>
            <w:r w:rsidRPr="00AC3044">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FBA259" w14:textId="77777777" w:rsidR="00BE7F89" w:rsidRPr="00AC3044" w:rsidRDefault="00BE7F89" w:rsidP="005A428D">
            <w:pPr>
              <w:rPr>
                <w:rFonts w:eastAsia="SimSun"/>
              </w:rPr>
            </w:pPr>
            <w:r w:rsidRPr="00AC3044">
              <w:rPr>
                <w:rFonts w:eastAsia="SimSun"/>
              </w:rPr>
              <w:t>30 мг/м</w:t>
            </w:r>
            <w:r w:rsidRPr="000C005F">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68FEBD3" w14:textId="77777777" w:rsidR="00BE7F89" w:rsidRPr="00AC3044" w:rsidRDefault="00BE7F89" w:rsidP="005A428D">
            <w:pPr>
              <w:rPr>
                <w:rFonts w:eastAsia="SimSun"/>
              </w:rPr>
            </w:pPr>
            <w:r w:rsidRPr="00AC3044">
              <w:rPr>
                <w:rFonts w:eastAsia="SimSun"/>
              </w:rPr>
              <w:t>150 мг/м</w:t>
            </w:r>
            <w:r w:rsidRPr="000C005F">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56E008" w14:textId="77777777" w:rsidR="00BE7F89" w:rsidRPr="00AC3044" w:rsidRDefault="00BE7F89" w:rsidP="005A428D">
            <w:pPr>
              <w:rPr>
                <w:rFonts w:eastAsia="SimSun"/>
              </w:rPr>
            </w:pPr>
            <w:r w:rsidRPr="00AC3044">
              <w:rPr>
                <w:rFonts w:eastAsia="SimSun"/>
              </w:rPr>
              <w:t>С –6 по –2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DD7FB5"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3E5A7AC" w14:textId="77777777" w:rsidTr="005A428D">
        <w:trPr>
          <w:cantSplit/>
          <w:trHeight w:val="918"/>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F0F982E" w14:textId="77777777" w:rsidR="00BE7F89" w:rsidRPr="00AC3044" w:rsidRDefault="00BE7F89" w:rsidP="005A428D">
            <w:pPr>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4DEDA2" w14:textId="77777777" w:rsidR="00BE7F89" w:rsidRPr="00AC3044" w:rsidRDefault="00BE7F89" w:rsidP="005A428D">
            <w:pPr>
              <w:rPr>
                <w:rFonts w:eastAsia="SimSun"/>
              </w:rPr>
            </w:pPr>
            <w:r w:rsidRPr="00AC3044">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A24049" w14:textId="77777777" w:rsidR="00BE7F89" w:rsidRPr="00AC3044" w:rsidRDefault="00BE7F89" w:rsidP="005A428D">
            <w:pPr>
              <w:rPr>
                <w:rFonts w:eastAsia="SimSun"/>
              </w:rPr>
            </w:pPr>
            <w:r w:rsidRPr="00AC3044">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890197" w14:textId="77777777" w:rsidR="00BE7F89" w:rsidRPr="00AC3044" w:rsidRDefault="00BE7F89" w:rsidP="005A428D">
            <w:pPr>
              <w:rPr>
                <w:rFonts w:eastAsia="SimSun"/>
              </w:rPr>
            </w:pPr>
            <w:r w:rsidRPr="00AC3044">
              <w:rPr>
                <w:rFonts w:eastAsia="SimSun"/>
              </w:rPr>
              <w:t>8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0EEC3A" w14:textId="77777777" w:rsidR="00BE7F89" w:rsidRPr="00AC3044" w:rsidRDefault="00BE7F89" w:rsidP="005A428D">
            <w:pPr>
              <w:rPr>
                <w:rFonts w:eastAsia="SimSun"/>
              </w:rPr>
            </w:pPr>
            <w:r w:rsidRPr="00AC3044">
              <w:rPr>
                <w:rFonts w:eastAsia="SimSun"/>
              </w:rPr>
              <w:t xml:space="preserve"> –4, –3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8935E6"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6612D82D" w14:textId="77777777" w:rsidTr="005A428D">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C5E59B5" w14:textId="77777777" w:rsidR="00BE7F89" w:rsidRPr="00AC3044" w:rsidRDefault="00BE7F89" w:rsidP="005A428D">
            <w:pPr>
              <w:rPr>
                <w:rFonts w:eastAsia="SimSun"/>
              </w:rPr>
            </w:pPr>
            <w:r w:rsidRPr="00AC3044">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A467FF" w14:textId="77777777" w:rsidR="00BE7F89" w:rsidRPr="00AC3044" w:rsidRDefault="00BE7F89" w:rsidP="005A428D">
            <w:pPr>
              <w:rPr>
                <w:rFonts w:eastAsia="SimSun"/>
              </w:rPr>
            </w:pPr>
            <w:r w:rsidRPr="00AC3044">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36630E" w14:textId="77777777" w:rsidR="00BE7F89" w:rsidRPr="00AC3044" w:rsidRDefault="00BE7F89" w:rsidP="005A428D">
            <w:pPr>
              <w:rPr>
                <w:rFonts w:eastAsia="SimSun"/>
              </w:rPr>
            </w:pPr>
            <w:r w:rsidRPr="00AC3044">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82B327" w14:textId="77777777" w:rsidR="00BE7F89" w:rsidRPr="00AC3044" w:rsidRDefault="00BE7F89" w:rsidP="005A428D">
            <w:pPr>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1FB94F" w14:textId="77777777" w:rsidR="00BE7F89" w:rsidRPr="00AC3044" w:rsidRDefault="00BE7F89" w:rsidP="005A428D">
            <w:pPr>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14E145"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2BC7541C" w14:textId="77777777" w:rsidTr="005A428D">
        <w:trPr>
          <w:cantSplit/>
          <w:trHeight w:val="20"/>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FC1474" w14:textId="77777777" w:rsidR="00BE7F89" w:rsidRPr="00AC3044" w:rsidRDefault="00BE7F89" w:rsidP="005A428D">
            <w:pPr>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A9ABBE" w14:textId="77777777" w:rsidR="00BE7F89" w:rsidRPr="00AC3044" w:rsidRDefault="00BE7F89" w:rsidP="005A428D">
            <w:pPr>
              <w:rPr>
                <w:rFonts w:eastAsia="SimSun"/>
              </w:rPr>
            </w:pPr>
            <w:r w:rsidRPr="00AC3044">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2E4667" w14:textId="77777777" w:rsidR="00BE7F89" w:rsidRPr="00AC3044" w:rsidRDefault="00BE7F89" w:rsidP="005A428D">
            <w:pPr>
              <w:rPr>
                <w:rFonts w:eastAsia="SimSun"/>
              </w:rPr>
            </w:pPr>
            <w:r w:rsidRPr="00AC3044">
              <w:rPr>
                <w:rFonts w:eastAsia="SimSun"/>
              </w:rPr>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4FC7F8" w14:textId="77777777" w:rsidR="00BE7F89" w:rsidRPr="00AC3044" w:rsidRDefault="00BE7F89" w:rsidP="005A428D">
            <w:pPr>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B733CF" w14:textId="77777777" w:rsidR="00BE7F89" w:rsidRPr="00AC3044" w:rsidRDefault="00BE7F89" w:rsidP="005A428D">
            <w:pPr>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4B6751"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(не более 3</w:t>
            </w:r>
            <w:r>
              <w:rPr>
                <w:rFonts w:eastAsia="SimSun"/>
              </w:rPr>
              <w:t xml:space="preserve"> </w:t>
            </w:r>
            <w:r w:rsidRPr="00AC3044">
              <w:rPr>
                <w:rFonts w:eastAsia="SimSun"/>
              </w:rPr>
              <w:t>г/сут)</w:t>
            </w:r>
          </w:p>
        </w:tc>
      </w:tr>
      <w:tr w:rsidR="00BE7F89" w:rsidRPr="00AC3044" w14:paraId="210002AC" w14:textId="77777777" w:rsidTr="005A428D">
        <w:trPr>
          <w:cantSplit/>
          <w:trHeight w:val="464"/>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F28D2B" w14:textId="77777777" w:rsidR="00BE7F89" w:rsidRPr="00AC3044" w:rsidRDefault="00BE7F89" w:rsidP="005A428D">
            <w:pPr>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1E59AD" w14:textId="77777777" w:rsidR="00BE7F89" w:rsidRPr="00AC3044" w:rsidRDefault="00BE7F89" w:rsidP="005A428D">
            <w:pPr>
              <w:rPr>
                <w:rFonts w:eastAsia="SimSun"/>
              </w:rPr>
            </w:pPr>
            <w:r w:rsidRPr="00AC3044">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631E63" w14:textId="77777777" w:rsidR="00BE7F89" w:rsidRPr="00AC3044" w:rsidRDefault="00BE7F89" w:rsidP="005A428D">
            <w:pPr>
              <w:rPr>
                <w:rFonts w:eastAsia="SimSun"/>
              </w:rPr>
            </w:pPr>
            <w:r w:rsidRPr="00AC3044">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917BF5" w14:textId="77777777" w:rsidR="00BE7F89" w:rsidRPr="00AC3044" w:rsidRDefault="00BE7F89" w:rsidP="005A428D">
            <w:pPr>
              <w:rPr>
                <w:rFonts w:eastAsia="SimSun"/>
              </w:rPr>
            </w:pPr>
            <w:r w:rsidRPr="00AC3044">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4D1E20" w14:textId="77777777" w:rsidR="00BE7F89" w:rsidRPr="00AC3044" w:rsidRDefault="00BE7F89" w:rsidP="005A428D">
            <w:pPr>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898D55" w14:textId="77777777" w:rsidR="00BE7F89" w:rsidRPr="00AC3044" w:rsidRDefault="00BE7F89" w:rsidP="005A428D">
            <w:pPr>
              <w:rPr>
                <w:rFonts w:eastAsia="SimSun"/>
              </w:rPr>
            </w:pPr>
            <w:r w:rsidRPr="00AC3044">
              <w:rPr>
                <w:rFonts w:eastAsia="SimSun"/>
              </w:rPr>
              <w:t>В/в, инфузия в течение 2 ч</w:t>
            </w:r>
          </w:p>
        </w:tc>
      </w:tr>
    </w:tbl>
    <w:p w14:paraId="18733FA7" w14:textId="77777777" w:rsidR="00BE7F89" w:rsidRDefault="00BE7F89" w:rsidP="00BE7F89">
      <w:pPr>
        <w:rPr>
          <w:rFonts w:eastAsia="SimSun"/>
        </w:rPr>
      </w:pPr>
      <w:bookmarkStart w:id="153" w:name="_Toc44401162"/>
    </w:p>
    <w:p w14:paraId="185DA1DE"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1.2.4  – Flu150+Bu8+Thio / PT-Cy+CSA+ MMF30</w:t>
      </w:r>
      <w:bookmarkEnd w:id="15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BE7F89" w:rsidRPr="00AC3044" w14:paraId="357AEA78" w14:textId="77777777" w:rsidTr="005A428D">
        <w:trPr>
          <w:cantSplit/>
          <w:trHeight w:val="20"/>
          <w:tblHeader/>
        </w:trPr>
        <w:tc>
          <w:tcPr>
            <w:tcW w:w="993" w:type="dxa"/>
          </w:tcPr>
          <w:p w14:paraId="5B177DF7" w14:textId="77777777" w:rsidR="00BE7F89" w:rsidRPr="00470D3D" w:rsidRDefault="00BE7F89" w:rsidP="005A428D">
            <w:pPr>
              <w:rPr>
                <w:rFonts w:eastAsia="SimSun"/>
              </w:rPr>
            </w:pPr>
          </w:p>
        </w:tc>
        <w:tc>
          <w:tcPr>
            <w:tcW w:w="1843" w:type="dxa"/>
            <w:vAlign w:val="center"/>
          </w:tcPr>
          <w:p w14:paraId="2F484F0A"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040CF21A"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7FB07D26"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30BE135E"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06F9BAAB"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065A21F6" w14:textId="77777777" w:rsidTr="005A428D">
        <w:trPr>
          <w:cantSplit/>
          <w:trHeight w:val="20"/>
        </w:trPr>
        <w:tc>
          <w:tcPr>
            <w:tcW w:w="993" w:type="dxa"/>
            <w:vMerge w:val="restart"/>
            <w:textDirection w:val="btLr"/>
            <w:vAlign w:val="center"/>
          </w:tcPr>
          <w:p w14:paraId="4781C7D9"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58DCA9E5"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246E9CC5" w14:textId="77777777" w:rsidR="00BE7F89" w:rsidRPr="00AC3044" w:rsidRDefault="00BE7F89" w:rsidP="005A428D">
            <w:pPr>
              <w:rPr>
                <w:rFonts w:eastAsia="SimSun"/>
              </w:rPr>
            </w:pPr>
            <w:r w:rsidRPr="00AC3044">
              <w:rPr>
                <w:rFonts w:eastAsia="SimSun"/>
              </w:rPr>
              <w:t>50 мг/м</w:t>
            </w:r>
            <w:r w:rsidRPr="000C005F">
              <w:rPr>
                <w:rFonts w:eastAsia="SimSun"/>
                <w:vertAlign w:val="superscript"/>
              </w:rPr>
              <w:t>2</w:t>
            </w:r>
          </w:p>
        </w:tc>
        <w:tc>
          <w:tcPr>
            <w:tcW w:w="1418" w:type="dxa"/>
            <w:vAlign w:val="center"/>
          </w:tcPr>
          <w:p w14:paraId="4280FE98" w14:textId="77777777" w:rsidR="00BE7F89" w:rsidRPr="00AC3044" w:rsidRDefault="00BE7F89" w:rsidP="005A428D">
            <w:pPr>
              <w:rPr>
                <w:rFonts w:eastAsia="SimSun"/>
              </w:rPr>
            </w:pPr>
            <w:r w:rsidRPr="00AC3044">
              <w:rPr>
                <w:rFonts w:eastAsia="SimSun"/>
              </w:rPr>
              <w:t>150 мг/м</w:t>
            </w:r>
            <w:r w:rsidRPr="000C005F">
              <w:rPr>
                <w:rFonts w:eastAsia="SimSun"/>
                <w:vertAlign w:val="superscript"/>
              </w:rPr>
              <w:t>2</w:t>
            </w:r>
          </w:p>
        </w:tc>
        <w:tc>
          <w:tcPr>
            <w:tcW w:w="1701" w:type="dxa"/>
            <w:vAlign w:val="center"/>
          </w:tcPr>
          <w:p w14:paraId="69B3DC91" w14:textId="77777777" w:rsidR="00BE7F89" w:rsidRPr="00AC3044" w:rsidRDefault="00BE7F89" w:rsidP="005A428D">
            <w:pPr>
              <w:rPr>
                <w:rFonts w:eastAsia="SimSun"/>
              </w:rPr>
            </w:pPr>
            <w:r w:rsidRPr="00AC3044">
              <w:rPr>
                <w:rFonts w:eastAsia="SimSun"/>
              </w:rPr>
              <w:t>С –4 по –2 день</w:t>
            </w:r>
          </w:p>
        </w:tc>
        <w:tc>
          <w:tcPr>
            <w:tcW w:w="2268" w:type="dxa"/>
            <w:vAlign w:val="center"/>
          </w:tcPr>
          <w:p w14:paraId="34218E3A"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1670DCED" w14:textId="77777777" w:rsidTr="005A428D">
        <w:trPr>
          <w:cantSplit/>
          <w:trHeight w:val="703"/>
        </w:trPr>
        <w:tc>
          <w:tcPr>
            <w:tcW w:w="993" w:type="dxa"/>
            <w:vMerge/>
            <w:textDirection w:val="btLr"/>
            <w:vAlign w:val="center"/>
          </w:tcPr>
          <w:p w14:paraId="4AD59A81" w14:textId="77777777" w:rsidR="00BE7F89" w:rsidRPr="00AC3044" w:rsidRDefault="00BE7F89" w:rsidP="005A428D">
            <w:pPr>
              <w:rPr>
                <w:rFonts w:eastAsia="SimSun"/>
              </w:rPr>
            </w:pPr>
          </w:p>
        </w:tc>
        <w:tc>
          <w:tcPr>
            <w:tcW w:w="1843" w:type="dxa"/>
            <w:vAlign w:val="center"/>
          </w:tcPr>
          <w:p w14:paraId="7F953348"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19DD4AFE" w14:textId="77777777" w:rsidR="00BE7F89" w:rsidRPr="00AC3044" w:rsidRDefault="00BE7F89" w:rsidP="005A428D">
            <w:pPr>
              <w:rPr>
                <w:rFonts w:eastAsia="SimSun"/>
              </w:rPr>
            </w:pPr>
            <w:r w:rsidRPr="00AC3044">
              <w:rPr>
                <w:rFonts w:eastAsia="SimSun"/>
              </w:rPr>
              <w:t>4 мг/кг</w:t>
            </w:r>
          </w:p>
        </w:tc>
        <w:tc>
          <w:tcPr>
            <w:tcW w:w="1418" w:type="dxa"/>
            <w:vAlign w:val="center"/>
          </w:tcPr>
          <w:p w14:paraId="5992B33C" w14:textId="77777777" w:rsidR="00BE7F89" w:rsidRPr="00AC3044" w:rsidRDefault="00BE7F89" w:rsidP="005A428D">
            <w:pPr>
              <w:rPr>
                <w:rFonts w:eastAsia="SimSun"/>
              </w:rPr>
            </w:pPr>
            <w:r w:rsidRPr="00AC3044">
              <w:rPr>
                <w:rFonts w:eastAsia="SimSun"/>
              </w:rPr>
              <w:t>8 мг/кг</w:t>
            </w:r>
          </w:p>
        </w:tc>
        <w:tc>
          <w:tcPr>
            <w:tcW w:w="1701" w:type="dxa"/>
            <w:vAlign w:val="center"/>
          </w:tcPr>
          <w:p w14:paraId="6BF2F124" w14:textId="77777777" w:rsidR="00BE7F89" w:rsidRPr="00AC3044" w:rsidRDefault="00BE7F89" w:rsidP="005A428D">
            <w:pPr>
              <w:rPr>
                <w:rFonts w:eastAsia="SimSun"/>
              </w:rPr>
            </w:pPr>
            <w:r w:rsidRPr="00AC3044">
              <w:rPr>
                <w:rFonts w:eastAsia="SimSun"/>
              </w:rPr>
              <w:t>–3, –2 дни</w:t>
            </w:r>
          </w:p>
        </w:tc>
        <w:tc>
          <w:tcPr>
            <w:tcW w:w="2268" w:type="dxa"/>
            <w:vAlign w:val="center"/>
          </w:tcPr>
          <w:p w14:paraId="6219E4F1"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46CCF6DD" w14:textId="77777777" w:rsidTr="005A428D">
        <w:trPr>
          <w:cantSplit/>
          <w:trHeight w:val="704"/>
        </w:trPr>
        <w:tc>
          <w:tcPr>
            <w:tcW w:w="993" w:type="dxa"/>
            <w:vMerge/>
            <w:textDirection w:val="btLr"/>
            <w:vAlign w:val="center"/>
          </w:tcPr>
          <w:p w14:paraId="02D82EBE" w14:textId="77777777" w:rsidR="00BE7F89" w:rsidRPr="00AC3044" w:rsidRDefault="00BE7F89" w:rsidP="005A428D">
            <w:pPr>
              <w:rPr>
                <w:rFonts w:eastAsia="SimSun"/>
              </w:rPr>
            </w:pPr>
          </w:p>
        </w:tc>
        <w:tc>
          <w:tcPr>
            <w:tcW w:w="1843" w:type="dxa"/>
            <w:vAlign w:val="center"/>
          </w:tcPr>
          <w:p w14:paraId="3A85DCCE" w14:textId="77777777" w:rsidR="00BE7F89" w:rsidRPr="00AC3044" w:rsidRDefault="00BE7F89" w:rsidP="005A428D">
            <w:pPr>
              <w:rPr>
                <w:rFonts w:eastAsia="SimSun"/>
              </w:rPr>
            </w:pPr>
            <w:r w:rsidRPr="00AC3044">
              <w:rPr>
                <w:rFonts w:eastAsia="SimSun"/>
              </w:rPr>
              <w:t>Тиотепа</w:t>
            </w:r>
          </w:p>
        </w:tc>
        <w:tc>
          <w:tcPr>
            <w:tcW w:w="1417" w:type="dxa"/>
            <w:vAlign w:val="center"/>
          </w:tcPr>
          <w:p w14:paraId="3C74A401" w14:textId="77777777" w:rsidR="00BE7F89" w:rsidRPr="00AC3044" w:rsidRDefault="00BE7F89" w:rsidP="005A428D">
            <w:pPr>
              <w:rPr>
                <w:rFonts w:eastAsia="SimSun"/>
              </w:rPr>
            </w:pPr>
            <w:r w:rsidRPr="00AC3044">
              <w:rPr>
                <w:rFonts w:eastAsia="SimSun"/>
              </w:rPr>
              <w:t>5 мг/кг</w:t>
            </w:r>
          </w:p>
        </w:tc>
        <w:tc>
          <w:tcPr>
            <w:tcW w:w="1418" w:type="dxa"/>
            <w:vAlign w:val="center"/>
          </w:tcPr>
          <w:p w14:paraId="61C48AAF" w14:textId="77777777" w:rsidR="00BE7F89" w:rsidRPr="00AC3044" w:rsidRDefault="00BE7F89" w:rsidP="005A428D">
            <w:pPr>
              <w:rPr>
                <w:rFonts w:eastAsia="SimSun"/>
              </w:rPr>
            </w:pPr>
            <w:r w:rsidRPr="00AC3044">
              <w:rPr>
                <w:rFonts w:eastAsia="SimSun"/>
              </w:rPr>
              <w:t>10 мг/кг</w:t>
            </w:r>
          </w:p>
        </w:tc>
        <w:tc>
          <w:tcPr>
            <w:tcW w:w="1701" w:type="dxa"/>
            <w:vAlign w:val="center"/>
          </w:tcPr>
          <w:p w14:paraId="4C0950FD" w14:textId="77777777" w:rsidR="00BE7F89" w:rsidRPr="00AC3044" w:rsidRDefault="00BE7F89" w:rsidP="005A428D">
            <w:pPr>
              <w:rPr>
                <w:rFonts w:eastAsia="SimSun"/>
              </w:rPr>
            </w:pPr>
            <w:r w:rsidRPr="00AC3044">
              <w:rPr>
                <w:rFonts w:eastAsia="SimSun"/>
              </w:rPr>
              <w:t>-6,-5 дни</w:t>
            </w:r>
          </w:p>
        </w:tc>
        <w:tc>
          <w:tcPr>
            <w:tcW w:w="2268" w:type="dxa"/>
            <w:vAlign w:val="center"/>
          </w:tcPr>
          <w:p w14:paraId="1C74C597" w14:textId="77777777" w:rsidR="00BE7F89" w:rsidRPr="00AC3044" w:rsidRDefault="00BE7F89" w:rsidP="005A428D">
            <w:pPr>
              <w:rPr>
                <w:rFonts w:eastAsia="SimSun"/>
              </w:rPr>
            </w:pPr>
            <w:r w:rsidRPr="00AC3044">
              <w:rPr>
                <w:rFonts w:eastAsia="SimSun"/>
              </w:rPr>
              <w:t>В/в, в течение 2 ч.</w:t>
            </w:r>
          </w:p>
        </w:tc>
      </w:tr>
      <w:tr w:rsidR="00BE7F89" w:rsidRPr="00AC3044" w14:paraId="47584862" w14:textId="77777777" w:rsidTr="005A428D">
        <w:trPr>
          <w:cantSplit/>
          <w:trHeight w:val="20"/>
        </w:trPr>
        <w:tc>
          <w:tcPr>
            <w:tcW w:w="993" w:type="dxa"/>
            <w:vMerge w:val="restart"/>
            <w:textDirection w:val="btLr"/>
            <w:vAlign w:val="center"/>
          </w:tcPr>
          <w:p w14:paraId="4027614A"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41CC2807" w14:textId="77777777" w:rsidR="00BE7F89" w:rsidRPr="00AC3044" w:rsidRDefault="00BE7F89" w:rsidP="005A428D">
            <w:pPr>
              <w:rPr>
                <w:rFonts w:eastAsia="SimSun"/>
              </w:rPr>
            </w:pPr>
            <w:r w:rsidRPr="00AC3044">
              <w:rPr>
                <w:rFonts w:eastAsia="SimSun"/>
              </w:rPr>
              <w:t>Циклофосфамид</w:t>
            </w:r>
          </w:p>
        </w:tc>
        <w:tc>
          <w:tcPr>
            <w:tcW w:w="1417" w:type="dxa"/>
            <w:vAlign w:val="center"/>
          </w:tcPr>
          <w:p w14:paraId="50286DB5"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3A059870"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03B5D8CF" w14:textId="77777777" w:rsidR="00BE7F89" w:rsidRPr="00AC3044" w:rsidRDefault="00BE7F89" w:rsidP="005A428D">
            <w:pPr>
              <w:rPr>
                <w:rFonts w:eastAsia="SimSun"/>
              </w:rPr>
            </w:pPr>
            <w:r w:rsidRPr="00AC3044">
              <w:rPr>
                <w:rFonts w:eastAsia="SimSun"/>
              </w:rPr>
              <w:t xml:space="preserve">+3,+4 дни </w:t>
            </w:r>
          </w:p>
        </w:tc>
        <w:tc>
          <w:tcPr>
            <w:tcW w:w="2268" w:type="dxa"/>
            <w:vAlign w:val="center"/>
          </w:tcPr>
          <w:p w14:paraId="724B21B0" w14:textId="77777777" w:rsidR="00BE7F89" w:rsidRPr="00AC3044" w:rsidRDefault="00BE7F89" w:rsidP="005A428D">
            <w:pPr>
              <w:rPr>
                <w:rFonts w:eastAsia="SimSun"/>
              </w:rPr>
            </w:pPr>
            <w:r w:rsidRPr="00AC3044">
              <w:rPr>
                <w:rFonts w:eastAsia="SimSun"/>
              </w:rPr>
              <w:t xml:space="preserve">В/в, в течение 2 ч </w:t>
            </w:r>
          </w:p>
        </w:tc>
      </w:tr>
      <w:tr w:rsidR="00BE7F89" w:rsidRPr="00AC3044" w14:paraId="13E01A9F" w14:textId="77777777" w:rsidTr="005A428D">
        <w:trPr>
          <w:cantSplit/>
          <w:trHeight w:val="20"/>
        </w:trPr>
        <w:tc>
          <w:tcPr>
            <w:tcW w:w="993" w:type="dxa"/>
            <w:vMerge/>
            <w:textDirection w:val="btLr"/>
          </w:tcPr>
          <w:p w14:paraId="20DDC3BA" w14:textId="77777777" w:rsidR="00BE7F89" w:rsidRPr="00AC3044" w:rsidRDefault="00BE7F89" w:rsidP="005A428D">
            <w:pPr>
              <w:rPr>
                <w:rFonts w:eastAsia="SimSun"/>
              </w:rPr>
            </w:pPr>
          </w:p>
        </w:tc>
        <w:tc>
          <w:tcPr>
            <w:tcW w:w="1843" w:type="dxa"/>
            <w:vAlign w:val="center"/>
          </w:tcPr>
          <w:p w14:paraId="76AA6E2A" w14:textId="77777777" w:rsidR="00BE7F89" w:rsidRPr="00AC3044" w:rsidRDefault="00BE7F89" w:rsidP="005A428D">
            <w:pPr>
              <w:rPr>
                <w:rFonts w:eastAsia="SimSun"/>
              </w:rPr>
            </w:pPr>
            <w:r w:rsidRPr="00AC3044">
              <w:rPr>
                <w:rFonts w:eastAsia="SimSun"/>
              </w:rPr>
              <w:t>Циклоспорин</w:t>
            </w:r>
          </w:p>
        </w:tc>
        <w:tc>
          <w:tcPr>
            <w:tcW w:w="1417" w:type="dxa"/>
            <w:vAlign w:val="center"/>
          </w:tcPr>
          <w:p w14:paraId="035138EC" w14:textId="77777777" w:rsidR="00BE7F89" w:rsidRPr="00AC3044" w:rsidRDefault="00BE7F89" w:rsidP="005A428D">
            <w:pPr>
              <w:rPr>
                <w:rFonts w:eastAsia="SimSun"/>
              </w:rPr>
            </w:pPr>
            <w:r w:rsidRPr="00AC3044">
              <w:rPr>
                <w:rFonts w:eastAsia="SimSun"/>
              </w:rPr>
              <w:t>3 мг/кг</w:t>
            </w:r>
          </w:p>
        </w:tc>
        <w:tc>
          <w:tcPr>
            <w:tcW w:w="1418" w:type="dxa"/>
            <w:vAlign w:val="center"/>
          </w:tcPr>
          <w:p w14:paraId="5E016C5B" w14:textId="77777777" w:rsidR="00BE7F89" w:rsidRPr="00AC3044" w:rsidRDefault="00BE7F89" w:rsidP="005A428D">
            <w:pPr>
              <w:rPr>
                <w:rFonts w:eastAsia="SimSun"/>
              </w:rPr>
            </w:pPr>
            <w:r w:rsidRPr="00AC3044">
              <w:rPr>
                <w:rFonts w:eastAsia="SimSun"/>
              </w:rPr>
              <w:t>–</w:t>
            </w:r>
          </w:p>
        </w:tc>
        <w:tc>
          <w:tcPr>
            <w:tcW w:w="1701" w:type="dxa"/>
            <w:vAlign w:val="center"/>
          </w:tcPr>
          <w:p w14:paraId="77A6C8DB" w14:textId="77777777" w:rsidR="00BE7F89" w:rsidRPr="00AC3044" w:rsidRDefault="00BE7F89" w:rsidP="005A428D">
            <w:pPr>
              <w:rPr>
                <w:rFonts w:eastAsia="SimSun"/>
              </w:rPr>
            </w:pPr>
            <w:r w:rsidRPr="00AC3044">
              <w:rPr>
                <w:rFonts w:eastAsia="SimSun"/>
              </w:rPr>
              <w:t>С +5 по +60 день, затем постепенное снижение к +100 дню</w:t>
            </w:r>
          </w:p>
        </w:tc>
        <w:tc>
          <w:tcPr>
            <w:tcW w:w="2268" w:type="dxa"/>
            <w:vAlign w:val="center"/>
          </w:tcPr>
          <w:p w14:paraId="54747CAF"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BE7F89" w:rsidRPr="00AC3044" w14:paraId="101EFBC4" w14:textId="77777777" w:rsidTr="005A428D">
        <w:trPr>
          <w:cantSplit/>
          <w:trHeight w:val="464"/>
        </w:trPr>
        <w:tc>
          <w:tcPr>
            <w:tcW w:w="993" w:type="dxa"/>
            <w:vMerge/>
          </w:tcPr>
          <w:p w14:paraId="1769FF76" w14:textId="77777777" w:rsidR="00BE7F89" w:rsidRPr="00AC3044" w:rsidRDefault="00BE7F89" w:rsidP="005A428D">
            <w:pPr>
              <w:rPr>
                <w:rFonts w:eastAsia="SimSun"/>
              </w:rPr>
            </w:pPr>
          </w:p>
        </w:tc>
        <w:tc>
          <w:tcPr>
            <w:tcW w:w="1843" w:type="dxa"/>
            <w:vAlign w:val="center"/>
          </w:tcPr>
          <w:p w14:paraId="587A0019" w14:textId="77777777" w:rsidR="00BE7F89" w:rsidRPr="00AC3044" w:rsidRDefault="00BE7F89" w:rsidP="005A428D">
            <w:pPr>
              <w:rPr>
                <w:rFonts w:eastAsia="SimSun"/>
              </w:rPr>
            </w:pPr>
            <w:r w:rsidRPr="00AC3044">
              <w:rPr>
                <w:rFonts w:eastAsia="SimSun"/>
              </w:rPr>
              <w:t>Микофенолата мофетил</w:t>
            </w:r>
          </w:p>
        </w:tc>
        <w:tc>
          <w:tcPr>
            <w:tcW w:w="1417" w:type="dxa"/>
            <w:vAlign w:val="center"/>
          </w:tcPr>
          <w:p w14:paraId="5B629BB1" w14:textId="77777777" w:rsidR="00BE7F89" w:rsidRPr="00AC3044" w:rsidRDefault="00BE7F89" w:rsidP="005A428D">
            <w:pPr>
              <w:rPr>
                <w:rFonts w:eastAsia="SimSun"/>
              </w:rPr>
            </w:pPr>
            <w:r w:rsidRPr="00AC3044">
              <w:rPr>
                <w:rFonts w:eastAsia="SimSun"/>
              </w:rPr>
              <w:t>30 мг/кг</w:t>
            </w:r>
          </w:p>
        </w:tc>
        <w:tc>
          <w:tcPr>
            <w:tcW w:w="1418" w:type="dxa"/>
            <w:vAlign w:val="center"/>
          </w:tcPr>
          <w:p w14:paraId="70FBC29E" w14:textId="77777777" w:rsidR="00BE7F89" w:rsidRPr="00AC3044" w:rsidRDefault="00BE7F89" w:rsidP="005A428D">
            <w:pPr>
              <w:rPr>
                <w:rFonts w:eastAsia="SimSun"/>
              </w:rPr>
            </w:pPr>
            <w:r w:rsidRPr="00AC3044">
              <w:rPr>
                <w:rFonts w:eastAsia="SimSun"/>
              </w:rPr>
              <w:t>–</w:t>
            </w:r>
          </w:p>
        </w:tc>
        <w:tc>
          <w:tcPr>
            <w:tcW w:w="1701" w:type="dxa"/>
            <w:vAlign w:val="center"/>
          </w:tcPr>
          <w:p w14:paraId="05662821" w14:textId="77777777" w:rsidR="00BE7F89" w:rsidRPr="00AC3044" w:rsidRDefault="00BE7F89" w:rsidP="005A428D">
            <w:pPr>
              <w:rPr>
                <w:rFonts w:eastAsia="SimSun"/>
              </w:rPr>
            </w:pPr>
            <w:r w:rsidRPr="00AC3044">
              <w:rPr>
                <w:rFonts w:eastAsia="SimSun"/>
              </w:rPr>
              <w:t>С +5 по +30 день</w:t>
            </w:r>
          </w:p>
        </w:tc>
        <w:tc>
          <w:tcPr>
            <w:tcW w:w="2268" w:type="dxa"/>
            <w:vAlign w:val="center"/>
          </w:tcPr>
          <w:p w14:paraId="3B1E2FDD"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14:paraId="0FAD56D0" w14:textId="77777777" w:rsidR="00BE7F89" w:rsidRPr="00C07B2E" w:rsidRDefault="00BE7F89" w:rsidP="00BE7F89">
      <w:pPr>
        <w:rPr>
          <w:rFonts w:eastAsia="SimSun"/>
        </w:rPr>
      </w:pPr>
    </w:p>
    <w:p w14:paraId="07E81D6B" w14:textId="77777777" w:rsidR="00BE7F89" w:rsidRPr="00C07B2E" w:rsidRDefault="00BE7F89" w:rsidP="00BE7F89">
      <w:pPr>
        <w:rPr>
          <w:rFonts w:eastAsia="SimSun"/>
        </w:rPr>
      </w:pPr>
      <w:bookmarkStart w:id="154" w:name="_Toc44401163"/>
      <w:r w:rsidRPr="00042499">
        <w:rPr>
          <w:rFonts w:eastAsia="SimSun"/>
        </w:rPr>
        <w:t>Таблица</w:t>
      </w:r>
      <w:r w:rsidRPr="00C07B2E">
        <w:rPr>
          <w:rFonts w:eastAsia="SimSun"/>
        </w:rPr>
        <w:t xml:space="preserve"> </w:t>
      </w:r>
      <w:r>
        <w:rPr>
          <w:rFonts w:eastAsia="SimSun"/>
        </w:rPr>
        <w:t>5.</w:t>
      </w:r>
      <w:r w:rsidRPr="00C07B2E">
        <w:rPr>
          <w:rFonts w:eastAsia="SimSun"/>
        </w:rPr>
        <w:t>1.2.5  – Flu180+Bu8 / hATG+CSA+MTX+MMF30</w:t>
      </w:r>
      <w:bookmarkEnd w:id="15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BE7F89" w:rsidRPr="00AC3044" w14:paraId="47CD04C8" w14:textId="77777777" w:rsidTr="005A428D">
        <w:trPr>
          <w:cantSplit/>
          <w:trHeight w:val="20"/>
          <w:tblHeader/>
        </w:trPr>
        <w:tc>
          <w:tcPr>
            <w:tcW w:w="993" w:type="dxa"/>
          </w:tcPr>
          <w:p w14:paraId="6EBD39A8" w14:textId="77777777" w:rsidR="00BE7F89" w:rsidRPr="00470D3D" w:rsidRDefault="00BE7F89" w:rsidP="005A428D">
            <w:pPr>
              <w:rPr>
                <w:rFonts w:eastAsia="SimSun"/>
              </w:rPr>
            </w:pPr>
          </w:p>
        </w:tc>
        <w:tc>
          <w:tcPr>
            <w:tcW w:w="1843" w:type="dxa"/>
            <w:vAlign w:val="center"/>
          </w:tcPr>
          <w:p w14:paraId="6C59CD2D"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4C212DF5"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2FECFE86"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31ED3173"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738EC94A"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6A633220" w14:textId="77777777" w:rsidTr="005A428D">
        <w:trPr>
          <w:cantSplit/>
          <w:trHeight w:val="20"/>
        </w:trPr>
        <w:tc>
          <w:tcPr>
            <w:tcW w:w="993" w:type="dxa"/>
            <w:vMerge w:val="restart"/>
            <w:textDirection w:val="btLr"/>
            <w:vAlign w:val="center"/>
          </w:tcPr>
          <w:p w14:paraId="1F3D51E3"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0E7B3428"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278C88F9" w14:textId="77777777" w:rsidR="00BE7F89" w:rsidRPr="00AC3044" w:rsidRDefault="00BE7F89" w:rsidP="005A428D">
            <w:pPr>
              <w:rPr>
                <w:rFonts w:eastAsia="SimSun"/>
              </w:rPr>
            </w:pPr>
            <w:r w:rsidRPr="00AC3044">
              <w:rPr>
                <w:rFonts w:eastAsia="SimSun"/>
              </w:rPr>
              <w:t>30 мг/м</w:t>
            </w:r>
            <w:r w:rsidRPr="000C005F">
              <w:rPr>
                <w:rFonts w:eastAsia="SimSun"/>
                <w:vertAlign w:val="superscript"/>
              </w:rPr>
              <w:t>2</w:t>
            </w:r>
          </w:p>
        </w:tc>
        <w:tc>
          <w:tcPr>
            <w:tcW w:w="1418" w:type="dxa"/>
            <w:vAlign w:val="center"/>
          </w:tcPr>
          <w:p w14:paraId="556F72E6" w14:textId="77777777" w:rsidR="00BE7F89" w:rsidRPr="00AC3044" w:rsidRDefault="00BE7F89" w:rsidP="005A428D">
            <w:pPr>
              <w:rPr>
                <w:rFonts w:eastAsia="SimSun"/>
              </w:rPr>
            </w:pPr>
            <w:r w:rsidRPr="00AC3044">
              <w:rPr>
                <w:rFonts w:eastAsia="SimSun"/>
              </w:rPr>
              <w:t>180 мг/м</w:t>
            </w:r>
            <w:r w:rsidRPr="000C005F">
              <w:rPr>
                <w:rFonts w:eastAsia="SimSun"/>
                <w:vertAlign w:val="superscript"/>
              </w:rPr>
              <w:t>2</w:t>
            </w:r>
          </w:p>
        </w:tc>
        <w:tc>
          <w:tcPr>
            <w:tcW w:w="1701" w:type="dxa"/>
            <w:vAlign w:val="center"/>
          </w:tcPr>
          <w:p w14:paraId="2F97D578" w14:textId="77777777" w:rsidR="00BE7F89" w:rsidRPr="00AC3044" w:rsidRDefault="00BE7F89" w:rsidP="005A428D">
            <w:pPr>
              <w:rPr>
                <w:rFonts w:eastAsia="SimSun"/>
              </w:rPr>
            </w:pPr>
            <w:r w:rsidRPr="00AC3044">
              <w:rPr>
                <w:rFonts w:eastAsia="SimSun"/>
              </w:rPr>
              <w:t>С –10 по –5 день</w:t>
            </w:r>
          </w:p>
        </w:tc>
        <w:tc>
          <w:tcPr>
            <w:tcW w:w="2268" w:type="dxa"/>
            <w:vAlign w:val="center"/>
          </w:tcPr>
          <w:p w14:paraId="6EE5365B"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526E8297" w14:textId="77777777" w:rsidTr="005A428D">
        <w:trPr>
          <w:cantSplit/>
          <w:trHeight w:val="1043"/>
        </w:trPr>
        <w:tc>
          <w:tcPr>
            <w:tcW w:w="993" w:type="dxa"/>
            <w:vMerge/>
            <w:textDirection w:val="btLr"/>
            <w:vAlign w:val="center"/>
          </w:tcPr>
          <w:p w14:paraId="7A86D335" w14:textId="77777777" w:rsidR="00BE7F89" w:rsidRPr="00AC3044" w:rsidRDefault="00BE7F89" w:rsidP="005A428D">
            <w:pPr>
              <w:rPr>
                <w:rFonts w:eastAsia="SimSun"/>
              </w:rPr>
            </w:pPr>
          </w:p>
        </w:tc>
        <w:tc>
          <w:tcPr>
            <w:tcW w:w="1843" w:type="dxa"/>
            <w:vAlign w:val="center"/>
          </w:tcPr>
          <w:p w14:paraId="21619370"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3761FAD7" w14:textId="77777777" w:rsidR="00BE7F89" w:rsidRPr="00AC3044" w:rsidRDefault="00BE7F89" w:rsidP="005A428D">
            <w:pPr>
              <w:rPr>
                <w:rFonts w:eastAsia="SimSun"/>
              </w:rPr>
            </w:pPr>
            <w:r w:rsidRPr="00AC3044">
              <w:rPr>
                <w:rFonts w:eastAsia="SimSun"/>
              </w:rPr>
              <w:t>4 мг/кг</w:t>
            </w:r>
          </w:p>
        </w:tc>
        <w:tc>
          <w:tcPr>
            <w:tcW w:w="1418" w:type="dxa"/>
            <w:vAlign w:val="center"/>
          </w:tcPr>
          <w:p w14:paraId="44E0EB10" w14:textId="77777777" w:rsidR="00BE7F89" w:rsidRPr="00AC3044" w:rsidRDefault="00BE7F89" w:rsidP="005A428D">
            <w:pPr>
              <w:rPr>
                <w:rFonts w:eastAsia="SimSun"/>
              </w:rPr>
            </w:pPr>
            <w:r w:rsidRPr="00AC3044">
              <w:rPr>
                <w:rFonts w:eastAsia="SimSun"/>
              </w:rPr>
              <w:t>8 мг/кг</w:t>
            </w:r>
          </w:p>
        </w:tc>
        <w:tc>
          <w:tcPr>
            <w:tcW w:w="1701" w:type="dxa"/>
            <w:vAlign w:val="center"/>
          </w:tcPr>
          <w:p w14:paraId="03A6A04E" w14:textId="77777777" w:rsidR="00BE7F89" w:rsidRPr="00AC3044" w:rsidRDefault="00BE7F89" w:rsidP="005A428D">
            <w:pPr>
              <w:rPr>
                <w:rFonts w:eastAsia="SimSun"/>
              </w:rPr>
            </w:pPr>
            <w:r w:rsidRPr="00AC3044">
              <w:rPr>
                <w:rFonts w:eastAsia="SimSun"/>
              </w:rPr>
              <w:t>–6, –5 дни</w:t>
            </w:r>
          </w:p>
        </w:tc>
        <w:tc>
          <w:tcPr>
            <w:tcW w:w="2268" w:type="dxa"/>
            <w:vAlign w:val="center"/>
          </w:tcPr>
          <w:p w14:paraId="2A607B7F"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7DA13DEA" w14:textId="77777777" w:rsidTr="005A428D">
        <w:trPr>
          <w:cantSplit/>
          <w:trHeight w:val="20"/>
        </w:trPr>
        <w:tc>
          <w:tcPr>
            <w:tcW w:w="993" w:type="dxa"/>
            <w:vMerge w:val="restart"/>
            <w:textDirection w:val="btLr"/>
          </w:tcPr>
          <w:p w14:paraId="7494B152"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07638829" w14:textId="77777777" w:rsidR="00BE7F89" w:rsidRPr="00AC3044" w:rsidRDefault="00BE7F89" w:rsidP="005A428D">
            <w:pPr>
              <w:rPr>
                <w:rFonts w:eastAsia="SimSun"/>
              </w:rPr>
            </w:pPr>
            <w:r w:rsidRPr="00AC3044">
              <w:rPr>
                <w:rFonts w:eastAsia="SimSun"/>
              </w:rPr>
              <w:t>АТГ (лошадиный)</w:t>
            </w:r>
          </w:p>
        </w:tc>
        <w:tc>
          <w:tcPr>
            <w:tcW w:w="1417" w:type="dxa"/>
            <w:vAlign w:val="center"/>
          </w:tcPr>
          <w:p w14:paraId="106B39A1" w14:textId="77777777" w:rsidR="00BE7F89" w:rsidRPr="00AC3044" w:rsidRDefault="00BE7F89" w:rsidP="005A428D">
            <w:pPr>
              <w:rPr>
                <w:rFonts w:eastAsia="SimSun"/>
              </w:rPr>
            </w:pPr>
            <w:r w:rsidRPr="00AC3044">
              <w:rPr>
                <w:rFonts w:eastAsia="SimSun"/>
              </w:rPr>
              <w:t>10 -15 мг/кг</w:t>
            </w:r>
          </w:p>
        </w:tc>
        <w:tc>
          <w:tcPr>
            <w:tcW w:w="1418" w:type="dxa"/>
            <w:vAlign w:val="center"/>
          </w:tcPr>
          <w:p w14:paraId="7C8E99D2" w14:textId="77777777" w:rsidR="00BE7F89" w:rsidRPr="00AC3044" w:rsidRDefault="00BE7F89" w:rsidP="005A428D">
            <w:pPr>
              <w:rPr>
                <w:rFonts w:eastAsia="SimSun"/>
              </w:rPr>
            </w:pPr>
            <w:r w:rsidRPr="00AC3044">
              <w:rPr>
                <w:rFonts w:eastAsia="SimSun"/>
              </w:rPr>
              <w:t>40 -60 мг/кг</w:t>
            </w:r>
          </w:p>
        </w:tc>
        <w:tc>
          <w:tcPr>
            <w:tcW w:w="1701" w:type="dxa"/>
            <w:vAlign w:val="center"/>
          </w:tcPr>
          <w:p w14:paraId="05B0004F" w14:textId="77777777" w:rsidR="00BE7F89" w:rsidRPr="00AC3044" w:rsidRDefault="00BE7F89" w:rsidP="005A428D">
            <w:pPr>
              <w:rPr>
                <w:rFonts w:eastAsia="SimSun"/>
              </w:rPr>
            </w:pPr>
            <w:r w:rsidRPr="00AC3044">
              <w:rPr>
                <w:rFonts w:eastAsia="SimSun"/>
              </w:rPr>
              <w:t>С –4 по –1 день</w:t>
            </w:r>
          </w:p>
        </w:tc>
        <w:tc>
          <w:tcPr>
            <w:tcW w:w="2268" w:type="dxa"/>
            <w:vAlign w:val="center"/>
          </w:tcPr>
          <w:p w14:paraId="4C088348" w14:textId="77777777" w:rsidR="00BE7F89" w:rsidRPr="00AC3044" w:rsidRDefault="00BE7F89" w:rsidP="005A428D">
            <w:pPr>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BE7F89" w:rsidRPr="00AC3044" w14:paraId="77A8504E" w14:textId="77777777" w:rsidTr="005A428D">
        <w:trPr>
          <w:cantSplit/>
          <w:trHeight w:val="20"/>
        </w:trPr>
        <w:tc>
          <w:tcPr>
            <w:tcW w:w="993" w:type="dxa"/>
            <w:vMerge/>
            <w:textDirection w:val="btLr"/>
          </w:tcPr>
          <w:p w14:paraId="2DD13544" w14:textId="77777777" w:rsidR="00BE7F89" w:rsidRPr="00AC3044" w:rsidRDefault="00BE7F89" w:rsidP="005A428D">
            <w:pPr>
              <w:rPr>
                <w:rFonts w:eastAsia="SimSun"/>
              </w:rPr>
            </w:pPr>
          </w:p>
        </w:tc>
        <w:tc>
          <w:tcPr>
            <w:tcW w:w="1843" w:type="dxa"/>
            <w:vAlign w:val="center"/>
          </w:tcPr>
          <w:p w14:paraId="4DF543E6" w14:textId="77777777" w:rsidR="00BE7F89" w:rsidRPr="00AC3044" w:rsidRDefault="00BE7F89" w:rsidP="005A428D">
            <w:pPr>
              <w:rPr>
                <w:rFonts w:eastAsia="SimSun"/>
              </w:rPr>
            </w:pPr>
            <w:r w:rsidRPr="00AC3044">
              <w:rPr>
                <w:rFonts w:eastAsia="SimSun"/>
              </w:rPr>
              <w:t>Циклоспорин</w:t>
            </w:r>
          </w:p>
        </w:tc>
        <w:tc>
          <w:tcPr>
            <w:tcW w:w="1417" w:type="dxa"/>
            <w:vAlign w:val="center"/>
          </w:tcPr>
          <w:p w14:paraId="553AB25C" w14:textId="77777777" w:rsidR="00BE7F89" w:rsidRPr="00AC3044" w:rsidRDefault="00BE7F89" w:rsidP="005A428D">
            <w:pPr>
              <w:rPr>
                <w:rFonts w:eastAsia="SimSun"/>
              </w:rPr>
            </w:pPr>
            <w:r w:rsidRPr="00AC3044">
              <w:rPr>
                <w:rFonts w:eastAsia="SimSun"/>
              </w:rPr>
              <w:t>3 мг/кг</w:t>
            </w:r>
          </w:p>
        </w:tc>
        <w:tc>
          <w:tcPr>
            <w:tcW w:w="1418" w:type="dxa"/>
            <w:vAlign w:val="center"/>
          </w:tcPr>
          <w:p w14:paraId="47D94B2A" w14:textId="77777777" w:rsidR="00BE7F89" w:rsidRPr="00AC3044" w:rsidRDefault="00BE7F89" w:rsidP="005A428D">
            <w:pPr>
              <w:rPr>
                <w:rFonts w:eastAsia="SimSun"/>
              </w:rPr>
            </w:pPr>
            <w:r w:rsidRPr="00AC3044">
              <w:rPr>
                <w:rFonts w:eastAsia="SimSun"/>
              </w:rPr>
              <w:t>–</w:t>
            </w:r>
          </w:p>
        </w:tc>
        <w:tc>
          <w:tcPr>
            <w:tcW w:w="1701" w:type="dxa"/>
            <w:vAlign w:val="center"/>
          </w:tcPr>
          <w:p w14:paraId="762558A1" w14:textId="77777777" w:rsidR="00BE7F89" w:rsidRPr="00AC3044" w:rsidRDefault="00BE7F89" w:rsidP="005A428D">
            <w:pPr>
              <w:rPr>
                <w:rFonts w:eastAsia="SimSun"/>
              </w:rPr>
            </w:pPr>
            <w:r w:rsidRPr="00AC3044">
              <w:rPr>
                <w:rFonts w:eastAsia="SimSun"/>
              </w:rPr>
              <w:t>С –1 дня по +90 день, затем постепенное снижение к +180 дню</w:t>
            </w:r>
          </w:p>
        </w:tc>
        <w:tc>
          <w:tcPr>
            <w:tcW w:w="2268" w:type="dxa"/>
            <w:vAlign w:val="center"/>
          </w:tcPr>
          <w:p w14:paraId="11C6188B"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65F2E537" w14:textId="77777777" w:rsidTr="005A428D">
        <w:trPr>
          <w:cantSplit/>
          <w:trHeight w:val="20"/>
        </w:trPr>
        <w:tc>
          <w:tcPr>
            <w:tcW w:w="993" w:type="dxa"/>
            <w:vMerge/>
          </w:tcPr>
          <w:p w14:paraId="0F1DA8F0" w14:textId="77777777" w:rsidR="00BE7F89" w:rsidRPr="00AC3044" w:rsidRDefault="00BE7F89" w:rsidP="005A428D">
            <w:pPr>
              <w:rPr>
                <w:rFonts w:eastAsia="SimSun"/>
              </w:rPr>
            </w:pPr>
          </w:p>
        </w:tc>
        <w:tc>
          <w:tcPr>
            <w:tcW w:w="1843" w:type="dxa"/>
            <w:vMerge w:val="restart"/>
            <w:vAlign w:val="center"/>
          </w:tcPr>
          <w:p w14:paraId="7FE6C88A" w14:textId="77777777" w:rsidR="00BE7F89" w:rsidRPr="00AC3044" w:rsidRDefault="00BE7F89" w:rsidP="005A428D">
            <w:pPr>
              <w:rPr>
                <w:rFonts w:eastAsia="SimSun"/>
              </w:rPr>
            </w:pPr>
            <w:r w:rsidRPr="00AC3044">
              <w:rPr>
                <w:rFonts w:eastAsia="SimSun"/>
              </w:rPr>
              <w:t>Метотрексат</w:t>
            </w:r>
          </w:p>
        </w:tc>
        <w:tc>
          <w:tcPr>
            <w:tcW w:w="1417" w:type="dxa"/>
            <w:vAlign w:val="center"/>
          </w:tcPr>
          <w:p w14:paraId="53A84FAA" w14:textId="77777777" w:rsidR="00BE7F89" w:rsidRPr="00AC3044" w:rsidRDefault="00BE7F89" w:rsidP="005A428D">
            <w:pPr>
              <w:rPr>
                <w:rFonts w:eastAsia="SimSun"/>
              </w:rPr>
            </w:pPr>
            <w:r w:rsidRPr="00AC3044">
              <w:rPr>
                <w:rFonts w:eastAsia="SimSun"/>
              </w:rPr>
              <w:t>15 мг/м</w:t>
            </w:r>
            <w:r w:rsidRPr="000C005F">
              <w:rPr>
                <w:rFonts w:eastAsia="SimSun"/>
                <w:vertAlign w:val="superscript"/>
              </w:rPr>
              <w:t>2</w:t>
            </w:r>
          </w:p>
        </w:tc>
        <w:tc>
          <w:tcPr>
            <w:tcW w:w="1418" w:type="dxa"/>
            <w:vAlign w:val="center"/>
          </w:tcPr>
          <w:p w14:paraId="7B051E92" w14:textId="77777777" w:rsidR="00BE7F89" w:rsidRPr="00AC3044" w:rsidRDefault="00BE7F89" w:rsidP="005A428D">
            <w:pPr>
              <w:rPr>
                <w:rFonts w:eastAsia="SimSun"/>
              </w:rPr>
            </w:pPr>
            <w:r w:rsidRPr="00AC3044">
              <w:rPr>
                <w:rFonts w:eastAsia="SimSun"/>
              </w:rPr>
              <w:t>–</w:t>
            </w:r>
          </w:p>
        </w:tc>
        <w:tc>
          <w:tcPr>
            <w:tcW w:w="1701" w:type="dxa"/>
            <w:vAlign w:val="center"/>
          </w:tcPr>
          <w:p w14:paraId="0E72C3DF" w14:textId="77777777" w:rsidR="00BE7F89" w:rsidRPr="00AC3044" w:rsidRDefault="00BE7F89" w:rsidP="005A428D">
            <w:pPr>
              <w:rPr>
                <w:rFonts w:eastAsia="SimSun"/>
              </w:rPr>
            </w:pPr>
            <w:r w:rsidRPr="00AC3044">
              <w:rPr>
                <w:rFonts w:eastAsia="SimSun"/>
              </w:rPr>
              <w:t>+1 день</w:t>
            </w:r>
          </w:p>
        </w:tc>
        <w:tc>
          <w:tcPr>
            <w:tcW w:w="2268" w:type="dxa"/>
            <w:vAlign w:val="center"/>
          </w:tcPr>
          <w:p w14:paraId="63D10D2A"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11B74828" w14:textId="77777777" w:rsidTr="005A428D">
        <w:trPr>
          <w:cantSplit/>
          <w:trHeight w:val="464"/>
        </w:trPr>
        <w:tc>
          <w:tcPr>
            <w:tcW w:w="993" w:type="dxa"/>
            <w:vMerge/>
          </w:tcPr>
          <w:p w14:paraId="32504A78" w14:textId="77777777" w:rsidR="00BE7F89" w:rsidRPr="00AC3044" w:rsidRDefault="00BE7F89" w:rsidP="005A428D">
            <w:pPr>
              <w:rPr>
                <w:rFonts w:eastAsia="SimSun"/>
              </w:rPr>
            </w:pPr>
          </w:p>
        </w:tc>
        <w:tc>
          <w:tcPr>
            <w:tcW w:w="1843" w:type="dxa"/>
            <w:vMerge/>
            <w:vAlign w:val="center"/>
          </w:tcPr>
          <w:p w14:paraId="4D45AF1E" w14:textId="77777777" w:rsidR="00BE7F89" w:rsidRPr="00AC3044" w:rsidRDefault="00BE7F89" w:rsidP="005A428D">
            <w:pPr>
              <w:rPr>
                <w:rFonts w:eastAsia="SimSun"/>
              </w:rPr>
            </w:pPr>
          </w:p>
        </w:tc>
        <w:tc>
          <w:tcPr>
            <w:tcW w:w="1417" w:type="dxa"/>
            <w:vAlign w:val="center"/>
          </w:tcPr>
          <w:p w14:paraId="055BDD5B" w14:textId="77777777" w:rsidR="00BE7F89" w:rsidRPr="00AC3044" w:rsidRDefault="00BE7F89" w:rsidP="005A428D">
            <w:pPr>
              <w:rPr>
                <w:rFonts w:eastAsia="SimSun"/>
              </w:rPr>
            </w:pPr>
            <w:r w:rsidRPr="00AC3044">
              <w:rPr>
                <w:rFonts w:eastAsia="SimSun"/>
              </w:rPr>
              <w:t>10 мг/м</w:t>
            </w:r>
            <w:r w:rsidRPr="000C005F">
              <w:rPr>
                <w:rFonts w:eastAsia="SimSun"/>
                <w:vertAlign w:val="superscript"/>
              </w:rPr>
              <w:t>2</w:t>
            </w:r>
          </w:p>
        </w:tc>
        <w:tc>
          <w:tcPr>
            <w:tcW w:w="1418" w:type="dxa"/>
            <w:vAlign w:val="center"/>
          </w:tcPr>
          <w:p w14:paraId="30479C2A" w14:textId="77777777" w:rsidR="00BE7F89" w:rsidRPr="00AC3044" w:rsidRDefault="00BE7F89" w:rsidP="005A428D">
            <w:pPr>
              <w:rPr>
                <w:rFonts w:eastAsia="SimSun"/>
              </w:rPr>
            </w:pPr>
            <w:r w:rsidRPr="00AC3044">
              <w:rPr>
                <w:rFonts w:eastAsia="SimSun"/>
              </w:rPr>
              <w:t>–</w:t>
            </w:r>
          </w:p>
        </w:tc>
        <w:tc>
          <w:tcPr>
            <w:tcW w:w="1701" w:type="dxa"/>
            <w:vAlign w:val="center"/>
          </w:tcPr>
          <w:p w14:paraId="463EC243" w14:textId="77777777" w:rsidR="00BE7F89" w:rsidRPr="00AC3044" w:rsidRDefault="00BE7F89" w:rsidP="005A428D">
            <w:pPr>
              <w:rPr>
                <w:rFonts w:eastAsia="SimSun"/>
              </w:rPr>
            </w:pPr>
            <w:r w:rsidRPr="00AC3044">
              <w:rPr>
                <w:rFonts w:eastAsia="SimSun"/>
              </w:rPr>
              <w:t>+3, +6, +11 день</w:t>
            </w:r>
          </w:p>
        </w:tc>
        <w:tc>
          <w:tcPr>
            <w:tcW w:w="2268" w:type="dxa"/>
            <w:vAlign w:val="center"/>
          </w:tcPr>
          <w:p w14:paraId="70AF575C"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65DBBFC6" w14:textId="77777777" w:rsidTr="005A428D">
        <w:trPr>
          <w:cantSplit/>
          <w:trHeight w:val="464"/>
        </w:trPr>
        <w:tc>
          <w:tcPr>
            <w:tcW w:w="993" w:type="dxa"/>
            <w:vMerge/>
          </w:tcPr>
          <w:p w14:paraId="3F57D104" w14:textId="77777777" w:rsidR="00BE7F89" w:rsidRPr="00AC3044" w:rsidRDefault="00BE7F89" w:rsidP="005A428D">
            <w:pPr>
              <w:rPr>
                <w:rFonts w:eastAsia="SimSun"/>
              </w:rPr>
            </w:pPr>
          </w:p>
        </w:tc>
        <w:tc>
          <w:tcPr>
            <w:tcW w:w="1843" w:type="dxa"/>
            <w:vMerge w:val="restart"/>
            <w:vAlign w:val="center"/>
          </w:tcPr>
          <w:p w14:paraId="26FA5FEB" w14:textId="77777777" w:rsidR="00BE7F89" w:rsidRPr="00AC3044" w:rsidRDefault="00BE7F89" w:rsidP="005A428D">
            <w:pPr>
              <w:rPr>
                <w:rFonts w:eastAsia="SimSun"/>
              </w:rPr>
            </w:pPr>
            <w:r w:rsidRPr="00AC3044">
              <w:rPr>
                <w:rFonts w:eastAsia="SimSun"/>
              </w:rPr>
              <w:t>Микофенолата мофетил (только при использовании СКК)</w:t>
            </w:r>
          </w:p>
        </w:tc>
        <w:tc>
          <w:tcPr>
            <w:tcW w:w="1417" w:type="dxa"/>
            <w:vAlign w:val="center"/>
          </w:tcPr>
          <w:p w14:paraId="6E3E8F90" w14:textId="77777777" w:rsidR="00BE7F89" w:rsidRPr="00AC3044" w:rsidRDefault="00BE7F89" w:rsidP="005A428D">
            <w:pPr>
              <w:rPr>
                <w:rFonts w:eastAsia="SimSun"/>
              </w:rPr>
            </w:pPr>
            <w:r w:rsidRPr="00AC3044">
              <w:rPr>
                <w:rFonts w:eastAsia="SimSun"/>
              </w:rPr>
              <w:t>2000 мг</w:t>
            </w:r>
          </w:p>
        </w:tc>
        <w:tc>
          <w:tcPr>
            <w:tcW w:w="1418" w:type="dxa"/>
            <w:vAlign w:val="center"/>
          </w:tcPr>
          <w:p w14:paraId="7116754E" w14:textId="77777777" w:rsidR="00BE7F89" w:rsidRPr="00AC3044" w:rsidRDefault="00BE7F89" w:rsidP="005A428D">
            <w:pPr>
              <w:rPr>
                <w:rFonts w:eastAsia="SimSun"/>
              </w:rPr>
            </w:pPr>
            <w:r w:rsidRPr="00AC3044">
              <w:rPr>
                <w:rFonts w:eastAsia="SimSun"/>
              </w:rPr>
              <w:t>–</w:t>
            </w:r>
          </w:p>
        </w:tc>
        <w:tc>
          <w:tcPr>
            <w:tcW w:w="1701" w:type="dxa"/>
            <w:vAlign w:val="center"/>
          </w:tcPr>
          <w:p w14:paraId="059F240E" w14:textId="77777777" w:rsidR="00BE7F89" w:rsidRPr="00AC3044" w:rsidRDefault="00BE7F89" w:rsidP="005A428D">
            <w:pPr>
              <w:rPr>
                <w:rFonts w:eastAsia="SimSun"/>
              </w:rPr>
            </w:pPr>
            <w:r w:rsidRPr="00AC3044">
              <w:rPr>
                <w:rFonts w:eastAsia="SimSun"/>
              </w:rPr>
              <w:t>С +1 по +14 день</w:t>
            </w:r>
          </w:p>
        </w:tc>
        <w:tc>
          <w:tcPr>
            <w:tcW w:w="2268" w:type="dxa"/>
            <w:vAlign w:val="center"/>
          </w:tcPr>
          <w:p w14:paraId="4536E429" w14:textId="77777777" w:rsidR="00BE7F89" w:rsidRPr="00AC3044" w:rsidRDefault="00BE7F89" w:rsidP="005A428D">
            <w:pPr>
              <w:rPr>
                <w:rFonts w:eastAsia="SimSun"/>
              </w:rPr>
            </w:pPr>
            <w:r w:rsidRPr="00AC3044">
              <w:rPr>
                <w:rFonts w:eastAsia="SimSun"/>
              </w:rPr>
              <w:t>Внутрь, суммарная суточная доза разделяется на 2-4 приема.</w:t>
            </w:r>
          </w:p>
        </w:tc>
      </w:tr>
      <w:tr w:rsidR="00BE7F89" w:rsidRPr="00AC3044" w14:paraId="5682AC46" w14:textId="77777777" w:rsidTr="005A428D">
        <w:trPr>
          <w:cantSplit/>
          <w:trHeight w:val="464"/>
        </w:trPr>
        <w:tc>
          <w:tcPr>
            <w:tcW w:w="993" w:type="dxa"/>
            <w:vMerge/>
          </w:tcPr>
          <w:p w14:paraId="3A5908B0" w14:textId="77777777" w:rsidR="00BE7F89" w:rsidRPr="00AC3044" w:rsidRDefault="00BE7F89" w:rsidP="005A428D">
            <w:pPr>
              <w:rPr>
                <w:rFonts w:eastAsia="SimSun"/>
              </w:rPr>
            </w:pPr>
          </w:p>
        </w:tc>
        <w:tc>
          <w:tcPr>
            <w:tcW w:w="1843" w:type="dxa"/>
            <w:vMerge/>
            <w:vAlign w:val="center"/>
          </w:tcPr>
          <w:p w14:paraId="04AF2826" w14:textId="77777777" w:rsidR="00BE7F89" w:rsidRPr="00AC3044" w:rsidRDefault="00BE7F89" w:rsidP="005A428D">
            <w:pPr>
              <w:rPr>
                <w:rFonts w:eastAsia="SimSun"/>
              </w:rPr>
            </w:pPr>
          </w:p>
        </w:tc>
        <w:tc>
          <w:tcPr>
            <w:tcW w:w="1417" w:type="dxa"/>
            <w:vAlign w:val="center"/>
          </w:tcPr>
          <w:p w14:paraId="4EA3F5F9" w14:textId="77777777" w:rsidR="00BE7F89" w:rsidRPr="00AC3044" w:rsidRDefault="00BE7F89" w:rsidP="005A428D">
            <w:pPr>
              <w:rPr>
                <w:rFonts w:eastAsia="SimSun"/>
              </w:rPr>
            </w:pPr>
            <w:r w:rsidRPr="00AC3044">
              <w:rPr>
                <w:rFonts w:eastAsia="SimSun"/>
              </w:rPr>
              <w:t>1000 мг</w:t>
            </w:r>
          </w:p>
        </w:tc>
        <w:tc>
          <w:tcPr>
            <w:tcW w:w="1418" w:type="dxa"/>
            <w:vAlign w:val="center"/>
          </w:tcPr>
          <w:p w14:paraId="032025D5" w14:textId="77777777" w:rsidR="00BE7F89" w:rsidRPr="00AC3044" w:rsidRDefault="00BE7F89" w:rsidP="005A428D">
            <w:pPr>
              <w:rPr>
                <w:rFonts w:eastAsia="SimSun"/>
              </w:rPr>
            </w:pPr>
            <w:r w:rsidRPr="00AC3044">
              <w:rPr>
                <w:rFonts w:eastAsia="SimSun"/>
              </w:rPr>
              <w:t>–</w:t>
            </w:r>
          </w:p>
        </w:tc>
        <w:tc>
          <w:tcPr>
            <w:tcW w:w="1701" w:type="dxa"/>
            <w:vAlign w:val="center"/>
          </w:tcPr>
          <w:p w14:paraId="0357FDBA" w14:textId="77777777" w:rsidR="00BE7F89" w:rsidRPr="00AC3044" w:rsidRDefault="00BE7F89" w:rsidP="005A428D">
            <w:pPr>
              <w:rPr>
                <w:rFonts w:eastAsia="SimSun"/>
              </w:rPr>
            </w:pPr>
            <w:r w:rsidRPr="00AC3044">
              <w:rPr>
                <w:rFonts w:eastAsia="SimSun"/>
              </w:rPr>
              <w:t>С +15 по +90 день</w:t>
            </w:r>
          </w:p>
        </w:tc>
        <w:tc>
          <w:tcPr>
            <w:tcW w:w="2268" w:type="dxa"/>
            <w:vAlign w:val="center"/>
          </w:tcPr>
          <w:p w14:paraId="61AD7587" w14:textId="77777777" w:rsidR="00BE7F89" w:rsidRPr="00AC3044" w:rsidRDefault="00BE7F89" w:rsidP="005A428D">
            <w:pPr>
              <w:rPr>
                <w:rFonts w:eastAsia="SimSun"/>
              </w:rPr>
            </w:pPr>
            <w:r w:rsidRPr="00AC3044">
              <w:rPr>
                <w:rFonts w:eastAsia="SimSun"/>
              </w:rPr>
              <w:t>Внутрь, суммарная суточная доза разделяется на 2-4 приема.</w:t>
            </w:r>
          </w:p>
        </w:tc>
      </w:tr>
    </w:tbl>
    <w:p w14:paraId="6E17EE17" w14:textId="77777777" w:rsidR="00BE7F89" w:rsidRDefault="00BE7F89" w:rsidP="00BE7F89">
      <w:pPr>
        <w:rPr>
          <w:rFonts w:eastAsia="SimSun"/>
        </w:rPr>
      </w:pPr>
      <w:bookmarkStart w:id="155" w:name="_Toc44401164"/>
    </w:p>
    <w:p w14:paraId="2715E171"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1.2.6  – Flu180+Bu8 / rATG+CSA+MTX+MMF30</w:t>
      </w:r>
      <w:bookmarkEnd w:id="15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BE7F89" w:rsidRPr="00AC3044" w14:paraId="252F3672" w14:textId="77777777" w:rsidTr="005A428D">
        <w:trPr>
          <w:cantSplit/>
          <w:trHeight w:val="20"/>
          <w:tblHeader/>
        </w:trPr>
        <w:tc>
          <w:tcPr>
            <w:tcW w:w="993" w:type="dxa"/>
          </w:tcPr>
          <w:p w14:paraId="0D7673E9" w14:textId="77777777" w:rsidR="00BE7F89" w:rsidRPr="00470D3D" w:rsidRDefault="00BE7F89" w:rsidP="005A428D">
            <w:pPr>
              <w:rPr>
                <w:rFonts w:eastAsia="SimSun"/>
              </w:rPr>
            </w:pPr>
          </w:p>
        </w:tc>
        <w:tc>
          <w:tcPr>
            <w:tcW w:w="1843" w:type="dxa"/>
            <w:vAlign w:val="center"/>
          </w:tcPr>
          <w:p w14:paraId="14496C8B"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5FD5BB21"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2578C864" w14:textId="77777777" w:rsidR="00BE7F89" w:rsidRPr="00AC3044" w:rsidRDefault="00BE7F89" w:rsidP="005A428D">
            <w:pPr>
              <w:rPr>
                <w:rFonts w:eastAsia="SimSun"/>
              </w:rPr>
            </w:pPr>
            <w:r w:rsidRPr="00AC3044">
              <w:rPr>
                <w:rFonts w:eastAsia="SimSun"/>
              </w:rPr>
              <w:t>Курсовая доза</w:t>
            </w:r>
          </w:p>
        </w:tc>
        <w:tc>
          <w:tcPr>
            <w:tcW w:w="1560" w:type="dxa"/>
            <w:vAlign w:val="center"/>
          </w:tcPr>
          <w:p w14:paraId="25AC7148"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63829F89"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73F37FCA" w14:textId="77777777" w:rsidTr="005A428D">
        <w:trPr>
          <w:cantSplit/>
          <w:trHeight w:val="20"/>
        </w:trPr>
        <w:tc>
          <w:tcPr>
            <w:tcW w:w="993" w:type="dxa"/>
            <w:vMerge w:val="restart"/>
            <w:textDirection w:val="btLr"/>
            <w:vAlign w:val="center"/>
          </w:tcPr>
          <w:p w14:paraId="1F486791"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37B9E956"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723962E7"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559" w:type="dxa"/>
            <w:vAlign w:val="center"/>
          </w:tcPr>
          <w:p w14:paraId="1E942FE1"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560" w:type="dxa"/>
            <w:vAlign w:val="center"/>
          </w:tcPr>
          <w:p w14:paraId="35FD9D3C" w14:textId="77777777" w:rsidR="00BE7F89" w:rsidRPr="00AC3044" w:rsidRDefault="00BE7F89" w:rsidP="005A428D">
            <w:pPr>
              <w:rPr>
                <w:rFonts w:eastAsia="SimSun"/>
              </w:rPr>
            </w:pPr>
            <w:r w:rsidRPr="00AC3044">
              <w:rPr>
                <w:rFonts w:eastAsia="SimSun"/>
              </w:rPr>
              <w:t>С –9 по –4 день</w:t>
            </w:r>
          </w:p>
        </w:tc>
        <w:tc>
          <w:tcPr>
            <w:tcW w:w="2268" w:type="dxa"/>
            <w:vAlign w:val="center"/>
          </w:tcPr>
          <w:p w14:paraId="5D85E01C"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74C7091" w14:textId="77777777" w:rsidTr="005A428D">
        <w:trPr>
          <w:cantSplit/>
          <w:trHeight w:val="1472"/>
        </w:trPr>
        <w:tc>
          <w:tcPr>
            <w:tcW w:w="993" w:type="dxa"/>
            <w:vMerge/>
            <w:textDirection w:val="btLr"/>
            <w:vAlign w:val="center"/>
          </w:tcPr>
          <w:p w14:paraId="5F7A5E9E" w14:textId="77777777" w:rsidR="00BE7F89" w:rsidRPr="00AC3044" w:rsidRDefault="00BE7F89" w:rsidP="005A428D">
            <w:pPr>
              <w:rPr>
                <w:rFonts w:eastAsia="SimSun"/>
              </w:rPr>
            </w:pPr>
          </w:p>
        </w:tc>
        <w:tc>
          <w:tcPr>
            <w:tcW w:w="1843" w:type="dxa"/>
            <w:vAlign w:val="center"/>
          </w:tcPr>
          <w:p w14:paraId="748CC583"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578224EE" w14:textId="77777777" w:rsidR="00BE7F89" w:rsidRPr="00AC3044" w:rsidRDefault="00BE7F89" w:rsidP="005A428D">
            <w:pPr>
              <w:rPr>
                <w:rFonts w:eastAsia="SimSun"/>
              </w:rPr>
            </w:pPr>
            <w:r w:rsidRPr="00AC3044">
              <w:rPr>
                <w:rFonts w:eastAsia="SimSun"/>
              </w:rPr>
              <w:t>4 мг/кг</w:t>
            </w:r>
          </w:p>
        </w:tc>
        <w:tc>
          <w:tcPr>
            <w:tcW w:w="1559" w:type="dxa"/>
            <w:vAlign w:val="center"/>
          </w:tcPr>
          <w:p w14:paraId="36CF9F7E" w14:textId="77777777" w:rsidR="00BE7F89" w:rsidRPr="00AC3044" w:rsidRDefault="00BE7F89" w:rsidP="005A428D">
            <w:pPr>
              <w:rPr>
                <w:rFonts w:eastAsia="SimSun"/>
              </w:rPr>
            </w:pPr>
            <w:r w:rsidRPr="00AC3044">
              <w:rPr>
                <w:rFonts w:eastAsia="SimSun"/>
              </w:rPr>
              <w:t>8 мг/кг</w:t>
            </w:r>
          </w:p>
        </w:tc>
        <w:tc>
          <w:tcPr>
            <w:tcW w:w="1560" w:type="dxa"/>
            <w:vAlign w:val="center"/>
          </w:tcPr>
          <w:p w14:paraId="5626873A" w14:textId="77777777" w:rsidR="00BE7F89" w:rsidRPr="00AC3044" w:rsidRDefault="00BE7F89" w:rsidP="005A428D">
            <w:pPr>
              <w:rPr>
                <w:rFonts w:eastAsia="SimSun"/>
              </w:rPr>
            </w:pPr>
            <w:r w:rsidRPr="00AC3044">
              <w:rPr>
                <w:rFonts w:eastAsia="SimSun"/>
              </w:rPr>
              <w:t>–5, –4 дни</w:t>
            </w:r>
          </w:p>
        </w:tc>
        <w:tc>
          <w:tcPr>
            <w:tcW w:w="2268" w:type="dxa"/>
            <w:vAlign w:val="center"/>
          </w:tcPr>
          <w:p w14:paraId="1F1EAFD6"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59B97CFD" w14:textId="77777777" w:rsidTr="005A428D">
        <w:trPr>
          <w:cantSplit/>
          <w:trHeight w:val="20"/>
        </w:trPr>
        <w:tc>
          <w:tcPr>
            <w:tcW w:w="993" w:type="dxa"/>
            <w:vMerge w:val="restart"/>
            <w:textDirection w:val="btLr"/>
            <w:vAlign w:val="center"/>
          </w:tcPr>
          <w:p w14:paraId="4A8763FC"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47139762" w14:textId="77777777" w:rsidR="00BE7F89" w:rsidRPr="00AC3044" w:rsidRDefault="00BE7F89" w:rsidP="005A428D">
            <w:pPr>
              <w:rPr>
                <w:rFonts w:eastAsia="SimSun"/>
              </w:rPr>
            </w:pPr>
            <w:r w:rsidRPr="00AC3044">
              <w:rPr>
                <w:rFonts w:eastAsia="SimSun"/>
              </w:rPr>
              <w:t>АТГ (кроличий)</w:t>
            </w:r>
          </w:p>
        </w:tc>
        <w:tc>
          <w:tcPr>
            <w:tcW w:w="1417" w:type="dxa"/>
            <w:vAlign w:val="center"/>
          </w:tcPr>
          <w:p w14:paraId="55A36676" w14:textId="77777777" w:rsidR="00BE7F89" w:rsidRPr="00AC3044" w:rsidRDefault="00BE7F89" w:rsidP="005A428D">
            <w:pPr>
              <w:rPr>
                <w:rFonts w:eastAsia="SimSun"/>
              </w:rPr>
            </w:pPr>
            <w:r w:rsidRPr="00AC3044">
              <w:rPr>
                <w:rFonts w:eastAsia="SimSun"/>
              </w:rPr>
              <w:t>2,5 мг/кг</w:t>
            </w:r>
          </w:p>
        </w:tc>
        <w:tc>
          <w:tcPr>
            <w:tcW w:w="1559" w:type="dxa"/>
            <w:vAlign w:val="center"/>
          </w:tcPr>
          <w:p w14:paraId="789EB13A" w14:textId="77777777" w:rsidR="00BE7F89" w:rsidRPr="00AC3044" w:rsidRDefault="00BE7F89" w:rsidP="005A428D">
            <w:pPr>
              <w:rPr>
                <w:rFonts w:eastAsia="SimSun"/>
              </w:rPr>
            </w:pPr>
            <w:r w:rsidRPr="00AC3044">
              <w:rPr>
                <w:rFonts w:eastAsia="SimSun"/>
              </w:rPr>
              <w:t>5 - 7,5 мг/кг</w:t>
            </w:r>
            <w:r w:rsidRPr="001E6DBE">
              <w:rPr>
                <w:rFonts w:eastAsia="SimSun"/>
                <w:vertAlign w:val="superscript"/>
              </w:rPr>
              <w:t>2</w:t>
            </w:r>
          </w:p>
        </w:tc>
        <w:tc>
          <w:tcPr>
            <w:tcW w:w="1560" w:type="dxa"/>
            <w:vAlign w:val="center"/>
          </w:tcPr>
          <w:p w14:paraId="7B0201A4" w14:textId="77777777" w:rsidR="00BE7F89" w:rsidRPr="00AC3044" w:rsidRDefault="00BE7F89" w:rsidP="005A428D">
            <w:pPr>
              <w:rPr>
                <w:rFonts w:eastAsia="SimSun"/>
              </w:rPr>
            </w:pPr>
            <w:r w:rsidRPr="00AC3044">
              <w:rPr>
                <w:rFonts w:eastAsia="SimSun"/>
              </w:rPr>
              <w:t>С –3 по –2 (-1) день</w:t>
            </w:r>
          </w:p>
        </w:tc>
        <w:tc>
          <w:tcPr>
            <w:tcW w:w="2268" w:type="dxa"/>
            <w:vAlign w:val="center"/>
          </w:tcPr>
          <w:p w14:paraId="1705EF49" w14:textId="77777777" w:rsidR="00BE7F89" w:rsidRPr="00AC3044" w:rsidRDefault="00BE7F89" w:rsidP="005A428D">
            <w:pPr>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BE7F89" w:rsidRPr="00AC3044" w14:paraId="3D45AB2C" w14:textId="77777777" w:rsidTr="005A428D">
        <w:trPr>
          <w:cantSplit/>
          <w:trHeight w:val="20"/>
        </w:trPr>
        <w:tc>
          <w:tcPr>
            <w:tcW w:w="993" w:type="dxa"/>
            <w:vMerge/>
            <w:textDirection w:val="btLr"/>
            <w:vAlign w:val="center"/>
          </w:tcPr>
          <w:p w14:paraId="3BFCDBF7" w14:textId="77777777" w:rsidR="00BE7F89" w:rsidRPr="00AC3044" w:rsidRDefault="00BE7F89" w:rsidP="005A428D">
            <w:pPr>
              <w:rPr>
                <w:rFonts w:eastAsia="SimSun"/>
              </w:rPr>
            </w:pPr>
          </w:p>
        </w:tc>
        <w:tc>
          <w:tcPr>
            <w:tcW w:w="1843" w:type="dxa"/>
            <w:vAlign w:val="center"/>
          </w:tcPr>
          <w:p w14:paraId="6E8F5557" w14:textId="77777777" w:rsidR="00BE7F89" w:rsidRPr="00AC3044" w:rsidRDefault="00BE7F89" w:rsidP="005A428D">
            <w:pPr>
              <w:rPr>
                <w:rFonts w:eastAsia="SimSun"/>
              </w:rPr>
            </w:pPr>
            <w:r w:rsidRPr="00AC3044">
              <w:rPr>
                <w:rFonts w:eastAsia="SimSun"/>
              </w:rPr>
              <w:t>Циклоспорин</w:t>
            </w:r>
          </w:p>
        </w:tc>
        <w:tc>
          <w:tcPr>
            <w:tcW w:w="1417" w:type="dxa"/>
            <w:vAlign w:val="center"/>
          </w:tcPr>
          <w:p w14:paraId="0BC9D6CE" w14:textId="77777777" w:rsidR="00BE7F89" w:rsidRPr="00AC3044" w:rsidRDefault="00BE7F89" w:rsidP="005A428D">
            <w:pPr>
              <w:rPr>
                <w:rFonts w:eastAsia="SimSun"/>
              </w:rPr>
            </w:pPr>
            <w:r w:rsidRPr="00AC3044">
              <w:rPr>
                <w:rFonts w:eastAsia="SimSun"/>
              </w:rPr>
              <w:t>3 мг/кг</w:t>
            </w:r>
          </w:p>
        </w:tc>
        <w:tc>
          <w:tcPr>
            <w:tcW w:w="1559" w:type="dxa"/>
            <w:vAlign w:val="center"/>
          </w:tcPr>
          <w:p w14:paraId="59425B66" w14:textId="77777777" w:rsidR="00BE7F89" w:rsidRPr="00AC3044" w:rsidRDefault="00BE7F89" w:rsidP="005A428D">
            <w:pPr>
              <w:rPr>
                <w:rFonts w:eastAsia="SimSun"/>
              </w:rPr>
            </w:pPr>
            <w:r w:rsidRPr="00AC3044">
              <w:rPr>
                <w:rFonts w:eastAsia="SimSun"/>
              </w:rPr>
              <w:t>–</w:t>
            </w:r>
          </w:p>
        </w:tc>
        <w:tc>
          <w:tcPr>
            <w:tcW w:w="1560" w:type="dxa"/>
            <w:vAlign w:val="center"/>
          </w:tcPr>
          <w:p w14:paraId="61B94B98" w14:textId="77777777" w:rsidR="00BE7F89" w:rsidRPr="00AC3044" w:rsidRDefault="00BE7F89" w:rsidP="005A428D">
            <w:pPr>
              <w:rPr>
                <w:rFonts w:eastAsia="SimSun"/>
              </w:rPr>
            </w:pPr>
            <w:r w:rsidRPr="00AC3044">
              <w:rPr>
                <w:rFonts w:eastAsia="SimSun"/>
              </w:rPr>
              <w:t>С –1 дня по +90 день, затем постепенное снижение к +180 дню</w:t>
            </w:r>
          </w:p>
        </w:tc>
        <w:tc>
          <w:tcPr>
            <w:tcW w:w="2268" w:type="dxa"/>
            <w:vAlign w:val="center"/>
          </w:tcPr>
          <w:p w14:paraId="1C95E382"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778DFF25" w14:textId="77777777" w:rsidTr="005A428D">
        <w:trPr>
          <w:cantSplit/>
          <w:trHeight w:val="20"/>
        </w:trPr>
        <w:tc>
          <w:tcPr>
            <w:tcW w:w="993" w:type="dxa"/>
            <w:vMerge/>
            <w:vAlign w:val="center"/>
          </w:tcPr>
          <w:p w14:paraId="34C4929F" w14:textId="77777777" w:rsidR="00BE7F89" w:rsidRPr="00AC3044" w:rsidRDefault="00BE7F89" w:rsidP="005A428D">
            <w:pPr>
              <w:rPr>
                <w:rFonts w:eastAsia="SimSun"/>
              </w:rPr>
            </w:pPr>
          </w:p>
        </w:tc>
        <w:tc>
          <w:tcPr>
            <w:tcW w:w="1843" w:type="dxa"/>
            <w:vMerge w:val="restart"/>
            <w:vAlign w:val="center"/>
          </w:tcPr>
          <w:p w14:paraId="7439BD38" w14:textId="77777777" w:rsidR="00BE7F89" w:rsidRPr="00AC3044" w:rsidRDefault="00BE7F89" w:rsidP="005A428D">
            <w:pPr>
              <w:rPr>
                <w:rFonts w:eastAsia="SimSun"/>
              </w:rPr>
            </w:pPr>
            <w:r w:rsidRPr="00AC3044">
              <w:rPr>
                <w:rFonts w:eastAsia="SimSun"/>
              </w:rPr>
              <w:t>Метотрексат</w:t>
            </w:r>
          </w:p>
        </w:tc>
        <w:tc>
          <w:tcPr>
            <w:tcW w:w="1417" w:type="dxa"/>
            <w:vAlign w:val="center"/>
          </w:tcPr>
          <w:p w14:paraId="661CF6EA" w14:textId="77777777" w:rsidR="00BE7F89" w:rsidRPr="00AC3044" w:rsidRDefault="00BE7F89" w:rsidP="005A428D">
            <w:pPr>
              <w:rPr>
                <w:rFonts w:eastAsia="SimSun"/>
              </w:rPr>
            </w:pPr>
            <w:r w:rsidRPr="00AC3044">
              <w:rPr>
                <w:rFonts w:eastAsia="SimSun"/>
              </w:rPr>
              <w:t>15 мг/м</w:t>
            </w:r>
            <w:r w:rsidRPr="001E6DBE">
              <w:rPr>
                <w:rFonts w:eastAsia="SimSun"/>
                <w:vertAlign w:val="superscript"/>
              </w:rPr>
              <w:t>2</w:t>
            </w:r>
          </w:p>
        </w:tc>
        <w:tc>
          <w:tcPr>
            <w:tcW w:w="1559" w:type="dxa"/>
            <w:vAlign w:val="center"/>
          </w:tcPr>
          <w:p w14:paraId="00396CAB" w14:textId="77777777" w:rsidR="00BE7F89" w:rsidRPr="00AC3044" w:rsidRDefault="00BE7F89" w:rsidP="005A428D">
            <w:pPr>
              <w:rPr>
                <w:rFonts w:eastAsia="SimSun"/>
              </w:rPr>
            </w:pPr>
            <w:r w:rsidRPr="00AC3044">
              <w:rPr>
                <w:rFonts w:eastAsia="SimSun"/>
              </w:rPr>
              <w:t>–</w:t>
            </w:r>
          </w:p>
        </w:tc>
        <w:tc>
          <w:tcPr>
            <w:tcW w:w="1560" w:type="dxa"/>
            <w:vAlign w:val="center"/>
          </w:tcPr>
          <w:p w14:paraId="360A80B0" w14:textId="77777777" w:rsidR="00BE7F89" w:rsidRPr="00AC3044" w:rsidRDefault="00BE7F89" w:rsidP="005A428D">
            <w:pPr>
              <w:rPr>
                <w:rFonts w:eastAsia="SimSun"/>
              </w:rPr>
            </w:pPr>
            <w:r w:rsidRPr="00AC3044">
              <w:rPr>
                <w:rFonts w:eastAsia="SimSun"/>
              </w:rPr>
              <w:t>+1 день</w:t>
            </w:r>
          </w:p>
        </w:tc>
        <w:tc>
          <w:tcPr>
            <w:tcW w:w="2268" w:type="dxa"/>
            <w:vAlign w:val="center"/>
          </w:tcPr>
          <w:p w14:paraId="4BF7ABFE" w14:textId="77777777" w:rsidR="00BE7F89" w:rsidRPr="00AC3044" w:rsidRDefault="00BE7F89" w:rsidP="005A428D">
            <w:pPr>
              <w:rPr>
                <w:rFonts w:eastAsia="SimSun"/>
              </w:rPr>
            </w:pPr>
            <w:r w:rsidRPr="00AC3044">
              <w:rPr>
                <w:rFonts w:eastAsia="SimSun"/>
              </w:rPr>
              <w:t>В/в, в 20 мл физ. р-ра</w:t>
            </w:r>
          </w:p>
        </w:tc>
      </w:tr>
      <w:tr w:rsidR="00BE7F89" w:rsidRPr="00AC3044" w14:paraId="7A284BEA" w14:textId="77777777" w:rsidTr="005A428D">
        <w:trPr>
          <w:cantSplit/>
          <w:trHeight w:val="464"/>
        </w:trPr>
        <w:tc>
          <w:tcPr>
            <w:tcW w:w="993" w:type="dxa"/>
            <w:vMerge/>
            <w:vAlign w:val="center"/>
          </w:tcPr>
          <w:p w14:paraId="1D822069" w14:textId="77777777" w:rsidR="00BE7F89" w:rsidRPr="00AC3044" w:rsidRDefault="00BE7F89" w:rsidP="005A428D">
            <w:pPr>
              <w:rPr>
                <w:rFonts w:eastAsia="SimSun"/>
              </w:rPr>
            </w:pPr>
          </w:p>
        </w:tc>
        <w:tc>
          <w:tcPr>
            <w:tcW w:w="1843" w:type="dxa"/>
            <w:vMerge/>
            <w:vAlign w:val="center"/>
          </w:tcPr>
          <w:p w14:paraId="24221A43" w14:textId="77777777" w:rsidR="00BE7F89" w:rsidRPr="00AC3044" w:rsidRDefault="00BE7F89" w:rsidP="005A428D">
            <w:pPr>
              <w:rPr>
                <w:rFonts w:eastAsia="SimSun"/>
              </w:rPr>
            </w:pPr>
          </w:p>
        </w:tc>
        <w:tc>
          <w:tcPr>
            <w:tcW w:w="1417" w:type="dxa"/>
            <w:vAlign w:val="center"/>
          </w:tcPr>
          <w:p w14:paraId="4B564612" w14:textId="77777777" w:rsidR="00BE7F89" w:rsidRPr="00AC3044" w:rsidRDefault="00BE7F89" w:rsidP="005A428D">
            <w:pPr>
              <w:rPr>
                <w:rFonts w:eastAsia="SimSun"/>
              </w:rPr>
            </w:pPr>
            <w:r w:rsidRPr="00AC3044">
              <w:rPr>
                <w:rFonts w:eastAsia="SimSun"/>
              </w:rPr>
              <w:t>10 мг/м</w:t>
            </w:r>
            <w:r w:rsidRPr="001E6DBE">
              <w:rPr>
                <w:rFonts w:eastAsia="SimSun"/>
                <w:vertAlign w:val="superscript"/>
              </w:rPr>
              <w:t>2</w:t>
            </w:r>
          </w:p>
        </w:tc>
        <w:tc>
          <w:tcPr>
            <w:tcW w:w="1559" w:type="dxa"/>
            <w:vAlign w:val="center"/>
          </w:tcPr>
          <w:p w14:paraId="47CAF030" w14:textId="77777777" w:rsidR="00BE7F89" w:rsidRPr="00AC3044" w:rsidRDefault="00BE7F89" w:rsidP="005A428D">
            <w:pPr>
              <w:rPr>
                <w:rFonts w:eastAsia="SimSun"/>
              </w:rPr>
            </w:pPr>
            <w:r w:rsidRPr="00AC3044">
              <w:rPr>
                <w:rFonts w:eastAsia="SimSun"/>
              </w:rPr>
              <w:t>–</w:t>
            </w:r>
          </w:p>
        </w:tc>
        <w:tc>
          <w:tcPr>
            <w:tcW w:w="1560" w:type="dxa"/>
            <w:vAlign w:val="center"/>
          </w:tcPr>
          <w:p w14:paraId="4F6D3E7F" w14:textId="77777777" w:rsidR="00BE7F89" w:rsidRPr="00AC3044" w:rsidRDefault="00BE7F89" w:rsidP="005A428D">
            <w:pPr>
              <w:rPr>
                <w:rFonts w:eastAsia="SimSun"/>
              </w:rPr>
            </w:pPr>
            <w:r w:rsidRPr="00AC3044">
              <w:rPr>
                <w:rFonts w:eastAsia="SimSun"/>
              </w:rPr>
              <w:t>+3, +6, +11 день</w:t>
            </w:r>
          </w:p>
        </w:tc>
        <w:tc>
          <w:tcPr>
            <w:tcW w:w="2268" w:type="dxa"/>
            <w:vAlign w:val="center"/>
          </w:tcPr>
          <w:p w14:paraId="2D037EE8"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76E5E10F" w14:textId="77777777" w:rsidTr="005A428D">
        <w:trPr>
          <w:cantSplit/>
          <w:trHeight w:val="464"/>
        </w:trPr>
        <w:tc>
          <w:tcPr>
            <w:tcW w:w="993" w:type="dxa"/>
            <w:vMerge/>
            <w:vAlign w:val="center"/>
          </w:tcPr>
          <w:p w14:paraId="76F554B4" w14:textId="77777777" w:rsidR="00BE7F89" w:rsidRPr="00AC3044" w:rsidRDefault="00BE7F89" w:rsidP="005A428D">
            <w:pPr>
              <w:rPr>
                <w:rFonts w:eastAsia="SimSun"/>
              </w:rPr>
            </w:pPr>
          </w:p>
        </w:tc>
        <w:tc>
          <w:tcPr>
            <w:tcW w:w="1843" w:type="dxa"/>
            <w:vMerge w:val="restart"/>
            <w:vAlign w:val="center"/>
          </w:tcPr>
          <w:p w14:paraId="3CBF719B" w14:textId="77777777" w:rsidR="00BE7F89" w:rsidRPr="00AC3044" w:rsidRDefault="00BE7F89" w:rsidP="005A428D">
            <w:pPr>
              <w:rPr>
                <w:rFonts w:eastAsia="SimSun"/>
              </w:rPr>
            </w:pPr>
            <w:r w:rsidRPr="00AC3044">
              <w:rPr>
                <w:rFonts w:eastAsia="SimSun"/>
              </w:rPr>
              <w:t>Микофенолата мофетил (только при использовании СКК)</w:t>
            </w:r>
          </w:p>
        </w:tc>
        <w:tc>
          <w:tcPr>
            <w:tcW w:w="1417" w:type="dxa"/>
            <w:vAlign w:val="center"/>
          </w:tcPr>
          <w:p w14:paraId="177616A9" w14:textId="77777777" w:rsidR="00BE7F89" w:rsidRPr="00AC3044" w:rsidRDefault="00BE7F89" w:rsidP="005A428D">
            <w:pPr>
              <w:rPr>
                <w:rFonts w:eastAsia="SimSun"/>
              </w:rPr>
            </w:pPr>
            <w:r w:rsidRPr="00AC3044">
              <w:rPr>
                <w:rFonts w:eastAsia="SimSun"/>
              </w:rPr>
              <w:t>2000 мг</w:t>
            </w:r>
          </w:p>
        </w:tc>
        <w:tc>
          <w:tcPr>
            <w:tcW w:w="1559" w:type="dxa"/>
            <w:vAlign w:val="center"/>
          </w:tcPr>
          <w:p w14:paraId="28501295" w14:textId="77777777" w:rsidR="00BE7F89" w:rsidRPr="00AC3044" w:rsidRDefault="00BE7F89" w:rsidP="005A428D">
            <w:pPr>
              <w:rPr>
                <w:rFonts w:eastAsia="SimSun"/>
              </w:rPr>
            </w:pPr>
            <w:r w:rsidRPr="00AC3044">
              <w:rPr>
                <w:rFonts w:eastAsia="SimSun"/>
              </w:rPr>
              <w:t>–</w:t>
            </w:r>
          </w:p>
        </w:tc>
        <w:tc>
          <w:tcPr>
            <w:tcW w:w="1560" w:type="dxa"/>
            <w:vAlign w:val="center"/>
          </w:tcPr>
          <w:p w14:paraId="22E5B905" w14:textId="77777777" w:rsidR="00BE7F89" w:rsidRPr="00AC3044" w:rsidRDefault="00BE7F89" w:rsidP="005A428D">
            <w:pPr>
              <w:rPr>
                <w:rFonts w:eastAsia="SimSun"/>
              </w:rPr>
            </w:pPr>
            <w:r w:rsidRPr="00AC3044">
              <w:rPr>
                <w:rFonts w:eastAsia="SimSun"/>
              </w:rPr>
              <w:t>С +1 по +14 день</w:t>
            </w:r>
          </w:p>
        </w:tc>
        <w:tc>
          <w:tcPr>
            <w:tcW w:w="2268" w:type="dxa"/>
            <w:vAlign w:val="center"/>
          </w:tcPr>
          <w:p w14:paraId="61F7B4F4" w14:textId="77777777" w:rsidR="00BE7F89" w:rsidRPr="00AC3044" w:rsidRDefault="00BE7F89" w:rsidP="005A428D">
            <w:pPr>
              <w:rPr>
                <w:rFonts w:eastAsia="SimSun"/>
              </w:rPr>
            </w:pPr>
            <w:r w:rsidRPr="00AC3044">
              <w:rPr>
                <w:rFonts w:eastAsia="SimSun"/>
              </w:rPr>
              <w:t>Внутрь, суммарная суточная доза разделяется на 2-4 приема.</w:t>
            </w:r>
          </w:p>
        </w:tc>
      </w:tr>
      <w:tr w:rsidR="00BE7F89" w:rsidRPr="00AC3044" w14:paraId="449EF49B" w14:textId="77777777" w:rsidTr="005A428D">
        <w:trPr>
          <w:cantSplit/>
          <w:trHeight w:val="464"/>
        </w:trPr>
        <w:tc>
          <w:tcPr>
            <w:tcW w:w="993" w:type="dxa"/>
            <w:vMerge/>
            <w:vAlign w:val="center"/>
          </w:tcPr>
          <w:p w14:paraId="6BF7F648" w14:textId="77777777" w:rsidR="00BE7F89" w:rsidRPr="00AC3044" w:rsidRDefault="00BE7F89" w:rsidP="005A428D">
            <w:pPr>
              <w:rPr>
                <w:rFonts w:eastAsia="SimSun"/>
              </w:rPr>
            </w:pPr>
          </w:p>
        </w:tc>
        <w:tc>
          <w:tcPr>
            <w:tcW w:w="1843" w:type="dxa"/>
            <w:vMerge/>
            <w:vAlign w:val="center"/>
          </w:tcPr>
          <w:p w14:paraId="22B00F7C" w14:textId="77777777" w:rsidR="00BE7F89" w:rsidRPr="00AC3044" w:rsidRDefault="00BE7F89" w:rsidP="005A428D">
            <w:pPr>
              <w:rPr>
                <w:rFonts w:eastAsia="SimSun"/>
              </w:rPr>
            </w:pPr>
          </w:p>
        </w:tc>
        <w:tc>
          <w:tcPr>
            <w:tcW w:w="1417" w:type="dxa"/>
            <w:vAlign w:val="center"/>
          </w:tcPr>
          <w:p w14:paraId="574ECE1B" w14:textId="77777777" w:rsidR="00BE7F89" w:rsidRPr="00AC3044" w:rsidRDefault="00BE7F89" w:rsidP="005A428D">
            <w:pPr>
              <w:rPr>
                <w:rFonts w:eastAsia="SimSun"/>
              </w:rPr>
            </w:pPr>
            <w:r w:rsidRPr="00AC3044">
              <w:rPr>
                <w:rFonts w:eastAsia="SimSun"/>
              </w:rPr>
              <w:t>1000 мг</w:t>
            </w:r>
          </w:p>
        </w:tc>
        <w:tc>
          <w:tcPr>
            <w:tcW w:w="1559" w:type="dxa"/>
            <w:vAlign w:val="center"/>
          </w:tcPr>
          <w:p w14:paraId="0545B548" w14:textId="77777777" w:rsidR="00BE7F89" w:rsidRPr="00AC3044" w:rsidRDefault="00BE7F89" w:rsidP="005A428D">
            <w:pPr>
              <w:rPr>
                <w:rFonts w:eastAsia="SimSun"/>
              </w:rPr>
            </w:pPr>
            <w:r w:rsidRPr="00AC3044">
              <w:rPr>
                <w:rFonts w:eastAsia="SimSun"/>
              </w:rPr>
              <w:t>–</w:t>
            </w:r>
          </w:p>
        </w:tc>
        <w:tc>
          <w:tcPr>
            <w:tcW w:w="1560" w:type="dxa"/>
            <w:vAlign w:val="center"/>
          </w:tcPr>
          <w:p w14:paraId="5E484BF8" w14:textId="77777777" w:rsidR="00BE7F89" w:rsidRPr="00AC3044" w:rsidRDefault="00BE7F89" w:rsidP="005A428D">
            <w:pPr>
              <w:rPr>
                <w:rFonts w:eastAsia="SimSun"/>
              </w:rPr>
            </w:pPr>
            <w:r w:rsidRPr="00AC3044">
              <w:rPr>
                <w:rFonts w:eastAsia="SimSun"/>
              </w:rPr>
              <w:t>С +15 по +90 день</w:t>
            </w:r>
          </w:p>
        </w:tc>
        <w:tc>
          <w:tcPr>
            <w:tcW w:w="2268" w:type="dxa"/>
            <w:vAlign w:val="center"/>
          </w:tcPr>
          <w:p w14:paraId="16974782" w14:textId="77777777" w:rsidR="00BE7F89" w:rsidRPr="00AC3044" w:rsidRDefault="00BE7F89" w:rsidP="005A428D">
            <w:pPr>
              <w:rPr>
                <w:rFonts w:eastAsia="SimSun"/>
              </w:rPr>
            </w:pPr>
            <w:r w:rsidRPr="00AC3044">
              <w:rPr>
                <w:rFonts w:eastAsia="SimSun"/>
              </w:rPr>
              <w:t>Внутрь, суммарная суточная доза разделяется на 2-4 приема.</w:t>
            </w:r>
          </w:p>
        </w:tc>
      </w:tr>
    </w:tbl>
    <w:p w14:paraId="211AC8DC" w14:textId="77777777" w:rsidR="00BE7F89" w:rsidRDefault="00BE7F89" w:rsidP="00BE7F89">
      <w:pPr>
        <w:rPr>
          <w:rFonts w:eastAsia="SimSun"/>
        </w:rPr>
      </w:pPr>
      <w:bookmarkStart w:id="156" w:name="_Toc44401165"/>
    </w:p>
    <w:p w14:paraId="1B985EA4"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1.2.7  – Flu180+Bu8 / PT-Cy+CSA+MMF30</w:t>
      </w:r>
      <w:bookmarkEnd w:id="15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BE7F89" w:rsidRPr="00AC3044" w14:paraId="718C658B" w14:textId="77777777" w:rsidTr="005A428D">
        <w:trPr>
          <w:cantSplit/>
          <w:trHeight w:val="20"/>
          <w:tblHeader/>
        </w:trPr>
        <w:tc>
          <w:tcPr>
            <w:tcW w:w="993" w:type="dxa"/>
          </w:tcPr>
          <w:p w14:paraId="3F736E54" w14:textId="77777777" w:rsidR="00BE7F89" w:rsidRPr="00470D3D" w:rsidRDefault="00BE7F89" w:rsidP="005A428D">
            <w:pPr>
              <w:rPr>
                <w:rFonts w:eastAsia="SimSun"/>
              </w:rPr>
            </w:pPr>
          </w:p>
          <w:p w14:paraId="4A5C618F" w14:textId="77777777" w:rsidR="00BE7F89" w:rsidRPr="00470D3D" w:rsidRDefault="00BE7F89" w:rsidP="005A428D">
            <w:pPr>
              <w:rPr>
                <w:rFonts w:eastAsia="SimSun"/>
              </w:rPr>
            </w:pPr>
          </w:p>
        </w:tc>
        <w:tc>
          <w:tcPr>
            <w:tcW w:w="1843" w:type="dxa"/>
            <w:vAlign w:val="center"/>
          </w:tcPr>
          <w:p w14:paraId="55178B02"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033CA053"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47DF4666" w14:textId="77777777" w:rsidR="00BE7F89" w:rsidRPr="00AC3044" w:rsidRDefault="00BE7F89" w:rsidP="005A428D">
            <w:pPr>
              <w:rPr>
                <w:rFonts w:eastAsia="SimSun"/>
              </w:rPr>
            </w:pPr>
            <w:r w:rsidRPr="00AC3044">
              <w:rPr>
                <w:rFonts w:eastAsia="SimSun"/>
              </w:rPr>
              <w:t>Курсовая доза</w:t>
            </w:r>
          </w:p>
        </w:tc>
        <w:tc>
          <w:tcPr>
            <w:tcW w:w="1560" w:type="dxa"/>
            <w:vAlign w:val="center"/>
          </w:tcPr>
          <w:p w14:paraId="5B9CA460"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235AE83E"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2D398EF1" w14:textId="77777777" w:rsidTr="005A428D">
        <w:trPr>
          <w:cantSplit/>
          <w:trHeight w:val="20"/>
        </w:trPr>
        <w:tc>
          <w:tcPr>
            <w:tcW w:w="993" w:type="dxa"/>
            <w:vMerge w:val="restart"/>
            <w:textDirection w:val="btLr"/>
            <w:vAlign w:val="center"/>
          </w:tcPr>
          <w:p w14:paraId="3220693A"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2071A6EC"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431D5ED6"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559" w:type="dxa"/>
            <w:vAlign w:val="center"/>
          </w:tcPr>
          <w:p w14:paraId="58CC0CEF" w14:textId="77777777" w:rsidR="00BE7F89" w:rsidRPr="00AC3044" w:rsidRDefault="00BE7F89" w:rsidP="005A428D">
            <w:pPr>
              <w:rPr>
                <w:rFonts w:eastAsia="SimSun"/>
              </w:rPr>
            </w:pPr>
            <w:r w:rsidRPr="00AC3044">
              <w:rPr>
                <w:rFonts w:eastAsia="SimSun"/>
              </w:rPr>
              <w:t>150 мг/м</w:t>
            </w:r>
            <w:r w:rsidRPr="001E6DBE">
              <w:rPr>
                <w:rFonts w:eastAsia="SimSun"/>
                <w:vertAlign w:val="superscript"/>
              </w:rPr>
              <w:t>2</w:t>
            </w:r>
          </w:p>
        </w:tc>
        <w:tc>
          <w:tcPr>
            <w:tcW w:w="1560" w:type="dxa"/>
            <w:vAlign w:val="center"/>
          </w:tcPr>
          <w:p w14:paraId="27191AD2" w14:textId="77777777" w:rsidR="00BE7F89" w:rsidRPr="00AC3044" w:rsidRDefault="00BE7F89" w:rsidP="005A428D">
            <w:pPr>
              <w:rPr>
                <w:rFonts w:eastAsia="SimSun"/>
              </w:rPr>
            </w:pPr>
            <w:r w:rsidRPr="00AC3044">
              <w:rPr>
                <w:rFonts w:eastAsia="SimSun"/>
              </w:rPr>
              <w:t>С –6 по –2 день</w:t>
            </w:r>
          </w:p>
        </w:tc>
        <w:tc>
          <w:tcPr>
            <w:tcW w:w="2268" w:type="dxa"/>
            <w:vAlign w:val="center"/>
          </w:tcPr>
          <w:p w14:paraId="0926B6A5"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20F6191" w14:textId="77777777" w:rsidTr="005A428D">
        <w:trPr>
          <w:cantSplit/>
          <w:trHeight w:val="1337"/>
        </w:trPr>
        <w:tc>
          <w:tcPr>
            <w:tcW w:w="993" w:type="dxa"/>
            <w:vMerge/>
            <w:textDirection w:val="btLr"/>
            <w:vAlign w:val="center"/>
          </w:tcPr>
          <w:p w14:paraId="142D7378" w14:textId="77777777" w:rsidR="00BE7F89" w:rsidRPr="00AC3044" w:rsidRDefault="00BE7F89" w:rsidP="005A428D">
            <w:pPr>
              <w:rPr>
                <w:rFonts w:eastAsia="SimSun"/>
              </w:rPr>
            </w:pPr>
          </w:p>
        </w:tc>
        <w:tc>
          <w:tcPr>
            <w:tcW w:w="1843" w:type="dxa"/>
            <w:vAlign w:val="center"/>
          </w:tcPr>
          <w:p w14:paraId="2EB373C0"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356C4639" w14:textId="77777777" w:rsidR="00BE7F89" w:rsidRPr="00AC3044" w:rsidRDefault="00BE7F89" w:rsidP="005A428D">
            <w:pPr>
              <w:rPr>
                <w:rFonts w:eastAsia="SimSun"/>
              </w:rPr>
            </w:pPr>
            <w:r w:rsidRPr="00AC3044">
              <w:rPr>
                <w:rFonts w:eastAsia="SimSun"/>
              </w:rPr>
              <w:t>4 мг/кг</w:t>
            </w:r>
          </w:p>
        </w:tc>
        <w:tc>
          <w:tcPr>
            <w:tcW w:w="1559" w:type="dxa"/>
            <w:vAlign w:val="center"/>
          </w:tcPr>
          <w:p w14:paraId="15CEB866" w14:textId="77777777" w:rsidR="00BE7F89" w:rsidRPr="00AC3044" w:rsidRDefault="00BE7F89" w:rsidP="005A428D">
            <w:pPr>
              <w:rPr>
                <w:rFonts w:eastAsia="SimSun"/>
              </w:rPr>
            </w:pPr>
            <w:r w:rsidRPr="00AC3044">
              <w:rPr>
                <w:rFonts w:eastAsia="SimSun"/>
              </w:rPr>
              <w:t>8 мг/кг</w:t>
            </w:r>
          </w:p>
        </w:tc>
        <w:tc>
          <w:tcPr>
            <w:tcW w:w="1560" w:type="dxa"/>
            <w:vAlign w:val="center"/>
          </w:tcPr>
          <w:p w14:paraId="3684E3AB" w14:textId="77777777" w:rsidR="00BE7F89" w:rsidRPr="00AC3044" w:rsidRDefault="00BE7F89" w:rsidP="005A428D">
            <w:pPr>
              <w:rPr>
                <w:rFonts w:eastAsia="SimSun"/>
              </w:rPr>
            </w:pPr>
            <w:r w:rsidRPr="00AC3044">
              <w:rPr>
                <w:rFonts w:eastAsia="SimSun"/>
              </w:rPr>
              <w:t>–5, –4 дни</w:t>
            </w:r>
          </w:p>
        </w:tc>
        <w:tc>
          <w:tcPr>
            <w:tcW w:w="2268" w:type="dxa"/>
            <w:vAlign w:val="center"/>
          </w:tcPr>
          <w:p w14:paraId="231EDCF5"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458522D2" w14:textId="77777777" w:rsidTr="005A428D">
        <w:trPr>
          <w:cantSplit/>
          <w:trHeight w:val="20"/>
        </w:trPr>
        <w:tc>
          <w:tcPr>
            <w:tcW w:w="993" w:type="dxa"/>
            <w:vMerge w:val="restart"/>
            <w:textDirection w:val="btLr"/>
            <w:vAlign w:val="center"/>
          </w:tcPr>
          <w:p w14:paraId="531EEB37"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64327A6A" w14:textId="77777777" w:rsidR="00BE7F89" w:rsidRPr="00AC3044" w:rsidRDefault="00BE7F89" w:rsidP="005A428D">
            <w:pPr>
              <w:rPr>
                <w:rFonts w:eastAsia="SimSun"/>
              </w:rPr>
            </w:pPr>
            <w:r w:rsidRPr="00AC3044">
              <w:rPr>
                <w:rFonts w:eastAsia="SimSun"/>
              </w:rPr>
              <w:t>Циклофосфамид</w:t>
            </w:r>
          </w:p>
        </w:tc>
        <w:tc>
          <w:tcPr>
            <w:tcW w:w="1417" w:type="dxa"/>
            <w:vAlign w:val="center"/>
          </w:tcPr>
          <w:p w14:paraId="7F8F21C0"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310EBC82" w14:textId="77777777" w:rsidR="00BE7F89" w:rsidRPr="00AC3044" w:rsidRDefault="00BE7F89" w:rsidP="005A428D">
            <w:pPr>
              <w:rPr>
                <w:rFonts w:eastAsia="SimSun"/>
              </w:rPr>
            </w:pPr>
            <w:r w:rsidRPr="00AC3044">
              <w:rPr>
                <w:rFonts w:eastAsia="SimSun"/>
              </w:rPr>
              <w:t>100 мг/кг</w:t>
            </w:r>
          </w:p>
        </w:tc>
        <w:tc>
          <w:tcPr>
            <w:tcW w:w="1560" w:type="dxa"/>
            <w:vAlign w:val="center"/>
          </w:tcPr>
          <w:p w14:paraId="1D62A783" w14:textId="77777777" w:rsidR="00BE7F89" w:rsidRPr="00AC3044" w:rsidRDefault="00BE7F89" w:rsidP="005A428D">
            <w:pPr>
              <w:rPr>
                <w:rFonts w:eastAsia="SimSun"/>
              </w:rPr>
            </w:pPr>
            <w:r w:rsidRPr="00AC3044">
              <w:rPr>
                <w:rFonts w:eastAsia="SimSun"/>
              </w:rPr>
              <w:t xml:space="preserve">+3,+4 дни </w:t>
            </w:r>
          </w:p>
        </w:tc>
        <w:tc>
          <w:tcPr>
            <w:tcW w:w="2268" w:type="dxa"/>
            <w:vAlign w:val="center"/>
          </w:tcPr>
          <w:p w14:paraId="6CC10FB9" w14:textId="77777777" w:rsidR="00BE7F89" w:rsidRPr="00AC3044" w:rsidRDefault="00BE7F89" w:rsidP="005A428D">
            <w:pPr>
              <w:rPr>
                <w:rFonts w:eastAsia="SimSun"/>
              </w:rPr>
            </w:pPr>
            <w:r w:rsidRPr="00AC3044">
              <w:rPr>
                <w:rFonts w:eastAsia="SimSun"/>
              </w:rPr>
              <w:t xml:space="preserve">В/в, в течение 2 ч  </w:t>
            </w:r>
          </w:p>
        </w:tc>
      </w:tr>
      <w:tr w:rsidR="00BE7F89" w:rsidRPr="00AC3044" w14:paraId="1F4F8305" w14:textId="77777777" w:rsidTr="005A428D">
        <w:trPr>
          <w:cantSplit/>
          <w:trHeight w:val="20"/>
        </w:trPr>
        <w:tc>
          <w:tcPr>
            <w:tcW w:w="993" w:type="dxa"/>
            <w:vMerge/>
            <w:textDirection w:val="btLr"/>
          </w:tcPr>
          <w:p w14:paraId="1F959A73" w14:textId="77777777" w:rsidR="00BE7F89" w:rsidRPr="00AC3044" w:rsidRDefault="00BE7F89" w:rsidP="005A428D">
            <w:pPr>
              <w:rPr>
                <w:rFonts w:eastAsia="SimSun"/>
              </w:rPr>
            </w:pPr>
          </w:p>
        </w:tc>
        <w:tc>
          <w:tcPr>
            <w:tcW w:w="1843" w:type="dxa"/>
            <w:vAlign w:val="center"/>
          </w:tcPr>
          <w:p w14:paraId="4952DE2E" w14:textId="77777777" w:rsidR="00BE7F89" w:rsidRPr="00AC3044" w:rsidRDefault="00BE7F89" w:rsidP="005A428D">
            <w:pPr>
              <w:rPr>
                <w:rFonts w:eastAsia="SimSun"/>
              </w:rPr>
            </w:pPr>
            <w:r w:rsidRPr="00AC3044">
              <w:rPr>
                <w:rFonts w:eastAsia="SimSun"/>
              </w:rPr>
              <w:t>Циклоспорин</w:t>
            </w:r>
          </w:p>
        </w:tc>
        <w:tc>
          <w:tcPr>
            <w:tcW w:w="1417" w:type="dxa"/>
            <w:vAlign w:val="center"/>
          </w:tcPr>
          <w:p w14:paraId="0B227197" w14:textId="77777777" w:rsidR="00BE7F89" w:rsidRPr="00AC3044" w:rsidRDefault="00BE7F89" w:rsidP="005A428D">
            <w:pPr>
              <w:rPr>
                <w:rFonts w:eastAsia="SimSun"/>
              </w:rPr>
            </w:pPr>
            <w:r w:rsidRPr="00AC3044">
              <w:rPr>
                <w:rFonts w:eastAsia="SimSun"/>
              </w:rPr>
              <w:t>3 мг/кг</w:t>
            </w:r>
          </w:p>
        </w:tc>
        <w:tc>
          <w:tcPr>
            <w:tcW w:w="1559" w:type="dxa"/>
            <w:vAlign w:val="center"/>
          </w:tcPr>
          <w:p w14:paraId="436C7064" w14:textId="77777777" w:rsidR="00BE7F89" w:rsidRPr="00AC3044" w:rsidRDefault="00BE7F89" w:rsidP="005A428D">
            <w:pPr>
              <w:rPr>
                <w:rFonts w:eastAsia="SimSun"/>
              </w:rPr>
            </w:pPr>
            <w:r w:rsidRPr="00AC3044">
              <w:rPr>
                <w:rFonts w:eastAsia="SimSun"/>
              </w:rPr>
              <w:t>–</w:t>
            </w:r>
          </w:p>
        </w:tc>
        <w:tc>
          <w:tcPr>
            <w:tcW w:w="1560" w:type="dxa"/>
            <w:vAlign w:val="center"/>
          </w:tcPr>
          <w:p w14:paraId="3220918F" w14:textId="77777777" w:rsidR="00BE7F89" w:rsidRPr="00AC3044" w:rsidRDefault="00BE7F89" w:rsidP="005A428D">
            <w:pPr>
              <w:rPr>
                <w:rFonts w:eastAsia="SimSun"/>
              </w:rPr>
            </w:pPr>
            <w:r w:rsidRPr="00AC3044">
              <w:rPr>
                <w:rFonts w:eastAsia="SimSun"/>
              </w:rPr>
              <w:t>С +5 по +60 день, затем постепенное снижение к +100 дню</w:t>
            </w:r>
          </w:p>
        </w:tc>
        <w:tc>
          <w:tcPr>
            <w:tcW w:w="2268" w:type="dxa"/>
            <w:vAlign w:val="center"/>
          </w:tcPr>
          <w:p w14:paraId="267CDDA3"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3FDC6857" w14:textId="77777777" w:rsidTr="005A428D">
        <w:trPr>
          <w:cantSplit/>
          <w:trHeight w:val="464"/>
        </w:trPr>
        <w:tc>
          <w:tcPr>
            <w:tcW w:w="993" w:type="dxa"/>
            <w:vMerge/>
          </w:tcPr>
          <w:p w14:paraId="48621143" w14:textId="77777777" w:rsidR="00BE7F89" w:rsidRPr="00AC3044" w:rsidRDefault="00BE7F89" w:rsidP="005A428D">
            <w:pPr>
              <w:rPr>
                <w:rFonts w:eastAsia="SimSun"/>
              </w:rPr>
            </w:pPr>
          </w:p>
        </w:tc>
        <w:tc>
          <w:tcPr>
            <w:tcW w:w="1843" w:type="dxa"/>
            <w:vAlign w:val="center"/>
          </w:tcPr>
          <w:p w14:paraId="753D04E3" w14:textId="77777777" w:rsidR="00BE7F89" w:rsidRPr="00AC3044" w:rsidRDefault="00BE7F89" w:rsidP="005A428D">
            <w:pPr>
              <w:rPr>
                <w:rFonts w:eastAsia="SimSun"/>
              </w:rPr>
            </w:pPr>
            <w:r w:rsidRPr="00AC3044">
              <w:rPr>
                <w:rFonts w:eastAsia="SimSun"/>
              </w:rPr>
              <w:t>Микофенолата мофетил</w:t>
            </w:r>
          </w:p>
        </w:tc>
        <w:tc>
          <w:tcPr>
            <w:tcW w:w="1417" w:type="dxa"/>
            <w:vAlign w:val="center"/>
          </w:tcPr>
          <w:p w14:paraId="40F17898" w14:textId="77777777" w:rsidR="00BE7F89" w:rsidRPr="00AC3044" w:rsidRDefault="00BE7F89" w:rsidP="005A428D">
            <w:pPr>
              <w:rPr>
                <w:rFonts w:eastAsia="SimSun"/>
              </w:rPr>
            </w:pPr>
            <w:r w:rsidRPr="00AC3044">
              <w:rPr>
                <w:rFonts w:eastAsia="SimSun"/>
              </w:rPr>
              <w:t>30 мг/кг</w:t>
            </w:r>
          </w:p>
        </w:tc>
        <w:tc>
          <w:tcPr>
            <w:tcW w:w="1559" w:type="dxa"/>
            <w:vAlign w:val="center"/>
          </w:tcPr>
          <w:p w14:paraId="0AAC2A13" w14:textId="77777777" w:rsidR="00BE7F89" w:rsidRPr="00AC3044" w:rsidRDefault="00BE7F89" w:rsidP="005A428D">
            <w:pPr>
              <w:rPr>
                <w:rFonts w:eastAsia="SimSun"/>
              </w:rPr>
            </w:pPr>
            <w:r w:rsidRPr="00AC3044">
              <w:rPr>
                <w:rFonts w:eastAsia="SimSun"/>
              </w:rPr>
              <w:t>–</w:t>
            </w:r>
          </w:p>
        </w:tc>
        <w:tc>
          <w:tcPr>
            <w:tcW w:w="1560" w:type="dxa"/>
            <w:vAlign w:val="center"/>
          </w:tcPr>
          <w:p w14:paraId="09D6DFFD" w14:textId="77777777" w:rsidR="00BE7F89" w:rsidRPr="00AC3044" w:rsidRDefault="00BE7F89" w:rsidP="005A428D">
            <w:pPr>
              <w:rPr>
                <w:rFonts w:eastAsia="SimSun"/>
              </w:rPr>
            </w:pPr>
            <w:r w:rsidRPr="00AC3044">
              <w:rPr>
                <w:rFonts w:eastAsia="SimSun"/>
              </w:rPr>
              <w:t>С +5 по +30 день</w:t>
            </w:r>
          </w:p>
        </w:tc>
        <w:tc>
          <w:tcPr>
            <w:tcW w:w="2268" w:type="dxa"/>
            <w:vAlign w:val="center"/>
          </w:tcPr>
          <w:p w14:paraId="135BB286"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w:t>
            </w:r>
          </w:p>
        </w:tc>
      </w:tr>
    </w:tbl>
    <w:p w14:paraId="059BAB26" w14:textId="77777777" w:rsidR="00BE7F89" w:rsidRDefault="00BE7F89" w:rsidP="00BE7F89">
      <w:pPr>
        <w:rPr>
          <w:rFonts w:eastAsia="SimSun"/>
        </w:rPr>
      </w:pPr>
      <w:bookmarkStart w:id="157" w:name="_Toc44401166"/>
    </w:p>
    <w:p w14:paraId="4001869B"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1.2.8  – Flu180+Bu8 / PT-Cy</w:t>
      </w:r>
      <w:bookmarkEnd w:id="15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59"/>
        <w:gridCol w:w="2269"/>
      </w:tblGrid>
      <w:tr w:rsidR="00BE7F89" w:rsidRPr="00AC3044" w14:paraId="54C82FED" w14:textId="77777777" w:rsidTr="005A428D">
        <w:trPr>
          <w:cantSplit/>
          <w:trHeight w:val="20"/>
          <w:tblHeader/>
        </w:trPr>
        <w:tc>
          <w:tcPr>
            <w:tcW w:w="993" w:type="dxa"/>
            <w:vAlign w:val="center"/>
          </w:tcPr>
          <w:p w14:paraId="1595ABD2" w14:textId="77777777" w:rsidR="00BE7F89" w:rsidRPr="00AC3044" w:rsidRDefault="00BE7F89" w:rsidP="005A428D">
            <w:pPr>
              <w:rPr>
                <w:rFonts w:eastAsia="SimSun"/>
              </w:rPr>
            </w:pPr>
          </w:p>
        </w:tc>
        <w:tc>
          <w:tcPr>
            <w:tcW w:w="1843" w:type="dxa"/>
            <w:vAlign w:val="center"/>
          </w:tcPr>
          <w:p w14:paraId="29ED6404"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1322C74C"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384459EB"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313A65C3" w14:textId="77777777" w:rsidR="00BE7F89" w:rsidRPr="00AC3044" w:rsidRDefault="00BE7F89" w:rsidP="005A428D">
            <w:pPr>
              <w:rPr>
                <w:rFonts w:eastAsia="SimSun"/>
              </w:rPr>
            </w:pPr>
            <w:r w:rsidRPr="00AC3044">
              <w:rPr>
                <w:rFonts w:eastAsia="SimSun"/>
              </w:rPr>
              <w:t>Дни введения</w:t>
            </w:r>
          </w:p>
        </w:tc>
        <w:tc>
          <w:tcPr>
            <w:tcW w:w="2269" w:type="dxa"/>
            <w:vAlign w:val="center"/>
          </w:tcPr>
          <w:p w14:paraId="285EB811"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FFD8231" w14:textId="77777777" w:rsidTr="005A428D">
        <w:trPr>
          <w:cantSplit/>
          <w:trHeight w:val="20"/>
        </w:trPr>
        <w:tc>
          <w:tcPr>
            <w:tcW w:w="993" w:type="dxa"/>
            <w:vMerge w:val="restart"/>
            <w:textDirection w:val="btLr"/>
            <w:vAlign w:val="center"/>
          </w:tcPr>
          <w:p w14:paraId="1EE38971"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1A1C6E93"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4FCAAB8F"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559" w:type="dxa"/>
            <w:vAlign w:val="center"/>
          </w:tcPr>
          <w:p w14:paraId="2D246298"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559" w:type="dxa"/>
            <w:vAlign w:val="center"/>
          </w:tcPr>
          <w:p w14:paraId="67E72C4B" w14:textId="77777777" w:rsidR="00BE7F89" w:rsidRPr="00AC3044" w:rsidRDefault="00BE7F89" w:rsidP="005A428D">
            <w:pPr>
              <w:rPr>
                <w:rFonts w:eastAsia="SimSun"/>
              </w:rPr>
            </w:pPr>
            <w:r w:rsidRPr="00AC3044">
              <w:rPr>
                <w:rFonts w:eastAsia="SimSun"/>
              </w:rPr>
              <w:t>С -7 дня по -2 день</w:t>
            </w:r>
          </w:p>
        </w:tc>
        <w:tc>
          <w:tcPr>
            <w:tcW w:w="2269" w:type="dxa"/>
            <w:vAlign w:val="center"/>
          </w:tcPr>
          <w:p w14:paraId="2A9B399A"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8D7B958" w14:textId="77777777" w:rsidTr="005A428D">
        <w:trPr>
          <w:cantSplit/>
          <w:trHeight w:val="294"/>
        </w:trPr>
        <w:tc>
          <w:tcPr>
            <w:tcW w:w="993" w:type="dxa"/>
            <w:vMerge/>
            <w:vAlign w:val="center"/>
          </w:tcPr>
          <w:p w14:paraId="5B7862F2" w14:textId="77777777" w:rsidR="00BE7F89" w:rsidRPr="00AC3044" w:rsidRDefault="00BE7F89" w:rsidP="005A428D">
            <w:pPr>
              <w:rPr>
                <w:rFonts w:eastAsia="SimSun"/>
              </w:rPr>
            </w:pPr>
          </w:p>
        </w:tc>
        <w:tc>
          <w:tcPr>
            <w:tcW w:w="1843" w:type="dxa"/>
            <w:vAlign w:val="center"/>
          </w:tcPr>
          <w:p w14:paraId="3478D341"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1A4D2953" w14:textId="77777777" w:rsidR="00BE7F89" w:rsidRPr="00AC3044" w:rsidRDefault="00BE7F89" w:rsidP="005A428D">
            <w:pPr>
              <w:rPr>
                <w:rFonts w:eastAsia="SimSun"/>
              </w:rPr>
            </w:pPr>
            <w:r w:rsidRPr="00AC3044">
              <w:rPr>
                <w:rFonts w:eastAsia="SimSun"/>
              </w:rPr>
              <w:t xml:space="preserve">4 мг/кг </w:t>
            </w:r>
          </w:p>
        </w:tc>
        <w:tc>
          <w:tcPr>
            <w:tcW w:w="1559" w:type="dxa"/>
            <w:vAlign w:val="center"/>
          </w:tcPr>
          <w:p w14:paraId="1D371E49" w14:textId="77777777" w:rsidR="00BE7F89" w:rsidRPr="00AC3044" w:rsidRDefault="00BE7F89" w:rsidP="005A428D">
            <w:pPr>
              <w:rPr>
                <w:rFonts w:eastAsia="SimSun"/>
              </w:rPr>
            </w:pPr>
            <w:r w:rsidRPr="00AC3044">
              <w:rPr>
                <w:rFonts w:eastAsia="SimSun"/>
              </w:rPr>
              <w:t xml:space="preserve">8 мг/кг </w:t>
            </w:r>
          </w:p>
        </w:tc>
        <w:tc>
          <w:tcPr>
            <w:tcW w:w="1559" w:type="dxa"/>
            <w:vAlign w:val="center"/>
          </w:tcPr>
          <w:p w14:paraId="669194C8" w14:textId="77777777" w:rsidR="00BE7F89" w:rsidRPr="00AC3044" w:rsidRDefault="00BE7F89" w:rsidP="005A428D">
            <w:pPr>
              <w:rPr>
                <w:rFonts w:eastAsia="SimSun"/>
              </w:rPr>
            </w:pPr>
            <w:r w:rsidRPr="00AC3044">
              <w:rPr>
                <w:rFonts w:eastAsia="SimSun"/>
              </w:rPr>
              <w:t>С -4 дня по -3 день</w:t>
            </w:r>
          </w:p>
        </w:tc>
        <w:tc>
          <w:tcPr>
            <w:tcW w:w="2269" w:type="dxa"/>
            <w:vAlign w:val="center"/>
          </w:tcPr>
          <w:p w14:paraId="7A05BAAF"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080AE2CE" w14:textId="77777777" w:rsidTr="005A428D">
        <w:trPr>
          <w:cantSplit/>
          <w:trHeight w:val="1054"/>
        </w:trPr>
        <w:tc>
          <w:tcPr>
            <w:tcW w:w="993" w:type="dxa"/>
            <w:textDirection w:val="btLr"/>
            <w:vAlign w:val="center"/>
          </w:tcPr>
          <w:p w14:paraId="16EE42DB"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4D8795E3" w14:textId="77777777" w:rsidR="00BE7F89" w:rsidRPr="00AC3044" w:rsidRDefault="00BE7F89" w:rsidP="005A428D">
            <w:pPr>
              <w:rPr>
                <w:rFonts w:eastAsia="SimSun"/>
              </w:rPr>
            </w:pPr>
            <w:r w:rsidRPr="00AC3044">
              <w:rPr>
                <w:rFonts w:eastAsia="SimSun"/>
              </w:rPr>
              <w:t>Циклофосфамид</w:t>
            </w:r>
          </w:p>
        </w:tc>
        <w:tc>
          <w:tcPr>
            <w:tcW w:w="1417" w:type="dxa"/>
            <w:vAlign w:val="center"/>
          </w:tcPr>
          <w:p w14:paraId="658E067F"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149C1898"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43684C9F" w14:textId="77777777" w:rsidR="00BE7F89" w:rsidRPr="00AC3044" w:rsidRDefault="00BE7F89" w:rsidP="005A428D">
            <w:pPr>
              <w:rPr>
                <w:rFonts w:eastAsia="SimSun"/>
              </w:rPr>
            </w:pPr>
            <w:r w:rsidRPr="00AC3044">
              <w:rPr>
                <w:rFonts w:eastAsia="SimSun"/>
              </w:rPr>
              <w:t>С +3 дня по +4 день</w:t>
            </w:r>
          </w:p>
        </w:tc>
        <w:tc>
          <w:tcPr>
            <w:tcW w:w="2269" w:type="dxa"/>
            <w:vAlign w:val="center"/>
          </w:tcPr>
          <w:p w14:paraId="13503B98" w14:textId="77777777" w:rsidR="00BE7F89" w:rsidRPr="00AC3044" w:rsidRDefault="00BE7F89" w:rsidP="005A428D">
            <w:pPr>
              <w:rPr>
                <w:rFonts w:eastAsia="SimSun"/>
              </w:rPr>
            </w:pPr>
            <w:r w:rsidRPr="00AC3044">
              <w:rPr>
                <w:rFonts w:eastAsia="SimSun"/>
              </w:rPr>
              <w:t xml:space="preserve">В/в, в течение 2 ч  </w:t>
            </w:r>
          </w:p>
        </w:tc>
      </w:tr>
    </w:tbl>
    <w:p w14:paraId="24ABAF3C" w14:textId="77777777" w:rsidR="00BE7F89" w:rsidRDefault="00BE7F89" w:rsidP="00BE7F89">
      <w:pPr>
        <w:rPr>
          <w:rFonts w:eastAsia="SimSun"/>
        </w:rPr>
      </w:pPr>
      <w:bookmarkStart w:id="158" w:name="_Toc44401167"/>
    </w:p>
    <w:p w14:paraId="696E65B0"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1.2.9  – Flu180+Bu8 / PT-Cy+Tx+MMF30</w:t>
      </w:r>
      <w:bookmarkEnd w:id="15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BE7F89" w:rsidRPr="00AC3044" w14:paraId="2BF54542" w14:textId="77777777" w:rsidTr="005A428D">
        <w:trPr>
          <w:cantSplit/>
          <w:trHeight w:val="20"/>
          <w:tblHeader/>
        </w:trPr>
        <w:tc>
          <w:tcPr>
            <w:tcW w:w="993" w:type="dxa"/>
            <w:vAlign w:val="center"/>
          </w:tcPr>
          <w:p w14:paraId="4B40096C" w14:textId="77777777" w:rsidR="00BE7F89" w:rsidRPr="00470D3D" w:rsidRDefault="00BE7F89" w:rsidP="005A428D">
            <w:pPr>
              <w:rPr>
                <w:rFonts w:eastAsia="SimSun"/>
              </w:rPr>
            </w:pPr>
          </w:p>
        </w:tc>
        <w:tc>
          <w:tcPr>
            <w:tcW w:w="1843" w:type="dxa"/>
            <w:vAlign w:val="center"/>
          </w:tcPr>
          <w:p w14:paraId="72B65111"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5750FB66"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58C96C91" w14:textId="77777777" w:rsidR="00BE7F89" w:rsidRPr="00AC3044" w:rsidRDefault="00BE7F89" w:rsidP="005A428D">
            <w:pPr>
              <w:rPr>
                <w:rFonts w:eastAsia="SimSun"/>
              </w:rPr>
            </w:pPr>
            <w:r w:rsidRPr="00AC3044">
              <w:rPr>
                <w:rFonts w:eastAsia="SimSun"/>
              </w:rPr>
              <w:t>Курсовая доза</w:t>
            </w:r>
          </w:p>
        </w:tc>
        <w:tc>
          <w:tcPr>
            <w:tcW w:w="1560" w:type="dxa"/>
            <w:vAlign w:val="center"/>
          </w:tcPr>
          <w:p w14:paraId="4256E1D3"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1A222BC1"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4393B5B0" w14:textId="77777777" w:rsidTr="005A428D">
        <w:trPr>
          <w:cantSplit/>
          <w:trHeight w:val="20"/>
        </w:trPr>
        <w:tc>
          <w:tcPr>
            <w:tcW w:w="993" w:type="dxa"/>
            <w:vMerge w:val="restart"/>
            <w:textDirection w:val="btLr"/>
            <w:vAlign w:val="center"/>
          </w:tcPr>
          <w:p w14:paraId="7B6ECD04"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64BBFCB3"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1ADA4EBF"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559" w:type="dxa"/>
            <w:vAlign w:val="center"/>
          </w:tcPr>
          <w:p w14:paraId="440BC88F"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560" w:type="dxa"/>
            <w:vAlign w:val="center"/>
          </w:tcPr>
          <w:p w14:paraId="1319E141"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62E34324"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5CED4D3F" w14:textId="77777777" w:rsidTr="005A428D">
        <w:trPr>
          <w:cantSplit/>
          <w:trHeight w:val="961"/>
        </w:trPr>
        <w:tc>
          <w:tcPr>
            <w:tcW w:w="993" w:type="dxa"/>
            <w:vMerge/>
            <w:vAlign w:val="center"/>
          </w:tcPr>
          <w:p w14:paraId="14ADF336" w14:textId="77777777" w:rsidR="00BE7F89" w:rsidRPr="00AC3044" w:rsidRDefault="00BE7F89" w:rsidP="005A428D">
            <w:pPr>
              <w:rPr>
                <w:rFonts w:eastAsia="SimSun"/>
              </w:rPr>
            </w:pPr>
          </w:p>
        </w:tc>
        <w:tc>
          <w:tcPr>
            <w:tcW w:w="1843" w:type="dxa"/>
            <w:vAlign w:val="center"/>
          </w:tcPr>
          <w:p w14:paraId="70582306"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0044972B" w14:textId="77777777" w:rsidR="00BE7F89" w:rsidRPr="00AC3044" w:rsidRDefault="00BE7F89" w:rsidP="005A428D">
            <w:pPr>
              <w:rPr>
                <w:rFonts w:eastAsia="SimSun"/>
              </w:rPr>
            </w:pPr>
            <w:r w:rsidRPr="00AC3044">
              <w:rPr>
                <w:rFonts w:eastAsia="SimSun"/>
              </w:rPr>
              <w:t xml:space="preserve">4 мг/кг </w:t>
            </w:r>
          </w:p>
        </w:tc>
        <w:tc>
          <w:tcPr>
            <w:tcW w:w="1559" w:type="dxa"/>
            <w:vAlign w:val="center"/>
          </w:tcPr>
          <w:p w14:paraId="6267F501" w14:textId="77777777" w:rsidR="00BE7F89" w:rsidRPr="00AC3044" w:rsidRDefault="00BE7F89" w:rsidP="005A428D">
            <w:pPr>
              <w:rPr>
                <w:rFonts w:eastAsia="SimSun"/>
              </w:rPr>
            </w:pPr>
            <w:r w:rsidRPr="00AC3044">
              <w:rPr>
                <w:rFonts w:eastAsia="SimSun"/>
              </w:rPr>
              <w:t xml:space="preserve">8 мг/кг </w:t>
            </w:r>
          </w:p>
        </w:tc>
        <w:tc>
          <w:tcPr>
            <w:tcW w:w="1560" w:type="dxa"/>
            <w:vAlign w:val="center"/>
          </w:tcPr>
          <w:p w14:paraId="492F23E5" w14:textId="77777777" w:rsidR="00BE7F89" w:rsidRPr="00AC3044" w:rsidRDefault="00BE7F89" w:rsidP="005A428D">
            <w:pPr>
              <w:rPr>
                <w:rFonts w:eastAsia="SimSun"/>
              </w:rPr>
            </w:pPr>
            <w:r w:rsidRPr="00AC3044">
              <w:rPr>
                <w:rFonts w:eastAsia="SimSun"/>
              </w:rPr>
              <w:t>С -4 дня по -3 день</w:t>
            </w:r>
          </w:p>
        </w:tc>
        <w:tc>
          <w:tcPr>
            <w:tcW w:w="2268" w:type="dxa"/>
            <w:vAlign w:val="center"/>
          </w:tcPr>
          <w:p w14:paraId="3080EC12"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7B3AD43B" w14:textId="77777777" w:rsidTr="005A428D">
        <w:trPr>
          <w:cantSplit/>
          <w:trHeight w:val="1498"/>
        </w:trPr>
        <w:tc>
          <w:tcPr>
            <w:tcW w:w="993" w:type="dxa"/>
            <w:vMerge w:val="restart"/>
            <w:textDirection w:val="btLr"/>
            <w:vAlign w:val="center"/>
          </w:tcPr>
          <w:p w14:paraId="16B95A82"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5FD1E0ED" w14:textId="77777777" w:rsidR="00BE7F89" w:rsidRPr="00AC3044" w:rsidRDefault="00BE7F89" w:rsidP="005A428D">
            <w:pPr>
              <w:rPr>
                <w:rFonts w:eastAsia="SimSun"/>
              </w:rPr>
            </w:pPr>
            <w:r w:rsidRPr="00AC3044">
              <w:rPr>
                <w:rFonts w:eastAsia="SimSun"/>
              </w:rPr>
              <w:t>Циклофосфамид</w:t>
            </w:r>
          </w:p>
        </w:tc>
        <w:tc>
          <w:tcPr>
            <w:tcW w:w="1417" w:type="dxa"/>
            <w:vAlign w:val="center"/>
          </w:tcPr>
          <w:p w14:paraId="11AECAAD"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79A21BDF" w14:textId="77777777" w:rsidR="00BE7F89" w:rsidRPr="00AC3044" w:rsidRDefault="00BE7F89" w:rsidP="005A428D">
            <w:pPr>
              <w:rPr>
                <w:rFonts w:eastAsia="SimSun"/>
              </w:rPr>
            </w:pPr>
            <w:r w:rsidRPr="00AC3044">
              <w:rPr>
                <w:rFonts w:eastAsia="SimSun"/>
              </w:rPr>
              <w:t>100 мг/кг</w:t>
            </w:r>
          </w:p>
        </w:tc>
        <w:tc>
          <w:tcPr>
            <w:tcW w:w="1560" w:type="dxa"/>
            <w:vAlign w:val="center"/>
          </w:tcPr>
          <w:p w14:paraId="5B142FB9"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3077B3D6" w14:textId="77777777" w:rsidR="00BE7F89" w:rsidRPr="00AC3044" w:rsidRDefault="00BE7F89" w:rsidP="005A428D">
            <w:pPr>
              <w:rPr>
                <w:rFonts w:eastAsia="SimSun"/>
              </w:rPr>
            </w:pPr>
            <w:r w:rsidRPr="00AC3044">
              <w:rPr>
                <w:rFonts w:eastAsia="SimSun"/>
              </w:rPr>
              <w:t xml:space="preserve">В/в, в течение 2 ч  </w:t>
            </w:r>
          </w:p>
        </w:tc>
      </w:tr>
      <w:tr w:rsidR="00BE7F89" w:rsidRPr="00AC3044" w14:paraId="58766BD6" w14:textId="77777777" w:rsidTr="005A428D">
        <w:trPr>
          <w:cantSplit/>
          <w:trHeight w:val="958"/>
        </w:trPr>
        <w:tc>
          <w:tcPr>
            <w:tcW w:w="993" w:type="dxa"/>
            <w:vMerge/>
            <w:textDirection w:val="btLr"/>
            <w:vAlign w:val="center"/>
          </w:tcPr>
          <w:p w14:paraId="1AECE42E" w14:textId="77777777" w:rsidR="00BE7F89" w:rsidRPr="00AC3044" w:rsidRDefault="00BE7F89" w:rsidP="005A428D">
            <w:pPr>
              <w:rPr>
                <w:rFonts w:eastAsia="SimSun"/>
              </w:rPr>
            </w:pPr>
          </w:p>
        </w:tc>
        <w:tc>
          <w:tcPr>
            <w:tcW w:w="1843" w:type="dxa"/>
            <w:vAlign w:val="center"/>
          </w:tcPr>
          <w:p w14:paraId="0CFA7F39" w14:textId="77777777" w:rsidR="00BE7F89" w:rsidRPr="00AC3044" w:rsidRDefault="00BE7F89" w:rsidP="005A428D">
            <w:pPr>
              <w:rPr>
                <w:rFonts w:eastAsia="SimSun"/>
              </w:rPr>
            </w:pPr>
            <w:r w:rsidRPr="00AC3044">
              <w:rPr>
                <w:rFonts w:eastAsia="SimSun"/>
              </w:rPr>
              <w:t xml:space="preserve">Такролимус </w:t>
            </w:r>
          </w:p>
        </w:tc>
        <w:tc>
          <w:tcPr>
            <w:tcW w:w="1417" w:type="dxa"/>
            <w:vAlign w:val="center"/>
          </w:tcPr>
          <w:p w14:paraId="00EF5E44" w14:textId="77777777" w:rsidR="00BE7F89" w:rsidRPr="00AC3044" w:rsidRDefault="00BE7F89" w:rsidP="005A428D">
            <w:pPr>
              <w:rPr>
                <w:rFonts w:eastAsia="SimSun"/>
              </w:rPr>
            </w:pPr>
            <w:r w:rsidRPr="00AC3044">
              <w:rPr>
                <w:rFonts w:eastAsia="SimSun"/>
              </w:rPr>
              <w:t>0,03 мг/кг</w:t>
            </w:r>
          </w:p>
        </w:tc>
        <w:tc>
          <w:tcPr>
            <w:tcW w:w="1559" w:type="dxa"/>
            <w:vAlign w:val="center"/>
          </w:tcPr>
          <w:p w14:paraId="79FFFEC9" w14:textId="77777777" w:rsidR="00BE7F89" w:rsidRPr="00AC3044" w:rsidRDefault="00BE7F89" w:rsidP="005A428D">
            <w:pPr>
              <w:rPr>
                <w:rFonts w:eastAsia="SimSun"/>
              </w:rPr>
            </w:pPr>
            <w:r w:rsidRPr="00AC3044">
              <w:rPr>
                <w:rFonts w:eastAsia="SimSun"/>
              </w:rPr>
              <w:t>–</w:t>
            </w:r>
          </w:p>
        </w:tc>
        <w:tc>
          <w:tcPr>
            <w:tcW w:w="1560" w:type="dxa"/>
            <w:vAlign w:val="center"/>
          </w:tcPr>
          <w:p w14:paraId="6CDE6C0A" w14:textId="77777777" w:rsidR="00BE7F89" w:rsidRPr="00AC3044" w:rsidRDefault="00BE7F89" w:rsidP="005A428D">
            <w:pPr>
              <w:rPr>
                <w:rFonts w:eastAsia="SimSun"/>
              </w:rPr>
            </w:pPr>
            <w:r w:rsidRPr="00AC3044">
              <w:rPr>
                <w:rFonts w:eastAsia="SimSun"/>
              </w:rPr>
              <w:t xml:space="preserve">С +5 дня длительно </w:t>
            </w:r>
          </w:p>
        </w:tc>
        <w:tc>
          <w:tcPr>
            <w:tcW w:w="2268" w:type="dxa"/>
            <w:vAlign w:val="center"/>
          </w:tcPr>
          <w:p w14:paraId="2BE3AD27"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785C9C72" w14:textId="77777777" w:rsidTr="005A428D">
        <w:trPr>
          <w:cantSplit/>
          <w:trHeight w:val="544"/>
        </w:trPr>
        <w:tc>
          <w:tcPr>
            <w:tcW w:w="993" w:type="dxa"/>
            <w:vMerge/>
            <w:textDirection w:val="btLr"/>
            <w:vAlign w:val="center"/>
          </w:tcPr>
          <w:p w14:paraId="5213D332" w14:textId="77777777" w:rsidR="00BE7F89" w:rsidRPr="00AC3044" w:rsidRDefault="00BE7F89" w:rsidP="005A428D">
            <w:pPr>
              <w:rPr>
                <w:rFonts w:eastAsia="SimSun"/>
              </w:rPr>
            </w:pPr>
          </w:p>
        </w:tc>
        <w:tc>
          <w:tcPr>
            <w:tcW w:w="1843" w:type="dxa"/>
            <w:vAlign w:val="center"/>
          </w:tcPr>
          <w:p w14:paraId="5D9A18ED" w14:textId="77777777" w:rsidR="00BE7F89" w:rsidRPr="00AC3044" w:rsidRDefault="00BE7F89" w:rsidP="005A428D">
            <w:pPr>
              <w:rPr>
                <w:rFonts w:eastAsia="SimSun"/>
              </w:rPr>
            </w:pPr>
            <w:r w:rsidRPr="00AC3044">
              <w:rPr>
                <w:rFonts w:eastAsia="SimSun"/>
              </w:rPr>
              <w:t>Микофенолата мофетил</w:t>
            </w:r>
          </w:p>
        </w:tc>
        <w:tc>
          <w:tcPr>
            <w:tcW w:w="1417" w:type="dxa"/>
            <w:vAlign w:val="center"/>
          </w:tcPr>
          <w:p w14:paraId="7BBB2E49" w14:textId="77777777" w:rsidR="00BE7F89" w:rsidRPr="00AC3044" w:rsidRDefault="00BE7F89" w:rsidP="005A428D">
            <w:pPr>
              <w:rPr>
                <w:rFonts w:eastAsia="SimSun"/>
              </w:rPr>
            </w:pPr>
            <w:r w:rsidRPr="00AC3044">
              <w:rPr>
                <w:rFonts w:eastAsia="SimSun"/>
              </w:rPr>
              <w:t xml:space="preserve">30 мг/кг </w:t>
            </w:r>
          </w:p>
        </w:tc>
        <w:tc>
          <w:tcPr>
            <w:tcW w:w="1559" w:type="dxa"/>
            <w:vAlign w:val="center"/>
          </w:tcPr>
          <w:p w14:paraId="56EB9FD4" w14:textId="77777777" w:rsidR="00BE7F89" w:rsidRPr="00AC3044" w:rsidRDefault="00BE7F89" w:rsidP="005A428D">
            <w:pPr>
              <w:rPr>
                <w:rFonts w:eastAsia="SimSun"/>
              </w:rPr>
            </w:pPr>
            <w:r w:rsidRPr="00AC3044">
              <w:rPr>
                <w:rFonts w:eastAsia="SimSun"/>
              </w:rPr>
              <w:t>–</w:t>
            </w:r>
          </w:p>
        </w:tc>
        <w:tc>
          <w:tcPr>
            <w:tcW w:w="1560" w:type="dxa"/>
            <w:vAlign w:val="center"/>
          </w:tcPr>
          <w:p w14:paraId="285F64DB" w14:textId="77777777" w:rsidR="00BE7F89" w:rsidRPr="00AC3044" w:rsidRDefault="00BE7F89" w:rsidP="005A428D">
            <w:pPr>
              <w:rPr>
                <w:rFonts w:eastAsia="SimSun"/>
              </w:rPr>
            </w:pPr>
            <w:r w:rsidRPr="00AC3044">
              <w:rPr>
                <w:rFonts w:eastAsia="SimSun"/>
              </w:rPr>
              <w:t xml:space="preserve">С +5 дня по +35 день </w:t>
            </w:r>
          </w:p>
        </w:tc>
        <w:tc>
          <w:tcPr>
            <w:tcW w:w="2268" w:type="dxa"/>
            <w:vAlign w:val="center"/>
          </w:tcPr>
          <w:p w14:paraId="6EACDB0E"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w:t>
            </w:r>
          </w:p>
        </w:tc>
      </w:tr>
    </w:tbl>
    <w:p w14:paraId="13EAC511" w14:textId="77777777" w:rsidR="00BE7F89" w:rsidRPr="00C07B2E" w:rsidRDefault="00BE7F89" w:rsidP="00BE7F89">
      <w:pPr>
        <w:rPr>
          <w:rFonts w:eastAsia="SimSun"/>
        </w:rPr>
      </w:pPr>
    </w:p>
    <w:p w14:paraId="3096D633" w14:textId="77777777" w:rsidR="00BE7F89" w:rsidRPr="00C07B2E" w:rsidRDefault="00BE7F89" w:rsidP="00BE7F89">
      <w:pPr>
        <w:rPr>
          <w:rFonts w:eastAsia="SimSun"/>
        </w:rPr>
      </w:pPr>
      <w:bookmarkStart w:id="159" w:name="_Toc44401168"/>
      <w:r w:rsidRPr="00042499">
        <w:rPr>
          <w:rFonts w:eastAsia="SimSun"/>
        </w:rPr>
        <w:t>Таблица</w:t>
      </w:r>
      <w:r w:rsidRPr="00C07B2E">
        <w:rPr>
          <w:rFonts w:eastAsia="SimSun"/>
        </w:rPr>
        <w:t xml:space="preserve"> </w:t>
      </w:r>
      <w:r>
        <w:rPr>
          <w:rFonts w:eastAsia="SimSun"/>
        </w:rPr>
        <w:t>5.</w:t>
      </w:r>
      <w:r w:rsidRPr="00C07B2E">
        <w:rPr>
          <w:rFonts w:eastAsia="SimSun"/>
        </w:rPr>
        <w:t>1.2.10  – Flu180+Bu8 / Tx+MMF30</w:t>
      </w:r>
      <w:bookmarkEnd w:id="15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BE7F89" w:rsidRPr="00AC3044" w14:paraId="25BAD06B" w14:textId="77777777" w:rsidTr="005A428D">
        <w:trPr>
          <w:cantSplit/>
          <w:trHeight w:val="20"/>
          <w:tblHeader/>
        </w:trPr>
        <w:tc>
          <w:tcPr>
            <w:tcW w:w="993" w:type="dxa"/>
            <w:vAlign w:val="center"/>
          </w:tcPr>
          <w:p w14:paraId="25A41EC6" w14:textId="77777777" w:rsidR="00BE7F89" w:rsidRPr="00AC3044" w:rsidRDefault="00BE7F89" w:rsidP="005A428D">
            <w:pPr>
              <w:rPr>
                <w:rFonts w:eastAsia="SimSun"/>
              </w:rPr>
            </w:pPr>
          </w:p>
        </w:tc>
        <w:tc>
          <w:tcPr>
            <w:tcW w:w="1843" w:type="dxa"/>
            <w:vAlign w:val="center"/>
          </w:tcPr>
          <w:p w14:paraId="243D46E8"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5DD5F5DD"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74461957" w14:textId="77777777" w:rsidR="00BE7F89" w:rsidRPr="00AC3044" w:rsidRDefault="00BE7F89" w:rsidP="005A428D">
            <w:pPr>
              <w:rPr>
                <w:rFonts w:eastAsia="SimSun"/>
              </w:rPr>
            </w:pPr>
            <w:r w:rsidRPr="00AC3044">
              <w:rPr>
                <w:rFonts w:eastAsia="SimSun"/>
              </w:rPr>
              <w:t>Курсовая доза</w:t>
            </w:r>
          </w:p>
        </w:tc>
        <w:tc>
          <w:tcPr>
            <w:tcW w:w="1560" w:type="dxa"/>
            <w:vAlign w:val="center"/>
          </w:tcPr>
          <w:p w14:paraId="40471AB0"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02D7A3FD"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754FF619" w14:textId="77777777" w:rsidTr="005A428D">
        <w:trPr>
          <w:cantSplit/>
          <w:trHeight w:val="20"/>
        </w:trPr>
        <w:tc>
          <w:tcPr>
            <w:tcW w:w="993" w:type="dxa"/>
            <w:vMerge w:val="restart"/>
            <w:textDirection w:val="btLr"/>
            <w:vAlign w:val="center"/>
          </w:tcPr>
          <w:p w14:paraId="0ADA527F"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749B9066"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0EFF9716"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559" w:type="dxa"/>
            <w:vAlign w:val="center"/>
          </w:tcPr>
          <w:p w14:paraId="7E53EE8C"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560" w:type="dxa"/>
            <w:vAlign w:val="center"/>
          </w:tcPr>
          <w:p w14:paraId="74F35C9A"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373487F1"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5AFEFA08" w14:textId="77777777" w:rsidTr="005A428D">
        <w:trPr>
          <w:cantSplit/>
          <w:trHeight w:val="784"/>
        </w:trPr>
        <w:tc>
          <w:tcPr>
            <w:tcW w:w="993" w:type="dxa"/>
            <w:vMerge/>
            <w:vAlign w:val="center"/>
          </w:tcPr>
          <w:p w14:paraId="17A11D36" w14:textId="77777777" w:rsidR="00BE7F89" w:rsidRPr="00AC3044" w:rsidRDefault="00BE7F89" w:rsidP="005A428D">
            <w:pPr>
              <w:rPr>
                <w:rFonts w:eastAsia="SimSun"/>
              </w:rPr>
            </w:pPr>
          </w:p>
        </w:tc>
        <w:tc>
          <w:tcPr>
            <w:tcW w:w="1843" w:type="dxa"/>
            <w:vAlign w:val="center"/>
          </w:tcPr>
          <w:p w14:paraId="1AEA6B79"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2E29C60B" w14:textId="77777777" w:rsidR="00BE7F89" w:rsidRPr="00AC3044" w:rsidRDefault="00BE7F89" w:rsidP="005A428D">
            <w:pPr>
              <w:rPr>
                <w:rFonts w:eastAsia="SimSun"/>
              </w:rPr>
            </w:pPr>
            <w:r w:rsidRPr="00AC3044">
              <w:rPr>
                <w:rFonts w:eastAsia="SimSun"/>
              </w:rPr>
              <w:t xml:space="preserve">4 мг/кг </w:t>
            </w:r>
          </w:p>
        </w:tc>
        <w:tc>
          <w:tcPr>
            <w:tcW w:w="1559" w:type="dxa"/>
            <w:vAlign w:val="center"/>
          </w:tcPr>
          <w:p w14:paraId="139F599C" w14:textId="77777777" w:rsidR="00BE7F89" w:rsidRPr="00AC3044" w:rsidRDefault="00BE7F89" w:rsidP="005A428D">
            <w:pPr>
              <w:rPr>
                <w:rFonts w:eastAsia="SimSun"/>
              </w:rPr>
            </w:pPr>
            <w:r w:rsidRPr="00AC3044">
              <w:rPr>
                <w:rFonts w:eastAsia="SimSun"/>
              </w:rPr>
              <w:t xml:space="preserve">8 мг/кг </w:t>
            </w:r>
          </w:p>
        </w:tc>
        <w:tc>
          <w:tcPr>
            <w:tcW w:w="1560" w:type="dxa"/>
            <w:vAlign w:val="center"/>
          </w:tcPr>
          <w:p w14:paraId="633D5F55" w14:textId="77777777" w:rsidR="00BE7F89" w:rsidRPr="00AC3044" w:rsidRDefault="00BE7F89" w:rsidP="005A428D">
            <w:pPr>
              <w:rPr>
                <w:rFonts w:eastAsia="SimSun"/>
              </w:rPr>
            </w:pPr>
            <w:r w:rsidRPr="00AC3044">
              <w:rPr>
                <w:rFonts w:eastAsia="SimSun"/>
              </w:rPr>
              <w:t>С -4 дня по -3 день</w:t>
            </w:r>
          </w:p>
        </w:tc>
        <w:tc>
          <w:tcPr>
            <w:tcW w:w="2268" w:type="dxa"/>
            <w:vAlign w:val="center"/>
          </w:tcPr>
          <w:p w14:paraId="447F196B"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0BB5C834" w14:textId="77777777" w:rsidTr="005A428D">
        <w:trPr>
          <w:cantSplit/>
          <w:trHeight w:val="1498"/>
        </w:trPr>
        <w:tc>
          <w:tcPr>
            <w:tcW w:w="993" w:type="dxa"/>
            <w:vMerge w:val="restart"/>
            <w:textDirection w:val="btLr"/>
            <w:vAlign w:val="center"/>
          </w:tcPr>
          <w:p w14:paraId="02CAEEC9"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3E373B62" w14:textId="77777777" w:rsidR="00BE7F89" w:rsidRPr="00AC3044" w:rsidRDefault="00BE7F89" w:rsidP="005A428D">
            <w:pPr>
              <w:rPr>
                <w:rFonts w:eastAsia="SimSun"/>
              </w:rPr>
            </w:pPr>
            <w:r w:rsidRPr="00AC3044">
              <w:rPr>
                <w:rFonts w:eastAsia="SimSun"/>
              </w:rPr>
              <w:t xml:space="preserve">Такролимус </w:t>
            </w:r>
          </w:p>
        </w:tc>
        <w:tc>
          <w:tcPr>
            <w:tcW w:w="1417" w:type="dxa"/>
            <w:vAlign w:val="center"/>
          </w:tcPr>
          <w:p w14:paraId="67EDF871" w14:textId="77777777" w:rsidR="00BE7F89" w:rsidRPr="00AC3044" w:rsidRDefault="00BE7F89" w:rsidP="005A428D">
            <w:pPr>
              <w:rPr>
                <w:rFonts w:eastAsia="SimSun"/>
              </w:rPr>
            </w:pPr>
            <w:r w:rsidRPr="00AC3044">
              <w:rPr>
                <w:rFonts w:eastAsia="SimSun"/>
              </w:rPr>
              <w:t>0,03 мг/кг</w:t>
            </w:r>
          </w:p>
        </w:tc>
        <w:tc>
          <w:tcPr>
            <w:tcW w:w="1559" w:type="dxa"/>
            <w:vAlign w:val="center"/>
          </w:tcPr>
          <w:p w14:paraId="2F60EFBA" w14:textId="77777777" w:rsidR="00BE7F89" w:rsidRPr="00AC3044" w:rsidRDefault="00BE7F89" w:rsidP="005A428D">
            <w:pPr>
              <w:rPr>
                <w:rFonts w:eastAsia="SimSun"/>
              </w:rPr>
            </w:pPr>
            <w:r w:rsidRPr="00AC3044">
              <w:rPr>
                <w:rFonts w:eastAsia="SimSun"/>
              </w:rPr>
              <w:t>–</w:t>
            </w:r>
          </w:p>
        </w:tc>
        <w:tc>
          <w:tcPr>
            <w:tcW w:w="1560" w:type="dxa"/>
            <w:vAlign w:val="center"/>
          </w:tcPr>
          <w:p w14:paraId="34D982E5" w14:textId="77777777" w:rsidR="00BE7F89" w:rsidRPr="00AC3044" w:rsidRDefault="00BE7F89" w:rsidP="005A428D">
            <w:pPr>
              <w:rPr>
                <w:rFonts w:eastAsia="SimSun"/>
              </w:rPr>
            </w:pPr>
            <w:r w:rsidRPr="00AC3044">
              <w:rPr>
                <w:rFonts w:eastAsia="SimSun"/>
              </w:rPr>
              <w:t xml:space="preserve">С -1 дня длительно </w:t>
            </w:r>
          </w:p>
        </w:tc>
        <w:tc>
          <w:tcPr>
            <w:tcW w:w="2268" w:type="dxa"/>
            <w:vAlign w:val="center"/>
          </w:tcPr>
          <w:p w14:paraId="177F5A3E"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15EECB92" w14:textId="77777777" w:rsidTr="005A428D">
        <w:trPr>
          <w:cantSplit/>
          <w:trHeight w:val="538"/>
        </w:trPr>
        <w:tc>
          <w:tcPr>
            <w:tcW w:w="993" w:type="dxa"/>
            <w:vMerge/>
            <w:textDirection w:val="btLr"/>
            <w:vAlign w:val="center"/>
          </w:tcPr>
          <w:p w14:paraId="57CE37E6" w14:textId="77777777" w:rsidR="00BE7F89" w:rsidRPr="00AC3044" w:rsidRDefault="00BE7F89" w:rsidP="005A428D">
            <w:pPr>
              <w:rPr>
                <w:rFonts w:eastAsia="SimSun"/>
              </w:rPr>
            </w:pPr>
          </w:p>
        </w:tc>
        <w:tc>
          <w:tcPr>
            <w:tcW w:w="1843" w:type="dxa"/>
            <w:vAlign w:val="center"/>
          </w:tcPr>
          <w:p w14:paraId="1D43578F" w14:textId="77777777" w:rsidR="00BE7F89" w:rsidRPr="00AC3044" w:rsidRDefault="00BE7F89" w:rsidP="005A428D">
            <w:pPr>
              <w:rPr>
                <w:rFonts w:eastAsia="SimSun"/>
              </w:rPr>
            </w:pPr>
            <w:r w:rsidRPr="00AC3044">
              <w:rPr>
                <w:rFonts w:eastAsia="SimSun"/>
              </w:rPr>
              <w:t>Микофенолата мофетил</w:t>
            </w:r>
          </w:p>
        </w:tc>
        <w:tc>
          <w:tcPr>
            <w:tcW w:w="1417" w:type="dxa"/>
            <w:vAlign w:val="center"/>
          </w:tcPr>
          <w:p w14:paraId="3B82DD18" w14:textId="77777777" w:rsidR="00BE7F89" w:rsidRPr="00AC3044" w:rsidRDefault="00BE7F89" w:rsidP="005A428D">
            <w:pPr>
              <w:rPr>
                <w:rFonts w:eastAsia="SimSun"/>
              </w:rPr>
            </w:pPr>
            <w:r w:rsidRPr="00AC3044">
              <w:rPr>
                <w:rFonts w:eastAsia="SimSun"/>
              </w:rPr>
              <w:t xml:space="preserve">30 мг/кг </w:t>
            </w:r>
          </w:p>
        </w:tc>
        <w:tc>
          <w:tcPr>
            <w:tcW w:w="1559" w:type="dxa"/>
            <w:vAlign w:val="center"/>
          </w:tcPr>
          <w:p w14:paraId="2668BAE3" w14:textId="77777777" w:rsidR="00BE7F89" w:rsidRPr="00AC3044" w:rsidRDefault="00BE7F89" w:rsidP="005A428D">
            <w:pPr>
              <w:rPr>
                <w:rFonts w:eastAsia="SimSun"/>
              </w:rPr>
            </w:pPr>
            <w:r w:rsidRPr="00AC3044">
              <w:rPr>
                <w:rFonts w:eastAsia="SimSun"/>
              </w:rPr>
              <w:t>–</w:t>
            </w:r>
          </w:p>
        </w:tc>
        <w:tc>
          <w:tcPr>
            <w:tcW w:w="1560" w:type="dxa"/>
            <w:vAlign w:val="center"/>
          </w:tcPr>
          <w:p w14:paraId="1AD64FCA" w14:textId="77777777" w:rsidR="00BE7F89" w:rsidRPr="00AC3044" w:rsidRDefault="00BE7F89" w:rsidP="005A428D">
            <w:pPr>
              <w:rPr>
                <w:rFonts w:eastAsia="SimSun"/>
              </w:rPr>
            </w:pPr>
            <w:r w:rsidRPr="00AC3044">
              <w:rPr>
                <w:rFonts w:eastAsia="SimSun"/>
              </w:rPr>
              <w:t xml:space="preserve">С -1 дня по +30 день </w:t>
            </w:r>
          </w:p>
        </w:tc>
        <w:tc>
          <w:tcPr>
            <w:tcW w:w="2268" w:type="dxa"/>
            <w:vAlign w:val="center"/>
          </w:tcPr>
          <w:p w14:paraId="2ABFAA23"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w:t>
            </w:r>
          </w:p>
        </w:tc>
      </w:tr>
    </w:tbl>
    <w:p w14:paraId="05046520" w14:textId="77777777" w:rsidR="00BE7F89" w:rsidRDefault="00BE7F89" w:rsidP="00BE7F89">
      <w:pPr>
        <w:rPr>
          <w:rFonts w:eastAsia="SimSun"/>
        </w:rPr>
      </w:pPr>
      <w:bookmarkStart w:id="160" w:name="_Toc44401169"/>
    </w:p>
    <w:p w14:paraId="14A8423D" w14:textId="77777777" w:rsidR="00BE7F89"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1.2.11  – Flu180+Bu8/ PT-Cy+CSA+MMF30</w:t>
      </w:r>
      <w:bookmarkEnd w:id="160"/>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46"/>
      </w:tblGrid>
      <w:tr w:rsidR="00BE7F89" w:rsidRPr="00AC3044" w14:paraId="1E659CEF" w14:textId="77777777" w:rsidTr="005A428D">
        <w:trPr>
          <w:cantSplit/>
          <w:trHeight w:val="20"/>
          <w:tblHeader/>
        </w:trPr>
        <w:tc>
          <w:tcPr>
            <w:tcW w:w="959" w:type="dxa"/>
            <w:vAlign w:val="center"/>
          </w:tcPr>
          <w:p w14:paraId="1601C7D3" w14:textId="77777777" w:rsidR="00BE7F89" w:rsidRPr="00470D3D" w:rsidRDefault="00BE7F89" w:rsidP="005A428D">
            <w:pPr>
              <w:rPr>
                <w:rFonts w:eastAsia="SimSun"/>
              </w:rPr>
            </w:pPr>
          </w:p>
        </w:tc>
        <w:tc>
          <w:tcPr>
            <w:tcW w:w="1843" w:type="dxa"/>
            <w:vAlign w:val="center"/>
          </w:tcPr>
          <w:p w14:paraId="5D5B9CD4"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1E9C4D2E"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6D49A138"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3CBAD46F" w14:textId="77777777" w:rsidR="00BE7F89" w:rsidRPr="00AC3044" w:rsidRDefault="00BE7F89" w:rsidP="005A428D">
            <w:pPr>
              <w:rPr>
                <w:rFonts w:eastAsia="SimSun"/>
              </w:rPr>
            </w:pPr>
            <w:r w:rsidRPr="00AC3044">
              <w:rPr>
                <w:rFonts w:eastAsia="SimSun"/>
              </w:rPr>
              <w:t>Дни введения</w:t>
            </w:r>
          </w:p>
        </w:tc>
        <w:tc>
          <w:tcPr>
            <w:tcW w:w="2246" w:type="dxa"/>
            <w:vAlign w:val="center"/>
          </w:tcPr>
          <w:p w14:paraId="66748029"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1591F0A" w14:textId="77777777" w:rsidTr="005A428D">
        <w:trPr>
          <w:cantSplit/>
          <w:trHeight w:val="20"/>
        </w:trPr>
        <w:tc>
          <w:tcPr>
            <w:tcW w:w="959" w:type="dxa"/>
            <w:vMerge w:val="restart"/>
            <w:textDirection w:val="btLr"/>
            <w:vAlign w:val="center"/>
          </w:tcPr>
          <w:p w14:paraId="3B422FDA"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75328C6B"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2F41D6FD"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0BE173F7"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632A8C37" w14:textId="77777777" w:rsidR="00BE7F89" w:rsidRPr="00AC3044" w:rsidRDefault="00BE7F89" w:rsidP="005A428D">
            <w:pPr>
              <w:rPr>
                <w:rFonts w:eastAsia="SimSun"/>
              </w:rPr>
            </w:pPr>
            <w:r w:rsidRPr="00AC3044">
              <w:rPr>
                <w:rFonts w:eastAsia="SimSun"/>
              </w:rPr>
              <w:t>С -7 дня по -2 день</w:t>
            </w:r>
          </w:p>
        </w:tc>
        <w:tc>
          <w:tcPr>
            <w:tcW w:w="2246" w:type="dxa"/>
            <w:vAlign w:val="center"/>
          </w:tcPr>
          <w:p w14:paraId="725210BD"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6989F8A8" w14:textId="77777777" w:rsidTr="005A428D">
        <w:trPr>
          <w:cantSplit/>
          <w:trHeight w:val="550"/>
        </w:trPr>
        <w:tc>
          <w:tcPr>
            <w:tcW w:w="959" w:type="dxa"/>
            <w:vMerge/>
            <w:vAlign w:val="center"/>
          </w:tcPr>
          <w:p w14:paraId="6308B08D" w14:textId="77777777" w:rsidR="00BE7F89" w:rsidRPr="00AC3044" w:rsidRDefault="00BE7F89" w:rsidP="005A428D">
            <w:pPr>
              <w:rPr>
                <w:rFonts w:eastAsia="SimSun"/>
              </w:rPr>
            </w:pPr>
          </w:p>
        </w:tc>
        <w:tc>
          <w:tcPr>
            <w:tcW w:w="1843" w:type="dxa"/>
            <w:vAlign w:val="center"/>
          </w:tcPr>
          <w:p w14:paraId="5F69FCF8"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001A9794" w14:textId="77777777" w:rsidR="00BE7F89" w:rsidRPr="00AC3044" w:rsidRDefault="00BE7F89" w:rsidP="005A428D">
            <w:pPr>
              <w:rPr>
                <w:rFonts w:eastAsia="SimSun"/>
              </w:rPr>
            </w:pPr>
            <w:r w:rsidRPr="00AC3044">
              <w:rPr>
                <w:rFonts w:eastAsia="SimSun"/>
              </w:rPr>
              <w:t xml:space="preserve">4 мг/кг </w:t>
            </w:r>
          </w:p>
        </w:tc>
        <w:tc>
          <w:tcPr>
            <w:tcW w:w="1701" w:type="dxa"/>
            <w:vAlign w:val="center"/>
          </w:tcPr>
          <w:p w14:paraId="1735C84F" w14:textId="77777777" w:rsidR="00BE7F89" w:rsidRPr="00AC3044" w:rsidRDefault="00BE7F89" w:rsidP="005A428D">
            <w:pPr>
              <w:rPr>
                <w:rFonts w:eastAsia="SimSun"/>
              </w:rPr>
            </w:pPr>
            <w:r w:rsidRPr="00AC3044">
              <w:rPr>
                <w:rFonts w:eastAsia="SimSun"/>
              </w:rPr>
              <w:t xml:space="preserve">8 мг/кг </w:t>
            </w:r>
          </w:p>
        </w:tc>
        <w:tc>
          <w:tcPr>
            <w:tcW w:w="1418" w:type="dxa"/>
            <w:vAlign w:val="center"/>
          </w:tcPr>
          <w:p w14:paraId="05523361" w14:textId="77777777" w:rsidR="00BE7F89" w:rsidRPr="00AC3044" w:rsidRDefault="00BE7F89" w:rsidP="005A428D">
            <w:pPr>
              <w:rPr>
                <w:rFonts w:eastAsia="SimSun"/>
              </w:rPr>
            </w:pPr>
            <w:r w:rsidRPr="00AC3044">
              <w:rPr>
                <w:rFonts w:eastAsia="SimSun"/>
              </w:rPr>
              <w:t>С -4 дня по -3 день</w:t>
            </w:r>
          </w:p>
        </w:tc>
        <w:tc>
          <w:tcPr>
            <w:tcW w:w="2246" w:type="dxa"/>
            <w:vAlign w:val="center"/>
          </w:tcPr>
          <w:p w14:paraId="3D89C651"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46727B65" w14:textId="77777777" w:rsidTr="005A428D">
        <w:trPr>
          <w:cantSplit/>
          <w:trHeight w:val="1498"/>
        </w:trPr>
        <w:tc>
          <w:tcPr>
            <w:tcW w:w="959" w:type="dxa"/>
            <w:vMerge w:val="restart"/>
            <w:textDirection w:val="btLr"/>
            <w:vAlign w:val="center"/>
          </w:tcPr>
          <w:p w14:paraId="6D153246"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6136A130" w14:textId="77777777" w:rsidR="00BE7F89" w:rsidRPr="00AC3044" w:rsidRDefault="00BE7F89" w:rsidP="005A428D">
            <w:pPr>
              <w:rPr>
                <w:rFonts w:eastAsia="SimSun"/>
              </w:rPr>
            </w:pPr>
            <w:r w:rsidRPr="00AC3044">
              <w:rPr>
                <w:rFonts w:eastAsia="SimSun"/>
              </w:rPr>
              <w:t>Циклофосфамид</w:t>
            </w:r>
          </w:p>
        </w:tc>
        <w:tc>
          <w:tcPr>
            <w:tcW w:w="1417" w:type="dxa"/>
            <w:vAlign w:val="center"/>
          </w:tcPr>
          <w:p w14:paraId="07D28EB9" w14:textId="77777777" w:rsidR="00BE7F89" w:rsidRPr="00AC3044" w:rsidRDefault="00BE7F89" w:rsidP="005A428D">
            <w:pPr>
              <w:rPr>
                <w:rFonts w:eastAsia="SimSun"/>
              </w:rPr>
            </w:pPr>
            <w:r w:rsidRPr="00AC3044">
              <w:rPr>
                <w:rFonts w:eastAsia="SimSun"/>
              </w:rPr>
              <w:t>50 мг/кг</w:t>
            </w:r>
          </w:p>
        </w:tc>
        <w:tc>
          <w:tcPr>
            <w:tcW w:w="1701" w:type="dxa"/>
            <w:vAlign w:val="center"/>
          </w:tcPr>
          <w:p w14:paraId="33BA1258" w14:textId="77777777" w:rsidR="00BE7F89" w:rsidRPr="00AC3044" w:rsidRDefault="00BE7F89" w:rsidP="005A428D">
            <w:pPr>
              <w:rPr>
                <w:rFonts w:eastAsia="SimSun"/>
              </w:rPr>
            </w:pPr>
            <w:r w:rsidRPr="00AC3044">
              <w:rPr>
                <w:rFonts w:eastAsia="SimSun"/>
              </w:rPr>
              <w:t>100 мг/кг</w:t>
            </w:r>
          </w:p>
        </w:tc>
        <w:tc>
          <w:tcPr>
            <w:tcW w:w="1418" w:type="dxa"/>
            <w:vAlign w:val="center"/>
          </w:tcPr>
          <w:p w14:paraId="045E8A39" w14:textId="77777777" w:rsidR="00BE7F89" w:rsidRPr="00AC3044" w:rsidRDefault="00BE7F89" w:rsidP="005A428D">
            <w:pPr>
              <w:rPr>
                <w:rFonts w:eastAsia="SimSun"/>
              </w:rPr>
            </w:pPr>
            <w:r w:rsidRPr="00AC3044">
              <w:rPr>
                <w:rFonts w:eastAsia="SimSun"/>
              </w:rPr>
              <w:t>В +3 день  и +5 день</w:t>
            </w:r>
          </w:p>
        </w:tc>
        <w:tc>
          <w:tcPr>
            <w:tcW w:w="2246" w:type="dxa"/>
            <w:vAlign w:val="center"/>
          </w:tcPr>
          <w:p w14:paraId="39E94E6D"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564E2BF9" w14:textId="77777777" w:rsidTr="005A428D">
        <w:trPr>
          <w:cantSplit/>
          <w:trHeight w:val="958"/>
        </w:trPr>
        <w:tc>
          <w:tcPr>
            <w:tcW w:w="959" w:type="dxa"/>
            <w:vMerge/>
            <w:textDirection w:val="btLr"/>
            <w:vAlign w:val="center"/>
          </w:tcPr>
          <w:p w14:paraId="30F4BCB1" w14:textId="77777777" w:rsidR="00BE7F89" w:rsidRPr="00AC3044" w:rsidRDefault="00BE7F89" w:rsidP="005A428D">
            <w:pPr>
              <w:rPr>
                <w:rFonts w:eastAsia="SimSun"/>
              </w:rPr>
            </w:pPr>
          </w:p>
        </w:tc>
        <w:tc>
          <w:tcPr>
            <w:tcW w:w="1843" w:type="dxa"/>
            <w:vAlign w:val="center"/>
          </w:tcPr>
          <w:p w14:paraId="37F79477" w14:textId="77777777" w:rsidR="00BE7F89" w:rsidRPr="00AC3044" w:rsidRDefault="00BE7F89" w:rsidP="005A428D">
            <w:pPr>
              <w:rPr>
                <w:rFonts w:eastAsia="SimSun"/>
              </w:rPr>
            </w:pPr>
            <w:r w:rsidRPr="00AC3044">
              <w:rPr>
                <w:rFonts w:eastAsia="SimSun"/>
              </w:rPr>
              <w:t>Микофенолата мофетил</w:t>
            </w:r>
          </w:p>
        </w:tc>
        <w:tc>
          <w:tcPr>
            <w:tcW w:w="1417" w:type="dxa"/>
            <w:vAlign w:val="center"/>
          </w:tcPr>
          <w:p w14:paraId="30075B9E" w14:textId="77777777" w:rsidR="00BE7F89" w:rsidRPr="00AC3044" w:rsidRDefault="00BE7F89" w:rsidP="005A428D">
            <w:pPr>
              <w:rPr>
                <w:rFonts w:eastAsia="SimSun"/>
              </w:rPr>
            </w:pPr>
            <w:r w:rsidRPr="00AC3044">
              <w:rPr>
                <w:rFonts w:eastAsia="SimSun"/>
              </w:rPr>
              <w:t xml:space="preserve">30 мг/кг </w:t>
            </w:r>
          </w:p>
        </w:tc>
        <w:tc>
          <w:tcPr>
            <w:tcW w:w="1701" w:type="dxa"/>
            <w:vAlign w:val="center"/>
          </w:tcPr>
          <w:p w14:paraId="255293B1" w14:textId="77777777" w:rsidR="00BE7F89" w:rsidRPr="00AC3044" w:rsidRDefault="00BE7F89" w:rsidP="005A428D">
            <w:pPr>
              <w:rPr>
                <w:rFonts w:eastAsia="SimSun"/>
              </w:rPr>
            </w:pPr>
            <w:r w:rsidRPr="00AC3044">
              <w:rPr>
                <w:rFonts w:eastAsia="SimSun"/>
              </w:rPr>
              <w:t>–</w:t>
            </w:r>
          </w:p>
        </w:tc>
        <w:tc>
          <w:tcPr>
            <w:tcW w:w="1418" w:type="dxa"/>
            <w:vAlign w:val="center"/>
          </w:tcPr>
          <w:p w14:paraId="6BF8B83A" w14:textId="77777777" w:rsidR="00BE7F89" w:rsidRPr="00AC3044" w:rsidRDefault="00BE7F89" w:rsidP="005A428D">
            <w:pPr>
              <w:rPr>
                <w:rFonts w:eastAsia="SimSun"/>
              </w:rPr>
            </w:pPr>
            <w:r w:rsidRPr="00AC3044">
              <w:rPr>
                <w:rFonts w:eastAsia="SimSun"/>
              </w:rPr>
              <w:t xml:space="preserve">С +1 дня по +28 день </w:t>
            </w:r>
          </w:p>
        </w:tc>
        <w:tc>
          <w:tcPr>
            <w:tcW w:w="2246" w:type="dxa"/>
            <w:vAlign w:val="center"/>
          </w:tcPr>
          <w:p w14:paraId="3FC07B7C"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w:t>
            </w:r>
          </w:p>
        </w:tc>
      </w:tr>
      <w:tr w:rsidR="00BE7F89" w:rsidRPr="00AC3044" w14:paraId="7594AB91" w14:textId="77777777" w:rsidTr="005A428D">
        <w:trPr>
          <w:cantSplit/>
          <w:trHeight w:val="958"/>
        </w:trPr>
        <w:tc>
          <w:tcPr>
            <w:tcW w:w="959" w:type="dxa"/>
            <w:vMerge/>
            <w:textDirection w:val="btLr"/>
            <w:vAlign w:val="center"/>
          </w:tcPr>
          <w:p w14:paraId="0FF9C6D4" w14:textId="77777777" w:rsidR="00BE7F89" w:rsidRPr="00AC3044" w:rsidRDefault="00BE7F89" w:rsidP="005A428D">
            <w:pPr>
              <w:rPr>
                <w:rFonts w:eastAsia="SimSun"/>
              </w:rPr>
            </w:pPr>
          </w:p>
        </w:tc>
        <w:tc>
          <w:tcPr>
            <w:tcW w:w="1843" w:type="dxa"/>
            <w:vAlign w:val="center"/>
          </w:tcPr>
          <w:p w14:paraId="7C4D5E8C" w14:textId="77777777" w:rsidR="00BE7F89" w:rsidRPr="00AC3044" w:rsidRDefault="00BE7F89" w:rsidP="005A428D">
            <w:pPr>
              <w:rPr>
                <w:rFonts w:eastAsia="SimSun"/>
              </w:rPr>
            </w:pPr>
            <w:r w:rsidRPr="00AC3044">
              <w:rPr>
                <w:rFonts w:eastAsia="SimSun"/>
              </w:rPr>
              <w:t>Циклоспорин А</w:t>
            </w:r>
          </w:p>
        </w:tc>
        <w:tc>
          <w:tcPr>
            <w:tcW w:w="1417" w:type="dxa"/>
            <w:vAlign w:val="center"/>
          </w:tcPr>
          <w:p w14:paraId="3F310F27" w14:textId="77777777" w:rsidR="00BE7F89" w:rsidRPr="00AC3044" w:rsidRDefault="00BE7F89" w:rsidP="005A428D">
            <w:pPr>
              <w:rPr>
                <w:rFonts w:eastAsia="SimSun"/>
              </w:rPr>
            </w:pPr>
            <w:r w:rsidRPr="00AC3044">
              <w:rPr>
                <w:rFonts w:eastAsia="SimSun"/>
              </w:rPr>
              <w:t>3  мг/кг</w:t>
            </w:r>
          </w:p>
        </w:tc>
        <w:tc>
          <w:tcPr>
            <w:tcW w:w="1701" w:type="dxa"/>
            <w:vAlign w:val="center"/>
          </w:tcPr>
          <w:p w14:paraId="581F3364" w14:textId="77777777" w:rsidR="00BE7F89" w:rsidRPr="00AC3044" w:rsidRDefault="00BE7F89" w:rsidP="005A428D">
            <w:pPr>
              <w:rPr>
                <w:rFonts w:eastAsia="SimSun"/>
              </w:rPr>
            </w:pPr>
            <w:r w:rsidRPr="00AC3044">
              <w:rPr>
                <w:rFonts w:eastAsia="SimSun"/>
              </w:rPr>
              <w:t>-</w:t>
            </w:r>
          </w:p>
        </w:tc>
        <w:tc>
          <w:tcPr>
            <w:tcW w:w="1418" w:type="dxa"/>
            <w:vAlign w:val="center"/>
          </w:tcPr>
          <w:p w14:paraId="40037691" w14:textId="77777777" w:rsidR="00BE7F89" w:rsidRPr="00AC3044" w:rsidRDefault="00BE7F89" w:rsidP="005A428D">
            <w:pPr>
              <w:rPr>
                <w:rFonts w:eastAsia="SimSun"/>
              </w:rPr>
            </w:pPr>
            <w:r w:rsidRPr="00AC3044">
              <w:rPr>
                <w:rFonts w:eastAsia="SimSun"/>
              </w:rPr>
              <w:t xml:space="preserve">С -1 дня по +100 день </w:t>
            </w:r>
          </w:p>
        </w:tc>
        <w:tc>
          <w:tcPr>
            <w:tcW w:w="2246" w:type="dxa"/>
            <w:vAlign w:val="center"/>
          </w:tcPr>
          <w:p w14:paraId="5FE88073"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6386DA2D" w14:textId="77777777" w:rsidR="00BE7F89" w:rsidRDefault="00BE7F89" w:rsidP="00BE7F89">
      <w:pPr>
        <w:rPr>
          <w:rFonts w:eastAsia="SimSun"/>
        </w:rPr>
      </w:pPr>
    </w:p>
    <w:p w14:paraId="476CDDF8" w14:textId="77777777" w:rsidR="00BE7F89" w:rsidRPr="00C07B2E" w:rsidRDefault="00BE7F89" w:rsidP="00BE7F89">
      <w:pPr>
        <w:rPr>
          <w:rFonts w:eastAsia="SimSun"/>
        </w:rPr>
      </w:pPr>
      <w:bookmarkStart w:id="161" w:name="_Toc44401170"/>
      <w:r w:rsidRPr="00042499">
        <w:rPr>
          <w:rFonts w:eastAsia="SimSun"/>
        </w:rPr>
        <w:t>Таблица</w:t>
      </w:r>
      <w:r w:rsidRPr="00C07B2E">
        <w:rPr>
          <w:rFonts w:eastAsia="SimSun"/>
        </w:rPr>
        <w:t xml:space="preserve"> </w:t>
      </w:r>
      <w:r>
        <w:rPr>
          <w:rFonts w:eastAsia="SimSun"/>
        </w:rPr>
        <w:t>5.</w:t>
      </w:r>
      <w:r w:rsidRPr="00C07B2E">
        <w:rPr>
          <w:rFonts w:eastAsia="SimSun"/>
        </w:rPr>
        <w:t>1.2.12  – Flu180+Bu10 / PT-Cy+Ruxo</w:t>
      </w:r>
      <w:bookmarkEnd w:id="16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68"/>
      </w:tblGrid>
      <w:tr w:rsidR="00BE7F89" w:rsidRPr="00AC3044" w14:paraId="786BE70A" w14:textId="77777777" w:rsidTr="005A428D">
        <w:trPr>
          <w:cantSplit/>
          <w:trHeight w:val="20"/>
          <w:tblHeader/>
        </w:trPr>
        <w:tc>
          <w:tcPr>
            <w:tcW w:w="959" w:type="dxa"/>
            <w:vAlign w:val="center"/>
          </w:tcPr>
          <w:p w14:paraId="368C42F8" w14:textId="77777777" w:rsidR="00BE7F89" w:rsidRPr="00470D3D" w:rsidRDefault="00BE7F89" w:rsidP="005A428D">
            <w:pPr>
              <w:rPr>
                <w:rFonts w:eastAsia="SimSun"/>
              </w:rPr>
            </w:pPr>
          </w:p>
        </w:tc>
        <w:tc>
          <w:tcPr>
            <w:tcW w:w="1843" w:type="dxa"/>
            <w:vAlign w:val="center"/>
          </w:tcPr>
          <w:p w14:paraId="3DF1EFB2"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05856412"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695CC94C"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27A362BF"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420FEFB6"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6BEE9E22" w14:textId="77777777" w:rsidTr="005A428D">
        <w:trPr>
          <w:cantSplit/>
          <w:trHeight w:val="20"/>
        </w:trPr>
        <w:tc>
          <w:tcPr>
            <w:tcW w:w="959" w:type="dxa"/>
            <w:vMerge w:val="restart"/>
            <w:textDirection w:val="btLr"/>
            <w:vAlign w:val="center"/>
          </w:tcPr>
          <w:p w14:paraId="5E8B673D" w14:textId="77777777" w:rsidR="00BE7F89" w:rsidRPr="00AC3044" w:rsidRDefault="00BE7F89" w:rsidP="005A428D">
            <w:pPr>
              <w:rPr>
                <w:rFonts w:eastAsia="SimSun"/>
              </w:rPr>
            </w:pPr>
            <w:r w:rsidRPr="00AC3044">
              <w:rPr>
                <w:rFonts w:eastAsia="SimSun"/>
              </w:rPr>
              <w:t>Кондиционирование</w:t>
            </w:r>
          </w:p>
        </w:tc>
        <w:tc>
          <w:tcPr>
            <w:tcW w:w="1843" w:type="dxa"/>
            <w:vAlign w:val="center"/>
          </w:tcPr>
          <w:p w14:paraId="25046BB3"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35A47204"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00B6E1F1"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03068FE7"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2DCB50FC"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07E0AFB7" w14:textId="77777777" w:rsidTr="005A428D">
        <w:trPr>
          <w:cantSplit/>
          <w:trHeight w:val="998"/>
        </w:trPr>
        <w:tc>
          <w:tcPr>
            <w:tcW w:w="959" w:type="dxa"/>
            <w:vMerge/>
            <w:vAlign w:val="center"/>
          </w:tcPr>
          <w:p w14:paraId="3C3573F4" w14:textId="77777777" w:rsidR="00BE7F89" w:rsidRPr="00AC3044" w:rsidRDefault="00BE7F89" w:rsidP="005A428D">
            <w:pPr>
              <w:rPr>
                <w:rFonts w:eastAsia="SimSun"/>
              </w:rPr>
            </w:pPr>
          </w:p>
        </w:tc>
        <w:tc>
          <w:tcPr>
            <w:tcW w:w="1843" w:type="dxa"/>
            <w:vAlign w:val="center"/>
          </w:tcPr>
          <w:p w14:paraId="69AE2198"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584BA8C5" w14:textId="77777777" w:rsidR="00BE7F89" w:rsidRPr="00AC3044" w:rsidRDefault="00BE7F89" w:rsidP="005A428D">
            <w:pPr>
              <w:rPr>
                <w:rFonts w:eastAsia="SimSun"/>
              </w:rPr>
            </w:pPr>
            <w:r w:rsidRPr="00AC3044">
              <w:rPr>
                <w:rFonts w:eastAsia="SimSun"/>
              </w:rPr>
              <w:t xml:space="preserve">4 мг/кг </w:t>
            </w:r>
          </w:p>
        </w:tc>
        <w:tc>
          <w:tcPr>
            <w:tcW w:w="1701" w:type="dxa"/>
            <w:vAlign w:val="center"/>
          </w:tcPr>
          <w:p w14:paraId="699684A0" w14:textId="77777777" w:rsidR="00BE7F89" w:rsidRPr="00AC3044" w:rsidRDefault="00BE7F89" w:rsidP="005A428D">
            <w:pPr>
              <w:rPr>
                <w:rFonts w:eastAsia="SimSun"/>
              </w:rPr>
            </w:pPr>
            <w:r w:rsidRPr="00AC3044">
              <w:rPr>
                <w:rFonts w:eastAsia="SimSun"/>
              </w:rPr>
              <w:t xml:space="preserve">10 мг/кг </w:t>
            </w:r>
          </w:p>
        </w:tc>
        <w:tc>
          <w:tcPr>
            <w:tcW w:w="1418" w:type="dxa"/>
            <w:vAlign w:val="center"/>
          </w:tcPr>
          <w:p w14:paraId="4E6AE004" w14:textId="77777777" w:rsidR="00BE7F89" w:rsidRPr="00AC3044" w:rsidRDefault="00BE7F89" w:rsidP="005A428D">
            <w:pPr>
              <w:rPr>
                <w:rFonts w:eastAsia="SimSun"/>
              </w:rPr>
            </w:pPr>
            <w:r w:rsidRPr="00AC3044">
              <w:rPr>
                <w:rFonts w:eastAsia="SimSun"/>
              </w:rPr>
              <w:t>С -5 дня по -3 день</w:t>
            </w:r>
          </w:p>
        </w:tc>
        <w:tc>
          <w:tcPr>
            <w:tcW w:w="2268" w:type="dxa"/>
            <w:vAlign w:val="center"/>
          </w:tcPr>
          <w:p w14:paraId="7520D6E3" w14:textId="77777777" w:rsidR="00BE7F89" w:rsidRPr="00470D3D" w:rsidRDefault="00BE7F89" w:rsidP="005A428D">
            <w:pPr>
              <w:rPr>
                <w:rFonts w:eastAsia="SimSun"/>
              </w:rPr>
            </w:pPr>
            <w:r w:rsidRPr="00AC3044">
              <w:rPr>
                <w:rFonts w:eastAsia="SimSun"/>
              </w:rPr>
              <w:t xml:space="preserve">Внутрь, суммарная суточная доза разделяется на 4 приема с интервалом 6 часов. </w:t>
            </w:r>
            <w:r w:rsidRPr="00470D3D">
              <w:rPr>
                <w:rFonts w:eastAsia="SimSun"/>
              </w:rPr>
              <w:t>День -6: бусульфан разделяется на 2 приема с интервалом 6 часов, в вечернее время (18.00, 24.00)</w:t>
            </w:r>
          </w:p>
        </w:tc>
      </w:tr>
      <w:tr w:rsidR="00BE7F89" w:rsidRPr="00AC3044" w14:paraId="5B9E8558" w14:textId="77777777" w:rsidTr="005A428D">
        <w:trPr>
          <w:cantSplit/>
          <w:trHeight w:val="636"/>
        </w:trPr>
        <w:tc>
          <w:tcPr>
            <w:tcW w:w="959" w:type="dxa"/>
            <w:vMerge w:val="restart"/>
            <w:textDirection w:val="btLr"/>
            <w:vAlign w:val="center"/>
          </w:tcPr>
          <w:p w14:paraId="51C1ACA9"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0E09BD8B" w14:textId="77777777" w:rsidR="00BE7F89" w:rsidRPr="00AC3044" w:rsidRDefault="00BE7F89" w:rsidP="005A428D">
            <w:pPr>
              <w:rPr>
                <w:rFonts w:eastAsia="SimSun"/>
              </w:rPr>
            </w:pPr>
            <w:r w:rsidRPr="00AC3044">
              <w:rPr>
                <w:rFonts w:eastAsia="SimSun"/>
              </w:rPr>
              <w:t>Циклофосфамид</w:t>
            </w:r>
          </w:p>
        </w:tc>
        <w:tc>
          <w:tcPr>
            <w:tcW w:w="1417" w:type="dxa"/>
            <w:vAlign w:val="center"/>
          </w:tcPr>
          <w:p w14:paraId="26B9316C" w14:textId="77777777" w:rsidR="00BE7F89" w:rsidRPr="00AC3044" w:rsidRDefault="00BE7F89" w:rsidP="005A428D">
            <w:pPr>
              <w:rPr>
                <w:rFonts w:eastAsia="SimSun"/>
              </w:rPr>
            </w:pPr>
            <w:r w:rsidRPr="00AC3044">
              <w:rPr>
                <w:rFonts w:eastAsia="SimSun"/>
              </w:rPr>
              <w:t>50 мг/кг</w:t>
            </w:r>
          </w:p>
        </w:tc>
        <w:tc>
          <w:tcPr>
            <w:tcW w:w="1701" w:type="dxa"/>
            <w:vAlign w:val="center"/>
          </w:tcPr>
          <w:p w14:paraId="29A9D15B" w14:textId="77777777" w:rsidR="00BE7F89" w:rsidRPr="00AC3044" w:rsidRDefault="00BE7F89" w:rsidP="005A428D">
            <w:pPr>
              <w:rPr>
                <w:rFonts w:eastAsia="SimSun"/>
              </w:rPr>
            </w:pPr>
            <w:r w:rsidRPr="00AC3044">
              <w:rPr>
                <w:rFonts w:eastAsia="SimSun"/>
              </w:rPr>
              <w:t>100 мг/кг</w:t>
            </w:r>
          </w:p>
        </w:tc>
        <w:tc>
          <w:tcPr>
            <w:tcW w:w="1418" w:type="dxa"/>
            <w:vAlign w:val="center"/>
          </w:tcPr>
          <w:p w14:paraId="72D150B8"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631299AE"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0C5848B0" w14:textId="77777777" w:rsidTr="005A428D">
        <w:trPr>
          <w:cantSplit/>
          <w:trHeight w:val="688"/>
        </w:trPr>
        <w:tc>
          <w:tcPr>
            <w:tcW w:w="959" w:type="dxa"/>
            <w:vMerge/>
            <w:textDirection w:val="btLr"/>
            <w:vAlign w:val="center"/>
          </w:tcPr>
          <w:p w14:paraId="6B6E78B4" w14:textId="77777777" w:rsidR="00BE7F89" w:rsidRPr="00AC3044" w:rsidRDefault="00BE7F89" w:rsidP="005A428D">
            <w:pPr>
              <w:rPr>
                <w:rFonts w:eastAsia="SimSun"/>
              </w:rPr>
            </w:pPr>
          </w:p>
        </w:tc>
        <w:tc>
          <w:tcPr>
            <w:tcW w:w="1843" w:type="dxa"/>
            <w:vAlign w:val="center"/>
          </w:tcPr>
          <w:p w14:paraId="08197546" w14:textId="77777777" w:rsidR="00BE7F89" w:rsidRPr="00AC3044" w:rsidRDefault="00BE7F89" w:rsidP="005A428D">
            <w:pPr>
              <w:rPr>
                <w:rFonts w:eastAsia="SimSun"/>
              </w:rPr>
            </w:pPr>
            <w:r w:rsidRPr="00AC3044">
              <w:rPr>
                <w:rFonts w:eastAsia="SimSun"/>
              </w:rPr>
              <w:t>Руксолитиниб</w:t>
            </w:r>
          </w:p>
        </w:tc>
        <w:tc>
          <w:tcPr>
            <w:tcW w:w="1417" w:type="dxa"/>
            <w:vAlign w:val="center"/>
          </w:tcPr>
          <w:p w14:paraId="53B4B6DA" w14:textId="77777777" w:rsidR="00BE7F89" w:rsidRPr="00AC3044" w:rsidRDefault="00BE7F89" w:rsidP="005A428D">
            <w:pPr>
              <w:rPr>
                <w:rFonts w:eastAsia="SimSun"/>
              </w:rPr>
            </w:pPr>
            <w:r w:rsidRPr="00AC3044">
              <w:rPr>
                <w:rFonts w:eastAsia="SimSun"/>
              </w:rPr>
              <w:t>45 мг</w:t>
            </w:r>
          </w:p>
        </w:tc>
        <w:tc>
          <w:tcPr>
            <w:tcW w:w="1701" w:type="dxa"/>
            <w:vAlign w:val="center"/>
          </w:tcPr>
          <w:p w14:paraId="56D79A6B" w14:textId="77777777" w:rsidR="00BE7F89" w:rsidRPr="00AC3044" w:rsidRDefault="00BE7F89" w:rsidP="005A428D">
            <w:pPr>
              <w:rPr>
                <w:rFonts w:eastAsia="SimSun"/>
              </w:rPr>
            </w:pPr>
            <w:r w:rsidRPr="00AC3044">
              <w:rPr>
                <w:rFonts w:eastAsia="SimSun"/>
              </w:rPr>
              <w:t>270 мг</w:t>
            </w:r>
          </w:p>
        </w:tc>
        <w:tc>
          <w:tcPr>
            <w:tcW w:w="1418" w:type="dxa"/>
            <w:vAlign w:val="center"/>
          </w:tcPr>
          <w:p w14:paraId="284BD0D1" w14:textId="77777777" w:rsidR="00BE7F89" w:rsidRPr="00AC3044" w:rsidRDefault="00BE7F89" w:rsidP="005A428D">
            <w:pPr>
              <w:rPr>
                <w:rFonts w:eastAsia="SimSun"/>
              </w:rPr>
            </w:pPr>
            <w:r w:rsidRPr="00AC3044">
              <w:rPr>
                <w:rFonts w:eastAsia="SimSun"/>
              </w:rPr>
              <w:t xml:space="preserve">С -7 дня по -2 день </w:t>
            </w:r>
          </w:p>
        </w:tc>
        <w:tc>
          <w:tcPr>
            <w:tcW w:w="2268" w:type="dxa"/>
            <w:vAlign w:val="center"/>
          </w:tcPr>
          <w:p w14:paraId="7F96A283" w14:textId="77777777" w:rsidR="00BE7F89" w:rsidRPr="00AC3044" w:rsidRDefault="00BE7F89" w:rsidP="005A428D">
            <w:pPr>
              <w:rPr>
                <w:rFonts w:eastAsia="SimSun"/>
              </w:rPr>
            </w:pPr>
            <w:r w:rsidRPr="00AC3044">
              <w:rPr>
                <w:rFonts w:eastAsia="SimSun"/>
              </w:rPr>
              <w:t xml:space="preserve">Внутрь суточную дозу </w:t>
            </w:r>
          </w:p>
          <w:p w14:paraId="50E56B75" w14:textId="77777777" w:rsidR="00BE7F89" w:rsidRPr="00AC3044" w:rsidRDefault="00BE7F89" w:rsidP="005A428D">
            <w:pPr>
              <w:rPr>
                <w:rFonts w:eastAsia="SimSun"/>
              </w:rPr>
            </w:pPr>
            <w:r w:rsidRPr="00AC3044">
              <w:rPr>
                <w:rFonts w:eastAsia="SimSun"/>
              </w:rPr>
              <w:t>за 3 приема</w:t>
            </w:r>
          </w:p>
        </w:tc>
      </w:tr>
      <w:tr w:rsidR="00BE7F89" w:rsidRPr="00AC3044" w14:paraId="5BD614F4" w14:textId="77777777" w:rsidTr="005A428D">
        <w:trPr>
          <w:cantSplit/>
          <w:trHeight w:val="839"/>
        </w:trPr>
        <w:tc>
          <w:tcPr>
            <w:tcW w:w="959" w:type="dxa"/>
            <w:vMerge/>
            <w:textDirection w:val="btLr"/>
            <w:vAlign w:val="center"/>
          </w:tcPr>
          <w:p w14:paraId="31E951F8" w14:textId="77777777" w:rsidR="00BE7F89" w:rsidRPr="00AC3044" w:rsidRDefault="00BE7F89" w:rsidP="005A428D">
            <w:pPr>
              <w:rPr>
                <w:rFonts w:eastAsia="SimSun"/>
              </w:rPr>
            </w:pPr>
          </w:p>
        </w:tc>
        <w:tc>
          <w:tcPr>
            <w:tcW w:w="1843" w:type="dxa"/>
            <w:vAlign w:val="center"/>
          </w:tcPr>
          <w:p w14:paraId="5EFA5C40" w14:textId="77777777" w:rsidR="00BE7F89" w:rsidRPr="00AC3044" w:rsidRDefault="00BE7F89" w:rsidP="005A428D">
            <w:pPr>
              <w:rPr>
                <w:rFonts w:eastAsia="SimSun"/>
              </w:rPr>
            </w:pPr>
            <w:r w:rsidRPr="00AC3044">
              <w:rPr>
                <w:rFonts w:eastAsia="SimSun"/>
              </w:rPr>
              <w:t xml:space="preserve">Руксолитиниб </w:t>
            </w:r>
          </w:p>
        </w:tc>
        <w:tc>
          <w:tcPr>
            <w:tcW w:w="1417" w:type="dxa"/>
            <w:vAlign w:val="center"/>
          </w:tcPr>
          <w:p w14:paraId="45B1F631" w14:textId="77777777" w:rsidR="00BE7F89" w:rsidRPr="00AC3044" w:rsidRDefault="00BE7F89" w:rsidP="005A428D">
            <w:pPr>
              <w:rPr>
                <w:rFonts w:eastAsia="SimSun"/>
              </w:rPr>
            </w:pPr>
            <w:r w:rsidRPr="00AC3044">
              <w:rPr>
                <w:rFonts w:eastAsia="SimSun"/>
              </w:rPr>
              <w:t>15 мг</w:t>
            </w:r>
          </w:p>
        </w:tc>
        <w:tc>
          <w:tcPr>
            <w:tcW w:w="1701" w:type="dxa"/>
            <w:vAlign w:val="center"/>
          </w:tcPr>
          <w:p w14:paraId="573E81B4" w14:textId="77777777" w:rsidR="00BE7F89" w:rsidRPr="00AC3044" w:rsidRDefault="00BE7F89" w:rsidP="005A428D">
            <w:pPr>
              <w:rPr>
                <w:rFonts w:eastAsia="SimSun"/>
              </w:rPr>
            </w:pPr>
            <w:r w:rsidRPr="00AC3044">
              <w:rPr>
                <w:rFonts w:eastAsia="SimSun"/>
              </w:rPr>
              <w:t>-</w:t>
            </w:r>
          </w:p>
        </w:tc>
        <w:tc>
          <w:tcPr>
            <w:tcW w:w="1418" w:type="dxa"/>
            <w:vAlign w:val="center"/>
          </w:tcPr>
          <w:p w14:paraId="1402B04F" w14:textId="77777777" w:rsidR="00BE7F89" w:rsidRPr="00AC3044" w:rsidRDefault="00BE7F89" w:rsidP="005A428D">
            <w:pPr>
              <w:rPr>
                <w:rFonts w:eastAsia="SimSun"/>
              </w:rPr>
            </w:pPr>
            <w:r w:rsidRPr="00AC3044">
              <w:rPr>
                <w:rFonts w:eastAsia="SimSun"/>
              </w:rPr>
              <w:t>С +5 дня по +100 день</w:t>
            </w:r>
          </w:p>
        </w:tc>
        <w:tc>
          <w:tcPr>
            <w:tcW w:w="2268" w:type="dxa"/>
            <w:vAlign w:val="center"/>
          </w:tcPr>
          <w:p w14:paraId="463278FA" w14:textId="77777777" w:rsidR="00BE7F89" w:rsidRPr="00AC3044" w:rsidRDefault="00BE7F89" w:rsidP="005A428D">
            <w:pPr>
              <w:rPr>
                <w:rFonts w:eastAsia="SimSun"/>
              </w:rPr>
            </w:pPr>
            <w:r w:rsidRPr="00AC3044">
              <w:rPr>
                <w:rFonts w:eastAsia="SimSun"/>
              </w:rPr>
              <w:t xml:space="preserve">Внутрь суточную дозу </w:t>
            </w:r>
          </w:p>
          <w:p w14:paraId="1957E417" w14:textId="77777777" w:rsidR="00BE7F89" w:rsidRPr="00AC3044" w:rsidRDefault="00BE7F89" w:rsidP="005A428D">
            <w:pPr>
              <w:rPr>
                <w:rFonts w:eastAsia="SimSun"/>
              </w:rPr>
            </w:pPr>
            <w:r w:rsidRPr="00AC3044">
              <w:rPr>
                <w:rFonts w:eastAsia="SimSun"/>
              </w:rPr>
              <w:t>за 2 приема</w:t>
            </w:r>
          </w:p>
        </w:tc>
      </w:tr>
    </w:tbl>
    <w:p w14:paraId="3EEEC33C" w14:textId="77777777" w:rsidR="00BE7F89" w:rsidRDefault="00BE7F89" w:rsidP="00BE7F89">
      <w:pPr>
        <w:rPr>
          <w:rFonts w:eastAsia="SimSun"/>
        </w:rPr>
      </w:pPr>
      <w:bookmarkStart w:id="162" w:name="_Toc44401171"/>
    </w:p>
    <w:p w14:paraId="68C4B288"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1.2.13  – Flu180+Bu10 / PT-Cy</w:t>
      </w:r>
      <w:bookmarkEnd w:id="162"/>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1802"/>
        <w:gridCol w:w="1495"/>
        <w:gridCol w:w="1695"/>
        <w:gridCol w:w="1408"/>
        <w:gridCol w:w="2278"/>
      </w:tblGrid>
      <w:tr w:rsidR="00BE7F89" w:rsidRPr="00AC3044" w14:paraId="4FA5EDC7" w14:textId="77777777" w:rsidTr="005A428D">
        <w:trPr>
          <w:cantSplit/>
          <w:trHeight w:val="20"/>
          <w:tblHeader/>
        </w:trPr>
        <w:tc>
          <w:tcPr>
            <w:tcW w:w="866" w:type="dxa"/>
            <w:vAlign w:val="center"/>
          </w:tcPr>
          <w:p w14:paraId="5D01EE29" w14:textId="77777777" w:rsidR="00BE7F89" w:rsidRPr="00470D3D" w:rsidRDefault="00BE7F89" w:rsidP="005A428D">
            <w:pPr>
              <w:rPr>
                <w:rFonts w:eastAsia="SimSun"/>
              </w:rPr>
            </w:pPr>
          </w:p>
        </w:tc>
        <w:tc>
          <w:tcPr>
            <w:tcW w:w="1802" w:type="dxa"/>
            <w:vAlign w:val="center"/>
          </w:tcPr>
          <w:p w14:paraId="2E1A842C" w14:textId="77777777" w:rsidR="00BE7F89" w:rsidRPr="00AC3044" w:rsidRDefault="00BE7F89" w:rsidP="005A428D">
            <w:pPr>
              <w:rPr>
                <w:rFonts w:eastAsia="SimSun"/>
              </w:rPr>
            </w:pPr>
            <w:r w:rsidRPr="00AC3044">
              <w:rPr>
                <w:rFonts w:eastAsia="SimSun"/>
              </w:rPr>
              <w:t>Препарат</w:t>
            </w:r>
          </w:p>
        </w:tc>
        <w:tc>
          <w:tcPr>
            <w:tcW w:w="1495" w:type="dxa"/>
            <w:vAlign w:val="center"/>
          </w:tcPr>
          <w:p w14:paraId="4A4D4754" w14:textId="77777777" w:rsidR="00BE7F89" w:rsidRPr="00AC3044" w:rsidRDefault="00BE7F89" w:rsidP="005A428D">
            <w:pPr>
              <w:rPr>
                <w:rFonts w:eastAsia="SimSun"/>
              </w:rPr>
            </w:pPr>
            <w:r w:rsidRPr="00AC3044">
              <w:rPr>
                <w:rFonts w:eastAsia="SimSun"/>
              </w:rPr>
              <w:t>Суточная доза</w:t>
            </w:r>
          </w:p>
        </w:tc>
        <w:tc>
          <w:tcPr>
            <w:tcW w:w="1695" w:type="dxa"/>
            <w:vAlign w:val="center"/>
          </w:tcPr>
          <w:p w14:paraId="11B635F7" w14:textId="77777777" w:rsidR="00BE7F89" w:rsidRPr="00AC3044" w:rsidRDefault="00BE7F89" w:rsidP="005A428D">
            <w:pPr>
              <w:rPr>
                <w:rFonts w:eastAsia="SimSun"/>
              </w:rPr>
            </w:pPr>
            <w:r w:rsidRPr="00AC3044">
              <w:rPr>
                <w:rFonts w:eastAsia="SimSun"/>
              </w:rPr>
              <w:t>Курсовая доза</w:t>
            </w:r>
          </w:p>
        </w:tc>
        <w:tc>
          <w:tcPr>
            <w:tcW w:w="1408" w:type="dxa"/>
            <w:vAlign w:val="center"/>
          </w:tcPr>
          <w:p w14:paraId="1640ED0B" w14:textId="77777777" w:rsidR="00BE7F89" w:rsidRPr="00AC3044" w:rsidRDefault="00BE7F89" w:rsidP="005A428D">
            <w:pPr>
              <w:rPr>
                <w:rFonts w:eastAsia="SimSun"/>
              </w:rPr>
            </w:pPr>
            <w:r w:rsidRPr="00AC3044">
              <w:rPr>
                <w:rFonts w:eastAsia="SimSun"/>
              </w:rPr>
              <w:t>Дни введения</w:t>
            </w:r>
          </w:p>
        </w:tc>
        <w:tc>
          <w:tcPr>
            <w:tcW w:w="2278" w:type="dxa"/>
            <w:vAlign w:val="center"/>
          </w:tcPr>
          <w:p w14:paraId="53D28E32"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F4FFBB8" w14:textId="77777777" w:rsidTr="005A428D">
        <w:trPr>
          <w:cantSplit/>
          <w:trHeight w:val="20"/>
        </w:trPr>
        <w:tc>
          <w:tcPr>
            <w:tcW w:w="866" w:type="dxa"/>
            <w:vMerge w:val="restart"/>
            <w:textDirection w:val="btLr"/>
            <w:vAlign w:val="center"/>
          </w:tcPr>
          <w:p w14:paraId="2B9FCE6D" w14:textId="77777777" w:rsidR="00BE7F89" w:rsidRPr="00AC3044" w:rsidRDefault="00BE7F89" w:rsidP="005A428D">
            <w:pPr>
              <w:rPr>
                <w:rFonts w:eastAsia="SimSun"/>
              </w:rPr>
            </w:pPr>
            <w:r w:rsidRPr="00AC3044">
              <w:rPr>
                <w:rFonts w:eastAsia="SimSun"/>
              </w:rPr>
              <w:t>Кондиционирование</w:t>
            </w:r>
          </w:p>
        </w:tc>
        <w:tc>
          <w:tcPr>
            <w:tcW w:w="1802" w:type="dxa"/>
            <w:vAlign w:val="center"/>
          </w:tcPr>
          <w:p w14:paraId="2CBEEAFD" w14:textId="77777777" w:rsidR="00BE7F89" w:rsidRPr="00AC3044" w:rsidRDefault="00BE7F89" w:rsidP="005A428D">
            <w:pPr>
              <w:rPr>
                <w:rFonts w:eastAsia="SimSun"/>
              </w:rPr>
            </w:pPr>
            <w:r w:rsidRPr="00AC3044">
              <w:rPr>
                <w:rFonts w:eastAsia="SimSun"/>
              </w:rPr>
              <w:t xml:space="preserve">Флударабин </w:t>
            </w:r>
          </w:p>
        </w:tc>
        <w:tc>
          <w:tcPr>
            <w:tcW w:w="1495" w:type="dxa"/>
            <w:vAlign w:val="center"/>
          </w:tcPr>
          <w:p w14:paraId="3349B903"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695" w:type="dxa"/>
            <w:vAlign w:val="center"/>
          </w:tcPr>
          <w:p w14:paraId="2E4B7E69"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408" w:type="dxa"/>
            <w:vAlign w:val="center"/>
          </w:tcPr>
          <w:p w14:paraId="213D3F37" w14:textId="77777777" w:rsidR="00BE7F89" w:rsidRPr="00AC3044" w:rsidRDefault="00BE7F89" w:rsidP="005A428D">
            <w:pPr>
              <w:rPr>
                <w:rFonts w:eastAsia="SimSun"/>
              </w:rPr>
            </w:pPr>
            <w:r w:rsidRPr="00AC3044">
              <w:rPr>
                <w:rFonts w:eastAsia="SimSun"/>
              </w:rPr>
              <w:t>С -7 дня по -2 день</w:t>
            </w:r>
          </w:p>
        </w:tc>
        <w:tc>
          <w:tcPr>
            <w:tcW w:w="2278" w:type="dxa"/>
            <w:vAlign w:val="center"/>
          </w:tcPr>
          <w:p w14:paraId="45AED5E1"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1AD3282B" w14:textId="77777777" w:rsidTr="005A428D">
        <w:trPr>
          <w:cantSplit/>
          <w:trHeight w:val="1114"/>
        </w:trPr>
        <w:tc>
          <w:tcPr>
            <w:tcW w:w="866" w:type="dxa"/>
            <w:vMerge/>
            <w:vAlign w:val="center"/>
          </w:tcPr>
          <w:p w14:paraId="1A7899AA" w14:textId="77777777" w:rsidR="00BE7F89" w:rsidRPr="00AC3044" w:rsidRDefault="00BE7F89" w:rsidP="005A428D">
            <w:pPr>
              <w:rPr>
                <w:rFonts w:eastAsia="SimSun"/>
              </w:rPr>
            </w:pPr>
          </w:p>
        </w:tc>
        <w:tc>
          <w:tcPr>
            <w:tcW w:w="1802" w:type="dxa"/>
            <w:vAlign w:val="center"/>
          </w:tcPr>
          <w:p w14:paraId="1FABBDBD" w14:textId="77777777" w:rsidR="00BE7F89" w:rsidRPr="00AC3044" w:rsidRDefault="00BE7F89" w:rsidP="005A428D">
            <w:pPr>
              <w:rPr>
                <w:rFonts w:eastAsia="SimSun"/>
              </w:rPr>
            </w:pPr>
            <w:r w:rsidRPr="00AC3044">
              <w:rPr>
                <w:rFonts w:eastAsia="SimSun"/>
              </w:rPr>
              <w:t>Бусульфан</w:t>
            </w:r>
          </w:p>
        </w:tc>
        <w:tc>
          <w:tcPr>
            <w:tcW w:w="1495" w:type="dxa"/>
            <w:vAlign w:val="center"/>
          </w:tcPr>
          <w:p w14:paraId="1A9AD13B" w14:textId="77777777" w:rsidR="00BE7F89" w:rsidRPr="00AC3044" w:rsidRDefault="00BE7F89" w:rsidP="005A428D">
            <w:pPr>
              <w:rPr>
                <w:rFonts w:eastAsia="SimSun"/>
              </w:rPr>
            </w:pPr>
            <w:r w:rsidRPr="00AC3044">
              <w:rPr>
                <w:rFonts w:eastAsia="SimSun"/>
              </w:rPr>
              <w:t xml:space="preserve">4 мг/кг </w:t>
            </w:r>
          </w:p>
        </w:tc>
        <w:tc>
          <w:tcPr>
            <w:tcW w:w="1695" w:type="dxa"/>
            <w:vAlign w:val="center"/>
          </w:tcPr>
          <w:p w14:paraId="4059888B" w14:textId="77777777" w:rsidR="00BE7F89" w:rsidRPr="00AC3044" w:rsidRDefault="00BE7F89" w:rsidP="005A428D">
            <w:pPr>
              <w:rPr>
                <w:rFonts w:eastAsia="SimSun"/>
              </w:rPr>
            </w:pPr>
            <w:r w:rsidRPr="00AC3044">
              <w:rPr>
                <w:rFonts w:eastAsia="SimSun"/>
              </w:rPr>
              <w:t xml:space="preserve">10 мг/кг </w:t>
            </w:r>
          </w:p>
        </w:tc>
        <w:tc>
          <w:tcPr>
            <w:tcW w:w="1408" w:type="dxa"/>
            <w:vAlign w:val="center"/>
          </w:tcPr>
          <w:p w14:paraId="45D81A9B" w14:textId="77777777" w:rsidR="00BE7F89" w:rsidRPr="00AC3044" w:rsidRDefault="00BE7F89" w:rsidP="005A428D">
            <w:pPr>
              <w:rPr>
                <w:rFonts w:eastAsia="SimSun"/>
              </w:rPr>
            </w:pPr>
            <w:r w:rsidRPr="00AC3044">
              <w:rPr>
                <w:rFonts w:eastAsia="SimSun"/>
              </w:rPr>
              <w:t>С -5 дня по -3 день</w:t>
            </w:r>
          </w:p>
        </w:tc>
        <w:tc>
          <w:tcPr>
            <w:tcW w:w="2278" w:type="dxa"/>
            <w:vAlign w:val="center"/>
          </w:tcPr>
          <w:p w14:paraId="0E818B8C"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6E06D3C4" w14:textId="77777777" w:rsidTr="005A428D">
        <w:trPr>
          <w:cantSplit/>
          <w:trHeight w:val="1176"/>
        </w:trPr>
        <w:tc>
          <w:tcPr>
            <w:tcW w:w="866" w:type="dxa"/>
            <w:textDirection w:val="btLr"/>
            <w:vAlign w:val="center"/>
          </w:tcPr>
          <w:p w14:paraId="31B8B6D7" w14:textId="77777777" w:rsidR="00BE7F89" w:rsidRPr="00AC3044" w:rsidRDefault="00BE7F89" w:rsidP="005A428D">
            <w:pPr>
              <w:rPr>
                <w:rFonts w:eastAsia="SimSun"/>
              </w:rPr>
            </w:pPr>
            <w:r w:rsidRPr="00AC3044">
              <w:rPr>
                <w:rFonts w:eastAsia="SimSun"/>
              </w:rPr>
              <w:t>Профилактика РТПХ</w:t>
            </w:r>
          </w:p>
        </w:tc>
        <w:tc>
          <w:tcPr>
            <w:tcW w:w="1802" w:type="dxa"/>
            <w:vAlign w:val="center"/>
          </w:tcPr>
          <w:p w14:paraId="164B18F2" w14:textId="77777777" w:rsidR="00BE7F89" w:rsidRPr="00AC3044" w:rsidRDefault="00BE7F89" w:rsidP="005A428D">
            <w:pPr>
              <w:rPr>
                <w:rFonts w:eastAsia="SimSun"/>
              </w:rPr>
            </w:pPr>
            <w:r w:rsidRPr="00AC3044">
              <w:rPr>
                <w:rFonts w:eastAsia="SimSun"/>
              </w:rPr>
              <w:t>Циклофосфамид</w:t>
            </w:r>
          </w:p>
        </w:tc>
        <w:tc>
          <w:tcPr>
            <w:tcW w:w="1495" w:type="dxa"/>
            <w:vAlign w:val="center"/>
          </w:tcPr>
          <w:p w14:paraId="5A08B04A" w14:textId="77777777" w:rsidR="00BE7F89" w:rsidRPr="00AC3044" w:rsidRDefault="00BE7F89" w:rsidP="005A428D">
            <w:pPr>
              <w:rPr>
                <w:rFonts w:eastAsia="SimSun"/>
              </w:rPr>
            </w:pPr>
            <w:r w:rsidRPr="00AC3044">
              <w:rPr>
                <w:rFonts w:eastAsia="SimSun"/>
              </w:rPr>
              <w:t>50 мг/кг</w:t>
            </w:r>
          </w:p>
        </w:tc>
        <w:tc>
          <w:tcPr>
            <w:tcW w:w="1695" w:type="dxa"/>
            <w:vAlign w:val="center"/>
          </w:tcPr>
          <w:p w14:paraId="1A5FDF73" w14:textId="77777777" w:rsidR="00BE7F89" w:rsidRPr="00AC3044" w:rsidRDefault="00BE7F89" w:rsidP="005A428D">
            <w:pPr>
              <w:rPr>
                <w:rFonts w:eastAsia="SimSun"/>
              </w:rPr>
            </w:pPr>
            <w:r w:rsidRPr="00AC3044">
              <w:rPr>
                <w:rFonts w:eastAsia="SimSun"/>
              </w:rPr>
              <w:t>100 мг/кг</w:t>
            </w:r>
          </w:p>
        </w:tc>
        <w:tc>
          <w:tcPr>
            <w:tcW w:w="1408" w:type="dxa"/>
            <w:vAlign w:val="center"/>
          </w:tcPr>
          <w:p w14:paraId="6B0C0D13" w14:textId="77777777" w:rsidR="00BE7F89" w:rsidRPr="00AC3044" w:rsidRDefault="00BE7F89" w:rsidP="005A428D">
            <w:pPr>
              <w:rPr>
                <w:rFonts w:eastAsia="SimSun"/>
              </w:rPr>
            </w:pPr>
            <w:r w:rsidRPr="00AC3044">
              <w:rPr>
                <w:rFonts w:eastAsia="SimSun"/>
              </w:rPr>
              <w:t>С +3 дня по +4 день</w:t>
            </w:r>
          </w:p>
        </w:tc>
        <w:tc>
          <w:tcPr>
            <w:tcW w:w="2278" w:type="dxa"/>
            <w:vAlign w:val="center"/>
          </w:tcPr>
          <w:p w14:paraId="485E8AFC" w14:textId="77777777" w:rsidR="00BE7F89" w:rsidRPr="00AC3044" w:rsidRDefault="00BE7F89" w:rsidP="005A428D">
            <w:pPr>
              <w:rPr>
                <w:rFonts w:eastAsia="SimSun"/>
              </w:rPr>
            </w:pPr>
            <w:r w:rsidRPr="00AC3044">
              <w:rPr>
                <w:rFonts w:eastAsia="SimSun"/>
              </w:rPr>
              <w:t>В/в, в течение 2 часов</w:t>
            </w:r>
          </w:p>
        </w:tc>
      </w:tr>
    </w:tbl>
    <w:p w14:paraId="16F6E777" w14:textId="77777777" w:rsidR="00BE7F89" w:rsidRPr="00C07B2E" w:rsidRDefault="00BE7F89" w:rsidP="00BE7F89">
      <w:pPr>
        <w:rPr>
          <w:rFonts w:eastAsia="SimSun"/>
        </w:rPr>
      </w:pPr>
    </w:p>
    <w:p w14:paraId="191A6B04" w14:textId="77777777" w:rsidR="00BE7F89" w:rsidRPr="00C07B2E" w:rsidRDefault="00BE7F89" w:rsidP="00BE7F89">
      <w:pPr>
        <w:rPr>
          <w:rFonts w:eastAsia="SimSun"/>
        </w:rPr>
      </w:pPr>
      <w:bookmarkStart w:id="163" w:name="_Toc44401172"/>
      <w:r w:rsidRPr="00042499">
        <w:rPr>
          <w:rFonts w:eastAsia="SimSun"/>
        </w:rPr>
        <w:t>Таблица</w:t>
      </w:r>
      <w:r w:rsidRPr="00C07B2E">
        <w:rPr>
          <w:rFonts w:eastAsia="SimSun"/>
        </w:rPr>
        <w:t xml:space="preserve"> </w:t>
      </w:r>
      <w:r>
        <w:rPr>
          <w:rFonts w:eastAsia="SimSun"/>
        </w:rPr>
        <w:t>5.</w:t>
      </w:r>
      <w:r w:rsidRPr="00C07B2E">
        <w:rPr>
          <w:rFonts w:eastAsia="SimSun"/>
        </w:rPr>
        <w:t>1.2.14  – Flu180+Bu10 / PT-Cy+Tx+MMF30</w:t>
      </w:r>
      <w:bookmarkEnd w:id="16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BE7F89" w:rsidRPr="00AC3044" w14:paraId="67362B2C" w14:textId="77777777" w:rsidTr="005A428D">
        <w:trPr>
          <w:cantSplit/>
          <w:trHeight w:val="20"/>
          <w:tblHeader/>
        </w:trPr>
        <w:tc>
          <w:tcPr>
            <w:tcW w:w="959" w:type="dxa"/>
            <w:vAlign w:val="center"/>
          </w:tcPr>
          <w:p w14:paraId="2588476E" w14:textId="77777777" w:rsidR="00BE7F89" w:rsidRPr="00470D3D" w:rsidRDefault="00BE7F89" w:rsidP="005A428D">
            <w:pPr>
              <w:rPr>
                <w:rFonts w:eastAsia="SimSun"/>
              </w:rPr>
            </w:pPr>
          </w:p>
        </w:tc>
        <w:tc>
          <w:tcPr>
            <w:tcW w:w="1701" w:type="dxa"/>
            <w:vAlign w:val="center"/>
          </w:tcPr>
          <w:p w14:paraId="78290BAB"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59B18E9D"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0BB901AB"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5381AE6C"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310D5301"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03058DCE" w14:textId="77777777" w:rsidTr="005A428D">
        <w:trPr>
          <w:cantSplit/>
          <w:trHeight w:val="20"/>
        </w:trPr>
        <w:tc>
          <w:tcPr>
            <w:tcW w:w="959" w:type="dxa"/>
            <w:vMerge w:val="restart"/>
            <w:textDirection w:val="btLr"/>
            <w:vAlign w:val="center"/>
          </w:tcPr>
          <w:p w14:paraId="242320B6"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72AAA4E8"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17853A5D"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6D1CD2C8"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05CF2A10"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778D4E66"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11A1AA95" w14:textId="77777777" w:rsidTr="005A428D">
        <w:trPr>
          <w:cantSplit/>
          <w:trHeight w:val="1207"/>
        </w:trPr>
        <w:tc>
          <w:tcPr>
            <w:tcW w:w="959" w:type="dxa"/>
            <w:vMerge/>
            <w:vAlign w:val="center"/>
          </w:tcPr>
          <w:p w14:paraId="071DB6EF" w14:textId="77777777" w:rsidR="00BE7F89" w:rsidRPr="00AC3044" w:rsidRDefault="00BE7F89" w:rsidP="005A428D">
            <w:pPr>
              <w:rPr>
                <w:rFonts w:eastAsia="SimSun"/>
              </w:rPr>
            </w:pPr>
          </w:p>
        </w:tc>
        <w:tc>
          <w:tcPr>
            <w:tcW w:w="1701" w:type="dxa"/>
            <w:vAlign w:val="center"/>
          </w:tcPr>
          <w:p w14:paraId="19FFB0EA"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0132D36C" w14:textId="77777777" w:rsidR="00BE7F89" w:rsidRPr="00AC3044" w:rsidRDefault="00BE7F89" w:rsidP="005A428D">
            <w:pPr>
              <w:rPr>
                <w:rFonts w:eastAsia="SimSun"/>
              </w:rPr>
            </w:pPr>
            <w:r w:rsidRPr="00AC3044">
              <w:rPr>
                <w:rFonts w:eastAsia="SimSun"/>
              </w:rPr>
              <w:t xml:space="preserve">4 мг/кг </w:t>
            </w:r>
          </w:p>
        </w:tc>
        <w:tc>
          <w:tcPr>
            <w:tcW w:w="1701" w:type="dxa"/>
            <w:vAlign w:val="center"/>
          </w:tcPr>
          <w:p w14:paraId="15E59956" w14:textId="77777777" w:rsidR="00BE7F89" w:rsidRPr="00AC3044" w:rsidRDefault="00BE7F89" w:rsidP="005A428D">
            <w:pPr>
              <w:rPr>
                <w:rFonts w:eastAsia="SimSun"/>
              </w:rPr>
            </w:pPr>
            <w:r w:rsidRPr="00AC3044">
              <w:rPr>
                <w:rFonts w:eastAsia="SimSun"/>
              </w:rPr>
              <w:t xml:space="preserve">10 мг/кг </w:t>
            </w:r>
          </w:p>
        </w:tc>
        <w:tc>
          <w:tcPr>
            <w:tcW w:w="1418" w:type="dxa"/>
            <w:vAlign w:val="center"/>
          </w:tcPr>
          <w:p w14:paraId="243831D4" w14:textId="77777777" w:rsidR="00BE7F89" w:rsidRPr="00AC3044" w:rsidRDefault="00BE7F89" w:rsidP="005A428D">
            <w:pPr>
              <w:rPr>
                <w:rFonts w:eastAsia="SimSun"/>
              </w:rPr>
            </w:pPr>
            <w:r w:rsidRPr="00AC3044">
              <w:rPr>
                <w:rFonts w:eastAsia="SimSun"/>
              </w:rPr>
              <w:t>С -5 дня по -3 день</w:t>
            </w:r>
          </w:p>
        </w:tc>
        <w:tc>
          <w:tcPr>
            <w:tcW w:w="2268" w:type="dxa"/>
            <w:vAlign w:val="center"/>
          </w:tcPr>
          <w:p w14:paraId="1ADC547B"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151A7E8F" w14:textId="77777777" w:rsidTr="005A428D">
        <w:trPr>
          <w:cantSplit/>
          <w:trHeight w:val="1498"/>
        </w:trPr>
        <w:tc>
          <w:tcPr>
            <w:tcW w:w="959" w:type="dxa"/>
            <w:vMerge w:val="restart"/>
            <w:textDirection w:val="btLr"/>
            <w:vAlign w:val="center"/>
          </w:tcPr>
          <w:p w14:paraId="0219DCF1"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353DAF9E"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1A86FE5E" w14:textId="77777777" w:rsidR="00BE7F89" w:rsidRPr="00AC3044" w:rsidRDefault="00BE7F89" w:rsidP="005A428D">
            <w:pPr>
              <w:rPr>
                <w:rFonts w:eastAsia="SimSun"/>
              </w:rPr>
            </w:pPr>
            <w:r w:rsidRPr="00AC3044">
              <w:rPr>
                <w:rFonts w:eastAsia="SimSun"/>
              </w:rPr>
              <w:t>50 мг/кг</w:t>
            </w:r>
          </w:p>
        </w:tc>
        <w:tc>
          <w:tcPr>
            <w:tcW w:w="1701" w:type="dxa"/>
            <w:vAlign w:val="center"/>
          </w:tcPr>
          <w:p w14:paraId="47D92EF2" w14:textId="77777777" w:rsidR="00BE7F89" w:rsidRPr="00AC3044" w:rsidRDefault="00BE7F89" w:rsidP="005A428D">
            <w:pPr>
              <w:rPr>
                <w:rFonts w:eastAsia="SimSun"/>
              </w:rPr>
            </w:pPr>
            <w:r w:rsidRPr="00AC3044">
              <w:rPr>
                <w:rFonts w:eastAsia="SimSun"/>
              </w:rPr>
              <w:t>100 мг/кг</w:t>
            </w:r>
          </w:p>
        </w:tc>
        <w:tc>
          <w:tcPr>
            <w:tcW w:w="1418" w:type="dxa"/>
            <w:vAlign w:val="center"/>
          </w:tcPr>
          <w:p w14:paraId="71EAC8BC"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5723D7CC"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526694F3" w14:textId="77777777" w:rsidTr="005A428D">
        <w:trPr>
          <w:cantSplit/>
          <w:trHeight w:val="958"/>
        </w:trPr>
        <w:tc>
          <w:tcPr>
            <w:tcW w:w="959" w:type="dxa"/>
            <w:vMerge/>
            <w:textDirection w:val="btLr"/>
            <w:vAlign w:val="center"/>
          </w:tcPr>
          <w:p w14:paraId="3475F86F" w14:textId="77777777" w:rsidR="00BE7F89" w:rsidRPr="00AC3044" w:rsidRDefault="00BE7F89" w:rsidP="005A428D">
            <w:pPr>
              <w:rPr>
                <w:rFonts w:eastAsia="SimSun"/>
              </w:rPr>
            </w:pPr>
          </w:p>
        </w:tc>
        <w:tc>
          <w:tcPr>
            <w:tcW w:w="1701" w:type="dxa"/>
            <w:vAlign w:val="center"/>
          </w:tcPr>
          <w:p w14:paraId="2CC894EA"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26059FA3" w14:textId="77777777" w:rsidR="00BE7F89" w:rsidRPr="00AC3044" w:rsidRDefault="00BE7F89" w:rsidP="005A428D">
            <w:pPr>
              <w:rPr>
                <w:rFonts w:eastAsia="SimSun"/>
              </w:rPr>
            </w:pPr>
            <w:r w:rsidRPr="00AC3044">
              <w:rPr>
                <w:rFonts w:eastAsia="SimSun"/>
              </w:rPr>
              <w:t>0,03 мг/кг</w:t>
            </w:r>
          </w:p>
        </w:tc>
        <w:tc>
          <w:tcPr>
            <w:tcW w:w="1701" w:type="dxa"/>
            <w:vAlign w:val="center"/>
          </w:tcPr>
          <w:p w14:paraId="40CA06C2" w14:textId="77777777" w:rsidR="00BE7F89" w:rsidRPr="00AC3044" w:rsidRDefault="00BE7F89" w:rsidP="005A428D">
            <w:pPr>
              <w:rPr>
                <w:rFonts w:eastAsia="SimSun"/>
              </w:rPr>
            </w:pPr>
            <w:r w:rsidRPr="00AC3044">
              <w:rPr>
                <w:rFonts w:eastAsia="SimSun"/>
              </w:rPr>
              <w:t>–</w:t>
            </w:r>
          </w:p>
        </w:tc>
        <w:tc>
          <w:tcPr>
            <w:tcW w:w="1418" w:type="dxa"/>
            <w:vAlign w:val="center"/>
          </w:tcPr>
          <w:p w14:paraId="21721273" w14:textId="77777777" w:rsidR="00BE7F89" w:rsidRPr="00AC3044" w:rsidRDefault="00BE7F89" w:rsidP="005A428D">
            <w:pPr>
              <w:rPr>
                <w:rFonts w:eastAsia="SimSun"/>
              </w:rPr>
            </w:pPr>
            <w:r w:rsidRPr="00AC3044">
              <w:rPr>
                <w:rFonts w:eastAsia="SimSun"/>
              </w:rPr>
              <w:t xml:space="preserve">С +5 дня длительно </w:t>
            </w:r>
          </w:p>
        </w:tc>
        <w:tc>
          <w:tcPr>
            <w:tcW w:w="2268" w:type="dxa"/>
            <w:vAlign w:val="center"/>
          </w:tcPr>
          <w:p w14:paraId="303A94AE"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7489684E" w14:textId="77777777" w:rsidTr="005A428D">
        <w:trPr>
          <w:cantSplit/>
          <w:trHeight w:val="986"/>
        </w:trPr>
        <w:tc>
          <w:tcPr>
            <w:tcW w:w="959" w:type="dxa"/>
            <w:vMerge/>
            <w:textDirection w:val="btLr"/>
            <w:vAlign w:val="center"/>
          </w:tcPr>
          <w:p w14:paraId="446D21E4" w14:textId="77777777" w:rsidR="00BE7F89" w:rsidRPr="00AC3044" w:rsidRDefault="00BE7F89" w:rsidP="005A428D">
            <w:pPr>
              <w:rPr>
                <w:rFonts w:eastAsia="SimSun"/>
              </w:rPr>
            </w:pPr>
          </w:p>
        </w:tc>
        <w:tc>
          <w:tcPr>
            <w:tcW w:w="1701" w:type="dxa"/>
            <w:vAlign w:val="center"/>
          </w:tcPr>
          <w:p w14:paraId="29BA0C15"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616E5CD1" w14:textId="77777777" w:rsidR="00BE7F89" w:rsidRPr="00AC3044" w:rsidRDefault="00BE7F89" w:rsidP="005A428D">
            <w:pPr>
              <w:rPr>
                <w:rFonts w:eastAsia="SimSun"/>
              </w:rPr>
            </w:pPr>
            <w:r w:rsidRPr="00AC3044">
              <w:rPr>
                <w:rFonts w:eastAsia="SimSun"/>
              </w:rPr>
              <w:t xml:space="preserve">30 мг/кг </w:t>
            </w:r>
          </w:p>
        </w:tc>
        <w:tc>
          <w:tcPr>
            <w:tcW w:w="1701" w:type="dxa"/>
            <w:vAlign w:val="center"/>
          </w:tcPr>
          <w:p w14:paraId="61EB99F0" w14:textId="77777777" w:rsidR="00BE7F89" w:rsidRPr="00AC3044" w:rsidRDefault="00BE7F89" w:rsidP="005A428D">
            <w:pPr>
              <w:rPr>
                <w:rFonts w:eastAsia="SimSun"/>
              </w:rPr>
            </w:pPr>
            <w:r w:rsidRPr="00AC3044">
              <w:rPr>
                <w:rFonts w:eastAsia="SimSun"/>
              </w:rPr>
              <w:t>–</w:t>
            </w:r>
          </w:p>
        </w:tc>
        <w:tc>
          <w:tcPr>
            <w:tcW w:w="1418" w:type="dxa"/>
            <w:vAlign w:val="center"/>
          </w:tcPr>
          <w:p w14:paraId="267D6820" w14:textId="77777777" w:rsidR="00BE7F89" w:rsidRPr="00AC3044" w:rsidRDefault="00BE7F89" w:rsidP="005A428D">
            <w:pPr>
              <w:rPr>
                <w:rFonts w:eastAsia="SimSun"/>
              </w:rPr>
            </w:pPr>
            <w:r w:rsidRPr="00AC3044">
              <w:rPr>
                <w:rFonts w:eastAsia="SimSun"/>
              </w:rPr>
              <w:t xml:space="preserve">С +5 дня по +35 день </w:t>
            </w:r>
          </w:p>
        </w:tc>
        <w:tc>
          <w:tcPr>
            <w:tcW w:w="2268" w:type="dxa"/>
            <w:vAlign w:val="center"/>
          </w:tcPr>
          <w:p w14:paraId="34106898"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w:t>
            </w:r>
          </w:p>
        </w:tc>
      </w:tr>
    </w:tbl>
    <w:p w14:paraId="5673776A" w14:textId="77777777" w:rsidR="00BE7F89" w:rsidRPr="00C07B2E" w:rsidRDefault="00BE7F89" w:rsidP="00BE7F89">
      <w:pPr>
        <w:rPr>
          <w:rFonts w:eastAsia="SimSun"/>
        </w:rPr>
      </w:pPr>
    </w:p>
    <w:p w14:paraId="26B8F9BF" w14:textId="77777777" w:rsidR="00BE7F89" w:rsidRPr="00C07B2E" w:rsidRDefault="00BE7F89" w:rsidP="00BE7F89">
      <w:pPr>
        <w:rPr>
          <w:rFonts w:eastAsia="SimSun"/>
        </w:rPr>
      </w:pPr>
      <w:bookmarkStart w:id="164" w:name="_Toc44401173"/>
      <w:r w:rsidRPr="00042499">
        <w:rPr>
          <w:rFonts w:eastAsia="SimSun"/>
        </w:rPr>
        <w:t>Таблица</w:t>
      </w:r>
      <w:r w:rsidRPr="00C07B2E">
        <w:rPr>
          <w:rFonts w:eastAsia="SimSun"/>
        </w:rPr>
        <w:t xml:space="preserve"> </w:t>
      </w:r>
      <w:r>
        <w:rPr>
          <w:rFonts w:eastAsia="SimSun"/>
        </w:rPr>
        <w:t>5.</w:t>
      </w:r>
      <w:r w:rsidRPr="00C07B2E">
        <w:rPr>
          <w:rFonts w:eastAsia="SimSun"/>
        </w:rPr>
        <w:t>1.2.15  – Flu180+Bu10 / PT-Cy+Ruxo</w:t>
      </w:r>
      <w:bookmarkEnd w:id="164"/>
      <w:r w:rsidRPr="00C07B2E">
        <w:rPr>
          <w:rFonts w:eastAsia="SimSu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667"/>
        <w:gridCol w:w="1559"/>
        <w:gridCol w:w="1701"/>
        <w:gridCol w:w="1418"/>
        <w:gridCol w:w="2268"/>
      </w:tblGrid>
      <w:tr w:rsidR="00BE7F89" w:rsidRPr="00AC3044" w14:paraId="6AEC4BFC" w14:textId="77777777" w:rsidTr="005A428D">
        <w:trPr>
          <w:cantSplit/>
          <w:trHeight w:val="20"/>
          <w:tblHeader/>
        </w:trPr>
        <w:tc>
          <w:tcPr>
            <w:tcW w:w="993" w:type="dxa"/>
            <w:vAlign w:val="center"/>
          </w:tcPr>
          <w:p w14:paraId="2151DEDE" w14:textId="77777777" w:rsidR="00BE7F89" w:rsidRPr="00470D3D" w:rsidRDefault="00BE7F89" w:rsidP="005A428D">
            <w:pPr>
              <w:rPr>
                <w:rFonts w:eastAsia="SimSun"/>
              </w:rPr>
            </w:pPr>
          </w:p>
        </w:tc>
        <w:tc>
          <w:tcPr>
            <w:tcW w:w="1667" w:type="dxa"/>
            <w:vAlign w:val="center"/>
          </w:tcPr>
          <w:p w14:paraId="5CDFB341"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0CEC9ED5"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6C95F92A"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5084AB68"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0CB08508"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1A4FB34" w14:textId="77777777" w:rsidTr="005A428D">
        <w:trPr>
          <w:cantSplit/>
          <w:trHeight w:val="20"/>
        </w:trPr>
        <w:tc>
          <w:tcPr>
            <w:tcW w:w="993" w:type="dxa"/>
            <w:vMerge w:val="restart"/>
            <w:textDirection w:val="btLr"/>
            <w:vAlign w:val="center"/>
          </w:tcPr>
          <w:p w14:paraId="062BF8B6" w14:textId="77777777" w:rsidR="00BE7F89" w:rsidRPr="00AC3044" w:rsidRDefault="00BE7F89" w:rsidP="005A428D">
            <w:pPr>
              <w:rPr>
                <w:rFonts w:eastAsia="SimSun"/>
              </w:rPr>
            </w:pPr>
            <w:r w:rsidRPr="00AC3044">
              <w:rPr>
                <w:rFonts w:eastAsia="SimSun"/>
              </w:rPr>
              <w:t>Кондиционирование</w:t>
            </w:r>
          </w:p>
        </w:tc>
        <w:tc>
          <w:tcPr>
            <w:tcW w:w="1667" w:type="dxa"/>
            <w:vAlign w:val="center"/>
          </w:tcPr>
          <w:p w14:paraId="5FF122D3"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40D1E825"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4FC3B812"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22796235"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25B952AA"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3902C641" w14:textId="77777777" w:rsidTr="005A428D">
        <w:trPr>
          <w:cantSplit/>
          <w:trHeight w:val="1207"/>
        </w:trPr>
        <w:tc>
          <w:tcPr>
            <w:tcW w:w="993" w:type="dxa"/>
            <w:vMerge/>
            <w:vAlign w:val="center"/>
          </w:tcPr>
          <w:p w14:paraId="4145E39D" w14:textId="77777777" w:rsidR="00BE7F89" w:rsidRPr="00AC3044" w:rsidRDefault="00BE7F89" w:rsidP="005A428D">
            <w:pPr>
              <w:rPr>
                <w:rFonts w:eastAsia="SimSun"/>
              </w:rPr>
            </w:pPr>
          </w:p>
        </w:tc>
        <w:tc>
          <w:tcPr>
            <w:tcW w:w="1667" w:type="dxa"/>
            <w:vAlign w:val="center"/>
          </w:tcPr>
          <w:p w14:paraId="3139E331"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14CD8A86" w14:textId="77777777" w:rsidR="00BE7F89" w:rsidRPr="00AC3044" w:rsidRDefault="00BE7F89" w:rsidP="005A428D">
            <w:pPr>
              <w:rPr>
                <w:rFonts w:eastAsia="SimSun"/>
              </w:rPr>
            </w:pPr>
            <w:r w:rsidRPr="00AC3044">
              <w:rPr>
                <w:rFonts w:eastAsia="SimSun"/>
              </w:rPr>
              <w:t xml:space="preserve">4 мг/кг </w:t>
            </w:r>
          </w:p>
        </w:tc>
        <w:tc>
          <w:tcPr>
            <w:tcW w:w="1701" w:type="dxa"/>
            <w:vAlign w:val="center"/>
          </w:tcPr>
          <w:p w14:paraId="2C47E13E" w14:textId="77777777" w:rsidR="00BE7F89" w:rsidRPr="00AC3044" w:rsidRDefault="00BE7F89" w:rsidP="005A428D">
            <w:pPr>
              <w:rPr>
                <w:rFonts w:eastAsia="SimSun"/>
              </w:rPr>
            </w:pPr>
            <w:r w:rsidRPr="00AC3044">
              <w:rPr>
                <w:rFonts w:eastAsia="SimSun"/>
              </w:rPr>
              <w:t xml:space="preserve">10 мг/кг </w:t>
            </w:r>
          </w:p>
        </w:tc>
        <w:tc>
          <w:tcPr>
            <w:tcW w:w="1418" w:type="dxa"/>
            <w:vAlign w:val="center"/>
          </w:tcPr>
          <w:p w14:paraId="5C98C197" w14:textId="77777777" w:rsidR="00BE7F89" w:rsidRPr="00AC3044" w:rsidRDefault="00BE7F89" w:rsidP="005A428D">
            <w:pPr>
              <w:rPr>
                <w:rFonts w:eastAsia="SimSun"/>
              </w:rPr>
            </w:pPr>
            <w:r w:rsidRPr="00AC3044">
              <w:rPr>
                <w:rFonts w:eastAsia="SimSun"/>
              </w:rPr>
              <w:t>С -5 дня по -3 день</w:t>
            </w:r>
          </w:p>
        </w:tc>
        <w:tc>
          <w:tcPr>
            <w:tcW w:w="2268" w:type="dxa"/>
            <w:vAlign w:val="center"/>
          </w:tcPr>
          <w:p w14:paraId="6B47B54A"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2B5CADAB" w14:textId="77777777" w:rsidTr="005A428D">
        <w:trPr>
          <w:cantSplit/>
          <w:trHeight w:val="582"/>
        </w:trPr>
        <w:tc>
          <w:tcPr>
            <w:tcW w:w="993" w:type="dxa"/>
            <w:vMerge w:val="restart"/>
            <w:textDirection w:val="btLr"/>
            <w:vAlign w:val="center"/>
          </w:tcPr>
          <w:p w14:paraId="3A7C7485" w14:textId="77777777" w:rsidR="00BE7F89" w:rsidRPr="00AC3044" w:rsidRDefault="00BE7F89" w:rsidP="005A428D">
            <w:pPr>
              <w:rPr>
                <w:rFonts w:eastAsia="SimSun"/>
              </w:rPr>
            </w:pPr>
            <w:r w:rsidRPr="00AC3044">
              <w:rPr>
                <w:rFonts w:eastAsia="SimSun"/>
              </w:rPr>
              <w:t>Профилактика РТПХ</w:t>
            </w:r>
          </w:p>
        </w:tc>
        <w:tc>
          <w:tcPr>
            <w:tcW w:w="1667" w:type="dxa"/>
            <w:vAlign w:val="center"/>
          </w:tcPr>
          <w:p w14:paraId="538EE20A"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2B827DAA" w14:textId="77777777" w:rsidR="00BE7F89" w:rsidRPr="00AC3044" w:rsidRDefault="00BE7F89" w:rsidP="005A428D">
            <w:pPr>
              <w:rPr>
                <w:rFonts w:eastAsia="SimSun"/>
              </w:rPr>
            </w:pPr>
            <w:r w:rsidRPr="00AC3044">
              <w:rPr>
                <w:rFonts w:eastAsia="SimSun"/>
              </w:rPr>
              <w:t>50 мг/кг</w:t>
            </w:r>
          </w:p>
        </w:tc>
        <w:tc>
          <w:tcPr>
            <w:tcW w:w="1701" w:type="dxa"/>
            <w:vAlign w:val="center"/>
          </w:tcPr>
          <w:p w14:paraId="481BA90A" w14:textId="77777777" w:rsidR="00BE7F89" w:rsidRPr="00AC3044" w:rsidRDefault="00BE7F89" w:rsidP="005A428D">
            <w:pPr>
              <w:rPr>
                <w:rFonts w:eastAsia="SimSun"/>
              </w:rPr>
            </w:pPr>
            <w:r w:rsidRPr="00AC3044">
              <w:rPr>
                <w:rFonts w:eastAsia="SimSun"/>
              </w:rPr>
              <w:t>100 мг/кг</w:t>
            </w:r>
          </w:p>
        </w:tc>
        <w:tc>
          <w:tcPr>
            <w:tcW w:w="1418" w:type="dxa"/>
            <w:vAlign w:val="center"/>
          </w:tcPr>
          <w:p w14:paraId="6830CD01"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3335A08A"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2932989B" w14:textId="77777777" w:rsidTr="005A428D">
        <w:trPr>
          <w:cantSplit/>
          <w:trHeight w:val="562"/>
        </w:trPr>
        <w:tc>
          <w:tcPr>
            <w:tcW w:w="993" w:type="dxa"/>
            <w:vMerge/>
            <w:textDirection w:val="btLr"/>
            <w:vAlign w:val="center"/>
          </w:tcPr>
          <w:p w14:paraId="1D7F434D" w14:textId="77777777" w:rsidR="00BE7F89" w:rsidRPr="00AC3044" w:rsidRDefault="00BE7F89" w:rsidP="005A428D">
            <w:pPr>
              <w:rPr>
                <w:rFonts w:eastAsia="SimSun"/>
              </w:rPr>
            </w:pPr>
          </w:p>
        </w:tc>
        <w:tc>
          <w:tcPr>
            <w:tcW w:w="1667" w:type="dxa"/>
            <w:vAlign w:val="center"/>
          </w:tcPr>
          <w:p w14:paraId="3645B412" w14:textId="77777777" w:rsidR="00BE7F89" w:rsidRPr="00AC3044" w:rsidRDefault="00BE7F89" w:rsidP="005A428D">
            <w:pPr>
              <w:rPr>
                <w:rFonts w:eastAsia="SimSun"/>
              </w:rPr>
            </w:pPr>
            <w:r w:rsidRPr="00AC3044">
              <w:rPr>
                <w:rFonts w:eastAsia="SimSun"/>
              </w:rPr>
              <w:t>Руксолитиниб</w:t>
            </w:r>
          </w:p>
        </w:tc>
        <w:tc>
          <w:tcPr>
            <w:tcW w:w="1559" w:type="dxa"/>
            <w:vAlign w:val="center"/>
          </w:tcPr>
          <w:p w14:paraId="2B19DAE0" w14:textId="77777777" w:rsidR="00BE7F89" w:rsidRPr="00AC3044" w:rsidRDefault="00BE7F89" w:rsidP="005A428D">
            <w:pPr>
              <w:rPr>
                <w:rFonts w:eastAsia="SimSun"/>
              </w:rPr>
            </w:pPr>
            <w:r w:rsidRPr="00AC3044">
              <w:rPr>
                <w:rFonts w:eastAsia="SimSun"/>
              </w:rPr>
              <w:t>45 мг</w:t>
            </w:r>
          </w:p>
        </w:tc>
        <w:tc>
          <w:tcPr>
            <w:tcW w:w="1701" w:type="dxa"/>
            <w:vAlign w:val="center"/>
          </w:tcPr>
          <w:p w14:paraId="19EE9007" w14:textId="77777777" w:rsidR="00BE7F89" w:rsidRPr="00AC3044" w:rsidRDefault="00BE7F89" w:rsidP="005A428D">
            <w:pPr>
              <w:rPr>
                <w:rFonts w:eastAsia="SimSun"/>
              </w:rPr>
            </w:pPr>
            <w:r w:rsidRPr="00AC3044">
              <w:rPr>
                <w:rFonts w:eastAsia="SimSun"/>
              </w:rPr>
              <w:t>270 мг</w:t>
            </w:r>
          </w:p>
        </w:tc>
        <w:tc>
          <w:tcPr>
            <w:tcW w:w="1418" w:type="dxa"/>
            <w:vAlign w:val="center"/>
          </w:tcPr>
          <w:p w14:paraId="70182F69" w14:textId="77777777" w:rsidR="00BE7F89" w:rsidRPr="00AC3044" w:rsidRDefault="00BE7F89" w:rsidP="005A428D">
            <w:pPr>
              <w:rPr>
                <w:rFonts w:eastAsia="SimSun"/>
              </w:rPr>
            </w:pPr>
            <w:r w:rsidRPr="00AC3044">
              <w:rPr>
                <w:rFonts w:eastAsia="SimSun"/>
              </w:rPr>
              <w:t xml:space="preserve">С -7 дня по -2 день </w:t>
            </w:r>
          </w:p>
        </w:tc>
        <w:tc>
          <w:tcPr>
            <w:tcW w:w="2268" w:type="dxa"/>
            <w:vAlign w:val="center"/>
          </w:tcPr>
          <w:p w14:paraId="6ADFCB4C" w14:textId="77777777" w:rsidR="00BE7F89" w:rsidRPr="00AC3044" w:rsidRDefault="00BE7F89" w:rsidP="005A428D">
            <w:pPr>
              <w:rPr>
                <w:rFonts w:eastAsia="SimSun"/>
              </w:rPr>
            </w:pPr>
            <w:r w:rsidRPr="00AC3044">
              <w:rPr>
                <w:rFonts w:eastAsia="SimSun"/>
              </w:rPr>
              <w:t xml:space="preserve">Внутрь суточную дозу </w:t>
            </w:r>
          </w:p>
          <w:p w14:paraId="26872210" w14:textId="77777777" w:rsidR="00BE7F89" w:rsidRPr="00AC3044" w:rsidRDefault="00BE7F89" w:rsidP="005A428D">
            <w:pPr>
              <w:rPr>
                <w:rFonts w:eastAsia="SimSun"/>
              </w:rPr>
            </w:pPr>
            <w:r w:rsidRPr="00AC3044">
              <w:rPr>
                <w:rFonts w:eastAsia="SimSun"/>
              </w:rPr>
              <w:t>за 3 приема</w:t>
            </w:r>
          </w:p>
        </w:tc>
      </w:tr>
      <w:tr w:rsidR="00BE7F89" w:rsidRPr="00AC3044" w14:paraId="490F7760" w14:textId="77777777" w:rsidTr="005A428D">
        <w:trPr>
          <w:cantSplit/>
          <w:trHeight w:val="769"/>
        </w:trPr>
        <w:tc>
          <w:tcPr>
            <w:tcW w:w="993" w:type="dxa"/>
            <w:vMerge/>
            <w:textDirection w:val="btLr"/>
            <w:vAlign w:val="center"/>
          </w:tcPr>
          <w:p w14:paraId="15152F27" w14:textId="77777777" w:rsidR="00BE7F89" w:rsidRPr="00AC3044" w:rsidRDefault="00BE7F89" w:rsidP="005A428D">
            <w:pPr>
              <w:rPr>
                <w:rFonts w:eastAsia="SimSun"/>
              </w:rPr>
            </w:pPr>
          </w:p>
        </w:tc>
        <w:tc>
          <w:tcPr>
            <w:tcW w:w="1667" w:type="dxa"/>
            <w:vAlign w:val="center"/>
          </w:tcPr>
          <w:p w14:paraId="68BEB186" w14:textId="77777777" w:rsidR="00BE7F89" w:rsidRPr="00AC3044" w:rsidRDefault="00BE7F89" w:rsidP="005A428D">
            <w:pPr>
              <w:rPr>
                <w:rFonts w:eastAsia="SimSun"/>
              </w:rPr>
            </w:pPr>
            <w:r w:rsidRPr="00AC3044">
              <w:rPr>
                <w:rFonts w:eastAsia="SimSun"/>
              </w:rPr>
              <w:t xml:space="preserve">Руксолитиниб </w:t>
            </w:r>
          </w:p>
        </w:tc>
        <w:tc>
          <w:tcPr>
            <w:tcW w:w="1559" w:type="dxa"/>
            <w:vAlign w:val="center"/>
          </w:tcPr>
          <w:p w14:paraId="76AD5105" w14:textId="77777777" w:rsidR="00BE7F89" w:rsidRPr="00AC3044" w:rsidRDefault="00BE7F89" w:rsidP="005A428D">
            <w:pPr>
              <w:rPr>
                <w:rFonts w:eastAsia="SimSun"/>
              </w:rPr>
            </w:pPr>
            <w:r w:rsidRPr="00AC3044">
              <w:rPr>
                <w:rFonts w:eastAsia="SimSun"/>
              </w:rPr>
              <w:t>15 мг</w:t>
            </w:r>
          </w:p>
        </w:tc>
        <w:tc>
          <w:tcPr>
            <w:tcW w:w="1701" w:type="dxa"/>
            <w:vAlign w:val="center"/>
          </w:tcPr>
          <w:p w14:paraId="720A29DE" w14:textId="77777777" w:rsidR="00BE7F89" w:rsidRPr="00AC3044" w:rsidRDefault="00BE7F89" w:rsidP="005A428D">
            <w:pPr>
              <w:rPr>
                <w:rFonts w:eastAsia="SimSun"/>
              </w:rPr>
            </w:pPr>
            <w:r w:rsidRPr="00AC3044">
              <w:rPr>
                <w:rFonts w:eastAsia="SimSun"/>
              </w:rPr>
              <w:t>-</w:t>
            </w:r>
          </w:p>
        </w:tc>
        <w:tc>
          <w:tcPr>
            <w:tcW w:w="1418" w:type="dxa"/>
            <w:vAlign w:val="center"/>
          </w:tcPr>
          <w:p w14:paraId="0AF53000" w14:textId="77777777" w:rsidR="00BE7F89" w:rsidRPr="00AC3044" w:rsidRDefault="00BE7F89" w:rsidP="005A428D">
            <w:pPr>
              <w:rPr>
                <w:rFonts w:eastAsia="SimSun"/>
              </w:rPr>
            </w:pPr>
            <w:r w:rsidRPr="00AC3044">
              <w:rPr>
                <w:rFonts w:eastAsia="SimSun"/>
              </w:rPr>
              <w:t>С +5 дня по +100 день</w:t>
            </w:r>
          </w:p>
        </w:tc>
        <w:tc>
          <w:tcPr>
            <w:tcW w:w="2268" w:type="dxa"/>
            <w:vAlign w:val="center"/>
          </w:tcPr>
          <w:p w14:paraId="7B3F1756" w14:textId="77777777" w:rsidR="00BE7F89" w:rsidRPr="00AC3044" w:rsidRDefault="00BE7F89" w:rsidP="005A428D">
            <w:pPr>
              <w:rPr>
                <w:rFonts w:eastAsia="SimSun"/>
              </w:rPr>
            </w:pPr>
            <w:r w:rsidRPr="00AC3044">
              <w:rPr>
                <w:rFonts w:eastAsia="SimSun"/>
              </w:rPr>
              <w:t xml:space="preserve">Внутрь суточную дозу </w:t>
            </w:r>
          </w:p>
          <w:p w14:paraId="3E6F25F2" w14:textId="77777777" w:rsidR="00BE7F89" w:rsidRPr="00AC3044" w:rsidRDefault="00BE7F89" w:rsidP="005A428D">
            <w:pPr>
              <w:rPr>
                <w:rFonts w:eastAsia="SimSun"/>
              </w:rPr>
            </w:pPr>
            <w:r w:rsidRPr="00AC3044">
              <w:rPr>
                <w:rFonts w:eastAsia="SimSun"/>
              </w:rPr>
              <w:t>за 2 приема</w:t>
            </w:r>
          </w:p>
        </w:tc>
      </w:tr>
    </w:tbl>
    <w:p w14:paraId="71637C22" w14:textId="77777777" w:rsidR="00BE7F89" w:rsidRDefault="00BE7F89" w:rsidP="00BE7F89">
      <w:pPr>
        <w:rPr>
          <w:rFonts w:eastAsia="SimSun"/>
        </w:rPr>
      </w:pPr>
      <w:bookmarkStart w:id="165" w:name="_Toc44401174"/>
    </w:p>
    <w:p w14:paraId="109E1186"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1.2.16  – Flu90+Benda /PT-Cy+Tx+MMF30</w:t>
      </w:r>
      <w:bookmarkEnd w:id="16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BE7F89" w:rsidRPr="00AC3044" w14:paraId="0AB82CBE" w14:textId="77777777" w:rsidTr="005A428D">
        <w:trPr>
          <w:cantSplit/>
          <w:trHeight w:val="20"/>
          <w:tblHeader/>
        </w:trPr>
        <w:tc>
          <w:tcPr>
            <w:tcW w:w="959" w:type="dxa"/>
            <w:vAlign w:val="center"/>
          </w:tcPr>
          <w:p w14:paraId="1B130E2F" w14:textId="77777777" w:rsidR="00BE7F89" w:rsidRPr="00AC3044" w:rsidRDefault="00BE7F89" w:rsidP="005A428D">
            <w:pPr>
              <w:rPr>
                <w:rFonts w:eastAsia="SimSun"/>
              </w:rPr>
            </w:pPr>
          </w:p>
        </w:tc>
        <w:tc>
          <w:tcPr>
            <w:tcW w:w="1701" w:type="dxa"/>
            <w:vAlign w:val="center"/>
          </w:tcPr>
          <w:p w14:paraId="4513E602"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276BB8C3"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6A9BE91A"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7A4A8998"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188D95CA"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8736914" w14:textId="77777777" w:rsidTr="005A428D">
        <w:trPr>
          <w:cantSplit/>
          <w:trHeight w:val="20"/>
        </w:trPr>
        <w:tc>
          <w:tcPr>
            <w:tcW w:w="959" w:type="dxa"/>
            <w:vMerge w:val="restart"/>
            <w:textDirection w:val="btLr"/>
            <w:vAlign w:val="center"/>
          </w:tcPr>
          <w:p w14:paraId="56993E01"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4FEC830E"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3F6C8FFF"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42DCF04B" w14:textId="77777777" w:rsidR="00BE7F89" w:rsidRPr="00AC3044" w:rsidRDefault="00BE7F89" w:rsidP="005A428D">
            <w:pPr>
              <w:rPr>
                <w:rFonts w:eastAsia="SimSun"/>
              </w:rPr>
            </w:pPr>
            <w:r w:rsidRPr="00AC3044">
              <w:rPr>
                <w:rFonts w:eastAsia="SimSun"/>
              </w:rPr>
              <w:t>90 мг/м</w:t>
            </w:r>
            <w:r w:rsidRPr="001E6DBE">
              <w:rPr>
                <w:rFonts w:eastAsia="SimSun"/>
                <w:vertAlign w:val="superscript"/>
              </w:rPr>
              <w:t>2</w:t>
            </w:r>
          </w:p>
        </w:tc>
        <w:tc>
          <w:tcPr>
            <w:tcW w:w="1418" w:type="dxa"/>
            <w:vAlign w:val="center"/>
          </w:tcPr>
          <w:p w14:paraId="30FB521A" w14:textId="77777777" w:rsidR="00BE7F89" w:rsidRPr="00AC3044" w:rsidRDefault="00BE7F89" w:rsidP="005A428D">
            <w:pPr>
              <w:rPr>
                <w:rFonts w:eastAsia="SimSun"/>
              </w:rPr>
            </w:pPr>
            <w:r w:rsidRPr="00AC3044">
              <w:rPr>
                <w:rFonts w:eastAsia="SimSun"/>
              </w:rPr>
              <w:t>С -4 дня по -2 день</w:t>
            </w:r>
          </w:p>
        </w:tc>
        <w:tc>
          <w:tcPr>
            <w:tcW w:w="2268" w:type="dxa"/>
            <w:vAlign w:val="center"/>
          </w:tcPr>
          <w:p w14:paraId="348975A7"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651E80BC" w14:textId="77777777" w:rsidTr="005A428D">
        <w:trPr>
          <w:cantSplit/>
          <w:trHeight w:val="678"/>
        </w:trPr>
        <w:tc>
          <w:tcPr>
            <w:tcW w:w="959" w:type="dxa"/>
            <w:vMerge/>
            <w:vAlign w:val="center"/>
          </w:tcPr>
          <w:p w14:paraId="1E92DCD7" w14:textId="77777777" w:rsidR="00BE7F89" w:rsidRPr="00AC3044" w:rsidRDefault="00BE7F89" w:rsidP="005A428D">
            <w:pPr>
              <w:rPr>
                <w:rFonts w:eastAsia="SimSun"/>
              </w:rPr>
            </w:pPr>
          </w:p>
        </w:tc>
        <w:tc>
          <w:tcPr>
            <w:tcW w:w="1701" w:type="dxa"/>
            <w:vAlign w:val="center"/>
          </w:tcPr>
          <w:p w14:paraId="032EDCE8" w14:textId="77777777" w:rsidR="00BE7F89" w:rsidRPr="00AC3044" w:rsidRDefault="00BE7F89" w:rsidP="005A428D">
            <w:pPr>
              <w:rPr>
                <w:rFonts w:eastAsia="SimSun"/>
              </w:rPr>
            </w:pPr>
            <w:r w:rsidRPr="00AC3044">
              <w:rPr>
                <w:rFonts w:eastAsia="SimSun"/>
              </w:rPr>
              <w:t>Бендамустин</w:t>
            </w:r>
          </w:p>
        </w:tc>
        <w:tc>
          <w:tcPr>
            <w:tcW w:w="1559" w:type="dxa"/>
            <w:vAlign w:val="center"/>
          </w:tcPr>
          <w:p w14:paraId="37DD579F" w14:textId="77777777" w:rsidR="00BE7F89" w:rsidRPr="00AC3044" w:rsidRDefault="00BE7F89" w:rsidP="005A428D">
            <w:pPr>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14:paraId="4177301A" w14:textId="77777777" w:rsidR="00BE7F89" w:rsidRPr="00AC3044" w:rsidRDefault="00BE7F89" w:rsidP="005A428D">
            <w:pPr>
              <w:rPr>
                <w:rFonts w:eastAsia="SimSun"/>
              </w:rPr>
            </w:pPr>
            <w:r w:rsidRPr="00AC3044">
              <w:rPr>
                <w:rFonts w:eastAsia="SimSun"/>
              </w:rPr>
              <w:t>390 мг/м</w:t>
            </w:r>
            <w:r w:rsidRPr="001E6DBE">
              <w:rPr>
                <w:rFonts w:eastAsia="SimSun"/>
                <w:vertAlign w:val="superscript"/>
              </w:rPr>
              <w:t>2</w:t>
            </w:r>
          </w:p>
        </w:tc>
        <w:tc>
          <w:tcPr>
            <w:tcW w:w="1418" w:type="dxa"/>
            <w:vAlign w:val="center"/>
          </w:tcPr>
          <w:p w14:paraId="147D2EEA" w14:textId="77777777" w:rsidR="00BE7F89" w:rsidRPr="00AC3044" w:rsidRDefault="00BE7F89" w:rsidP="005A428D">
            <w:pPr>
              <w:rPr>
                <w:rFonts w:eastAsia="SimSun"/>
              </w:rPr>
            </w:pPr>
            <w:r w:rsidRPr="00AC3044">
              <w:rPr>
                <w:rFonts w:eastAsia="SimSun"/>
              </w:rPr>
              <w:t xml:space="preserve">  С -4 дня по -2 день</w:t>
            </w:r>
          </w:p>
        </w:tc>
        <w:tc>
          <w:tcPr>
            <w:tcW w:w="2268" w:type="dxa"/>
            <w:vAlign w:val="center"/>
          </w:tcPr>
          <w:p w14:paraId="217D75D7"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13361526" w14:textId="77777777" w:rsidTr="005A428D">
        <w:trPr>
          <w:cantSplit/>
          <w:trHeight w:val="958"/>
        </w:trPr>
        <w:tc>
          <w:tcPr>
            <w:tcW w:w="959" w:type="dxa"/>
            <w:vMerge w:val="restart"/>
            <w:textDirection w:val="btLr"/>
            <w:vAlign w:val="center"/>
          </w:tcPr>
          <w:p w14:paraId="5E3D9F03"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7D0A1372"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0699090F" w14:textId="77777777" w:rsidR="00BE7F89" w:rsidRPr="00AC3044" w:rsidRDefault="00BE7F89" w:rsidP="005A428D">
            <w:pPr>
              <w:rPr>
                <w:rFonts w:eastAsia="SimSun"/>
              </w:rPr>
            </w:pPr>
            <w:r w:rsidRPr="00AC3044">
              <w:rPr>
                <w:rFonts w:eastAsia="SimSun"/>
              </w:rPr>
              <w:t>0,03 мг/кг</w:t>
            </w:r>
          </w:p>
        </w:tc>
        <w:tc>
          <w:tcPr>
            <w:tcW w:w="1701" w:type="dxa"/>
            <w:vAlign w:val="center"/>
          </w:tcPr>
          <w:p w14:paraId="37FD35AE" w14:textId="77777777" w:rsidR="00BE7F89" w:rsidRPr="00AC3044" w:rsidRDefault="00BE7F89" w:rsidP="005A428D">
            <w:pPr>
              <w:rPr>
                <w:rFonts w:eastAsia="SimSun"/>
              </w:rPr>
            </w:pPr>
            <w:r w:rsidRPr="00AC3044">
              <w:rPr>
                <w:rFonts w:eastAsia="SimSun"/>
              </w:rPr>
              <w:t>–</w:t>
            </w:r>
          </w:p>
        </w:tc>
        <w:tc>
          <w:tcPr>
            <w:tcW w:w="1418" w:type="dxa"/>
            <w:vAlign w:val="center"/>
          </w:tcPr>
          <w:p w14:paraId="080114A7" w14:textId="77777777" w:rsidR="00BE7F89" w:rsidRPr="00AC3044" w:rsidRDefault="00BE7F89" w:rsidP="005A428D">
            <w:pPr>
              <w:rPr>
                <w:rFonts w:eastAsia="SimSun"/>
              </w:rPr>
            </w:pPr>
            <w:r w:rsidRPr="00AC3044">
              <w:rPr>
                <w:rFonts w:eastAsia="SimSun"/>
              </w:rPr>
              <w:t xml:space="preserve">С +5 дня длительно </w:t>
            </w:r>
          </w:p>
        </w:tc>
        <w:tc>
          <w:tcPr>
            <w:tcW w:w="2268" w:type="dxa"/>
            <w:vAlign w:val="center"/>
          </w:tcPr>
          <w:p w14:paraId="2C82063D"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3748C3DC" w14:textId="77777777" w:rsidTr="005A428D">
        <w:trPr>
          <w:cantSplit/>
          <w:trHeight w:val="579"/>
        </w:trPr>
        <w:tc>
          <w:tcPr>
            <w:tcW w:w="959" w:type="dxa"/>
            <w:vMerge/>
            <w:textDirection w:val="btLr"/>
            <w:vAlign w:val="center"/>
          </w:tcPr>
          <w:p w14:paraId="1CD6151E" w14:textId="77777777" w:rsidR="00BE7F89" w:rsidRPr="00AC3044" w:rsidRDefault="00BE7F89" w:rsidP="005A428D">
            <w:pPr>
              <w:rPr>
                <w:rFonts w:eastAsia="SimSun"/>
              </w:rPr>
            </w:pPr>
          </w:p>
        </w:tc>
        <w:tc>
          <w:tcPr>
            <w:tcW w:w="1701" w:type="dxa"/>
            <w:vAlign w:val="center"/>
          </w:tcPr>
          <w:p w14:paraId="5BF4F038"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5EB089C1" w14:textId="77777777" w:rsidR="00BE7F89" w:rsidRPr="00AC3044" w:rsidRDefault="00BE7F89" w:rsidP="005A428D">
            <w:pPr>
              <w:rPr>
                <w:rFonts w:eastAsia="SimSun"/>
              </w:rPr>
            </w:pPr>
            <w:r w:rsidRPr="00AC3044">
              <w:rPr>
                <w:rFonts w:eastAsia="SimSun"/>
              </w:rPr>
              <w:t>50 мг/кг</w:t>
            </w:r>
          </w:p>
        </w:tc>
        <w:tc>
          <w:tcPr>
            <w:tcW w:w="1701" w:type="dxa"/>
            <w:vAlign w:val="center"/>
          </w:tcPr>
          <w:p w14:paraId="35A1A328" w14:textId="77777777" w:rsidR="00BE7F89" w:rsidRPr="00AC3044" w:rsidRDefault="00BE7F89" w:rsidP="005A428D">
            <w:pPr>
              <w:rPr>
                <w:rFonts w:eastAsia="SimSun"/>
              </w:rPr>
            </w:pPr>
            <w:r w:rsidRPr="00AC3044">
              <w:rPr>
                <w:rFonts w:eastAsia="SimSun"/>
              </w:rPr>
              <w:t>100 мг/кг</w:t>
            </w:r>
          </w:p>
        </w:tc>
        <w:tc>
          <w:tcPr>
            <w:tcW w:w="1418" w:type="dxa"/>
            <w:vAlign w:val="center"/>
          </w:tcPr>
          <w:p w14:paraId="14FCFA8B" w14:textId="77777777" w:rsidR="00BE7F89" w:rsidRPr="00AC3044" w:rsidRDefault="00BE7F89" w:rsidP="005A428D">
            <w:pPr>
              <w:rPr>
                <w:rFonts w:eastAsia="SimSun"/>
              </w:rPr>
            </w:pPr>
            <w:r w:rsidRPr="00AC3044">
              <w:rPr>
                <w:rFonts w:eastAsia="SimSun"/>
              </w:rPr>
              <w:t xml:space="preserve">В дни +3, +4 </w:t>
            </w:r>
          </w:p>
        </w:tc>
        <w:tc>
          <w:tcPr>
            <w:tcW w:w="2268" w:type="dxa"/>
            <w:vAlign w:val="center"/>
          </w:tcPr>
          <w:p w14:paraId="48246523"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1C15096B" w14:textId="77777777" w:rsidTr="005A428D">
        <w:trPr>
          <w:cantSplit/>
          <w:trHeight w:val="418"/>
        </w:trPr>
        <w:tc>
          <w:tcPr>
            <w:tcW w:w="959" w:type="dxa"/>
            <w:vMerge/>
            <w:textDirection w:val="btLr"/>
            <w:vAlign w:val="center"/>
          </w:tcPr>
          <w:p w14:paraId="7D8EA815" w14:textId="77777777" w:rsidR="00BE7F89" w:rsidRPr="00AC3044" w:rsidRDefault="00BE7F89" w:rsidP="005A428D">
            <w:pPr>
              <w:rPr>
                <w:rFonts w:eastAsia="SimSun"/>
              </w:rPr>
            </w:pPr>
          </w:p>
        </w:tc>
        <w:tc>
          <w:tcPr>
            <w:tcW w:w="1701" w:type="dxa"/>
            <w:vAlign w:val="center"/>
          </w:tcPr>
          <w:p w14:paraId="64D333AC"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15724C0B" w14:textId="77777777" w:rsidR="00BE7F89" w:rsidRPr="00AC3044" w:rsidRDefault="00BE7F89" w:rsidP="005A428D">
            <w:pPr>
              <w:rPr>
                <w:rFonts w:eastAsia="SimSun"/>
              </w:rPr>
            </w:pPr>
            <w:r w:rsidRPr="00AC3044">
              <w:rPr>
                <w:rFonts w:eastAsia="SimSun"/>
              </w:rPr>
              <w:t xml:space="preserve">30 мг/кг </w:t>
            </w:r>
          </w:p>
        </w:tc>
        <w:tc>
          <w:tcPr>
            <w:tcW w:w="1701" w:type="dxa"/>
            <w:vAlign w:val="center"/>
          </w:tcPr>
          <w:p w14:paraId="5CDBED74" w14:textId="77777777" w:rsidR="00BE7F89" w:rsidRPr="00AC3044" w:rsidRDefault="00BE7F89" w:rsidP="005A428D">
            <w:pPr>
              <w:rPr>
                <w:rFonts w:eastAsia="SimSun"/>
              </w:rPr>
            </w:pPr>
            <w:r w:rsidRPr="00AC3044">
              <w:rPr>
                <w:rFonts w:eastAsia="SimSun"/>
              </w:rPr>
              <w:t>–</w:t>
            </w:r>
          </w:p>
        </w:tc>
        <w:tc>
          <w:tcPr>
            <w:tcW w:w="1418" w:type="dxa"/>
            <w:vAlign w:val="center"/>
          </w:tcPr>
          <w:p w14:paraId="7C316277" w14:textId="77777777" w:rsidR="00BE7F89" w:rsidRPr="00AC3044" w:rsidRDefault="00BE7F89" w:rsidP="005A428D">
            <w:pPr>
              <w:rPr>
                <w:rFonts w:eastAsia="SimSun"/>
              </w:rPr>
            </w:pPr>
            <w:r w:rsidRPr="00AC3044">
              <w:rPr>
                <w:rFonts w:eastAsia="SimSun"/>
              </w:rPr>
              <w:t xml:space="preserve">С +5 дня по +35 день </w:t>
            </w:r>
          </w:p>
        </w:tc>
        <w:tc>
          <w:tcPr>
            <w:tcW w:w="2268" w:type="dxa"/>
            <w:vAlign w:val="center"/>
          </w:tcPr>
          <w:p w14:paraId="0D9B5B95"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w:t>
            </w:r>
          </w:p>
        </w:tc>
      </w:tr>
    </w:tbl>
    <w:p w14:paraId="6E1720BD" w14:textId="77777777" w:rsidR="00BE7F89" w:rsidRDefault="00BE7F89" w:rsidP="00BE7F89">
      <w:pPr>
        <w:rPr>
          <w:rFonts w:eastAsia="SimSun"/>
        </w:rPr>
      </w:pPr>
      <w:bookmarkStart w:id="166" w:name="_Toc44401175"/>
    </w:p>
    <w:p w14:paraId="084FEED2" w14:textId="77777777" w:rsidR="00BE7F89" w:rsidRPr="00042499" w:rsidRDefault="00BE7F89" w:rsidP="00BE7F89">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1.2.17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w:t>
      </w:r>
      <w:r w:rsidRPr="00C07B2E">
        <w:rPr>
          <w:rFonts w:eastAsia="SimSun"/>
        </w:rPr>
        <w:t>PT</w:t>
      </w:r>
      <w:r w:rsidRPr="00042499">
        <w:rPr>
          <w:rFonts w:eastAsia="SimSun"/>
          <w:lang w:val="en-US"/>
        </w:rPr>
        <w:t>-</w:t>
      </w:r>
      <w:r w:rsidRPr="00C07B2E">
        <w:rPr>
          <w:rFonts w:eastAsia="SimSun"/>
        </w:rPr>
        <w:t>Cy</w:t>
      </w:r>
      <w:bookmarkEnd w:id="16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BE7F89" w:rsidRPr="00AC3044" w14:paraId="2DB792D8" w14:textId="77777777" w:rsidTr="005A428D">
        <w:trPr>
          <w:cantSplit/>
          <w:trHeight w:val="20"/>
          <w:tblHeader/>
        </w:trPr>
        <w:tc>
          <w:tcPr>
            <w:tcW w:w="959" w:type="dxa"/>
            <w:vAlign w:val="center"/>
          </w:tcPr>
          <w:p w14:paraId="7D89A103" w14:textId="77777777" w:rsidR="00BE7F89" w:rsidRPr="009B5A5D" w:rsidRDefault="00BE7F89" w:rsidP="005A428D">
            <w:pPr>
              <w:rPr>
                <w:rFonts w:eastAsia="SimSun"/>
                <w:lang w:val="en-US"/>
              </w:rPr>
            </w:pPr>
          </w:p>
        </w:tc>
        <w:tc>
          <w:tcPr>
            <w:tcW w:w="1701" w:type="dxa"/>
            <w:vAlign w:val="center"/>
          </w:tcPr>
          <w:p w14:paraId="23F2EF2C"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39CE20DC"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33CF6267"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35FED206"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0BCC0A66"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8FF9DEE" w14:textId="77777777" w:rsidTr="005A428D">
        <w:trPr>
          <w:cantSplit/>
          <w:trHeight w:val="20"/>
        </w:trPr>
        <w:tc>
          <w:tcPr>
            <w:tcW w:w="959" w:type="dxa"/>
            <w:vMerge w:val="restart"/>
            <w:textDirection w:val="btLr"/>
            <w:vAlign w:val="center"/>
          </w:tcPr>
          <w:p w14:paraId="76892D40"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0799E6B7"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3634B4B3"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1F05160A" w14:textId="77777777" w:rsidR="00BE7F89" w:rsidRPr="00AC3044" w:rsidRDefault="00BE7F89" w:rsidP="005A428D">
            <w:pPr>
              <w:rPr>
                <w:rFonts w:eastAsia="SimSun"/>
              </w:rPr>
            </w:pPr>
            <w:r w:rsidRPr="00AC3044">
              <w:rPr>
                <w:rFonts w:eastAsia="SimSun"/>
              </w:rPr>
              <w:t>90 мг/м</w:t>
            </w:r>
            <w:r w:rsidRPr="001E6DBE">
              <w:rPr>
                <w:rFonts w:eastAsia="SimSun"/>
                <w:vertAlign w:val="superscript"/>
              </w:rPr>
              <w:t>2</w:t>
            </w:r>
          </w:p>
        </w:tc>
        <w:tc>
          <w:tcPr>
            <w:tcW w:w="1418" w:type="dxa"/>
            <w:vAlign w:val="center"/>
          </w:tcPr>
          <w:p w14:paraId="212B3D66" w14:textId="77777777" w:rsidR="00BE7F89" w:rsidRPr="00AC3044" w:rsidRDefault="00BE7F89" w:rsidP="005A428D">
            <w:pPr>
              <w:rPr>
                <w:rFonts w:eastAsia="SimSun"/>
              </w:rPr>
            </w:pPr>
            <w:r w:rsidRPr="00AC3044">
              <w:rPr>
                <w:rFonts w:eastAsia="SimSun"/>
              </w:rPr>
              <w:t>С -4 дня по -2 день</w:t>
            </w:r>
          </w:p>
        </w:tc>
        <w:tc>
          <w:tcPr>
            <w:tcW w:w="2268" w:type="dxa"/>
            <w:vAlign w:val="center"/>
          </w:tcPr>
          <w:p w14:paraId="12DF3BA3"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2B60ED51" w14:textId="77777777" w:rsidTr="005A428D">
        <w:trPr>
          <w:cantSplit/>
          <w:trHeight w:val="394"/>
        </w:trPr>
        <w:tc>
          <w:tcPr>
            <w:tcW w:w="959" w:type="dxa"/>
            <w:vMerge/>
            <w:vAlign w:val="center"/>
          </w:tcPr>
          <w:p w14:paraId="215A7267" w14:textId="77777777" w:rsidR="00BE7F89" w:rsidRPr="00AC3044" w:rsidRDefault="00BE7F89" w:rsidP="005A428D">
            <w:pPr>
              <w:rPr>
                <w:rFonts w:eastAsia="SimSun"/>
              </w:rPr>
            </w:pPr>
          </w:p>
        </w:tc>
        <w:tc>
          <w:tcPr>
            <w:tcW w:w="1701" w:type="dxa"/>
            <w:vAlign w:val="center"/>
          </w:tcPr>
          <w:p w14:paraId="25E3A313" w14:textId="77777777" w:rsidR="00BE7F89" w:rsidRPr="00AC3044" w:rsidRDefault="00BE7F89" w:rsidP="005A428D">
            <w:pPr>
              <w:rPr>
                <w:rFonts w:eastAsia="SimSun"/>
              </w:rPr>
            </w:pPr>
            <w:r w:rsidRPr="00AC3044">
              <w:rPr>
                <w:rFonts w:eastAsia="SimSun"/>
              </w:rPr>
              <w:t>Бендамустин</w:t>
            </w:r>
          </w:p>
        </w:tc>
        <w:tc>
          <w:tcPr>
            <w:tcW w:w="1559" w:type="dxa"/>
            <w:vAlign w:val="center"/>
          </w:tcPr>
          <w:p w14:paraId="28F3D896" w14:textId="77777777" w:rsidR="00BE7F89" w:rsidRPr="00AC3044" w:rsidRDefault="00BE7F89" w:rsidP="005A428D">
            <w:pPr>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14:paraId="2DC8AD50" w14:textId="77777777" w:rsidR="00BE7F89" w:rsidRPr="00AC3044" w:rsidRDefault="00BE7F89" w:rsidP="005A428D">
            <w:pPr>
              <w:rPr>
                <w:rFonts w:eastAsia="SimSun"/>
              </w:rPr>
            </w:pPr>
            <w:r w:rsidRPr="00AC3044">
              <w:rPr>
                <w:rFonts w:eastAsia="SimSun"/>
              </w:rPr>
              <w:t>390 мг/м</w:t>
            </w:r>
            <w:r w:rsidRPr="001E6DBE">
              <w:rPr>
                <w:rFonts w:eastAsia="SimSun"/>
                <w:vertAlign w:val="superscript"/>
              </w:rPr>
              <w:t>2</w:t>
            </w:r>
          </w:p>
        </w:tc>
        <w:tc>
          <w:tcPr>
            <w:tcW w:w="1418" w:type="dxa"/>
            <w:vAlign w:val="center"/>
          </w:tcPr>
          <w:p w14:paraId="06ADA018" w14:textId="77777777" w:rsidR="00BE7F89" w:rsidRPr="00AC3044" w:rsidRDefault="00BE7F89" w:rsidP="005A428D">
            <w:pPr>
              <w:rPr>
                <w:rFonts w:eastAsia="SimSun"/>
              </w:rPr>
            </w:pPr>
            <w:r w:rsidRPr="00AC3044">
              <w:rPr>
                <w:rFonts w:eastAsia="SimSun"/>
              </w:rPr>
              <w:t xml:space="preserve">  С -4 дня по -2 день</w:t>
            </w:r>
          </w:p>
        </w:tc>
        <w:tc>
          <w:tcPr>
            <w:tcW w:w="2268" w:type="dxa"/>
            <w:vAlign w:val="center"/>
          </w:tcPr>
          <w:p w14:paraId="4DE37DE1"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6E64B806" w14:textId="77777777" w:rsidTr="005A428D">
        <w:trPr>
          <w:cantSplit/>
          <w:trHeight w:val="958"/>
        </w:trPr>
        <w:tc>
          <w:tcPr>
            <w:tcW w:w="959" w:type="dxa"/>
            <w:textDirection w:val="btLr"/>
            <w:vAlign w:val="center"/>
          </w:tcPr>
          <w:p w14:paraId="407D0854"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17B5586F"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230E4C9A" w14:textId="77777777" w:rsidR="00BE7F89" w:rsidRPr="00AC3044" w:rsidRDefault="00BE7F89" w:rsidP="005A428D">
            <w:pPr>
              <w:rPr>
                <w:rFonts w:eastAsia="SimSun"/>
              </w:rPr>
            </w:pPr>
            <w:r w:rsidRPr="00AC3044">
              <w:rPr>
                <w:rFonts w:eastAsia="SimSun"/>
              </w:rPr>
              <w:t>50 мг/кг</w:t>
            </w:r>
          </w:p>
        </w:tc>
        <w:tc>
          <w:tcPr>
            <w:tcW w:w="1701" w:type="dxa"/>
            <w:vAlign w:val="center"/>
          </w:tcPr>
          <w:p w14:paraId="769D8536" w14:textId="77777777" w:rsidR="00BE7F89" w:rsidRPr="00AC3044" w:rsidRDefault="00BE7F89" w:rsidP="005A428D">
            <w:pPr>
              <w:rPr>
                <w:rFonts w:eastAsia="SimSun"/>
              </w:rPr>
            </w:pPr>
            <w:r w:rsidRPr="00AC3044">
              <w:rPr>
                <w:rFonts w:eastAsia="SimSun"/>
              </w:rPr>
              <w:t>100 мг/кг</w:t>
            </w:r>
          </w:p>
        </w:tc>
        <w:tc>
          <w:tcPr>
            <w:tcW w:w="1418" w:type="dxa"/>
            <w:vAlign w:val="center"/>
          </w:tcPr>
          <w:p w14:paraId="140C5D95" w14:textId="77777777" w:rsidR="00BE7F89" w:rsidRPr="00AC3044" w:rsidRDefault="00BE7F89" w:rsidP="005A428D">
            <w:pPr>
              <w:rPr>
                <w:rFonts w:eastAsia="SimSun"/>
              </w:rPr>
            </w:pPr>
            <w:r w:rsidRPr="00AC3044">
              <w:rPr>
                <w:rFonts w:eastAsia="SimSun"/>
              </w:rPr>
              <w:t xml:space="preserve">В дни +3, +4 </w:t>
            </w:r>
          </w:p>
        </w:tc>
        <w:tc>
          <w:tcPr>
            <w:tcW w:w="2268" w:type="dxa"/>
            <w:vAlign w:val="center"/>
          </w:tcPr>
          <w:p w14:paraId="396EE56F" w14:textId="77777777" w:rsidR="00BE7F89" w:rsidRPr="00AC3044" w:rsidRDefault="00BE7F89" w:rsidP="005A428D">
            <w:pPr>
              <w:rPr>
                <w:rFonts w:eastAsia="SimSun"/>
              </w:rPr>
            </w:pPr>
            <w:r w:rsidRPr="00AC3044">
              <w:rPr>
                <w:rFonts w:eastAsia="SimSun"/>
              </w:rPr>
              <w:t>В/в, в течение 2 часов</w:t>
            </w:r>
          </w:p>
        </w:tc>
      </w:tr>
    </w:tbl>
    <w:p w14:paraId="28F4C32E" w14:textId="77777777" w:rsidR="00BE7F89" w:rsidRDefault="00BE7F89" w:rsidP="00BE7F89">
      <w:pPr>
        <w:rPr>
          <w:rFonts w:eastAsia="SimSun"/>
        </w:rPr>
      </w:pPr>
      <w:bookmarkStart w:id="167" w:name="_Toc44401176"/>
    </w:p>
    <w:p w14:paraId="50F07F12" w14:textId="77777777" w:rsidR="00BE7F89" w:rsidRPr="00C07B2E" w:rsidRDefault="00BE7F89" w:rsidP="00BE7F89">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2.2.18 – Flu100+Cy100 / hATG+CSA+MTX</w:t>
      </w:r>
      <w:bookmarkEnd w:id="16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BE7F89" w:rsidRPr="00AC3044" w14:paraId="20FA0FC9" w14:textId="77777777" w:rsidTr="005A428D">
        <w:trPr>
          <w:cantSplit/>
          <w:trHeight w:val="20"/>
          <w:tblHeader/>
        </w:trPr>
        <w:tc>
          <w:tcPr>
            <w:tcW w:w="993" w:type="dxa"/>
          </w:tcPr>
          <w:p w14:paraId="3547BAB1" w14:textId="77777777" w:rsidR="00BE7F89" w:rsidRPr="00470D3D" w:rsidRDefault="00BE7F89" w:rsidP="005A428D">
            <w:pPr>
              <w:rPr>
                <w:rFonts w:eastAsia="SimSun"/>
              </w:rPr>
            </w:pPr>
          </w:p>
        </w:tc>
        <w:tc>
          <w:tcPr>
            <w:tcW w:w="1701" w:type="dxa"/>
            <w:vAlign w:val="center"/>
          </w:tcPr>
          <w:p w14:paraId="1BD1FA62"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617F5286"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6C8DBF1C"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14E98C9C"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5EC404D4" w14:textId="77777777" w:rsidR="00BE7F89" w:rsidRPr="00AC3044" w:rsidRDefault="00BE7F89" w:rsidP="005A428D">
            <w:pPr>
              <w:rPr>
                <w:rFonts w:eastAsia="SimSun"/>
              </w:rPr>
            </w:pPr>
            <w:r w:rsidRPr="00AC3044">
              <w:rPr>
                <w:rFonts w:eastAsia="SimSun"/>
              </w:rPr>
              <w:t>Порядок введения</w:t>
            </w:r>
          </w:p>
        </w:tc>
      </w:tr>
      <w:tr w:rsidR="00BE7F89" w:rsidRPr="00C07B2E" w14:paraId="35457C65" w14:textId="77777777" w:rsidTr="005A428D">
        <w:trPr>
          <w:cantSplit/>
          <w:trHeight w:val="20"/>
        </w:trPr>
        <w:tc>
          <w:tcPr>
            <w:tcW w:w="993" w:type="dxa"/>
            <w:vMerge w:val="restart"/>
            <w:textDirection w:val="btLr"/>
            <w:vAlign w:val="center"/>
          </w:tcPr>
          <w:p w14:paraId="343C5289"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0937144F"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2112D991" w14:textId="77777777" w:rsidR="00BE7F89" w:rsidRPr="00AC3044" w:rsidRDefault="00BE7F89" w:rsidP="005A428D">
            <w:pPr>
              <w:rPr>
                <w:rFonts w:eastAsia="SimSun"/>
              </w:rPr>
            </w:pPr>
            <w:r w:rsidRPr="00AC3044">
              <w:rPr>
                <w:rFonts w:eastAsia="SimSun"/>
              </w:rPr>
              <w:t>25 мг/м</w:t>
            </w:r>
            <w:r w:rsidRPr="001E6DBE">
              <w:rPr>
                <w:rFonts w:eastAsia="SimSun"/>
                <w:vertAlign w:val="superscript"/>
              </w:rPr>
              <w:t>2</w:t>
            </w:r>
          </w:p>
        </w:tc>
        <w:tc>
          <w:tcPr>
            <w:tcW w:w="1701" w:type="dxa"/>
            <w:vAlign w:val="center"/>
          </w:tcPr>
          <w:p w14:paraId="6B31525C" w14:textId="77777777" w:rsidR="00BE7F89" w:rsidRPr="00AC3044" w:rsidRDefault="00BE7F89" w:rsidP="005A428D">
            <w:pPr>
              <w:rPr>
                <w:rFonts w:eastAsia="SimSun"/>
              </w:rPr>
            </w:pPr>
            <w:r w:rsidRPr="00AC3044">
              <w:rPr>
                <w:rFonts w:eastAsia="SimSun"/>
              </w:rPr>
              <w:t>100 мг/м</w:t>
            </w:r>
            <w:r w:rsidRPr="001E6DBE">
              <w:rPr>
                <w:rFonts w:eastAsia="SimSun"/>
                <w:vertAlign w:val="superscript"/>
              </w:rPr>
              <w:t>2</w:t>
            </w:r>
          </w:p>
        </w:tc>
        <w:tc>
          <w:tcPr>
            <w:tcW w:w="1418" w:type="dxa"/>
            <w:vAlign w:val="center"/>
          </w:tcPr>
          <w:p w14:paraId="5E318696" w14:textId="77777777" w:rsidR="00BE7F89" w:rsidRPr="00AC3044" w:rsidRDefault="00BE7F89" w:rsidP="005A428D">
            <w:pPr>
              <w:rPr>
                <w:rFonts w:eastAsia="SimSun"/>
              </w:rPr>
            </w:pPr>
            <w:r w:rsidRPr="00AC3044">
              <w:rPr>
                <w:rFonts w:eastAsia="SimSun"/>
              </w:rPr>
              <w:t xml:space="preserve">С –5 по –2 день </w:t>
            </w:r>
          </w:p>
        </w:tc>
        <w:tc>
          <w:tcPr>
            <w:tcW w:w="2268" w:type="dxa"/>
            <w:vAlign w:val="center"/>
          </w:tcPr>
          <w:p w14:paraId="2D050960" w14:textId="77777777" w:rsidR="00BE7F89" w:rsidRPr="00AC3044" w:rsidRDefault="00BE7F89" w:rsidP="005A428D">
            <w:pPr>
              <w:rPr>
                <w:rFonts w:eastAsia="SimSun"/>
              </w:rPr>
            </w:pPr>
            <w:r w:rsidRPr="00AC3044">
              <w:rPr>
                <w:rFonts w:eastAsia="SimSun"/>
              </w:rPr>
              <w:t>В/в, в течение 30 -60 мин</w:t>
            </w:r>
          </w:p>
        </w:tc>
      </w:tr>
      <w:tr w:rsidR="00BE7F89" w:rsidRPr="00C07B2E" w14:paraId="04D534C0" w14:textId="77777777" w:rsidTr="005A428D">
        <w:trPr>
          <w:cantSplit/>
          <w:trHeight w:val="704"/>
        </w:trPr>
        <w:tc>
          <w:tcPr>
            <w:tcW w:w="993" w:type="dxa"/>
            <w:vMerge/>
            <w:textDirection w:val="btLr"/>
            <w:vAlign w:val="center"/>
          </w:tcPr>
          <w:p w14:paraId="45C20456" w14:textId="77777777" w:rsidR="00BE7F89" w:rsidRPr="00AC3044" w:rsidRDefault="00BE7F89" w:rsidP="005A428D">
            <w:pPr>
              <w:rPr>
                <w:rFonts w:eastAsia="SimSun"/>
              </w:rPr>
            </w:pPr>
          </w:p>
        </w:tc>
        <w:tc>
          <w:tcPr>
            <w:tcW w:w="1701" w:type="dxa"/>
            <w:vAlign w:val="center"/>
          </w:tcPr>
          <w:p w14:paraId="3F2D2252"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418A7DC7" w14:textId="77777777" w:rsidR="00BE7F89" w:rsidRPr="00AC3044" w:rsidRDefault="00BE7F89" w:rsidP="005A428D">
            <w:pPr>
              <w:rPr>
                <w:rFonts w:eastAsia="SimSun"/>
              </w:rPr>
            </w:pPr>
            <w:r w:rsidRPr="00AC3044">
              <w:rPr>
                <w:rFonts w:eastAsia="SimSun"/>
              </w:rPr>
              <w:t>25 мг/кг</w:t>
            </w:r>
          </w:p>
        </w:tc>
        <w:tc>
          <w:tcPr>
            <w:tcW w:w="1701" w:type="dxa"/>
            <w:vAlign w:val="center"/>
          </w:tcPr>
          <w:p w14:paraId="79081AE6" w14:textId="77777777" w:rsidR="00BE7F89" w:rsidRPr="00AC3044" w:rsidRDefault="00BE7F89" w:rsidP="005A428D">
            <w:pPr>
              <w:rPr>
                <w:rFonts w:eastAsia="SimSun"/>
              </w:rPr>
            </w:pPr>
            <w:r w:rsidRPr="00AC3044">
              <w:rPr>
                <w:rFonts w:eastAsia="SimSun"/>
              </w:rPr>
              <w:t>100 мг/кг</w:t>
            </w:r>
          </w:p>
        </w:tc>
        <w:tc>
          <w:tcPr>
            <w:tcW w:w="1418" w:type="dxa"/>
            <w:vAlign w:val="center"/>
          </w:tcPr>
          <w:p w14:paraId="46FCE111" w14:textId="77777777" w:rsidR="00BE7F89" w:rsidRPr="00AC3044" w:rsidRDefault="00BE7F89" w:rsidP="005A428D">
            <w:pPr>
              <w:rPr>
                <w:rFonts w:eastAsia="SimSun"/>
              </w:rPr>
            </w:pPr>
            <w:r w:rsidRPr="00AC3044">
              <w:rPr>
                <w:rFonts w:eastAsia="SimSun"/>
              </w:rPr>
              <w:t>С –5 по –2 день</w:t>
            </w:r>
          </w:p>
        </w:tc>
        <w:tc>
          <w:tcPr>
            <w:tcW w:w="2268" w:type="dxa"/>
            <w:vAlign w:val="center"/>
          </w:tcPr>
          <w:p w14:paraId="6E531839" w14:textId="77777777" w:rsidR="00BE7F89" w:rsidRPr="00AC3044" w:rsidRDefault="00BE7F89" w:rsidP="005A428D">
            <w:pPr>
              <w:rPr>
                <w:rFonts w:eastAsia="SimSun"/>
              </w:rPr>
            </w:pPr>
            <w:r w:rsidRPr="00AC3044">
              <w:rPr>
                <w:rFonts w:eastAsia="SimSun"/>
              </w:rPr>
              <w:t>В/в, в течение 2 часов</w:t>
            </w:r>
          </w:p>
        </w:tc>
      </w:tr>
      <w:tr w:rsidR="00BE7F89" w:rsidRPr="00C07B2E" w14:paraId="54AF959C" w14:textId="77777777" w:rsidTr="005A428D">
        <w:trPr>
          <w:cantSplit/>
          <w:trHeight w:val="20"/>
        </w:trPr>
        <w:tc>
          <w:tcPr>
            <w:tcW w:w="993" w:type="dxa"/>
            <w:vMerge w:val="restart"/>
            <w:textDirection w:val="btLr"/>
            <w:vAlign w:val="center"/>
          </w:tcPr>
          <w:p w14:paraId="02556EEA"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228CAD39" w14:textId="77777777" w:rsidR="00BE7F89" w:rsidRPr="00AC3044" w:rsidRDefault="00BE7F89" w:rsidP="005A428D">
            <w:pPr>
              <w:rPr>
                <w:rFonts w:eastAsia="SimSun"/>
              </w:rPr>
            </w:pPr>
            <w:r w:rsidRPr="00AC3044">
              <w:rPr>
                <w:rFonts w:eastAsia="SimSun"/>
              </w:rPr>
              <w:t>АТГ (лошадиный)</w:t>
            </w:r>
          </w:p>
        </w:tc>
        <w:tc>
          <w:tcPr>
            <w:tcW w:w="1559" w:type="dxa"/>
            <w:vAlign w:val="center"/>
          </w:tcPr>
          <w:p w14:paraId="09DE2F9E" w14:textId="77777777" w:rsidR="00BE7F89" w:rsidRPr="00AC3044" w:rsidRDefault="00BE7F89" w:rsidP="005A428D">
            <w:pPr>
              <w:rPr>
                <w:rFonts w:eastAsia="SimSun"/>
              </w:rPr>
            </w:pPr>
            <w:r w:rsidRPr="00AC3044">
              <w:rPr>
                <w:rFonts w:eastAsia="SimSun"/>
              </w:rPr>
              <w:t>25 мг/кг</w:t>
            </w:r>
          </w:p>
        </w:tc>
        <w:tc>
          <w:tcPr>
            <w:tcW w:w="1701" w:type="dxa"/>
            <w:vAlign w:val="center"/>
          </w:tcPr>
          <w:p w14:paraId="2BD56497" w14:textId="77777777" w:rsidR="00BE7F89" w:rsidRPr="00AC3044" w:rsidRDefault="00BE7F89" w:rsidP="005A428D">
            <w:pPr>
              <w:rPr>
                <w:rFonts w:eastAsia="SimSun"/>
              </w:rPr>
            </w:pPr>
            <w:r w:rsidRPr="00AC3044">
              <w:rPr>
                <w:rFonts w:eastAsia="SimSun"/>
              </w:rPr>
              <w:t>100 мг/кг</w:t>
            </w:r>
          </w:p>
        </w:tc>
        <w:tc>
          <w:tcPr>
            <w:tcW w:w="1418" w:type="dxa"/>
            <w:vAlign w:val="center"/>
          </w:tcPr>
          <w:p w14:paraId="3480C46E" w14:textId="77777777" w:rsidR="00BE7F89" w:rsidRPr="00AC3044" w:rsidRDefault="00BE7F89" w:rsidP="005A428D">
            <w:pPr>
              <w:rPr>
                <w:rFonts w:eastAsia="SimSun"/>
              </w:rPr>
            </w:pPr>
            <w:r w:rsidRPr="00AC3044">
              <w:rPr>
                <w:rFonts w:eastAsia="SimSun"/>
              </w:rPr>
              <w:t>С –4 по –1 день</w:t>
            </w:r>
          </w:p>
        </w:tc>
        <w:tc>
          <w:tcPr>
            <w:tcW w:w="2268" w:type="dxa"/>
            <w:vAlign w:val="center"/>
          </w:tcPr>
          <w:p w14:paraId="4AFC860E" w14:textId="77777777" w:rsidR="00BE7F89" w:rsidRPr="00AC3044" w:rsidRDefault="00BE7F89" w:rsidP="005A428D">
            <w:pPr>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 гл. 3, «Инфузия АТГ»)</w:t>
            </w:r>
          </w:p>
        </w:tc>
      </w:tr>
      <w:tr w:rsidR="00BE7F89" w:rsidRPr="00C07B2E" w14:paraId="333BFF7C" w14:textId="77777777" w:rsidTr="005A428D">
        <w:trPr>
          <w:cantSplit/>
          <w:trHeight w:val="1141"/>
        </w:trPr>
        <w:tc>
          <w:tcPr>
            <w:tcW w:w="993" w:type="dxa"/>
            <w:vMerge/>
            <w:textDirection w:val="btLr"/>
          </w:tcPr>
          <w:p w14:paraId="6F0B694C" w14:textId="77777777" w:rsidR="00BE7F89" w:rsidRPr="00AC3044" w:rsidRDefault="00BE7F89" w:rsidP="005A428D">
            <w:pPr>
              <w:rPr>
                <w:rFonts w:eastAsia="SimSun"/>
              </w:rPr>
            </w:pPr>
          </w:p>
        </w:tc>
        <w:tc>
          <w:tcPr>
            <w:tcW w:w="1701" w:type="dxa"/>
            <w:vAlign w:val="center"/>
          </w:tcPr>
          <w:p w14:paraId="23D36A78" w14:textId="77777777" w:rsidR="00BE7F89" w:rsidRPr="00AC3044" w:rsidRDefault="00BE7F89" w:rsidP="005A428D">
            <w:pPr>
              <w:rPr>
                <w:rFonts w:eastAsia="SimSun"/>
              </w:rPr>
            </w:pPr>
            <w:r w:rsidRPr="00AC3044">
              <w:rPr>
                <w:rFonts w:eastAsia="SimSun"/>
              </w:rPr>
              <w:t>Циклоспорин</w:t>
            </w:r>
          </w:p>
        </w:tc>
        <w:tc>
          <w:tcPr>
            <w:tcW w:w="1559" w:type="dxa"/>
            <w:vAlign w:val="center"/>
          </w:tcPr>
          <w:p w14:paraId="00A839C4" w14:textId="77777777" w:rsidR="00BE7F89" w:rsidRPr="00AC3044" w:rsidRDefault="00BE7F89" w:rsidP="005A428D">
            <w:pPr>
              <w:rPr>
                <w:rFonts w:eastAsia="SimSun"/>
              </w:rPr>
            </w:pPr>
            <w:r w:rsidRPr="00AC3044">
              <w:rPr>
                <w:rFonts w:eastAsia="SimSun"/>
              </w:rPr>
              <w:t>3 мг/кг</w:t>
            </w:r>
          </w:p>
        </w:tc>
        <w:tc>
          <w:tcPr>
            <w:tcW w:w="1701" w:type="dxa"/>
            <w:vAlign w:val="center"/>
          </w:tcPr>
          <w:p w14:paraId="50BCC235" w14:textId="77777777" w:rsidR="00BE7F89" w:rsidRPr="00AC3044" w:rsidRDefault="00BE7F89" w:rsidP="005A428D">
            <w:pPr>
              <w:rPr>
                <w:rFonts w:eastAsia="SimSun"/>
              </w:rPr>
            </w:pPr>
            <w:r w:rsidRPr="00AC3044">
              <w:rPr>
                <w:rFonts w:eastAsia="SimSun"/>
              </w:rPr>
              <w:t>–</w:t>
            </w:r>
          </w:p>
        </w:tc>
        <w:tc>
          <w:tcPr>
            <w:tcW w:w="1418" w:type="dxa"/>
            <w:vAlign w:val="center"/>
          </w:tcPr>
          <w:p w14:paraId="74735952" w14:textId="77777777" w:rsidR="00BE7F89" w:rsidRPr="00AC3044" w:rsidRDefault="00BE7F89" w:rsidP="005A428D">
            <w:pPr>
              <w:rPr>
                <w:rFonts w:eastAsia="SimSun"/>
              </w:rPr>
            </w:pPr>
            <w:r w:rsidRPr="00AC3044">
              <w:rPr>
                <w:rFonts w:eastAsia="SimSun"/>
              </w:rPr>
              <w:t>С –1 дня по +230 день затем постепенное снижение к +270 дню</w:t>
            </w:r>
          </w:p>
        </w:tc>
        <w:tc>
          <w:tcPr>
            <w:tcW w:w="2268" w:type="dxa"/>
            <w:vAlign w:val="center"/>
          </w:tcPr>
          <w:p w14:paraId="0836A3F1"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C07B2E" w14:paraId="49DBFDBF" w14:textId="77777777" w:rsidTr="005A428D">
        <w:trPr>
          <w:cantSplit/>
          <w:trHeight w:val="20"/>
        </w:trPr>
        <w:tc>
          <w:tcPr>
            <w:tcW w:w="993" w:type="dxa"/>
            <w:vMerge/>
          </w:tcPr>
          <w:p w14:paraId="1FC514F6" w14:textId="77777777" w:rsidR="00BE7F89" w:rsidRPr="00AC3044" w:rsidRDefault="00BE7F89" w:rsidP="005A428D">
            <w:pPr>
              <w:rPr>
                <w:rFonts w:eastAsia="SimSun"/>
              </w:rPr>
            </w:pPr>
          </w:p>
        </w:tc>
        <w:tc>
          <w:tcPr>
            <w:tcW w:w="1701" w:type="dxa"/>
            <w:vAlign w:val="center"/>
          </w:tcPr>
          <w:p w14:paraId="66C1DDD5" w14:textId="77777777" w:rsidR="00BE7F89" w:rsidRPr="00AC3044" w:rsidRDefault="00BE7F89" w:rsidP="005A428D">
            <w:pPr>
              <w:rPr>
                <w:rFonts w:eastAsia="SimSun"/>
              </w:rPr>
            </w:pPr>
            <w:r w:rsidRPr="00AC3044">
              <w:rPr>
                <w:rFonts w:eastAsia="SimSun"/>
              </w:rPr>
              <w:t>Метотрексат</w:t>
            </w:r>
          </w:p>
        </w:tc>
        <w:tc>
          <w:tcPr>
            <w:tcW w:w="1559" w:type="dxa"/>
            <w:vAlign w:val="center"/>
          </w:tcPr>
          <w:p w14:paraId="3668249F" w14:textId="77777777" w:rsidR="00BE7F89" w:rsidRPr="00AC3044" w:rsidRDefault="00BE7F89" w:rsidP="005A428D">
            <w:pPr>
              <w:rPr>
                <w:rFonts w:eastAsia="SimSun"/>
              </w:rPr>
            </w:pPr>
            <w:r w:rsidRPr="00AC3044">
              <w:rPr>
                <w:rFonts w:eastAsia="SimSun"/>
              </w:rPr>
              <w:t>15 мг/м</w:t>
            </w:r>
            <w:r w:rsidRPr="001E6DBE">
              <w:rPr>
                <w:rFonts w:eastAsia="SimSun"/>
                <w:vertAlign w:val="superscript"/>
              </w:rPr>
              <w:t>2</w:t>
            </w:r>
          </w:p>
        </w:tc>
        <w:tc>
          <w:tcPr>
            <w:tcW w:w="1701" w:type="dxa"/>
            <w:vAlign w:val="center"/>
          </w:tcPr>
          <w:p w14:paraId="5451C559" w14:textId="77777777" w:rsidR="00BE7F89" w:rsidRPr="00AC3044" w:rsidRDefault="00BE7F89" w:rsidP="005A428D">
            <w:pPr>
              <w:rPr>
                <w:rFonts w:eastAsia="SimSun"/>
              </w:rPr>
            </w:pPr>
            <w:r w:rsidRPr="00AC3044">
              <w:rPr>
                <w:rFonts w:eastAsia="SimSun"/>
              </w:rPr>
              <w:t>–</w:t>
            </w:r>
          </w:p>
        </w:tc>
        <w:tc>
          <w:tcPr>
            <w:tcW w:w="1418" w:type="dxa"/>
            <w:vAlign w:val="center"/>
          </w:tcPr>
          <w:p w14:paraId="600CBC26" w14:textId="77777777" w:rsidR="00BE7F89" w:rsidRPr="00AC3044" w:rsidRDefault="00BE7F89" w:rsidP="005A428D">
            <w:pPr>
              <w:rPr>
                <w:rFonts w:eastAsia="SimSun"/>
              </w:rPr>
            </w:pPr>
            <w:r w:rsidRPr="00AC3044">
              <w:rPr>
                <w:rFonts w:eastAsia="SimSun"/>
              </w:rPr>
              <w:t>+1 день</w:t>
            </w:r>
          </w:p>
        </w:tc>
        <w:tc>
          <w:tcPr>
            <w:tcW w:w="2268" w:type="dxa"/>
            <w:vAlign w:val="center"/>
          </w:tcPr>
          <w:p w14:paraId="639AEF52"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C07B2E" w14:paraId="3E68434F" w14:textId="77777777" w:rsidTr="005A428D">
        <w:trPr>
          <w:cantSplit/>
          <w:trHeight w:val="464"/>
        </w:trPr>
        <w:tc>
          <w:tcPr>
            <w:tcW w:w="993" w:type="dxa"/>
            <w:vMerge/>
          </w:tcPr>
          <w:p w14:paraId="17A263E0" w14:textId="77777777" w:rsidR="00BE7F89" w:rsidRPr="00AC3044" w:rsidRDefault="00BE7F89" w:rsidP="005A428D">
            <w:pPr>
              <w:rPr>
                <w:rFonts w:eastAsia="SimSun"/>
              </w:rPr>
            </w:pPr>
          </w:p>
        </w:tc>
        <w:tc>
          <w:tcPr>
            <w:tcW w:w="1701" w:type="dxa"/>
            <w:vAlign w:val="center"/>
          </w:tcPr>
          <w:p w14:paraId="4BDE59E6" w14:textId="77777777" w:rsidR="00BE7F89" w:rsidRPr="00AC3044" w:rsidRDefault="00BE7F89" w:rsidP="005A428D">
            <w:pPr>
              <w:rPr>
                <w:rFonts w:eastAsia="SimSun"/>
              </w:rPr>
            </w:pPr>
            <w:r w:rsidRPr="00AC3044">
              <w:rPr>
                <w:rFonts w:eastAsia="SimSun"/>
              </w:rPr>
              <w:t>Метотрексат</w:t>
            </w:r>
          </w:p>
        </w:tc>
        <w:tc>
          <w:tcPr>
            <w:tcW w:w="1559" w:type="dxa"/>
            <w:vAlign w:val="center"/>
          </w:tcPr>
          <w:p w14:paraId="2C2B9802" w14:textId="77777777" w:rsidR="00BE7F89" w:rsidRPr="00AC3044" w:rsidRDefault="00BE7F89" w:rsidP="005A428D">
            <w:pPr>
              <w:rPr>
                <w:rFonts w:eastAsia="SimSun"/>
              </w:rPr>
            </w:pPr>
            <w:r w:rsidRPr="00AC3044">
              <w:rPr>
                <w:rFonts w:eastAsia="SimSun"/>
              </w:rPr>
              <w:t>10 мг/м</w:t>
            </w:r>
            <w:r w:rsidRPr="001E6DBE">
              <w:rPr>
                <w:rFonts w:eastAsia="SimSun"/>
                <w:vertAlign w:val="superscript"/>
              </w:rPr>
              <w:t>2</w:t>
            </w:r>
          </w:p>
        </w:tc>
        <w:tc>
          <w:tcPr>
            <w:tcW w:w="1701" w:type="dxa"/>
            <w:vAlign w:val="center"/>
          </w:tcPr>
          <w:p w14:paraId="1F735B32" w14:textId="77777777" w:rsidR="00BE7F89" w:rsidRPr="00AC3044" w:rsidRDefault="00BE7F89" w:rsidP="005A428D">
            <w:pPr>
              <w:rPr>
                <w:rFonts w:eastAsia="SimSun"/>
              </w:rPr>
            </w:pPr>
            <w:r w:rsidRPr="00AC3044">
              <w:rPr>
                <w:rFonts w:eastAsia="SimSun"/>
              </w:rPr>
              <w:t>–</w:t>
            </w:r>
          </w:p>
        </w:tc>
        <w:tc>
          <w:tcPr>
            <w:tcW w:w="1418" w:type="dxa"/>
            <w:vAlign w:val="center"/>
          </w:tcPr>
          <w:p w14:paraId="277E582B" w14:textId="77777777" w:rsidR="00BE7F89" w:rsidRPr="00AC3044" w:rsidRDefault="00BE7F89" w:rsidP="005A428D">
            <w:pPr>
              <w:rPr>
                <w:rFonts w:eastAsia="SimSun"/>
              </w:rPr>
            </w:pPr>
            <w:r w:rsidRPr="00AC3044">
              <w:rPr>
                <w:rFonts w:eastAsia="SimSun"/>
              </w:rPr>
              <w:t>+3, +6, +11 дни</w:t>
            </w:r>
          </w:p>
        </w:tc>
        <w:tc>
          <w:tcPr>
            <w:tcW w:w="2268" w:type="dxa"/>
            <w:vAlign w:val="center"/>
          </w:tcPr>
          <w:p w14:paraId="35093CA5" w14:textId="77777777" w:rsidR="00BE7F89" w:rsidRPr="00AC3044" w:rsidRDefault="00BE7F89" w:rsidP="005A428D">
            <w:pPr>
              <w:rPr>
                <w:rFonts w:eastAsia="SimSun"/>
              </w:rPr>
            </w:pPr>
            <w:r w:rsidRPr="00AC3044">
              <w:rPr>
                <w:rFonts w:eastAsia="SimSun"/>
              </w:rPr>
              <w:t xml:space="preserve">В/в, в 20 мл физ. р-ра </w:t>
            </w:r>
          </w:p>
        </w:tc>
      </w:tr>
    </w:tbl>
    <w:p w14:paraId="40EAFE79" w14:textId="77777777" w:rsidR="00BE7F89" w:rsidRDefault="00BE7F89" w:rsidP="00BE7F89">
      <w:pPr>
        <w:rPr>
          <w:rFonts w:eastAsia="SimSun"/>
        </w:rPr>
      </w:pPr>
      <w:bookmarkStart w:id="168" w:name="_Toc44401177"/>
    </w:p>
    <w:p w14:paraId="12313A75" w14:textId="77777777" w:rsidR="00BE7F89" w:rsidRPr="00042499" w:rsidRDefault="00BE7F89" w:rsidP="00BE7F89">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1.2.19  – </w:t>
      </w:r>
      <w:r w:rsidRPr="00C07B2E">
        <w:rPr>
          <w:rFonts w:eastAsia="SimSun"/>
        </w:rPr>
        <w:t>Flu</w:t>
      </w:r>
      <w:r w:rsidRPr="00042499">
        <w:rPr>
          <w:rFonts w:eastAsia="SimSun"/>
          <w:lang w:val="en-US"/>
        </w:rPr>
        <w:t>120+</w:t>
      </w:r>
      <w:r w:rsidRPr="00C07B2E">
        <w:rPr>
          <w:rFonts w:eastAsia="SimSun"/>
        </w:rPr>
        <w:t>Cy</w:t>
      </w:r>
      <w:r w:rsidRPr="00042499">
        <w:rPr>
          <w:rFonts w:eastAsia="SimSun"/>
          <w:lang w:val="en-US"/>
        </w:rPr>
        <w:t>2000+</w:t>
      </w:r>
      <w:r w:rsidRPr="00C07B2E">
        <w:rPr>
          <w:rFonts w:eastAsia="SimSun"/>
        </w:rPr>
        <w:t>Mel</w:t>
      </w:r>
      <w:r w:rsidRPr="00042499">
        <w:rPr>
          <w:rFonts w:eastAsia="SimSun"/>
          <w:lang w:val="en-US"/>
        </w:rPr>
        <w:t xml:space="preserve">140 / </w:t>
      </w:r>
      <w:r w:rsidRPr="00C07B2E">
        <w:rPr>
          <w:rFonts w:eastAsia="SimSun"/>
        </w:rPr>
        <w:t>PT</w:t>
      </w:r>
      <w:r w:rsidRPr="00042499">
        <w:rPr>
          <w:rFonts w:eastAsia="SimSun"/>
          <w:lang w:val="en-US"/>
        </w:rPr>
        <w:t>-</w:t>
      </w:r>
      <w:r w:rsidRPr="00C07B2E">
        <w:rPr>
          <w:rFonts w:eastAsia="SimSun"/>
        </w:rPr>
        <w:t>Cy</w:t>
      </w:r>
      <w:r w:rsidRPr="00042499">
        <w:rPr>
          <w:rFonts w:eastAsia="SimSun"/>
          <w:lang w:val="en-US"/>
        </w:rPr>
        <w:t>+</w:t>
      </w:r>
      <w:r w:rsidRPr="00C07B2E">
        <w:rPr>
          <w:rFonts w:eastAsia="SimSun"/>
        </w:rPr>
        <w:t>CSA</w:t>
      </w:r>
      <w:r w:rsidRPr="00042499">
        <w:rPr>
          <w:rFonts w:eastAsia="SimSun"/>
          <w:lang w:val="en-US"/>
        </w:rPr>
        <w:t>+</w:t>
      </w:r>
      <w:r w:rsidRPr="00C07B2E">
        <w:rPr>
          <w:rFonts w:eastAsia="SimSun"/>
        </w:rPr>
        <w:t>MMF</w:t>
      </w:r>
      <w:r w:rsidRPr="00042499">
        <w:rPr>
          <w:rFonts w:eastAsia="SimSun"/>
          <w:lang w:val="en-US"/>
        </w:rPr>
        <w:t>45</w:t>
      </w:r>
      <w:bookmarkEnd w:id="168"/>
    </w:p>
    <w:tbl>
      <w:tblPr>
        <w:tblW w:w="9605" w:type="dxa"/>
        <w:tblInd w:w="1" w:type="dxa"/>
        <w:tblLayout w:type="fixed"/>
        <w:tblCellMar>
          <w:left w:w="10" w:type="dxa"/>
          <w:right w:w="10" w:type="dxa"/>
        </w:tblCellMar>
        <w:tblLook w:val="0000" w:firstRow="0" w:lastRow="0" w:firstColumn="0" w:lastColumn="0" w:noHBand="0" w:noVBand="0"/>
      </w:tblPr>
      <w:tblGrid>
        <w:gridCol w:w="958"/>
        <w:gridCol w:w="1701"/>
        <w:gridCol w:w="1559"/>
        <w:gridCol w:w="1701"/>
        <w:gridCol w:w="1418"/>
        <w:gridCol w:w="2268"/>
      </w:tblGrid>
      <w:tr w:rsidR="00BE7F89" w:rsidRPr="00AC3044" w14:paraId="61486BAD" w14:textId="77777777" w:rsidTr="005A428D">
        <w:trPr>
          <w:trHeight w:val="20"/>
          <w:tblHeader/>
        </w:trPr>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9C4D76" w14:textId="77777777" w:rsidR="00BE7F89" w:rsidRPr="009B5A5D" w:rsidRDefault="00BE7F89" w:rsidP="005A428D">
            <w:pPr>
              <w:rPr>
                <w:rFonts w:eastAsia="SimSun"/>
                <w:lang w:val="en-US"/>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5448C2" w14:textId="77777777" w:rsidR="00BE7F89" w:rsidRPr="00AC3044" w:rsidRDefault="00BE7F89" w:rsidP="005A428D">
            <w:pPr>
              <w:rPr>
                <w:rFonts w:eastAsia="SimSun"/>
              </w:rPr>
            </w:pPr>
            <w:r w:rsidRPr="00AC3044">
              <w:rPr>
                <w:rFonts w:eastAsia="SimSun"/>
              </w:rPr>
              <w:t>Препарат</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7830B7" w14:textId="77777777" w:rsidR="00BE7F89" w:rsidRPr="00AC3044" w:rsidRDefault="00BE7F89" w:rsidP="005A428D">
            <w:pPr>
              <w:rPr>
                <w:rFonts w:eastAsia="SimSun"/>
              </w:rPr>
            </w:pPr>
            <w:r w:rsidRPr="00AC3044">
              <w:rPr>
                <w:rFonts w:eastAsia="SimSun"/>
              </w:rPr>
              <w:t>Суточная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F1A816" w14:textId="77777777" w:rsidR="00BE7F89" w:rsidRPr="00AC3044" w:rsidRDefault="00BE7F89" w:rsidP="005A428D">
            <w:pPr>
              <w:rPr>
                <w:rFonts w:eastAsia="SimSun"/>
              </w:rPr>
            </w:pPr>
            <w:r w:rsidRPr="00AC3044">
              <w:rPr>
                <w:rFonts w:eastAsia="SimSun"/>
              </w:rPr>
              <w:t>Курсовая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CA1209" w14:textId="77777777" w:rsidR="00BE7F89" w:rsidRPr="00AC3044" w:rsidRDefault="00BE7F89" w:rsidP="005A428D">
            <w:pPr>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22A609"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81642FD" w14:textId="77777777" w:rsidTr="005A428D">
        <w:trPr>
          <w:trHeight w:val="20"/>
        </w:trPr>
        <w:tc>
          <w:tcPr>
            <w:tcW w:w="95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extDirection w:val="btLr"/>
            <w:vAlign w:val="center"/>
          </w:tcPr>
          <w:p w14:paraId="3257C5D5" w14:textId="77777777" w:rsidR="00BE7F89" w:rsidRPr="00AC3044" w:rsidRDefault="00BE7F89" w:rsidP="005A428D">
            <w:pPr>
              <w:rPr>
                <w:rFonts w:eastAsia="SimSun"/>
              </w:rPr>
            </w:pPr>
            <w:r w:rsidRPr="00AC3044">
              <w:rPr>
                <w:rFonts w:eastAsia="SimSun"/>
              </w:rPr>
              <w:t>Кондиционирование</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4D4B20" w14:textId="77777777" w:rsidR="00BE7F89" w:rsidRPr="00AC3044" w:rsidRDefault="00BE7F89" w:rsidP="005A428D">
            <w:pPr>
              <w:rPr>
                <w:rFonts w:eastAsia="SimSun"/>
              </w:rPr>
            </w:pPr>
            <w:r w:rsidRPr="00AC3044">
              <w:rPr>
                <w:rFonts w:eastAsia="SimSun"/>
              </w:rPr>
              <w:t>Флударабин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C480727" w14:textId="77777777" w:rsidR="00BE7F89" w:rsidRPr="00AC3044" w:rsidRDefault="00BE7F89" w:rsidP="005A428D">
            <w:pPr>
              <w:rPr>
                <w:rFonts w:eastAsia="SimSun"/>
              </w:rPr>
            </w:pPr>
            <w:r w:rsidRPr="00AC3044">
              <w:rPr>
                <w:rFonts w:eastAsia="SimSun"/>
              </w:rPr>
              <w:t>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475F2D" w14:textId="77777777" w:rsidR="00BE7F89" w:rsidRPr="00AC3044" w:rsidRDefault="00BE7F89" w:rsidP="005A428D">
            <w:pPr>
              <w:rPr>
                <w:rFonts w:eastAsia="SimSun"/>
              </w:rPr>
            </w:pPr>
            <w:r w:rsidRPr="00AC3044">
              <w:rPr>
                <w:rFonts w:eastAsia="SimSun"/>
              </w:rPr>
              <w:t>120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1B0C81" w14:textId="77777777" w:rsidR="00BE7F89" w:rsidRPr="00AC3044" w:rsidRDefault="00BE7F89" w:rsidP="005A428D">
            <w:pPr>
              <w:rPr>
                <w:rFonts w:eastAsia="SimSun"/>
              </w:rPr>
            </w:pPr>
            <w:r w:rsidRPr="00AC3044">
              <w:rPr>
                <w:rFonts w:eastAsia="SimSun"/>
              </w:rPr>
              <w:t>С –5 по –3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BB6B75"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29468DEF" w14:textId="77777777" w:rsidTr="005A428D">
        <w:trPr>
          <w:trHeight w:val="1011"/>
        </w:trPr>
        <w:tc>
          <w:tcPr>
            <w:tcW w:w="958" w:type="dxa"/>
            <w:vMerge/>
            <w:tcBorders>
              <w:left w:val="single" w:sz="4" w:space="0" w:color="00000A"/>
              <w:right w:val="single" w:sz="4" w:space="0" w:color="00000A"/>
            </w:tcBorders>
            <w:tcMar>
              <w:top w:w="0" w:type="dxa"/>
              <w:left w:w="108" w:type="dxa"/>
              <w:bottom w:w="0" w:type="dxa"/>
              <w:right w:w="108" w:type="dxa"/>
            </w:tcMar>
            <w:textDirection w:val="btLr"/>
            <w:vAlign w:val="center"/>
          </w:tcPr>
          <w:p w14:paraId="6914DBCB" w14:textId="77777777" w:rsidR="00BE7F89" w:rsidRPr="00AC3044" w:rsidRDefault="00BE7F89" w:rsidP="005A428D">
            <w:pPr>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40EC8F" w14:textId="77777777" w:rsidR="00BE7F89" w:rsidRPr="00AC3044" w:rsidRDefault="00BE7F89" w:rsidP="005A428D">
            <w:pPr>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C026C8" w14:textId="77777777" w:rsidR="00BE7F89" w:rsidRPr="00AC3044" w:rsidRDefault="00BE7F89" w:rsidP="005A428D">
            <w:pPr>
              <w:rPr>
                <w:rFonts w:eastAsia="SimSun"/>
              </w:rPr>
            </w:pPr>
            <w:r w:rsidRPr="00AC3044">
              <w:rPr>
                <w:rFonts w:eastAsia="SimSun"/>
              </w:rPr>
              <w:t>1000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9C91A9" w14:textId="77777777" w:rsidR="00BE7F89" w:rsidRPr="00AC3044" w:rsidRDefault="00BE7F89" w:rsidP="005A428D">
            <w:pPr>
              <w:rPr>
                <w:rFonts w:eastAsia="SimSun"/>
              </w:rPr>
            </w:pPr>
            <w:r w:rsidRPr="00AC3044">
              <w:rPr>
                <w:rFonts w:eastAsia="SimSun"/>
              </w:rPr>
              <w:t>2000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8CD36A" w14:textId="77777777" w:rsidR="00BE7F89" w:rsidRPr="00AC3044" w:rsidRDefault="00BE7F89" w:rsidP="005A428D">
            <w:pPr>
              <w:rPr>
                <w:rFonts w:eastAsia="SimSun"/>
              </w:rPr>
            </w:pPr>
            <w:r w:rsidRPr="00AC3044">
              <w:rPr>
                <w:rFonts w:eastAsia="SimSun"/>
              </w:rPr>
              <w:t>-7, -6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976D3E"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35E21AF4" w14:textId="77777777" w:rsidTr="005A428D">
        <w:trPr>
          <w:trHeight w:val="402"/>
        </w:trPr>
        <w:tc>
          <w:tcPr>
            <w:tcW w:w="958" w:type="dxa"/>
            <w:vMerge/>
            <w:tcBorders>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2BFDC53" w14:textId="77777777" w:rsidR="00BE7F89" w:rsidRPr="00AC3044" w:rsidRDefault="00BE7F89" w:rsidP="005A428D">
            <w:pPr>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741A9A" w14:textId="77777777" w:rsidR="00BE7F89" w:rsidRPr="00AC3044" w:rsidRDefault="00BE7F89" w:rsidP="005A428D">
            <w:pPr>
              <w:rPr>
                <w:rFonts w:eastAsia="SimSun"/>
              </w:rPr>
            </w:pPr>
            <w:r w:rsidRPr="00AC3044">
              <w:rPr>
                <w:rFonts w:eastAsia="SimSun"/>
              </w:rPr>
              <w:t>Мелфалан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2D8237" w14:textId="77777777" w:rsidR="00BE7F89" w:rsidRPr="00AC3044" w:rsidRDefault="00BE7F89" w:rsidP="005A428D">
            <w:pPr>
              <w:rPr>
                <w:rFonts w:eastAsia="SimSun"/>
              </w:rPr>
            </w:pPr>
            <w:r w:rsidRPr="00AC3044">
              <w:rPr>
                <w:rFonts w:eastAsia="SimSun"/>
              </w:rPr>
              <w:t>140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E9484E" w14:textId="77777777" w:rsidR="00BE7F89" w:rsidRPr="00AC3044" w:rsidRDefault="00BE7F89" w:rsidP="005A428D">
            <w:pPr>
              <w:rPr>
                <w:rFonts w:eastAsia="SimSun"/>
              </w:rPr>
            </w:pPr>
            <w:r w:rsidRPr="00AC3044">
              <w:rPr>
                <w:rFonts w:eastAsia="SimSun"/>
              </w:rPr>
              <w:t>140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87A763" w14:textId="77777777" w:rsidR="00BE7F89" w:rsidRPr="00AC3044" w:rsidRDefault="00BE7F89" w:rsidP="005A428D">
            <w:pPr>
              <w:rPr>
                <w:rFonts w:eastAsia="SimSun"/>
              </w:rPr>
            </w:pPr>
            <w:r w:rsidRPr="00AC3044">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2D4CA5"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01CFA8AD" w14:textId="77777777" w:rsidTr="005A428D">
        <w:trPr>
          <w:trHeight w:val="20"/>
        </w:trPr>
        <w:tc>
          <w:tcPr>
            <w:tcW w:w="95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E30C148" w14:textId="77777777" w:rsidR="00BE7F89" w:rsidRPr="00AC3044" w:rsidRDefault="00BE7F89" w:rsidP="005A428D">
            <w:pPr>
              <w:rPr>
                <w:rFonts w:eastAsia="SimSun"/>
              </w:rPr>
            </w:pPr>
            <w:r w:rsidRPr="00AC3044">
              <w:rPr>
                <w:rFonts w:eastAsia="SimSun"/>
              </w:rPr>
              <w:t>Профилактика РТПХ</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3BB4C" w14:textId="77777777" w:rsidR="00BE7F89" w:rsidRPr="00AC3044" w:rsidRDefault="00BE7F89" w:rsidP="005A428D">
            <w:pPr>
              <w:rPr>
                <w:rFonts w:eastAsia="SimSun"/>
              </w:rPr>
            </w:pPr>
            <w:r w:rsidRPr="00AC3044">
              <w:rPr>
                <w:rFonts w:eastAsia="SimSun"/>
              </w:rPr>
              <w:t>Циклоспорин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E55223" w14:textId="77777777" w:rsidR="00BE7F89" w:rsidRPr="00AC3044" w:rsidRDefault="00BE7F89" w:rsidP="005A428D">
            <w:pPr>
              <w:rPr>
                <w:rFonts w:eastAsia="SimSun"/>
              </w:rPr>
            </w:pPr>
            <w:r w:rsidRPr="00AC3044">
              <w:rPr>
                <w:rFonts w:eastAsia="SimSun"/>
              </w:rPr>
              <w:t>3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8CE88D" w14:textId="77777777" w:rsidR="00BE7F89" w:rsidRPr="00AC3044" w:rsidRDefault="00BE7F89" w:rsidP="005A428D">
            <w:pPr>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C228E9" w14:textId="77777777" w:rsidR="00BE7F89" w:rsidRPr="00AC3044" w:rsidRDefault="00BE7F89" w:rsidP="005A428D">
            <w:pPr>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A85B9F"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w:t>
            </w:r>
            <w:r>
              <w:rPr>
                <w:rFonts w:eastAsia="SimSun"/>
              </w:rPr>
              <w:t xml:space="preserve"> </w:t>
            </w:r>
            <w:r w:rsidRPr="00AC3044">
              <w:rPr>
                <w:rFonts w:eastAsia="SimSun"/>
              </w:rPr>
              <w:t>пг/мл</w:t>
            </w:r>
          </w:p>
        </w:tc>
      </w:tr>
      <w:tr w:rsidR="00BE7F89" w:rsidRPr="00AC3044" w14:paraId="06C6C4C7" w14:textId="77777777" w:rsidTr="005A428D">
        <w:trPr>
          <w:trHeight w:val="20"/>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869405" w14:textId="77777777" w:rsidR="00BE7F89" w:rsidRPr="00AC3044" w:rsidRDefault="00BE7F89" w:rsidP="005A428D">
            <w:pPr>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E94CE0" w14:textId="77777777" w:rsidR="00BE7F89" w:rsidRPr="00AC3044" w:rsidRDefault="00BE7F89" w:rsidP="005A428D">
            <w:pPr>
              <w:rPr>
                <w:rFonts w:eastAsia="SimSun"/>
              </w:rPr>
            </w:pPr>
            <w:r w:rsidRPr="00AC3044">
              <w:rPr>
                <w:rFonts w:eastAsia="SimSun"/>
              </w:rPr>
              <w:t>Микофенолата мофетил</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36FBAC" w14:textId="77777777" w:rsidR="00BE7F89" w:rsidRPr="00AC3044" w:rsidRDefault="00BE7F89" w:rsidP="005A428D">
            <w:pPr>
              <w:rPr>
                <w:rFonts w:eastAsia="SimSun"/>
              </w:rPr>
            </w:pPr>
            <w:r w:rsidRPr="00AC3044">
              <w:rPr>
                <w:rFonts w:eastAsia="SimSun"/>
              </w:rPr>
              <w:t>45 мг/кг</w:t>
            </w:r>
            <w:r w:rsidRPr="00AC3044">
              <w:rPr>
                <w:rFonts w:eastAsia="SimSun"/>
              </w:rPr>
              <w:tab/>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61EE92" w14:textId="77777777" w:rsidR="00BE7F89" w:rsidRPr="00AC3044" w:rsidRDefault="00BE7F89" w:rsidP="005A428D">
            <w:pPr>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0A1EE5" w14:textId="77777777" w:rsidR="00BE7F89" w:rsidRPr="00AC3044" w:rsidRDefault="00BE7F89" w:rsidP="005A428D">
            <w:pPr>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501872"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r w:rsidR="00BE7F89" w:rsidRPr="00AC3044" w14:paraId="45791871" w14:textId="77777777" w:rsidTr="005A428D">
        <w:trPr>
          <w:trHeight w:val="464"/>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77C755" w14:textId="77777777" w:rsidR="00BE7F89" w:rsidRPr="00AC3044" w:rsidRDefault="00BE7F89" w:rsidP="005A428D">
            <w:pPr>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26D4D5" w14:textId="77777777" w:rsidR="00BE7F89" w:rsidRPr="00AC3044" w:rsidRDefault="00BE7F89" w:rsidP="005A428D">
            <w:pPr>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BFB7C3" w14:textId="77777777" w:rsidR="00BE7F89" w:rsidRPr="00AC3044" w:rsidRDefault="00BE7F89" w:rsidP="005A428D">
            <w:pPr>
              <w:rPr>
                <w:rFonts w:eastAsia="SimSun"/>
              </w:rPr>
            </w:pPr>
            <w:r w:rsidRPr="00AC3044">
              <w:rPr>
                <w:rFonts w:eastAsia="SimSun"/>
              </w:rPr>
              <w:t>50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F97925" w14:textId="77777777" w:rsidR="00BE7F89" w:rsidRPr="00AC3044" w:rsidRDefault="00BE7F89" w:rsidP="005A428D">
            <w:pPr>
              <w:rPr>
                <w:rFonts w:eastAsia="SimSun"/>
              </w:rPr>
            </w:pPr>
            <w:r w:rsidRPr="00AC3044">
              <w:rPr>
                <w:rFonts w:eastAsia="SimSun"/>
              </w:rPr>
              <w:t>100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A98152" w14:textId="77777777" w:rsidR="00BE7F89" w:rsidRPr="00AC3044" w:rsidRDefault="00BE7F89" w:rsidP="005A428D">
            <w:pPr>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D2EA73" w14:textId="77777777" w:rsidR="00BE7F89" w:rsidRPr="00AC3044" w:rsidRDefault="00BE7F89" w:rsidP="005A428D">
            <w:pPr>
              <w:rPr>
                <w:rFonts w:eastAsia="SimSun"/>
              </w:rPr>
            </w:pPr>
            <w:r w:rsidRPr="00AC3044">
              <w:rPr>
                <w:rFonts w:eastAsia="SimSun"/>
              </w:rPr>
              <w:t>В/в, в течение 2 часов</w:t>
            </w:r>
          </w:p>
        </w:tc>
      </w:tr>
    </w:tbl>
    <w:p w14:paraId="51AB78A6" w14:textId="77777777" w:rsidR="00BE7F89" w:rsidRDefault="00BE7F89" w:rsidP="00BE7F89">
      <w:pPr>
        <w:rPr>
          <w:rFonts w:eastAsia="SimSun"/>
        </w:rPr>
      </w:pPr>
      <w:bookmarkStart w:id="169" w:name="_Toc44401178"/>
    </w:p>
    <w:p w14:paraId="3A404ABA"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1.2.20  – Flu150+Treo36 / PT-Cy+CSA+MMF30</w:t>
      </w:r>
      <w:bookmarkEnd w:id="16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BE7F89" w:rsidRPr="00AC3044" w14:paraId="7A5E9F13" w14:textId="77777777" w:rsidTr="005A428D">
        <w:trPr>
          <w:cantSplit/>
          <w:trHeight w:val="20"/>
          <w:tblHeader/>
        </w:trPr>
        <w:tc>
          <w:tcPr>
            <w:tcW w:w="993" w:type="dxa"/>
          </w:tcPr>
          <w:p w14:paraId="4F7F93EA" w14:textId="77777777" w:rsidR="00BE7F89" w:rsidRPr="00470D3D" w:rsidRDefault="00BE7F89" w:rsidP="005A428D">
            <w:pPr>
              <w:rPr>
                <w:rFonts w:eastAsia="SimSun"/>
              </w:rPr>
            </w:pPr>
          </w:p>
          <w:p w14:paraId="6C5A69BF" w14:textId="77777777" w:rsidR="00BE7F89" w:rsidRPr="00470D3D" w:rsidRDefault="00BE7F89" w:rsidP="005A428D">
            <w:pPr>
              <w:rPr>
                <w:rFonts w:eastAsia="SimSun"/>
              </w:rPr>
            </w:pPr>
          </w:p>
        </w:tc>
        <w:tc>
          <w:tcPr>
            <w:tcW w:w="1701" w:type="dxa"/>
            <w:vAlign w:val="center"/>
          </w:tcPr>
          <w:p w14:paraId="6397BA3F"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4ED0F873"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41D82D64"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1D523876"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764CC641"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674BF2C2" w14:textId="77777777" w:rsidTr="005A428D">
        <w:trPr>
          <w:cantSplit/>
          <w:trHeight w:val="20"/>
        </w:trPr>
        <w:tc>
          <w:tcPr>
            <w:tcW w:w="993" w:type="dxa"/>
            <w:vMerge w:val="restart"/>
            <w:textDirection w:val="btLr"/>
            <w:vAlign w:val="center"/>
          </w:tcPr>
          <w:p w14:paraId="1B0998A9"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5A324F81"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5720E5F9"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242360B1" w14:textId="77777777" w:rsidR="00BE7F89" w:rsidRPr="00AC3044" w:rsidRDefault="00BE7F89" w:rsidP="005A428D">
            <w:pPr>
              <w:rPr>
                <w:rFonts w:eastAsia="SimSun"/>
              </w:rPr>
            </w:pPr>
            <w:r w:rsidRPr="00AC3044">
              <w:rPr>
                <w:rFonts w:eastAsia="SimSun"/>
              </w:rPr>
              <w:t>150 мг/м</w:t>
            </w:r>
            <w:r w:rsidRPr="001E6DBE">
              <w:rPr>
                <w:rFonts w:eastAsia="SimSun"/>
                <w:vertAlign w:val="superscript"/>
              </w:rPr>
              <w:t>2</w:t>
            </w:r>
          </w:p>
        </w:tc>
        <w:tc>
          <w:tcPr>
            <w:tcW w:w="1418" w:type="dxa"/>
            <w:vAlign w:val="center"/>
          </w:tcPr>
          <w:p w14:paraId="7C413AF7" w14:textId="77777777" w:rsidR="00BE7F89" w:rsidRPr="00AC3044" w:rsidRDefault="00BE7F89" w:rsidP="005A428D">
            <w:pPr>
              <w:rPr>
                <w:rFonts w:eastAsia="SimSun"/>
              </w:rPr>
            </w:pPr>
            <w:r w:rsidRPr="00AC3044">
              <w:rPr>
                <w:rFonts w:eastAsia="SimSun"/>
              </w:rPr>
              <w:t>С –6 по –2 день</w:t>
            </w:r>
          </w:p>
        </w:tc>
        <w:tc>
          <w:tcPr>
            <w:tcW w:w="2268" w:type="dxa"/>
            <w:vAlign w:val="center"/>
          </w:tcPr>
          <w:p w14:paraId="6D801FAC"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061510A0" w14:textId="77777777" w:rsidTr="005A428D">
        <w:trPr>
          <w:cantSplit/>
          <w:trHeight w:val="801"/>
        </w:trPr>
        <w:tc>
          <w:tcPr>
            <w:tcW w:w="993" w:type="dxa"/>
            <w:vMerge/>
            <w:textDirection w:val="btLr"/>
            <w:vAlign w:val="center"/>
          </w:tcPr>
          <w:p w14:paraId="67ACDE42" w14:textId="77777777" w:rsidR="00BE7F89" w:rsidRPr="00AC3044" w:rsidRDefault="00BE7F89" w:rsidP="005A428D">
            <w:pPr>
              <w:rPr>
                <w:rFonts w:eastAsia="SimSun"/>
              </w:rPr>
            </w:pPr>
          </w:p>
        </w:tc>
        <w:tc>
          <w:tcPr>
            <w:tcW w:w="1701" w:type="dxa"/>
            <w:vAlign w:val="center"/>
          </w:tcPr>
          <w:p w14:paraId="6DD76563" w14:textId="77777777" w:rsidR="00BE7F89" w:rsidRPr="00AC3044" w:rsidRDefault="00BE7F89" w:rsidP="005A428D">
            <w:pPr>
              <w:rPr>
                <w:rFonts w:eastAsia="SimSun"/>
              </w:rPr>
            </w:pPr>
            <w:r w:rsidRPr="00AC3044">
              <w:rPr>
                <w:rFonts w:eastAsia="SimSun"/>
              </w:rPr>
              <w:t>Треосульфан</w:t>
            </w:r>
          </w:p>
        </w:tc>
        <w:tc>
          <w:tcPr>
            <w:tcW w:w="1559" w:type="dxa"/>
            <w:vAlign w:val="center"/>
          </w:tcPr>
          <w:p w14:paraId="7B5977E1" w14:textId="77777777" w:rsidR="00BE7F89" w:rsidRPr="00AC3044" w:rsidRDefault="00BE7F89" w:rsidP="005A428D">
            <w:pPr>
              <w:rPr>
                <w:rFonts w:eastAsia="SimSun"/>
              </w:rPr>
            </w:pPr>
            <w:r w:rsidRPr="00AC3044">
              <w:rPr>
                <w:rFonts w:eastAsia="SimSun"/>
              </w:rPr>
              <w:t>12 г/м</w:t>
            </w:r>
            <w:r w:rsidRPr="001E6DBE">
              <w:rPr>
                <w:rFonts w:eastAsia="SimSun"/>
                <w:vertAlign w:val="superscript"/>
              </w:rPr>
              <w:t>2</w:t>
            </w:r>
          </w:p>
        </w:tc>
        <w:tc>
          <w:tcPr>
            <w:tcW w:w="1701" w:type="dxa"/>
            <w:vAlign w:val="center"/>
          </w:tcPr>
          <w:p w14:paraId="3258E8C0" w14:textId="77777777" w:rsidR="00BE7F89" w:rsidRPr="00AC3044" w:rsidRDefault="00BE7F89" w:rsidP="005A428D">
            <w:pPr>
              <w:rPr>
                <w:rFonts w:eastAsia="SimSun"/>
              </w:rPr>
            </w:pPr>
            <w:r w:rsidRPr="00AC3044">
              <w:rPr>
                <w:rFonts w:eastAsia="SimSun"/>
              </w:rPr>
              <w:t>36 г/м</w:t>
            </w:r>
            <w:r w:rsidRPr="001E6DBE">
              <w:rPr>
                <w:rFonts w:eastAsia="SimSun"/>
                <w:vertAlign w:val="superscript"/>
              </w:rPr>
              <w:t>2</w:t>
            </w:r>
          </w:p>
        </w:tc>
        <w:tc>
          <w:tcPr>
            <w:tcW w:w="1418" w:type="dxa"/>
            <w:vAlign w:val="center"/>
          </w:tcPr>
          <w:p w14:paraId="17E5EAE3" w14:textId="77777777" w:rsidR="00BE7F89" w:rsidRPr="00AC3044" w:rsidRDefault="00BE7F89" w:rsidP="005A428D">
            <w:pPr>
              <w:rPr>
                <w:rFonts w:eastAsia="SimSun"/>
              </w:rPr>
            </w:pPr>
            <w:r w:rsidRPr="00AC3044">
              <w:rPr>
                <w:rFonts w:eastAsia="SimSun"/>
              </w:rPr>
              <w:t>С –6 по –4 день</w:t>
            </w:r>
          </w:p>
        </w:tc>
        <w:tc>
          <w:tcPr>
            <w:tcW w:w="2268" w:type="dxa"/>
            <w:vAlign w:val="center"/>
          </w:tcPr>
          <w:p w14:paraId="6A70D7D6" w14:textId="77777777" w:rsidR="00BE7F89" w:rsidRPr="00AC3044" w:rsidRDefault="00BE7F89" w:rsidP="005A428D">
            <w:pPr>
              <w:rPr>
                <w:rFonts w:eastAsia="SimSun"/>
              </w:rPr>
            </w:pPr>
            <w:r w:rsidRPr="00AC3044">
              <w:rPr>
                <w:rFonts w:eastAsia="SimSun"/>
              </w:rPr>
              <w:t>В/в, в течение 2 ч</w:t>
            </w:r>
          </w:p>
        </w:tc>
      </w:tr>
      <w:tr w:rsidR="00BE7F89" w:rsidRPr="00AC3044" w14:paraId="4F070DB1" w14:textId="77777777" w:rsidTr="005A428D">
        <w:trPr>
          <w:cantSplit/>
          <w:trHeight w:val="20"/>
        </w:trPr>
        <w:tc>
          <w:tcPr>
            <w:tcW w:w="993" w:type="dxa"/>
            <w:vMerge w:val="restart"/>
            <w:textDirection w:val="btLr"/>
            <w:vAlign w:val="center"/>
          </w:tcPr>
          <w:p w14:paraId="712B8278"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2D392636"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047BBFC3" w14:textId="77777777" w:rsidR="00BE7F89" w:rsidRPr="00AC3044" w:rsidRDefault="00BE7F89" w:rsidP="005A428D">
            <w:pPr>
              <w:rPr>
                <w:rFonts w:eastAsia="SimSun"/>
              </w:rPr>
            </w:pPr>
            <w:r w:rsidRPr="00AC3044">
              <w:rPr>
                <w:rFonts w:eastAsia="SimSun"/>
              </w:rPr>
              <w:t>50 мг/кг</w:t>
            </w:r>
          </w:p>
        </w:tc>
        <w:tc>
          <w:tcPr>
            <w:tcW w:w="1701" w:type="dxa"/>
            <w:vAlign w:val="center"/>
          </w:tcPr>
          <w:p w14:paraId="1A783CA9" w14:textId="77777777" w:rsidR="00BE7F89" w:rsidRPr="00AC3044" w:rsidRDefault="00BE7F89" w:rsidP="005A428D">
            <w:pPr>
              <w:rPr>
                <w:rFonts w:eastAsia="SimSun"/>
              </w:rPr>
            </w:pPr>
            <w:r w:rsidRPr="00AC3044">
              <w:rPr>
                <w:rFonts w:eastAsia="SimSun"/>
              </w:rPr>
              <w:t>100 мг/кг</w:t>
            </w:r>
          </w:p>
        </w:tc>
        <w:tc>
          <w:tcPr>
            <w:tcW w:w="1418" w:type="dxa"/>
            <w:vAlign w:val="center"/>
          </w:tcPr>
          <w:p w14:paraId="11BBE84E" w14:textId="77777777" w:rsidR="00BE7F89" w:rsidRPr="00AC3044" w:rsidRDefault="00BE7F89" w:rsidP="005A428D">
            <w:pPr>
              <w:rPr>
                <w:rFonts w:eastAsia="SimSun"/>
              </w:rPr>
            </w:pPr>
            <w:r w:rsidRPr="00AC3044">
              <w:rPr>
                <w:rFonts w:eastAsia="SimSun"/>
              </w:rPr>
              <w:t xml:space="preserve">+3,+4 дни </w:t>
            </w:r>
          </w:p>
        </w:tc>
        <w:tc>
          <w:tcPr>
            <w:tcW w:w="2268" w:type="dxa"/>
            <w:vAlign w:val="center"/>
          </w:tcPr>
          <w:p w14:paraId="70CBA1B2"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4480E3AF" w14:textId="77777777" w:rsidTr="005A428D">
        <w:trPr>
          <w:cantSplit/>
          <w:trHeight w:val="20"/>
        </w:trPr>
        <w:tc>
          <w:tcPr>
            <w:tcW w:w="993" w:type="dxa"/>
            <w:vMerge/>
            <w:textDirection w:val="btLr"/>
          </w:tcPr>
          <w:p w14:paraId="5CA52C05" w14:textId="77777777" w:rsidR="00BE7F89" w:rsidRPr="00AC3044" w:rsidRDefault="00BE7F89" w:rsidP="005A428D">
            <w:pPr>
              <w:rPr>
                <w:rFonts w:eastAsia="SimSun"/>
              </w:rPr>
            </w:pPr>
          </w:p>
        </w:tc>
        <w:tc>
          <w:tcPr>
            <w:tcW w:w="1701" w:type="dxa"/>
            <w:vAlign w:val="center"/>
          </w:tcPr>
          <w:p w14:paraId="4796AB29" w14:textId="77777777" w:rsidR="00BE7F89" w:rsidRPr="00AC3044" w:rsidRDefault="00BE7F89" w:rsidP="005A428D">
            <w:pPr>
              <w:rPr>
                <w:rFonts w:eastAsia="SimSun"/>
              </w:rPr>
            </w:pPr>
            <w:r w:rsidRPr="00AC3044">
              <w:rPr>
                <w:rFonts w:eastAsia="SimSun"/>
              </w:rPr>
              <w:t>Циклоспорин</w:t>
            </w:r>
          </w:p>
        </w:tc>
        <w:tc>
          <w:tcPr>
            <w:tcW w:w="1559" w:type="dxa"/>
            <w:vAlign w:val="center"/>
          </w:tcPr>
          <w:p w14:paraId="7A311A95" w14:textId="77777777" w:rsidR="00BE7F89" w:rsidRPr="00AC3044" w:rsidRDefault="00BE7F89" w:rsidP="005A428D">
            <w:pPr>
              <w:rPr>
                <w:rFonts w:eastAsia="SimSun"/>
              </w:rPr>
            </w:pPr>
            <w:r w:rsidRPr="00AC3044">
              <w:rPr>
                <w:rFonts w:eastAsia="SimSun"/>
              </w:rPr>
              <w:t>3 мг/кг</w:t>
            </w:r>
          </w:p>
        </w:tc>
        <w:tc>
          <w:tcPr>
            <w:tcW w:w="1701" w:type="dxa"/>
            <w:vAlign w:val="center"/>
          </w:tcPr>
          <w:p w14:paraId="48D5CC66" w14:textId="77777777" w:rsidR="00BE7F89" w:rsidRPr="00AC3044" w:rsidRDefault="00BE7F89" w:rsidP="005A428D">
            <w:pPr>
              <w:rPr>
                <w:rFonts w:eastAsia="SimSun"/>
              </w:rPr>
            </w:pPr>
            <w:r w:rsidRPr="00AC3044">
              <w:rPr>
                <w:rFonts w:eastAsia="SimSun"/>
              </w:rPr>
              <w:t>–</w:t>
            </w:r>
          </w:p>
        </w:tc>
        <w:tc>
          <w:tcPr>
            <w:tcW w:w="1418" w:type="dxa"/>
            <w:vAlign w:val="center"/>
          </w:tcPr>
          <w:p w14:paraId="4D0F5213" w14:textId="77777777" w:rsidR="00BE7F89" w:rsidRPr="00AC3044" w:rsidRDefault="00BE7F89" w:rsidP="005A428D">
            <w:pPr>
              <w:rPr>
                <w:rFonts w:eastAsia="SimSun"/>
              </w:rPr>
            </w:pPr>
            <w:r w:rsidRPr="00AC3044">
              <w:rPr>
                <w:rFonts w:eastAsia="SimSun"/>
              </w:rPr>
              <w:t>С +5 по +60 день, затем постепенное снижение к +100 дню</w:t>
            </w:r>
          </w:p>
        </w:tc>
        <w:tc>
          <w:tcPr>
            <w:tcW w:w="2268" w:type="dxa"/>
            <w:vAlign w:val="center"/>
          </w:tcPr>
          <w:p w14:paraId="5FCC87C1"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144B7C33" w14:textId="77777777" w:rsidTr="005A428D">
        <w:trPr>
          <w:cantSplit/>
          <w:trHeight w:val="464"/>
        </w:trPr>
        <w:tc>
          <w:tcPr>
            <w:tcW w:w="993" w:type="dxa"/>
            <w:vMerge/>
          </w:tcPr>
          <w:p w14:paraId="1FAB91FC" w14:textId="77777777" w:rsidR="00BE7F89" w:rsidRPr="00AC3044" w:rsidRDefault="00BE7F89" w:rsidP="005A428D">
            <w:pPr>
              <w:rPr>
                <w:rFonts w:eastAsia="SimSun"/>
              </w:rPr>
            </w:pPr>
          </w:p>
        </w:tc>
        <w:tc>
          <w:tcPr>
            <w:tcW w:w="1701" w:type="dxa"/>
            <w:vAlign w:val="center"/>
          </w:tcPr>
          <w:p w14:paraId="140C291F"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3192430F" w14:textId="77777777" w:rsidR="00BE7F89" w:rsidRPr="00AC3044" w:rsidRDefault="00BE7F89" w:rsidP="005A428D">
            <w:pPr>
              <w:rPr>
                <w:rFonts w:eastAsia="SimSun"/>
              </w:rPr>
            </w:pPr>
            <w:r w:rsidRPr="00AC3044">
              <w:rPr>
                <w:rFonts w:eastAsia="SimSun"/>
              </w:rPr>
              <w:t>30 мг/кг</w:t>
            </w:r>
          </w:p>
        </w:tc>
        <w:tc>
          <w:tcPr>
            <w:tcW w:w="1701" w:type="dxa"/>
            <w:vAlign w:val="center"/>
          </w:tcPr>
          <w:p w14:paraId="53236426" w14:textId="77777777" w:rsidR="00BE7F89" w:rsidRPr="00AC3044" w:rsidRDefault="00BE7F89" w:rsidP="005A428D">
            <w:pPr>
              <w:rPr>
                <w:rFonts w:eastAsia="SimSun"/>
              </w:rPr>
            </w:pPr>
            <w:r w:rsidRPr="00AC3044">
              <w:rPr>
                <w:rFonts w:eastAsia="SimSun"/>
              </w:rPr>
              <w:t>–</w:t>
            </w:r>
          </w:p>
        </w:tc>
        <w:tc>
          <w:tcPr>
            <w:tcW w:w="1418" w:type="dxa"/>
            <w:vAlign w:val="center"/>
          </w:tcPr>
          <w:p w14:paraId="0FC5ED82" w14:textId="77777777" w:rsidR="00BE7F89" w:rsidRPr="00AC3044" w:rsidRDefault="00BE7F89" w:rsidP="005A428D">
            <w:pPr>
              <w:rPr>
                <w:rFonts w:eastAsia="SimSun"/>
              </w:rPr>
            </w:pPr>
            <w:r w:rsidRPr="00AC3044">
              <w:rPr>
                <w:rFonts w:eastAsia="SimSun"/>
              </w:rPr>
              <w:t>С +5 по +30 день</w:t>
            </w:r>
          </w:p>
        </w:tc>
        <w:tc>
          <w:tcPr>
            <w:tcW w:w="2268" w:type="dxa"/>
            <w:vAlign w:val="center"/>
          </w:tcPr>
          <w:p w14:paraId="373556B0"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3г/сут).</w:t>
            </w:r>
          </w:p>
        </w:tc>
      </w:tr>
    </w:tbl>
    <w:p w14:paraId="2EE87756" w14:textId="77777777" w:rsidR="00BE7F89" w:rsidRPr="00C07B2E" w:rsidRDefault="00BE7F89" w:rsidP="00BE7F89">
      <w:pPr>
        <w:rPr>
          <w:rFonts w:eastAsia="SimSun"/>
        </w:rPr>
      </w:pPr>
    </w:p>
    <w:p w14:paraId="2736EAAC" w14:textId="77777777" w:rsidR="00BE7F89" w:rsidRPr="00042499" w:rsidRDefault="00BE7F89" w:rsidP="00BE7F89">
      <w:pPr>
        <w:rPr>
          <w:rFonts w:eastAsia="SimSun"/>
          <w:lang w:val="en-US"/>
        </w:rPr>
      </w:pPr>
      <w:bookmarkStart w:id="170" w:name="_Toc44401179"/>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1.2.21  – </w:t>
      </w:r>
      <w:r w:rsidRPr="00C07B2E">
        <w:rPr>
          <w:rFonts w:eastAsia="SimSun"/>
        </w:rPr>
        <w:t>Flu</w:t>
      </w:r>
      <w:r w:rsidRPr="00042499">
        <w:rPr>
          <w:rFonts w:eastAsia="SimSun"/>
          <w:lang w:val="en-US"/>
        </w:rPr>
        <w:t>150+</w:t>
      </w:r>
      <w:r w:rsidRPr="00C07B2E">
        <w:rPr>
          <w:rFonts w:eastAsia="SimSun"/>
        </w:rPr>
        <w:t>Thio</w:t>
      </w:r>
      <w:r w:rsidRPr="00042499">
        <w:rPr>
          <w:rFonts w:eastAsia="SimSun"/>
          <w:lang w:val="en-US"/>
        </w:rPr>
        <w:t xml:space="preserve"> / </w:t>
      </w:r>
      <w:r w:rsidRPr="00C07B2E">
        <w:rPr>
          <w:rFonts w:eastAsia="SimSun"/>
        </w:rPr>
        <w:t>hATG</w:t>
      </w:r>
      <w:r w:rsidRPr="00042499">
        <w:rPr>
          <w:rFonts w:eastAsia="SimSun"/>
          <w:lang w:val="en-US"/>
        </w:rPr>
        <w:t>+</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17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BE7F89" w:rsidRPr="00AC3044" w14:paraId="2DCD2FFB" w14:textId="77777777" w:rsidTr="005A428D">
        <w:trPr>
          <w:cantSplit/>
          <w:trHeight w:val="20"/>
          <w:tblHeader/>
        </w:trPr>
        <w:tc>
          <w:tcPr>
            <w:tcW w:w="959" w:type="dxa"/>
            <w:vAlign w:val="center"/>
          </w:tcPr>
          <w:p w14:paraId="00D58674" w14:textId="77777777" w:rsidR="00BE7F89" w:rsidRPr="00AC3044" w:rsidRDefault="00BE7F89" w:rsidP="005A428D">
            <w:pPr>
              <w:rPr>
                <w:rFonts w:eastAsia="SimSun"/>
              </w:rPr>
            </w:pPr>
          </w:p>
        </w:tc>
        <w:tc>
          <w:tcPr>
            <w:tcW w:w="1701" w:type="dxa"/>
            <w:vAlign w:val="center"/>
          </w:tcPr>
          <w:p w14:paraId="1A93CBF0"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330367B8"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24AEBF4C"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5EED8057"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586174DD"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4DF7ACDB" w14:textId="77777777" w:rsidTr="005A428D">
        <w:trPr>
          <w:cantSplit/>
          <w:trHeight w:val="20"/>
        </w:trPr>
        <w:tc>
          <w:tcPr>
            <w:tcW w:w="959" w:type="dxa"/>
            <w:vMerge w:val="restart"/>
            <w:textDirection w:val="btLr"/>
            <w:vAlign w:val="center"/>
          </w:tcPr>
          <w:p w14:paraId="33B68707"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7C66DF05"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1186CDF6"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7B9815AE" w14:textId="77777777" w:rsidR="00BE7F89" w:rsidRPr="00AC3044" w:rsidRDefault="00BE7F89" w:rsidP="005A428D">
            <w:pPr>
              <w:rPr>
                <w:rFonts w:eastAsia="SimSun"/>
              </w:rPr>
            </w:pPr>
            <w:r w:rsidRPr="00AC3044">
              <w:rPr>
                <w:rFonts w:eastAsia="SimSun"/>
              </w:rPr>
              <w:t>150 мг/м</w:t>
            </w:r>
            <w:r w:rsidRPr="001E6DBE">
              <w:rPr>
                <w:rFonts w:eastAsia="SimSun"/>
                <w:vertAlign w:val="superscript"/>
              </w:rPr>
              <w:t>2</w:t>
            </w:r>
          </w:p>
        </w:tc>
        <w:tc>
          <w:tcPr>
            <w:tcW w:w="1418" w:type="dxa"/>
            <w:vAlign w:val="center"/>
          </w:tcPr>
          <w:p w14:paraId="1484A0B6" w14:textId="77777777" w:rsidR="00BE7F89" w:rsidRPr="00AC3044" w:rsidRDefault="00BE7F89" w:rsidP="005A428D">
            <w:pPr>
              <w:rPr>
                <w:rFonts w:eastAsia="SimSun"/>
              </w:rPr>
            </w:pPr>
            <w:r w:rsidRPr="00AC3044">
              <w:rPr>
                <w:rFonts w:eastAsia="SimSun"/>
              </w:rPr>
              <w:t>С -6 дня по -2 день</w:t>
            </w:r>
          </w:p>
        </w:tc>
        <w:tc>
          <w:tcPr>
            <w:tcW w:w="2268" w:type="dxa"/>
            <w:vAlign w:val="center"/>
          </w:tcPr>
          <w:p w14:paraId="3F161A31"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2DD51F2F" w14:textId="77777777" w:rsidTr="005A428D">
        <w:trPr>
          <w:cantSplit/>
          <w:trHeight w:val="574"/>
        </w:trPr>
        <w:tc>
          <w:tcPr>
            <w:tcW w:w="959" w:type="dxa"/>
            <w:vMerge/>
            <w:vAlign w:val="center"/>
          </w:tcPr>
          <w:p w14:paraId="31AF2C58" w14:textId="77777777" w:rsidR="00BE7F89" w:rsidRPr="00AC3044" w:rsidRDefault="00BE7F89" w:rsidP="005A428D">
            <w:pPr>
              <w:rPr>
                <w:rFonts w:eastAsia="SimSun"/>
              </w:rPr>
            </w:pPr>
          </w:p>
        </w:tc>
        <w:tc>
          <w:tcPr>
            <w:tcW w:w="1701" w:type="dxa"/>
            <w:vAlign w:val="center"/>
          </w:tcPr>
          <w:p w14:paraId="2844FD31" w14:textId="77777777" w:rsidR="00BE7F89" w:rsidRPr="00AC3044" w:rsidRDefault="00BE7F89" w:rsidP="005A428D">
            <w:pPr>
              <w:rPr>
                <w:rFonts w:eastAsia="SimSun"/>
              </w:rPr>
            </w:pPr>
            <w:r w:rsidRPr="00AC3044">
              <w:rPr>
                <w:rFonts w:eastAsia="SimSun"/>
              </w:rPr>
              <w:t>Тиотепа</w:t>
            </w:r>
          </w:p>
        </w:tc>
        <w:tc>
          <w:tcPr>
            <w:tcW w:w="1559" w:type="dxa"/>
            <w:vAlign w:val="center"/>
          </w:tcPr>
          <w:p w14:paraId="79B216BE" w14:textId="77777777" w:rsidR="00BE7F89" w:rsidRPr="00AC3044" w:rsidRDefault="00BE7F89" w:rsidP="005A428D">
            <w:pPr>
              <w:rPr>
                <w:rFonts w:eastAsia="SimSun"/>
              </w:rPr>
            </w:pPr>
            <w:r w:rsidRPr="00AC3044">
              <w:rPr>
                <w:rFonts w:eastAsia="SimSun"/>
              </w:rPr>
              <w:t>5 мг/м</w:t>
            </w:r>
            <w:r w:rsidRPr="001E6DBE">
              <w:rPr>
                <w:rFonts w:eastAsia="SimSun"/>
                <w:vertAlign w:val="superscript"/>
              </w:rPr>
              <w:t>2</w:t>
            </w:r>
            <w:r w:rsidRPr="00AC3044">
              <w:rPr>
                <w:rFonts w:eastAsia="SimSun"/>
              </w:rPr>
              <w:t xml:space="preserve"> </w:t>
            </w:r>
          </w:p>
        </w:tc>
        <w:tc>
          <w:tcPr>
            <w:tcW w:w="1701" w:type="dxa"/>
            <w:vAlign w:val="center"/>
          </w:tcPr>
          <w:p w14:paraId="401F5DFA" w14:textId="77777777" w:rsidR="00BE7F89" w:rsidRPr="00AC3044" w:rsidRDefault="00BE7F89" w:rsidP="005A428D">
            <w:pPr>
              <w:rPr>
                <w:rFonts w:eastAsia="SimSun"/>
              </w:rPr>
            </w:pPr>
            <w:r w:rsidRPr="00AC3044">
              <w:rPr>
                <w:rFonts w:eastAsia="SimSun"/>
              </w:rPr>
              <w:t>10 мг/м</w:t>
            </w:r>
            <w:r w:rsidRPr="001E6DBE">
              <w:rPr>
                <w:rFonts w:eastAsia="SimSun"/>
                <w:vertAlign w:val="superscript"/>
              </w:rPr>
              <w:t>2</w:t>
            </w:r>
          </w:p>
        </w:tc>
        <w:tc>
          <w:tcPr>
            <w:tcW w:w="1418" w:type="dxa"/>
            <w:vAlign w:val="center"/>
          </w:tcPr>
          <w:p w14:paraId="0E65097A" w14:textId="77777777" w:rsidR="00BE7F89" w:rsidRPr="00AC3044" w:rsidRDefault="00BE7F89" w:rsidP="005A428D">
            <w:pPr>
              <w:rPr>
                <w:rFonts w:eastAsia="SimSun"/>
              </w:rPr>
            </w:pPr>
            <w:r w:rsidRPr="00AC3044">
              <w:rPr>
                <w:rFonts w:eastAsia="SimSun"/>
              </w:rPr>
              <w:t xml:space="preserve"> Дни -5; -4  </w:t>
            </w:r>
          </w:p>
        </w:tc>
        <w:tc>
          <w:tcPr>
            <w:tcW w:w="2268" w:type="dxa"/>
            <w:vAlign w:val="center"/>
          </w:tcPr>
          <w:p w14:paraId="55295600" w14:textId="77777777" w:rsidR="00BE7F89" w:rsidRPr="00AC3044" w:rsidRDefault="00BE7F89" w:rsidP="005A428D">
            <w:pPr>
              <w:rPr>
                <w:rFonts w:eastAsia="SimSun"/>
              </w:rPr>
            </w:pPr>
            <w:r w:rsidRPr="00AC3044">
              <w:rPr>
                <w:rFonts w:eastAsia="SimSun"/>
              </w:rPr>
              <w:t>В/в, в течение 2 ч</w:t>
            </w:r>
          </w:p>
        </w:tc>
      </w:tr>
      <w:tr w:rsidR="00BE7F89" w:rsidRPr="00AC3044" w14:paraId="7546AD81" w14:textId="77777777" w:rsidTr="005A428D">
        <w:trPr>
          <w:cantSplit/>
          <w:trHeight w:val="695"/>
        </w:trPr>
        <w:tc>
          <w:tcPr>
            <w:tcW w:w="959" w:type="dxa"/>
            <w:vMerge w:val="restart"/>
            <w:textDirection w:val="btLr"/>
            <w:vAlign w:val="center"/>
          </w:tcPr>
          <w:p w14:paraId="641A181A"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581B88F7" w14:textId="77777777" w:rsidR="00BE7F89" w:rsidRPr="00AC3044" w:rsidRDefault="00BE7F89" w:rsidP="005A428D">
            <w:pPr>
              <w:rPr>
                <w:rFonts w:eastAsia="SimSun"/>
              </w:rPr>
            </w:pPr>
            <w:r w:rsidRPr="00AC3044">
              <w:rPr>
                <w:rFonts w:eastAsia="SimSun"/>
              </w:rPr>
              <w:t>АТГ (лошадиный)</w:t>
            </w:r>
          </w:p>
        </w:tc>
        <w:tc>
          <w:tcPr>
            <w:tcW w:w="1559" w:type="dxa"/>
            <w:vAlign w:val="center"/>
          </w:tcPr>
          <w:p w14:paraId="33625EAC" w14:textId="77777777" w:rsidR="00BE7F89" w:rsidRPr="00AC3044" w:rsidRDefault="00BE7F89" w:rsidP="005A428D">
            <w:pPr>
              <w:rPr>
                <w:rFonts w:eastAsia="SimSun"/>
              </w:rPr>
            </w:pPr>
            <w:r w:rsidRPr="00AC3044">
              <w:rPr>
                <w:rFonts w:eastAsia="SimSun"/>
              </w:rPr>
              <w:t>20 мг/кг</w:t>
            </w:r>
          </w:p>
        </w:tc>
        <w:tc>
          <w:tcPr>
            <w:tcW w:w="1701" w:type="dxa"/>
            <w:vAlign w:val="center"/>
          </w:tcPr>
          <w:p w14:paraId="5FD6B863" w14:textId="77777777" w:rsidR="00BE7F89" w:rsidRPr="00AC3044" w:rsidRDefault="00BE7F89" w:rsidP="005A428D">
            <w:pPr>
              <w:rPr>
                <w:rFonts w:eastAsia="SimSun"/>
              </w:rPr>
            </w:pPr>
            <w:r w:rsidRPr="00AC3044">
              <w:rPr>
                <w:rFonts w:eastAsia="SimSun"/>
              </w:rPr>
              <w:t>60 мг/кг</w:t>
            </w:r>
          </w:p>
        </w:tc>
        <w:tc>
          <w:tcPr>
            <w:tcW w:w="1418" w:type="dxa"/>
            <w:vAlign w:val="center"/>
          </w:tcPr>
          <w:p w14:paraId="4B6C87E1" w14:textId="77777777" w:rsidR="00BE7F89" w:rsidRPr="00AC3044" w:rsidRDefault="00BE7F89" w:rsidP="005A428D">
            <w:pPr>
              <w:rPr>
                <w:rFonts w:eastAsia="SimSun"/>
              </w:rPr>
            </w:pPr>
            <w:r w:rsidRPr="00AC3044">
              <w:rPr>
                <w:rFonts w:eastAsia="SimSun"/>
              </w:rPr>
              <w:t>В дни -3, -2, -1</w:t>
            </w:r>
          </w:p>
        </w:tc>
        <w:tc>
          <w:tcPr>
            <w:tcW w:w="2268" w:type="dxa"/>
            <w:vAlign w:val="center"/>
          </w:tcPr>
          <w:p w14:paraId="1DA59B62" w14:textId="77777777" w:rsidR="00BE7F89" w:rsidRPr="00AC3044" w:rsidRDefault="00BE7F89" w:rsidP="005A428D">
            <w:pPr>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BE7F89" w:rsidRPr="00AC3044" w14:paraId="6D5B03A4" w14:textId="77777777" w:rsidTr="005A428D">
        <w:trPr>
          <w:cantSplit/>
          <w:trHeight w:val="958"/>
        </w:trPr>
        <w:tc>
          <w:tcPr>
            <w:tcW w:w="959" w:type="dxa"/>
            <w:vMerge/>
            <w:textDirection w:val="btLr"/>
            <w:vAlign w:val="center"/>
          </w:tcPr>
          <w:p w14:paraId="337B22D4" w14:textId="77777777" w:rsidR="00BE7F89" w:rsidRPr="00AC3044" w:rsidRDefault="00BE7F89" w:rsidP="005A428D">
            <w:pPr>
              <w:rPr>
                <w:rFonts w:eastAsia="SimSun"/>
              </w:rPr>
            </w:pPr>
          </w:p>
        </w:tc>
        <w:tc>
          <w:tcPr>
            <w:tcW w:w="1701" w:type="dxa"/>
            <w:vAlign w:val="center"/>
          </w:tcPr>
          <w:p w14:paraId="15F3E753"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48FE197E" w14:textId="77777777" w:rsidR="00BE7F89" w:rsidRPr="00AC3044" w:rsidRDefault="00BE7F89" w:rsidP="005A428D">
            <w:pPr>
              <w:rPr>
                <w:rFonts w:eastAsia="SimSun"/>
              </w:rPr>
            </w:pPr>
            <w:r w:rsidRPr="00AC3044">
              <w:rPr>
                <w:rFonts w:eastAsia="SimSun"/>
              </w:rPr>
              <w:t>0,03 мг/кг</w:t>
            </w:r>
          </w:p>
        </w:tc>
        <w:tc>
          <w:tcPr>
            <w:tcW w:w="1701" w:type="dxa"/>
            <w:vAlign w:val="center"/>
          </w:tcPr>
          <w:p w14:paraId="5724D568" w14:textId="77777777" w:rsidR="00BE7F89" w:rsidRPr="00AC3044" w:rsidRDefault="00BE7F89" w:rsidP="005A428D">
            <w:pPr>
              <w:rPr>
                <w:rFonts w:eastAsia="SimSun"/>
              </w:rPr>
            </w:pPr>
            <w:r w:rsidRPr="00AC3044">
              <w:rPr>
                <w:rFonts w:eastAsia="SimSun"/>
              </w:rPr>
              <w:t>–</w:t>
            </w:r>
          </w:p>
        </w:tc>
        <w:tc>
          <w:tcPr>
            <w:tcW w:w="1418" w:type="dxa"/>
            <w:vAlign w:val="center"/>
          </w:tcPr>
          <w:p w14:paraId="3B1BE06E" w14:textId="77777777" w:rsidR="00BE7F89" w:rsidRPr="00AC3044" w:rsidRDefault="00BE7F89" w:rsidP="005A428D">
            <w:pPr>
              <w:rPr>
                <w:rFonts w:eastAsia="SimSun"/>
              </w:rPr>
            </w:pPr>
            <w:r w:rsidRPr="00AC3044">
              <w:rPr>
                <w:rFonts w:eastAsia="SimSun"/>
              </w:rPr>
              <w:t xml:space="preserve">С -1 дня длительно </w:t>
            </w:r>
          </w:p>
        </w:tc>
        <w:tc>
          <w:tcPr>
            <w:tcW w:w="2268" w:type="dxa"/>
            <w:vAlign w:val="center"/>
          </w:tcPr>
          <w:p w14:paraId="377DBA26"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3A367C89" w14:textId="77777777" w:rsidTr="005A428D">
        <w:trPr>
          <w:cantSplit/>
          <w:trHeight w:val="986"/>
        </w:trPr>
        <w:tc>
          <w:tcPr>
            <w:tcW w:w="959" w:type="dxa"/>
            <w:vMerge/>
            <w:textDirection w:val="btLr"/>
            <w:vAlign w:val="center"/>
          </w:tcPr>
          <w:p w14:paraId="57A7A17D" w14:textId="77777777" w:rsidR="00BE7F89" w:rsidRPr="00AC3044" w:rsidRDefault="00BE7F89" w:rsidP="005A428D">
            <w:pPr>
              <w:rPr>
                <w:rFonts w:eastAsia="SimSun"/>
              </w:rPr>
            </w:pPr>
          </w:p>
        </w:tc>
        <w:tc>
          <w:tcPr>
            <w:tcW w:w="1701" w:type="dxa"/>
            <w:vAlign w:val="center"/>
          </w:tcPr>
          <w:p w14:paraId="54EB1C70"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5AAEE155" w14:textId="77777777" w:rsidR="00BE7F89" w:rsidRPr="00AC3044" w:rsidRDefault="00BE7F89" w:rsidP="005A428D">
            <w:pPr>
              <w:rPr>
                <w:rFonts w:eastAsia="SimSun"/>
              </w:rPr>
            </w:pPr>
            <w:r w:rsidRPr="00AC3044">
              <w:rPr>
                <w:rFonts w:eastAsia="SimSun"/>
              </w:rPr>
              <w:t xml:space="preserve">30 мг/кг </w:t>
            </w:r>
          </w:p>
        </w:tc>
        <w:tc>
          <w:tcPr>
            <w:tcW w:w="1701" w:type="dxa"/>
            <w:vAlign w:val="center"/>
          </w:tcPr>
          <w:p w14:paraId="02076242" w14:textId="77777777" w:rsidR="00BE7F89" w:rsidRPr="00AC3044" w:rsidRDefault="00BE7F89" w:rsidP="005A428D">
            <w:pPr>
              <w:rPr>
                <w:rFonts w:eastAsia="SimSun"/>
              </w:rPr>
            </w:pPr>
            <w:r w:rsidRPr="00AC3044">
              <w:rPr>
                <w:rFonts w:eastAsia="SimSun"/>
              </w:rPr>
              <w:t>–</w:t>
            </w:r>
          </w:p>
        </w:tc>
        <w:tc>
          <w:tcPr>
            <w:tcW w:w="1418" w:type="dxa"/>
            <w:vAlign w:val="center"/>
          </w:tcPr>
          <w:p w14:paraId="7051326C" w14:textId="77777777" w:rsidR="00BE7F89" w:rsidRPr="00AC3044" w:rsidRDefault="00BE7F89" w:rsidP="005A428D">
            <w:pPr>
              <w:rPr>
                <w:rFonts w:eastAsia="SimSun"/>
              </w:rPr>
            </w:pPr>
            <w:r w:rsidRPr="00AC3044">
              <w:rPr>
                <w:rFonts w:eastAsia="SimSun"/>
              </w:rPr>
              <w:t xml:space="preserve">С -1 дня по +30 день </w:t>
            </w:r>
          </w:p>
        </w:tc>
        <w:tc>
          <w:tcPr>
            <w:tcW w:w="2268" w:type="dxa"/>
            <w:vAlign w:val="center"/>
          </w:tcPr>
          <w:p w14:paraId="76085F21"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57545DDF" w14:textId="77777777" w:rsidR="00BE7F89" w:rsidRDefault="00BE7F89" w:rsidP="00BE7F89">
      <w:pPr>
        <w:rPr>
          <w:rFonts w:eastAsia="SimSun"/>
        </w:rPr>
      </w:pPr>
      <w:bookmarkStart w:id="171" w:name="_Toc44401180"/>
    </w:p>
    <w:p w14:paraId="5AA22680"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1.2.22  – Flu180+Cy1200/ hATG+Tx+MMF30</w:t>
      </w:r>
      <w:bookmarkEnd w:id="17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BE7F89" w:rsidRPr="00AC3044" w14:paraId="1CF32232" w14:textId="77777777" w:rsidTr="005A428D">
        <w:trPr>
          <w:cantSplit/>
          <w:trHeight w:val="20"/>
          <w:tblHeader/>
        </w:trPr>
        <w:tc>
          <w:tcPr>
            <w:tcW w:w="959" w:type="dxa"/>
            <w:vAlign w:val="center"/>
          </w:tcPr>
          <w:p w14:paraId="19ABEB52" w14:textId="77777777" w:rsidR="00BE7F89" w:rsidRPr="00AC3044" w:rsidRDefault="00BE7F89" w:rsidP="005A428D">
            <w:pPr>
              <w:rPr>
                <w:rFonts w:eastAsia="SimSun"/>
              </w:rPr>
            </w:pPr>
          </w:p>
        </w:tc>
        <w:tc>
          <w:tcPr>
            <w:tcW w:w="1701" w:type="dxa"/>
            <w:vAlign w:val="center"/>
          </w:tcPr>
          <w:p w14:paraId="736F7510"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15EAE392"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6F291C25"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1729BBEB"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371ADF3E"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B4E7F58" w14:textId="77777777" w:rsidTr="005A428D">
        <w:trPr>
          <w:cantSplit/>
          <w:trHeight w:val="20"/>
        </w:trPr>
        <w:tc>
          <w:tcPr>
            <w:tcW w:w="959" w:type="dxa"/>
            <w:vMerge w:val="restart"/>
            <w:textDirection w:val="btLr"/>
            <w:vAlign w:val="center"/>
          </w:tcPr>
          <w:p w14:paraId="36739562"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0B369371"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47C30A6D"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2073D02A"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1605A990"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7246A5AB"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6A69A906" w14:textId="77777777" w:rsidTr="005A428D">
        <w:trPr>
          <w:cantSplit/>
          <w:trHeight w:val="864"/>
        </w:trPr>
        <w:tc>
          <w:tcPr>
            <w:tcW w:w="959" w:type="dxa"/>
            <w:vMerge/>
            <w:vAlign w:val="center"/>
          </w:tcPr>
          <w:p w14:paraId="2D780DF0" w14:textId="77777777" w:rsidR="00BE7F89" w:rsidRPr="00AC3044" w:rsidRDefault="00BE7F89" w:rsidP="005A428D">
            <w:pPr>
              <w:rPr>
                <w:rFonts w:eastAsia="SimSun"/>
              </w:rPr>
            </w:pPr>
          </w:p>
        </w:tc>
        <w:tc>
          <w:tcPr>
            <w:tcW w:w="1701" w:type="dxa"/>
            <w:vAlign w:val="center"/>
          </w:tcPr>
          <w:p w14:paraId="71BB8827"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42632373" w14:textId="77777777" w:rsidR="00BE7F89" w:rsidRPr="00AC3044" w:rsidRDefault="00BE7F89" w:rsidP="005A428D">
            <w:pPr>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14:paraId="7053C02D" w14:textId="77777777" w:rsidR="00BE7F89" w:rsidRPr="00AC3044" w:rsidRDefault="00BE7F89" w:rsidP="005A428D">
            <w:pPr>
              <w:rPr>
                <w:rFonts w:eastAsia="SimSun"/>
              </w:rPr>
            </w:pPr>
            <w:r w:rsidRPr="00AC3044">
              <w:rPr>
                <w:rFonts w:eastAsia="SimSun"/>
              </w:rPr>
              <w:t>1200 мг/м</w:t>
            </w:r>
            <w:r w:rsidRPr="001E6DBE">
              <w:rPr>
                <w:rFonts w:eastAsia="SimSun"/>
                <w:vertAlign w:val="superscript"/>
              </w:rPr>
              <w:t>2</w:t>
            </w:r>
          </w:p>
        </w:tc>
        <w:tc>
          <w:tcPr>
            <w:tcW w:w="1418" w:type="dxa"/>
            <w:vAlign w:val="center"/>
          </w:tcPr>
          <w:p w14:paraId="5800708A" w14:textId="77777777" w:rsidR="00BE7F89" w:rsidRPr="00AC3044" w:rsidRDefault="00BE7F89" w:rsidP="005A428D">
            <w:pPr>
              <w:rPr>
                <w:rFonts w:eastAsia="SimSun"/>
              </w:rPr>
            </w:pPr>
            <w:r w:rsidRPr="00AC3044">
              <w:rPr>
                <w:rFonts w:eastAsia="SimSun"/>
              </w:rPr>
              <w:t xml:space="preserve"> С -5 дня по -2 день </w:t>
            </w:r>
          </w:p>
        </w:tc>
        <w:tc>
          <w:tcPr>
            <w:tcW w:w="2268" w:type="dxa"/>
            <w:vAlign w:val="center"/>
          </w:tcPr>
          <w:p w14:paraId="23EA3115" w14:textId="77777777" w:rsidR="00BE7F89" w:rsidRPr="00AC3044" w:rsidRDefault="00BE7F89" w:rsidP="005A428D">
            <w:pPr>
              <w:rPr>
                <w:rFonts w:eastAsia="SimSun"/>
              </w:rPr>
            </w:pPr>
            <w:r w:rsidRPr="00AC3044">
              <w:rPr>
                <w:rFonts w:eastAsia="SimSun"/>
              </w:rPr>
              <w:t>В/в, в течение 2 ч</w:t>
            </w:r>
          </w:p>
        </w:tc>
      </w:tr>
      <w:tr w:rsidR="00BE7F89" w:rsidRPr="00AC3044" w14:paraId="7EC07A9E" w14:textId="77777777" w:rsidTr="005A428D">
        <w:trPr>
          <w:cantSplit/>
          <w:trHeight w:val="640"/>
        </w:trPr>
        <w:tc>
          <w:tcPr>
            <w:tcW w:w="959" w:type="dxa"/>
            <w:vMerge w:val="restart"/>
            <w:textDirection w:val="btLr"/>
            <w:vAlign w:val="center"/>
          </w:tcPr>
          <w:p w14:paraId="7286466F"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244908D0" w14:textId="77777777" w:rsidR="00BE7F89" w:rsidRPr="00AC3044" w:rsidRDefault="00BE7F89" w:rsidP="005A428D">
            <w:pPr>
              <w:rPr>
                <w:rFonts w:eastAsia="SimSun"/>
              </w:rPr>
            </w:pPr>
            <w:r w:rsidRPr="00AC3044">
              <w:rPr>
                <w:rFonts w:eastAsia="SimSun"/>
              </w:rPr>
              <w:t xml:space="preserve"> АТГ (лошадиный)</w:t>
            </w:r>
          </w:p>
        </w:tc>
        <w:tc>
          <w:tcPr>
            <w:tcW w:w="1559" w:type="dxa"/>
            <w:vAlign w:val="center"/>
          </w:tcPr>
          <w:p w14:paraId="20E3CA0A" w14:textId="77777777" w:rsidR="00BE7F89" w:rsidRPr="00AC3044" w:rsidRDefault="00BE7F89" w:rsidP="005A428D">
            <w:pPr>
              <w:rPr>
                <w:rFonts w:eastAsia="SimSun"/>
              </w:rPr>
            </w:pPr>
            <w:r w:rsidRPr="00AC3044">
              <w:rPr>
                <w:rFonts w:eastAsia="SimSun"/>
              </w:rPr>
              <w:t>20 мг/кг</w:t>
            </w:r>
          </w:p>
        </w:tc>
        <w:tc>
          <w:tcPr>
            <w:tcW w:w="1701" w:type="dxa"/>
            <w:vAlign w:val="center"/>
          </w:tcPr>
          <w:p w14:paraId="5DCA9721" w14:textId="77777777" w:rsidR="00BE7F89" w:rsidRPr="00AC3044" w:rsidRDefault="00BE7F89" w:rsidP="005A428D">
            <w:pPr>
              <w:rPr>
                <w:rFonts w:eastAsia="SimSun"/>
              </w:rPr>
            </w:pPr>
            <w:r w:rsidRPr="00AC3044">
              <w:rPr>
                <w:rFonts w:eastAsia="SimSun"/>
              </w:rPr>
              <w:t>60 мг/кг</w:t>
            </w:r>
          </w:p>
        </w:tc>
        <w:tc>
          <w:tcPr>
            <w:tcW w:w="1418" w:type="dxa"/>
            <w:vAlign w:val="center"/>
          </w:tcPr>
          <w:p w14:paraId="4014C15A" w14:textId="77777777" w:rsidR="00BE7F89" w:rsidRPr="00AC3044" w:rsidRDefault="00BE7F89" w:rsidP="005A428D">
            <w:pPr>
              <w:rPr>
                <w:rFonts w:eastAsia="SimSun"/>
              </w:rPr>
            </w:pPr>
            <w:r w:rsidRPr="00AC3044">
              <w:rPr>
                <w:rFonts w:eastAsia="SimSun"/>
              </w:rPr>
              <w:t>В дни -3, -2, -1</w:t>
            </w:r>
          </w:p>
        </w:tc>
        <w:tc>
          <w:tcPr>
            <w:tcW w:w="2268" w:type="dxa"/>
            <w:vAlign w:val="center"/>
          </w:tcPr>
          <w:p w14:paraId="774A76E7" w14:textId="77777777" w:rsidR="00BE7F89" w:rsidRPr="00AC3044" w:rsidRDefault="00BE7F89" w:rsidP="005A428D">
            <w:pPr>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BE7F89" w:rsidRPr="00AC3044" w14:paraId="12C96D8D" w14:textId="77777777" w:rsidTr="005A428D">
        <w:trPr>
          <w:cantSplit/>
          <w:trHeight w:val="958"/>
        </w:trPr>
        <w:tc>
          <w:tcPr>
            <w:tcW w:w="959" w:type="dxa"/>
            <w:vMerge/>
            <w:textDirection w:val="btLr"/>
            <w:vAlign w:val="center"/>
          </w:tcPr>
          <w:p w14:paraId="392D0599" w14:textId="77777777" w:rsidR="00BE7F89" w:rsidRPr="00AC3044" w:rsidRDefault="00BE7F89" w:rsidP="005A428D">
            <w:pPr>
              <w:rPr>
                <w:rFonts w:eastAsia="SimSun"/>
              </w:rPr>
            </w:pPr>
          </w:p>
        </w:tc>
        <w:tc>
          <w:tcPr>
            <w:tcW w:w="1701" w:type="dxa"/>
            <w:vAlign w:val="center"/>
          </w:tcPr>
          <w:p w14:paraId="0F3C7E59"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1EC7E5EA" w14:textId="77777777" w:rsidR="00BE7F89" w:rsidRPr="00AC3044" w:rsidRDefault="00BE7F89" w:rsidP="005A428D">
            <w:pPr>
              <w:rPr>
                <w:rFonts w:eastAsia="SimSun"/>
              </w:rPr>
            </w:pPr>
            <w:r w:rsidRPr="00AC3044">
              <w:rPr>
                <w:rFonts w:eastAsia="SimSun"/>
              </w:rPr>
              <w:t>0,03 мг/кг</w:t>
            </w:r>
          </w:p>
        </w:tc>
        <w:tc>
          <w:tcPr>
            <w:tcW w:w="1701" w:type="dxa"/>
            <w:vAlign w:val="center"/>
          </w:tcPr>
          <w:p w14:paraId="75CC03B8" w14:textId="77777777" w:rsidR="00BE7F89" w:rsidRPr="00AC3044" w:rsidRDefault="00BE7F89" w:rsidP="005A428D">
            <w:pPr>
              <w:rPr>
                <w:rFonts w:eastAsia="SimSun"/>
              </w:rPr>
            </w:pPr>
            <w:r w:rsidRPr="00AC3044">
              <w:rPr>
                <w:rFonts w:eastAsia="SimSun"/>
              </w:rPr>
              <w:t>–</w:t>
            </w:r>
          </w:p>
        </w:tc>
        <w:tc>
          <w:tcPr>
            <w:tcW w:w="1418" w:type="dxa"/>
            <w:vAlign w:val="center"/>
          </w:tcPr>
          <w:p w14:paraId="2EB78F26" w14:textId="77777777" w:rsidR="00BE7F89" w:rsidRPr="00AC3044" w:rsidRDefault="00BE7F89" w:rsidP="005A428D">
            <w:pPr>
              <w:rPr>
                <w:rFonts w:eastAsia="SimSun"/>
              </w:rPr>
            </w:pPr>
            <w:r w:rsidRPr="00AC3044">
              <w:rPr>
                <w:rFonts w:eastAsia="SimSun"/>
              </w:rPr>
              <w:t xml:space="preserve">С -1 дня длительно </w:t>
            </w:r>
          </w:p>
        </w:tc>
        <w:tc>
          <w:tcPr>
            <w:tcW w:w="2268" w:type="dxa"/>
            <w:vAlign w:val="center"/>
          </w:tcPr>
          <w:p w14:paraId="52FB6E75" w14:textId="77777777" w:rsidR="00BE7F89" w:rsidRPr="00AC3044" w:rsidRDefault="00BE7F89" w:rsidP="005A428D">
            <w:pPr>
              <w:rPr>
                <w:rFonts w:eastAsia="SimSun"/>
              </w:rPr>
            </w:pPr>
            <w:r w:rsidRPr="00AC3044">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109/л, при отсутствии тошноты, рвоты, диареи и возможности приема внутрь. Концентрация Tx 5-15 нг/мл.    </w:t>
            </w:r>
          </w:p>
        </w:tc>
      </w:tr>
      <w:tr w:rsidR="00BE7F89" w:rsidRPr="00AC3044" w14:paraId="450BBDDD" w14:textId="77777777" w:rsidTr="005A428D">
        <w:trPr>
          <w:cantSplit/>
          <w:trHeight w:val="709"/>
        </w:trPr>
        <w:tc>
          <w:tcPr>
            <w:tcW w:w="959" w:type="dxa"/>
            <w:vMerge/>
            <w:textDirection w:val="btLr"/>
            <w:vAlign w:val="center"/>
          </w:tcPr>
          <w:p w14:paraId="547C750A" w14:textId="77777777" w:rsidR="00BE7F89" w:rsidRPr="00AC3044" w:rsidRDefault="00BE7F89" w:rsidP="005A428D">
            <w:pPr>
              <w:rPr>
                <w:rFonts w:eastAsia="SimSun"/>
              </w:rPr>
            </w:pPr>
          </w:p>
        </w:tc>
        <w:tc>
          <w:tcPr>
            <w:tcW w:w="1701" w:type="dxa"/>
            <w:vAlign w:val="center"/>
          </w:tcPr>
          <w:p w14:paraId="45A2F106"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17055EB4" w14:textId="77777777" w:rsidR="00BE7F89" w:rsidRPr="00AC3044" w:rsidRDefault="00BE7F89" w:rsidP="005A428D">
            <w:pPr>
              <w:rPr>
                <w:rFonts w:eastAsia="SimSun"/>
              </w:rPr>
            </w:pPr>
            <w:r w:rsidRPr="00AC3044">
              <w:rPr>
                <w:rFonts w:eastAsia="SimSun"/>
              </w:rPr>
              <w:t xml:space="preserve">30 мг/кг </w:t>
            </w:r>
          </w:p>
        </w:tc>
        <w:tc>
          <w:tcPr>
            <w:tcW w:w="1701" w:type="dxa"/>
            <w:vAlign w:val="center"/>
          </w:tcPr>
          <w:p w14:paraId="440EEBF8" w14:textId="77777777" w:rsidR="00BE7F89" w:rsidRPr="00AC3044" w:rsidRDefault="00BE7F89" w:rsidP="005A428D">
            <w:pPr>
              <w:rPr>
                <w:rFonts w:eastAsia="SimSun"/>
              </w:rPr>
            </w:pPr>
            <w:r w:rsidRPr="00AC3044">
              <w:rPr>
                <w:rFonts w:eastAsia="SimSun"/>
              </w:rPr>
              <w:t>–</w:t>
            </w:r>
          </w:p>
        </w:tc>
        <w:tc>
          <w:tcPr>
            <w:tcW w:w="1418" w:type="dxa"/>
            <w:vAlign w:val="center"/>
          </w:tcPr>
          <w:p w14:paraId="0B7F5500" w14:textId="77777777" w:rsidR="00BE7F89" w:rsidRPr="00AC3044" w:rsidRDefault="00BE7F89" w:rsidP="005A428D">
            <w:pPr>
              <w:rPr>
                <w:rFonts w:eastAsia="SimSun"/>
              </w:rPr>
            </w:pPr>
            <w:r w:rsidRPr="00AC3044">
              <w:rPr>
                <w:rFonts w:eastAsia="SimSun"/>
              </w:rPr>
              <w:t xml:space="preserve">С -1 дня по +30 день </w:t>
            </w:r>
          </w:p>
        </w:tc>
        <w:tc>
          <w:tcPr>
            <w:tcW w:w="2268" w:type="dxa"/>
            <w:vAlign w:val="center"/>
          </w:tcPr>
          <w:p w14:paraId="2EEC948D"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6E7F9C8D" w14:textId="77777777" w:rsidR="00BE7F89" w:rsidRPr="00C07B2E" w:rsidRDefault="00BE7F89" w:rsidP="00BE7F89">
      <w:pPr>
        <w:rPr>
          <w:rFonts w:eastAsia="SimSun"/>
        </w:rPr>
      </w:pPr>
    </w:p>
    <w:p w14:paraId="30A5C230" w14:textId="77777777" w:rsidR="00BE7F89" w:rsidRPr="00042499" w:rsidRDefault="00BE7F89" w:rsidP="00BE7F89">
      <w:pPr>
        <w:rPr>
          <w:rFonts w:eastAsia="SimSun"/>
          <w:lang w:val="en-US"/>
        </w:rPr>
      </w:pPr>
      <w:bookmarkStart w:id="172" w:name="_Toc44401181"/>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1.2.23  – </w:t>
      </w:r>
      <w:r w:rsidRPr="00C07B2E">
        <w:rPr>
          <w:rFonts w:eastAsia="SimSun"/>
        </w:rPr>
        <w:t>Flu</w:t>
      </w:r>
      <w:r w:rsidRPr="00042499">
        <w:rPr>
          <w:rFonts w:eastAsia="SimSun"/>
          <w:lang w:val="en-US"/>
        </w:rPr>
        <w:t>180+</w:t>
      </w:r>
      <w:r w:rsidRPr="00C07B2E">
        <w:rPr>
          <w:rFonts w:eastAsia="SimSun"/>
        </w:rPr>
        <w:t>Cy</w:t>
      </w:r>
      <w:r w:rsidRPr="00042499">
        <w:rPr>
          <w:rFonts w:eastAsia="SimSun"/>
          <w:lang w:val="en-US"/>
        </w:rPr>
        <w:t xml:space="preserve">1200 / </w:t>
      </w:r>
      <w:r w:rsidRPr="00C07B2E">
        <w:rPr>
          <w:rFonts w:eastAsia="SimSun"/>
        </w:rPr>
        <w:t>rATG</w:t>
      </w:r>
      <w:r w:rsidRPr="00042499">
        <w:rPr>
          <w:rFonts w:eastAsia="SimSun"/>
          <w:lang w:val="en-US"/>
        </w:rPr>
        <w:t>+</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17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BE7F89" w:rsidRPr="00AC3044" w14:paraId="2D54180A" w14:textId="77777777" w:rsidTr="005A428D">
        <w:trPr>
          <w:cantSplit/>
          <w:trHeight w:val="20"/>
          <w:tblHeader/>
        </w:trPr>
        <w:tc>
          <w:tcPr>
            <w:tcW w:w="959" w:type="dxa"/>
            <w:vAlign w:val="center"/>
          </w:tcPr>
          <w:p w14:paraId="621773BE" w14:textId="77777777" w:rsidR="00BE7F89" w:rsidRPr="00AC3044" w:rsidRDefault="00BE7F89" w:rsidP="005A428D">
            <w:pPr>
              <w:rPr>
                <w:rFonts w:eastAsia="SimSun"/>
              </w:rPr>
            </w:pPr>
          </w:p>
        </w:tc>
        <w:tc>
          <w:tcPr>
            <w:tcW w:w="1701" w:type="dxa"/>
            <w:vAlign w:val="center"/>
          </w:tcPr>
          <w:p w14:paraId="38C024BA"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3E4DD235"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4A85FE8A"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1182D252"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62CB53A0"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4A8DD293" w14:textId="77777777" w:rsidTr="005A428D">
        <w:trPr>
          <w:cantSplit/>
          <w:trHeight w:val="20"/>
        </w:trPr>
        <w:tc>
          <w:tcPr>
            <w:tcW w:w="959" w:type="dxa"/>
            <w:vMerge w:val="restart"/>
            <w:textDirection w:val="btLr"/>
            <w:vAlign w:val="center"/>
          </w:tcPr>
          <w:p w14:paraId="0E2AF53A"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210E7163"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4220A919"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7A03FE84"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06481760"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16B57673"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14C20848" w14:textId="77777777" w:rsidTr="005A428D">
        <w:trPr>
          <w:cantSplit/>
          <w:trHeight w:val="1207"/>
        </w:trPr>
        <w:tc>
          <w:tcPr>
            <w:tcW w:w="959" w:type="dxa"/>
            <w:vMerge/>
            <w:vAlign w:val="center"/>
          </w:tcPr>
          <w:p w14:paraId="3DD41F1A" w14:textId="77777777" w:rsidR="00BE7F89" w:rsidRPr="00AC3044" w:rsidRDefault="00BE7F89" w:rsidP="005A428D">
            <w:pPr>
              <w:rPr>
                <w:rFonts w:eastAsia="SimSun"/>
              </w:rPr>
            </w:pPr>
          </w:p>
        </w:tc>
        <w:tc>
          <w:tcPr>
            <w:tcW w:w="1701" w:type="dxa"/>
            <w:vAlign w:val="center"/>
          </w:tcPr>
          <w:p w14:paraId="0DBA1026"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360A4444" w14:textId="77777777" w:rsidR="00BE7F89" w:rsidRPr="00AC3044" w:rsidRDefault="00BE7F89" w:rsidP="005A428D">
            <w:pPr>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14:paraId="42E9C2F7" w14:textId="77777777" w:rsidR="00BE7F89" w:rsidRPr="00AC3044" w:rsidRDefault="00BE7F89" w:rsidP="005A428D">
            <w:pPr>
              <w:rPr>
                <w:rFonts w:eastAsia="SimSun"/>
              </w:rPr>
            </w:pPr>
            <w:r w:rsidRPr="00AC3044">
              <w:rPr>
                <w:rFonts w:eastAsia="SimSun"/>
              </w:rPr>
              <w:t>1200 мг/м</w:t>
            </w:r>
            <w:r w:rsidRPr="001E6DBE">
              <w:rPr>
                <w:rFonts w:eastAsia="SimSun"/>
                <w:vertAlign w:val="superscript"/>
              </w:rPr>
              <w:t>2</w:t>
            </w:r>
          </w:p>
        </w:tc>
        <w:tc>
          <w:tcPr>
            <w:tcW w:w="1418" w:type="dxa"/>
            <w:vAlign w:val="center"/>
          </w:tcPr>
          <w:p w14:paraId="1CE9448A" w14:textId="77777777" w:rsidR="00BE7F89" w:rsidRPr="00AC3044" w:rsidRDefault="00BE7F89" w:rsidP="005A428D">
            <w:pPr>
              <w:rPr>
                <w:rFonts w:eastAsia="SimSun"/>
              </w:rPr>
            </w:pPr>
            <w:r w:rsidRPr="00AC3044">
              <w:rPr>
                <w:rFonts w:eastAsia="SimSun"/>
              </w:rPr>
              <w:t xml:space="preserve"> С -5 дня по -2 день </w:t>
            </w:r>
          </w:p>
        </w:tc>
        <w:tc>
          <w:tcPr>
            <w:tcW w:w="2268" w:type="dxa"/>
            <w:vAlign w:val="center"/>
          </w:tcPr>
          <w:p w14:paraId="3BF72E8F" w14:textId="77777777" w:rsidR="00BE7F89" w:rsidRPr="00AC3044" w:rsidRDefault="00BE7F89" w:rsidP="005A428D">
            <w:pPr>
              <w:rPr>
                <w:rFonts w:eastAsia="SimSun"/>
              </w:rPr>
            </w:pPr>
            <w:r w:rsidRPr="00AC3044">
              <w:rPr>
                <w:rFonts w:eastAsia="SimSun"/>
              </w:rPr>
              <w:t>В/в, в течение 2 ч</w:t>
            </w:r>
          </w:p>
        </w:tc>
      </w:tr>
      <w:tr w:rsidR="00BE7F89" w:rsidRPr="00AC3044" w14:paraId="40AB0DC8" w14:textId="77777777" w:rsidTr="005A428D">
        <w:trPr>
          <w:cantSplit/>
          <w:trHeight w:val="858"/>
        </w:trPr>
        <w:tc>
          <w:tcPr>
            <w:tcW w:w="959" w:type="dxa"/>
            <w:vMerge w:val="restart"/>
            <w:textDirection w:val="btLr"/>
            <w:vAlign w:val="center"/>
          </w:tcPr>
          <w:p w14:paraId="72C46DF2"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74BADB2A" w14:textId="77777777" w:rsidR="00BE7F89" w:rsidRPr="00AC3044" w:rsidRDefault="00BE7F89" w:rsidP="005A428D">
            <w:pPr>
              <w:rPr>
                <w:rFonts w:eastAsia="SimSun"/>
              </w:rPr>
            </w:pPr>
            <w:r w:rsidRPr="00AC3044">
              <w:rPr>
                <w:rFonts w:eastAsia="SimSun"/>
              </w:rPr>
              <w:t>АТГ (кроличий)</w:t>
            </w:r>
          </w:p>
        </w:tc>
        <w:tc>
          <w:tcPr>
            <w:tcW w:w="1559" w:type="dxa"/>
            <w:vAlign w:val="center"/>
          </w:tcPr>
          <w:p w14:paraId="3F76DD02" w14:textId="77777777" w:rsidR="00BE7F89" w:rsidRPr="00AC3044" w:rsidRDefault="00BE7F89" w:rsidP="005A428D">
            <w:pPr>
              <w:rPr>
                <w:rFonts w:eastAsia="SimSun"/>
              </w:rPr>
            </w:pPr>
            <w:r w:rsidRPr="00AC3044">
              <w:rPr>
                <w:rFonts w:eastAsia="SimSun"/>
              </w:rPr>
              <w:t>5 мг/кг</w:t>
            </w:r>
          </w:p>
        </w:tc>
        <w:tc>
          <w:tcPr>
            <w:tcW w:w="1701" w:type="dxa"/>
            <w:vAlign w:val="center"/>
          </w:tcPr>
          <w:p w14:paraId="4E096E37" w14:textId="77777777" w:rsidR="00BE7F89" w:rsidRPr="00AC3044" w:rsidRDefault="00BE7F89" w:rsidP="005A428D">
            <w:pPr>
              <w:rPr>
                <w:rFonts w:eastAsia="SimSun"/>
              </w:rPr>
            </w:pPr>
            <w:r w:rsidRPr="00AC3044">
              <w:rPr>
                <w:rFonts w:eastAsia="SimSun"/>
              </w:rPr>
              <w:t>10 мг/кг</w:t>
            </w:r>
          </w:p>
        </w:tc>
        <w:tc>
          <w:tcPr>
            <w:tcW w:w="1418" w:type="dxa"/>
            <w:vAlign w:val="center"/>
          </w:tcPr>
          <w:p w14:paraId="5AD621AD" w14:textId="77777777" w:rsidR="00BE7F89" w:rsidRPr="00AC3044" w:rsidRDefault="00BE7F89" w:rsidP="005A428D">
            <w:pPr>
              <w:rPr>
                <w:rFonts w:eastAsia="SimSun"/>
              </w:rPr>
            </w:pPr>
            <w:r w:rsidRPr="00AC3044">
              <w:rPr>
                <w:rFonts w:eastAsia="SimSun"/>
              </w:rPr>
              <w:t>В дни -2, -1</w:t>
            </w:r>
          </w:p>
        </w:tc>
        <w:tc>
          <w:tcPr>
            <w:tcW w:w="2268" w:type="dxa"/>
            <w:vAlign w:val="center"/>
          </w:tcPr>
          <w:p w14:paraId="63D6C0B0" w14:textId="77777777" w:rsidR="00BE7F89" w:rsidRPr="00AC3044" w:rsidRDefault="00BE7F89" w:rsidP="005A428D">
            <w:pPr>
              <w:rPr>
                <w:rFonts w:eastAsia="SimSun"/>
              </w:rPr>
            </w:pPr>
            <w:r w:rsidRPr="00AC3044">
              <w:rPr>
                <w:rFonts w:eastAsia="SimSun"/>
              </w:rPr>
              <w:t>В/в. Суточная доза разделяется на 2 введения (см. гл.</w:t>
            </w:r>
            <w:r>
              <w:rPr>
                <w:rFonts w:eastAsia="SimSun"/>
              </w:rPr>
              <w:t xml:space="preserve"> </w:t>
            </w:r>
            <w:r w:rsidRPr="00AC3044">
              <w:rPr>
                <w:rFonts w:eastAsia="SimSun"/>
              </w:rPr>
              <w:t>«Инфузия АТГ»)</w:t>
            </w:r>
          </w:p>
        </w:tc>
      </w:tr>
      <w:tr w:rsidR="00BE7F89" w:rsidRPr="00AC3044" w14:paraId="76E46E32" w14:textId="77777777" w:rsidTr="005A428D">
        <w:trPr>
          <w:cantSplit/>
          <w:trHeight w:val="958"/>
        </w:trPr>
        <w:tc>
          <w:tcPr>
            <w:tcW w:w="959" w:type="dxa"/>
            <w:vMerge/>
            <w:textDirection w:val="btLr"/>
            <w:vAlign w:val="center"/>
          </w:tcPr>
          <w:p w14:paraId="7D3C966E" w14:textId="77777777" w:rsidR="00BE7F89" w:rsidRPr="00AC3044" w:rsidRDefault="00BE7F89" w:rsidP="005A428D">
            <w:pPr>
              <w:rPr>
                <w:rFonts w:eastAsia="SimSun"/>
              </w:rPr>
            </w:pPr>
          </w:p>
        </w:tc>
        <w:tc>
          <w:tcPr>
            <w:tcW w:w="1701" w:type="dxa"/>
            <w:vAlign w:val="center"/>
          </w:tcPr>
          <w:p w14:paraId="186405EE"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50443AA0" w14:textId="77777777" w:rsidR="00BE7F89" w:rsidRPr="00AC3044" w:rsidRDefault="00BE7F89" w:rsidP="005A428D">
            <w:pPr>
              <w:rPr>
                <w:rFonts w:eastAsia="SimSun"/>
              </w:rPr>
            </w:pPr>
            <w:r w:rsidRPr="00AC3044">
              <w:rPr>
                <w:rFonts w:eastAsia="SimSun"/>
              </w:rPr>
              <w:t>0,03 мг/кг</w:t>
            </w:r>
          </w:p>
        </w:tc>
        <w:tc>
          <w:tcPr>
            <w:tcW w:w="1701" w:type="dxa"/>
            <w:vAlign w:val="center"/>
          </w:tcPr>
          <w:p w14:paraId="6489EAAF" w14:textId="77777777" w:rsidR="00BE7F89" w:rsidRPr="00AC3044" w:rsidRDefault="00BE7F89" w:rsidP="005A428D">
            <w:pPr>
              <w:rPr>
                <w:rFonts w:eastAsia="SimSun"/>
              </w:rPr>
            </w:pPr>
            <w:r w:rsidRPr="00AC3044">
              <w:rPr>
                <w:rFonts w:eastAsia="SimSun"/>
              </w:rPr>
              <w:t>–</w:t>
            </w:r>
          </w:p>
        </w:tc>
        <w:tc>
          <w:tcPr>
            <w:tcW w:w="1418" w:type="dxa"/>
            <w:vAlign w:val="center"/>
          </w:tcPr>
          <w:p w14:paraId="19FD1E42" w14:textId="77777777" w:rsidR="00BE7F89" w:rsidRPr="00AC3044" w:rsidRDefault="00BE7F89" w:rsidP="005A428D">
            <w:pPr>
              <w:rPr>
                <w:rFonts w:eastAsia="SimSun"/>
              </w:rPr>
            </w:pPr>
            <w:r w:rsidRPr="00AC3044">
              <w:rPr>
                <w:rFonts w:eastAsia="SimSun"/>
              </w:rPr>
              <w:t xml:space="preserve">С -1 дня длительно </w:t>
            </w:r>
          </w:p>
        </w:tc>
        <w:tc>
          <w:tcPr>
            <w:tcW w:w="2268" w:type="dxa"/>
            <w:vAlign w:val="center"/>
          </w:tcPr>
          <w:p w14:paraId="1E7E85EC"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50937F58" w14:textId="77777777" w:rsidTr="005A428D">
        <w:trPr>
          <w:cantSplit/>
          <w:trHeight w:val="370"/>
        </w:trPr>
        <w:tc>
          <w:tcPr>
            <w:tcW w:w="959" w:type="dxa"/>
            <w:vMerge/>
            <w:textDirection w:val="btLr"/>
            <w:vAlign w:val="center"/>
          </w:tcPr>
          <w:p w14:paraId="34646E99" w14:textId="77777777" w:rsidR="00BE7F89" w:rsidRPr="00AC3044" w:rsidRDefault="00BE7F89" w:rsidP="005A428D">
            <w:pPr>
              <w:rPr>
                <w:rFonts w:eastAsia="SimSun"/>
              </w:rPr>
            </w:pPr>
          </w:p>
        </w:tc>
        <w:tc>
          <w:tcPr>
            <w:tcW w:w="1701" w:type="dxa"/>
            <w:vAlign w:val="center"/>
          </w:tcPr>
          <w:p w14:paraId="0BF3B5EF"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1F9736D7" w14:textId="77777777" w:rsidR="00BE7F89" w:rsidRPr="00AC3044" w:rsidRDefault="00BE7F89" w:rsidP="005A428D">
            <w:pPr>
              <w:rPr>
                <w:rFonts w:eastAsia="SimSun"/>
              </w:rPr>
            </w:pPr>
            <w:r w:rsidRPr="00AC3044">
              <w:rPr>
                <w:rFonts w:eastAsia="SimSun"/>
              </w:rPr>
              <w:t xml:space="preserve">30 мг/кг </w:t>
            </w:r>
          </w:p>
        </w:tc>
        <w:tc>
          <w:tcPr>
            <w:tcW w:w="1701" w:type="dxa"/>
            <w:vAlign w:val="center"/>
          </w:tcPr>
          <w:p w14:paraId="071FA59C" w14:textId="77777777" w:rsidR="00BE7F89" w:rsidRPr="00AC3044" w:rsidRDefault="00BE7F89" w:rsidP="005A428D">
            <w:pPr>
              <w:rPr>
                <w:rFonts w:eastAsia="SimSun"/>
              </w:rPr>
            </w:pPr>
            <w:r w:rsidRPr="00AC3044">
              <w:rPr>
                <w:rFonts w:eastAsia="SimSun"/>
              </w:rPr>
              <w:t>–</w:t>
            </w:r>
          </w:p>
        </w:tc>
        <w:tc>
          <w:tcPr>
            <w:tcW w:w="1418" w:type="dxa"/>
            <w:vAlign w:val="center"/>
          </w:tcPr>
          <w:p w14:paraId="6420FA6E" w14:textId="77777777" w:rsidR="00BE7F89" w:rsidRPr="00AC3044" w:rsidRDefault="00BE7F89" w:rsidP="005A428D">
            <w:pPr>
              <w:rPr>
                <w:rFonts w:eastAsia="SimSun"/>
              </w:rPr>
            </w:pPr>
            <w:r w:rsidRPr="00AC3044">
              <w:rPr>
                <w:rFonts w:eastAsia="SimSun"/>
              </w:rPr>
              <w:t xml:space="preserve">С -1 дня по +30 день </w:t>
            </w:r>
          </w:p>
        </w:tc>
        <w:tc>
          <w:tcPr>
            <w:tcW w:w="2268" w:type="dxa"/>
            <w:vAlign w:val="center"/>
          </w:tcPr>
          <w:p w14:paraId="603446F8"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45893859" w14:textId="77777777" w:rsidR="00BE7F89" w:rsidRDefault="00BE7F89" w:rsidP="00BE7F89">
      <w:pPr>
        <w:rPr>
          <w:rFonts w:eastAsia="SimSun"/>
        </w:rPr>
      </w:pPr>
      <w:bookmarkStart w:id="173" w:name="_Toc44401182"/>
    </w:p>
    <w:p w14:paraId="3C437EF5"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2.2.24 – Flu180+Mel100/ PT-Cy+Tx+MMF30</w:t>
      </w:r>
      <w:bookmarkEnd w:id="17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BE7F89" w:rsidRPr="00AC3044" w14:paraId="258A9192" w14:textId="77777777" w:rsidTr="005A428D">
        <w:trPr>
          <w:cantSplit/>
          <w:trHeight w:val="20"/>
          <w:tblHeader/>
        </w:trPr>
        <w:tc>
          <w:tcPr>
            <w:tcW w:w="959" w:type="dxa"/>
            <w:vAlign w:val="center"/>
          </w:tcPr>
          <w:p w14:paraId="046A4191" w14:textId="77777777" w:rsidR="00BE7F89" w:rsidRPr="00AC3044" w:rsidRDefault="00BE7F89" w:rsidP="005A428D">
            <w:pPr>
              <w:rPr>
                <w:rFonts w:eastAsia="SimSun"/>
              </w:rPr>
            </w:pPr>
          </w:p>
        </w:tc>
        <w:tc>
          <w:tcPr>
            <w:tcW w:w="1701" w:type="dxa"/>
            <w:vAlign w:val="center"/>
          </w:tcPr>
          <w:p w14:paraId="7B6212DE"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7C7ABB84" w14:textId="77777777" w:rsidR="00BE7F89" w:rsidRPr="00AC3044" w:rsidRDefault="00BE7F89" w:rsidP="005A428D">
            <w:pPr>
              <w:rPr>
                <w:rFonts w:eastAsia="SimSun"/>
              </w:rPr>
            </w:pPr>
            <w:r w:rsidRPr="00AC3044">
              <w:rPr>
                <w:rFonts w:eastAsia="SimSun"/>
              </w:rPr>
              <w:t>Суточная доза</w:t>
            </w:r>
          </w:p>
        </w:tc>
        <w:tc>
          <w:tcPr>
            <w:tcW w:w="1701" w:type="dxa"/>
            <w:vAlign w:val="center"/>
          </w:tcPr>
          <w:p w14:paraId="0B78B450" w14:textId="77777777" w:rsidR="00BE7F89" w:rsidRPr="00AC3044" w:rsidRDefault="00BE7F89" w:rsidP="005A428D">
            <w:pPr>
              <w:rPr>
                <w:rFonts w:eastAsia="SimSun"/>
              </w:rPr>
            </w:pPr>
            <w:r w:rsidRPr="00AC3044">
              <w:rPr>
                <w:rFonts w:eastAsia="SimSun"/>
              </w:rPr>
              <w:t>Курсовая доза</w:t>
            </w:r>
          </w:p>
        </w:tc>
        <w:tc>
          <w:tcPr>
            <w:tcW w:w="1418" w:type="dxa"/>
            <w:vAlign w:val="center"/>
          </w:tcPr>
          <w:p w14:paraId="30AA1032"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073C0B4F"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0FDF87C" w14:textId="77777777" w:rsidTr="005A428D">
        <w:trPr>
          <w:cantSplit/>
          <w:trHeight w:val="20"/>
        </w:trPr>
        <w:tc>
          <w:tcPr>
            <w:tcW w:w="959" w:type="dxa"/>
            <w:vMerge w:val="restart"/>
            <w:textDirection w:val="btLr"/>
            <w:vAlign w:val="center"/>
          </w:tcPr>
          <w:p w14:paraId="4FFF4689"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0F41CDF7"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6A872830"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701" w:type="dxa"/>
            <w:vAlign w:val="center"/>
          </w:tcPr>
          <w:p w14:paraId="5E1DA0C3"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418" w:type="dxa"/>
            <w:vAlign w:val="center"/>
          </w:tcPr>
          <w:p w14:paraId="31AD4530"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5F440EF0"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CD68CEF" w14:textId="77777777" w:rsidTr="005A428D">
        <w:trPr>
          <w:cantSplit/>
          <w:trHeight w:val="440"/>
        </w:trPr>
        <w:tc>
          <w:tcPr>
            <w:tcW w:w="959" w:type="dxa"/>
            <w:vMerge/>
            <w:vAlign w:val="center"/>
          </w:tcPr>
          <w:p w14:paraId="3A328B15" w14:textId="77777777" w:rsidR="00BE7F89" w:rsidRPr="00AC3044" w:rsidRDefault="00BE7F89" w:rsidP="005A428D">
            <w:pPr>
              <w:rPr>
                <w:rFonts w:eastAsia="SimSun"/>
              </w:rPr>
            </w:pPr>
          </w:p>
        </w:tc>
        <w:tc>
          <w:tcPr>
            <w:tcW w:w="1701" w:type="dxa"/>
            <w:vAlign w:val="center"/>
          </w:tcPr>
          <w:p w14:paraId="400E7CE5" w14:textId="77777777" w:rsidR="00BE7F89" w:rsidRPr="00AC3044" w:rsidRDefault="00BE7F89" w:rsidP="005A428D">
            <w:pPr>
              <w:rPr>
                <w:rFonts w:eastAsia="SimSun"/>
              </w:rPr>
            </w:pPr>
            <w:r w:rsidRPr="00AC3044">
              <w:rPr>
                <w:rFonts w:eastAsia="SimSun"/>
              </w:rPr>
              <w:t>Мелфалан</w:t>
            </w:r>
          </w:p>
        </w:tc>
        <w:tc>
          <w:tcPr>
            <w:tcW w:w="1559" w:type="dxa"/>
            <w:vAlign w:val="center"/>
          </w:tcPr>
          <w:p w14:paraId="06DA35FC" w14:textId="77777777" w:rsidR="00BE7F89" w:rsidRPr="00AC3044" w:rsidRDefault="00BE7F89" w:rsidP="005A428D">
            <w:pPr>
              <w:rPr>
                <w:rFonts w:eastAsia="SimSun"/>
              </w:rPr>
            </w:pPr>
            <w:r w:rsidRPr="00AC3044">
              <w:rPr>
                <w:rFonts w:eastAsia="SimSun"/>
              </w:rPr>
              <w:t>100 мг/м</w:t>
            </w:r>
            <w:r w:rsidRPr="001E6DBE">
              <w:rPr>
                <w:rFonts w:eastAsia="SimSun"/>
                <w:vertAlign w:val="superscript"/>
              </w:rPr>
              <w:t>2</w:t>
            </w:r>
            <w:r w:rsidRPr="00AC3044">
              <w:rPr>
                <w:rFonts w:eastAsia="SimSun"/>
              </w:rPr>
              <w:t xml:space="preserve"> </w:t>
            </w:r>
          </w:p>
        </w:tc>
        <w:tc>
          <w:tcPr>
            <w:tcW w:w="1701" w:type="dxa"/>
            <w:vAlign w:val="center"/>
          </w:tcPr>
          <w:p w14:paraId="7C55C163" w14:textId="77777777" w:rsidR="00BE7F89" w:rsidRPr="00AC3044" w:rsidRDefault="00BE7F89" w:rsidP="005A428D">
            <w:pPr>
              <w:rPr>
                <w:rFonts w:eastAsia="SimSun"/>
              </w:rPr>
            </w:pPr>
            <w:r w:rsidRPr="00AC3044">
              <w:rPr>
                <w:rFonts w:eastAsia="SimSun"/>
              </w:rPr>
              <w:t>100 мг/м</w:t>
            </w:r>
            <w:r w:rsidRPr="001E6DBE">
              <w:rPr>
                <w:rFonts w:eastAsia="SimSun"/>
                <w:vertAlign w:val="superscript"/>
              </w:rPr>
              <w:t>2</w:t>
            </w:r>
          </w:p>
        </w:tc>
        <w:tc>
          <w:tcPr>
            <w:tcW w:w="1418" w:type="dxa"/>
            <w:vAlign w:val="center"/>
          </w:tcPr>
          <w:p w14:paraId="00E8DFB1" w14:textId="77777777" w:rsidR="00BE7F89" w:rsidRPr="00AC3044" w:rsidRDefault="00BE7F89" w:rsidP="005A428D">
            <w:pPr>
              <w:rPr>
                <w:rFonts w:eastAsia="SimSun"/>
              </w:rPr>
            </w:pPr>
            <w:r w:rsidRPr="00AC3044">
              <w:rPr>
                <w:rFonts w:eastAsia="SimSun"/>
              </w:rPr>
              <w:t xml:space="preserve">В -2 день </w:t>
            </w:r>
          </w:p>
        </w:tc>
        <w:tc>
          <w:tcPr>
            <w:tcW w:w="2268" w:type="dxa"/>
            <w:vAlign w:val="center"/>
          </w:tcPr>
          <w:p w14:paraId="00DA2BFF"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21FAEFC0" w14:textId="77777777" w:rsidTr="005A428D">
        <w:trPr>
          <w:cantSplit/>
          <w:trHeight w:val="516"/>
        </w:trPr>
        <w:tc>
          <w:tcPr>
            <w:tcW w:w="959" w:type="dxa"/>
            <w:vMerge w:val="restart"/>
            <w:textDirection w:val="btLr"/>
            <w:vAlign w:val="center"/>
          </w:tcPr>
          <w:p w14:paraId="5DE9941C"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64E3DB40"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145F015E" w14:textId="77777777" w:rsidR="00BE7F89" w:rsidRPr="00AC3044" w:rsidRDefault="00BE7F89" w:rsidP="005A428D">
            <w:pPr>
              <w:rPr>
                <w:rFonts w:eastAsia="SimSun"/>
              </w:rPr>
            </w:pPr>
            <w:r w:rsidRPr="00AC3044">
              <w:rPr>
                <w:rFonts w:eastAsia="SimSun"/>
              </w:rPr>
              <w:t>50 мг/кг</w:t>
            </w:r>
          </w:p>
        </w:tc>
        <w:tc>
          <w:tcPr>
            <w:tcW w:w="1701" w:type="dxa"/>
            <w:vAlign w:val="center"/>
          </w:tcPr>
          <w:p w14:paraId="1BC421D5" w14:textId="77777777" w:rsidR="00BE7F89" w:rsidRPr="00AC3044" w:rsidRDefault="00BE7F89" w:rsidP="005A428D">
            <w:pPr>
              <w:rPr>
                <w:rFonts w:eastAsia="SimSun"/>
              </w:rPr>
            </w:pPr>
            <w:r w:rsidRPr="00AC3044">
              <w:rPr>
                <w:rFonts w:eastAsia="SimSun"/>
              </w:rPr>
              <w:t>100 мг/кг</w:t>
            </w:r>
          </w:p>
        </w:tc>
        <w:tc>
          <w:tcPr>
            <w:tcW w:w="1418" w:type="dxa"/>
            <w:vAlign w:val="center"/>
          </w:tcPr>
          <w:p w14:paraId="4E52A213" w14:textId="77777777" w:rsidR="00BE7F89" w:rsidRPr="00AC3044" w:rsidRDefault="00BE7F89" w:rsidP="005A428D">
            <w:pPr>
              <w:rPr>
                <w:rFonts w:eastAsia="SimSun"/>
              </w:rPr>
            </w:pPr>
            <w:r w:rsidRPr="00AC3044">
              <w:rPr>
                <w:rFonts w:eastAsia="SimSun"/>
              </w:rPr>
              <w:t xml:space="preserve">+3,+4 дни </w:t>
            </w:r>
          </w:p>
        </w:tc>
        <w:tc>
          <w:tcPr>
            <w:tcW w:w="2268" w:type="dxa"/>
            <w:vAlign w:val="center"/>
          </w:tcPr>
          <w:p w14:paraId="5320877F" w14:textId="77777777" w:rsidR="00BE7F89" w:rsidRPr="00AC3044" w:rsidRDefault="00BE7F89" w:rsidP="005A428D">
            <w:pPr>
              <w:rPr>
                <w:rFonts w:eastAsia="SimSun"/>
              </w:rPr>
            </w:pPr>
            <w:r w:rsidRPr="00AC3044">
              <w:rPr>
                <w:rFonts w:eastAsia="SimSun"/>
              </w:rPr>
              <w:t xml:space="preserve">В/в, в течение 2 ч </w:t>
            </w:r>
          </w:p>
        </w:tc>
      </w:tr>
      <w:tr w:rsidR="00BE7F89" w:rsidRPr="00AC3044" w14:paraId="72EAC211" w14:textId="77777777" w:rsidTr="005A428D">
        <w:trPr>
          <w:cantSplit/>
          <w:trHeight w:val="958"/>
        </w:trPr>
        <w:tc>
          <w:tcPr>
            <w:tcW w:w="959" w:type="dxa"/>
            <w:vMerge/>
            <w:textDirection w:val="btLr"/>
            <w:vAlign w:val="center"/>
          </w:tcPr>
          <w:p w14:paraId="32CC5FB5" w14:textId="77777777" w:rsidR="00BE7F89" w:rsidRPr="00AC3044" w:rsidRDefault="00BE7F89" w:rsidP="005A428D">
            <w:pPr>
              <w:rPr>
                <w:rFonts w:eastAsia="SimSun"/>
              </w:rPr>
            </w:pPr>
          </w:p>
        </w:tc>
        <w:tc>
          <w:tcPr>
            <w:tcW w:w="1701" w:type="dxa"/>
            <w:vAlign w:val="center"/>
          </w:tcPr>
          <w:p w14:paraId="65807D1E"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0D4CC3FD" w14:textId="77777777" w:rsidR="00BE7F89" w:rsidRPr="00AC3044" w:rsidRDefault="00BE7F89" w:rsidP="005A428D">
            <w:pPr>
              <w:rPr>
                <w:rFonts w:eastAsia="SimSun"/>
              </w:rPr>
            </w:pPr>
            <w:r w:rsidRPr="00AC3044">
              <w:rPr>
                <w:rFonts w:eastAsia="SimSun"/>
              </w:rPr>
              <w:t>0,03 мг/кг</w:t>
            </w:r>
          </w:p>
        </w:tc>
        <w:tc>
          <w:tcPr>
            <w:tcW w:w="1701" w:type="dxa"/>
            <w:vAlign w:val="center"/>
          </w:tcPr>
          <w:p w14:paraId="55077D74" w14:textId="77777777" w:rsidR="00BE7F89" w:rsidRPr="00AC3044" w:rsidRDefault="00BE7F89" w:rsidP="005A428D">
            <w:pPr>
              <w:rPr>
                <w:rFonts w:eastAsia="SimSun"/>
              </w:rPr>
            </w:pPr>
            <w:r w:rsidRPr="00AC3044">
              <w:rPr>
                <w:rFonts w:eastAsia="SimSun"/>
              </w:rPr>
              <w:t>–</w:t>
            </w:r>
          </w:p>
        </w:tc>
        <w:tc>
          <w:tcPr>
            <w:tcW w:w="1418" w:type="dxa"/>
            <w:vAlign w:val="center"/>
          </w:tcPr>
          <w:p w14:paraId="1B649BFE" w14:textId="77777777" w:rsidR="00BE7F89" w:rsidRPr="00AC3044" w:rsidRDefault="00BE7F89" w:rsidP="005A428D">
            <w:pPr>
              <w:rPr>
                <w:rFonts w:eastAsia="SimSun"/>
              </w:rPr>
            </w:pPr>
            <w:r w:rsidRPr="00AC3044">
              <w:rPr>
                <w:rFonts w:eastAsia="SimSun"/>
              </w:rPr>
              <w:t xml:space="preserve">С -1 дня длительно </w:t>
            </w:r>
          </w:p>
        </w:tc>
        <w:tc>
          <w:tcPr>
            <w:tcW w:w="2268" w:type="dxa"/>
            <w:vAlign w:val="center"/>
          </w:tcPr>
          <w:p w14:paraId="7DC1125F"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68FA7F22" w14:textId="77777777" w:rsidTr="005A428D">
        <w:trPr>
          <w:cantSplit/>
          <w:trHeight w:val="986"/>
        </w:trPr>
        <w:tc>
          <w:tcPr>
            <w:tcW w:w="959" w:type="dxa"/>
            <w:vMerge/>
            <w:textDirection w:val="btLr"/>
            <w:vAlign w:val="center"/>
          </w:tcPr>
          <w:p w14:paraId="3323F43F" w14:textId="77777777" w:rsidR="00BE7F89" w:rsidRPr="00AC3044" w:rsidRDefault="00BE7F89" w:rsidP="005A428D">
            <w:pPr>
              <w:rPr>
                <w:rFonts w:eastAsia="SimSun"/>
              </w:rPr>
            </w:pPr>
          </w:p>
        </w:tc>
        <w:tc>
          <w:tcPr>
            <w:tcW w:w="1701" w:type="dxa"/>
            <w:vAlign w:val="center"/>
          </w:tcPr>
          <w:p w14:paraId="055DE849"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7EA4F25C" w14:textId="77777777" w:rsidR="00BE7F89" w:rsidRPr="00AC3044" w:rsidRDefault="00BE7F89" w:rsidP="005A428D">
            <w:pPr>
              <w:rPr>
                <w:rFonts w:eastAsia="SimSun"/>
              </w:rPr>
            </w:pPr>
            <w:r w:rsidRPr="00AC3044">
              <w:rPr>
                <w:rFonts w:eastAsia="SimSun"/>
              </w:rPr>
              <w:t xml:space="preserve">30 мг/кг </w:t>
            </w:r>
          </w:p>
        </w:tc>
        <w:tc>
          <w:tcPr>
            <w:tcW w:w="1701" w:type="dxa"/>
            <w:vAlign w:val="center"/>
          </w:tcPr>
          <w:p w14:paraId="18F2BC52" w14:textId="77777777" w:rsidR="00BE7F89" w:rsidRPr="00AC3044" w:rsidRDefault="00BE7F89" w:rsidP="005A428D">
            <w:pPr>
              <w:rPr>
                <w:rFonts w:eastAsia="SimSun"/>
              </w:rPr>
            </w:pPr>
            <w:r w:rsidRPr="00AC3044">
              <w:rPr>
                <w:rFonts w:eastAsia="SimSun"/>
              </w:rPr>
              <w:t>–</w:t>
            </w:r>
          </w:p>
        </w:tc>
        <w:tc>
          <w:tcPr>
            <w:tcW w:w="1418" w:type="dxa"/>
            <w:vAlign w:val="center"/>
          </w:tcPr>
          <w:p w14:paraId="332F43DF" w14:textId="77777777" w:rsidR="00BE7F89" w:rsidRPr="00AC3044" w:rsidRDefault="00BE7F89" w:rsidP="005A428D">
            <w:pPr>
              <w:rPr>
                <w:rFonts w:eastAsia="SimSun"/>
              </w:rPr>
            </w:pPr>
            <w:r w:rsidRPr="00AC3044">
              <w:rPr>
                <w:rFonts w:eastAsia="SimSun"/>
              </w:rPr>
              <w:t xml:space="preserve">С -1 дня по +30 день </w:t>
            </w:r>
          </w:p>
        </w:tc>
        <w:tc>
          <w:tcPr>
            <w:tcW w:w="2268" w:type="dxa"/>
            <w:vAlign w:val="center"/>
          </w:tcPr>
          <w:p w14:paraId="374B90B0"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6CEC3B54" w14:textId="77777777" w:rsidR="00BE7F89" w:rsidRPr="00C07B2E" w:rsidRDefault="00BE7F89" w:rsidP="00BE7F89">
      <w:pPr>
        <w:rPr>
          <w:rFonts w:eastAsia="SimSun"/>
        </w:rPr>
        <w:sectPr w:rsidR="00BE7F89" w:rsidRPr="00C07B2E" w:rsidSect="00980822">
          <w:footerReference w:type="default" r:id="rId9"/>
          <w:type w:val="continuous"/>
          <w:pgSz w:w="11907" w:h="16839" w:code="9"/>
          <w:pgMar w:top="1134" w:right="850" w:bottom="1134" w:left="1701" w:header="709" w:footer="567" w:gutter="0"/>
          <w:cols w:space="708"/>
          <w:docGrid w:linePitch="360"/>
        </w:sectPr>
      </w:pPr>
    </w:p>
    <w:p w14:paraId="3DACE8A5" w14:textId="77777777" w:rsidR="00BE7F89" w:rsidRDefault="00BE7F89" w:rsidP="00BE7F89">
      <w:pPr>
        <w:rPr>
          <w:rFonts w:eastAsia="SimSun"/>
        </w:rPr>
      </w:pPr>
      <w:bookmarkStart w:id="174" w:name="_Toc44401183"/>
    </w:p>
    <w:p w14:paraId="2D65E7C5" w14:textId="77777777" w:rsidR="00BE7F89" w:rsidRPr="00470E23" w:rsidRDefault="00BE7F89" w:rsidP="00BE7F89">
      <w:pPr>
        <w:rPr>
          <w:rFonts w:eastAsia="SimSun"/>
          <w:i/>
          <w:u w:val="single"/>
        </w:rPr>
      </w:pPr>
      <w:r w:rsidRPr="00470E23">
        <w:rPr>
          <w:rFonts w:eastAsia="SimSun"/>
          <w:i/>
          <w:u w:val="single"/>
        </w:rPr>
        <w:t>2. Неродственный HLA-идентичный донор</w:t>
      </w:r>
      <w:bookmarkEnd w:id="174"/>
      <w:r w:rsidRPr="00470E23">
        <w:rPr>
          <w:rFonts w:eastAsia="SimSun"/>
          <w:i/>
          <w:u w:val="single"/>
        </w:rPr>
        <w:t xml:space="preserve"> </w:t>
      </w:r>
    </w:p>
    <w:p w14:paraId="397944A3" w14:textId="77777777" w:rsidR="00BE7F89" w:rsidRDefault="00BE7F89" w:rsidP="00BE7F89">
      <w:pPr>
        <w:rPr>
          <w:rFonts w:eastAsia="SimSun"/>
        </w:rPr>
      </w:pPr>
      <w:bookmarkStart w:id="175" w:name="_Toc44401184"/>
    </w:p>
    <w:bookmarkEnd w:id="175"/>
    <w:p w14:paraId="7C4AF368" w14:textId="77777777" w:rsidR="00BE7F89" w:rsidRPr="00C07B2E" w:rsidRDefault="00BE7F89" w:rsidP="00BE7F89">
      <w:pPr>
        <w:rPr>
          <w:rFonts w:eastAsia="SimSun"/>
        </w:rPr>
      </w:pPr>
      <w:r w:rsidRPr="00C07B2E">
        <w:rPr>
          <w:rFonts w:eastAsia="SimSun"/>
        </w:rPr>
        <w:t xml:space="preserve">Схемы и режимы применения препаратов для </w:t>
      </w:r>
      <w:r w:rsidRPr="00470E23">
        <w:rPr>
          <w:rFonts w:eastAsia="SimSun"/>
          <w:b/>
          <w:u w:val="single"/>
        </w:rPr>
        <w:t>кондиционирования в миелоаблативном режиме</w:t>
      </w:r>
      <w:r w:rsidRPr="00C07B2E">
        <w:rPr>
          <w:rFonts w:eastAsia="SimSun"/>
        </w:rPr>
        <w:t xml:space="preserve"> и профилактики РТПХ указаны в Таблице </w:t>
      </w:r>
      <w:r>
        <w:rPr>
          <w:rFonts w:eastAsia="SimSun"/>
        </w:rPr>
        <w:t>5.</w:t>
      </w:r>
      <w:r w:rsidRPr="00C07B2E">
        <w:rPr>
          <w:rFonts w:eastAsia="SimSun"/>
        </w:rPr>
        <w:t>2.1</w:t>
      </w:r>
    </w:p>
    <w:p w14:paraId="6268E6F2" w14:textId="77777777" w:rsidR="00BE7F89" w:rsidRPr="00C07B2E" w:rsidRDefault="00BE7F89" w:rsidP="00BE7F89">
      <w:pPr>
        <w:rPr>
          <w:rFonts w:eastAsia="SimSun"/>
        </w:rPr>
        <w:sectPr w:rsidR="00BE7F89" w:rsidRPr="00C07B2E" w:rsidSect="00980822">
          <w:headerReference w:type="even" r:id="rId10"/>
          <w:type w:val="continuous"/>
          <w:pgSz w:w="11907" w:h="16839" w:code="9"/>
          <w:pgMar w:top="1134" w:right="850" w:bottom="1134" w:left="1701" w:header="709" w:footer="567" w:gutter="0"/>
          <w:cols w:space="708"/>
          <w:docGrid w:linePitch="360"/>
        </w:sectPr>
      </w:pPr>
    </w:p>
    <w:p w14:paraId="6D70D004" w14:textId="77777777" w:rsidR="00BE7F89" w:rsidRPr="00C07B2E" w:rsidRDefault="00BE7F89" w:rsidP="00BE7F89">
      <w:pPr>
        <w:rPr>
          <w:rFonts w:eastAsia="SimSun"/>
        </w:rPr>
      </w:pPr>
      <w:r w:rsidRPr="00C07B2E">
        <w:rPr>
          <w:rFonts w:eastAsia="SimSun"/>
        </w:rPr>
        <w:t xml:space="preserve">Таблица </w:t>
      </w:r>
      <w:r>
        <w:rPr>
          <w:rFonts w:eastAsia="SimSun"/>
        </w:rPr>
        <w:t>5.</w:t>
      </w:r>
      <w:r w:rsidRPr="00C07B2E">
        <w:rPr>
          <w:rFonts w:eastAsia="SimSun"/>
        </w:rPr>
        <w:t xml:space="preserve">2.1 Схемы и режимы применения препаратов для кондиционирования и профилактики РТПХ со ссылками на </w:t>
      </w:r>
      <w:r>
        <w:rPr>
          <w:rFonts w:eastAsia="SimSun"/>
        </w:rPr>
        <w:t>таблицы с описанием</w:t>
      </w:r>
    </w:p>
    <w:p w14:paraId="1BE91E32" w14:textId="77777777" w:rsidR="00BE7F89" w:rsidRPr="00C07B2E" w:rsidRDefault="00BE7F89" w:rsidP="00BE7F89">
      <w:pPr>
        <w:rPr>
          <w:rFonts w:eastAsia="SimSun"/>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346"/>
        <w:gridCol w:w="1450"/>
        <w:gridCol w:w="2017"/>
        <w:gridCol w:w="2116"/>
        <w:gridCol w:w="1913"/>
        <w:gridCol w:w="2113"/>
        <w:gridCol w:w="1603"/>
      </w:tblGrid>
      <w:tr w:rsidR="00BE7F89" w:rsidRPr="00470E23" w14:paraId="23AF30A4" w14:textId="77777777" w:rsidTr="005A428D">
        <w:trPr>
          <w:cantSplit/>
          <w:trHeight w:val="640"/>
        </w:trPr>
        <w:tc>
          <w:tcPr>
            <w:tcW w:w="2255" w:type="pct"/>
            <w:gridSpan w:val="4"/>
            <w:vMerge w:val="restart"/>
            <w:shd w:val="clear" w:color="auto" w:fill="auto"/>
            <w:vAlign w:val="center"/>
          </w:tcPr>
          <w:p w14:paraId="593817A3" w14:textId="77777777" w:rsidR="00BE7F89" w:rsidRPr="00470E23" w:rsidRDefault="00BE7F89" w:rsidP="005A428D">
            <w:pPr>
              <w:rPr>
                <w:rFonts w:eastAsia="SimSun"/>
              </w:rPr>
            </w:pPr>
            <w:r w:rsidRPr="00470E23">
              <w:rPr>
                <w:rFonts w:eastAsia="SimSun"/>
              </w:rPr>
              <w:t>Профилактика РТПХ</w:t>
            </w:r>
          </w:p>
        </w:tc>
        <w:tc>
          <w:tcPr>
            <w:tcW w:w="2745" w:type="pct"/>
            <w:gridSpan w:val="4"/>
            <w:tcBorders>
              <w:left w:val="single" w:sz="4" w:space="0" w:color="00000A"/>
              <w:right w:val="single" w:sz="4" w:space="0" w:color="00000A"/>
            </w:tcBorders>
            <w:shd w:val="clear" w:color="auto" w:fill="auto"/>
          </w:tcPr>
          <w:p w14:paraId="57EFC040" w14:textId="77777777" w:rsidR="00BE7F89" w:rsidRPr="00470E23" w:rsidRDefault="00BE7F89" w:rsidP="005A428D">
            <w:pPr>
              <w:rPr>
                <w:rFonts w:eastAsia="SimSun"/>
              </w:rPr>
            </w:pPr>
            <w:r w:rsidRPr="00470E23">
              <w:rPr>
                <w:rFonts w:eastAsia="SimSun"/>
              </w:rPr>
              <w:t>Режим кондиционирования</w:t>
            </w:r>
          </w:p>
        </w:tc>
      </w:tr>
      <w:tr w:rsidR="00BE7F89" w:rsidRPr="00470E23" w14:paraId="6DB69742" w14:textId="77777777" w:rsidTr="005A428D">
        <w:trPr>
          <w:cantSplit/>
          <w:trHeight w:val="549"/>
        </w:trPr>
        <w:tc>
          <w:tcPr>
            <w:tcW w:w="2255" w:type="pct"/>
            <w:gridSpan w:val="4"/>
            <w:vMerge/>
            <w:shd w:val="clear" w:color="auto" w:fill="auto"/>
            <w:vAlign w:val="center"/>
          </w:tcPr>
          <w:p w14:paraId="12E9D1CE" w14:textId="77777777" w:rsidR="00BE7F89" w:rsidRPr="00470E23" w:rsidRDefault="00BE7F89" w:rsidP="005A428D">
            <w:pPr>
              <w:rPr>
                <w:rFonts w:eastAsia="SimSun"/>
              </w:rPr>
            </w:pPr>
          </w:p>
        </w:tc>
        <w:tc>
          <w:tcPr>
            <w:tcW w:w="750" w:type="pct"/>
            <w:shd w:val="clear" w:color="auto" w:fill="D9D9D9"/>
            <w:vAlign w:val="center"/>
          </w:tcPr>
          <w:p w14:paraId="2F229797" w14:textId="77777777" w:rsidR="00BE7F89" w:rsidRPr="00470E23" w:rsidRDefault="00BE7F89" w:rsidP="005A428D">
            <w:pPr>
              <w:rPr>
                <w:rFonts w:eastAsia="SimSun"/>
              </w:rPr>
            </w:pPr>
            <w:r w:rsidRPr="00470E23">
              <w:rPr>
                <w:rFonts w:eastAsia="SimSun"/>
              </w:rPr>
              <w:t>Cy120</w:t>
            </w:r>
          </w:p>
        </w:tc>
        <w:tc>
          <w:tcPr>
            <w:tcW w:w="1995" w:type="pct"/>
            <w:gridSpan w:val="3"/>
            <w:shd w:val="clear" w:color="auto" w:fill="D9D9D9"/>
            <w:vAlign w:val="center"/>
          </w:tcPr>
          <w:p w14:paraId="5D1E47D5" w14:textId="77777777" w:rsidR="00BE7F89" w:rsidRPr="00470E23" w:rsidRDefault="00BE7F89" w:rsidP="005A428D">
            <w:pPr>
              <w:rPr>
                <w:rFonts w:eastAsia="SimSun"/>
              </w:rPr>
            </w:pPr>
            <w:r w:rsidRPr="00470E23">
              <w:rPr>
                <w:rFonts w:eastAsia="SimSun"/>
              </w:rPr>
              <w:t>Flu180</w:t>
            </w:r>
          </w:p>
        </w:tc>
      </w:tr>
      <w:tr w:rsidR="00BE7F89" w:rsidRPr="00470E23" w14:paraId="5318002A" w14:textId="77777777" w:rsidTr="005A428D">
        <w:trPr>
          <w:cantSplit/>
          <w:trHeight w:val="571"/>
        </w:trPr>
        <w:tc>
          <w:tcPr>
            <w:tcW w:w="2255" w:type="pct"/>
            <w:gridSpan w:val="4"/>
            <w:vMerge/>
            <w:shd w:val="clear" w:color="auto" w:fill="auto"/>
            <w:vAlign w:val="center"/>
          </w:tcPr>
          <w:p w14:paraId="10D5B9DD" w14:textId="77777777" w:rsidR="00BE7F89" w:rsidRPr="00470E23" w:rsidRDefault="00BE7F89" w:rsidP="005A428D">
            <w:pPr>
              <w:rPr>
                <w:rFonts w:eastAsia="SimSun"/>
              </w:rPr>
            </w:pPr>
          </w:p>
        </w:tc>
        <w:tc>
          <w:tcPr>
            <w:tcW w:w="750" w:type="pct"/>
            <w:shd w:val="clear" w:color="auto" w:fill="D9D9D9"/>
            <w:vAlign w:val="center"/>
          </w:tcPr>
          <w:p w14:paraId="72480290" w14:textId="77777777" w:rsidR="00BE7F89" w:rsidRPr="00470E23" w:rsidRDefault="00BE7F89" w:rsidP="005A428D">
            <w:pPr>
              <w:rPr>
                <w:rFonts w:eastAsia="SimSun"/>
              </w:rPr>
            </w:pPr>
            <w:r w:rsidRPr="00470E23">
              <w:rPr>
                <w:rFonts w:eastAsia="SimSun"/>
              </w:rPr>
              <w:t>Bu12</w:t>
            </w:r>
          </w:p>
        </w:tc>
        <w:tc>
          <w:tcPr>
            <w:tcW w:w="678" w:type="pct"/>
            <w:shd w:val="clear" w:color="auto" w:fill="D9D9D9"/>
            <w:vAlign w:val="center"/>
          </w:tcPr>
          <w:p w14:paraId="4F973FC1" w14:textId="77777777" w:rsidR="00BE7F89" w:rsidRPr="00470E23" w:rsidRDefault="00BE7F89" w:rsidP="005A428D">
            <w:pPr>
              <w:rPr>
                <w:rFonts w:eastAsia="SimSun"/>
              </w:rPr>
            </w:pPr>
            <w:r w:rsidRPr="00470E23">
              <w:rPr>
                <w:rFonts w:eastAsia="SimSun"/>
              </w:rPr>
              <w:t>Bu12</w:t>
            </w:r>
          </w:p>
        </w:tc>
        <w:tc>
          <w:tcPr>
            <w:tcW w:w="749" w:type="pct"/>
            <w:shd w:val="clear" w:color="auto" w:fill="D9D9D9"/>
            <w:vAlign w:val="center"/>
          </w:tcPr>
          <w:p w14:paraId="7875A940" w14:textId="77777777" w:rsidR="00BE7F89" w:rsidRPr="00470E23" w:rsidRDefault="00BE7F89" w:rsidP="005A428D">
            <w:pPr>
              <w:rPr>
                <w:rFonts w:eastAsia="SimSun"/>
              </w:rPr>
            </w:pPr>
            <w:r w:rsidRPr="00470E23">
              <w:rPr>
                <w:rFonts w:eastAsia="SimSun"/>
              </w:rPr>
              <w:t>Bu14</w:t>
            </w:r>
          </w:p>
        </w:tc>
        <w:tc>
          <w:tcPr>
            <w:tcW w:w="568" w:type="pct"/>
            <w:shd w:val="clear" w:color="auto" w:fill="D9D9D9"/>
            <w:vAlign w:val="center"/>
          </w:tcPr>
          <w:p w14:paraId="54EAE9CB" w14:textId="77777777" w:rsidR="00BE7F89" w:rsidRPr="00470E23" w:rsidRDefault="00BE7F89" w:rsidP="005A428D">
            <w:pPr>
              <w:rPr>
                <w:rFonts w:eastAsia="SimSun"/>
              </w:rPr>
            </w:pPr>
            <w:r w:rsidRPr="00470E23">
              <w:rPr>
                <w:rFonts w:eastAsia="SimSun"/>
              </w:rPr>
              <w:t>Treo42</w:t>
            </w:r>
          </w:p>
        </w:tc>
      </w:tr>
      <w:tr w:rsidR="00BE7F89" w:rsidRPr="00470E23" w14:paraId="1708FD61" w14:textId="77777777" w:rsidTr="005A428D">
        <w:trPr>
          <w:cantSplit/>
          <w:trHeight w:val="551"/>
        </w:trPr>
        <w:tc>
          <w:tcPr>
            <w:tcW w:w="2255" w:type="pct"/>
            <w:gridSpan w:val="4"/>
            <w:vMerge/>
            <w:shd w:val="clear" w:color="auto" w:fill="auto"/>
            <w:vAlign w:val="center"/>
          </w:tcPr>
          <w:p w14:paraId="5ACB28EB" w14:textId="77777777" w:rsidR="00BE7F89" w:rsidRPr="00470E23" w:rsidRDefault="00BE7F89" w:rsidP="005A428D">
            <w:pPr>
              <w:rPr>
                <w:rFonts w:eastAsia="SimSun"/>
              </w:rPr>
            </w:pPr>
          </w:p>
        </w:tc>
        <w:tc>
          <w:tcPr>
            <w:tcW w:w="750" w:type="pct"/>
            <w:shd w:val="clear" w:color="auto" w:fill="D9D9D9"/>
            <w:vAlign w:val="center"/>
          </w:tcPr>
          <w:p w14:paraId="3EED9B29" w14:textId="77777777" w:rsidR="00BE7F89" w:rsidRPr="00470E23" w:rsidRDefault="00BE7F89" w:rsidP="005A428D">
            <w:pPr>
              <w:rPr>
                <w:rFonts w:eastAsia="SimSun"/>
              </w:rPr>
            </w:pPr>
            <w:r w:rsidRPr="00470E23">
              <w:rPr>
                <w:rFonts w:eastAsia="SimSun"/>
              </w:rPr>
              <w:t>-</w:t>
            </w:r>
          </w:p>
        </w:tc>
        <w:tc>
          <w:tcPr>
            <w:tcW w:w="678" w:type="pct"/>
            <w:shd w:val="clear" w:color="auto" w:fill="D9D9D9"/>
            <w:vAlign w:val="center"/>
          </w:tcPr>
          <w:p w14:paraId="3C663AED" w14:textId="77777777" w:rsidR="00BE7F89" w:rsidRPr="00470E23" w:rsidRDefault="00BE7F89" w:rsidP="005A428D">
            <w:pPr>
              <w:rPr>
                <w:rFonts w:eastAsia="SimSun"/>
              </w:rPr>
            </w:pPr>
            <w:r w:rsidRPr="00470E23">
              <w:rPr>
                <w:rFonts w:eastAsia="SimSun"/>
              </w:rPr>
              <w:t>-</w:t>
            </w:r>
          </w:p>
        </w:tc>
        <w:tc>
          <w:tcPr>
            <w:tcW w:w="749" w:type="pct"/>
            <w:shd w:val="clear" w:color="auto" w:fill="D9D9D9"/>
            <w:vAlign w:val="center"/>
          </w:tcPr>
          <w:p w14:paraId="38EF776E" w14:textId="77777777" w:rsidR="00BE7F89" w:rsidRPr="00470E23" w:rsidRDefault="00BE7F89" w:rsidP="005A428D">
            <w:pPr>
              <w:rPr>
                <w:rFonts w:eastAsia="SimSun"/>
              </w:rPr>
            </w:pPr>
            <w:r w:rsidRPr="00470E23">
              <w:rPr>
                <w:rFonts w:eastAsia="SimSun"/>
              </w:rPr>
              <w:t>-</w:t>
            </w:r>
          </w:p>
        </w:tc>
        <w:tc>
          <w:tcPr>
            <w:tcW w:w="568" w:type="pct"/>
            <w:shd w:val="clear" w:color="auto" w:fill="D9D9D9"/>
            <w:vAlign w:val="center"/>
          </w:tcPr>
          <w:p w14:paraId="55C58EED" w14:textId="77777777" w:rsidR="00BE7F89" w:rsidRPr="00470E23" w:rsidRDefault="00BE7F89" w:rsidP="005A428D">
            <w:pPr>
              <w:rPr>
                <w:rFonts w:eastAsia="SimSun"/>
              </w:rPr>
            </w:pPr>
            <w:r w:rsidRPr="00470E23">
              <w:rPr>
                <w:rFonts w:eastAsia="SimSun"/>
              </w:rPr>
              <w:t>-</w:t>
            </w:r>
          </w:p>
        </w:tc>
      </w:tr>
      <w:tr w:rsidR="00BE7F89" w:rsidRPr="00470E23" w14:paraId="549F1A94" w14:textId="77777777" w:rsidTr="005A428D">
        <w:trPr>
          <w:cantSplit/>
          <w:trHeight w:val="850"/>
        </w:trPr>
        <w:tc>
          <w:tcPr>
            <w:tcW w:w="549" w:type="pct"/>
            <w:tcBorders>
              <w:bottom w:val="single" w:sz="4" w:space="0" w:color="00000A"/>
            </w:tcBorders>
            <w:shd w:val="clear" w:color="auto" w:fill="D9D9D9"/>
            <w:vAlign w:val="center"/>
          </w:tcPr>
          <w:p w14:paraId="4EED3F90" w14:textId="77777777" w:rsidR="00BE7F89" w:rsidRPr="00470E23" w:rsidRDefault="00BE7F89" w:rsidP="005A428D">
            <w:pPr>
              <w:rPr>
                <w:rFonts w:eastAsia="SimSun"/>
              </w:rPr>
            </w:pPr>
            <w:r w:rsidRPr="00470E23">
              <w:rPr>
                <w:rFonts w:eastAsia="SimSun"/>
              </w:rPr>
              <w:t>hATG</w:t>
            </w:r>
          </w:p>
        </w:tc>
        <w:tc>
          <w:tcPr>
            <w:tcW w:w="477" w:type="pct"/>
            <w:shd w:val="clear" w:color="auto" w:fill="D9D9D9"/>
            <w:vAlign w:val="center"/>
          </w:tcPr>
          <w:p w14:paraId="7EAC6288" w14:textId="77777777" w:rsidR="00BE7F89" w:rsidRPr="00470E23" w:rsidRDefault="00BE7F89" w:rsidP="005A428D">
            <w:pPr>
              <w:rPr>
                <w:rFonts w:eastAsia="SimSun"/>
              </w:rPr>
            </w:pPr>
            <w:r w:rsidRPr="00470E23">
              <w:rPr>
                <w:rFonts w:eastAsia="SimSun"/>
              </w:rPr>
              <w:t>CSA</w:t>
            </w:r>
          </w:p>
        </w:tc>
        <w:tc>
          <w:tcPr>
            <w:tcW w:w="514" w:type="pct"/>
            <w:shd w:val="clear" w:color="auto" w:fill="D9D9D9"/>
            <w:vAlign w:val="center"/>
          </w:tcPr>
          <w:p w14:paraId="364CF8D6" w14:textId="77777777" w:rsidR="00BE7F89" w:rsidRPr="00470E23" w:rsidRDefault="00BE7F89" w:rsidP="005A428D">
            <w:pPr>
              <w:rPr>
                <w:rFonts w:eastAsia="SimSun"/>
              </w:rPr>
            </w:pPr>
            <w:r w:rsidRPr="00470E23">
              <w:rPr>
                <w:rFonts w:eastAsia="SimSun"/>
              </w:rPr>
              <w:t>MTX</w:t>
            </w:r>
          </w:p>
        </w:tc>
        <w:tc>
          <w:tcPr>
            <w:tcW w:w="715" w:type="pct"/>
            <w:shd w:val="clear" w:color="auto" w:fill="D9D9D9"/>
            <w:vAlign w:val="center"/>
          </w:tcPr>
          <w:p w14:paraId="41F30647" w14:textId="77777777" w:rsidR="00BE7F89" w:rsidRPr="00470E23" w:rsidRDefault="00BE7F89" w:rsidP="005A428D">
            <w:pPr>
              <w:rPr>
                <w:rFonts w:eastAsia="SimSun"/>
              </w:rPr>
            </w:pPr>
            <w:r w:rsidRPr="00470E23">
              <w:rPr>
                <w:rFonts w:eastAsia="SimSun"/>
              </w:rPr>
              <w:t>MMF45</w:t>
            </w:r>
          </w:p>
        </w:tc>
        <w:tc>
          <w:tcPr>
            <w:tcW w:w="750" w:type="pct"/>
            <w:shd w:val="clear" w:color="auto" w:fill="auto"/>
            <w:vAlign w:val="center"/>
          </w:tcPr>
          <w:p w14:paraId="2344B826" w14:textId="77777777" w:rsidR="00BE7F89" w:rsidRPr="00470E23" w:rsidRDefault="00BE7F89" w:rsidP="005A428D">
            <w:pPr>
              <w:rPr>
                <w:rFonts w:eastAsia="SimSun"/>
              </w:rPr>
            </w:pPr>
            <w:r w:rsidRPr="00470E23">
              <w:rPr>
                <w:rFonts w:eastAsia="SimSun"/>
              </w:rPr>
              <w:t>5.2.1.1</w:t>
            </w:r>
          </w:p>
        </w:tc>
        <w:tc>
          <w:tcPr>
            <w:tcW w:w="678" w:type="pct"/>
            <w:shd w:val="clear" w:color="auto" w:fill="auto"/>
            <w:vAlign w:val="center"/>
          </w:tcPr>
          <w:p w14:paraId="1E5941EE" w14:textId="77777777" w:rsidR="00BE7F89" w:rsidRPr="00470E23" w:rsidRDefault="00BE7F89" w:rsidP="005A428D">
            <w:pPr>
              <w:rPr>
                <w:rFonts w:eastAsia="SimSun"/>
              </w:rPr>
            </w:pPr>
            <w:r w:rsidRPr="00470E23">
              <w:rPr>
                <w:rFonts w:eastAsia="SimSun"/>
              </w:rPr>
              <w:t>-</w:t>
            </w:r>
          </w:p>
        </w:tc>
        <w:tc>
          <w:tcPr>
            <w:tcW w:w="749" w:type="pct"/>
            <w:shd w:val="clear" w:color="auto" w:fill="auto"/>
            <w:vAlign w:val="center"/>
          </w:tcPr>
          <w:p w14:paraId="6142FCCF" w14:textId="77777777" w:rsidR="00BE7F89" w:rsidRPr="00470E23" w:rsidRDefault="00BE7F89" w:rsidP="005A428D">
            <w:pPr>
              <w:rPr>
                <w:rFonts w:eastAsia="SimSun"/>
              </w:rPr>
            </w:pPr>
            <w:r w:rsidRPr="00470E23">
              <w:rPr>
                <w:rFonts w:eastAsia="SimSun"/>
              </w:rPr>
              <w:t>-</w:t>
            </w:r>
          </w:p>
        </w:tc>
        <w:tc>
          <w:tcPr>
            <w:tcW w:w="568" w:type="pct"/>
            <w:shd w:val="clear" w:color="auto" w:fill="auto"/>
            <w:vAlign w:val="center"/>
          </w:tcPr>
          <w:p w14:paraId="61E977A0" w14:textId="77777777" w:rsidR="00BE7F89" w:rsidRPr="00470E23" w:rsidRDefault="00BE7F89" w:rsidP="005A428D">
            <w:pPr>
              <w:rPr>
                <w:rFonts w:eastAsia="SimSun"/>
              </w:rPr>
            </w:pPr>
            <w:r w:rsidRPr="00470E23">
              <w:rPr>
                <w:rFonts w:eastAsia="SimSun"/>
              </w:rPr>
              <w:t>-</w:t>
            </w:r>
          </w:p>
        </w:tc>
      </w:tr>
      <w:tr w:rsidR="00BE7F89" w:rsidRPr="00470E23" w14:paraId="4C035BE0" w14:textId="77777777" w:rsidTr="005A428D">
        <w:trPr>
          <w:cantSplit/>
          <w:trHeight w:val="850"/>
        </w:trPr>
        <w:tc>
          <w:tcPr>
            <w:tcW w:w="549" w:type="pct"/>
            <w:tcBorders>
              <w:top w:val="single" w:sz="4" w:space="0" w:color="00000A"/>
              <w:bottom w:val="single" w:sz="4" w:space="0" w:color="00000A"/>
            </w:tcBorders>
            <w:shd w:val="clear" w:color="auto" w:fill="D9D9D9"/>
            <w:vAlign w:val="center"/>
          </w:tcPr>
          <w:p w14:paraId="76CB775B" w14:textId="77777777" w:rsidR="00BE7F89" w:rsidRPr="00470E23" w:rsidRDefault="00BE7F89" w:rsidP="005A428D">
            <w:pPr>
              <w:rPr>
                <w:rFonts w:eastAsia="SimSun"/>
              </w:rPr>
            </w:pPr>
            <w:r w:rsidRPr="00470E23">
              <w:rPr>
                <w:rFonts w:eastAsia="SimSun"/>
              </w:rPr>
              <w:t>rATG</w:t>
            </w:r>
          </w:p>
        </w:tc>
        <w:tc>
          <w:tcPr>
            <w:tcW w:w="477" w:type="pct"/>
            <w:shd w:val="clear" w:color="auto" w:fill="D9D9D9"/>
            <w:vAlign w:val="center"/>
          </w:tcPr>
          <w:p w14:paraId="76AEC4DB" w14:textId="77777777" w:rsidR="00BE7F89" w:rsidRPr="00470E23" w:rsidRDefault="00BE7F89" w:rsidP="005A428D">
            <w:pPr>
              <w:rPr>
                <w:rFonts w:eastAsia="SimSun"/>
              </w:rPr>
            </w:pPr>
            <w:r w:rsidRPr="00470E23">
              <w:rPr>
                <w:rFonts w:eastAsia="SimSun"/>
              </w:rPr>
              <w:t>CSA</w:t>
            </w:r>
          </w:p>
        </w:tc>
        <w:tc>
          <w:tcPr>
            <w:tcW w:w="514" w:type="pct"/>
            <w:shd w:val="clear" w:color="auto" w:fill="D9D9D9"/>
            <w:vAlign w:val="center"/>
          </w:tcPr>
          <w:p w14:paraId="29C30DDB" w14:textId="77777777" w:rsidR="00BE7F89" w:rsidRPr="00470E23" w:rsidRDefault="00BE7F89" w:rsidP="005A428D">
            <w:pPr>
              <w:rPr>
                <w:rFonts w:eastAsia="SimSun"/>
              </w:rPr>
            </w:pPr>
            <w:r w:rsidRPr="00470E23">
              <w:rPr>
                <w:rFonts w:eastAsia="SimSun"/>
              </w:rPr>
              <w:t>MTX</w:t>
            </w:r>
          </w:p>
        </w:tc>
        <w:tc>
          <w:tcPr>
            <w:tcW w:w="715" w:type="pct"/>
            <w:shd w:val="clear" w:color="auto" w:fill="D9D9D9"/>
            <w:vAlign w:val="center"/>
          </w:tcPr>
          <w:p w14:paraId="3AF74D9F" w14:textId="77777777" w:rsidR="00BE7F89" w:rsidRPr="00470E23" w:rsidRDefault="00BE7F89" w:rsidP="005A428D">
            <w:pPr>
              <w:rPr>
                <w:rFonts w:eastAsia="SimSun"/>
              </w:rPr>
            </w:pPr>
            <w:r w:rsidRPr="00470E23">
              <w:rPr>
                <w:rFonts w:eastAsia="SimSun"/>
              </w:rPr>
              <w:t>MMF45</w:t>
            </w:r>
          </w:p>
        </w:tc>
        <w:tc>
          <w:tcPr>
            <w:tcW w:w="750" w:type="pct"/>
            <w:shd w:val="clear" w:color="auto" w:fill="auto"/>
            <w:vAlign w:val="center"/>
          </w:tcPr>
          <w:p w14:paraId="3C69960B" w14:textId="77777777" w:rsidR="00BE7F89" w:rsidRPr="00470E23" w:rsidRDefault="00BE7F89" w:rsidP="005A428D">
            <w:pPr>
              <w:rPr>
                <w:rFonts w:eastAsia="SimSun"/>
              </w:rPr>
            </w:pPr>
            <w:r w:rsidRPr="00470E23">
              <w:rPr>
                <w:rFonts w:eastAsia="SimSun"/>
              </w:rPr>
              <w:t>5.2.1.2</w:t>
            </w:r>
          </w:p>
        </w:tc>
        <w:tc>
          <w:tcPr>
            <w:tcW w:w="678" w:type="pct"/>
            <w:shd w:val="clear" w:color="auto" w:fill="auto"/>
            <w:vAlign w:val="center"/>
          </w:tcPr>
          <w:p w14:paraId="39ADF033" w14:textId="77777777" w:rsidR="00BE7F89" w:rsidRPr="00470E23" w:rsidRDefault="00BE7F89" w:rsidP="005A428D">
            <w:pPr>
              <w:rPr>
                <w:rFonts w:eastAsia="SimSun"/>
              </w:rPr>
            </w:pPr>
            <w:r w:rsidRPr="00470E23">
              <w:rPr>
                <w:rFonts w:eastAsia="SimSun"/>
              </w:rPr>
              <w:t>-</w:t>
            </w:r>
          </w:p>
        </w:tc>
        <w:tc>
          <w:tcPr>
            <w:tcW w:w="749" w:type="pct"/>
            <w:shd w:val="clear" w:color="auto" w:fill="auto"/>
            <w:vAlign w:val="center"/>
          </w:tcPr>
          <w:p w14:paraId="60E4A3F3" w14:textId="77777777" w:rsidR="00BE7F89" w:rsidRPr="00470E23" w:rsidRDefault="00BE7F89" w:rsidP="005A428D">
            <w:pPr>
              <w:rPr>
                <w:rFonts w:eastAsia="SimSun"/>
              </w:rPr>
            </w:pPr>
            <w:r w:rsidRPr="00470E23">
              <w:rPr>
                <w:rFonts w:eastAsia="SimSun"/>
              </w:rPr>
              <w:t>-</w:t>
            </w:r>
          </w:p>
        </w:tc>
        <w:tc>
          <w:tcPr>
            <w:tcW w:w="568" w:type="pct"/>
            <w:shd w:val="clear" w:color="auto" w:fill="auto"/>
            <w:vAlign w:val="center"/>
          </w:tcPr>
          <w:p w14:paraId="3E728FCC" w14:textId="77777777" w:rsidR="00BE7F89" w:rsidRPr="00470E23" w:rsidRDefault="00BE7F89" w:rsidP="005A428D">
            <w:pPr>
              <w:rPr>
                <w:rFonts w:eastAsia="SimSun"/>
              </w:rPr>
            </w:pPr>
            <w:r w:rsidRPr="00470E23">
              <w:rPr>
                <w:rFonts w:eastAsia="SimSun"/>
              </w:rPr>
              <w:t>-</w:t>
            </w:r>
          </w:p>
        </w:tc>
      </w:tr>
      <w:tr w:rsidR="00BE7F89" w:rsidRPr="00470E23" w14:paraId="06497B6A" w14:textId="77777777" w:rsidTr="005A428D">
        <w:trPr>
          <w:cantSplit/>
          <w:trHeight w:val="850"/>
        </w:trPr>
        <w:tc>
          <w:tcPr>
            <w:tcW w:w="549" w:type="pct"/>
            <w:vMerge w:val="restart"/>
            <w:shd w:val="clear" w:color="auto" w:fill="D9D9D9"/>
            <w:vAlign w:val="center"/>
          </w:tcPr>
          <w:p w14:paraId="37E88741" w14:textId="77777777" w:rsidR="00BE7F89" w:rsidRPr="00470E23" w:rsidRDefault="00BE7F89" w:rsidP="005A428D">
            <w:pPr>
              <w:rPr>
                <w:rFonts w:eastAsia="SimSun"/>
              </w:rPr>
            </w:pPr>
            <w:r w:rsidRPr="00470E23">
              <w:rPr>
                <w:rFonts w:eastAsia="SimSun"/>
              </w:rPr>
              <w:t>PT-Cy</w:t>
            </w:r>
          </w:p>
          <w:p w14:paraId="6E998B26" w14:textId="77777777" w:rsidR="00BE7F89" w:rsidRPr="00470E23" w:rsidRDefault="00BE7F89" w:rsidP="005A428D">
            <w:pPr>
              <w:rPr>
                <w:rFonts w:eastAsia="SimSun"/>
              </w:rPr>
            </w:pPr>
          </w:p>
        </w:tc>
        <w:tc>
          <w:tcPr>
            <w:tcW w:w="477" w:type="pct"/>
            <w:shd w:val="clear" w:color="auto" w:fill="D9D9D9"/>
            <w:vAlign w:val="center"/>
          </w:tcPr>
          <w:p w14:paraId="137C1609" w14:textId="77777777" w:rsidR="00BE7F89" w:rsidRPr="00470E23" w:rsidRDefault="00BE7F89" w:rsidP="005A428D">
            <w:pPr>
              <w:rPr>
                <w:rFonts w:eastAsia="SimSun"/>
              </w:rPr>
            </w:pPr>
            <w:r w:rsidRPr="00470E23">
              <w:rPr>
                <w:rFonts w:eastAsia="SimSun"/>
              </w:rPr>
              <w:t>-</w:t>
            </w:r>
          </w:p>
        </w:tc>
        <w:tc>
          <w:tcPr>
            <w:tcW w:w="514" w:type="pct"/>
            <w:shd w:val="clear" w:color="auto" w:fill="D9D9D9"/>
            <w:vAlign w:val="center"/>
          </w:tcPr>
          <w:p w14:paraId="1A661A09" w14:textId="77777777" w:rsidR="00BE7F89" w:rsidRPr="00470E23" w:rsidRDefault="00BE7F89" w:rsidP="005A428D">
            <w:pPr>
              <w:rPr>
                <w:rFonts w:eastAsia="SimSun"/>
              </w:rPr>
            </w:pPr>
            <w:r w:rsidRPr="00470E23">
              <w:rPr>
                <w:rFonts w:eastAsia="SimSun"/>
              </w:rPr>
              <w:t>-</w:t>
            </w:r>
          </w:p>
        </w:tc>
        <w:tc>
          <w:tcPr>
            <w:tcW w:w="715" w:type="pct"/>
            <w:shd w:val="clear" w:color="auto" w:fill="D9D9D9"/>
            <w:vAlign w:val="center"/>
          </w:tcPr>
          <w:p w14:paraId="5A0178AD" w14:textId="77777777" w:rsidR="00BE7F89" w:rsidRPr="00470E23" w:rsidRDefault="00BE7F89" w:rsidP="005A428D">
            <w:pPr>
              <w:rPr>
                <w:rFonts w:eastAsia="SimSun"/>
              </w:rPr>
            </w:pPr>
            <w:r w:rsidRPr="00470E23">
              <w:rPr>
                <w:rFonts w:eastAsia="SimSun"/>
              </w:rPr>
              <w:t>-</w:t>
            </w:r>
          </w:p>
        </w:tc>
        <w:tc>
          <w:tcPr>
            <w:tcW w:w="750" w:type="pct"/>
            <w:shd w:val="clear" w:color="auto" w:fill="auto"/>
            <w:vAlign w:val="center"/>
          </w:tcPr>
          <w:p w14:paraId="057F618A" w14:textId="77777777" w:rsidR="00BE7F89" w:rsidRPr="00470E23" w:rsidRDefault="00BE7F89" w:rsidP="005A428D">
            <w:pPr>
              <w:rPr>
                <w:rFonts w:eastAsia="SimSun"/>
              </w:rPr>
            </w:pPr>
            <w:r w:rsidRPr="00470E23">
              <w:rPr>
                <w:rFonts w:eastAsia="SimSun"/>
              </w:rPr>
              <w:t>-</w:t>
            </w:r>
          </w:p>
        </w:tc>
        <w:tc>
          <w:tcPr>
            <w:tcW w:w="678" w:type="pct"/>
            <w:shd w:val="clear" w:color="auto" w:fill="auto"/>
            <w:vAlign w:val="center"/>
          </w:tcPr>
          <w:p w14:paraId="02CD92B3" w14:textId="77777777" w:rsidR="00BE7F89" w:rsidRPr="00470E23" w:rsidRDefault="00BE7F89" w:rsidP="005A428D">
            <w:pPr>
              <w:rPr>
                <w:rFonts w:eastAsia="SimSun"/>
              </w:rPr>
            </w:pPr>
            <w:r w:rsidRPr="00470E23">
              <w:rPr>
                <w:rFonts w:eastAsia="SimSun"/>
              </w:rPr>
              <w:t>5.2.1.3</w:t>
            </w:r>
          </w:p>
        </w:tc>
        <w:tc>
          <w:tcPr>
            <w:tcW w:w="749" w:type="pct"/>
            <w:shd w:val="clear" w:color="auto" w:fill="auto"/>
            <w:vAlign w:val="center"/>
          </w:tcPr>
          <w:p w14:paraId="23818CE9" w14:textId="77777777" w:rsidR="00BE7F89" w:rsidRPr="00470E23" w:rsidRDefault="00BE7F89" w:rsidP="005A428D">
            <w:pPr>
              <w:rPr>
                <w:rFonts w:eastAsia="SimSun"/>
              </w:rPr>
            </w:pPr>
            <w:r w:rsidRPr="00470E23">
              <w:rPr>
                <w:rFonts w:eastAsia="SimSun"/>
              </w:rPr>
              <w:t>5.2.1.7</w:t>
            </w:r>
          </w:p>
        </w:tc>
        <w:tc>
          <w:tcPr>
            <w:tcW w:w="568" w:type="pct"/>
            <w:shd w:val="clear" w:color="auto" w:fill="auto"/>
            <w:vAlign w:val="center"/>
          </w:tcPr>
          <w:p w14:paraId="3C077CBF" w14:textId="77777777" w:rsidR="00BE7F89" w:rsidRPr="00470E23" w:rsidRDefault="00BE7F89" w:rsidP="005A428D">
            <w:pPr>
              <w:rPr>
                <w:rFonts w:eastAsia="SimSun"/>
              </w:rPr>
            </w:pPr>
            <w:r w:rsidRPr="00470E23">
              <w:rPr>
                <w:rFonts w:eastAsia="SimSun"/>
              </w:rPr>
              <w:t>-</w:t>
            </w:r>
          </w:p>
        </w:tc>
      </w:tr>
      <w:tr w:rsidR="00BE7F89" w:rsidRPr="00470E23" w14:paraId="29B0DBB7" w14:textId="77777777" w:rsidTr="005A428D">
        <w:trPr>
          <w:cantSplit/>
          <w:trHeight w:val="850"/>
        </w:trPr>
        <w:tc>
          <w:tcPr>
            <w:tcW w:w="549" w:type="pct"/>
            <w:vMerge/>
            <w:shd w:val="clear" w:color="auto" w:fill="D9D9D9"/>
            <w:vAlign w:val="center"/>
          </w:tcPr>
          <w:p w14:paraId="4C1044AF" w14:textId="77777777" w:rsidR="00BE7F89" w:rsidRPr="00470E23" w:rsidRDefault="00BE7F89" w:rsidP="005A428D">
            <w:pPr>
              <w:rPr>
                <w:rFonts w:eastAsia="SimSun"/>
              </w:rPr>
            </w:pPr>
          </w:p>
        </w:tc>
        <w:tc>
          <w:tcPr>
            <w:tcW w:w="477" w:type="pct"/>
            <w:tcBorders>
              <w:bottom w:val="single" w:sz="4" w:space="0" w:color="00000A"/>
            </w:tcBorders>
            <w:shd w:val="clear" w:color="auto" w:fill="D9D9D9"/>
            <w:vAlign w:val="center"/>
          </w:tcPr>
          <w:p w14:paraId="2727C9BD" w14:textId="77777777" w:rsidR="00BE7F89" w:rsidRPr="00470E23" w:rsidRDefault="00BE7F89" w:rsidP="005A428D">
            <w:pPr>
              <w:rPr>
                <w:rFonts w:eastAsia="SimSun"/>
              </w:rPr>
            </w:pPr>
            <w:r w:rsidRPr="00470E23">
              <w:rPr>
                <w:rFonts w:eastAsia="SimSun"/>
              </w:rPr>
              <w:t>CSA</w:t>
            </w:r>
          </w:p>
          <w:p w14:paraId="3C731B2C" w14:textId="77777777" w:rsidR="00BE7F89" w:rsidRPr="00470E23" w:rsidRDefault="00BE7F89" w:rsidP="005A428D">
            <w:pPr>
              <w:rPr>
                <w:rFonts w:eastAsia="SimSun"/>
              </w:rPr>
            </w:pPr>
          </w:p>
        </w:tc>
        <w:tc>
          <w:tcPr>
            <w:tcW w:w="514" w:type="pct"/>
            <w:shd w:val="clear" w:color="auto" w:fill="D9D9D9"/>
            <w:vAlign w:val="center"/>
          </w:tcPr>
          <w:p w14:paraId="26E633B6" w14:textId="77777777" w:rsidR="00BE7F89" w:rsidRPr="00470E23" w:rsidRDefault="00BE7F89" w:rsidP="005A428D">
            <w:pPr>
              <w:rPr>
                <w:rFonts w:eastAsia="SimSun"/>
              </w:rPr>
            </w:pPr>
            <w:r w:rsidRPr="00470E23">
              <w:rPr>
                <w:rFonts w:eastAsia="SimSun"/>
              </w:rPr>
              <w:t>-</w:t>
            </w:r>
          </w:p>
        </w:tc>
        <w:tc>
          <w:tcPr>
            <w:tcW w:w="715" w:type="pct"/>
            <w:shd w:val="clear" w:color="auto" w:fill="D9D9D9"/>
            <w:vAlign w:val="center"/>
          </w:tcPr>
          <w:p w14:paraId="685AA6F4" w14:textId="77777777" w:rsidR="00BE7F89" w:rsidRPr="00470E23" w:rsidRDefault="00BE7F89" w:rsidP="005A428D">
            <w:pPr>
              <w:rPr>
                <w:rFonts w:eastAsia="SimSun"/>
              </w:rPr>
            </w:pPr>
            <w:r w:rsidRPr="00470E23">
              <w:rPr>
                <w:rFonts w:eastAsia="SimSun"/>
              </w:rPr>
              <w:t>MMF30</w:t>
            </w:r>
          </w:p>
        </w:tc>
        <w:tc>
          <w:tcPr>
            <w:tcW w:w="750" w:type="pct"/>
            <w:shd w:val="clear" w:color="auto" w:fill="auto"/>
            <w:vAlign w:val="center"/>
          </w:tcPr>
          <w:p w14:paraId="78C3D6AC" w14:textId="77777777" w:rsidR="00BE7F89" w:rsidRPr="00470E23" w:rsidRDefault="00BE7F89" w:rsidP="005A428D">
            <w:pPr>
              <w:rPr>
                <w:rFonts w:eastAsia="SimSun"/>
              </w:rPr>
            </w:pPr>
            <w:r w:rsidRPr="00470E23">
              <w:rPr>
                <w:rFonts w:eastAsia="SimSun"/>
              </w:rPr>
              <w:t>-</w:t>
            </w:r>
          </w:p>
        </w:tc>
        <w:tc>
          <w:tcPr>
            <w:tcW w:w="678" w:type="pct"/>
            <w:shd w:val="clear" w:color="auto" w:fill="auto"/>
            <w:vAlign w:val="center"/>
          </w:tcPr>
          <w:p w14:paraId="0C0F843E" w14:textId="77777777" w:rsidR="00BE7F89" w:rsidRPr="00470E23" w:rsidRDefault="00BE7F89" w:rsidP="005A428D">
            <w:pPr>
              <w:rPr>
                <w:rFonts w:eastAsia="SimSun"/>
              </w:rPr>
            </w:pPr>
            <w:r w:rsidRPr="00470E23">
              <w:rPr>
                <w:rFonts w:eastAsia="SimSun"/>
              </w:rPr>
              <w:t>5.2.1.5</w:t>
            </w:r>
          </w:p>
        </w:tc>
        <w:tc>
          <w:tcPr>
            <w:tcW w:w="749" w:type="pct"/>
            <w:shd w:val="clear" w:color="auto" w:fill="auto"/>
            <w:vAlign w:val="center"/>
          </w:tcPr>
          <w:p w14:paraId="4A50E676" w14:textId="77777777" w:rsidR="00BE7F89" w:rsidRPr="00470E23" w:rsidRDefault="00BE7F89" w:rsidP="005A428D">
            <w:pPr>
              <w:rPr>
                <w:rFonts w:eastAsia="SimSun"/>
              </w:rPr>
            </w:pPr>
            <w:r w:rsidRPr="00470E23">
              <w:rPr>
                <w:rFonts w:eastAsia="SimSun"/>
              </w:rPr>
              <w:t>5.2.1.9</w:t>
            </w:r>
          </w:p>
        </w:tc>
        <w:tc>
          <w:tcPr>
            <w:tcW w:w="568" w:type="pct"/>
            <w:shd w:val="clear" w:color="auto" w:fill="auto"/>
            <w:vAlign w:val="center"/>
          </w:tcPr>
          <w:p w14:paraId="1CA60F97" w14:textId="77777777" w:rsidR="00BE7F89" w:rsidRPr="00470E23" w:rsidRDefault="00BE7F89" w:rsidP="005A428D">
            <w:pPr>
              <w:rPr>
                <w:rFonts w:eastAsia="SimSun"/>
              </w:rPr>
            </w:pPr>
            <w:r w:rsidRPr="00470E23">
              <w:rPr>
                <w:rFonts w:eastAsia="SimSun"/>
              </w:rPr>
              <w:t>-</w:t>
            </w:r>
          </w:p>
        </w:tc>
      </w:tr>
      <w:tr w:rsidR="00BE7F89" w:rsidRPr="00470E23" w14:paraId="3E655887" w14:textId="77777777" w:rsidTr="005A428D">
        <w:trPr>
          <w:cantSplit/>
          <w:trHeight w:val="850"/>
        </w:trPr>
        <w:tc>
          <w:tcPr>
            <w:tcW w:w="549" w:type="pct"/>
            <w:vMerge/>
            <w:tcBorders>
              <w:bottom w:val="single" w:sz="4" w:space="0" w:color="00000A"/>
            </w:tcBorders>
            <w:shd w:val="clear" w:color="auto" w:fill="D9D9D9"/>
            <w:vAlign w:val="center"/>
          </w:tcPr>
          <w:p w14:paraId="00E9B661" w14:textId="77777777" w:rsidR="00BE7F89" w:rsidRPr="00470E23" w:rsidRDefault="00BE7F89" w:rsidP="005A428D">
            <w:pPr>
              <w:rPr>
                <w:rFonts w:eastAsia="SimSun"/>
              </w:rPr>
            </w:pPr>
          </w:p>
        </w:tc>
        <w:tc>
          <w:tcPr>
            <w:tcW w:w="477" w:type="pct"/>
            <w:tcBorders>
              <w:bottom w:val="single" w:sz="4" w:space="0" w:color="00000A"/>
            </w:tcBorders>
            <w:shd w:val="clear" w:color="auto" w:fill="D9D9D9"/>
            <w:vAlign w:val="center"/>
          </w:tcPr>
          <w:p w14:paraId="210651E0" w14:textId="77777777" w:rsidR="00BE7F89" w:rsidRPr="00470E23" w:rsidRDefault="00BE7F89" w:rsidP="005A428D">
            <w:pPr>
              <w:rPr>
                <w:rFonts w:eastAsia="SimSun"/>
              </w:rPr>
            </w:pPr>
            <w:r w:rsidRPr="00470E23">
              <w:rPr>
                <w:rFonts w:eastAsia="SimSun"/>
              </w:rPr>
              <w:t>Tx</w:t>
            </w:r>
          </w:p>
        </w:tc>
        <w:tc>
          <w:tcPr>
            <w:tcW w:w="514" w:type="pct"/>
            <w:shd w:val="clear" w:color="auto" w:fill="D9D9D9"/>
            <w:vAlign w:val="center"/>
          </w:tcPr>
          <w:p w14:paraId="0A7FBF6B" w14:textId="77777777" w:rsidR="00BE7F89" w:rsidRPr="00470E23" w:rsidRDefault="00BE7F89" w:rsidP="005A428D">
            <w:pPr>
              <w:rPr>
                <w:rFonts w:eastAsia="SimSun"/>
              </w:rPr>
            </w:pPr>
            <w:r w:rsidRPr="00470E23">
              <w:rPr>
                <w:rFonts w:eastAsia="SimSun"/>
              </w:rPr>
              <w:t>-</w:t>
            </w:r>
          </w:p>
        </w:tc>
        <w:tc>
          <w:tcPr>
            <w:tcW w:w="715" w:type="pct"/>
            <w:shd w:val="clear" w:color="auto" w:fill="D9D9D9"/>
            <w:vAlign w:val="center"/>
          </w:tcPr>
          <w:p w14:paraId="61DF1DF5" w14:textId="77777777" w:rsidR="00BE7F89" w:rsidRPr="00470E23" w:rsidRDefault="00BE7F89" w:rsidP="005A428D">
            <w:pPr>
              <w:rPr>
                <w:rFonts w:eastAsia="SimSun"/>
              </w:rPr>
            </w:pPr>
            <w:r w:rsidRPr="00470E23">
              <w:rPr>
                <w:rFonts w:eastAsia="SimSun"/>
              </w:rPr>
              <w:t>MMF30</w:t>
            </w:r>
          </w:p>
        </w:tc>
        <w:tc>
          <w:tcPr>
            <w:tcW w:w="750" w:type="pct"/>
            <w:shd w:val="clear" w:color="auto" w:fill="auto"/>
            <w:vAlign w:val="center"/>
          </w:tcPr>
          <w:p w14:paraId="478D3D65" w14:textId="77777777" w:rsidR="00BE7F89" w:rsidRPr="00470E23" w:rsidRDefault="00BE7F89" w:rsidP="005A428D">
            <w:pPr>
              <w:rPr>
                <w:rFonts w:eastAsia="SimSun"/>
              </w:rPr>
            </w:pPr>
            <w:r w:rsidRPr="00470E23">
              <w:rPr>
                <w:rFonts w:eastAsia="SimSun"/>
              </w:rPr>
              <w:t>-</w:t>
            </w:r>
          </w:p>
        </w:tc>
        <w:tc>
          <w:tcPr>
            <w:tcW w:w="678" w:type="pct"/>
            <w:shd w:val="clear" w:color="auto" w:fill="auto"/>
            <w:vAlign w:val="center"/>
          </w:tcPr>
          <w:p w14:paraId="107937BE" w14:textId="77777777" w:rsidR="00BE7F89" w:rsidRPr="00470E23" w:rsidRDefault="00BE7F89" w:rsidP="005A428D">
            <w:pPr>
              <w:rPr>
                <w:rFonts w:eastAsia="SimSun"/>
              </w:rPr>
            </w:pPr>
            <w:r w:rsidRPr="00470E23">
              <w:rPr>
                <w:rFonts w:eastAsia="SimSun"/>
              </w:rPr>
              <w:t>5.2.1.4</w:t>
            </w:r>
          </w:p>
        </w:tc>
        <w:tc>
          <w:tcPr>
            <w:tcW w:w="749" w:type="pct"/>
            <w:shd w:val="clear" w:color="auto" w:fill="auto"/>
            <w:vAlign w:val="center"/>
          </w:tcPr>
          <w:p w14:paraId="155C24A8" w14:textId="77777777" w:rsidR="00BE7F89" w:rsidRPr="00470E23" w:rsidRDefault="00BE7F89" w:rsidP="005A428D">
            <w:pPr>
              <w:rPr>
                <w:rFonts w:eastAsia="SimSun"/>
              </w:rPr>
            </w:pPr>
            <w:r w:rsidRPr="00470E23">
              <w:rPr>
                <w:rFonts w:eastAsia="SimSun"/>
              </w:rPr>
              <w:t>5.2.1.8</w:t>
            </w:r>
          </w:p>
        </w:tc>
        <w:tc>
          <w:tcPr>
            <w:tcW w:w="568" w:type="pct"/>
            <w:shd w:val="clear" w:color="auto" w:fill="auto"/>
            <w:vAlign w:val="center"/>
          </w:tcPr>
          <w:p w14:paraId="0AF6F017" w14:textId="77777777" w:rsidR="00BE7F89" w:rsidRPr="00470E23" w:rsidRDefault="00BE7F89" w:rsidP="005A428D">
            <w:pPr>
              <w:rPr>
                <w:rFonts w:eastAsia="SimSun"/>
              </w:rPr>
            </w:pPr>
            <w:r w:rsidRPr="00470E23">
              <w:rPr>
                <w:rFonts w:eastAsia="SimSun"/>
              </w:rPr>
              <w:t>5.2.1.11</w:t>
            </w:r>
          </w:p>
        </w:tc>
      </w:tr>
      <w:tr w:rsidR="00BE7F89" w:rsidRPr="00470E23" w14:paraId="585F76CB" w14:textId="77777777" w:rsidTr="005A428D">
        <w:trPr>
          <w:cantSplit/>
          <w:trHeight w:val="850"/>
        </w:trPr>
        <w:tc>
          <w:tcPr>
            <w:tcW w:w="549" w:type="pct"/>
            <w:shd w:val="clear" w:color="auto" w:fill="D9D9D9"/>
            <w:vAlign w:val="center"/>
          </w:tcPr>
          <w:p w14:paraId="51021965" w14:textId="77777777" w:rsidR="00BE7F89" w:rsidRPr="00470E23" w:rsidRDefault="00BE7F89" w:rsidP="005A428D">
            <w:pPr>
              <w:rPr>
                <w:rFonts w:eastAsia="SimSun"/>
              </w:rPr>
            </w:pPr>
            <w:r w:rsidRPr="00470E23">
              <w:rPr>
                <w:rFonts w:eastAsia="SimSun"/>
              </w:rPr>
              <w:t>-</w:t>
            </w:r>
          </w:p>
        </w:tc>
        <w:tc>
          <w:tcPr>
            <w:tcW w:w="477" w:type="pct"/>
            <w:shd w:val="clear" w:color="auto" w:fill="D9D9D9"/>
            <w:vAlign w:val="center"/>
          </w:tcPr>
          <w:p w14:paraId="5895162D" w14:textId="77777777" w:rsidR="00BE7F89" w:rsidRPr="00470E23" w:rsidRDefault="00BE7F89" w:rsidP="005A428D">
            <w:pPr>
              <w:rPr>
                <w:rFonts w:eastAsia="SimSun"/>
              </w:rPr>
            </w:pPr>
            <w:r w:rsidRPr="00470E23">
              <w:rPr>
                <w:rFonts w:eastAsia="SimSun"/>
              </w:rPr>
              <w:t>Tx</w:t>
            </w:r>
          </w:p>
        </w:tc>
        <w:tc>
          <w:tcPr>
            <w:tcW w:w="514" w:type="pct"/>
            <w:shd w:val="clear" w:color="auto" w:fill="D9D9D9"/>
            <w:vAlign w:val="center"/>
          </w:tcPr>
          <w:p w14:paraId="6A80980F" w14:textId="77777777" w:rsidR="00BE7F89" w:rsidRPr="00470E23" w:rsidRDefault="00BE7F89" w:rsidP="005A428D">
            <w:pPr>
              <w:rPr>
                <w:rFonts w:eastAsia="SimSun"/>
              </w:rPr>
            </w:pPr>
            <w:r w:rsidRPr="00470E23">
              <w:rPr>
                <w:rFonts w:eastAsia="SimSun"/>
              </w:rPr>
              <w:t>-</w:t>
            </w:r>
          </w:p>
        </w:tc>
        <w:tc>
          <w:tcPr>
            <w:tcW w:w="715" w:type="pct"/>
            <w:shd w:val="clear" w:color="auto" w:fill="D9D9D9"/>
            <w:vAlign w:val="center"/>
          </w:tcPr>
          <w:p w14:paraId="62565DE0" w14:textId="77777777" w:rsidR="00BE7F89" w:rsidRPr="00470E23" w:rsidRDefault="00BE7F89" w:rsidP="005A428D">
            <w:pPr>
              <w:rPr>
                <w:rFonts w:eastAsia="SimSun"/>
              </w:rPr>
            </w:pPr>
            <w:r w:rsidRPr="00470E23">
              <w:rPr>
                <w:rFonts w:eastAsia="SimSun"/>
              </w:rPr>
              <w:t>MMF30</w:t>
            </w:r>
          </w:p>
        </w:tc>
        <w:tc>
          <w:tcPr>
            <w:tcW w:w="750" w:type="pct"/>
            <w:shd w:val="clear" w:color="auto" w:fill="auto"/>
            <w:vAlign w:val="center"/>
          </w:tcPr>
          <w:p w14:paraId="265C3FD4" w14:textId="77777777" w:rsidR="00BE7F89" w:rsidRPr="00470E23" w:rsidRDefault="00BE7F89" w:rsidP="005A428D">
            <w:pPr>
              <w:rPr>
                <w:rFonts w:eastAsia="SimSun"/>
              </w:rPr>
            </w:pPr>
            <w:r w:rsidRPr="00470E23">
              <w:rPr>
                <w:rFonts w:eastAsia="SimSun"/>
              </w:rPr>
              <w:t>-</w:t>
            </w:r>
          </w:p>
        </w:tc>
        <w:tc>
          <w:tcPr>
            <w:tcW w:w="678" w:type="pct"/>
            <w:shd w:val="clear" w:color="auto" w:fill="auto"/>
            <w:vAlign w:val="center"/>
          </w:tcPr>
          <w:p w14:paraId="3C097F9B" w14:textId="77777777" w:rsidR="00BE7F89" w:rsidRPr="00470E23" w:rsidRDefault="00BE7F89" w:rsidP="005A428D">
            <w:pPr>
              <w:rPr>
                <w:rFonts w:eastAsia="SimSun"/>
              </w:rPr>
            </w:pPr>
            <w:r w:rsidRPr="00470E23">
              <w:rPr>
                <w:rFonts w:eastAsia="SimSun"/>
              </w:rPr>
              <w:t>5.2.1.6</w:t>
            </w:r>
          </w:p>
        </w:tc>
        <w:tc>
          <w:tcPr>
            <w:tcW w:w="749" w:type="pct"/>
            <w:shd w:val="clear" w:color="auto" w:fill="auto"/>
            <w:vAlign w:val="center"/>
          </w:tcPr>
          <w:p w14:paraId="5371441C" w14:textId="77777777" w:rsidR="00BE7F89" w:rsidRPr="00470E23" w:rsidRDefault="00BE7F89" w:rsidP="005A428D">
            <w:pPr>
              <w:rPr>
                <w:rFonts w:eastAsia="SimSun"/>
              </w:rPr>
            </w:pPr>
            <w:r w:rsidRPr="00470E23">
              <w:rPr>
                <w:rFonts w:eastAsia="SimSun"/>
              </w:rPr>
              <w:t>5.2.1.10</w:t>
            </w:r>
          </w:p>
        </w:tc>
        <w:tc>
          <w:tcPr>
            <w:tcW w:w="568" w:type="pct"/>
            <w:shd w:val="clear" w:color="auto" w:fill="auto"/>
            <w:vAlign w:val="center"/>
          </w:tcPr>
          <w:p w14:paraId="3B4EC81B" w14:textId="77777777" w:rsidR="00BE7F89" w:rsidRPr="00470E23" w:rsidRDefault="00BE7F89" w:rsidP="005A428D">
            <w:pPr>
              <w:rPr>
                <w:rFonts w:eastAsia="SimSun"/>
              </w:rPr>
            </w:pPr>
            <w:r w:rsidRPr="00470E23">
              <w:rPr>
                <w:rFonts w:eastAsia="SimSun"/>
              </w:rPr>
              <w:t>-</w:t>
            </w:r>
          </w:p>
        </w:tc>
      </w:tr>
    </w:tbl>
    <w:p w14:paraId="615D326B" w14:textId="77777777" w:rsidR="00BE7F89" w:rsidRPr="00C07B2E" w:rsidRDefault="00BE7F89" w:rsidP="00BE7F89">
      <w:pPr>
        <w:rPr>
          <w:rFonts w:eastAsia="SimSun"/>
        </w:rPr>
      </w:pPr>
    </w:p>
    <w:p w14:paraId="4F64298F" w14:textId="77777777" w:rsidR="00BE7F89" w:rsidRPr="00C07B2E" w:rsidRDefault="00BE7F89" w:rsidP="00BE7F89">
      <w:pPr>
        <w:rPr>
          <w:rFonts w:eastAsia="SimSun"/>
        </w:rPr>
        <w:sectPr w:rsidR="00BE7F89" w:rsidRPr="00C07B2E" w:rsidSect="00980822">
          <w:type w:val="continuous"/>
          <w:pgSz w:w="16839" w:h="11907" w:orient="landscape" w:code="9"/>
          <w:pgMar w:top="1134" w:right="850" w:bottom="1134" w:left="1701" w:header="709" w:footer="567" w:gutter="0"/>
          <w:cols w:space="708"/>
          <w:docGrid w:linePitch="360"/>
        </w:sectPr>
      </w:pPr>
    </w:p>
    <w:p w14:paraId="509B21FF" w14:textId="77777777" w:rsidR="00BE7F89" w:rsidRPr="00C07B2E" w:rsidRDefault="00BE7F89" w:rsidP="00BE7F89">
      <w:pPr>
        <w:rPr>
          <w:rFonts w:eastAsia="SimSun"/>
        </w:rPr>
      </w:pPr>
    </w:p>
    <w:p w14:paraId="6A7425AD" w14:textId="77777777" w:rsidR="00BE7F89" w:rsidRPr="00C07B2E" w:rsidRDefault="00BE7F89" w:rsidP="00BE7F89">
      <w:pPr>
        <w:rPr>
          <w:rFonts w:eastAsia="SimSun"/>
        </w:rPr>
      </w:pPr>
      <w:bookmarkStart w:id="176" w:name="_Toc44401187"/>
      <w:r w:rsidRPr="00042499">
        <w:rPr>
          <w:rFonts w:eastAsia="SimSun"/>
        </w:rPr>
        <w:t>Таблица</w:t>
      </w:r>
      <w:r w:rsidRPr="00C07B2E">
        <w:rPr>
          <w:rFonts w:eastAsia="SimSun"/>
        </w:rPr>
        <w:t xml:space="preserve"> </w:t>
      </w:r>
      <w:r>
        <w:rPr>
          <w:rFonts w:eastAsia="SimSun"/>
        </w:rPr>
        <w:t>5.</w:t>
      </w:r>
      <w:r w:rsidRPr="00C07B2E">
        <w:rPr>
          <w:rFonts w:eastAsia="SimSun"/>
        </w:rPr>
        <w:t>2.1.1  – Bu12+Cy120 / hATG+CSA+MTX+MMF45</w:t>
      </w:r>
      <w:bookmarkEnd w:id="17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BE7F89" w:rsidRPr="00AC3044" w14:paraId="6167FC72" w14:textId="77777777" w:rsidTr="005A428D">
        <w:trPr>
          <w:cantSplit/>
          <w:trHeight w:val="20"/>
          <w:tblHeader/>
        </w:trPr>
        <w:tc>
          <w:tcPr>
            <w:tcW w:w="1135" w:type="dxa"/>
          </w:tcPr>
          <w:p w14:paraId="04D64939" w14:textId="77777777" w:rsidR="00BE7F89" w:rsidRPr="00470D3D" w:rsidRDefault="00BE7F89" w:rsidP="005A428D">
            <w:pPr>
              <w:rPr>
                <w:rFonts w:eastAsia="SimSun"/>
              </w:rPr>
            </w:pPr>
          </w:p>
        </w:tc>
        <w:tc>
          <w:tcPr>
            <w:tcW w:w="1701" w:type="dxa"/>
          </w:tcPr>
          <w:p w14:paraId="2BC3CE59" w14:textId="77777777" w:rsidR="00BE7F89" w:rsidRPr="00AC3044" w:rsidRDefault="00BE7F89" w:rsidP="005A428D">
            <w:pPr>
              <w:rPr>
                <w:rFonts w:eastAsia="SimSun"/>
              </w:rPr>
            </w:pPr>
            <w:r w:rsidRPr="00AC3044">
              <w:rPr>
                <w:rFonts w:eastAsia="SimSun"/>
              </w:rPr>
              <w:t>Препарат</w:t>
            </w:r>
          </w:p>
        </w:tc>
        <w:tc>
          <w:tcPr>
            <w:tcW w:w="1417" w:type="dxa"/>
          </w:tcPr>
          <w:p w14:paraId="11D0007B" w14:textId="77777777" w:rsidR="00BE7F89" w:rsidRPr="00AC3044" w:rsidRDefault="00BE7F89" w:rsidP="005A428D">
            <w:pPr>
              <w:rPr>
                <w:rFonts w:eastAsia="SimSun"/>
              </w:rPr>
            </w:pPr>
            <w:r w:rsidRPr="00AC3044">
              <w:rPr>
                <w:rFonts w:eastAsia="SimSun"/>
              </w:rPr>
              <w:t>Суточная доза</w:t>
            </w:r>
          </w:p>
        </w:tc>
        <w:tc>
          <w:tcPr>
            <w:tcW w:w="1418" w:type="dxa"/>
          </w:tcPr>
          <w:p w14:paraId="73AF217B" w14:textId="77777777" w:rsidR="00BE7F89" w:rsidRPr="00AC3044" w:rsidRDefault="00BE7F89" w:rsidP="005A428D">
            <w:pPr>
              <w:rPr>
                <w:rFonts w:eastAsia="SimSun"/>
              </w:rPr>
            </w:pPr>
            <w:r w:rsidRPr="00AC3044">
              <w:rPr>
                <w:rFonts w:eastAsia="SimSun"/>
              </w:rPr>
              <w:t>Курсовая доза</w:t>
            </w:r>
          </w:p>
        </w:tc>
        <w:tc>
          <w:tcPr>
            <w:tcW w:w="1701" w:type="dxa"/>
          </w:tcPr>
          <w:p w14:paraId="20A471BC" w14:textId="77777777" w:rsidR="00BE7F89" w:rsidRPr="00AC3044" w:rsidRDefault="00BE7F89" w:rsidP="005A428D">
            <w:pPr>
              <w:rPr>
                <w:rFonts w:eastAsia="SimSun"/>
              </w:rPr>
            </w:pPr>
            <w:r w:rsidRPr="00AC3044">
              <w:rPr>
                <w:rFonts w:eastAsia="SimSun"/>
              </w:rPr>
              <w:t>Дни введения</w:t>
            </w:r>
          </w:p>
        </w:tc>
        <w:tc>
          <w:tcPr>
            <w:tcW w:w="2268" w:type="dxa"/>
          </w:tcPr>
          <w:p w14:paraId="5FABEB1F"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690DAC22" w14:textId="77777777" w:rsidTr="005A428D">
        <w:trPr>
          <w:cantSplit/>
          <w:trHeight w:val="650"/>
        </w:trPr>
        <w:tc>
          <w:tcPr>
            <w:tcW w:w="1135" w:type="dxa"/>
            <w:vMerge w:val="restart"/>
            <w:textDirection w:val="btLr"/>
          </w:tcPr>
          <w:p w14:paraId="6D4C88BD" w14:textId="77777777" w:rsidR="00BE7F89" w:rsidRPr="00AC3044" w:rsidRDefault="00BE7F89" w:rsidP="005A428D">
            <w:pPr>
              <w:rPr>
                <w:rFonts w:eastAsia="SimSun"/>
              </w:rPr>
            </w:pPr>
            <w:r w:rsidRPr="00AC3044">
              <w:rPr>
                <w:rFonts w:eastAsia="SimSun"/>
              </w:rPr>
              <w:t>Кондиционирование</w:t>
            </w:r>
          </w:p>
        </w:tc>
        <w:tc>
          <w:tcPr>
            <w:tcW w:w="1701" w:type="dxa"/>
          </w:tcPr>
          <w:p w14:paraId="2C26A702" w14:textId="77777777" w:rsidR="00BE7F89" w:rsidRPr="00AC3044" w:rsidRDefault="00BE7F89" w:rsidP="005A428D">
            <w:pPr>
              <w:rPr>
                <w:rFonts w:eastAsia="SimSun"/>
              </w:rPr>
            </w:pPr>
            <w:r w:rsidRPr="00AC3044">
              <w:rPr>
                <w:rFonts w:eastAsia="SimSun"/>
              </w:rPr>
              <w:t>Бусульфан</w:t>
            </w:r>
          </w:p>
        </w:tc>
        <w:tc>
          <w:tcPr>
            <w:tcW w:w="1417" w:type="dxa"/>
          </w:tcPr>
          <w:p w14:paraId="61E1C460" w14:textId="77777777" w:rsidR="00BE7F89" w:rsidRPr="00AC3044" w:rsidRDefault="00BE7F89" w:rsidP="005A428D">
            <w:pPr>
              <w:rPr>
                <w:rFonts w:eastAsia="SimSun"/>
              </w:rPr>
            </w:pPr>
            <w:r w:rsidRPr="00AC3044">
              <w:rPr>
                <w:rFonts w:eastAsia="SimSun"/>
              </w:rPr>
              <w:t>4 мг/кг</w:t>
            </w:r>
          </w:p>
        </w:tc>
        <w:tc>
          <w:tcPr>
            <w:tcW w:w="1418" w:type="dxa"/>
          </w:tcPr>
          <w:p w14:paraId="2D37901C" w14:textId="77777777" w:rsidR="00BE7F89" w:rsidRPr="00AC3044" w:rsidRDefault="00BE7F89" w:rsidP="005A428D">
            <w:pPr>
              <w:rPr>
                <w:rFonts w:eastAsia="SimSun"/>
              </w:rPr>
            </w:pPr>
            <w:r w:rsidRPr="00AC3044">
              <w:rPr>
                <w:rFonts w:eastAsia="SimSun"/>
              </w:rPr>
              <w:t>12 мг/кг</w:t>
            </w:r>
          </w:p>
        </w:tc>
        <w:tc>
          <w:tcPr>
            <w:tcW w:w="1701" w:type="dxa"/>
          </w:tcPr>
          <w:p w14:paraId="47A057F7" w14:textId="77777777" w:rsidR="00BE7F89" w:rsidRPr="00AC3044" w:rsidRDefault="00BE7F89" w:rsidP="005A428D">
            <w:pPr>
              <w:rPr>
                <w:rFonts w:eastAsia="SimSun"/>
              </w:rPr>
            </w:pPr>
            <w:r w:rsidRPr="00AC3044">
              <w:rPr>
                <w:rFonts w:eastAsia="SimSun"/>
              </w:rPr>
              <w:t>С –6 по –4 день</w:t>
            </w:r>
          </w:p>
        </w:tc>
        <w:tc>
          <w:tcPr>
            <w:tcW w:w="2268" w:type="dxa"/>
          </w:tcPr>
          <w:p w14:paraId="6D5B77BE"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2896A50F" w14:textId="77777777" w:rsidTr="005A428D">
        <w:trPr>
          <w:cantSplit/>
          <w:trHeight w:val="418"/>
        </w:trPr>
        <w:tc>
          <w:tcPr>
            <w:tcW w:w="1135" w:type="dxa"/>
            <w:vMerge/>
          </w:tcPr>
          <w:p w14:paraId="4C9174C9" w14:textId="77777777" w:rsidR="00BE7F89" w:rsidRPr="00AC3044" w:rsidRDefault="00BE7F89" w:rsidP="005A428D">
            <w:pPr>
              <w:rPr>
                <w:rFonts w:eastAsia="SimSun"/>
              </w:rPr>
            </w:pPr>
          </w:p>
        </w:tc>
        <w:tc>
          <w:tcPr>
            <w:tcW w:w="1701" w:type="dxa"/>
          </w:tcPr>
          <w:p w14:paraId="033A1419" w14:textId="77777777" w:rsidR="00BE7F89" w:rsidRPr="00AC3044" w:rsidRDefault="00BE7F89" w:rsidP="005A428D">
            <w:pPr>
              <w:rPr>
                <w:rFonts w:eastAsia="SimSun"/>
              </w:rPr>
            </w:pPr>
            <w:r w:rsidRPr="00AC3044">
              <w:rPr>
                <w:rFonts w:eastAsia="SimSun"/>
              </w:rPr>
              <w:t>Циклофосфамид</w:t>
            </w:r>
          </w:p>
        </w:tc>
        <w:tc>
          <w:tcPr>
            <w:tcW w:w="1417" w:type="dxa"/>
          </w:tcPr>
          <w:p w14:paraId="6621A4B9" w14:textId="77777777" w:rsidR="00BE7F89" w:rsidRPr="00AC3044" w:rsidRDefault="00BE7F89" w:rsidP="005A428D">
            <w:pPr>
              <w:rPr>
                <w:rFonts w:eastAsia="SimSun"/>
              </w:rPr>
            </w:pPr>
            <w:r w:rsidRPr="00AC3044">
              <w:rPr>
                <w:rFonts w:eastAsia="SimSun"/>
              </w:rPr>
              <w:t>60 мг/кг</w:t>
            </w:r>
          </w:p>
        </w:tc>
        <w:tc>
          <w:tcPr>
            <w:tcW w:w="1418" w:type="dxa"/>
          </w:tcPr>
          <w:p w14:paraId="33B93C67" w14:textId="77777777" w:rsidR="00BE7F89" w:rsidRPr="00AC3044" w:rsidRDefault="00BE7F89" w:rsidP="005A428D">
            <w:pPr>
              <w:rPr>
                <w:rFonts w:eastAsia="SimSun"/>
              </w:rPr>
            </w:pPr>
            <w:r w:rsidRPr="00AC3044">
              <w:rPr>
                <w:rFonts w:eastAsia="SimSun"/>
              </w:rPr>
              <w:t>120 мг/кг</w:t>
            </w:r>
          </w:p>
        </w:tc>
        <w:tc>
          <w:tcPr>
            <w:tcW w:w="1701" w:type="dxa"/>
          </w:tcPr>
          <w:p w14:paraId="644F1B2D" w14:textId="77777777" w:rsidR="00BE7F89" w:rsidRPr="00AC3044" w:rsidRDefault="00BE7F89" w:rsidP="005A428D">
            <w:pPr>
              <w:rPr>
                <w:rFonts w:eastAsia="SimSun"/>
              </w:rPr>
            </w:pPr>
            <w:r w:rsidRPr="00AC3044">
              <w:rPr>
                <w:rFonts w:eastAsia="SimSun"/>
              </w:rPr>
              <w:t xml:space="preserve">–3, –2 дни </w:t>
            </w:r>
          </w:p>
        </w:tc>
        <w:tc>
          <w:tcPr>
            <w:tcW w:w="2268" w:type="dxa"/>
          </w:tcPr>
          <w:p w14:paraId="49D26C6E" w14:textId="77777777" w:rsidR="00BE7F89" w:rsidRPr="00AC3044" w:rsidRDefault="00BE7F89" w:rsidP="005A428D">
            <w:pPr>
              <w:rPr>
                <w:rFonts w:eastAsia="SimSun"/>
              </w:rPr>
            </w:pPr>
            <w:r w:rsidRPr="00AC3044">
              <w:rPr>
                <w:rFonts w:eastAsia="SimSun"/>
              </w:rPr>
              <w:t xml:space="preserve">В/в, в течение 2 ч </w:t>
            </w:r>
          </w:p>
        </w:tc>
      </w:tr>
      <w:tr w:rsidR="00BE7F89" w:rsidRPr="00AC3044" w14:paraId="3B84FF76" w14:textId="77777777" w:rsidTr="005A428D">
        <w:trPr>
          <w:cantSplit/>
          <w:trHeight w:val="20"/>
        </w:trPr>
        <w:tc>
          <w:tcPr>
            <w:tcW w:w="1135" w:type="dxa"/>
            <w:vMerge w:val="restart"/>
            <w:textDirection w:val="btLr"/>
          </w:tcPr>
          <w:p w14:paraId="3646F5E9" w14:textId="77777777" w:rsidR="00BE7F89" w:rsidRPr="00AC3044" w:rsidRDefault="00BE7F89" w:rsidP="005A428D">
            <w:pPr>
              <w:rPr>
                <w:rFonts w:eastAsia="SimSun"/>
              </w:rPr>
            </w:pPr>
            <w:r w:rsidRPr="00AC3044">
              <w:rPr>
                <w:rFonts w:eastAsia="SimSun"/>
              </w:rPr>
              <w:t>Профилактика РТПХ</w:t>
            </w:r>
          </w:p>
        </w:tc>
        <w:tc>
          <w:tcPr>
            <w:tcW w:w="1701" w:type="dxa"/>
          </w:tcPr>
          <w:p w14:paraId="5B54ADBB" w14:textId="77777777" w:rsidR="00BE7F89" w:rsidRPr="00AC3044" w:rsidRDefault="00BE7F89" w:rsidP="005A428D">
            <w:pPr>
              <w:rPr>
                <w:rFonts w:eastAsia="SimSun"/>
              </w:rPr>
            </w:pPr>
            <w:r w:rsidRPr="00AC3044">
              <w:rPr>
                <w:rFonts w:eastAsia="SimSun"/>
              </w:rPr>
              <w:t>АТГ (лошадиный)</w:t>
            </w:r>
          </w:p>
        </w:tc>
        <w:tc>
          <w:tcPr>
            <w:tcW w:w="1417" w:type="dxa"/>
          </w:tcPr>
          <w:p w14:paraId="5A99C0B7" w14:textId="77777777" w:rsidR="00BE7F89" w:rsidRPr="00AC3044" w:rsidRDefault="00BE7F89" w:rsidP="005A428D">
            <w:pPr>
              <w:rPr>
                <w:rFonts w:eastAsia="SimSun"/>
              </w:rPr>
            </w:pPr>
            <w:r w:rsidRPr="00AC3044">
              <w:rPr>
                <w:rFonts w:eastAsia="SimSun"/>
              </w:rPr>
              <w:t>10-15 мг/кг</w:t>
            </w:r>
          </w:p>
        </w:tc>
        <w:tc>
          <w:tcPr>
            <w:tcW w:w="1418" w:type="dxa"/>
          </w:tcPr>
          <w:p w14:paraId="578307E4" w14:textId="77777777" w:rsidR="00BE7F89" w:rsidRPr="00AC3044" w:rsidRDefault="00BE7F89" w:rsidP="005A428D">
            <w:pPr>
              <w:rPr>
                <w:rFonts w:eastAsia="SimSun"/>
              </w:rPr>
            </w:pPr>
            <w:r w:rsidRPr="00AC3044">
              <w:rPr>
                <w:rFonts w:eastAsia="SimSun"/>
              </w:rPr>
              <w:t>40-60 мг/кг</w:t>
            </w:r>
          </w:p>
        </w:tc>
        <w:tc>
          <w:tcPr>
            <w:tcW w:w="1701" w:type="dxa"/>
          </w:tcPr>
          <w:p w14:paraId="58D2A6BE" w14:textId="77777777" w:rsidR="00BE7F89" w:rsidRPr="00AC3044" w:rsidRDefault="00BE7F89" w:rsidP="005A428D">
            <w:pPr>
              <w:rPr>
                <w:rFonts w:eastAsia="SimSun"/>
              </w:rPr>
            </w:pPr>
            <w:r w:rsidRPr="00AC3044">
              <w:rPr>
                <w:rFonts w:eastAsia="SimSun"/>
              </w:rPr>
              <w:t>С –4 по –1 день</w:t>
            </w:r>
          </w:p>
        </w:tc>
        <w:tc>
          <w:tcPr>
            <w:tcW w:w="2268" w:type="dxa"/>
          </w:tcPr>
          <w:p w14:paraId="2453BCF6" w14:textId="77777777" w:rsidR="00BE7F89" w:rsidRPr="00AC3044" w:rsidRDefault="00BE7F89" w:rsidP="005A428D">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BE7F89" w:rsidRPr="00AC3044" w14:paraId="3CE7DCF8" w14:textId="77777777" w:rsidTr="005A428D">
        <w:trPr>
          <w:cantSplit/>
          <w:trHeight w:val="20"/>
        </w:trPr>
        <w:tc>
          <w:tcPr>
            <w:tcW w:w="1135" w:type="dxa"/>
            <w:vMerge/>
            <w:textDirection w:val="btLr"/>
          </w:tcPr>
          <w:p w14:paraId="78492064" w14:textId="77777777" w:rsidR="00BE7F89" w:rsidRPr="00AC3044" w:rsidRDefault="00BE7F89" w:rsidP="005A428D">
            <w:pPr>
              <w:rPr>
                <w:rFonts w:eastAsia="SimSun"/>
              </w:rPr>
            </w:pPr>
          </w:p>
        </w:tc>
        <w:tc>
          <w:tcPr>
            <w:tcW w:w="1701" w:type="dxa"/>
          </w:tcPr>
          <w:p w14:paraId="286C83F5" w14:textId="77777777" w:rsidR="00BE7F89" w:rsidRPr="00AC3044" w:rsidRDefault="00BE7F89" w:rsidP="005A428D">
            <w:pPr>
              <w:rPr>
                <w:rFonts w:eastAsia="SimSun"/>
              </w:rPr>
            </w:pPr>
            <w:r w:rsidRPr="00AC3044">
              <w:rPr>
                <w:rFonts w:eastAsia="SimSun"/>
              </w:rPr>
              <w:t>Циклоспорин</w:t>
            </w:r>
          </w:p>
        </w:tc>
        <w:tc>
          <w:tcPr>
            <w:tcW w:w="1417" w:type="dxa"/>
          </w:tcPr>
          <w:p w14:paraId="660F0992" w14:textId="77777777" w:rsidR="00BE7F89" w:rsidRPr="00AC3044" w:rsidRDefault="00BE7F89" w:rsidP="005A428D">
            <w:pPr>
              <w:rPr>
                <w:rFonts w:eastAsia="SimSun"/>
              </w:rPr>
            </w:pPr>
            <w:r w:rsidRPr="00AC3044">
              <w:rPr>
                <w:rFonts w:eastAsia="SimSun"/>
              </w:rPr>
              <w:t>3 мг/кг</w:t>
            </w:r>
          </w:p>
        </w:tc>
        <w:tc>
          <w:tcPr>
            <w:tcW w:w="1418" w:type="dxa"/>
          </w:tcPr>
          <w:p w14:paraId="69EF0F63" w14:textId="77777777" w:rsidR="00BE7F89" w:rsidRPr="00AC3044" w:rsidRDefault="00BE7F89" w:rsidP="005A428D">
            <w:pPr>
              <w:rPr>
                <w:rFonts w:eastAsia="SimSun"/>
              </w:rPr>
            </w:pPr>
            <w:r w:rsidRPr="00AC3044">
              <w:rPr>
                <w:rFonts w:eastAsia="SimSun"/>
              </w:rPr>
              <w:t>–</w:t>
            </w:r>
          </w:p>
        </w:tc>
        <w:tc>
          <w:tcPr>
            <w:tcW w:w="1701" w:type="dxa"/>
          </w:tcPr>
          <w:p w14:paraId="132E31A5" w14:textId="77777777" w:rsidR="00BE7F89" w:rsidRPr="00AC3044" w:rsidRDefault="00BE7F89" w:rsidP="005A428D">
            <w:pPr>
              <w:rPr>
                <w:rFonts w:eastAsia="SimSun"/>
              </w:rPr>
            </w:pPr>
            <w:r w:rsidRPr="00AC3044">
              <w:rPr>
                <w:rFonts w:eastAsia="SimSun"/>
              </w:rPr>
              <w:t>С –1 по +90 день, затем постепенное снижение к +180 дню</w:t>
            </w:r>
          </w:p>
        </w:tc>
        <w:tc>
          <w:tcPr>
            <w:tcW w:w="2268" w:type="dxa"/>
          </w:tcPr>
          <w:p w14:paraId="6E3330E6"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1EC1696C" w14:textId="77777777" w:rsidTr="005A428D">
        <w:trPr>
          <w:cantSplit/>
          <w:trHeight w:val="20"/>
        </w:trPr>
        <w:tc>
          <w:tcPr>
            <w:tcW w:w="1135" w:type="dxa"/>
            <w:vMerge/>
          </w:tcPr>
          <w:p w14:paraId="2614E1D9" w14:textId="77777777" w:rsidR="00BE7F89" w:rsidRPr="00AC3044" w:rsidRDefault="00BE7F89" w:rsidP="005A428D">
            <w:pPr>
              <w:rPr>
                <w:rFonts w:eastAsia="SimSun"/>
              </w:rPr>
            </w:pPr>
          </w:p>
        </w:tc>
        <w:tc>
          <w:tcPr>
            <w:tcW w:w="1701" w:type="dxa"/>
            <w:vMerge w:val="restart"/>
          </w:tcPr>
          <w:p w14:paraId="0A290DD0" w14:textId="77777777" w:rsidR="00BE7F89" w:rsidRPr="00AC3044" w:rsidRDefault="00BE7F89" w:rsidP="005A428D">
            <w:pPr>
              <w:rPr>
                <w:rFonts w:eastAsia="SimSun"/>
              </w:rPr>
            </w:pPr>
            <w:r w:rsidRPr="00AC3044">
              <w:rPr>
                <w:rFonts w:eastAsia="SimSun"/>
              </w:rPr>
              <w:t>Метотрексат</w:t>
            </w:r>
          </w:p>
        </w:tc>
        <w:tc>
          <w:tcPr>
            <w:tcW w:w="1417" w:type="dxa"/>
          </w:tcPr>
          <w:p w14:paraId="64039F14" w14:textId="77777777" w:rsidR="00BE7F89" w:rsidRPr="00AC3044" w:rsidRDefault="00BE7F89" w:rsidP="005A428D">
            <w:pPr>
              <w:rPr>
                <w:rFonts w:eastAsia="SimSun"/>
              </w:rPr>
            </w:pPr>
            <w:r w:rsidRPr="00AC3044">
              <w:rPr>
                <w:rFonts w:eastAsia="SimSun"/>
              </w:rPr>
              <w:t>15 мг/м</w:t>
            </w:r>
            <w:r w:rsidRPr="001E6DBE">
              <w:rPr>
                <w:rFonts w:eastAsia="SimSun"/>
                <w:vertAlign w:val="superscript"/>
              </w:rPr>
              <w:t>2</w:t>
            </w:r>
          </w:p>
        </w:tc>
        <w:tc>
          <w:tcPr>
            <w:tcW w:w="1418" w:type="dxa"/>
          </w:tcPr>
          <w:p w14:paraId="79FABD25" w14:textId="77777777" w:rsidR="00BE7F89" w:rsidRPr="00AC3044" w:rsidRDefault="00BE7F89" w:rsidP="005A428D">
            <w:pPr>
              <w:rPr>
                <w:rFonts w:eastAsia="SimSun"/>
              </w:rPr>
            </w:pPr>
            <w:r w:rsidRPr="00AC3044">
              <w:rPr>
                <w:rFonts w:eastAsia="SimSun"/>
              </w:rPr>
              <w:t>–</w:t>
            </w:r>
          </w:p>
        </w:tc>
        <w:tc>
          <w:tcPr>
            <w:tcW w:w="1701" w:type="dxa"/>
          </w:tcPr>
          <w:p w14:paraId="23373073" w14:textId="77777777" w:rsidR="00BE7F89" w:rsidRPr="00AC3044" w:rsidRDefault="00BE7F89" w:rsidP="005A428D">
            <w:pPr>
              <w:rPr>
                <w:rFonts w:eastAsia="SimSun"/>
              </w:rPr>
            </w:pPr>
            <w:r w:rsidRPr="00AC3044">
              <w:rPr>
                <w:rFonts w:eastAsia="SimSun"/>
              </w:rPr>
              <w:t>+1 день</w:t>
            </w:r>
          </w:p>
        </w:tc>
        <w:tc>
          <w:tcPr>
            <w:tcW w:w="2268" w:type="dxa"/>
          </w:tcPr>
          <w:p w14:paraId="174A76EF"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63742C6A" w14:textId="77777777" w:rsidTr="005A428D">
        <w:trPr>
          <w:cantSplit/>
          <w:trHeight w:val="464"/>
        </w:trPr>
        <w:tc>
          <w:tcPr>
            <w:tcW w:w="1135" w:type="dxa"/>
            <w:vMerge/>
          </w:tcPr>
          <w:p w14:paraId="7CF6095B" w14:textId="77777777" w:rsidR="00BE7F89" w:rsidRPr="00AC3044" w:rsidRDefault="00BE7F89" w:rsidP="005A428D">
            <w:pPr>
              <w:rPr>
                <w:rFonts w:eastAsia="SimSun"/>
              </w:rPr>
            </w:pPr>
          </w:p>
        </w:tc>
        <w:tc>
          <w:tcPr>
            <w:tcW w:w="1701" w:type="dxa"/>
            <w:vMerge/>
          </w:tcPr>
          <w:p w14:paraId="05D1DFF3" w14:textId="77777777" w:rsidR="00BE7F89" w:rsidRPr="00AC3044" w:rsidRDefault="00BE7F89" w:rsidP="005A428D">
            <w:pPr>
              <w:rPr>
                <w:rFonts w:eastAsia="SimSun"/>
              </w:rPr>
            </w:pPr>
          </w:p>
        </w:tc>
        <w:tc>
          <w:tcPr>
            <w:tcW w:w="1417" w:type="dxa"/>
          </w:tcPr>
          <w:p w14:paraId="5F89125E" w14:textId="77777777" w:rsidR="00BE7F89" w:rsidRPr="00AC3044" w:rsidRDefault="00BE7F89" w:rsidP="005A428D">
            <w:pPr>
              <w:rPr>
                <w:rFonts w:eastAsia="SimSun"/>
              </w:rPr>
            </w:pPr>
            <w:r w:rsidRPr="00AC3044">
              <w:rPr>
                <w:rFonts w:eastAsia="SimSun"/>
              </w:rPr>
              <w:t>10 мг/м</w:t>
            </w:r>
            <w:r w:rsidRPr="001E6DBE">
              <w:rPr>
                <w:rFonts w:eastAsia="SimSun"/>
                <w:vertAlign w:val="superscript"/>
              </w:rPr>
              <w:t>2</w:t>
            </w:r>
          </w:p>
        </w:tc>
        <w:tc>
          <w:tcPr>
            <w:tcW w:w="1418" w:type="dxa"/>
          </w:tcPr>
          <w:p w14:paraId="2892769E" w14:textId="77777777" w:rsidR="00BE7F89" w:rsidRPr="00AC3044" w:rsidRDefault="00BE7F89" w:rsidP="005A428D">
            <w:pPr>
              <w:rPr>
                <w:rFonts w:eastAsia="SimSun"/>
              </w:rPr>
            </w:pPr>
            <w:r w:rsidRPr="00AC3044">
              <w:rPr>
                <w:rFonts w:eastAsia="SimSun"/>
              </w:rPr>
              <w:t>–</w:t>
            </w:r>
          </w:p>
        </w:tc>
        <w:tc>
          <w:tcPr>
            <w:tcW w:w="1701" w:type="dxa"/>
          </w:tcPr>
          <w:p w14:paraId="15DD5668" w14:textId="77777777" w:rsidR="00BE7F89" w:rsidRPr="00AC3044" w:rsidRDefault="00BE7F89" w:rsidP="005A428D">
            <w:pPr>
              <w:rPr>
                <w:rFonts w:eastAsia="SimSun"/>
              </w:rPr>
            </w:pPr>
            <w:r w:rsidRPr="00AC3044">
              <w:rPr>
                <w:rFonts w:eastAsia="SimSun"/>
              </w:rPr>
              <w:t>+3, +6, +11 дни</w:t>
            </w:r>
          </w:p>
        </w:tc>
        <w:tc>
          <w:tcPr>
            <w:tcW w:w="2268" w:type="dxa"/>
          </w:tcPr>
          <w:p w14:paraId="67488070"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67E766CA" w14:textId="77777777" w:rsidTr="005A428D">
        <w:trPr>
          <w:cantSplit/>
          <w:trHeight w:val="464"/>
        </w:trPr>
        <w:tc>
          <w:tcPr>
            <w:tcW w:w="1135" w:type="dxa"/>
            <w:vMerge/>
          </w:tcPr>
          <w:p w14:paraId="7AD8D5A4" w14:textId="77777777" w:rsidR="00BE7F89" w:rsidRPr="00AC3044" w:rsidRDefault="00BE7F89" w:rsidP="005A428D">
            <w:pPr>
              <w:rPr>
                <w:rFonts w:eastAsia="SimSun"/>
              </w:rPr>
            </w:pPr>
          </w:p>
        </w:tc>
        <w:tc>
          <w:tcPr>
            <w:tcW w:w="1701" w:type="dxa"/>
          </w:tcPr>
          <w:p w14:paraId="6B88ED6F" w14:textId="77777777" w:rsidR="00BE7F89" w:rsidRPr="00AC3044" w:rsidRDefault="00BE7F89" w:rsidP="005A428D">
            <w:pPr>
              <w:rPr>
                <w:rFonts w:eastAsia="SimSun"/>
              </w:rPr>
            </w:pPr>
            <w:r w:rsidRPr="00AC3044">
              <w:rPr>
                <w:rFonts w:eastAsia="SimSun"/>
              </w:rPr>
              <w:t>Микофенолата мофетил</w:t>
            </w:r>
          </w:p>
        </w:tc>
        <w:tc>
          <w:tcPr>
            <w:tcW w:w="1417" w:type="dxa"/>
          </w:tcPr>
          <w:p w14:paraId="7F09BB13" w14:textId="77777777" w:rsidR="00BE7F89" w:rsidRPr="00AC3044" w:rsidRDefault="00BE7F89" w:rsidP="005A428D">
            <w:pPr>
              <w:rPr>
                <w:rFonts w:eastAsia="SimSun"/>
              </w:rPr>
            </w:pPr>
            <w:r w:rsidRPr="00AC3044">
              <w:rPr>
                <w:rFonts w:eastAsia="SimSun"/>
              </w:rPr>
              <w:t>45 мг/кг</w:t>
            </w:r>
          </w:p>
        </w:tc>
        <w:tc>
          <w:tcPr>
            <w:tcW w:w="1418" w:type="dxa"/>
          </w:tcPr>
          <w:p w14:paraId="335ABC91" w14:textId="77777777" w:rsidR="00BE7F89" w:rsidRPr="00AC3044" w:rsidRDefault="00BE7F89" w:rsidP="005A428D">
            <w:pPr>
              <w:rPr>
                <w:rFonts w:eastAsia="SimSun"/>
              </w:rPr>
            </w:pPr>
            <w:r w:rsidRPr="00AC3044">
              <w:rPr>
                <w:rFonts w:eastAsia="SimSun"/>
              </w:rPr>
              <w:t>–</w:t>
            </w:r>
          </w:p>
        </w:tc>
        <w:tc>
          <w:tcPr>
            <w:tcW w:w="1701" w:type="dxa"/>
          </w:tcPr>
          <w:p w14:paraId="3B00D979" w14:textId="77777777" w:rsidR="00BE7F89" w:rsidRPr="00AC3044" w:rsidRDefault="00BE7F89" w:rsidP="005A428D">
            <w:pPr>
              <w:rPr>
                <w:rFonts w:eastAsia="SimSun"/>
              </w:rPr>
            </w:pPr>
            <w:r w:rsidRPr="00AC3044">
              <w:rPr>
                <w:rFonts w:eastAsia="SimSun"/>
              </w:rPr>
              <w:t>С +1 по +90 день</w:t>
            </w:r>
          </w:p>
        </w:tc>
        <w:tc>
          <w:tcPr>
            <w:tcW w:w="2268" w:type="dxa"/>
          </w:tcPr>
          <w:p w14:paraId="2AA3C5C9"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335F4B1F" w14:textId="77777777" w:rsidR="00BE7F89" w:rsidRDefault="00BE7F89" w:rsidP="00BE7F89">
      <w:pPr>
        <w:rPr>
          <w:rFonts w:eastAsia="SimSun"/>
        </w:rPr>
      </w:pPr>
      <w:bookmarkStart w:id="177" w:name="_Toc44401188"/>
    </w:p>
    <w:p w14:paraId="69D1A1C7" w14:textId="77777777" w:rsidR="00BE7F89" w:rsidRPr="00391D6D"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2.1.2 – Bu12+Cy120 / rATG+CSA+MTX+MMF45</w:t>
      </w:r>
      <w:bookmarkEnd w:id="17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BE7F89" w:rsidRPr="00AC3044" w14:paraId="7BFCF0D4" w14:textId="77777777" w:rsidTr="005A428D">
        <w:trPr>
          <w:cantSplit/>
          <w:trHeight w:val="20"/>
          <w:tblHeader/>
        </w:trPr>
        <w:tc>
          <w:tcPr>
            <w:tcW w:w="1135" w:type="dxa"/>
          </w:tcPr>
          <w:p w14:paraId="2A382E01" w14:textId="77777777" w:rsidR="00BE7F89" w:rsidRPr="00470D3D" w:rsidRDefault="00BE7F89" w:rsidP="005A428D">
            <w:pPr>
              <w:rPr>
                <w:rFonts w:eastAsia="SimSun"/>
              </w:rPr>
            </w:pPr>
          </w:p>
        </w:tc>
        <w:tc>
          <w:tcPr>
            <w:tcW w:w="1701" w:type="dxa"/>
            <w:vAlign w:val="center"/>
          </w:tcPr>
          <w:p w14:paraId="4849A69E"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4C89D576"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5ECEF671"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44D14071"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2AA1FE67" w14:textId="77777777" w:rsidR="00BE7F89" w:rsidRDefault="00BE7F89" w:rsidP="005A428D">
            <w:pPr>
              <w:rPr>
                <w:rFonts w:eastAsia="SimSun"/>
              </w:rPr>
            </w:pPr>
            <w:r w:rsidRPr="00AC3044">
              <w:rPr>
                <w:rFonts w:eastAsia="SimSun"/>
              </w:rPr>
              <w:t>Порядок введения</w:t>
            </w:r>
          </w:p>
          <w:p w14:paraId="23A9769C" w14:textId="77777777" w:rsidR="00BE7F89" w:rsidRPr="001E6DBE" w:rsidRDefault="00BE7F89" w:rsidP="005A428D">
            <w:pPr>
              <w:rPr>
                <w:rFonts w:eastAsia="SimSun"/>
              </w:rPr>
            </w:pPr>
          </w:p>
          <w:p w14:paraId="3737F333" w14:textId="77777777" w:rsidR="00BE7F89" w:rsidRPr="001E6DBE" w:rsidRDefault="00BE7F89" w:rsidP="005A428D">
            <w:pPr>
              <w:rPr>
                <w:rFonts w:eastAsia="SimSun"/>
              </w:rPr>
            </w:pPr>
          </w:p>
          <w:p w14:paraId="7879ABAA" w14:textId="77777777" w:rsidR="00BE7F89" w:rsidRPr="001E6DBE" w:rsidRDefault="00BE7F89" w:rsidP="005A428D">
            <w:pPr>
              <w:rPr>
                <w:rFonts w:eastAsia="SimSun"/>
              </w:rPr>
            </w:pPr>
          </w:p>
          <w:p w14:paraId="6EBB852D" w14:textId="77777777" w:rsidR="00BE7F89" w:rsidRDefault="00BE7F89" w:rsidP="005A428D">
            <w:pPr>
              <w:rPr>
                <w:rFonts w:eastAsia="SimSun"/>
              </w:rPr>
            </w:pPr>
          </w:p>
          <w:p w14:paraId="2AF10942" w14:textId="77777777" w:rsidR="00BE7F89" w:rsidRPr="001E6DBE" w:rsidRDefault="00BE7F89" w:rsidP="005A428D">
            <w:pPr>
              <w:rPr>
                <w:rFonts w:eastAsia="SimSun"/>
              </w:rPr>
            </w:pPr>
          </w:p>
        </w:tc>
      </w:tr>
      <w:tr w:rsidR="00BE7F89" w:rsidRPr="00AC3044" w14:paraId="1B70B9B6" w14:textId="77777777" w:rsidTr="005A428D">
        <w:trPr>
          <w:cantSplit/>
          <w:trHeight w:val="20"/>
        </w:trPr>
        <w:tc>
          <w:tcPr>
            <w:tcW w:w="1135" w:type="dxa"/>
            <w:vMerge w:val="restart"/>
            <w:textDirection w:val="btLr"/>
            <w:vAlign w:val="center"/>
          </w:tcPr>
          <w:p w14:paraId="31AFFCA3"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477BCA5D"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730F20C2" w14:textId="77777777" w:rsidR="00BE7F89" w:rsidRPr="00AC3044" w:rsidRDefault="00BE7F89" w:rsidP="005A428D">
            <w:pPr>
              <w:rPr>
                <w:rFonts w:eastAsia="SimSun"/>
              </w:rPr>
            </w:pPr>
            <w:r w:rsidRPr="00AC3044">
              <w:rPr>
                <w:rFonts w:eastAsia="SimSun"/>
              </w:rPr>
              <w:t>4 мг/кг</w:t>
            </w:r>
          </w:p>
        </w:tc>
        <w:tc>
          <w:tcPr>
            <w:tcW w:w="1418" w:type="dxa"/>
            <w:vAlign w:val="center"/>
          </w:tcPr>
          <w:p w14:paraId="26689D8D" w14:textId="77777777" w:rsidR="00BE7F89" w:rsidRPr="00AC3044" w:rsidRDefault="00BE7F89" w:rsidP="005A428D">
            <w:pPr>
              <w:rPr>
                <w:rFonts w:eastAsia="SimSun"/>
              </w:rPr>
            </w:pPr>
            <w:r w:rsidRPr="00AC3044">
              <w:rPr>
                <w:rFonts w:eastAsia="SimSun"/>
              </w:rPr>
              <w:t>12 мг/кг</w:t>
            </w:r>
          </w:p>
        </w:tc>
        <w:tc>
          <w:tcPr>
            <w:tcW w:w="1701" w:type="dxa"/>
            <w:vAlign w:val="center"/>
          </w:tcPr>
          <w:p w14:paraId="1670F36E" w14:textId="77777777" w:rsidR="00BE7F89" w:rsidRPr="00AC3044" w:rsidRDefault="00BE7F89" w:rsidP="005A428D">
            <w:pPr>
              <w:rPr>
                <w:rFonts w:eastAsia="SimSun"/>
              </w:rPr>
            </w:pPr>
            <w:r w:rsidRPr="00AC3044">
              <w:rPr>
                <w:rFonts w:eastAsia="SimSun"/>
              </w:rPr>
              <w:t>С –6 по –4 день</w:t>
            </w:r>
          </w:p>
        </w:tc>
        <w:tc>
          <w:tcPr>
            <w:tcW w:w="2268" w:type="dxa"/>
            <w:vAlign w:val="center"/>
          </w:tcPr>
          <w:p w14:paraId="06378833"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6DCB7EF2" w14:textId="77777777" w:rsidTr="005A428D">
        <w:trPr>
          <w:cantSplit/>
          <w:trHeight w:val="1038"/>
        </w:trPr>
        <w:tc>
          <w:tcPr>
            <w:tcW w:w="1135" w:type="dxa"/>
            <w:vMerge/>
            <w:vAlign w:val="center"/>
          </w:tcPr>
          <w:p w14:paraId="4E9142E6" w14:textId="77777777" w:rsidR="00BE7F89" w:rsidRPr="00AC3044" w:rsidRDefault="00BE7F89" w:rsidP="005A428D">
            <w:pPr>
              <w:rPr>
                <w:rFonts w:eastAsia="SimSun"/>
              </w:rPr>
            </w:pPr>
          </w:p>
        </w:tc>
        <w:tc>
          <w:tcPr>
            <w:tcW w:w="1701" w:type="dxa"/>
            <w:vAlign w:val="center"/>
          </w:tcPr>
          <w:p w14:paraId="35C04BD8" w14:textId="77777777" w:rsidR="00BE7F89" w:rsidRPr="00AC3044" w:rsidRDefault="00BE7F89" w:rsidP="005A428D">
            <w:pPr>
              <w:rPr>
                <w:rFonts w:eastAsia="SimSun"/>
              </w:rPr>
            </w:pPr>
            <w:r w:rsidRPr="00AC3044">
              <w:rPr>
                <w:rFonts w:eastAsia="SimSun"/>
              </w:rPr>
              <w:t>Циклофосфамид</w:t>
            </w:r>
          </w:p>
        </w:tc>
        <w:tc>
          <w:tcPr>
            <w:tcW w:w="1417" w:type="dxa"/>
            <w:vAlign w:val="center"/>
          </w:tcPr>
          <w:p w14:paraId="2D2A7297" w14:textId="77777777" w:rsidR="00BE7F89" w:rsidRPr="00AC3044" w:rsidRDefault="00BE7F89" w:rsidP="005A428D">
            <w:pPr>
              <w:rPr>
                <w:rFonts w:eastAsia="SimSun"/>
              </w:rPr>
            </w:pPr>
            <w:r w:rsidRPr="00AC3044">
              <w:rPr>
                <w:rFonts w:eastAsia="SimSun"/>
              </w:rPr>
              <w:t>60 мг/кг</w:t>
            </w:r>
          </w:p>
        </w:tc>
        <w:tc>
          <w:tcPr>
            <w:tcW w:w="1418" w:type="dxa"/>
            <w:vAlign w:val="center"/>
          </w:tcPr>
          <w:p w14:paraId="507ACB85" w14:textId="77777777" w:rsidR="00BE7F89" w:rsidRPr="00AC3044" w:rsidRDefault="00BE7F89" w:rsidP="005A428D">
            <w:pPr>
              <w:rPr>
                <w:rFonts w:eastAsia="SimSun"/>
              </w:rPr>
            </w:pPr>
            <w:r w:rsidRPr="00AC3044">
              <w:rPr>
                <w:rFonts w:eastAsia="SimSun"/>
              </w:rPr>
              <w:t>120 мг/кг</w:t>
            </w:r>
          </w:p>
        </w:tc>
        <w:tc>
          <w:tcPr>
            <w:tcW w:w="1701" w:type="dxa"/>
            <w:vAlign w:val="center"/>
          </w:tcPr>
          <w:p w14:paraId="11DE7DCB" w14:textId="77777777" w:rsidR="00BE7F89" w:rsidRPr="00AC3044" w:rsidRDefault="00BE7F89" w:rsidP="005A428D">
            <w:pPr>
              <w:rPr>
                <w:rFonts w:eastAsia="SimSun"/>
              </w:rPr>
            </w:pPr>
            <w:r w:rsidRPr="00AC3044">
              <w:rPr>
                <w:rFonts w:eastAsia="SimSun"/>
              </w:rPr>
              <w:t xml:space="preserve">–3, –2 дни </w:t>
            </w:r>
          </w:p>
        </w:tc>
        <w:tc>
          <w:tcPr>
            <w:tcW w:w="2268" w:type="dxa"/>
            <w:vAlign w:val="center"/>
          </w:tcPr>
          <w:p w14:paraId="1F8C8B5F" w14:textId="77777777" w:rsidR="00BE7F89" w:rsidRPr="00AC3044" w:rsidRDefault="00BE7F89" w:rsidP="005A428D">
            <w:pPr>
              <w:rPr>
                <w:rFonts w:eastAsia="SimSun"/>
              </w:rPr>
            </w:pPr>
            <w:r w:rsidRPr="00AC3044">
              <w:rPr>
                <w:rFonts w:eastAsia="SimSun"/>
              </w:rPr>
              <w:t xml:space="preserve">В/в, в течение 2 ч </w:t>
            </w:r>
          </w:p>
        </w:tc>
      </w:tr>
      <w:tr w:rsidR="00BE7F89" w:rsidRPr="00AC3044" w14:paraId="5117E894" w14:textId="77777777" w:rsidTr="005A428D">
        <w:trPr>
          <w:cantSplit/>
          <w:trHeight w:val="20"/>
        </w:trPr>
        <w:tc>
          <w:tcPr>
            <w:tcW w:w="1135" w:type="dxa"/>
            <w:vMerge w:val="restart"/>
            <w:textDirection w:val="btLr"/>
            <w:vAlign w:val="center"/>
          </w:tcPr>
          <w:p w14:paraId="32D1F609"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3BD8954E" w14:textId="77777777" w:rsidR="00BE7F89" w:rsidRPr="00AC3044" w:rsidRDefault="00BE7F89" w:rsidP="005A428D">
            <w:pPr>
              <w:rPr>
                <w:rFonts w:eastAsia="SimSun"/>
              </w:rPr>
            </w:pPr>
            <w:r w:rsidRPr="00AC3044">
              <w:rPr>
                <w:rFonts w:eastAsia="SimSun"/>
              </w:rPr>
              <w:t>АТГ (кроличий)</w:t>
            </w:r>
          </w:p>
        </w:tc>
        <w:tc>
          <w:tcPr>
            <w:tcW w:w="1417" w:type="dxa"/>
            <w:vAlign w:val="center"/>
          </w:tcPr>
          <w:p w14:paraId="7EE4A999" w14:textId="77777777" w:rsidR="00BE7F89" w:rsidRPr="00AC3044" w:rsidRDefault="00BE7F89" w:rsidP="005A428D">
            <w:pPr>
              <w:rPr>
                <w:rFonts w:eastAsia="SimSun"/>
              </w:rPr>
            </w:pPr>
            <w:r w:rsidRPr="00AC3044">
              <w:rPr>
                <w:rFonts w:eastAsia="SimSun"/>
              </w:rPr>
              <w:t>2,5 мг/кг</w:t>
            </w:r>
          </w:p>
        </w:tc>
        <w:tc>
          <w:tcPr>
            <w:tcW w:w="1418" w:type="dxa"/>
            <w:vAlign w:val="center"/>
          </w:tcPr>
          <w:p w14:paraId="254B51BD" w14:textId="77777777" w:rsidR="00BE7F89" w:rsidRPr="00AC3044" w:rsidRDefault="00BE7F89" w:rsidP="005A428D">
            <w:pPr>
              <w:rPr>
                <w:rFonts w:eastAsia="SimSun"/>
              </w:rPr>
            </w:pPr>
            <w:r w:rsidRPr="00AC3044">
              <w:rPr>
                <w:rFonts w:eastAsia="SimSun"/>
              </w:rPr>
              <w:t>5-7,5 мг/кг</w:t>
            </w:r>
          </w:p>
        </w:tc>
        <w:tc>
          <w:tcPr>
            <w:tcW w:w="1701" w:type="dxa"/>
            <w:vAlign w:val="center"/>
          </w:tcPr>
          <w:p w14:paraId="558B7C93" w14:textId="77777777" w:rsidR="00BE7F89" w:rsidRPr="00AC3044" w:rsidRDefault="00BE7F89" w:rsidP="005A428D">
            <w:pPr>
              <w:rPr>
                <w:rFonts w:eastAsia="SimSun"/>
              </w:rPr>
            </w:pPr>
            <w:r w:rsidRPr="00AC3044">
              <w:rPr>
                <w:rFonts w:eastAsia="SimSun"/>
              </w:rPr>
              <w:t>С –3 по –2 (-1) день</w:t>
            </w:r>
          </w:p>
        </w:tc>
        <w:tc>
          <w:tcPr>
            <w:tcW w:w="2268" w:type="dxa"/>
            <w:vAlign w:val="center"/>
          </w:tcPr>
          <w:p w14:paraId="63370717" w14:textId="77777777" w:rsidR="00BE7F89" w:rsidRPr="00AC3044" w:rsidRDefault="00BE7F89" w:rsidP="005A428D">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BE7F89" w:rsidRPr="00AC3044" w14:paraId="7D81F8AA" w14:textId="77777777" w:rsidTr="005A428D">
        <w:trPr>
          <w:cantSplit/>
          <w:trHeight w:val="20"/>
        </w:trPr>
        <w:tc>
          <w:tcPr>
            <w:tcW w:w="1135" w:type="dxa"/>
            <w:vMerge/>
            <w:textDirection w:val="btLr"/>
          </w:tcPr>
          <w:p w14:paraId="1D424CD6" w14:textId="77777777" w:rsidR="00BE7F89" w:rsidRPr="00AC3044" w:rsidRDefault="00BE7F89" w:rsidP="005A428D">
            <w:pPr>
              <w:rPr>
                <w:rFonts w:eastAsia="SimSun"/>
              </w:rPr>
            </w:pPr>
          </w:p>
        </w:tc>
        <w:tc>
          <w:tcPr>
            <w:tcW w:w="1701" w:type="dxa"/>
            <w:vAlign w:val="center"/>
          </w:tcPr>
          <w:p w14:paraId="138A63C5" w14:textId="77777777" w:rsidR="00BE7F89" w:rsidRPr="00AC3044" w:rsidRDefault="00BE7F89" w:rsidP="005A428D">
            <w:pPr>
              <w:rPr>
                <w:rFonts w:eastAsia="SimSun"/>
              </w:rPr>
            </w:pPr>
            <w:r w:rsidRPr="00AC3044">
              <w:rPr>
                <w:rFonts w:eastAsia="SimSun"/>
              </w:rPr>
              <w:t>Циклоспорин</w:t>
            </w:r>
          </w:p>
        </w:tc>
        <w:tc>
          <w:tcPr>
            <w:tcW w:w="1417" w:type="dxa"/>
            <w:vAlign w:val="center"/>
          </w:tcPr>
          <w:p w14:paraId="3F222E9E" w14:textId="77777777" w:rsidR="00BE7F89" w:rsidRPr="00AC3044" w:rsidRDefault="00BE7F89" w:rsidP="005A428D">
            <w:pPr>
              <w:rPr>
                <w:rFonts w:eastAsia="SimSun"/>
              </w:rPr>
            </w:pPr>
            <w:r w:rsidRPr="00AC3044">
              <w:rPr>
                <w:rFonts w:eastAsia="SimSun"/>
              </w:rPr>
              <w:t>3 мг/кг</w:t>
            </w:r>
          </w:p>
        </w:tc>
        <w:tc>
          <w:tcPr>
            <w:tcW w:w="1418" w:type="dxa"/>
            <w:vAlign w:val="center"/>
          </w:tcPr>
          <w:p w14:paraId="1D634A21" w14:textId="77777777" w:rsidR="00BE7F89" w:rsidRPr="00AC3044" w:rsidRDefault="00BE7F89" w:rsidP="005A428D">
            <w:pPr>
              <w:rPr>
                <w:rFonts w:eastAsia="SimSun"/>
              </w:rPr>
            </w:pPr>
            <w:r w:rsidRPr="00AC3044">
              <w:rPr>
                <w:rFonts w:eastAsia="SimSun"/>
              </w:rPr>
              <w:t>–</w:t>
            </w:r>
          </w:p>
        </w:tc>
        <w:tc>
          <w:tcPr>
            <w:tcW w:w="1701" w:type="dxa"/>
            <w:vAlign w:val="center"/>
          </w:tcPr>
          <w:p w14:paraId="051F8898" w14:textId="77777777" w:rsidR="00BE7F89" w:rsidRPr="00AC3044" w:rsidRDefault="00BE7F89" w:rsidP="005A428D">
            <w:pPr>
              <w:rPr>
                <w:rFonts w:eastAsia="SimSun"/>
              </w:rPr>
            </w:pPr>
            <w:r w:rsidRPr="00AC3044">
              <w:rPr>
                <w:rFonts w:eastAsia="SimSun"/>
              </w:rPr>
              <w:t>С –1 по +90 день, затем постепенное снижение к +180 дню</w:t>
            </w:r>
          </w:p>
        </w:tc>
        <w:tc>
          <w:tcPr>
            <w:tcW w:w="2268" w:type="dxa"/>
            <w:vAlign w:val="center"/>
          </w:tcPr>
          <w:p w14:paraId="25C7CFF7"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3A373730" w14:textId="77777777" w:rsidTr="005A428D">
        <w:trPr>
          <w:cantSplit/>
          <w:trHeight w:val="20"/>
        </w:trPr>
        <w:tc>
          <w:tcPr>
            <w:tcW w:w="1135" w:type="dxa"/>
            <w:vMerge/>
          </w:tcPr>
          <w:p w14:paraId="7E2D8BF6" w14:textId="77777777" w:rsidR="00BE7F89" w:rsidRPr="00AC3044" w:rsidRDefault="00BE7F89" w:rsidP="005A428D">
            <w:pPr>
              <w:rPr>
                <w:rFonts w:eastAsia="SimSun"/>
              </w:rPr>
            </w:pPr>
          </w:p>
        </w:tc>
        <w:tc>
          <w:tcPr>
            <w:tcW w:w="1701" w:type="dxa"/>
            <w:vMerge w:val="restart"/>
            <w:vAlign w:val="center"/>
          </w:tcPr>
          <w:p w14:paraId="345F6676" w14:textId="77777777" w:rsidR="00BE7F89" w:rsidRPr="00AC3044" w:rsidRDefault="00BE7F89" w:rsidP="005A428D">
            <w:pPr>
              <w:rPr>
                <w:rFonts w:eastAsia="SimSun"/>
              </w:rPr>
            </w:pPr>
            <w:r w:rsidRPr="00AC3044">
              <w:rPr>
                <w:rFonts w:eastAsia="SimSun"/>
              </w:rPr>
              <w:t>Метотрексат</w:t>
            </w:r>
          </w:p>
        </w:tc>
        <w:tc>
          <w:tcPr>
            <w:tcW w:w="1417" w:type="dxa"/>
            <w:vAlign w:val="center"/>
          </w:tcPr>
          <w:p w14:paraId="4AEA8DB7" w14:textId="77777777" w:rsidR="00BE7F89" w:rsidRPr="00AC3044" w:rsidRDefault="00BE7F89" w:rsidP="005A428D">
            <w:pPr>
              <w:rPr>
                <w:rFonts w:eastAsia="SimSun"/>
              </w:rPr>
            </w:pPr>
            <w:r w:rsidRPr="00AC3044">
              <w:rPr>
                <w:rFonts w:eastAsia="SimSun"/>
              </w:rPr>
              <w:t>15 мг/м</w:t>
            </w:r>
            <w:r w:rsidRPr="001E6DBE">
              <w:rPr>
                <w:rFonts w:eastAsia="SimSun"/>
                <w:vertAlign w:val="superscript"/>
              </w:rPr>
              <w:t>2</w:t>
            </w:r>
          </w:p>
        </w:tc>
        <w:tc>
          <w:tcPr>
            <w:tcW w:w="1418" w:type="dxa"/>
            <w:vAlign w:val="center"/>
          </w:tcPr>
          <w:p w14:paraId="234B7EF2" w14:textId="77777777" w:rsidR="00BE7F89" w:rsidRPr="00AC3044" w:rsidRDefault="00BE7F89" w:rsidP="005A428D">
            <w:pPr>
              <w:rPr>
                <w:rFonts w:eastAsia="SimSun"/>
              </w:rPr>
            </w:pPr>
            <w:r w:rsidRPr="00AC3044">
              <w:rPr>
                <w:rFonts w:eastAsia="SimSun"/>
              </w:rPr>
              <w:t>–</w:t>
            </w:r>
          </w:p>
        </w:tc>
        <w:tc>
          <w:tcPr>
            <w:tcW w:w="1701" w:type="dxa"/>
            <w:vAlign w:val="center"/>
          </w:tcPr>
          <w:p w14:paraId="2251DF1C" w14:textId="77777777" w:rsidR="00BE7F89" w:rsidRPr="00AC3044" w:rsidRDefault="00BE7F89" w:rsidP="005A428D">
            <w:pPr>
              <w:rPr>
                <w:rFonts w:eastAsia="SimSun"/>
              </w:rPr>
            </w:pPr>
            <w:r w:rsidRPr="00AC3044">
              <w:rPr>
                <w:rFonts w:eastAsia="SimSun"/>
              </w:rPr>
              <w:t>+1 день</w:t>
            </w:r>
          </w:p>
        </w:tc>
        <w:tc>
          <w:tcPr>
            <w:tcW w:w="2268" w:type="dxa"/>
            <w:vAlign w:val="center"/>
          </w:tcPr>
          <w:p w14:paraId="39E8FCCE"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7D11C415" w14:textId="77777777" w:rsidTr="005A428D">
        <w:trPr>
          <w:cantSplit/>
          <w:trHeight w:val="464"/>
        </w:trPr>
        <w:tc>
          <w:tcPr>
            <w:tcW w:w="1135" w:type="dxa"/>
            <w:vMerge/>
          </w:tcPr>
          <w:p w14:paraId="734D09CC" w14:textId="77777777" w:rsidR="00BE7F89" w:rsidRPr="00AC3044" w:rsidRDefault="00BE7F89" w:rsidP="005A428D">
            <w:pPr>
              <w:rPr>
                <w:rFonts w:eastAsia="SimSun"/>
              </w:rPr>
            </w:pPr>
          </w:p>
        </w:tc>
        <w:tc>
          <w:tcPr>
            <w:tcW w:w="1701" w:type="dxa"/>
            <w:vMerge/>
            <w:vAlign w:val="center"/>
          </w:tcPr>
          <w:p w14:paraId="6D7DBD62" w14:textId="77777777" w:rsidR="00BE7F89" w:rsidRPr="00AC3044" w:rsidRDefault="00BE7F89" w:rsidP="005A428D">
            <w:pPr>
              <w:rPr>
                <w:rFonts w:eastAsia="SimSun"/>
              </w:rPr>
            </w:pPr>
          </w:p>
        </w:tc>
        <w:tc>
          <w:tcPr>
            <w:tcW w:w="1417" w:type="dxa"/>
            <w:vAlign w:val="center"/>
          </w:tcPr>
          <w:p w14:paraId="0BD7568F" w14:textId="77777777" w:rsidR="00BE7F89" w:rsidRPr="00AC3044" w:rsidRDefault="00BE7F89" w:rsidP="005A428D">
            <w:pPr>
              <w:rPr>
                <w:rFonts w:eastAsia="SimSun"/>
              </w:rPr>
            </w:pPr>
            <w:r w:rsidRPr="00AC3044">
              <w:rPr>
                <w:rFonts w:eastAsia="SimSun"/>
              </w:rPr>
              <w:t>10 мг/м</w:t>
            </w:r>
            <w:r w:rsidRPr="001E6DBE">
              <w:rPr>
                <w:rFonts w:eastAsia="SimSun"/>
                <w:vertAlign w:val="superscript"/>
              </w:rPr>
              <w:t>2</w:t>
            </w:r>
          </w:p>
        </w:tc>
        <w:tc>
          <w:tcPr>
            <w:tcW w:w="1418" w:type="dxa"/>
            <w:vAlign w:val="center"/>
          </w:tcPr>
          <w:p w14:paraId="5F206C76" w14:textId="77777777" w:rsidR="00BE7F89" w:rsidRPr="00AC3044" w:rsidRDefault="00BE7F89" w:rsidP="005A428D">
            <w:pPr>
              <w:rPr>
                <w:rFonts w:eastAsia="SimSun"/>
              </w:rPr>
            </w:pPr>
            <w:r w:rsidRPr="00AC3044">
              <w:rPr>
                <w:rFonts w:eastAsia="SimSun"/>
              </w:rPr>
              <w:t>–</w:t>
            </w:r>
          </w:p>
        </w:tc>
        <w:tc>
          <w:tcPr>
            <w:tcW w:w="1701" w:type="dxa"/>
            <w:vAlign w:val="center"/>
          </w:tcPr>
          <w:p w14:paraId="79EDD3C3" w14:textId="77777777" w:rsidR="00BE7F89" w:rsidRPr="00AC3044" w:rsidRDefault="00BE7F89" w:rsidP="005A428D">
            <w:pPr>
              <w:rPr>
                <w:rFonts w:eastAsia="SimSun"/>
              </w:rPr>
            </w:pPr>
            <w:r w:rsidRPr="00AC3044">
              <w:rPr>
                <w:rFonts w:eastAsia="SimSun"/>
              </w:rPr>
              <w:t>+3, +6, +11 дни</w:t>
            </w:r>
          </w:p>
        </w:tc>
        <w:tc>
          <w:tcPr>
            <w:tcW w:w="2268" w:type="dxa"/>
            <w:vAlign w:val="center"/>
          </w:tcPr>
          <w:p w14:paraId="33E1EB6F"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2FF99759" w14:textId="77777777" w:rsidTr="005A428D">
        <w:trPr>
          <w:cantSplit/>
          <w:trHeight w:val="464"/>
        </w:trPr>
        <w:tc>
          <w:tcPr>
            <w:tcW w:w="1135" w:type="dxa"/>
            <w:vMerge/>
          </w:tcPr>
          <w:p w14:paraId="2D9C53C3" w14:textId="77777777" w:rsidR="00BE7F89" w:rsidRPr="00AC3044" w:rsidRDefault="00BE7F89" w:rsidP="005A428D">
            <w:pPr>
              <w:rPr>
                <w:rFonts w:eastAsia="SimSun"/>
              </w:rPr>
            </w:pPr>
          </w:p>
        </w:tc>
        <w:tc>
          <w:tcPr>
            <w:tcW w:w="1701" w:type="dxa"/>
            <w:vAlign w:val="center"/>
          </w:tcPr>
          <w:p w14:paraId="61463CAD" w14:textId="77777777" w:rsidR="00BE7F89" w:rsidRPr="00AC3044" w:rsidRDefault="00BE7F89" w:rsidP="005A428D">
            <w:pPr>
              <w:rPr>
                <w:rFonts w:eastAsia="SimSun"/>
              </w:rPr>
            </w:pPr>
            <w:r w:rsidRPr="00AC3044">
              <w:rPr>
                <w:rFonts w:eastAsia="SimSun"/>
              </w:rPr>
              <w:t>Микофенолата мофетил</w:t>
            </w:r>
          </w:p>
        </w:tc>
        <w:tc>
          <w:tcPr>
            <w:tcW w:w="1417" w:type="dxa"/>
            <w:vAlign w:val="center"/>
          </w:tcPr>
          <w:p w14:paraId="5E9294B5" w14:textId="77777777" w:rsidR="00BE7F89" w:rsidRPr="00AC3044" w:rsidRDefault="00BE7F89" w:rsidP="005A428D">
            <w:pPr>
              <w:rPr>
                <w:rFonts w:eastAsia="SimSun"/>
              </w:rPr>
            </w:pPr>
            <w:r w:rsidRPr="00AC3044">
              <w:rPr>
                <w:rFonts w:eastAsia="SimSun"/>
              </w:rPr>
              <w:t>45 мг/кг</w:t>
            </w:r>
          </w:p>
        </w:tc>
        <w:tc>
          <w:tcPr>
            <w:tcW w:w="1418" w:type="dxa"/>
            <w:vAlign w:val="center"/>
          </w:tcPr>
          <w:p w14:paraId="385FD81E" w14:textId="77777777" w:rsidR="00BE7F89" w:rsidRPr="00AC3044" w:rsidRDefault="00BE7F89" w:rsidP="005A428D">
            <w:pPr>
              <w:rPr>
                <w:rFonts w:eastAsia="SimSun"/>
              </w:rPr>
            </w:pPr>
            <w:r w:rsidRPr="00AC3044">
              <w:rPr>
                <w:rFonts w:eastAsia="SimSun"/>
              </w:rPr>
              <w:t>–</w:t>
            </w:r>
          </w:p>
        </w:tc>
        <w:tc>
          <w:tcPr>
            <w:tcW w:w="1701" w:type="dxa"/>
            <w:vAlign w:val="center"/>
          </w:tcPr>
          <w:p w14:paraId="4FF2D41C" w14:textId="77777777" w:rsidR="00BE7F89" w:rsidRPr="00AC3044" w:rsidRDefault="00BE7F89" w:rsidP="005A428D">
            <w:pPr>
              <w:rPr>
                <w:rFonts w:eastAsia="SimSun"/>
              </w:rPr>
            </w:pPr>
            <w:r w:rsidRPr="00AC3044">
              <w:rPr>
                <w:rFonts w:eastAsia="SimSun"/>
              </w:rPr>
              <w:t>С +1 по +90 день</w:t>
            </w:r>
          </w:p>
        </w:tc>
        <w:tc>
          <w:tcPr>
            <w:tcW w:w="2268" w:type="dxa"/>
            <w:vAlign w:val="center"/>
          </w:tcPr>
          <w:p w14:paraId="31C00E83"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1530106B" w14:textId="77777777" w:rsidR="00BE7F89" w:rsidRDefault="00BE7F89" w:rsidP="00BE7F89">
      <w:pPr>
        <w:rPr>
          <w:rFonts w:eastAsia="SimSun"/>
        </w:rPr>
      </w:pPr>
      <w:bookmarkStart w:id="178" w:name="_Toc44401189"/>
    </w:p>
    <w:p w14:paraId="6FF29F9A"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2.1.3  – Flu180+Bu12 / PT-Cy</w:t>
      </w:r>
      <w:bookmarkEnd w:id="178"/>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2"/>
        <w:gridCol w:w="1710"/>
        <w:gridCol w:w="1424"/>
        <w:gridCol w:w="1427"/>
        <w:gridCol w:w="1694"/>
        <w:gridCol w:w="2274"/>
      </w:tblGrid>
      <w:tr w:rsidR="00BE7F89" w:rsidRPr="00AC3044" w14:paraId="7960A441" w14:textId="77777777" w:rsidTr="005A428D">
        <w:trPr>
          <w:cantSplit/>
          <w:trHeight w:val="20"/>
          <w:tblHeader/>
        </w:trPr>
        <w:tc>
          <w:tcPr>
            <w:tcW w:w="1122" w:type="dxa"/>
            <w:vAlign w:val="center"/>
          </w:tcPr>
          <w:p w14:paraId="49E1C2C4" w14:textId="77777777" w:rsidR="00BE7F89" w:rsidRPr="00AC3044" w:rsidRDefault="00BE7F89" w:rsidP="005A428D">
            <w:pPr>
              <w:rPr>
                <w:rFonts w:eastAsia="SimSun"/>
              </w:rPr>
            </w:pPr>
          </w:p>
        </w:tc>
        <w:tc>
          <w:tcPr>
            <w:tcW w:w="1710" w:type="dxa"/>
            <w:vAlign w:val="center"/>
          </w:tcPr>
          <w:p w14:paraId="74F9C1BA" w14:textId="77777777" w:rsidR="00BE7F89" w:rsidRPr="00AC3044" w:rsidRDefault="00BE7F89" w:rsidP="005A428D">
            <w:pPr>
              <w:rPr>
                <w:rFonts w:eastAsia="SimSun"/>
              </w:rPr>
            </w:pPr>
            <w:r w:rsidRPr="00AC3044">
              <w:rPr>
                <w:rFonts w:eastAsia="SimSun"/>
              </w:rPr>
              <w:t>Препарат</w:t>
            </w:r>
          </w:p>
        </w:tc>
        <w:tc>
          <w:tcPr>
            <w:tcW w:w="1424" w:type="dxa"/>
            <w:vAlign w:val="center"/>
          </w:tcPr>
          <w:p w14:paraId="2C89E552" w14:textId="77777777" w:rsidR="00BE7F89" w:rsidRPr="00AC3044" w:rsidRDefault="00BE7F89" w:rsidP="005A428D">
            <w:pPr>
              <w:rPr>
                <w:rFonts w:eastAsia="SimSun"/>
              </w:rPr>
            </w:pPr>
            <w:r w:rsidRPr="00AC3044">
              <w:rPr>
                <w:rFonts w:eastAsia="SimSun"/>
              </w:rPr>
              <w:t>Суточная доза</w:t>
            </w:r>
          </w:p>
        </w:tc>
        <w:tc>
          <w:tcPr>
            <w:tcW w:w="1427" w:type="dxa"/>
            <w:vAlign w:val="center"/>
          </w:tcPr>
          <w:p w14:paraId="412F523B" w14:textId="77777777" w:rsidR="00BE7F89" w:rsidRPr="00AC3044" w:rsidRDefault="00BE7F89" w:rsidP="005A428D">
            <w:pPr>
              <w:rPr>
                <w:rFonts w:eastAsia="SimSun"/>
              </w:rPr>
            </w:pPr>
            <w:r w:rsidRPr="00AC3044">
              <w:rPr>
                <w:rFonts w:eastAsia="SimSun"/>
              </w:rPr>
              <w:t>Курсовая доза</w:t>
            </w:r>
          </w:p>
        </w:tc>
        <w:tc>
          <w:tcPr>
            <w:tcW w:w="1694" w:type="dxa"/>
            <w:vAlign w:val="center"/>
          </w:tcPr>
          <w:p w14:paraId="4F727A4C" w14:textId="77777777" w:rsidR="00BE7F89" w:rsidRPr="00AC3044" w:rsidRDefault="00BE7F89" w:rsidP="005A428D">
            <w:pPr>
              <w:rPr>
                <w:rFonts w:eastAsia="SimSun"/>
              </w:rPr>
            </w:pPr>
            <w:r w:rsidRPr="00AC3044">
              <w:rPr>
                <w:rFonts w:eastAsia="SimSun"/>
              </w:rPr>
              <w:t>Дни введения</w:t>
            </w:r>
          </w:p>
        </w:tc>
        <w:tc>
          <w:tcPr>
            <w:tcW w:w="2274" w:type="dxa"/>
            <w:vAlign w:val="center"/>
          </w:tcPr>
          <w:p w14:paraId="75CA9FC8"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3EF4F695" w14:textId="77777777" w:rsidTr="005A428D">
        <w:trPr>
          <w:cantSplit/>
          <w:trHeight w:val="20"/>
        </w:trPr>
        <w:tc>
          <w:tcPr>
            <w:tcW w:w="1122" w:type="dxa"/>
            <w:vMerge w:val="restart"/>
            <w:textDirection w:val="btLr"/>
            <w:vAlign w:val="center"/>
          </w:tcPr>
          <w:p w14:paraId="0B8A4156" w14:textId="77777777" w:rsidR="00BE7F89" w:rsidRPr="00AC3044" w:rsidRDefault="00BE7F89" w:rsidP="005A428D">
            <w:pPr>
              <w:rPr>
                <w:rFonts w:eastAsia="SimSun"/>
              </w:rPr>
            </w:pPr>
            <w:r w:rsidRPr="00AC3044">
              <w:rPr>
                <w:rFonts w:eastAsia="SimSun"/>
              </w:rPr>
              <w:t>Кондиционирование</w:t>
            </w:r>
          </w:p>
        </w:tc>
        <w:tc>
          <w:tcPr>
            <w:tcW w:w="1710" w:type="dxa"/>
            <w:vAlign w:val="center"/>
          </w:tcPr>
          <w:p w14:paraId="51F92D20" w14:textId="77777777" w:rsidR="00BE7F89" w:rsidRPr="00AC3044" w:rsidRDefault="00BE7F89" w:rsidP="005A428D">
            <w:pPr>
              <w:rPr>
                <w:rFonts w:eastAsia="SimSun"/>
              </w:rPr>
            </w:pPr>
            <w:r w:rsidRPr="00AC3044">
              <w:rPr>
                <w:rFonts w:eastAsia="SimSun"/>
              </w:rPr>
              <w:t xml:space="preserve">Флударабин </w:t>
            </w:r>
          </w:p>
        </w:tc>
        <w:tc>
          <w:tcPr>
            <w:tcW w:w="1424" w:type="dxa"/>
            <w:vAlign w:val="center"/>
          </w:tcPr>
          <w:p w14:paraId="5F44F6E5"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427" w:type="dxa"/>
            <w:vAlign w:val="center"/>
          </w:tcPr>
          <w:p w14:paraId="73C099F6"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694" w:type="dxa"/>
            <w:vAlign w:val="center"/>
          </w:tcPr>
          <w:p w14:paraId="3EDF6C5A" w14:textId="77777777" w:rsidR="00BE7F89" w:rsidRPr="00AC3044" w:rsidRDefault="00BE7F89" w:rsidP="005A428D">
            <w:pPr>
              <w:rPr>
                <w:rFonts w:eastAsia="SimSun"/>
              </w:rPr>
            </w:pPr>
            <w:r w:rsidRPr="00AC3044">
              <w:rPr>
                <w:rFonts w:eastAsia="SimSun"/>
              </w:rPr>
              <w:t>С -7 дня по -2 день</w:t>
            </w:r>
          </w:p>
        </w:tc>
        <w:tc>
          <w:tcPr>
            <w:tcW w:w="2274" w:type="dxa"/>
            <w:vAlign w:val="center"/>
          </w:tcPr>
          <w:p w14:paraId="1C4C8773"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67FC98A8" w14:textId="77777777" w:rsidTr="005A428D">
        <w:trPr>
          <w:cantSplit/>
          <w:trHeight w:val="688"/>
        </w:trPr>
        <w:tc>
          <w:tcPr>
            <w:tcW w:w="1122" w:type="dxa"/>
            <w:vMerge/>
            <w:vAlign w:val="center"/>
          </w:tcPr>
          <w:p w14:paraId="56A4879F" w14:textId="77777777" w:rsidR="00BE7F89" w:rsidRPr="00AC3044" w:rsidRDefault="00BE7F89" w:rsidP="005A428D">
            <w:pPr>
              <w:rPr>
                <w:rFonts w:eastAsia="SimSun"/>
              </w:rPr>
            </w:pPr>
          </w:p>
        </w:tc>
        <w:tc>
          <w:tcPr>
            <w:tcW w:w="1710" w:type="dxa"/>
            <w:vAlign w:val="center"/>
          </w:tcPr>
          <w:p w14:paraId="00F3C245" w14:textId="77777777" w:rsidR="00BE7F89" w:rsidRPr="00AC3044" w:rsidRDefault="00BE7F89" w:rsidP="005A428D">
            <w:pPr>
              <w:rPr>
                <w:rFonts w:eastAsia="SimSun"/>
              </w:rPr>
            </w:pPr>
            <w:r w:rsidRPr="00AC3044">
              <w:rPr>
                <w:rFonts w:eastAsia="SimSun"/>
              </w:rPr>
              <w:t>Бусульфан</w:t>
            </w:r>
          </w:p>
        </w:tc>
        <w:tc>
          <w:tcPr>
            <w:tcW w:w="1424" w:type="dxa"/>
            <w:vAlign w:val="center"/>
          </w:tcPr>
          <w:p w14:paraId="22708CF0" w14:textId="77777777" w:rsidR="00BE7F89" w:rsidRPr="00AC3044" w:rsidRDefault="00BE7F89" w:rsidP="005A428D">
            <w:pPr>
              <w:rPr>
                <w:rFonts w:eastAsia="SimSun"/>
              </w:rPr>
            </w:pPr>
            <w:r w:rsidRPr="00AC3044">
              <w:rPr>
                <w:rFonts w:eastAsia="SimSun"/>
              </w:rPr>
              <w:t xml:space="preserve">4 мг/кг </w:t>
            </w:r>
          </w:p>
        </w:tc>
        <w:tc>
          <w:tcPr>
            <w:tcW w:w="1427" w:type="dxa"/>
            <w:vAlign w:val="center"/>
          </w:tcPr>
          <w:p w14:paraId="52DB8BAF" w14:textId="77777777" w:rsidR="00BE7F89" w:rsidRPr="00AC3044" w:rsidRDefault="00BE7F89" w:rsidP="005A428D">
            <w:pPr>
              <w:rPr>
                <w:rFonts w:eastAsia="SimSun"/>
              </w:rPr>
            </w:pPr>
            <w:r w:rsidRPr="00AC3044">
              <w:rPr>
                <w:rFonts w:eastAsia="SimSun"/>
              </w:rPr>
              <w:t xml:space="preserve">12 мг/кг </w:t>
            </w:r>
          </w:p>
        </w:tc>
        <w:tc>
          <w:tcPr>
            <w:tcW w:w="1694" w:type="dxa"/>
            <w:vAlign w:val="center"/>
          </w:tcPr>
          <w:p w14:paraId="4B8A9C44" w14:textId="77777777" w:rsidR="00BE7F89" w:rsidRPr="00AC3044" w:rsidRDefault="00BE7F89" w:rsidP="005A428D">
            <w:pPr>
              <w:rPr>
                <w:rFonts w:eastAsia="SimSun"/>
              </w:rPr>
            </w:pPr>
            <w:r w:rsidRPr="00AC3044">
              <w:rPr>
                <w:rFonts w:eastAsia="SimSun"/>
              </w:rPr>
              <w:t>С -5 дня по -3 день</w:t>
            </w:r>
          </w:p>
        </w:tc>
        <w:tc>
          <w:tcPr>
            <w:tcW w:w="2274" w:type="dxa"/>
            <w:vAlign w:val="center"/>
          </w:tcPr>
          <w:p w14:paraId="1F99BD37"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435ABDD9" w14:textId="77777777" w:rsidTr="005A428D">
        <w:trPr>
          <w:cantSplit/>
          <w:trHeight w:val="980"/>
        </w:trPr>
        <w:tc>
          <w:tcPr>
            <w:tcW w:w="1122" w:type="dxa"/>
            <w:textDirection w:val="btLr"/>
            <w:vAlign w:val="center"/>
          </w:tcPr>
          <w:p w14:paraId="60794F47" w14:textId="77777777" w:rsidR="00BE7F89" w:rsidRPr="00AC3044" w:rsidRDefault="00BE7F89" w:rsidP="005A428D">
            <w:pPr>
              <w:rPr>
                <w:rFonts w:eastAsia="SimSun"/>
              </w:rPr>
            </w:pPr>
            <w:r w:rsidRPr="00AC3044">
              <w:rPr>
                <w:rFonts w:eastAsia="SimSun"/>
              </w:rPr>
              <w:t>Профилактика РТПХ</w:t>
            </w:r>
          </w:p>
        </w:tc>
        <w:tc>
          <w:tcPr>
            <w:tcW w:w="1710" w:type="dxa"/>
            <w:vAlign w:val="center"/>
          </w:tcPr>
          <w:p w14:paraId="28E3465D" w14:textId="77777777" w:rsidR="00BE7F89" w:rsidRPr="00AC3044" w:rsidRDefault="00BE7F89" w:rsidP="005A428D">
            <w:pPr>
              <w:rPr>
                <w:rFonts w:eastAsia="SimSun"/>
              </w:rPr>
            </w:pPr>
            <w:r w:rsidRPr="00AC3044">
              <w:rPr>
                <w:rFonts w:eastAsia="SimSun"/>
              </w:rPr>
              <w:t>Циклофосфамид</w:t>
            </w:r>
          </w:p>
        </w:tc>
        <w:tc>
          <w:tcPr>
            <w:tcW w:w="1424" w:type="dxa"/>
            <w:vAlign w:val="center"/>
          </w:tcPr>
          <w:p w14:paraId="320F2305" w14:textId="77777777" w:rsidR="00BE7F89" w:rsidRPr="00AC3044" w:rsidRDefault="00BE7F89" w:rsidP="005A428D">
            <w:pPr>
              <w:rPr>
                <w:rFonts w:eastAsia="SimSun"/>
              </w:rPr>
            </w:pPr>
            <w:r w:rsidRPr="00AC3044">
              <w:rPr>
                <w:rFonts w:eastAsia="SimSun"/>
              </w:rPr>
              <w:t>50 мг/кг</w:t>
            </w:r>
          </w:p>
        </w:tc>
        <w:tc>
          <w:tcPr>
            <w:tcW w:w="1427" w:type="dxa"/>
            <w:vAlign w:val="center"/>
          </w:tcPr>
          <w:p w14:paraId="09BF4A5D" w14:textId="77777777" w:rsidR="00BE7F89" w:rsidRPr="00AC3044" w:rsidRDefault="00BE7F89" w:rsidP="005A428D">
            <w:pPr>
              <w:rPr>
                <w:rFonts w:eastAsia="SimSun"/>
              </w:rPr>
            </w:pPr>
            <w:r w:rsidRPr="00AC3044">
              <w:rPr>
                <w:rFonts w:eastAsia="SimSun"/>
              </w:rPr>
              <w:t>100 мг/кг</w:t>
            </w:r>
          </w:p>
        </w:tc>
        <w:tc>
          <w:tcPr>
            <w:tcW w:w="1694" w:type="dxa"/>
            <w:vAlign w:val="center"/>
          </w:tcPr>
          <w:p w14:paraId="0A949992" w14:textId="77777777" w:rsidR="00BE7F89" w:rsidRPr="00AC3044" w:rsidRDefault="00BE7F89" w:rsidP="005A428D">
            <w:pPr>
              <w:rPr>
                <w:rFonts w:eastAsia="SimSun"/>
              </w:rPr>
            </w:pPr>
            <w:r w:rsidRPr="00AC3044">
              <w:rPr>
                <w:rFonts w:eastAsia="SimSun"/>
              </w:rPr>
              <w:t>С +3 дня по +4 день</w:t>
            </w:r>
          </w:p>
        </w:tc>
        <w:tc>
          <w:tcPr>
            <w:tcW w:w="2274" w:type="dxa"/>
            <w:vAlign w:val="center"/>
          </w:tcPr>
          <w:p w14:paraId="01D429F8" w14:textId="77777777" w:rsidR="00BE7F89" w:rsidRPr="00AC3044" w:rsidRDefault="00BE7F89" w:rsidP="005A428D">
            <w:pPr>
              <w:rPr>
                <w:rFonts w:eastAsia="SimSun"/>
              </w:rPr>
            </w:pPr>
            <w:r w:rsidRPr="00AC3044">
              <w:rPr>
                <w:rFonts w:eastAsia="SimSun"/>
              </w:rPr>
              <w:t>В/в, в течение 2 ч</w:t>
            </w:r>
          </w:p>
        </w:tc>
      </w:tr>
    </w:tbl>
    <w:p w14:paraId="0B3214DD" w14:textId="77777777" w:rsidR="00BE7F89" w:rsidRPr="00C07B2E" w:rsidRDefault="00BE7F89" w:rsidP="00BE7F89">
      <w:pPr>
        <w:rPr>
          <w:rFonts w:eastAsia="SimSun"/>
        </w:rPr>
      </w:pPr>
      <w:r w:rsidRPr="00C07B2E">
        <w:rPr>
          <w:rFonts w:eastAsia="SimSun"/>
        </w:rPr>
        <w:tab/>
      </w:r>
    </w:p>
    <w:p w14:paraId="1B572367" w14:textId="77777777" w:rsidR="00BE7F89" w:rsidRPr="00C07B2E" w:rsidRDefault="00BE7F89" w:rsidP="00BE7F89">
      <w:pPr>
        <w:rPr>
          <w:rFonts w:eastAsia="SimSun"/>
        </w:rPr>
      </w:pPr>
      <w:bookmarkStart w:id="179" w:name="_Toc44401190"/>
      <w:r w:rsidRPr="00042499">
        <w:rPr>
          <w:rFonts w:eastAsia="SimSun"/>
        </w:rPr>
        <w:t>Таблица</w:t>
      </w:r>
      <w:r w:rsidRPr="00C07B2E">
        <w:rPr>
          <w:rFonts w:eastAsia="SimSun"/>
        </w:rPr>
        <w:t xml:space="preserve"> </w:t>
      </w:r>
      <w:r>
        <w:rPr>
          <w:rFonts w:eastAsia="SimSun"/>
        </w:rPr>
        <w:t>5.</w:t>
      </w:r>
      <w:r w:rsidRPr="00C07B2E">
        <w:rPr>
          <w:rFonts w:eastAsia="SimSun"/>
        </w:rPr>
        <w:t>2.1.4  – Flu180+Bu12 / PT-Cy+Tx+MMF30</w:t>
      </w:r>
      <w:bookmarkEnd w:id="17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BE7F89" w:rsidRPr="00AC3044" w14:paraId="7811EAC6" w14:textId="77777777" w:rsidTr="005A428D">
        <w:trPr>
          <w:cantSplit/>
          <w:trHeight w:val="20"/>
          <w:tblHeader/>
        </w:trPr>
        <w:tc>
          <w:tcPr>
            <w:tcW w:w="1135" w:type="dxa"/>
            <w:vAlign w:val="center"/>
          </w:tcPr>
          <w:p w14:paraId="78F5D3F9" w14:textId="77777777" w:rsidR="00BE7F89" w:rsidRPr="00470D3D" w:rsidRDefault="00BE7F89" w:rsidP="005A428D">
            <w:pPr>
              <w:rPr>
                <w:rFonts w:eastAsia="SimSun"/>
              </w:rPr>
            </w:pPr>
          </w:p>
        </w:tc>
        <w:tc>
          <w:tcPr>
            <w:tcW w:w="1701" w:type="dxa"/>
            <w:vAlign w:val="center"/>
          </w:tcPr>
          <w:p w14:paraId="09D1E215"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53DB0563"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146A84EE"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557A4965"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4F5E849A"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0DBA4E7C" w14:textId="77777777" w:rsidTr="005A428D">
        <w:trPr>
          <w:cantSplit/>
          <w:trHeight w:val="20"/>
        </w:trPr>
        <w:tc>
          <w:tcPr>
            <w:tcW w:w="1135" w:type="dxa"/>
            <w:vMerge w:val="restart"/>
            <w:textDirection w:val="btLr"/>
            <w:vAlign w:val="center"/>
          </w:tcPr>
          <w:p w14:paraId="62689E2C"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6288DBB8"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3762049A"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418" w:type="dxa"/>
            <w:vAlign w:val="center"/>
          </w:tcPr>
          <w:p w14:paraId="46574ADB"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701" w:type="dxa"/>
            <w:vAlign w:val="center"/>
          </w:tcPr>
          <w:p w14:paraId="1DDF9544"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256E2626"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0B46AD46" w14:textId="77777777" w:rsidTr="005A428D">
        <w:trPr>
          <w:cantSplit/>
          <w:trHeight w:val="1207"/>
        </w:trPr>
        <w:tc>
          <w:tcPr>
            <w:tcW w:w="1135" w:type="dxa"/>
            <w:vMerge/>
            <w:vAlign w:val="center"/>
          </w:tcPr>
          <w:p w14:paraId="3F6193E2" w14:textId="77777777" w:rsidR="00BE7F89" w:rsidRPr="00AC3044" w:rsidRDefault="00BE7F89" w:rsidP="005A428D">
            <w:pPr>
              <w:rPr>
                <w:rFonts w:eastAsia="SimSun"/>
              </w:rPr>
            </w:pPr>
          </w:p>
        </w:tc>
        <w:tc>
          <w:tcPr>
            <w:tcW w:w="1701" w:type="dxa"/>
            <w:vAlign w:val="center"/>
          </w:tcPr>
          <w:p w14:paraId="1D731EB8"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646E359C" w14:textId="77777777" w:rsidR="00BE7F89" w:rsidRPr="00AC3044" w:rsidRDefault="00BE7F89" w:rsidP="005A428D">
            <w:pPr>
              <w:rPr>
                <w:rFonts w:eastAsia="SimSun"/>
              </w:rPr>
            </w:pPr>
            <w:r w:rsidRPr="00AC3044">
              <w:rPr>
                <w:rFonts w:eastAsia="SimSun"/>
              </w:rPr>
              <w:t xml:space="preserve">4 мг/кг </w:t>
            </w:r>
          </w:p>
        </w:tc>
        <w:tc>
          <w:tcPr>
            <w:tcW w:w="1418" w:type="dxa"/>
            <w:vAlign w:val="center"/>
          </w:tcPr>
          <w:p w14:paraId="730B876C" w14:textId="77777777" w:rsidR="00BE7F89" w:rsidRPr="00AC3044" w:rsidRDefault="00BE7F89" w:rsidP="005A428D">
            <w:pPr>
              <w:rPr>
                <w:rFonts w:eastAsia="SimSun"/>
              </w:rPr>
            </w:pPr>
            <w:r w:rsidRPr="00AC3044">
              <w:rPr>
                <w:rFonts w:eastAsia="SimSun"/>
              </w:rPr>
              <w:t xml:space="preserve">12мг/кг </w:t>
            </w:r>
          </w:p>
        </w:tc>
        <w:tc>
          <w:tcPr>
            <w:tcW w:w="1701" w:type="dxa"/>
            <w:vAlign w:val="center"/>
          </w:tcPr>
          <w:p w14:paraId="1C572DB4" w14:textId="77777777" w:rsidR="00BE7F89" w:rsidRPr="00AC3044" w:rsidRDefault="00BE7F89" w:rsidP="005A428D">
            <w:pPr>
              <w:rPr>
                <w:rFonts w:eastAsia="SimSun"/>
              </w:rPr>
            </w:pPr>
            <w:r w:rsidRPr="00AC3044">
              <w:rPr>
                <w:rFonts w:eastAsia="SimSun"/>
              </w:rPr>
              <w:t>С -5 дня по -3 день</w:t>
            </w:r>
          </w:p>
        </w:tc>
        <w:tc>
          <w:tcPr>
            <w:tcW w:w="2268" w:type="dxa"/>
            <w:vAlign w:val="center"/>
          </w:tcPr>
          <w:p w14:paraId="5781026B"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61EBCA8B" w14:textId="77777777" w:rsidTr="005A428D">
        <w:trPr>
          <w:cantSplit/>
          <w:trHeight w:val="669"/>
        </w:trPr>
        <w:tc>
          <w:tcPr>
            <w:tcW w:w="1135" w:type="dxa"/>
            <w:vMerge w:val="restart"/>
            <w:textDirection w:val="btLr"/>
            <w:vAlign w:val="center"/>
          </w:tcPr>
          <w:p w14:paraId="31720736"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7E8B5F9B" w14:textId="77777777" w:rsidR="00BE7F89" w:rsidRPr="00AC3044" w:rsidRDefault="00BE7F89" w:rsidP="005A428D">
            <w:pPr>
              <w:rPr>
                <w:rFonts w:eastAsia="SimSun"/>
              </w:rPr>
            </w:pPr>
            <w:r w:rsidRPr="00AC3044">
              <w:rPr>
                <w:rFonts w:eastAsia="SimSun"/>
              </w:rPr>
              <w:t>Циклофосфамид</w:t>
            </w:r>
          </w:p>
        </w:tc>
        <w:tc>
          <w:tcPr>
            <w:tcW w:w="1417" w:type="dxa"/>
            <w:vAlign w:val="center"/>
          </w:tcPr>
          <w:p w14:paraId="43DFB7F7"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78A165E7"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62CF53B0"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46CA820B" w14:textId="77777777" w:rsidR="00BE7F89" w:rsidRPr="00AC3044" w:rsidRDefault="00BE7F89" w:rsidP="005A428D">
            <w:pPr>
              <w:rPr>
                <w:rFonts w:eastAsia="SimSun"/>
              </w:rPr>
            </w:pPr>
            <w:r w:rsidRPr="00AC3044">
              <w:rPr>
                <w:rFonts w:eastAsia="SimSun"/>
              </w:rPr>
              <w:t>В/в, в течение 2 ч</w:t>
            </w:r>
          </w:p>
        </w:tc>
      </w:tr>
      <w:tr w:rsidR="00BE7F89" w:rsidRPr="00AC3044" w14:paraId="10D3EB99" w14:textId="77777777" w:rsidTr="005A428D">
        <w:trPr>
          <w:cantSplit/>
          <w:trHeight w:val="958"/>
        </w:trPr>
        <w:tc>
          <w:tcPr>
            <w:tcW w:w="1135" w:type="dxa"/>
            <w:vMerge/>
            <w:textDirection w:val="btLr"/>
            <w:vAlign w:val="center"/>
          </w:tcPr>
          <w:p w14:paraId="2DC61B93" w14:textId="77777777" w:rsidR="00BE7F89" w:rsidRPr="00AC3044" w:rsidRDefault="00BE7F89" w:rsidP="005A428D">
            <w:pPr>
              <w:rPr>
                <w:rFonts w:eastAsia="SimSun"/>
              </w:rPr>
            </w:pPr>
          </w:p>
        </w:tc>
        <w:tc>
          <w:tcPr>
            <w:tcW w:w="1701" w:type="dxa"/>
            <w:vAlign w:val="center"/>
          </w:tcPr>
          <w:p w14:paraId="241CB184" w14:textId="77777777" w:rsidR="00BE7F89" w:rsidRPr="00AC3044" w:rsidRDefault="00BE7F89" w:rsidP="005A428D">
            <w:pPr>
              <w:rPr>
                <w:rFonts w:eastAsia="SimSun"/>
              </w:rPr>
            </w:pPr>
            <w:r w:rsidRPr="00AC3044">
              <w:rPr>
                <w:rFonts w:eastAsia="SimSun"/>
              </w:rPr>
              <w:t xml:space="preserve">Такролимус </w:t>
            </w:r>
          </w:p>
        </w:tc>
        <w:tc>
          <w:tcPr>
            <w:tcW w:w="1417" w:type="dxa"/>
            <w:vAlign w:val="center"/>
          </w:tcPr>
          <w:p w14:paraId="7BD2E9FE" w14:textId="77777777" w:rsidR="00BE7F89" w:rsidRPr="00AC3044" w:rsidRDefault="00BE7F89" w:rsidP="005A428D">
            <w:pPr>
              <w:rPr>
                <w:rFonts w:eastAsia="SimSun"/>
              </w:rPr>
            </w:pPr>
            <w:r w:rsidRPr="00AC3044">
              <w:rPr>
                <w:rFonts w:eastAsia="SimSun"/>
              </w:rPr>
              <w:t>0,03 мг/кг</w:t>
            </w:r>
          </w:p>
        </w:tc>
        <w:tc>
          <w:tcPr>
            <w:tcW w:w="1418" w:type="dxa"/>
            <w:vAlign w:val="center"/>
          </w:tcPr>
          <w:p w14:paraId="6567BBB1" w14:textId="77777777" w:rsidR="00BE7F89" w:rsidRPr="00AC3044" w:rsidRDefault="00BE7F89" w:rsidP="005A428D">
            <w:pPr>
              <w:rPr>
                <w:rFonts w:eastAsia="SimSun"/>
              </w:rPr>
            </w:pPr>
            <w:r w:rsidRPr="00AC3044">
              <w:rPr>
                <w:rFonts w:eastAsia="SimSun"/>
              </w:rPr>
              <w:t>–</w:t>
            </w:r>
          </w:p>
        </w:tc>
        <w:tc>
          <w:tcPr>
            <w:tcW w:w="1701" w:type="dxa"/>
            <w:vAlign w:val="center"/>
          </w:tcPr>
          <w:p w14:paraId="57987068" w14:textId="77777777" w:rsidR="00BE7F89" w:rsidRPr="00AC3044" w:rsidRDefault="00BE7F89" w:rsidP="005A428D">
            <w:pPr>
              <w:rPr>
                <w:rFonts w:eastAsia="SimSun"/>
              </w:rPr>
            </w:pPr>
            <w:r w:rsidRPr="00AC3044">
              <w:rPr>
                <w:rFonts w:eastAsia="SimSun"/>
              </w:rPr>
              <w:t xml:space="preserve">С +5 дня длительно </w:t>
            </w:r>
          </w:p>
        </w:tc>
        <w:tc>
          <w:tcPr>
            <w:tcW w:w="2268" w:type="dxa"/>
            <w:vAlign w:val="center"/>
          </w:tcPr>
          <w:p w14:paraId="0E1D3055"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593CFC56" w14:textId="77777777" w:rsidTr="005A428D">
        <w:trPr>
          <w:cantSplit/>
          <w:trHeight w:val="486"/>
        </w:trPr>
        <w:tc>
          <w:tcPr>
            <w:tcW w:w="1135" w:type="dxa"/>
            <w:vMerge/>
            <w:textDirection w:val="btLr"/>
            <w:vAlign w:val="center"/>
          </w:tcPr>
          <w:p w14:paraId="2D020155" w14:textId="77777777" w:rsidR="00BE7F89" w:rsidRPr="00AC3044" w:rsidRDefault="00BE7F89" w:rsidP="005A428D">
            <w:pPr>
              <w:rPr>
                <w:rFonts w:eastAsia="SimSun"/>
              </w:rPr>
            </w:pPr>
          </w:p>
        </w:tc>
        <w:tc>
          <w:tcPr>
            <w:tcW w:w="1701" w:type="dxa"/>
            <w:vAlign w:val="center"/>
          </w:tcPr>
          <w:p w14:paraId="40F9EEEC" w14:textId="77777777" w:rsidR="00BE7F89" w:rsidRPr="00AC3044" w:rsidRDefault="00BE7F89" w:rsidP="005A428D">
            <w:pPr>
              <w:rPr>
                <w:rFonts w:eastAsia="SimSun"/>
              </w:rPr>
            </w:pPr>
            <w:r w:rsidRPr="00AC3044">
              <w:rPr>
                <w:rFonts w:eastAsia="SimSun"/>
              </w:rPr>
              <w:t>Микофенолата мофетил</w:t>
            </w:r>
          </w:p>
        </w:tc>
        <w:tc>
          <w:tcPr>
            <w:tcW w:w="1417" w:type="dxa"/>
            <w:vAlign w:val="center"/>
          </w:tcPr>
          <w:p w14:paraId="4F4FB3CB"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3FB14757" w14:textId="77777777" w:rsidR="00BE7F89" w:rsidRPr="00AC3044" w:rsidRDefault="00BE7F89" w:rsidP="005A428D">
            <w:pPr>
              <w:rPr>
                <w:rFonts w:eastAsia="SimSun"/>
              </w:rPr>
            </w:pPr>
            <w:r w:rsidRPr="00AC3044">
              <w:rPr>
                <w:rFonts w:eastAsia="SimSun"/>
              </w:rPr>
              <w:t>–</w:t>
            </w:r>
          </w:p>
        </w:tc>
        <w:tc>
          <w:tcPr>
            <w:tcW w:w="1701" w:type="dxa"/>
            <w:vAlign w:val="center"/>
          </w:tcPr>
          <w:p w14:paraId="0F0AB138" w14:textId="77777777" w:rsidR="00BE7F89" w:rsidRPr="00AC3044" w:rsidRDefault="00BE7F89" w:rsidP="005A428D">
            <w:pPr>
              <w:rPr>
                <w:rFonts w:eastAsia="SimSun"/>
              </w:rPr>
            </w:pPr>
            <w:r w:rsidRPr="00AC3044">
              <w:rPr>
                <w:rFonts w:eastAsia="SimSun"/>
              </w:rPr>
              <w:t xml:space="preserve">С +5 дня по +35 день </w:t>
            </w:r>
          </w:p>
        </w:tc>
        <w:tc>
          <w:tcPr>
            <w:tcW w:w="2268" w:type="dxa"/>
            <w:vAlign w:val="center"/>
          </w:tcPr>
          <w:p w14:paraId="283D784D"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3A94B55" w14:textId="77777777" w:rsidR="00BE7F89" w:rsidRDefault="00BE7F89" w:rsidP="00BE7F89">
      <w:pPr>
        <w:rPr>
          <w:rFonts w:eastAsia="SimSun"/>
        </w:rPr>
      </w:pPr>
      <w:bookmarkStart w:id="180" w:name="_Toc44401191"/>
    </w:p>
    <w:p w14:paraId="60BBB86B"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2.1.5  – Flu180+Bu12 / PT-Cy+CSA+MMF30</w:t>
      </w:r>
      <w:bookmarkEnd w:id="18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BE7F89" w:rsidRPr="00AC3044" w14:paraId="6F5B6090" w14:textId="77777777" w:rsidTr="005A428D">
        <w:trPr>
          <w:cantSplit/>
          <w:trHeight w:val="20"/>
          <w:tblHeader/>
        </w:trPr>
        <w:tc>
          <w:tcPr>
            <w:tcW w:w="1135" w:type="dxa"/>
            <w:vAlign w:val="center"/>
          </w:tcPr>
          <w:p w14:paraId="1C9ED816" w14:textId="77777777" w:rsidR="00BE7F89" w:rsidRPr="00470D3D" w:rsidRDefault="00BE7F89" w:rsidP="005A428D">
            <w:pPr>
              <w:rPr>
                <w:rFonts w:eastAsia="SimSun"/>
              </w:rPr>
            </w:pPr>
          </w:p>
        </w:tc>
        <w:tc>
          <w:tcPr>
            <w:tcW w:w="1701" w:type="dxa"/>
            <w:vAlign w:val="center"/>
          </w:tcPr>
          <w:p w14:paraId="14D47719" w14:textId="77777777" w:rsidR="00BE7F89" w:rsidRPr="00AC3044" w:rsidRDefault="00BE7F89" w:rsidP="005A428D">
            <w:pPr>
              <w:rPr>
                <w:rFonts w:eastAsia="SimSun"/>
              </w:rPr>
            </w:pPr>
            <w:r w:rsidRPr="00AC3044">
              <w:rPr>
                <w:rFonts w:eastAsia="SimSun"/>
              </w:rPr>
              <w:t>Препарат</w:t>
            </w:r>
          </w:p>
        </w:tc>
        <w:tc>
          <w:tcPr>
            <w:tcW w:w="1417" w:type="dxa"/>
            <w:vAlign w:val="center"/>
          </w:tcPr>
          <w:p w14:paraId="35E9A8EA"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6001E0A3"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4313BFEE"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67B6EAD2"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310E6459" w14:textId="77777777" w:rsidTr="005A428D">
        <w:trPr>
          <w:cantSplit/>
          <w:trHeight w:val="20"/>
        </w:trPr>
        <w:tc>
          <w:tcPr>
            <w:tcW w:w="1135" w:type="dxa"/>
            <w:vMerge w:val="restart"/>
            <w:textDirection w:val="btLr"/>
            <w:vAlign w:val="center"/>
          </w:tcPr>
          <w:p w14:paraId="1F947232"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1CEDA1A3" w14:textId="77777777" w:rsidR="00BE7F89" w:rsidRPr="00AC3044" w:rsidRDefault="00BE7F89" w:rsidP="005A428D">
            <w:pPr>
              <w:rPr>
                <w:rFonts w:eastAsia="SimSun"/>
              </w:rPr>
            </w:pPr>
            <w:r w:rsidRPr="00AC3044">
              <w:rPr>
                <w:rFonts w:eastAsia="SimSun"/>
              </w:rPr>
              <w:t xml:space="preserve">Флударабин </w:t>
            </w:r>
          </w:p>
        </w:tc>
        <w:tc>
          <w:tcPr>
            <w:tcW w:w="1417" w:type="dxa"/>
            <w:vAlign w:val="center"/>
          </w:tcPr>
          <w:p w14:paraId="635EA9E7"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418" w:type="dxa"/>
            <w:vAlign w:val="center"/>
          </w:tcPr>
          <w:p w14:paraId="41A8EBE5"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701" w:type="dxa"/>
            <w:vAlign w:val="center"/>
          </w:tcPr>
          <w:p w14:paraId="086E7607"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10B2A91C"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42637A6" w14:textId="77777777" w:rsidTr="005A428D">
        <w:trPr>
          <w:cantSplit/>
          <w:trHeight w:val="1207"/>
        </w:trPr>
        <w:tc>
          <w:tcPr>
            <w:tcW w:w="1135" w:type="dxa"/>
            <w:vMerge/>
            <w:vAlign w:val="center"/>
          </w:tcPr>
          <w:p w14:paraId="102C879F" w14:textId="77777777" w:rsidR="00BE7F89" w:rsidRPr="00AC3044" w:rsidRDefault="00BE7F89" w:rsidP="005A428D">
            <w:pPr>
              <w:rPr>
                <w:rFonts w:eastAsia="SimSun"/>
              </w:rPr>
            </w:pPr>
          </w:p>
        </w:tc>
        <w:tc>
          <w:tcPr>
            <w:tcW w:w="1701" w:type="dxa"/>
            <w:vAlign w:val="center"/>
          </w:tcPr>
          <w:p w14:paraId="175B97B6" w14:textId="77777777" w:rsidR="00BE7F89" w:rsidRPr="00AC3044" w:rsidRDefault="00BE7F89" w:rsidP="005A428D">
            <w:pPr>
              <w:rPr>
                <w:rFonts w:eastAsia="SimSun"/>
              </w:rPr>
            </w:pPr>
            <w:r w:rsidRPr="00AC3044">
              <w:rPr>
                <w:rFonts w:eastAsia="SimSun"/>
              </w:rPr>
              <w:t>Бусульфан</w:t>
            </w:r>
          </w:p>
        </w:tc>
        <w:tc>
          <w:tcPr>
            <w:tcW w:w="1417" w:type="dxa"/>
            <w:vAlign w:val="center"/>
          </w:tcPr>
          <w:p w14:paraId="2FD7D664" w14:textId="77777777" w:rsidR="00BE7F89" w:rsidRPr="00AC3044" w:rsidRDefault="00BE7F89" w:rsidP="005A428D">
            <w:pPr>
              <w:rPr>
                <w:rFonts w:eastAsia="SimSun"/>
              </w:rPr>
            </w:pPr>
            <w:r w:rsidRPr="00AC3044">
              <w:rPr>
                <w:rFonts w:eastAsia="SimSun"/>
              </w:rPr>
              <w:t xml:space="preserve">4 мг/кг </w:t>
            </w:r>
          </w:p>
        </w:tc>
        <w:tc>
          <w:tcPr>
            <w:tcW w:w="1418" w:type="dxa"/>
            <w:vAlign w:val="center"/>
          </w:tcPr>
          <w:p w14:paraId="064899CA" w14:textId="77777777" w:rsidR="00BE7F89" w:rsidRPr="00AC3044" w:rsidRDefault="00BE7F89" w:rsidP="005A428D">
            <w:pPr>
              <w:rPr>
                <w:rFonts w:eastAsia="SimSun"/>
              </w:rPr>
            </w:pPr>
            <w:r w:rsidRPr="00AC3044">
              <w:rPr>
                <w:rFonts w:eastAsia="SimSun"/>
              </w:rPr>
              <w:t xml:space="preserve">12 мг/кг </w:t>
            </w:r>
          </w:p>
        </w:tc>
        <w:tc>
          <w:tcPr>
            <w:tcW w:w="1701" w:type="dxa"/>
            <w:vAlign w:val="center"/>
          </w:tcPr>
          <w:p w14:paraId="2A409D98" w14:textId="77777777" w:rsidR="00BE7F89" w:rsidRPr="00AC3044" w:rsidRDefault="00BE7F89" w:rsidP="005A428D">
            <w:pPr>
              <w:rPr>
                <w:rFonts w:eastAsia="SimSun"/>
              </w:rPr>
            </w:pPr>
            <w:r w:rsidRPr="00AC3044">
              <w:rPr>
                <w:rFonts w:eastAsia="SimSun"/>
              </w:rPr>
              <w:t>С -5 дня по -3 день</w:t>
            </w:r>
          </w:p>
        </w:tc>
        <w:tc>
          <w:tcPr>
            <w:tcW w:w="2268" w:type="dxa"/>
            <w:vAlign w:val="center"/>
          </w:tcPr>
          <w:p w14:paraId="0BEAA770"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079FF503" w14:textId="77777777" w:rsidTr="005A428D">
        <w:trPr>
          <w:cantSplit/>
          <w:trHeight w:val="606"/>
        </w:trPr>
        <w:tc>
          <w:tcPr>
            <w:tcW w:w="1135" w:type="dxa"/>
            <w:vMerge w:val="restart"/>
            <w:textDirection w:val="btLr"/>
            <w:vAlign w:val="center"/>
          </w:tcPr>
          <w:p w14:paraId="0931AB7B"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518C4ECC" w14:textId="77777777" w:rsidR="00BE7F89" w:rsidRPr="00AC3044" w:rsidRDefault="00BE7F89" w:rsidP="005A428D">
            <w:pPr>
              <w:rPr>
                <w:rFonts w:eastAsia="SimSun"/>
              </w:rPr>
            </w:pPr>
            <w:r w:rsidRPr="00AC3044">
              <w:rPr>
                <w:rFonts w:eastAsia="SimSun"/>
              </w:rPr>
              <w:t>Циклофосфамид</w:t>
            </w:r>
          </w:p>
        </w:tc>
        <w:tc>
          <w:tcPr>
            <w:tcW w:w="1417" w:type="dxa"/>
            <w:vAlign w:val="center"/>
          </w:tcPr>
          <w:p w14:paraId="0EB7BC08"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39B5432B"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79DE8E4D" w14:textId="77777777" w:rsidR="00BE7F89" w:rsidRPr="00AC3044" w:rsidRDefault="00BE7F89" w:rsidP="005A428D">
            <w:pPr>
              <w:rPr>
                <w:rFonts w:eastAsia="SimSun"/>
              </w:rPr>
            </w:pPr>
            <w:r w:rsidRPr="00AC3044">
              <w:rPr>
                <w:rFonts w:eastAsia="SimSun"/>
              </w:rPr>
              <w:t>В +3 день  и +5 день</w:t>
            </w:r>
          </w:p>
        </w:tc>
        <w:tc>
          <w:tcPr>
            <w:tcW w:w="2268" w:type="dxa"/>
            <w:vAlign w:val="center"/>
          </w:tcPr>
          <w:p w14:paraId="6A061D53" w14:textId="77777777" w:rsidR="00BE7F89" w:rsidRPr="00AC3044" w:rsidRDefault="00BE7F89" w:rsidP="005A428D">
            <w:pPr>
              <w:rPr>
                <w:rFonts w:eastAsia="SimSun"/>
              </w:rPr>
            </w:pPr>
            <w:r w:rsidRPr="00AC3044">
              <w:rPr>
                <w:rFonts w:eastAsia="SimSun"/>
              </w:rPr>
              <w:t>В/в, в течение 2 ч</w:t>
            </w:r>
          </w:p>
        </w:tc>
      </w:tr>
      <w:tr w:rsidR="00BE7F89" w:rsidRPr="00AC3044" w14:paraId="1A6801A1" w14:textId="77777777" w:rsidTr="005A428D">
        <w:trPr>
          <w:cantSplit/>
          <w:trHeight w:val="829"/>
        </w:trPr>
        <w:tc>
          <w:tcPr>
            <w:tcW w:w="1135" w:type="dxa"/>
            <w:vMerge/>
            <w:textDirection w:val="btLr"/>
            <w:vAlign w:val="center"/>
          </w:tcPr>
          <w:p w14:paraId="1E87313C" w14:textId="77777777" w:rsidR="00BE7F89" w:rsidRPr="00AC3044" w:rsidRDefault="00BE7F89" w:rsidP="005A428D">
            <w:pPr>
              <w:rPr>
                <w:rFonts w:eastAsia="SimSun"/>
              </w:rPr>
            </w:pPr>
          </w:p>
        </w:tc>
        <w:tc>
          <w:tcPr>
            <w:tcW w:w="1701" w:type="dxa"/>
            <w:vAlign w:val="center"/>
          </w:tcPr>
          <w:p w14:paraId="437886AA" w14:textId="77777777" w:rsidR="00BE7F89" w:rsidRPr="00AC3044" w:rsidRDefault="00BE7F89" w:rsidP="005A428D">
            <w:pPr>
              <w:rPr>
                <w:rFonts w:eastAsia="SimSun"/>
              </w:rPr>
            </w:pPr>
            <w:r w:rsidRPr="00AC3044">
              <w:rPr>
                <w:rFonts w:eastAsia="SimSun"/>
              </w:rPr>
              <w:t>Микофенолата мофетил</w:t>
            </w:r>
          </w:p>
        </w:tc>
        <w:tc>
          <w:tcPr>
            <w:tcW w:w="1417" w:type="dxa"/>
            <w:vAlign w:val="center"/>
          </w:tcPr>
          <w:p w14:paraId="01D3069F"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17B1B398" w14:textId="77777777" w:rsidR="00BE7F89" w:rsidRPr="00AC3044" w:rsidRDefault="00BE7F89" w:rsidP="005A428D">
            <w:pPr>
              <w:rPr>
                <w:rFonts w:eastAsia="SimSun"/>
              </w:rPr>
            </w:pPr>
            <w:r w:rsidRPr="00AC3044">
              <w:rPr>
                <w:rFonts w:eastAsia="SimSun"/>
              </w:rPr>
              <w:t>–</w:t>
            </w:r>
          </w:p>
        </w:tc>
        <w:tc>
          <w:tcPr>
            <w:tcW w:w="1701" w:type="dxa"/>
            <w:vAlign w:val="center"/>
          </w:tcPr>
          <w:p w14:paraId="174379AF" w14:textId="77777777" w:rsidR="00BE7F89" w:rsidRPr="00AC3044" w:rsidRDefault="00BE7F89" w:rsidP="005A428D">
            <w:pPr>
              <w:rPr>
                <w:rFonts w:eastAsia="SimSun"/>
              </w:rPr>
            </w:pPr>
            <w:r w:rsidRPr="00AC3044">
              <w:rPr>
                <w:rFonts w:eastAsia="SimSun"/>
              </w:rPr>
              <w:t xml:space="preserve">С +1 дня по +28 день </w:t>
            </w:r>
          </w:p>
        </w:tc>
        <w:tc>
          <w:tcPr>
            <w:tcW w:w="2268" w:type="dxa"/>
            <w:vAlign w:val="center"/>
          </w:tcPr>
          <w:p w14:paraId="129FE02E"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r w:rsidR="00BE7F89" w:rsidRPr="00AC3044" w14:paraId="5737EDF3" w14:textId="77777777" w:rsidTr="005A428D">
        <w:trPr>
          <w:cantSplit/>
          <w:trHeight w:val="958"/>
        </w:trPr>
        <w:tc>
          <w:tcPr>
            <w:tcW w:w="1135" w:type="dxa"/>
            <w:vMerge/>
            <w:textDirection w:val="btLr"/>
            <w:vAlign w:val="center"/>
          </w:tcPr>
          <w:p w14:paraId="23134AD1" w14:textId="77777777" w:rsidR="00BE7F89" w:rsidRPr="00AC3044" w:rsidRDefault="00BE7F89" w:rsidP="005A428D">
            <w:pPr>
              <w:rPr>
                <w:rFonts w:eastAsia="SimSun"/>
              </w:rPr>
            </w:pPr>
          </w:p>
        </w:tc>
        <w:tc>
          <w:tcPr>
            <w:tcW w:w="1701" w:type="dxa"/>
            <w:vAlign w:val="center"/>
          </w:tcPr>
          <w:p w14:paraId="3629F8C9" w14:textId="77777777" w:rsidR="00BE7F89" w:rsidRPr="00AC3044" w:rsidRDefault="00BE7F89" w:rsidP="005A428D">
            <w:pPr>
              <w:rPr>
                <w:rFonts w:eastAsia="SimSun"/>
              </w:rPr>
            </w:pPr>
            <w:r w:rsidRPr="00AC3044">
              <w:rPr>
                <w:rFonts w:eastAsia="SimSun"/>
              </w:rPr>
              <w:t>Циклоспорин А</w:t>
            </w:r>
          </w:p>
        </w:tc>
        <w:tc>
          <w:tcPr>
            <w:tcW w:w="1417" w:type="dxa"/>
            <w:vAlign w:val="center"/>
          </w:tcPr>
          <w:p w14:paraId="033A0E17" w14:textId="77777777" w:rsidR="00BE7F89" w:rsidRPr="00AC3044" w:rsidRDefault="00BE7F89" w:rsidP="005A428D">
            <w:pPr>
              <w:rPr>
                <w:rFonts w:eastAsia="SimSun"/>
              </w:rPr>
            </w:pPr>
            <w:r w:rsidRPr="00AC3044">
              <w:rPr>
                <w:rFonts w:eastAsia="SimSun"/>
              </w:rPr>
              <w:t>3  мг/кг</w:t>
            </w:r>
          </w:p>
        </w:tc>
        <w:tc>
          <w:tcPr>
            <w:tcW w:w="1418" w:type="dxa"/>
            <w:vAlign w:val="center"/>
          </w:tcPr>
          <w:p w14:paraId="653B3E60" w14:textId="77777777" w:rsidR="00BE7F89" w:rsidRPr="00AC3044" w:rsidRDefault="00BE7F89" w:rsidP="005A428D">
            <w:pPr>
              <w:rPr>
                <w:rFonts w:eastAsia="SimSun"/>
              </w:rPr>
            </w:pPr>
            <w:r w:rsidRPr="00AC3044">
              <w:rPr>
                <w:rFonts w:eastAsia="SimSun"/>
              </w:rPr>
              <w:t>-</w:t>
            </w:r>
          </w:p>
        </w:tc>
        <w:tc>
          <w:tcPr>
            <w:tcW w:w="1701" w:type="dxa"/>
            <w:vAlign w:val="center"/>
          </w:tcPr>
          <w:p w14:paraId="2CD4E7A8" w14:textId="77777777" w:rsidR="00BE7F89" w:rsidRPr="00AC3044" w:rsidRDefault="00BE7F89" w:rsidP="005A428D">
            <w:pPr>
              <w:rPr>
                <w:rFonts w:eastAsia="SimSun"/>
              </w:rPr>
            </w:pPr>
            <w:r w:rsidRPr="00AC3044">
              <w:rPr>
                <w:rFonts w:eastAsia="SimSun"/>
              </w:rPr>
              <w:t xml:space="preserve">С -1 дня по +100 день </w:t>
            </w:r>
          </w:p>
        </w:tc>
        <w:tc>
          <w:tcPr>
            <w:tcW w:w="2268" w:type="dxa"/>
            <w:vAlign w:val="center"/>
          </w:tcPr>
          <w:p w14:paraId="7EC7EF65"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17B071A6" w14:textId="77777777" w:rsidR="00BE7F89" w:rsidRPr="001E6DBE" w:rsidRDefault="00BE7F89" w:rsidP="00BE7F89">
      <w:pPr>
        <w:rPr>
          <w:rFonts w:eastAsia="SimSun"/>
        </w:rPr>
      </w:pPr>
    </w:p>
    <w:p w14:paraId="6704B622" w14:textId="77777777" w:rsidR="00BE7F89" w:rsidRPr="00042499" w:rsidRDefault="00BE7F89" w:rsidP="00BE7F89">
      <w:pPr>
        <w:rPr>
          <w:rFonts w:eastAsia="SimSun"/>
          <w:lang w:val="en-US"/>
        </w:rPr>
      </w:pPr>
      <w:bookmarkStart w:id="181" w:name="_Toc44401192"/>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2.1.6  – </w:t>
      </w:r>
      <w:r w:rsidRPr="00C07B2E">
        <w:rPr>
          <w:rFonts w:eastAsia="SimSun"/>
        </w:rPr>
        <w:t>Flu</w:t>
      </w:r>
      <w:r w:rsidRPr="00042499">
        <w:rPr>
          <w:rFonts w:eastAsia="SimSun"/>
          <w:lang w:val="en-US"/>
        </w:rPr>
        <w:t>180+</w:t>
      </w:r>
      <w:r w:rsidRPr="00C07B2E">
        <w:rPr>
          <w:rFonts w:eastAsia="SimSun"/>
        </w:rPr>
        <w:t>Bu</w:t>
      </w:r>
      <w:r w:rsidRPr="00042499">
        <w:rPr>
          <w:rFonts w:eastAsia="SimSun"/>
          <w:lang w:val="en-US"/>
        </w:rPr>
        <w:t xml:space="preserve">12 / </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181"/>
    </w:p>
    <w:tbl>
      <w:tblPr>
        <w:tblpPr w:leftFromText="180" w:rightFromText="180" w:vertAnchor="text" w:horzAnchor="margin" w:tblpX="6" w:tblpY="38"/>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2"/>
        <w:gridCol w:w="1709"/>
        <w:gridCol w:w="1395"/>
        <w:gridCol w:w="1367"/>
        <w:gridCol w:w="1783"/>
        <w:gridCol w:w="2267"/>
      </w:tblGrid>
      <w:tr w:rsidR="00BE7F89" w:rsidRPr="00AC3044" w14:paraId="376298E6" w14:textId="77777777" w:rsidTr="005A428D">
        <w:trPr>
          <w:cantSplit/>
          <w:trHeight w:val="20"/>
          <w:tblHeader/>
        </w:trPr>
        <w:tc>
          <w:tcPr>
            <w:tcW w:w="1142" w:type="dxa"/>
            <w:vAlign w:val="center"/>
          </w:tcPr>
          <w:p w14:paraId="3ACC2579" w14:textId="77777777" w:rsidR="00BE7F89" w:rsidRPr="00AC3044" w:rsidRDefault="00BE7F89" w:rsidP="005A428D">
            <w:pPr>
              <w:rPr>
                <w:rFonts w:eastAsia="SimSun"/>
              </w:rPr>
            </w:pPr>
          </w:p>
        </w:tc>
        <w:tc>
          <w:tcPr>
            <w:tcW w:w="1709" w:type="dxa"/>
            <w:vAlign w:val="center"/>
          </w:tcPr>
          <w:p w14:paraId="44C654BE" w14:textId="77777777" w:rsidR="00BE7F89" w:rsidRPr="00AC3044" w:rsidRDefault="00BE7F89" w:rsidP="005A428D">
            <w:pPr>
              <w:rPr>
                <w:rFonts w:eastAsia="SimSun"/>
              </w:rPr>
            </w:pPr>
            <w:r w:rsidRPr="00AC3044">
              <w:rPr>
                <w:rFonts w:eastAsia="SimSun"/>
              </w:rPr>
              <w:t>Препарат</w:t>
            </w:r>
          </w:p>
        </w:tc>
        <w:tc>
          <w:tcPr>
            <w:tcW w:w="1395" w:type="dxa"/>
            <w:vAlign w:val="center"/>
          </w:tcPr>
          <w:p w14:paraId="07ADE94C" w14:textId="77777777" w:rsidR="00BE7F89" w:rsidRPr="00AC3044" w:rsidRDefault="00BE7F89" w:rsidP="005A428D">
            <w:pPr>
              <w:rPr>
                <w:rFonts w:eastAsia="SimSun"/>
              </w:rPr>
            </w:pPr>
            <w:r w:rsidRPr="00AC3044">
              <w:rPr>
                <w:rFonts w:eastAsia="SimSun"/>
              </w:rPr>
              <w:t>Суточная доза</w:t>
            </w:r>
          </w:p>
        </w:tc>
        <w:tc>
          <w:tcPr>
            <w:tcW w:w="1367" w:type="dxa"/>
            <w:vAlign w:val="center"/>
          </w:tcPr>
          <w:p w14:paraId="35DBCE25" w14:textId="77777777" w:rsidR="00BE7F89" w:rsidRPr="00AC3044" w:rsidRDefault="00BE7F89" w:rsidP="005A428D">
            <w:pPr>
              <w:rPr>
                <w:rFonts w:eastAsia="SimSun"/>
              </w:rPr>
            </w:pPr>
            <w:r w:rsidRPr="00AC3044">
              <w:rPr>
                <w:rFonts w:eastAsia="SimSun"/>
              </w:rPr>
              <w:t>Курсовая доза</w:t>
            </w:r>
          </w:p>
        </w:tc>
        <w:tc>
          <w:tcPr>
            <w:tcW w:w="1783" w:type="dxa"/>
            <w:vAlign w:val="center"/>
          </w:tcPr>
          <w:p w14:paraId="4C802A7F" w14:textId="77777777" w:rsidR="00BE7F89" w:rsidRPr="00AC3044" w:rsidRDefault="00BE7F89" w:rsidP="005A428D">
            <w:pPr>
              <w:rPr>
                <w:rFonts w:eastAsia="SimSun"/>
              </w:rPr>
            </w:pPr>
            <w:r w:rsidRPr="00AC3044">
              <w:rPr>
                <w:rFonts w:eastAsia="SimSun"/>
              </w:rPr>
              <w:t>Дни введения</w:t>
            </w:r>
          </w:p>
        </w:tc>
        <w:tc>
          <w:tcPr>
            <w:tcW w:w="2267" w:type="dxa"/>
            <w:vAlign w:val="center"/>
          </w:tcPr>
          <w:p w14:paraId="6BEB27CB"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0C7DC7E" w14:textId="77777777" w:rsidTr="005A428D">
        <w:trPr>
          <w:cantSplit/>
          <w:trHeight w:val="20"/>
        </w:trPr>
        <w:tc>
          <w:tcPr>
            <w:tcW w:w="1142" w:type="dxa"/>
            <w:vMerge w:val="restart"/>
            <w:textDirection w:val="btLr"/>
            <w:vAlign w:val="center"/>
          </w:tcPr>
          <w:p w14:paraId="5C9076A9" w14:textId="77777777" w:rsidR="00BE7F89" w:rsidRPr="00AC3044" w:rsidRDefault="00BE7F89" w:rsidP="005A428D">
            <w:pPr>
              <w:rPr>
                <w:rFonts w:eastAsia="SimSun"/>
              </w:rPr>
            </w:pPr>
            <w:r w:rsidRPr="00AC3044">
              <w:rPr>
                <w:rFonts w:eastAsia="SimSun"/>
              </w:rPr>
              <w:t>Кондиционирование</w:t>
            </w:r>
          </w:p>
        </w:tc>
        <w:tc>
          <w:tcPr>
            <w:tcW w:w="1709" w:type="dxa"/>
            <w:vAlign w:val="center"/>
          </w:tcPr>
          <w:p w14:paraId="2D2519B2" w14:textId="77777777" w:rsidR="00BE7F89" w:rsidRPr="00AC3044" w:rsidRDefault="00BE7F89" w:rsidP="005A428D">
            <w:pPr>
              <w:rPr>
                <w:rFonts w:eastAsia="SimSun"/>
              </w:rPr>
            </w:pPr>
            <w:r w:rsidRPr="00AC3044">
              <w:rPr>
                <w:rFonts w:eastAsia="SimSun"/>
              </w:rPr>
              <w:t xml:space="preserve">Флударабин </w:t>
            </w:r>
          </w:p>
        </w:tc>
        <w:tc>
          <w:tcPr>
            <w:tcW w:w="1395" w:type="dxa"/>
            <w:vAlign w:val="center"/>
          </w:tcPr>
          <w:p w14:paraId="03579583" w14:textId="77777777" w:rsidR="00BE7F89" w:rsidRPr="00AC3044" w:rsidRDefault="00BE7F89" w:rsidP="005A428D">
            <w:pPr>
              <w:rPr>
                <w:rFonts w:eastAsia="SimSun"/>
              </w:rPr>
            </w:pPr>
            <w:r w:rsidRPr="00AC3044">
              <w:rPr>
                <w:rFonts w:eastAsia="SimSun"/>
              </w:rPr>
              <w:t>30 мг/м</w:t>
            </w:r>
            <w:r w:rsidRPr="001E6DBE">
              <w:rPr>
                <w:rFonts w:eastAsia="SimSun"/>
                <w:vertAlign w:val="superscript"/>
              </w:rPr>
              <w:t>2</w:t>
            </w:r>
          </w:p>
        </w:tc>
        <w:tc>
          <w:tcPr>
            <w:tcW w:w="1367" w:type="dxa"/>
            <w:vAlign w:val="center"/>
          </w:tcPr>
          <w:p w14:paraId="520F7FE1" w14:textId="77777777" w:rsidR="00BE7F89" w:rsidRPr="00AC3044" w:rsidRDefault="00BE7F89" w:rsidP="005A428D">
            <w:pPr>
              <w:rPr>
                <w:rFonts w:eastAsia="SimSun"/>
              </w:rPr>
            </w:pPr>
            <w:r w:rsidRPr="00AC3044">
              <w:rPr>
                <w:rFonts w:eastAsia="SimSun"/>
              </w:rPr>
              <w:t>180 мг/м</w:t>
            </w:r>
            <w:r w:rsidRPr="001E6DBE">
              <w:rPr>
                <w:rFonts w:eastAsia="SimSun"/>
                <w:vertAlign w:val="superscript"/>
              </w:rPr>
              <w:t>2</w:t>
            </w:r>
          </w:p>
        </w:tc>
        <w:tc>
          <w:tcPr>
            <w:tcW w:w="1783" w:type="dxa"/>
            <w:vAlign w:val="center"/>
          </w:tcPr>
          <w:p w14:paraId="37A9CAE8" w14:textId="77777777" w:rsidR="00BE7F89" w:rsidRPr="00AC3044" w:rsidRDefault="00BE7F89" w:rsidP="005A428D">
            <w:pPr>
              <w:rPr>
                <w:rFonts w:eastAsia="SimSun"/>
              </w:rPr>
            </w:pPr>
            <w:r w:rsidRPr="00AC3044">
              <w:rPr>
                <w:rFonts w:eastAsia="SimSun"/>
              </w:rPr>
              <w:t>С -7 дня по -2 день</w:t>
            </w:r>
          </w:p>
        </w:tc>
        <w:tc>
          <w:tcPr>
            <w:tcW w:w="2267" w:type="dxa"/>
            <w:vAlign w:val="center"/>
          </w:tcPr>
          <w:p w14:paraId="07D9FCE7"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026B669E" w14:textId="77777777" w:rsidTr="005A428D">
        <w:trPr>
          <w:cantSplit/>
          <w:trHeight w:val="547"/>
        </w:trPr>
        <w:tc>
          <w:tcPr>
            <w:tcW w:w="1142" w:type="dxa"/>
            <w:vMerge/>
            <w:vAlign w:val="center"/>
          </w:tcPr>
          <w:p w14:paraId="1E62BEEB" w14:textId="77777777" w:rsidR="00BE7F89" w:rsidRPr="00AC3044" w:rsidRDefault="00BE7F89" w:rsidP="005A428D">
            <w:pPr>
              <w:rPr>
                <w:rFonts w:eastAsia="SimSun"/>
              </w:rPr>
            </w:pPr>
          </w:p>
        </w:tc>
        <w:tc>
          <w:tcPr>
            <w:tcW w:w="1709" w:type="dxa"/>
            <w:vAlign w:val="center"/>
          </w:tcPr>
          <w:p w14:paraId="4D42FB7C" w14:textId="77777777" w:rsidR="00BE7F89" w:rsidRPr="00AC3044" w:rsidRDefault="00BE7F89" w:rsidP="005A428D">
            <w:pPr>
              <w:rPr>
                <w:rFonts w:eastAsia="SimSun"/>
              </w:rPr>
            </w:pPr>
            <w:r w:rsidRPr="00AC3044">
              <w:rPr>
                <w:rFonts w:eastAsia="SimSun"/>
              </w:rPr>
              <w:t>Бусульфан</w:t>
            </w:r>
          </w:p>
        </w:tc>
        <w:tc>
          <w:tcPr>
            <w:tcW w:w="1395" w:type="dxa"/>
            <w:vAlign w:val="center"/>
          </w:tcPr>
          <w:p w14:paraId="1DB6B424" w14:textId="77777777" w:rsidR="00BE7F89" w:rsidRPr="00AC3044" w:rsidRDefault="00BE7F89" w:rsidP="005A428D">
            <w:pPr>
              <w:rPr>
                <w:rFonts w:eastAsia="SimSun"/>
              </w:rPr>
            </w:pPr>
            <w:r w:rsidRPr="00AC3044">
              <w:rPr>
                <w:rFonts w:eastAsia="SimSun"/>
              </w:rPr>
              <w:t xml:space="preserve">4 мг/кг </w:t>
            </w:r>
          </w:p>
        </w:tc>
        <w:tc>
          <w:tcPr>
            <w:tcW w:w="1367" w:type="dxa"/>
            <w:vAlign w:val="center"/>
          </w:tcPr>
          <w:p w14:paraId="052998BB" w14:textId="77777777" w:rsidR="00BE7F89" w:rsidRPr="00AC3044" w:rsidRDefault="00BE7F89" w:rsidP="005A428D">
            <w:pPr>
              <w:rPr>
                <w:rFonts w:eastAsia="SimSun"/>
              </w:rPr>
            </w:pPr>
            <w:r w:rsidRPr="00AC3044">
              <w:rPr>
                <w:rFonts w:eastAsia="SimSun"/>
              </w:rPr>
              <w:t xml:space="preserve">12 мг/кг </w:t>
            </w:r>
          </w:p>
        </w:tc>
        <w:tc>
          <w:tcPr>
            <w:tcW w:w="1783" w:type="dxa"/>
            <w:vAlign w:val="center"/>
          </w:tcPr>
          <w:p w14:paraId="27D4F4A2" w14:textId="77777777" w:rsidR="00BE7F89" w:rsidRPr="00AC3044" w:rsidRDefault="00BE7F89" w:rsidP="005A428D">
            <w:pPr>
              <w:rPr>
                <w:rFonts w:eastAsia="SimSun"/>
              </w:rPr>
            </w:pPr>
            <w:r w:rsidRPr="00AC3044">
              <w:rPr>
                <w:rFonts w:eastAsia="SimSun"/>
              </w:rPr>
              <w:t>С -5 дня по -3 день</w:t>
            </w:r>
          </w:p>
        </w:tc>
        <w:tc>
          <w:tcPr>
            <w:tcW w:w="2267" w:type="dxa"/>
            <w:vAlign w:val="center"/>
          </w:tcPr>
          <w:p w14:paraId="2FB9B542"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5F200309" w14:textId="77777777" w:rsidTr="005A428D">
        <w:trPr>
          <w:cantSplit/>
          <w:trHeight w:val="1498"/>
        </w:trPr>
        <w:tc>
          <w:tcPr>
            <w:tcW w:w="1142" w:type="dxa"/>
            <w:vMerge w:val="restart"/>
            <w:textDirection w:val="btLr"/>
            <w:vAlign w:val="center"/>
          </w:tcPr>
          <w:p w14:paraId="6D4C735E" w14:textId="77777777" w:rsidR="00BE7F89" w:rsidRPr="00AC3044" w:rsidRDefault="00BE7F89" w:rsidP="005A428D">
            <w:pPr>
              <w:rPr>
                <w:rFonts w:eastAsia="SimSun"/>
              </w:rPr>
            </w:pPr>
            <w:r w:rsidRPr="00AC3044">
              <w:rPr>
                <w:rFonts w:eastAsia="SimSun"/>
              </w:rPr>
              <w:t>Профилактика РТПХ</w:t>
            </w:r>
          </w:p>
        </w:tc>
        <w:tc>
          <w:tcPr>
            <w:tcW w:w="1709" w:type="dxa"/>
            <w:vAlign w:val="center"/>
          </w:tcPr>
          <w:p w14:paraId="28F2D14B" w14:textId="77777777" w:rsidR="00BE7F89" w:rsidRPr="00AC3044" w:rsidRDefault="00BE7F89" w:rsidP="005A428D">
            <w:pPr>
              <w:rPr>
                <w:rFonts w:eastAsia="SimSun"/>
              </w:rPr>
            </w:pPr>
            <w:r w:rsidRPr="00AC3044">
              <w:rPr>
                <w:rFonts w:eastAsia="SimSun"/>
              </w:rPr>
              <w:t xml:space="preserve">Такролимус </w:t>
            </w:r>
          </w:p>
        </w:tc>
        <w:tc>
          <w:tcPr>
            <w:tcW w:w="1395" w:type="dxa"/>
            <w:vAlign w:val="center"/>
          </w:tcPr>
          <w:p w14:paraId="0653E345" w14:textId="77777777" w:rsidR="00BE7F89" w:rsidRPr="00AC3044" w:rsidRDefault="00BE7F89" w:rsidP="005A428D">
            <w:pPr>
              <w:rPr>
                <w:rFonts w:eastAsia="SimSun"/>
              </w:rPr>
            </w:pPr>
            <w:r w:rsidRPr="00AC3044">
              <w:rPr>
                <w:rFonts w:eastAsia="SimSun"/>
              </w:rPr>
              <w:t>0,03 мг/кг</w:t>
            </w:r>
          </w:p>
        </w:tc>
        <w:tc>
          <w:tcPr>
            <w:tcW w:w="1367" w:type="dxa"/>
            <w:vAlign w:val="center"/>
          </w:tcPr>
          <w:p w14:paraId="5B428A4F" w14:textId="77777777" w:rsidR="00BE7F89" w:rsidRPr="00AC3044" w:rsidRDefault="00BE7F89" w:rsidP="005A428D">
            <w:pPr>
              <w:rPr>
                <w:rFonts w:eastAsia="SimSun"/>
              </w:rPr>
            </w:pPr>
            <w:r w:rsidRPr="00AC3044">
              <w:rPr>
                <w:rFonts w:eastAsia="SimSun"/>
              </w:rPr>
              <w:t>–</w:t>
            </w:r>
          </w:p>
        </w:tc>
        <w:tc>
          <w:tcPr>
            <w:tcW w:w="1783" w:type="dxa"/>
            <w:vAlign w:val="center"/>
          </w:tcPr>
          <w:p w14:paraId="22C0D40A" w14:textId="77777777" w:rsidR="00BE7F89" w:rsidRPr="00AC3044" w:rsidRDefault="00BE7F89" w:rsidP="005A428D">
            <w:pPr>
              <w:rPr>
                <w:rFonts w:eastAsia="SimSun"/>
              </w:rPr>
            </w:pPr>
            <w:r w:rsidRPr="00AC3044">
              <w:rPr>
                <w:rFonts w:eastAsia="SimSun"/>
              </w:rPr>
              <w:t xml:space="preserve">С +5 дня длительно </w:t>
            </w:r>
          </w:p>
        </w:tc>
        <w:tc>
          <w:tcPr>
            <w:tcW w:w="2267" w:type="dxa"/>
            <w:vAlign w:val="center"/>
          </w:tcPr>
          <w:p w14:paraId="5A934738"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/л, при</w:t>
            </w:r>
            <w:r>
              <w:rPr>
                <w:rFonts w:eastAsia="SimSun"/>
              </w:rPr>
              <w:t xml:space="preserve"> </w:t>
            </w:r>
            <w:r w:rsidRPr="00AC3044">
              <w:rPr>
                <w:rFonts w:eastAsia="SimSun"/>
              </w:rPr>
              <w:t xml:space="preserve">отсутствии тошноты, рвоты, диареи и возможности приема внутрь. Концентрация Tx 5-15 нг/мл.    </w:t>
            </w:r>
          </w:p>
        </w:tc>
      </w:tr>
      <w:tr w:rsidR="00BE7F89" w:rsidRPr="00AC3044" w14:paraId="0C277576" w14:textId="77777777" w:rsidTr="005A428D">
        <w:trPr>
          <w:cantSplit/>
          <w:trHeight w:val="625"/>
        </w:trPr>
        <w:tc>
          <w:tcPr>
            <w:tcW w:w="1142" w:type="dxa"/>
            <w:vMerge/>
            <w:textDirection w:val="btLr"/>
            <w:vAlign w:val="center"/>
          </w:tcPr>
          <w:p w14:paraId="6A216C59" w14:textId="77777777" w:rsidR="00BE7F89" w:rsidRPr="00AC3044" w:rsidRDefault="00BE7F89" w:rsidP="005A428D">
            <w:pPr>
              <w:rPr>
                <w:rFonts w:eastAsia="SimSun"/>
              </w:rPr>
            </w:pPr>
          </w:p>
        </w:tc>
        <w:tc>
          <w:tcPr>
            <w:tcW w:w="1709" w:type="dxa"/>
            <w:vAlign w:val="center"/>
          </w:tcPr>
          <w:p w14:paraId="1F468ABE" w14:textId="77777777" w:rsidR="00BE7F89" w:rsidRPr="00AC3044" w:rsidRDefault="00BE7F89" w:rsidP="005A428D">
            <w:pPr>
              <w:rPr>
                <w:rFonts w:eastAsia="SimSun"/>
              </w:rPr>
            </w:pPr>
            <w:r w:rsidRPr="00AC3044">
              <w:rPr>
                <w:rFonts w:eastAsia="SimSun"/>
              </w:rPr>
              <w:t>Микофенолата мофетил</w:t>
            </w:r>
          </w:p>
        </w:tc>
        <w:tc>
          <w:tcPr>
            <w:tcW w:w="1395" w:type="dxa"/>
            <w:vAlign w:val="center"/>
          </w:tcPr>
          <w:p w14:paraId="704570E3" w14:textId="77777777" w:rsidR="00BE7F89" w:rsidRPr="00AC3044" w:rsidRDefault="00BE7F89" w:rsidP="005A428D">
            <w:pPr>
              <w:rPr>
                <w:rFonts w:eastAsia="SimSun"/>
              </w:rPr>
            </w:pPr>
            <w:r w:rsidRPr="00AC3044">
              <w:rPr>
                <w:rFonts w:eastAsia="SimSun"/>
              </w:rPr>
              <w:t xml:space="preserve">30 мг/кг </w:t>
            </w:r>
          </w:p>
        </w:tc>
        <w:tc>
          <w:tcPr>
            <w:tcW w:w="1367" w:type="dxa"/>
            <w:vAlign w:val="center"/>
          </w:tcPr>
          <w:p w14:paraId="3308BAD0" w14:textId="77777777" w:rsidR="00BE7F89" w:rsidRPr="00AC3044" w:rsidRDefault="00BE7F89" w:rsidP="005A428D">
            <w:pPr>
              <w:rPr>
                <w:rFonts w:eastAsia="SimSun"/>
              </w:rPr>
            </w:pPr>
            <w:r w:rsidRPr="00AC3044">
              <w:rPr>
                <w:rFonts w:eastAsia="SimSun"/>
              </w:rPr>
              <w:t>–</w:t>
            </w:r>
          </w:p>
        </w:tc>
        <w:tc>
          <w:tcPr>
            <w:tcW w:w="1783" w:type="dxa"/>
            <w:vAlign w:val="center"/>
          </w:tcPr>
          <w:p w14:paraId="70F38B43" w14:textId="77777777" w:rsidR="00BE7F89" w:rsidRPr="00AC3044" w:rsidRDefault="00BE7F89" w:rsidP="005A428D">
            <w:pPr>
              <w:rPr>
                <w:rFonts w:eastAsia="SimSun"/>
              </w:rPr>
            </w:pPr>
            <w:r w:rsidRPr="00AC3044">
              <w:rPr>
                <w:rFonts w:eastAsia="SimSun"/>
              </w:rPr>
              <w:t xml:space="preserve">С +5 дня по +35 день </w:t>
            </w:r>
          </w:p>
        </w:tc>
        <w:tc>
          <w:tcPr>
            <w:tcW w:w="2267" w:type="dxa"/>
            <w:vAlign w:val="center"/>
          </w:tcPr>
          <w:p w14:paraId="4A32710A"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60D1E7C3" w14:textId="77777777" w:rsidR="00BE7F89" w:rsidRDefault="00BE7F89" w:rsidP="00BE7F89">
      <w:pPr>
        <w:rPr>
          <w:rFonts w:eastAsia="SimSun"/>
        </w:rPr>
      </w:pPr>
      <w:bookmarkStart w:id="182" w:name="_Toc44401193"/>
    </w:p>
    <w:p w14:paraId="6FB51102" w14:textId="77777777" w:rsidR="00BE7F89"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2.1.7  – Flu180+Bu14 / PT-Cy</w:t>
      </w:r>
      <w:bookmarkStart w:id="183" w:name="_Toc44401194"/>
      <w:bookmarkEnd w:id="182"/>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6"/>
        <w:gridCol w:w="1731"/>
        <w:gridCol w:w="1399"/>
        <w:gridCol w:w="1272"/>
        <w:gridCol w:w="1760"/>
        <w:gridCol w:w="2234"/>
      </w:tblGrid>
      <w:tr w:rsidR="00BE7F89" w:rsidRPr="00AC3044" w14:paraId="2DBCFF23" w14:textId="77777777" w:rsidTr="005A428D">
        <w:trPr>
          <w:cantSplit/>
          <w:trHeight w:val="20"/>
          <w:tblHeader/>
        </w:trPr>
        <w:tc>
          <w:tcPr>
            <w:tcW w:w="1176" w:type="dxa"/>
            <w:vAlign w:val="center"/>
          </w:tcPr>
          <w:p w14:paraId="105A6C85" w14:textId="77777777" w:rsidR="00BE7F89" w:rsidRPr="00AC3044" w:rsidRDefault="00BE7F89" w:rsidP="005A428D">
            <w:pPr>
              <w:rPr>
                <w:rFonts w:eastAsia="SimSun"/>
              </w:rPr>
            </w:pPr>
            <w:r w:rsidRPr="00AC3044">
              <w:rPr>
                <w:rFonts w:eastAsia="SimSun"/>
              </w:rPr>
              <w:tab/>
            </w:r>
          </w:p>
        </w:tc>
        <w:tc>
          <w:tcPr>
            <w:tcW w:w="1731" w:type="dxa"/>
            <w:vAlign w:val="center"/>
          </w:tcPr>
          <w:p w14:paraId="7801E847" w14:textId="77777777" w:rsidR="00BE7F89" w:rsidRPr="00AC3044" w:rsidRDefault="00BE7F89" w:rsidP="005A428D">
            <w:pPr>
              <w:rPr>
                <w:rFonts w:eastAsia="SimSun"/>
              </w:rPr>
            </w:pPr>
            <w:r w:rsidRPr="00AC3044">
              <w:rPr>
                <w:rFonts w:eastAsia="SimSun"/>
              </w:rPr>
              <w:t>Препарат</w:t>
            </w:r>
          </w:p>
        </w:tc>
        <w:tc>
          <w:tcPr>
            <w:tcW w:w="1399" w:type="dxa"/>
            <w:vAlign w:val="center"/>
          </w:tcPr>
          <w:p w14:paraId="7C38F44F" w14:textId="77777777" w:rsidR="00BE7F89" w:rsidRPr="00AC3044" w:rsidRDefault="00BE7F89" w:rsidP="005A428D">
            <w:pPr>
              <w:rPr>
                <w:rFonts w:eastAsia="SimSun"/>
              </w:rPr>
            </w:pPr>
            <w:r w:rsidRPr="00AC3044">
              <w:rPr>
                <w:rFonts w:eastAsia="SimSun"/>
              </w:rPr>
              <w:t>Суточная доза</w:t>
            </w:r>
          </w:p>
        </w:tc>
        <w:tc>
          <w:tcPr>
            <w:tcW w:w="1272" w:type="dxa"/>
            <w:vAlign w:val="center"/>
          </w:tcPr>
          <w:p w14:paraId="3001791B" w14:textId="77777777" w:rsidR="00BE7F89" w:rsidRPr="00AC3044" w:rsidRDefault="00BE7F89" w:rsidP="005A428D">
            <w:pPr>
              <w:rPr>
                <w:rFonts w:eastAsia="SimSun"/>
              </w:rPr>
            </w:pPr>
            <w:r w:rsidRPr="00AC3044">
              <w:rPr>
                <w:rFonts w:eastAsia="SimSun"/>
              </w:rPr>
              <w:t>Курсовая доза</w:t>
            </w:r>
          </w:p>
        </w:tc>
        <w:tc>
          <w:tcPr>
            <w:tcW w:w="1760" w:type="dxa"/>
            <w:vAlign w:val="center"/>
          </w:tcPr>
          <w:p w14:paraId="438FC4C5" w14:textId="77777777" w:rsidR="00BE7F89" w:rsidRPr="00AC3044" w:rsidRDefault="00BE7F89" w:rsidP="005A428D">
            <w:pPr>
              <w:rPr>
                <w:rFonts w:eastAsia="SimSun"/>
              </w:rPr>
            </w:pPr>
            <w:r w:rsidRPr="00AC3044">
              <w:rPr>
                <w:rFonts w:eastAsia="SimSun"/>
              </w:rPr>
              <w:t>Дни введения</w:t>
            </w:r>
          </w:p>
        </w:tc>
        <w:tc>
          <w:tcPr>
            <w:tcW w:w="2234" w:type="dxa"/>
            <w:vAlign w:val="center"/>
          </w:tcPr>
          <w:p w14:paraId="7D7C89BC"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01302D12" w14:textId="77777777" w:rsidTr="005A428D">
        <w:trPr>
          <w:cantSplit/>
          <w:trHeight w:val="20"/>
        </w:trPr>
        <w:tc>
          <w:tcPr>
            <w:tcW w:w="1176" w:type="dxa"/>
            <w:vMerge w:val="restart"/>
            <w:textDirection w:val="btLr"/>
            <w:vAlign w:val="center"/>
          </w:tcPr>
          <w:p w14:paraId="4694B5B6" w14:textId="77777777" w:rsidR="00BE7F89" w:rsidRPr="00AC3044" w:rsidRDefault="00BE7F89" w:rsidP="005A428D">
            <w:pPr>
              <w:rPr>
                <w:rFonts w:eastAsia="SimSun"/>
              </w:rPr>
            </w:pPr>
            <w:r w:rsidRPr="00AC3044">
              <w:rPr>
                <w:rFonts w:eastAsia="SimSun"/>
              </w:rPr>
              <w:t>Кондиционирование</w:t>
            </w:r>
          </w:p>
        </w:tc>
        <w:tc>
          <w:tcPr>
            <w:tcW w:w="1731" w:type="dxa"/>
            <w:vAlign w:val="center"/>
          </w:tcPr>
          <w:p w14:paraId="520BD258" w14:textId="77777777" w:rsidR="00BE7F89" w:rsidRPr="00AC3044" w:rsidRDefault="00BE7F89" w:rsidP="005A428D">
            <w:pPr>
              <w:rPr>
                <w:rFonts w:eastAsia="SimSun"/>
              </w:rPr>
            </w:pPr>
            <w:r w:rsidRPr="00AC3044">
              <w:rPr>
                <w:rFonts w:eastAsia="SimSun"/>
              </w:rPr>
              <w:t xml:space="preserve">Флударабин </w:t>
            </w:r>
          </w:p>
        </w:tc>
        <w:tc>
          <w:tcPr>
            <w:tcW w:w="1399" w:type="dxa"/>
            <w:vAlign w:val="center"/>
          </w:tcPr>
          <w:p w14:paraId="2A9161E5" w14:textId="77777777" w:rsidR="00BE7F89" w:rsidRPr="00AC3044" w:rsidRDefault="00BE7F89" w:rsidP="005A428D">
            <w:pPr>
              <w:rPr>
                <w:rFonts w:eastAsia="SimSun"/>
              </w:rPr>
            </w:pPr>
            <w:r w:rsidRPr="00AC3044">
              <w:rPr>
                <w:rFonts w:eastAsia="SimSun"/>
              </w:rPr>
              <w:t>30 мг/м</w:t>
            </w:r>
            <w:r w:rsidRPr="00DB259E">
              <w:rPr>
                <w:rFonts w:eastAsia="SimSun"/>
                <w:vertAlign w:val="superscript"/>
              </w:rPr>
              <w:t>2</w:t>
            </w:r>
          </w:p>
        </w:tc>
        <w:tc>
          <w:tcPr>
            <w:tcW w:w="1272" w:type="dxa"/>
            <w:vAlign w:val="center"/>
          </w:tcPr>
          <w:p w14:paraId="2665658F" w14:textId="77777777" w:rsidR="00BE7F89" w:rsidRPr="00AC3044" w:rsidRDefault="00BE7F89" w:rsidP="005A428D">
            <w:pPr>
              <w:rPr>
                <w:rFonts w:eastAsia="SimSun"/>
              </w:rPr>
            </w:pPr>
            <w:r w:rsidRPr="00AC3044">
              <w:rPr>
                <w:rFonts w:eastAsia="SimSun"/>
              </w:rPr>
              <w:t>180 мг/м</w:t>
            </w:r>
            <w:r w:rsidRPr="00DB259E">
              <w:rPr>
                <w:rFonts w:eastAsia="SimSun"/>
                <w:vertAlign w:val="superscript"/>
              </w:rPr>
              <w:t>2</w:t>
            </w:r>
          </w:p>
        </w:tc>
        <w:tc>
          <w:tcPr>
            <w:tcW w:w="1760" w:type="dxa"/>
            <w:vAlign w:val="center"/>
          </w:tcPr>
          <w:p w14:paraId="1AF5F0D9" w14:textId="77777777" w:rsidR="00BE7F89" w:rsidRPr="00AC3044" w:rsidRDefault="00BE7F89" w:rsidP="005A428D">
            <w:pPr>
              <w:rPr>
                <w:rFonts w:eastAsia="SimSun"/>
              </w:rPr>
            </w:pPr>
            <w:r w:rsidRPr="00AC3044">
              <w:rPr>
                <w:rFonts w:eastAsia="SimSun"/>
              </w:rPr>
              <w:t>С -7 дня по -2 день</w:t>
            </w:r>
          </w:p>
        </w:tc>
        <w:tc>
          <w:tcPr>
            <w:tcW w:w="2234" w:type="dxa"/>
            <w:vAlign w:val="center"/>
          </w:tcPr>
          <w:p w14:paraId="68257CC3"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04E9EFD4" w14:textId="77777777" w:rsidTr="005A428D">
        <w:trPr>
          <w:cantSplit/>
          <w:trHeight w:val="1207"/>
        </w:trPr>
        <w:tc>
          <w:tcPr>
            <w:tcW w:w="1176" w:type="dxa"/>
            <w:vMerge/>
            <w:vAlign w:val="center"/>
          </w:tcPr>
          <w:p w14:paraId="303DB20E" w14:textId="77777777" w:rsidR="00BE7F89" w:rsidRPr="00AC3044" w:rsidRDefault="00BE7F89" w:rsidP="005A428D">
            <w:pPr>
              <w:rPr>
                <w:rFonts w:eastAsia="SimSun"/>
              </w:rPr>
            </w:pPr>
          </w:p>
        </w:tc>
        <w:tc>
          <w:tcPr>
            <w:tcW w:w="1731" w:type="dxa"/>
            <w:vAlign w:val="center"/>
          </w:tcPr>
          <w:p w14:paraId="49E48480" w14:textId="77777777" w:rsidR="00BE7F89" w:rsidRPr="00AC3044" w:rsidRDefault="00BE7F89" w:rsidP="005A428D">
            <w:pPr>
              <w:rPr>
                <w:rFonts w:eastAsia="SimSun"/>
              </w:rPr>
            </w:pPr>
            <w:r w:rsidRPr="00AC3044">
              <w:rPr>
                <w:rFonts w:eastAsia="SimSun"/>
              </w:rPr>
              <w:t>Бусульфан</w:t>
            </w:r>
          </w:p>
        </w:tc>
        <w:tc>
          <w:tcPr>
            <w:tcW w:w="1399" w:type="dxa"/>
            <w:vAlign w:val="center"/>
          </w:tcPr>
          <w:p w14:paraId="5EBBF76E" w14:textId="77777777" w:rsidR="00BE7F89" w:rsidRPr="00AC3044" w:rsidRDefault="00BE7F89" w:rsidP="005A428D">
            <w:pPr>
              <w:rPr>
                <w:rFonts w:eastAsia="SimSun"/>
              </w:rPr>
            </w:pPr>
            <w:r w:rsidRPr="00AC3044">
              <w:rPr>
                <w:rFonts w:eastAsia="SimSun"/>
              </w:rPr>
              <w:t xml:space="preserve">4 мг/кг </w:t>
            </w:r>
          </w:p>
        </w:tc>
        <w:tc>
          <w:tcPr>
            <w:tcW w:w="1272" w:type="dxa"/>
            <w:vAlign w:val="center"/>
          </w:tcPr>
          <w:p w14:paraId="6C101FB5" w14:textId="77777777" w:rsidR="00BE7F89" w:rsidRPr="00AC3044" w:rsidRDefault="00BE7F89" w:rsidP="005A428D">
            <w:pPr>
              <w:rPr>
                <w:rFonts w:eastAsia="SimSun"/>
              </w:rPr>
            </w:pPr>
            <w:r w:rsidRPr="00AC3044">
              <w:rPr>
                <w:rFonts w:eastAsia="SimSun"/>
              </w:rPr>
              <w:t xml:space="preserve">14 мг/кг </w:t>
            </w:r>
          </w:p>
        </w:tc>
        <w:tc>
          <w:tcPr>
            <w:tcW w:w="1760" w:type="dxa"/>
            <w:vAlign w:val="center"/>
          </w:tcPr>
          <w:p w14:paraId="419D6069" w14:textId="77777777" w:rsidR="00BE7F89" w:rsidRPr="00AC3044" w:rsidRDefault="00BE7F89" w:rsidP="005A428D">
            <w:pPr>
              <w:rPr>
                <w:rFonts w:eastAsia="SimSun"/>
              </w:rPr>
            </w:pPr>
            <w:r w:rsidRPr="00AC3044">
              <w:rPr>
                <w:rFonts w:eastAsia="SimSun"/>
              </w:rPr>
              <w:t>С -6 дня по -3 день</w:t>
            </w:r>
          </w:p>
        </w:tc>
        <w:tc>
          <w:tcPr>
            <w:tcW w:w="2234" w:type="dxa"/>
            <w:vAlign w:val="center"/>
          </w:tcPr>
          <w:p w14:paraId="4D886726"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08782C25" w14:textId="77777777" w:rsidTr="005A428D">
        <w:trPr>
          <w:cantSplit/>
          <w:trHeight w:val="1274"/>
        </w:trPr>
        <w:tc>
          <w:tcPr>
            <w:tcW w:w="1176" w:type="dxa"/>
            <w:textDirection w:val="btLr"/>
            <w:vAlign w:val="center"/>
          </w:tcPr>
          <w:p w14:paraId="1DA25562" w14:textId="77777777" w:rsidR="00BE7F89" w:rsidRPr="00AC3044" w:rsidRDefault="00BE7F89" w:rsidP="005A428D">
            <w:pPr>
              <w:rPr>
                <w:rFonts w:eastAsia="SimSun"/>
              </w:rPr>
            </w:pPr>
            <w:r w:rsidRPr="00AC3044">
              <w:rPr>
                <w:rFonts w:eastAsia="SimSun"/>
              </w:rPr>
              <w:t>Профилактика РТПХ</w:t>
            </w:r>
          </w:p>
        </w:tc>
        <w:tc>
          <w:tcPr>
            <w:tcW w:w="1731" w:type="dxa"/>
            <w:vAlign w:val="center"/>
          </w:tcPr>
          <w:p w14:paraId="77B2615F" w14:textId="77777777" w:rsidR="00BE7F89" w:rsidRPr="00AC3044" w:rsidRDefault="00BE7F89" w:rsidP="005A428D">
            <w:pPr>
              <w:rPr>
                <w:rFonts w:eastAsia="SimSun"/>
              </w:rPr>
            </w:pPr>
            <w:r w:rsidRPr="00AC3044">
              <w:rPr>
                <w:rFonts w:eastAsia="SimSun"/>
              </w:rPr>
              <w:t>Циклофосфамид</w:t>
            </w:r>
          </w:p>
        </w:tc>
        <w:tc>
          <w:tcPr>
            <w:tcW w:w="1399" w:type="dxa"/>
            <w:vAlign w:val="center"/>
          </w:tcPr>
          <w:p w14:paraId="114E7260" w14:textId="77777777" w:rsidR="00BE7F89" w:rsidRPr="00AC3044" w:rsidRDefault="00BE7F89" w:rsidP="005A428D">
            <w:pPr>
              <w:rPr>
                <w:rFonts w:eastAsia="SimSun"/>
              </w:rPr>
            </w:pPr>
            <w:r w:rsidRPr="00AC3044">
              <w:rPr>
                <w:rFonts w:eastAsia="SimSun"/>
              </w:rPr>
              <w:t>50 мг/кг</w:t>
            </w:r>
          </w:p>
        </w:tc>
        <w:tc>
          <w:tcPr>
            <w:tcW w:w="1272" w:type="dxa"/>
            <w:vAlign w:val="center"/>
          </w:tcPr>
          <w:p w14:paraId="09867FE8" w14:textId="77777777" w:rsidR="00BE7F89" w:rsidRPr="00AC3044" w:rsidRDefault="00BE7F89" w:rsidP="005A428D">
            <w:pPr>
              <w:rPr>
                <w:rFonts w:eastAsia="SimSun"/>
              </w:rPr>
            </w:pPr>
            <w:r w:rsidRPr="00AC3044">
              <w:rPr>
                <w:rFonts w:eastAsia="SimSun"/>
              </w:rPr>
              <w:t>100 мг/кг</w:t>
            </w:r>
          </w:p>
        </w:tc>
        <w:tc>
          <w:tcPr>
            <w:tcW w:w="1760" w:type="dxa"/>
            <w:vAlign w:val="center"/>
          </w:tcPr>
          <w:p w14:paraId="07E58F26" w14:textId="77777777" w:rsidR="00BE7F89" w:rsidRPr="00AC3044" w:rsidRDefault="00BE7F89" w:rsidP="005A428D">
            <w:pPr>
              <w:rPr>
                <w:rFonts w:eastAsia="SimSun"/>
              </w:rPr>
            </w:pPr>
            <w:r w:rsidRPr="00AC3044">
              <w:rPr>
                <w:rFonts w:eastAsia="SimSun"/>
              </w:rPr>
              <w:t>С +3 дня по +4 день</w:t>
            </w:r>
          </w:p>
        </w:tc>
        <w:tc>
          <w:tcPr>
            <w:tcW w:w="2234" w:type="dxa"/>
            <w:vAlign w:val="center"/>
          </w:tcPr>
          <w:p w14:paraId="0CB14A33" w14:textId="77777777" w:rsidR="00BE7F89" w:rsidRPr="00AC3044" w:rsidRDefault="00BE7F89" w:rsidP="005A428D">
            <w:pPr>
              <w:rPr>
                <w:rFonts w:eastAsia="SimSun"/>
              </w:rPr>
            </w:pPr>
            <w:r w:rsidRPr="00AC3044">
              <w:rPr>
                <w:rFonts w:eastAsia="SimSun"/>
              </w:rPr>
              <w:t>В/в, в течение 2 ч</w:t>
            </w:r>
          </w:p>
        </w:tc>
      </w:tr>
    </w:tbl>
    <w:p w14:paraId="054241F7" w14:textId="77777777" w:rsidR="00BE7F89" w:rsidRDefault="00BE7F89" w:rsidP="00BE7F89">
      <w:pPr>
        <w:rPr>
          <w:rFonts w:eastAsia="SimSun"/>
        </w:rPr>
      </w:pPr>
    </w:p>
    <w:p w14:paraId="59E94EE3"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4.2.1.8  – Flu180+Bu14 / PT-Cy+Tx+MMF30</w:t>
      </w:r>
      <w:bookmarkEnd w:id="18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5"/>
        <w:gridCol w:w="1702"/>
        <w:gridCol w:w="2268"/>
      </w:tblGrid>
      <w:tr w:rsidR="00BE7F89" w:rsidRPr="00AC3044" w14:paraId="0483CB6B" w14:textId="77777777" w:rsidTr="005A428D">
        <w:trPr>
          <w:cantSplit/>
          <w:trHeight w:val="20"/>
          <w:tblHeader/>
        </w:trPr>
        <w:tc>
          <w:tcPr>
            <w:tcW w:w="1242" w:type="dxa"/>
            <w:vAlign w:val="center"/>
          </w:tcPr>
          <w:p w14:paraId="6684301B" w14:textId="77777777" w:rsidR="00BE7F89" w:rsidRPr="00AC3044" w:rsidRDefault="00BE7F89" w:rsidP="005A428D">
            <w:pPr>
              <w:rPr>
                <w:rFonts w:eastAsia="SimSun"/>
              </w:rPr>
            </w:pPr>
          </w:p>
        </w:tc>
        <w:tc>
          <w:tcPr>
            <w:tcW w:w="1701" w:type="dxa"/>
            <w:vAlign w:val="center"/>
          </w:tcPr>
          <w:p w14:paraId="78366D3F"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5B0A0A3D" w14:textId="77777777" w:rsidR="00BE7F89" w:rsidRPr="00AC3044" w:rsidRDefault="00BE7F89" w:rsidP="005A428D">
            <w:pPr>
              <w:rPr>
                <w:rFonts w:eastAsia="SimSun"/>
              </w:rPr>
            </w:pPr>
            <w:r w:rsidRPr="00AC3044">
              <w:rPr>
                <w:rFonts w:eastAsia="SimSun"/>
              </w:rPr>
              <w:t>Суточная доза</w:t>
            </w:r>
          </w:p>
        </w:tc>
        <w:tc>
          <w:tcPr>
            <w:tcW w:w="1275" w:type="dxa"/>
            <w:vAlign w:val="center"/>
          </w:tcPr>
          <w:p w14:paraId="2B37A5D8" w14:textId="77777777" w:rsidR="00BE7F89" w:rsidRPr="00AC3044" w:rsidRDefault="00BE7F89" w:rsidP="005A428D">
            <w:pPr>
              <w:rPr>
                <w:rFonts w:eastAsia="SimSun"/>
              </w:rPr>
            </w:pPr>
            <w:r w:rsidRPr="00AC3044">
              <w:rPr>
                <w:rFonts w:eastAsia="SimSun"/>
              </w:rPr>
              <w:t>Курсовая доза</w:t>
            </w:r>
          </w:p>
        </w:tc>
        <w:tc>
          <w:tcPr>
            <w:tcW w:w="1702" w:type="dxa"/>
            <w:vAlign w:val="center"/>
          </w:tcPr>
          <w:p w14:paraId="10E22796"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4F157058"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4FBE92F" w14:textId="77777777" w:rsidTr="005A428D">
        <w:trPr>
          <w:cantSplit/>
          <w:trHeight w:val="20"/>
        </w:trPr>
        <w:tc>
          <w:tcPr>
            <w:tcW w:w="1242" w:type="dxa"/>
            <w:vMerge w:val="restart"/>
            <w:textDirection w:val="btLr"/>
            <w:vAlign w:val="center"/>
          </w:tcPr>
          <w:p w14:paraId="4F1F8D7B"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088377B6"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3694344B" w14:textId="77777777" w:rsidR="00BE7F89" w:rsidRPr="00AC3044" w:rsidRDefault="00BE7F89" w:rsidP="005A428D">
            <w:pPr>
              <w:rPr>
                <w:rFonts w:eastAsia="SimSun"/>
              </w:rPr>
            </w:pPr>
            <w:r w:rsidRPr="00AC3044">
              <w:rPr>
                <w:rFonts w:eastAsia="SimSun"/>
              </w:rPr>
              <w:t>30 мг/м</w:t>
            </w:r>
            <w:r w:rsidRPr="00DB259E">
              <w:rPr>
                <w:rFonts w:eastAsia="SimSun"/>
                <w:vertAlign w:val="superscript"/>
              </w:rPr>
              <w:t>2</w:t>
            </w:r>
          </w:p>
        </w:tc>
        <w:tc>
          <w:tcPr>
            <w:tcW w:w="1275" w:type="dxa"/>
            <w:vAlign w:val="center"/>
          </w:tcPr>
          <w:p w14:paraId="6EA6FD68" w14:textId="77777777" w:rsidR="00BE7F89" w:rsidRPr="00AC3044" w:rsidRDefault="00BE7F89" w:rsidP="005A428D">
            <w:pPr>
              <w:rPr>
                <w:rFonts w:eastAsia="SimSun"/>
              </w:rPr>
            </w:pPr>
            <w:r w:rsidRPr="00AC3044">
              <w:rPr>
                <w:rFonts w:eastAsia="SimSun"/>
              </w:rPr>
              <w:t>180 мг/м</w:t>
            </w:r>
            <w:r w:rsidRPr="00DB259E">
              <w:rPr>
                <w:rFonts w:eastAsia="SimSun"/>
                <w:vertAlign w:val="superscript"/>
              </w:rPr>
              <w:t>2</w:t>
            </w:r>
          </w:p>
        </w:tc>
        <w:tc>
          <w:tcPr>
            <w:tcW w:w="1702" w:type="dxa"/>
            <w:vAlign w:val="center"/>
          </w:tcPr>
          <w:p w14:paraId="175468A8"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1C3FC1D6"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6967260C" w14:textId="77777777" w:rsidTr="005A428D">
        <w:trPr>
          <w:cantSplit/>
          <w:trHeight w:val="985"/>
        </w:trPr>
        <w:tc>
          <w:tcPr>
            <w:tcW w:w="1242" w:type="dxa"/>
            <w:vMerge/>
            <w:vAlign w:val="center"/>
          </w:tcPr>
          <w:p w14:paraId="5F2DA3FD" w14:textId="77777777" w:rsidR="00BE7F89" w:rsidRPr="00AC3044" w:rsidRDefault="00BE7F89" w:rsidP="005A428D">
            <w:pPr>
              <w:rPr>
                <w:rFonts w:eastAsia="SimSun"/>
              </w:rPr>
            </w:pPr>
          </w:p>
        </w:tc>
        <w:tc>
          <w:tcPr>
            <w:tcW w:w="1701" w:type="dxa"/>
            <w:vAlign w:val="center"/>
          </w:tcPr>
          <w:p w14:paraId="74F8FAAC"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0EB5898E" w14:textId="77777777" w:rsidR="00BE7F89" w:rsidRPr="00AC3044" w:rsidRDefault="00BE7F89" w:rsidP="005A428D">
            <w:pPr>
              <w:rPr>
                <w:rFonts w:eastAsia="SimSun"/>
              </w:rPr>
            </w:pPr>
            <w:r w:rsidRPr="00AC3044">
              <w:rPr>
                <w:rFonts w:eastAsia="SimSun"/>
              </w:rPr>
              <w:t xml:space="preserve">4 мг/кг </w:t>
            </w:r>
          </w:p>
        </w:tc>
        <w:tc>
          <w:tcPr>
            <w:tcW w:w="1275" w:type="dxa"/>
            <w:vAlign w:val="center"/>
          </w:tcPr>
          <w:p w14:paraId="656AC3CE" w14:textId="77777777" w:rsidR="00BE7F89" w:rsidRPr="00AC3044" w:rsidRDefault="00BE7F89" w:rsidP="005A428D">
            <w:pPr>
              <w:rPr>
                <w:rFonts w:eastAsia="SimSun"/>
              </w:rPr>
            </w:pPr>
            <w:r w:rsidRPr="00AC3044">
              <w:rPr>
                <w:rFonts w:eastAsia="SimSun"/>
              </w:rPr>
              <w:t xml:space="preserve">14мг/кг </w:t>
            </w:r>
          </w:p>
        </w:tc>
        <w:tc>
          <w:tcPr>
            <w:tcW w:w="1702" w:type="dxa"/>
            <w:vAlign w:val="center"/>
          </w:tcPr>
          <w:p w14:paraId="4BE6B105" w14:textId="77777777" w:rsidR="00BE7F89" w:rsidRPr="00AC3044" w:rsidRDefault="00BE7F89" w:rsidP="005A428D">
            <w:pPr>
              <w:rPr>
                <w:rFonts w:eastAsia="SimSun"/>
              </w:rPr>
            </w:pPr>
            <w:r w:rsidRPr="00AC3044">
              <w:rPr>
                <w:rFonts w:eastAsia="SimSun"/>
              </w:rPr>
              <w:t>С -6 дня по -3 день</w:t>
            </w:r>
          </w:p>
        </w:tc>
        <w:tc>
          <w:tcPr>
            <w:tcW w:w="2268" w:type="dxa"/>
            <w:vAlign w:val="center"/>
          </w:tcPr>
          <w:p w14:paraId="6C21D7F8"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616C2403" w14:textId="77777777" w:rsidTr="005A428D">
        <w:trPr>
          <w:cantSplit/>
          <w:trHeight w:val="590"/>
        </w:trPr>
        <w:tc>
          <w:tcPr>
            <w:tcW w:w="1242" w:type="dxa"/>
            <w:vMerge w:val="restart"/>
            <w:textDirection w:val="btLr"/>
            <w:vAlign w:val="center"/>
          </w:tcPr>
          <w:p w14:paraId="352B9C5C"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651A54E1"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3E372550" w14:textId="77777777" w:rsidR="00BE7F89" w:rsidRPr="00AC3044" w:rsidRDefault="00BE7F89" w:rsidP="005A428D">
            <w:pPr>
              <w:rPr>
                <w:rFonts w:eastAsia="SimSun"/>
              </w:rPr>
            </w:pPr>
            <w:r w:rsidRPr="00AC3044">
              <w:rPr>
                <w:rFonts w:eastAsia="SimSun"/>
              </w:rPr>
              <w:t>50 мг/кг</w:t>
            </w:r>
          </w:p>
        </w:tc>
        <w:tc>
          <w:tcPr>
            <w:tcW w:w="1275" w:type="dxa"/>
            <w:vAlign w:val="center"/>
          </w:tcPr>
          <w:p w14:paraId="649F4547" w14:textId="77777777" w:rsidR="00BE7F89" w:rsidRPr="00AC3044" w:rsidRDefault="00BE7F89" w:rsidP="005A428D">
            <w:pPr>
              <w:rPr>
                <w:rFonts w:eastAsia="SimSun"/>
              </w:rPr>
            </w:pPr>
            <w:r w:rsidRPr="00AC3044">
              <w:rPr>
                <w:rFonts w:eastAsia="SimSun"/>
              </w:rPr>
              <w:t>100 мг/кг</w:t>
            </w:r>
          </w:p>
        </w:tc>
        <w:tc>
          <w:tcPr>
            <w:tcW w:w="1702" w:type="dxa"/>
            <w:vAlign w:val="center"/>
          </w:tcPr>
          <w:p w14:paraId="4D319F1E"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03B21213" w14:textId="77777777" w:rsidR="00BE7F89" w:rsidRPr="00AC3044" w:rsidRDefault="00BE7F89" w:rsidP="005A428D">
            <w:pPr>
              <w:rPr>
                <w:rFonts w:eastAsia="SimSun"/>
              </w:rPr>
            </w:pPr>
            <w:r w:rsidRPr="00AC3044">
              <w:rPr>
                <w:rFonts w:eastAsia="SimSun"/>
              </w:rPr>
              <w:t>В/в, в течение 2 ч</w:t>
            </w:r>
          </w:p>
        </w:tc>
      </w:tr>
      <w:tr w:rsidR="00BE7F89" w:rsidRPr="00AC3044" w14:paraId="495AE25E" w14:textId="77777777" w:rsidTr="005A428D">
        <w:trPr>
          <w:cantSplit/>
          <w:trHeight w:val="958"/>
        </w:trPr>
        <w:tc>
          <w:tcPr>
            <w:tcW w:w="1242" w:type="dxa"/>
            <w:vMerge/>
            <w:textDirection w:val="btLr"/>
            <w:vAlign w:val="center"/>
          </w:tcPr>
          <w:p w14:paraId="0CAE8160" w14:textId="77777777" w:rsidR="00BE7F89" w:rsidRPr="00AC3044" w:rsidRDefault="00BE7F89" w:rsidP="005A428D">
            <w:pPr>
              <w:rPr>
                <w:rFonts w:eastAsia="SimSun"/>
              </w:rPr>
            </w:pPr>
          </w:p>
        </w:tc>
        <w:tc>
          <w:tcPr>
            <w:tcW w:w="1701" w:type="dxa"/>
            <w:vAlign w:val="center"/>
          </w:tcPr>
          <w:p w14:paraId="1DA60423" w14:textId="77777777" w:rsidR="00BE7F89" w:rsidRPr="00AC3044" w:rsidRDefault="00BE7F89" w:rsidP="005A428D">
            <w:pPr>
              <w:rPr>
                <w:rFonts w:eastAsia="SimSun"/>
              </w:rPr>
            </w:pPr>
            <w:r w:rsidRPr="00AC3044">
              <w:rPr>
                <w:rFonts w:eastAsia="SimSun"/>
              </w:rPr>
              <w:t xml:space="preserve">Такролимус </w:t>
            </w:r>
          </w:p>
        </w:tc>
        <w:tc>
          <w:tcPr>
            <w:tcW w:w="1418" w:type="dxa"/>
            <w:vAlign w:val="center"/>
          </w:tcPr>
          <w:p w14:paraId="04F97867" w14:textId="77777777" w:rsidR="00BE7F89" w:rsidRPr="00AC3044" w:rsidRDefault="00BE7F89" w:rsidP="005A428D">
            <w:pPr>
              <w:rPr>
                <w:rFonts w:eastAsia="SimSun"/>
              </w:rPr>
            </w:pPr>
            <w:r w:rsidRPr="00AC3044">
              <w:rPr>
                <w:rFonts w:eastAsia="SimSun"/>
              </w:rPr>
              <w:t>0,03 мг/кг</w:t>
            </w:r>
          </w:p>
        </w:tc>
        <w:tc>
          <w:tcPr>
            <w:tcW w:w="1275" w:type="dxa"/>
            <w:vAlign w:val="center"/>
          </w:tcPr>
          <w:p w14:paraId="718CB80B" w14:textId="77777777" w:rsidR="00BE7F89" w:rsidRPr="00AC3044" w:rsidRDefault="00BE7F89" w:rsidP="005A428D">
            <w:pPr>
              <w:rPr>
                <w:rFonts w:eastAsia="SimSun"/>
              </w:rPr>
            </w:pPr>
            <w:r w:rsidRPr="00AC3044">
              <w:rPr>
                <w:rFonts w:eastAsia="SimSun"/>
              </w:rPr>
              <w:t>–</w:t>
            </w:r>
          </w:p>
        </w:tc>
        <w:tc>
          <w:tcPr>
            <w:tcW w:w="1702" w:type="dxa"/>
            <w:vAlign w:val="center"/>
          </w:tcPr>
          <w:p w14:paraId="3E7D79C7" w14:textId="77777777" w:rsidR="00BE7F89" w:rsidRPr="00AC3044" w:rsidRDefault="00BE7F89" w:rsidP="005A428D">
            <w:pPr>
              <w:rPr>
                <w:rFonts w:eastAsia="SimSun"/>
              </w:rPr>
            </w:pPr>
            <w:r w:rsidRPr="00AC3044">
              <w:rPr>
                <w:rFonts w:eastAsia="SimSun"/>
              </w:rPr>
              <w:t xml:space="preserve">С +5 дня длительно </w:t>
            </w:r>
          </w:p>
        </w:tc>
        <w:tc>
          <w:tcPr>
            <w:tcW w:w="2268" w:type="dxa"/>
            <w:vAlign w:val="center"/>
          </w:tcPr>
          <w:p w14:paraId="6EB5A3D4"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54459BD6" w14:textId="77777777" w:rsidTr="005A428D">
        <w:trPr>
          <w:cantSplit/>
          <w:trHeight w:val="508"/>
        </w:trPr>
        <w:tc>
          <w:tcPr>
            <w:tcW w:w="1242" w:type="dxa"/>
            <w:vMerge/>
            <w:textDirection w:val="btLr"/>
            <w:vAlign w:val="center"/>
          </w:tcPr>
          <w:p w14:paraId="3EAB0EC9" w14:textId="77777777" w:rsidR="00BE7F89" w:rsidRPr="00AC3044" w:rsidRDefault="00BE7F89" w:rsidP="005A428D">
            <w:pPr>
              <w:rPr>
                <w:rFonts w:eastAsia="SimSun"/>
              </w:rPr>
            </w:pPr>
          </w:p>
        </w:tc>
        <w:tc>
          <w:tcPr>
            <w:tcW w:w="1701" w:type="dxa"/>
            <w:vAlign w:val="center"/>
          </w:tcPr>
          <w:p w14:paraId="4362F84E"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46DCA685" w14:textId="77777777" w:rsidR="00BE7F89" w:rsidRPr="00AC3044" w:rsidRDefault="00BE7F89" w:rsidP="005A428D">
            <w:pPr>
              <w:rPr>
                <w:rFonts w:eastAsia="SimSun"/>
              </w:rPr>
            </w:pPr>
            <w:r w:rsidRPr="00AC3044">
              <w:rPr>
                <w:rFonts w:eastAsia="SimSun"/>
              </w:rPr>
              <w:t xml:space="preserve">30 мг/кг </w:t>
            </w:r>
          </w:p>
        </w:tc>
        <w:tc>
          <w:tcPr>
            <w:tcW w:w="1275" w:type="dxa"/>
            <w:vAlign w:val="center"/>
          </w:tcPr>
          <w:p w14:paraId="19ED2285" w14:textId="77777777" w:rsidR="00BE7F89" w:rsidRPr="00AC3044" w:rsidRDefault="00BE7F89" w:rsidP="005A428D">
            <w:pPr>
              <w:rPr>
                <w:rFonts w:eastAsia="SimSun"/>
              </w:rPr>
            </w:pPr>
            <w:r w:rsidRPr="00AC3044">
              <w:rPr>
                <w:rFonts w:eastAsia="SimSun"/>
              </w:rPr>
              <w:t>–</w:t>
            </w:r>
          </w:p>
        </w:tc>
        <w:tc>
          <w:tcPr>
            <w:tcW w:w="1702" w:type="dxa"/>
            <w:vAlign w:val="center"/>
          </w:tcPr>
          <w:p w14:paraId="395218DD" w14:textId="77777777" w:rsidR="00BE7F89" w:rsidRPr="00AC3044" w:rsidRDefault="00BE7F89" w:rsidP="005A428D">
            <w:pPr>
              <w:rPr>
                <w:rFonts w:eastAsia="SimSun"/>
              </w:rPr>
            </w:pPr>
            <w:r w:rsidRPr="00AC3044">
              <w:rPr>
                <w:rFonts w:eastAsia="SimSun"/>
              </w:rPr>
              <w:t xml:space="preserve">С +5 дня по +35 день </w:t>
            </w:r>
          </w:p>
        </w:tc>
        <w:tc>
          <w:tcPr>
            <w:tcW w:w="2268" w:type="dxa"/>
            <w:vAlign w:val="center"/>
          </w:tcPr>
          <w:p w14:paraId="1D90BA3E"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0D784D3E" w14:textId="77777777" w:rsidR="00BE7F89" w:rsidRPr="00C07B2E" w:rsidRDefault="00BE7F89" w:rsidP="00BE7F89">
      <w:pPr>
        <w:rPr>
          <w:rFonts w:eastAsia="SimSun"/>
        </w:rPr>
      </w:pPr>
    </w:p>
    <w:p w14:paraId="5B37F799" w14:textId="77777777" w:rsidR="00BE7F89" w:rsidRPr="00C07B2E" w:rsidRDefault="00BE7F89" w:rsidP="00BE7F89">
      <w:pPr>
        <w:rPr>
          <w:rFonts w:eastAsia="SimSun"/>
        </w:rPr>
      </w:pPr>
      <w:bookmarkStart w:id="184" w:name="_Toc44401195"/>
      <w:r w:rsidRPr="00042499">
        <w:rPr>
          <w:rFonts w:eastAsia="SimSun"/>
        </w:rPr>
        <w:t>Таблица</w:t>
      </w:r>
      <w:r w:rsidRPr="00C07B2E">
        <w:rPr>
          <w:rFonts w:eastAsia="SimSun"/>
        </w:rPr>
        <w:t xml:space="preserve"> </w:t>
      </w:r>
      <w:r>
        <w:rPr>
          <w:rFonts w:eastAsia="SimSun"/>
        </w:rPr>
        <w:t>5.</w:t>
      </w:r>
      <w:r w:rsidRPr="00C07B2E">
        <w:rPr>
          <w:rFonts w:eastAsia="SimSun"/>
        </w:rPr>
        <w:t>2.1.9  – Flu180+Bu14 / PT-Cy+CSA+MMF30</w:t>
      </w:r>
      <w:bookmarkEnd w:id="18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35"/>
        <w:gridCol w:w="1418"/>
        <w:gridCol w:w="1276"/>
        <w:gridCol w:w="1701"/>
        <w:gridCol w:w="2268"/>
      </w:tblGrid>
      <w:tr w:rsidR="00BE7F89" w:rsidRPr="00AC3044" w14:paraId="0B91656B" w14:textId="77777777" w:rsidTr="005A428D">
        <w:trPr>
          <w:cantSplit/>
          <w:trHeight w:val="20"/>
          <w:tblHeader/>
        </w:trPr>
        <w:tc>
          <w:tcPr>
            <w:tcW w:w="1242" w:type="dxa"/>
            <w:vAlign w:val="center"/>
          </w:tcPr>
          <w:p w14:paraId="0D228BA4" w14:textId="77777777" w:rsidR="00BE7F89" w:rsidRPr="00470D3D" w:rsidRDefault="00BE7F89" w:rsidP="005A428D">
            <w:pPr>
              <w:rPr>
                <w:rFonts w:eastAsia="SimSun"/>
              </w:rPr>
            </w:pPr>
          </w:p>
        </w:tc>
        <w:tc>
          <w:tcPr>
            <w:tcW w:w="1735" w:type="dxa"/>
            <w:vAlign w:val="center"/>
          </w:tcPr>
          <w:p w14:paraId="0153CB01"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069F903A" w14:textId="77777777" w:rsidR="00BE7F89" w:rsidRPr="00AC3044" w:rsidRDefault="00BE7F89" w:rsidP="005A428D">
            <w:pPr>
              <w:rPr>
                <w:rFonts w:eastAsia="SimSun"/>
              </w:rPr>
            </w:pPr>
            <w:r w:rsidRPr="00AC3044">
              <w:rPr>
                <w:rFonts w:eastAsia="SimSun"/>
              </w:rPr>
              <w:t>Суточная доза</w:t>
            </w:r>
          </w:p>
        </w:tc>
        <w:tc>
          <w:tcPr>
            <w:tcW w:w="1276" w:type="dxa"/>
            <w:vAlign w:val="center"/>
          </w:tcPr>
          <w:p w14:paraId="326CB0A7"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0EC1C2C2"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3A5936A0"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25D65B61" w14:textId="77777777" w:rsidTr="005A428D">
        <w:trPr>
          <w:cantSplit/>
          <w:trHeight w:val="20"/>
        </w:trPr>
        <w:tc>
          <w:tcPr>
            <w:tcW w:w="1242" w:type="dxa"/>
            <w:vMerge w:val="restart"/>
            <w:textDirection w:val="btLr"/>
            <w:vAlign w:val="center"/>
          </w:tcPr>
          <w:p w14:paraId="63EC6806" w14:textId="77777777" w:rsidR="00BE7F89" w:rsidRPr="00AC3044" w:rsidRDefault="00BE7F89" w:rsidP="005A428D">
            <w:pPr>
              <w:rPr>
                <w:rFonts w:eastAsia="SimSun"/>
              </w:rPr>
            </w:pPr>
            <w:r w:rsidRPr="00AC3044">
              <w:rPr>
                <w:rFonts w:eastAsia="SimSun"/>
              </w:rPr>
              <w:t>Кондиционирование</w:t>
            </w:r>
          </w:p>
        </w:tc>
        <w:tc>
          <w:tcPr>
            <w:tcW w:w="1735" w:type="dxa"/>
            <w:vAlign w:val="center"/>
          </w:tcPr>
          <w:p w14:paraId="7F5FAA2F"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1410BE85" w14:textId="77777777" w:rsidR="00BE7F89" w:rsidRPr="00AC3044" w:rsidRDefault="00BE7F89" w:rsidP="005A428D">
            <w:pPr>
              <w:rPr>
                <w:rFonts w:eastAsia="SimSun"/>
              </w:rPr>
            </w:pPr>
            <w:r w:rsidRPr="00AC3044">
              <w:rPr>
                <w:rFonts w:eastAsia="SimSun"/>
              </w:rPr>
              <w:t>30 мг/м</w:t>
            </w:r>
            <w:r w:rsidRPr="00DB259E">
              <w:rPr>
                <w:rFonts w:eastAsia="SimSun"/>
                <w:vertAlign w:val="superscript"/>
              </w:rPr>
              <w:t>2</w:t>
            </w:r>
          </w:p>
        </w:tc>
        <w:tc>
          <w:tcPr>
            <w:tcW w:w="1276" w:type="dxa"/>
            <w:vAlign w:val="center"/>
          </w:tcPr>
          <w:p w14:paraId="6169A817" w14:textId="77777777" w:rsidR="00BE7F89" w:rsidRPr="00AC3044" w:rsidRDefault="00BE7F89" w:rsidP="005A428D">
            <w:pPr>
              <w:rPr>
                <w:rFonts w:eastAsia="SimSun"/>
              </w:rPr>
            </w:pPr>
            <w:r w:rsidRPr="00AC3044">
              <w:rPr>
                <w:rFonts w:eastAsia="SimSun"/>
              </w:rPr>
              <w:t>180 мг/м</w:t>
            </w:r>
            <w:r w:rsidRPr="00DB259E">
              <w:rPr>
                <w:rFonts w:eastAsia="SimSun"/>
                <w:vertAlign w:val="superscript"/>
              </w:rPr>
              <w:t>2</w:t>
            </w:r>
          </w:p>
        </w:tc>
        <w:tc>
          <w:tcPr>
            <w:tcW w:w="1701" w:type="dxa"/>
            <w:vAlign w:val="center"/>
          </w:tcPr>
          <w:p w14:paraId="2D6267E7"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3338D1D3"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594321F" w14:textId="77777777" w:rsidTr="005A428D">
        <w:trPr>
          <w:cantSplit/>
          <w:trHeight w:val="766"/>
        </w:trPr>
        <w:tc>
          <w:tcPr>
            <w:tcW w:w="1242" w:type="dxa"/>
            <w:vMerge/>
            <w:vAlign w:val="center"/>
          </w:tcPr>
          <w:p w14:paraId="2B7C55E8" w14:textId="77777777" w:rsidR="00BE7F89" w:rsidRPr="00AC3044" w:rsidRDefault="00BE7F89" w:rsidP="005A428D">
            <w:pPr>
              <w:rPr>
                <w:rFonts w:eastAsia="SimSun"/>
              </w:rPr>
            </w:pPr>
          </w:p>
        </w:tc>
        <w:tc>
          <w:tcPr>
            <w:tcW w:w="1735" w:type="dxa"/>
            <w:vAlign w:val="center"/>
          </w:tcPr>
          <w:p w14:paraId="5BF86B90"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64435BB0" w14:textId="77777777" w:rsidR="00BE7F89" w:rsidRPr="00AC3044" w:rsidRDefault="00BE7F89" w:rsidP="005A428D">
            <w:pPr>
              <w:rPr>
                <w:rFonts w:eastAsia="SimSun"/>
              </w:rPr>
            </w:pPr>
            <w:r w:rsidRPr="00AC3044">
              <w:rPr>
                <w:rFonts w:eastAsia="SimSun"/>
              </w:rPr>
              <w:t xml:space="preserve">4 мг/кг </w:t>
            </w:r>
          </w:p>
        </w:tc>
        <w:tc>
          <w:tcPr>
            <w:tcW w:w="1276" w:type="dxa"/>
            <w:vAlign w:val="center"/>
          </w:tcPr>
          <w:p w14:paraId="072149C1" w14:textId="77777777" w:rsidR="00BE7F89" w:rsidRPr="00AC3044" w:rsidRDefault="00BE7F89" w:rsidP="005A428D">
            <w:pPr>
              <w:rPr>
                <w:rFonts w:eastAsia="SimSun"/>
              </w:rPr>
            </w:pPr>
            <w:r w:rsidRPr="00AC3044">
              <w:rPr>
                <w:rFonts w:eastAsia="SimSun"/>
              </w:rPr>
              <w:t xml:space="preserve">14 мг/кг </w:t>
            </w:r>
          </w:p>
        </w:tc>
        <w:tc>
          <w:tcPr>
            <w:tcW w:w="1701" w:type="dxa"/>
            <w:vAlign w:val="center"/>
          </w:tcPr>
          <w:p w14:paraId="23172A49" w14:textId="77777777" w:rsidR="00BE7F89" w:rsidRPr="00AC3044" w:rsidRDefault="00BE7F89" w:rsidP="005A428D">
            <w:pPr>
              <w:rPr>
                <w:rFonts w:eastAsia="SimSun"/>
              </w:rPr>
            </w:pPr>
            <w:r w:rsidRPr="00AC3044">
              <w:rPr>
                <w:rFonts w:eastAsia="SimSun"/>
              </w:rPr>
              <w:t>С -6 дня по -3 день</w:t>
            </w:r>
          </w:p>
        </w:tc>
        <w:tc>
          <w:tcPr>
            <w:tcW w:w="2268" w:type="dxa"/>
            <w:vAlign w:val="center"/>
          </w:tcPr>
          <w:p w14:paraId="4ABDFCB3"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56228E89" w14:textId="77777777" w:rsidTr="005A428D">
        <w:trPr>
          <w:cantSplit/>
          <w:trHeight w:val="796"/>
        </w:trPr>
        <w:tc>
          <w:tcPr>
            <w:tcW w:w="1242" w:type="dxa"/>
            <w:vMerge w:val="restart"/>
            <w:textDirection w:val="btLr"/>
            <w:vAlign w:val="center"/>
          </w:tcPr>
          <w:p w14:paraId="5153B9F5" w14:textId="77777777" w:rsidR="00BE7F89" w:rsidRPr="00AC3044" w:rsidRDefault="00BE7F89" w:rsidP="005A428D">
            <w:pPr>
              <w:rPr>
                <w:rFonts w:eastAsia="SimSun"/>
              </w:rPr>
            </w:pPr>
            <w:r w:rsidRPr="00AC3044">
              <w:rPr>
                <w:rFonts w:eastAsia="SimSun"/>
              </w:rPr>
              <w:t>Профилактика РТПХ</w:t>
            </w:r>
          </w:p>
        </w:tc>
        <w:tc>
          <w:tcPr>
            <w:tcW w:w="1735" w:type="dxa"/>
            <w:vAlign w:val="center"/>
          </w:tcPr>
          <w:p w14:paraId="1411DF06"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0CA595B1" w14:textId="77777777" w:rsidR="00BE7F89" w:rsidRPr="00AC3044" w:rsidRDefault="00BE7F89" w:rsidP="005A428D">
            <w:pPr>
              <w:rPr>
                <w:rFonts w:eastAsia="SimSun"/>
              </w:rPr>
            </w:pPr>
            <w:r w:rsidRPr="00AC3044">
              <w:rPr>
                <w:rFonts w:eastAsia="SimSun"/>
              </w:rPr>
              <w:t>50 мг/кг</w:t>
            </w:r>
          </w:p>
        </w:tc>
        <w:tc>
          <w:tcPr>
            <w:tcW w:w="1276" w:type="dxa"/>
            <w:vAlign w:val="center"/>
          </w:tcPr>
          <w:p w14:paraId="476C56BB"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22481CF3" w14:textId="77777777" w:rsidR="00BE7F89" w:rsidRPr="00AC3044" w:rsidRDefault="00BE7F89" w:rsidP="005A428D">
            <w:pPr>
              <w:rPr>
                <w:rFonts w:eastAsia="SimSun"/>
              </w:rPr>
            </w:pPr>
            <w:r w:rsidRPr="00AC3044">
              <w:rPr>
                <w:rFonts w:eastAsia="SimSun"/>
              </w:rPr>
              <w:t>В +3 день  и +5 день</w:t>
            </w:r>
          </w:p>
        </w:tc>
        <w:tc>
          <w:tcPr>
            <w:tcW w:w="2268" w:type="dxa"/>
            <w:vAlign w:val="center"/>
          </w:tcPr>
          <w:p w14:paraId="438B6806" w14:textId="77777777" w:rsidR="00BE7F89" w:rsidRPr="00AC3044" w:rsidRDefault="00BE7F89" w:rsidP="005A428D">
            <w:pPr>
              <w:rPr>
                <w:rFonts w:eastAsia="SimSun"/>
              </w:rPr>
            </w:pPr>
            <w:r w:rsidRPr="00AC3044">
              <w:rPr>
                <w:rFonts w:eastAsia="SimSun"/>
              </w:rPr>
              <w:t>В/в, в течение 2 ч</w:t>
            </w:r>
          </w:p>
        </w:tc>
      </w:tr>
      <w:tr w:rsidR="00BE7F89" w:rsidRPr="00AC3044" w14:paraId="411F78E8" w14:textId="77777777" w:rsidTr="005A428D">
        <w:trPr>
          <w:cantSplit/>
          <w:trHeight w:val="410"/>
        </w:trPr>
        <w:tc>
          <w:tcPr>
            <w:tcW w:w="1242" w:type="dxa"/>
            <w:vMerge/>
            <w:textDirection w:val="btLr"/>
            <w:vAlign w:val="center"/>
          </w:tcPr>
          <w:p w14:paraId="06C30E3E" w14:textId="77777777" w:rsidR="00BE7F89" w:rsidRPr="00AC3044" w:rsidRDefault="00BE7F89" w:rsidP="005A428D">
            <w:pPr>
              <w:rPr>
                <w:rFonts w:eastAsia="SimSun"/>
              </w:rPr>
            </w:pPr>
          </w:p>
        </w:tc>
        <w:tc>
          <w:tcPr>
            <w:tcW w:w="1735" w:type="dxa"/>
            <w:vAlign w:val="center"/>
          </w:tcPr>
          <w:p w14:paraId="0406064B"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762C0D56" w14:textId="77777777" w:rsidR="00BE7F89" w:rsidRPr="00AC3044" w:rsidRDefault="00BE7F89" w:rsidP="005A428D">
            <w:pPr>
              <w:rPr>
                <w:rFonts w:eastAsia="SimSun"/>
              </w:rPr>
            </w:pPr>
            <w:r w:rsidRPr="00AC3044">
              <w:rPr>
                <w:rFonts w:eastAsia="SimSun"/>
              </w:rPr>
              <w:t xml:space="preserve">30 мг/кг </w:t>
            </w:r>
          </w:p>
        </w:tc>
        <w:tc>
          <w:tcPr>
            <w:tcW w:w="1276" w:type="dxa"/>
            <w:vAlign w:val="center"/>
          </w:tcPr>
          <w:p w14:paraId="13088EE3" w14:textId="77777777" w:rsidR="00BE7F89" w:rsidRPr="00AC3044" w:rsidRDefault="00BE7F89" w:rsidP="005A428D">
            <w:pPr>
              <w:rPr>
                <w:rFonts w:eastAsia="SimSun"/>
              </w:rPr>
            </w:pPr>
            <w:r w:rsidRPr="00AC3044">
              <w:rPr>
                <w:rFonts w:eastAsia="SimSun"/>
              </w:rPr>
              <w:t>–</w:t>
            </w:r>
          </w:p>
        </w:tc>
        <w:tc>
          <w:tcPr>
            <w:tcW w:w="1701" w:type="dxa"/>
            <w:vAlign w:val="center"/>
          </w:tcPr>
          <w:p w14:paraId="4A5E4AA5" w14:textId="77777777" w:rsidR="00BE7F89" w:rsidRPr="00AC3044" w:rsidRDefault="00BE7F89" w:rsidP="005A428D">
            <w:pPr>
              <w:rPr>
                <w:rFonts w:eastAsia="SimSun"/>
              </w:rPr>
            </w:pPr>
            <w:r w:rsidRPr="00AC3044">
              <w:rPr>
                <w:rFonts w:eastAsia="SimSun"/>
              </w:rPr>
              <w:t xml:space="preserve">С +1 дня по +28 день </w:t>
            </w:r>
          </w:p>
        </w:tc>
        <w:tc>
          <w:tcPr>
            <w:tcW w:w="2268" w:type="dxa"/>
            <w:vAlign w:val="center"/>
          </w:tcPr>
          <w:p w14:paraId="1E626DEA"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BE7F89" w:rsidRPr="00AC3044" w14:paraId="53B83DBF" w14:textId="77777777" w:rsidTr="005A428D">
        <w:trPr>
          <w:cantSplit/>
          <w:trHeight w:val="815"/>
        </w:trPr>
        <w:tc>
          <w:tcPr>
            <w:tcW w:w="1242" w:type="dxa"/>
            <w:vMerge/>
            <w:textDirection w:val="btLr"/>
            <w:vAlign w:val="center"/>
          </w:tcPr>
          <w:p w14:paraId="6F6E4062" w14:textId="77777777" w:rsidR="00BE7F89" w:rsidRPr="00AC3044" w:rsidRDefault="00BE7F89" w:rsidP="005A428D">
            <w:pPr>
              <w:rPr>
                <w:rFonts w:eastAsia="SimSun"/>
              </w:rPr>
            </w:pPr>
          </w:p>
        </w:tc>
        <w:tc>
          <w:tcPr>
            <w:tcW w:w="1735" w:type="dxa"/>
            <w:vAlign w:val="center"/>
          </w:tcPr>
          <w:p w14:paraId="73A8E337" w14:textId="77777777" w:rsidR="00BE7F89" w:rsidRPr="00AC3044" w:rsidRDefault="00BE7F89" w:rsidP="005A428D">
            <w:pPr>
              <w:rPr>
                <w:rFonts w:eastAsia="SimSun"/>
              </w:rPr>
            </w:pPr>
            <w:r w:rsidRPr="00AC3044">
              <w:rPr>
                <w:rFonts w:eastAsia="SimSun"/>
              </w:rPr>
              <w:t>Циклоспорин А</w:t>
            </w:r>
          </w:p>
        </w:tc>
        <w:tc>
          <w:tcPr>
            <w:tcW w:w="1418" w:type="dxa"/>
            <w:vAlign w:val="center"/>
          </w:tcPr>
          <w:p w14:paraId="31219950" w14:textId="77777777" w:rsidR="00BE7F89" w:rsidRPr="00AC3044" w:rsidRDefault="00BE7F89" w:rsidP="005A428D">
            <w:pPr>
              <w:rPr>
                <w:rFonts w:eastAsia="SimSun"/>
              </w:rPr>
            </w:pPr>
            <w:r w:rsidRPr="00AC3044">
              <w:rPr>
                <w:rFonts w:eastAsia="SimSun"/>
              </w:rPr>
              <w:t>3  мг/кг</w:t>
            </w:r>
          </w:p>
        </w:tc>
        <w:tc>
          <w:tcPr>
            <w:tcW w:w="1276" w:type="dxa"/>
            <w:vAlign w:val="center"/>
          </w:tcPr>
          <w:p w14:paraId="71034DED" w14:textId="77777777" w:rsidR="00BE7F89" w:rsidRPr="00AC3044" w:rsidRDefault="00BE7F89" w:rsidP="005A428D">
            <w:pPr>
              <w:rPr>
                <w:rFonts w:eastAsia="SimSun"/>
              </w:rPr>
            </w:pPr>
            <w:r w:rsidRPr="00AC3044">
              <w:rPr>
                <w:rFonts w:eastAsia="SimSun"/>
              </w:rPr>
              <w:t>-</w:t>
            </w:r>
          </w:p>
        </w:tc>
        <w:tc>
          <w:tcPr>
            <w:tcW w:w="1701" w:type="dxa"/>
            <w:vAlign w:val="center"/>
          </w:tcPr>
          <w:p w14:paraId="26D18252" w14:textId="77777777" w:rsidR="00BE7F89" w:rsidRPr="00AC3044" w:rsidRDefault="00BE7F89" w:rsidP="005A428D">
            <w:pPr>
              <w:rPr>
                <w:rFonts w:eastAsia="SimSun"/>
              </w:rPr>
            </w:pPr>
            <w:r w:rsidRPr="00AC3044">
              <w:rPr>
                <w:rFonts w:eastAsia="SimSun"/>
              </w:rPr>
              <w:t xml:space="preserve">С -1 дня по +100 день </w:t>
            </w:r>
          </w:p>
        </w:tc>
        <w:tc>
          <w:tcPr>
            <w:tcW w:w="2268" w:type="dxa"/>
            <w:vAlign w:val="center"/>
          </w:tcPr>
          <w:p w14:paraId="4E815C21"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5E25A778" w14:textId="77777777" w:rsidR="00BE7F89" w:rsidRPr="00C07B2E" w:rsidRDefault="00BE7F89" w:rsidP="00BE7F89">
      <w:pPr>
        <w:rPr>
          <w:rFonts w:eastAsia="SimSun"/>
        </w:rPr>
      </w:pPr>
    </w:p>
    <w:p w14:paraId="659693B0" w14:textId="77777777" w:rsidR="00BE7F89" w:rsidRPr="00C07B2E" w:rsidRDefault="00BE7F89" w:rsidP="00BE7F89">
      <w:pPr>
        <w:rPr>
          <w:rFonts w:eastAsia="SimSun"/>
        </w:rPr>
      </w:pPr>
      <w:bookmarkStart w:id="185" w:name="_Toc44401196"/>
      <w:r w:rsidRPr="00042499">
        <w:rPr>
          <w:rFonts w:eastAsia="SimSun"/>
        </w:rPr>
        <w:t>Таблица</w:t>
      </w:r>
      <w:r w:rsidRPr="00C07B2E">
        <w:rPr>
          <w:rFonts w:eastAsia="SimSun"/>
        </w:rPr>
        <w:t xml:space="preserve"> </w:t>
      </w:r>
      <w:r>
        <w:rPr>
          <w:rFonts w:eastAsia="SimSun"/>
        </w:rPr>
        <w:t>5.</w:t>
      </w:r>
      <w:r w:rsidRPr="00C07B2E">
        <w:rPr>
          <w:rFonts w:eastAsia="SimSun"/>
        </w:rPr>
        <w:t>2.1.10  – Flu180+Bu14 / Tx+MMF30</w:t>
      </w:r>
      <w:bookmarkEnd w:id="18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BE7F89" w:rsidRPr="00AC3044" w14:paraId="7A2A709E" w14:textId="77777777" w:rsidTr="005A428D">
        <w:trPr>
          <w:cantSplit/>
          <w:trHeight w:val="20"/>
          <w:tblHeader/>
        </w:trPr>
        <w:tc>
          <w:tcPr>
            <w:tcW w:w="1242" w:type="dxa"/>
            <w:vAlign w:val="center"/>
          </w:tcPr>
          <w:p w14:paraId="5CACB2C2" w14:textId="77777777" w:rsidR="00BE7F89" w:rsidRPr="00AC3044" w:rsidRDefault="00BE7F89" w:rsidP="005A428D">
            <w:pPr>
              <w:rPr>
                <w:rFonts w:eastAsia="SimSun"/>
              </w:rPr>
            </w:pPr>
          </w:p>
        </w:tc>
        <w:tc>
          <w:tcPr>
            <w:tcW w:w="1701" w:type="dxa"/>
            <w:vAlign w:val="center"/>
          </w:tcPr>
          <w:p w14:paraId="6852A4ED"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458DF9E1" w14:textId="77777777" w:rsidR="00BE7F89" w:rsidRPr="00AC3044" w:rsidRDefault="00BE7F89" w:rsidP="005A428D">
            <w:pPr>
              <w:rPr>
                <w:rFonts w:eastAsia="SimSun"/>
              </w:rPr>
            </w:pPr>
            <w:r w:rsidRPr="00AC3044">
              <w:rPr>
                <w:rFonts w:eastAsia="SimSun"/>
              </w:rPr>
              <w:t>Суточная доза</w:t>
            </w:r>
          </w:p>
        </w:tc>
        <w:tc>
          <w:tcPr>
            <w:tcW w:w="1276" w:type="dxa"/>
            <w:vAlign w:val="center"/>
          </w:tcPr>
          <w:p w14:paraId="72B80826"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191D8AB9"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1D5FAADC"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6435EF5F" w14:textId="77777777" w:rsidTr="005A428D">
        <w:trPr>
          <w:cantSplit/>
          <w:trHeight w:val="20"/>
        </w:trPr>
        <w:tc>
          <w:tcPr>
            <w:tcW w:w="1242" w:type="dxa"/>
            <w:vMerge w:val="restart"/>
            <w:textDirection w:val="btLr"/>
            <w:vAlign w:val="center"/>
          </w:tcPr>
          <w:p w14:paraId="492F4E2A"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36D68956"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5F5F672E" w14:textId="77777777" w:rsidR="00BE7F89" w:rsidRPr="00AC3044" w:rsidRDefault="00BE7F89" w:rsidP="005A428D">
            <w:pPr>
              <w:rPr>
                <w:rFonts w:eastAsia="SimSun"/>
              </w:rPr>
            </w:pPr>
            <w:r w:rsidRPr="00AC3044">
              <w:rPr>
                <w:rFonts w:eastAsia="SimSun"/>
              </w:rPr>
              <w:t>30 мг/м</w:t>
            </w:r>
            <w:r w:rsidRPr="00DB259E">
              <w:rPr>
                <w:rFonts w:eastAsia="SimSun"/>
                <w:vertAlign w:val="superscript"/>
              </w:rPr>
              <w:t>2</w:t>
            </w:r>
          </w:p>
        </w:tc>
        <w:tc>
          <w:tcPr>
            <w:tcW w:w="1276" w:type="dxa"/>
            <w:vAlign w:val="center"/>
          </w:tcPr>
          <w:p w14:paraId="6A063FBA" w14:textId="77777777" w:rsidR="00BE7F89" w:rsidRPr="00AC3044" w:rsidRDefault="00BE7F89" w:rsidP="005A428D">
            <w:pPr>
              <w:rPr>
                <w:rFonts w:eastAsia="SimSun"/>
              </w:rPr>
            </w:pPr>
            <w:r w:rsidRPr="00AC3044">
              <w:rPr>
                <w:rFonts w:eastAsia="SimSun"/>
              </w:rPr>
              <w:t>180 мг/м</w:t>
            </w:r>
            <w:r w:rsidRPr="00DB259E">
              <w:rPr>
                <w:rFonts w:eastAsia="SimSun"/>
                <w:vertAlign w:val="superscript"/>
              </w:rPr>
              <w:t>2</w:t>
            </w:r>
          </w:p>
        </w:tc>
        <w:tc>
          <w:tcPr>
            <w:tcW w:w="1701" w:type="dxa"/>
            <w:vAlign w:val="center"/>
          </w:tcPr>
          <w:p w14:paraId="0CC7B19E"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63F5B537"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CB216A2" w14:textId="77777777" w:rsidTr="005A428D">
        <w:trPr>
          <w:cantSplit/>
          <w:trHeight w:val="1207"/>
        </w:trPr>
        <w:tc>
          <w:tcPr>
            <w:tcW w:w="1242" w:type="dxa"/>
            <w:vMerge/>
            <w:vAlign w:val="center"/>
          </w:tcPr>
          <w:p w14:paraId="042CFB0A" w14:textId="77777777" w:rsidR="00BE7F89" w:rsidRPr="00AC3044" w:rsidRDefault="00BE7F89" w:rsidP="005A428D">
            <w:pPr>
              <w:rPr>
                <w:rFonts w:eastAsia="SimSun"/>
              </w:rPr>
            </w:pPr>
          </w:p>
        </w:tc>
        <w:tc>
          <w:tcPr>
            <w:tcW w:w="1701" w:type="dxa"/>
            <w:vAlign w:val="center"/>
          </w:tcPr>
          <w:p w14:paraId="4CA754D9"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4A6ED4BC" w14:textId="77777777" w:rsidR="00BE7F89" w:rsidRPr="00AC3044" w:rsidRDefault="00BE7F89" w:rsidP="005A428D">
            <w:pPr>
              <w:rPr>
                <w:rFonts w:eastAsia="SimSun"/>
              </w:rPr>
            </w:pPr>
            <w:r w:rsidRPr="00AC3044">
              <w:rPr>
                <w:rFonts w:eastAsia="SimSun"/>
              </w:rPr>
              <w:t xml:space="preserve">4 мг/кг </w:t>
            </w:r>
          </w:p>
        </w:tc>
        <w:tc>
          <w:tcPr>
            <w:tcW w:w="1276" w:type="dxa"/>
            <w:vAlign w:val="center"/>
          </w:tcPr>
          <w:p w14:paraId="18E40A37" w14:textId="77777777" w:rsidR="00BE7F89" w:rsidRPr="00AC3044" w:rsidRDefault="00BE7F89" w:rsidP="005A428D">
            <w:pPr>
              <w:rPr>
                <w:rFonts w:eastAsia="SimSun"/>
              </w:rPr>
            </w:pPr>
            <w:r w:rsidRPr="00AC3044">
              <w:rPr>
                <w:rFonts w:eastAsia="SimSun"/>
              </w:rPr>
              <w:t xml:space="preserve">14 мг/кг </w:t>
            </w:r>
          </w:p>
        </w:tc>
        <w:tc>
          <w:tcPr>
            <w:tcW w:w="1701" w:type="dxa"/>
            <w:vAlign w:val="center"/>
          </w:tcPr>
          <w:p w14:paraId="7F689241" w14:textId="77777777" w:rsidR="00BE7F89" w:rsidRPr="00AC3044" w:rsidRDefault="00BE7F89" w:rsidP="005A428D">
            <w:pPr>
              <w:rPr>
                <w:rFonts w:eastAsia="SimSun"/>
              </w:rPr>
            </w:pPr>
            <w:r w:rsidRPr="00AC3044">
              <w:rPr>
                <w:rFonts w:eastAsia="SimSun"/>
              </w:rPr>
              <w:t>С -6 дня по -3 день</w:t>
            </w:r>
          </w:p>
        </w:tc>
        <w:tc>
          <w:tcPr>
            <w:tcW w:w="2268" w:type="dxa"/>
            <w:vAlign w:val="center"/>
          </w:tcPr>
          <w:p w14:paraId="69BFC33E"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5FB1E4EE" w14:textId="77777777" w:rsidTr="005A428D">
        <w:trPr>
          <w:cantSplit/>
          <w:trHeight w:val="1498"/>
        </w:trPr>
        <w:tc>
          <w:tcPr>
            <w:tcW w:w="1242" w:type="dxa"/>
            <w:vMerge w:val="restart"/>
            <w:textDirection w:val="btLr"/>
            <w:vAlign w:val="center"/>
          </w:tcPr>
          <w:p w14:paraId="571B4162"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4BA8223F" w14:textId="77777777" w:rsidR="00BE7F89" w:rsidRPr="00AC3044" w:rsidRDefault="00BE7F89" w:rsidP="005A428D">
            <w:pPr>
              <w:rPr>
                <w:rFonts w:eastAsia="SimSun"/>
              </w:rPr>
            </w:pPr>
            <w:r w:rsidRPr="00AC3044">
              <w:rPr>
                <w:rFonts w:eastAsia="SimSun"/>
              </w:rPr>
              <w:t xml:space="preserve">Такролимус </w:t>
            </w:r>
          </w:p>
        </w:tc>
        <w:tc>
          <w:tcPr>
            <w:tcW w:w="1418" w:type="dxa"/>
            <w:vAlign w:val="center"/>
          </w:tcPr>
          <w:p w14:paraId="0C3695F8" w14:textId="77777777" w:rsidR="00BE7F89" w:rsidRPr="00AC3044" w:rsidRDefault="00BE7F89" w:rsidP="005A428D">
            <w:pPr>
              <w:rPr>
                <w:rFonts w:eastAsia="SimSun"/>
              </w:rPr>
            </w:pPr>
            <w:r w:rsidRPr="00AC3044">
              <w:rPr>
                <w:rFonts w:eastAsia="SimSun"/>
              </w:rPr>
              <w:t>0,03 мг/кг</w:t>
            </w:r>
          </w:p>
        </w:tc>
        <w:tc>
          <w:tcPr>
            <w:tcW w:w="1276" w:type="dxa"/>
            <w:vAlign w:val="center"/>
          </w:tcPr>
          <w:p w14:paraId="2523FEB9" w14:textId="77777777" w:rsidR="00BE7F89" w:rsidRPr="00AC3044" w:rsidRDefault="00BE7F89" w:rsidP="005A428D">
            <w:pPr>
              <w:rPr>
                <w:rFonts w:eastAsia="SimSun"/>
              </w:rPr>
            </w:pPr>
            <w:r w:rsidRPr="00AC3044">
              <w:rPr>
                <w:rFonts w:eastAsia="SimSun"/>
              </w:rPr>
              <w:t>–</w:t>
            </w:r>
          </w:p>
        </w:tc>
        <w:tc>
          <w:tcPr>
            <w:tcW w:w="1701" w:type="dxa"/>
            <w:vAlign w:val="center"/>
          </w:tcPr>
          <w:p w14:paraId="70EFB873" w14:textId="77777777" w:rsidR="00BE7F89" w:rsidRPr="00AC3044" w:rsidRDefault="00BE7F89" w:rsidP="005A428D">
            <w:pPr>
              <w:rPr>
                <w:rFonts w:eastAsia="SimSun"/>
              </w:rPr>
            </w:pPr>
            <w:r w:rsidRPr="00AC3044">
              <w:rPr>
                <w:rFonts w:eastAsia="SimSun"/>
              </w:rPr>
              <w:t xml:space="preserve">С +5 дня длительно </w:t>
            </w:r>
          </w:p>
        </w:tc>
        <w:tc>
          <w:tcPr>
            <w:tcW w:w="2268" w:type="dxa"/>
            <w:vAlign w:val="center"/>
          </w:tcPr>
          <w:p w14:paraId="37840B4A"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6131A9A7" w14:textId="77777777" w:rsidTr="005A428D">
        <w:trPr>
          <w:cantSplit/>
          <w:trHeight w:val="604"/>
        </w:trPr>
        <w:tc>
          <w:tcPr>
            <w:tcW w:w="1242" w:type="dxa"/>
            <w:vMerge/>
            <w:textDirection w:val="btLr"/>
            <w:vAlign w:val="center"/>
          </w:tcPr>
          <w:p w14:paraId="46A87080" w14:textId="77777777" w:rsidR="00BE7F89" w:rsidRPr="00AC3044" w:rsidRDefault="00BE7F89" w:rsidP="005A428D">
            <w:pPr>
              <w:rPr>
                <w:rFonts w:eastAsia="SimSun"/>
              </w:rPr>
            </w:pPr>
          </w:p>
        </w:tc>
        <w:tc>
          <w:tcPr>
            <w:tcW w:w="1701" w:type="dxa"/>
            <w:vAlign w:val="center"/>
          </w:tcPr>
          <w:p w14:paraId="46F0C9DF"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1E7D5504" w14:textId="77777777" w:rsidR="00BE7F89" w:rsidRPr="00AC3044" w:rsidRDefault="00BE7F89" w:rsidP="005A428D">
            <w:pPr>
              <w:rPr>
                <w:rFonts w:eastAsia="SimSun"/>
              </w:rPr>
            </w:pPr>
            <w:r w:rsidRPr="00AC3044">
              <w:rPr>
                <w:rFonts w:eastAsia="SimSun"/>
              </w:rPr>
              <w:t xml:space="preserve">30 мг/кг </w:t>
            </w:r>
          </w:p>
        </w:tc>
        <w:tc>
          <w:tcPr>
            <w:tcW w:w="1276" w:type="dxa"/>
            <w:vAlign w:val="center"/>
          </w:tcPr>
          <w:p w14:paraId="49334E99" w14:textId="77777777" w:rsidR="00BE7F89" w:rsidRPr="00AC3044" w:rsidRDefault="00BE7F89" w:rsidP="005A428D">
            <w:pPr>
              <w:rPr>
                <w:rFonts w:eastAsia="SimSun"/>
              </w:rPr>
            </w:pPr>
            <w:r w:rsidRPr="00AC3044">
              <w:rPr>
                <w:rFonts w:eastAsia="SimSun"/>
              </w:rPr>
              <w:t>–</w:t>
            </w:r>
          </w:p>
        </w:tc>
        <w:tc>
          <w:tcPr>
            <w:tcW w:w="1701" w:type="dxa"/>
            <w:vAlign w:val="center"/>
          </w:tcPr>
          <w:p w14:paraId="505B1CBF" w14:textId="77777777" w:rsidR="00BE7F89" w:rsidRPr="00AC3044" w:rsidRDefault="00BE7F89" w:rsidP="005A428D">
            <w:pPr>
              <w:rPr>
                <w:rFonts w:eastAsia="SimSun"/>
              </w:rPr>
            </w:pPr>
            <w:r w:rsidRPr="00AC3044">
              <w:rPr>
                <w:rFonts w:eastAsia="SimSun"/>
              </w:rPr>
              <w:t xml:space="preserve">С +5 дня по +35 день </w:t>
            </w:r>
          </w:p>
        </w:tc>
        <w:tc>
          <w:tcPr>
            <w:tcW w:w="2268" w:type="dxa"/>
            <w:vAlign w:val="center"/>
          </w:tcPr>
          <w:p w14:paraId="526AAB12"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49465CE2" w14:textId="77777777" w:rsidR="00BE7F89" w:rsidRDefault="00BE7F89" w:rsidP="00BE7F89">
      <w:pPr>
        <w:rPr>
          <w:rFonts w:eastAsia="SimSun"/>
        </w:rPr>
      </w:pPr>
      <w:bookmarkStart w:id="186" w:name="_Toc44401197"/>
    </w:p>
    <w:p w14:paraId="2B66358D"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2.1.11  – Flu180+Treo42 / PT-Cy+Tx+MMF30</w:t>
      </w:r>
      <w:bookmarkEnd w:id="18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BE7F89" w:rsidRPr="00C07B2E" w14:paraId="43D90FE3" w14:textId="77777777" w:rsidTr="005A428D">
        <w:trPr>
          <w:cantSplit/>
          <w:trHeight w:val="20"/>
          <w:tblHeader/>
        </w:trPr>
        <w:tc>
          <w:tcPr>
            <w:tcW w:w="1242" w:type="dxa"/>
            <w:vAlign w:val="center"/>
          </w:tcPr>
          <w:p w14:paraId="0B2127D6" w14:textId="77777777" w:rsidR="00BE7F89" w:rsidRPr="00470D3D" w:rsidRDefault="00BE7F89" w:rsidP="005A428D">
            <w:pPr>
              <w:rPr>
                <w:rFonts w:eastAsia="SimSun"/>
              </w:rPr>
            </w:pPr>
          </w:p>
        </w:tc>
        <w:tc>
          <w:tcPr>
            <w:tcW w:w="1701" w:type="dxa"/>
            <w:vAlign w:val="center"/>
          </w:tcPr>
          <w:p w14:paraId="1201E668" w14:textId="77777777" w:rsidR="00BE7F89" w:rsidRPr="00C07B2E" w:rsidRDefault="00BE7F89" w:rsidP="005A428D">
            <w:pPr>
              <w:rPr>
                <w:rFonts w:eastAsia="SimSun"/>
              </w:rPr>
            </w:pPr>
            <w:r w:rsidRPr="00C07B2E">
              <w:rPr>
                <w:rFonts w:eastAsia="SimSun"/>
              </w:rPr>
              <w:t>Препарат</w:t>
            </w:r>
          </w:p>
        </w:tc>
        <w:tc>
          <w:tcPr>
            <w:tcW w:w="1418" w:type="dxa"/>
            <w:vAlign w:val="center"/>
          </w:tcPr>
          <w:p w14:paraId="6DF0D6F4" w14:textId="77777777" w:rsidR="00BE7F89" w:rsidRPr="00C07B2E" w:rsidRDefault="00BE7F89" w:rsidP="005A428D">
            <w:pPr>
              <w:rPr>
                <w:rFonts w:eastAsia="SimSun"/>
              </w:rPr>
            </w:pPr>
            <w:r w:rsidRPr="00C07B2E">
              <w:rPr>
                <w:rFonts w:eastAsia="SimSun"/>
              </w:rPr>
              <w:t>Суточная доза</w:t>
            </w:r>
          </w:p>
        </w:tc>
        <w:tc>
          <w:tcPr>
            <w:tcW w:w="1276" w:type="dxa"/>
            <w:vAlign w:val="center"/>
          </w:tcPr>
          <w:p w14:paraId="4B73512A" w14:textId="77777777" w:rsidR="00BE7F89" w:rsidRPr="00C07B2E" w:rsidRDefault="00BE7F89" w:rsidP="005A428D">
            <w:pPr>
              <w:rPr>
                <w:rFonts w:eastAsia="SimSun"/>
              </w:rPr>
            </w:pPr>
            <w:r w:rsidRPr="00C07B2E">
              <w:rPr>
                <w:rFonts w:eastAsia="SimSun"/>
              </w:rPr>
              <w:t>Курсовая доза</w:t>
            </w:r>
          </w:p>
        </w:tc>
        <w:tc>
          <w:tcPr>
            <w:tcW w:w="1701" w:type="dxa"/>
            <w:vAlign w:val="center"/>
          </w:tcPr>
          <w:p w14:paraId="21FDA249" w14:textId="77777777" w:rsidR="00BE7F89" w:rsidRPr="00C07B2E" w:rsidRDefault="00BE7F89" w:rsidP="005A428D">
            <w:pPr>
              <w:rPr>
                <w:rFonts w:eastAsia="SimSun"/>
              </w:rPr>
            </w:pPr>
            <w:r w:rsidRPr="00C07B2E">
              <w:rPr>
                <w:rFonts w:eastAsia="SimSun"/>
              </w:rPr>
              <w:t>Дни введения</w:t>
            </w:r>
          </w:p>
        </w:tc>
        <w:tc>
          <w:tcPr>
            <w:tcW w:w="2268" w:type="dxa"/>
            <w:vAlign w:val="center"/>
          </w:tcPr>
          <w:p w14:paraId="1A477ED2" w14:textId="77777777" w:rsidR="00BE7F89" w:rsidRPr="00C07B2E" w:rsidRDefault="00BE7F89" w:rsidP="005A428D">
            <w:pPr>
              <w:rPr>
                <w:rFonts w:eastAsia="SimSun"/>
              </w:rPr>
            </w:pPr>
            <w:r w:rsidRPr="00C07B2E">
              <w:rPr>
                <w:rFonts w:eastAsia="SimSun"/>
              </w:rPr>
              <w:t>Порядок введения</w:t>
            </w:r>
          </w:p>
        </w:tc>
      </w:tr>
      <w:tr w:rsidR="00BE7F89" w:rsidRPr="00C07B2E" w14:paraId="0895E0F2" w14:textId="77777777" w:rsidTr="005A428D">
        <w:trPr>
          <w:cantSplit/>
          <w:trHeight w:val="20"/>
        </w:trPr>
        <w:tc>
          <w:tcPr>
            <w:tcW w:w="1242" w:type="dxa"/>
            <w:vMerge w:val="restart"/>
            <w:textDirection w:val="btLr"/>
            <w:vAlign w:val="center"/>
          </w:tcPr>
          <w:p w14:paraId="794349E2" w14:textId="77777777" w:rsidR="00BE7F89" w:rsidRPr="00C07B2E" w:rsidRDefault="00BE7F89" w:rsidP="005A428D">
            <w:pPr>
              <w:rPr>
                <w:rFonts w:eastAsia="SimSun"/>
              </w:rPr>
            </w:pPr>
            <w:r w:rsidRPr="00C07B2E">
              <w:rPr>
                <w:rFonts w:eastAsia="SimSun"/>
              </w:rPr>
              <w:t>Кондиционирование</w:t>
            </w:r>
          </w:p>
        </w:tc>
        <w:tc>
          <w:tcPr>
            <w:tcW w:w="1701" w:type="dxa"/>
            <w:vAlign w:val="center"/>
          </w:tcPr>
          <w:p w14:paraId="25765BD0" w14:textId="77777777" w:rsidR="00BE7F89" w:rsidRPr="00C07B2E" w:rsidRDefault="00BE7F89" w:rsidP="005A428D">
            <w:pPr>
              <w:rPr>
                <w:rFonts w:eastAsia="SimSun"/>
              </w:rPr>
            </w:pPr>
            <w:r w:rsidRPr="00C07B2E">
              <w:rPr>
                <w:rFonts w:eastAsia="SimSun"/>
              </w:rPr>
              <w:t xml:space="preserve">Флударабин </w:t>
            </w:r>
          </w:p>
        </w:tc>
        <w:tc>
          <w:tcPr>
            <w:tcW w:w="1418" w:type="dxa"/>
            <w:vAlign w:val="center"/>
          </w:tcPr>
          <w:p w14:paraId="48AD0604" w14:textId="77777777" w:rsidR="00BE7F89" w:rsidRPr="00C07B2E" w:rsidRDefault="00BE7F89" w:rsidP="005A428D">
            <w:pPr>
              <w:rPr>
                <w:rFonts w:eastAsia="SimSun"/>
              </w:rPr>
            </w:pPr>
            <w:r w:rsidRPr="00C07B2E">
              <w:rPr>
                <w:rFonts w:eastAsia="SimSun"/>
              </w:rPr>
              <w:t>30 мг/м</w:t>
            </w:r>
            <w:r w:rsidRPr="00DB259E">
              <w:rPr>
                <w:rFonts w:eastAsia="SimSun"/>
                <w:vertAlign w:val="superscript"/>
              </w:rPr>
              <w:t>2</w:t>
            </w:r>
          </w:p>
        </w:tc>
        <w:tc>
          <w:tcPr>
            <w:tcW w:w="1276" w:type="dxa"/>
            <w:vAlign w:val="center"/>
          </w:tcPr>
          <w:p w14:paraId="30CC9DEC" w14:textId="77777777" w:rsidR="00BE7F89" w:rsidRPr="00C07B2E" w:rsidRDefault="00BE7F89" w:rsidP="005A428D">
            <w:pPr>
              <w:rPr>
                <w:rFonts w:eastAsia="SimSun"/>
              </w:rPr>
            </w:pPr>
            <w:r w:rsidRPr="00C07B2E">
              <w:rPr>
                <w:rFonts w:eastAsia="SimSun"/>
              </w:rPr>
              <w:t>180 мг/м</w:t>
            </w:r>
            <w:r w:rsidRPr="00DB259E">
              <w:rPr>
                <w:rFonts w:eastAsia="SimSun"/>
                <w:vertAlign w:val="superscript"/>
              </w:rPr>
              <w:t>2</w:t>
            </w:r>
          </w:p>
        </w:tc>
        <w:tc>
          <w:tcPr>
            <w:tcW w:w="1701" w:type="dxa"/>
            <w:vAlign w:val="center"/>
          </w:tcPr>
          <w:p w14:paraId="34D331BD" w14:textId="77777777" w:rsidR="00BE7F89" w:rsidRPr="00C07B2E" w:rsidRDefault="00BE7F89" w:rsidP="005A428D">
            <w:pPr>
              <w:rPr>
                <w:rFonts w:eastAsia="SimSun"/>
              </w:rPr>
            </w:pPr>
            <w:r w:rsidRPr="00C07B2E">
              <w:rPr>
                <w:rFonts w:eastAsia="SimSun"/>
              </w:rPr>
              <w:t>С -7 дня по -2 день</w:t>
            </w:r>
          </w:p>
        </w:tc>
        <w:tc>
          <w:tcPr>
            <w:tcW w:w="2268" w:type="dxa"/>
            <w:vAlign w:val="center"/>
          </w:tcPr>
          <w:p w14:paraId="2527F2AF" w14:textId="77777777" w:rsidR="00BE7F89" w:rsidRPr="00C07B2E" w:rsidRDefault="00BE7F89" w:rsidP="005A428D">
            <w:pPr>
              <w:rPr>
                <w:rFonts w:eastAsia="SimSun"/>
              </w:rPr>
            </w:pPr>
            <w:r w:rsidRPr="00C07B2E">
              <w:rPr>
                <w:rFonts w:eastAsia="SimSun"/>
              </w:rPr>
              <w:t>В/в, в течение 30 -60 мин</w:t>
            </w:r>
          </w:p>
        </w:tc>
      </w:tr>
      <w:tr w:rsidR="00BE7F89" w:rsidRPr="00C07B2E" w14:paraId="21D0B590" w14:textId="77777777" w:rsidTr="005A428D">
        <w:trPr>
          <w:cantSplit/>
          <w:trHeight w:val="872"/>
        </w:trPr>
        <w:tc>
          <w:tcPr>
            <w:tcW w:w="1242" w:type="dxa"/>
            <w:vMerge/>
            <w:vAlign w:val="center"/>
          </w:tcPr>
          <w:p w14:paraId="78E34E52" w14:textId="77777777" w:rsidR="00BE7F89" w:rsidRPr="00C07B2E" w:rsidRDefault="00BE7F89" w:rsidP="005A428D">
            <w:pPr>
              <w:rPr>
                <w:rFonts w:eastAsia="SimSun"/>
              </w:rPr>
            </w:pPr>
          </w:p>
        </w:tc>
        <w:tc>
          <w:tcPr>
            <w:tcW w:w="1701" w:type="dxa"/>
            <w:vAlign w:val="center"/>
          </w:tcPr>
          <w:p w14:paraId="434098A6" w14:textId="77777777" w:rsidR="00BE7F89" w:rsidRPr="00C07B2E" w:rsidRDefault="00BE7F89" w:rsidP="005A428D">
            <w:pPr>
              <w:rPr>
                <w:rFonts w:eastAsia="SimSun"/>
              </w:rPr>
            </w:pPr>
            <w:r w:rsidRPr="00C07B2E">
              <w:rPr>
                <w:rFonts w:eastAsia="SimSun"/>
              </w:rPr>
              <w:t xml:space="preserve">Треосульфан </w:t>
            </w:r>
          </w:p>
        </w:tc>
        <w:tc>
          <w:tcPr>
            <w:tcW w:w="1418" w:type="dxa"/>
            <w:vAlign w:val="center"/>
          </w:tcPr>
          <w:p w14:paraId="202CF1B2" w14:textId="77777777" w:rsidR="00BE7F89" w:rsidRPr="00C07B2E" w:rsidRDefault="00BE7F89" w:rsidP="005A428D">
            <w:pPr>
              <w:rPr>
                <w:rFonts w:eastAsia="SimSun"/>
              </w:rPr>
            </w:pPr>
            <w:r w:rsidRPr="00C07B2E">
              <w:rPr>
                <w:rFonts w:eastAsia="SimSun"/>
              </w:rPr>
              <w:t>14 г/кг</w:t>
            </w:r>
          </w:p>
        </w:tc>
        <w:tc>
          <w:tcPr>
            <w:tcW w:w="1276" w:type="dxa"/>
            <w:vAlign w:val="center"/>
          </w:tcPr>
          <w:p w14:paraId="774107E3" w14:textId="77777777" w:rsidR="00BE7F89" w:rsidRPr="00C07B2E" w:rsidRDefault="00BE7F89" w:rsidP="005A428D">
            <w:pPr>
              <w:rPr>
                <w:rFonts w:eastAsia="SimSun"/>
              </w:rPr>
            </w:pPr>
            <w:r w:rsidRPr="00C07B2E">
              <w:rPr>
                <w:rFonts w:eastAsia="SimSun"/>
                <w:lang w:val="en-US"/>
              </w:rPr>
              <w:t>4</w:t>
            </w:r>
            <w:r w:rsidRPr="00C07B2E">
              <w:rPr>
                <w:rFonts w:eastAsia="SimSun"/>
              </w:rPr>
              <w:t>2 г/кг</w:t>
            </w:r>
          </w:p>
        </w:tc>
        <w:tc>
          <w:tcPr>
            <w:tcW w:w="1701" w:type="dxa"/>
            <w:vAlign w:val="center"/>
          </w:tcPr>
          <w:p w14:paraId="14D88195" w14:textId="77777777" w:rsidR="00BE7F89" w:rsidRPr="00C07B2E" w:rsidRDefault="00BE7F89" w:rsidP="005A428D">
            <w:pPr>
              <w:rPr>
                <w:rFonts w:eastAsia="SimSun"/>
              </w:rPr>
            </w:pPr>
            <w:r w:rsidRPr="00C07B2E">
              <w:rPr>
                <w:rFonts w:eastAsia="SimSun"/>
              </w:rPr>
              <w:t xml:space="preserve">С -5 дня по -3 день </w:t>
            </w:r>
          </w:p>
        </w:tc>
        <w:tc>
          <w:tcPr>
            <w:tcW w:w="2268" w:type="dxa"/>
            <w:vAlign w:val="center"/>
          </w:tcPr>
          <w:p w14:paraId="50EFFD2E" w14:textId="77777777" w:rsidR="00BE7F89" w:rsidRPr="00C07B2E" w:rsidRDefault="00BE7F89" w:rsidP="005A428D">
            <w:pPr>
              <w:rPr>
                <w:rFonts w:eastAsia="SimSun"/>
              </w:rPr>
            </w:pPr>
            <w:r w:rsidRPr="00C07B2E">
              <w:rPr>
                <w:rFonts w:eastAsia="SimSun"/>
              </w:rPr>
              <w:t>В/в, в течение 2 часов</w:t>
            </w:r>
          </w:p>
        </w:tc>
      </w:tr>
      <w:tr w:rsidR="00BE7F89" w:rsidRPr="00C07B2E" w14:paraId="33B89F8A" w14:textId="77777777" w:rsidTr="005A428D">
        <w:trPr>
          <w:cantSplit/>
          <w:trHeight w:val="1498"/>
        </w:trPr>
        <w:tc>
          <w:tcPr>
            <w:tcW w:w="1242" w:type="dxa"/>
            <w:vMerge w:val="restart"/>
            <w:textDirection w:val="btLr"/>
            <w:vAlign w:val="center"/>
          </w:tcPr>
          <w:p w14:paraId="5ED225B6" w14:textId="77777777" w:rsidR="00BE7F89" w:rsidRPr="00C07B2E" w:rsidRDefault="00BE7F89" w:rsidP="005A428D">
            <w:pPr>
              <w:rPr>
                <w:rFonts w:eastAsia="SimSun"/>
              </w:rPr>
            </w:pPr>
            <w:r w:rsidRPr="00C07B2E">
              <w:rPr>
                <w:rFonts w:eastAsia="SimSun"/>
              </w:rPr>
              <w:t>Профилактика РТПХ</w:t>
            </w:r>
          </w:p>
        </w:tc>
        <w:tc>
          <w:tcPr>
            <w:tcW w:w="1701" w:type="dxa"/>
            <w:vAlign w:val="center"/>
          </w:tcPr>
          <w:p w14:paraId="3EFD8D23" w14:textId="77777777" w:rsidR="00BE7F89" w:rsidRPr="00C07B2E" w:rsidRDefault="00BE7F89" w:rsidP="005A428D">
            <w:pPr>
              <w:rPr>
                <w:rFonts w:eastAsia="SimSun"/>
              </w:rPr>
            </w:pPr>
            <w:r w:rsidRPr="00C07B2E">
              <w:rPr>
                <w:rFonts w:eastAsia="SimSun"/>
              </w:rPr>
              <w:t xml:space="preserve">Такролимус </w:t>
            </w:r>
          </w:p>
        </w:tc>
        <w:tc>
          <w:tcPr>
            <w:tcW w:w="1418" w:type="dxa"/>
            <w:vAlign w:val="center"/>
          </w:tcPr>
          <w:p w14:paraId="201C3F46" w14:textId="77777777" w:rsidR="00BE7F89" w:rsidRPr="00C07B2E" w:rsidRDefault="00BE7F89" w:rsidP="005A428D">
            <w:pPr>
              <w:rPr>
                <w:rFonts w:eastAsia="SimSun"/>
              </w:rPr>
            </w:pPr>
            <w:r w:rsidRPr="00C07B2E">
              <w:rPr>
                <w:rFonts w:eastAsia="SimSun"/>
              </w:rPr>
              <w:t>0,03 мг/кг</w:t>
            </w:r>
          </w:p>
        </w:tc>
        <w:tc>
          <w:tcPr>
            <w:tcW w:w="1276" w:type="dxa"/>
            <w:vAlign w:val="center"/>
          </w:tcPr>
          <w:p w14:paraId="76B425CF" w14:textId="77777777" w:rsidR="00BE7F89" w:rsidRPr="00C07B2E" w:rsidRDefault="00BE7F89" w:rsidP="005A428D">
            <w:pPr>
              <w:rPr>
                <w:rFonts w:eastAsia="SimSun"/>
              </w:rPr>
            </w:pPr>
            <w:r w:rsidRPr="00C07B2E">
              <w:rPr>
                <w:rFonts w:eastAsia="SimSun"/>
                <w:lang w:val="en-US"/>
              </w:rPr>
              <w:t>–</w:t>
            </w:r>
          </w:p>
        </w:tc>
        <w:tc>
          <w:tcPr>
            <w:tcW w:w="1701" w:type="dxa"/>
            <w:vAlign w:val="center"/>
          </w:tcPr>
          <w:p w14:paraId="781B7E0B" w14:textId="77777777" w:rsidR="00BE7F89" w:rsidRPr="00C07B2E" w:rsidRDefault="00BE7F89" w:rsidP="005A428D">
            <w:pPr>
              <w:rPr>
                <w:rFonts w:eastAsia="SimSun"/>
              </w:rPr>
            </w:pPr>
            <w:r w:rsidRPr="00C07B2E">
              <w:rPr>
                <w:rFonts w:eastAsia="SimSun"/>
              </w:rPr>
              <w:t xml:space="preserve">С +5 дня длительно </w:t>
            </w:r>
          </w:p>
        </w:tc>
        <w:tc>
          <w:tcPr>
            <w:tcW w:w="2268" w:type="dxa"/>
            <w:vAlign w:val="center"/>
          </w:tcPr>
          <w:p w14:paraId="51BF51F9" w14:textId="77777777" w:rsidR="00BE7F89" w:rsidRPr="00DB259E" w:rsidRDefault="00BE7F89" w:rsidP="005A428D">
            <w:pPr>
              <w:rPr>
                <w:rFonts w:eastAsia="SimSun"/>
              </w:rPr>
            </w:pPr>
            <w:r w:rsidRPr="00C07B2E">
              <w:rPr>
                <w:rFonts w:eastAsia="SimSun"/>
              </w:rPr>
              <w:t xml:space="preserve">В/в инфузия в течение 24 ч с последующей коррекцией суточной дозы по концентрации. </w:t>
            </w:r>
            <w:r w:rsidRPr="00DB259E">
              <w:rPr>
                <w:rFonts w:eastAsia="SimSun"/>
              </w:rPr>
              <w:t>Перевод на прием внутрь при условии восстановления лейкоцитов &gt; 1</w:t>
            </w:r>
            <w:r>
              <w:rPr>
                <w:rFonts w:eastAsia="SimSun"/>
              </w:rPr>
              <w:t xml:space="preserve"> х</w:t>
            </w:r>
            <w:r w:rsidRPr="00DB259E">
              <w:rPr>
                <w:rFonts w:eastAsia="SimSun"/>
              </w:rPr>
              <w:t xml:space="preserve"> 10</w:t>
            </w:r>
            <w:r w:rsidRPr="00DB259E">
              <w:rPr>
                <w:rFonts w:eastAsia="SimSun"/>
                <w:vertAlign w:val="superscript"/>
              </w:rPr>
              <w:t>9</w:t>
            </w:r>
            <w:r w:rsidRPr="00DB259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DB259E">
              <w:rPr>
                <w:rFonts w:eastAsia="SimSun"/>
              </w:rPr>
              <w:t xml:space="preserve"> 5-15 нг/мл.    </w:t>
            </w:r>
          </w:p>
        </w:tc>
      </w:tr>
      <w:tr w:rsidR="00BE7F89" w:rsidRPr="00C07B2E" w14:paraId="2819F897" w14:textId="77777777" w:rsidTr="005A428D">
        <w:trPr>
          <w:cantSplit/>
          <w:trHeight w:val="542"/>
        </w:trPr>
        <w:tc>
          <w:tcPr>
            <w:tcW w:w="1242" w:type="dxa"/>
            <w:vMerge/>
            <w:textDirection w:val="btLr"/>
            <w:vAlign w:val="center"/>
          </w:tcPr>
          <w:p w14:paraId="4CCD420E" w14:textId="77777777" w:rsidR="00BE7F89" w:rsidRPr="00DB259E" w:rsidRDefault="00BE7F89" w:rsidP="005A428D">
            <w:pPr>
              <w:rPr>
                <w:rFonts w:eastAsia="SimSun"/>
              </w:rPr>
            </w:pPr>
          </w:p>
        </w:tc>
        <w:tc>
          <w:tcPr>
            <w:tcW w:w="1701" w:type="dxa"/>
            <w:vAlign w:val="center"/>
          </w:tcPr>
          <w:p w14:paraId="796BF384" w14:textId="77777777" w:rsidR="00BE7F89" w:rsidRPr="00C07B2E" w:rsidRDefault="00BE7F89" w:rsidP="005A428D">
            <w:pPr>
              <w:rPr>
                <w:rFonts w:eastAsia="SimSun"/>
              </w:rPr>
            </w:pPr>
            <w:r w:rsidRPr="00C07B2E">
              <w:rPr>
                <w:rFonts w:eastAsia="SimSun"/>
              </w:rPr>
              <w:t>Микофенолата мофетил</w:t>
            </w:r>
          </w:p>
        </w:tc>
        <w:tc>
          <w:tcPr>
            <w:tcW w:w="1418" w:type="dxa"/>
            <w:vAlign w:val="center"/>
          </w:tcPr>
          <w:p w14:paraId="3D6A0664" w14:textId="77777777" w:rsidR="00BE7F89" w:rsidRPr="00C07B2E" w:rsidRDefault="00BE7F89" w:rsidP="005A428D">
            <w:pPr>
              <w:rPr>
                <w:rFonts w:eastAsia="SimSun"/>
              </w:rPr>
            </w:pPr>
            <w:r w:rsidRPr="00C07B2E">
              <w:rPr>
                <w:rFonts w:eastAsia="SimSun"/>
                <w:lang w:val="en-US"/>
              </w:rPr>
              <w:t>30</w:t>
            </w:r>
            <w:r w:rsidRPr="00C07B2E">
              <w:rPr>
                <w:rFonts w:eastAsia="SimSun"/>
              </w:rPr>
              <w:t xml:space="preserve"> мг/кг </w:t>
            </w:r>
          </w:p>
        </w:tc>
        <w:tc>
          <w:tcPr>
            <w:tcW w:w="1276" w:type="dxa"/>
            <w:vAlign w:val="center"/>
          </w:tcPr>
          <w:p w14:paraId="2783F27C" w14:textId="77777777" w:rsidR="00BE7F89" w:rsidRPr="00C07B2E" w:rsidRDefault="00BE7F89" w:rsidP="005A428D">
            <w:pPr>
              <w:rPr>
                <w:rFonts w:eastAsia="SimSun"/>
              </w:rPr>
            </w:pPr>
            <w:r w:rsidRPr="00C07B2E">
              <w:rPr>
                <w:rFonts w:eastAsia="SimSun"/>
              </w:rPr>
              <w:t>–</w:t>
            </w:r>
          </w:p>
        </w:tc>
        <w:tc>
          <w:tcPr>
            <w:tcW w:w="1701" w:type="dxa"/>
            <w:vAlign w:val="center"/>
          </w:tcPr>
          <w:p w14:paraId="0BFA55D1" w14:textId="77777777" w:rsidR="00BE7F89" w:rsidRPr="00C07B2E" w:rsidRDefault="00BE7F89" w:rsidP="005A428D">
            <w:pPr>
              <w:rPr>
                <w:rFonts w:eastAsia="SimSun"/>
              </w:rPr>
            </w:pPr>
            <w:r w:rsidRPr="00C07B2E">
              <w:rPr>
                <w:rFonts w:eastAsia="SimSun"/>
              </w:rPr>
              <w:t xml:space="preserve">С +5 дня по +35 день </w:t>
            </w:r>
          </w:p>
        </w:tc>
        <w:tc>
          <w:tcPr>
            <w:tcW w:w="2268" w:type="dxa"/>
            <w:vAlign w:val="center"/>
          </w:tcPr>
          <w:p w14:paraId="1DBAF371" w14:textId="77777777" w:rsidR="00BE7F89" w:rsidRPr="00C07B2E" w:rsidRDefault="00BE7F89" w:rsidP="005A428D">
            <w:pPr>
              <w:rPr>
                <w:rFonts w:eastAsia="SimSun"/>
              </w:rPr>
            </w:pPr>
            <w:r w:rsidRPr="00C07B2E">
              <w:rPr>
                <w:rFonts w:eastAsia="SimSun"/>
              </w:rPr>
              <w:t xml:space="preserve">Внутрь, суммарная суточная доза разделяется на 2- 4 приема (не более 3г/сут).  </w:t>
            </w:r>
          </w:p>
        </w:tc>
      </w:tr>
      <w:tr w:rsidR="00BE7F89" w:rsidRPr="00C07B2E" w14:paraId="74EFC405" w14:textId="77777777" w:rsidTr="005A428D">
        <w:trPr>
          <w:cantSplit/>
          <w:trHeight w:val="508"/>
        </w:trPr>
        <w:tc>
          <w:tcPr>
            <w:tcW w:w="1242" w:type="dxa"/>
            <w:vMerge/>
            <w:textDirection w:val="btLr"/>
            <w:vAlign w:val="center"/>
          </w:tcPr>
          <w:p w14:paraId="076277B9" w14:textId="77777777" w:rsidR="00BE7F89" w:rsidRPr="00C07B2E" w:rsidRDefault="00BE7F89" w:rsidP="005A428D">
            <w:pPr>
              <w:rPr>
                <w:rFonts w:eastAsia="SimSun"/>
              </w:rPr>
            </w:pPr>
          </w:p>
        </w:tc>
        <w:tc>
          <w:tcPr>
            <w:tcW w:w="1701" w:type="dxa"/>
            <w:vAlign w:val="center"/>
          </w:tcPr>
          <w:p w14:paraId="6797B6E4" w14:textId="77777777" w:rsidR="00BE7F89" w:rsidRPr="00C07B2E" w:rsidRDefault="00BE7F89" w:rsidP="005A428D">
            <w:pPr>
              <w:rPr>
                <w:rFonts w:eastAsia="SimSun"/>
              </w:rPr>
            </w:pPr>
            <w:r w:rsidRPr="00C07B2E">
              <w:rPr>
                <w:rFonts w:eastAsia="SimSun"/>
              </w:rPr>
              <w:t xml:space="preserve">Циклофосфамид </w:t>
            </w:r>
          </w:p>
        </w:tc>
        <w:tc>
          <w:tcPr>
            <w:tcW w:w="1418" w:type="dxa"/>
            <w:vAlign w:val="center"/>
          </w:tcPr>
          <w:p w14:paraId="42503BFE" w14:textId="77777777" w:rsidR="00BE7F89" w:rsidRPr="00C07B2E" w:rsidRDefault="00BE7F89" w:rsidP="005A428D">
            <w:pPr>
              <w:rPr>
                <w:rFonts w:eastAsia="SimSun"/>
              </w:rPr>
            </w:pPr>
            <w:r w:rsidRPr="00C07B2E">
              <w:rPr>
                <w:rFonts w:eastAsia="SimSun"/>
              </w:rPr>
              <w:t xml:space="preserve">50 мг/кг </w:t>
            </w:r>
          </w:p>
        </w:tc>
        <w:tc>
          <w:tcPr>
            <w:tcW w:w="1276" w:type="dxa"/>
            <w:vAlign w:val="center"/>
          </w:tcPr>
          <w:p w14:paraId="1B1A6015" w14:textId="77777777" w:rsidR="00BE7F89" w:rsidRPr="00C07B2E" w:rsidRDefault="00BE7F89" w:rsidP="005A428D">
            <w:pPr>
              <w:rPr>
                <w:rFonts w:eastAsia="SimSun"/>
              </w:rPr>
            </w:pPr>
            <w:r w:rsidRPr="00C07B2E">
              <w:rPr>
                <w:rFonts w:eastAsia="SimSun"/>
              </w:rPr>
              <w:t>100 мг/кг</w:t>
            </w:r>
          </w:p>
        </w:tc>
        <w:tc>
          <w:tcPr>
            <w:tcW w:w="1701" w:type="dxa"/>
            <w:vAlign w:val="center"/>
          </w:tcPr>
          <w:p w14:paraId="5DE4D32E" w14:textId="77777777" w:rsidR="00BE7F89" w:rsidRPr="00C07B2E" w:rsidRDefault="00BE7F89" w:rsidP="005A428D">
            <w:pPr>
              <w:rPr>
                <w:rFonts w:eastAsia="SimSun"/>
              </w:rPr>
            </w:pPr>
            <w:r w:rsidRPr="00C07B2E">
              <w:rPr>
                <w:rFonts w:eastAsia="SimSun"/>
              </w:rPr>
              <w:t>С +3 дня по +4 день</w:t>
            </w:r>
          </w:p>
        </w:tc>
        <w:tc>
          <w:tcPr>
            <w:tcW w:w="2268" w:type="dxa"/>
            <w:vAlign w:val="center"/>
          </w:tcPr>
          <w:p w14:paraId="2E86657A" w14:textId="77777777" w:rsidR="00BE7F89" w:rsidRPr="00C07B2E" w:rsidRDefault="00BE7F89" w:rsidP="005A428D">
            <w:pPr>
              <w:rPr>
                <w:rFonts w:eastAsia="SimSun"/>
              </w:rPr>
            </w:pPr>
            <w:r w:rsidRPr="00C07B2E">
              <w:rPr>
                <w:rFonts w:eastAsia="SimSun"/>
              </w:rPr>
              <w:t>В/в, в течение 2 ч</w:t>
            </w:r>
          </w:p>
        </w:tc>
      </w:tr>
    </w:tbl>
    <w:p w14:paraId="2D3FF7B1" w14:textId="77777777" w:rsidR="00BE7F89" w:rsidRPr="00C07B2E" w:rsidRDefault="00BE7F89" w:rsidP="00BE7F89">
      <w:pPr>
        <w:rPr>
          <w:rFonts w:eastAsia="SimSun"/>
        </w:rPr>
      </w:pPr>
    </w:p>
    <w:p w14:paraId="0A0E0F28" w14:textId="77777777" w:rsidR="00BE7F89" w:rsidRPr="00C07B2E" w:rsidRDefault="00BE7F89" w:rsidP="00BE7F89">
      <w:pPr>
        <w:rPr>
          <w:rFonts w:eastAsia="SimSun"/>
        </w:rPr>
        <w:sectPr w:rsidR="00BE7F89" w:rsidRPr="00C07B2E" w:rsidSect="00980822">
          <w:footerReference w:type="default" r:id="rId11"/>
          <w:type w:val="continuous"/>
          <w:pgSz w:w="11907" w:h="16839" w:code="9"/>
          <w:pgMar w:top="1134" w:right="850" w:bottom="1134" w:left="1701" w:header="709" w:footer="567" w:gutter="0"/>
          <w:cols w:space="708"/>
          <w:docGrid w:linePitch="360"/>
        </w:sectPr>
      </w:pPr>
      <w:r w:rsidRPr="00C07B2E">
        <w:rPr>
          <w:rFonts w:eastAsia="SimSun"/>
        </w:rPr>
        <w:t xml:space="preserve">Схемы и режимы применения препаратов для </w:t>
      </w:r>
      <w:r w:rsidRPr="00723FEA">
        <w:rPr>
          <w:rFonts w:eastAsia="SimSun"/>
          <w:b/>
        </w:rPr>
        <w:t>кондиционирования в режиме пониженной</w:t>
      </w:r>
      <w:r>
        <w:rPr>
          <w:rFonts w:eastAsia="SimSun"/>
        </w:rPr>
        <w:t xml:space="preserve"> интенсивности</w:t>
      </w:r>
      <w:r w:rsidRPr="00C07B2E">
        <w:rPr>
          <w:rFonts w:eastAsia="SimSun"/>
        </w:rPr>
        <w:t xml:space="preserve"> и профилактики РТПХ указаны в Таблице </w:t>
      </w:r>
      <w:r>
        <w:rPr>
          <w:rFonts w:eastAsia="SimSun"/>
        </w:rPr>
        <w:t>5.</w:t>
      </w:r>
      <w:r w:rsidRPr="00C07B2E">
        <w:rPr>
          <w:rFonts w:eastAsia="SimSun"/>
        </w:rPr>
        <w:t>2.2</w:t>
      </w:r>
    </w:p>
    <w:p w14:paraId="58681A71" w14:textId="77777777" w:rsidR="00BE7F89" w:rsidRPr="00C07B2E" w:rsidRDefault="00BE7F89" w:rsidP="00BE7F89">
      <w:pPr>
        <w:rPr>
          <w:rFonts w:eastAsia="SimSun"/>
        </w:rPr>
      </w:pPr>
      <w:r w:rsidRPr="00C07B2E">
        <w:rPr>
          <w:rFonts w:eastAsia="SimSun"/>
        </w:rPr>
        <w:t xml:space="preserve">Таблица </w:t>
      </w:r>
      <w:r>
        <w:rPr>
          <w:rFonts w:eastAsia="SimSun"/>
        </w:rPr>
        <w:t>5.</w:t>
      </w:r>
      <w:r w:rsidRPr="00C07B2E">
        <w:rPr>
          <w:rFonts w:eastAsia="SimSun"/>
        </w:rPr>
        <w:t xml:space="preserve">2.2 Схемы и режимы применения препаратов для кондиционирования и профилактики РТПХ со ссылками на </w:t>
      </w:r>
      <w:r>
        <w:rPr>
          <w:rFonts w:eastAsia="SimSun"/>
        </w:rPr>
        <w:t>таблицы с описанием</w:t>
      </w:r>
    </w:p>
    <w:p w14:paraId="2CCB41A3" w14:textId="77777777" w:rsidR="00BE7F89" w:rsidRPr="00C07B2E" w:rsidRDefault="00BE7F89" w:rsidP="00BE7F89">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865"/>
        <w:gridCol w:w="880"/>
        <w:gridCol w:w="1222"/>
        <w:gridCol w:w="1177"/>
        <w:gridCol w:w="1031"/>
        <w:gridCol w:w="1265"/>
        <w:gridCol w:w="1228"/>
        <w:gridCol w:w="902"/>
        <w:gridCol w:w="1356"/>
        <w:gridCol w:w="1091"/>
        <w:gridCol w:w="1142"/>
        <w:gridCol w:w="1125"/>
      </w:tblGrid>
      <w:tr w:rsidR="00BE7F89" w:rsidRPr="00470E23" w14:paraId="5EE7B44D" w14:textId="77777777" w:rsidTr="005A428D">
        <w:trPr>
          <w:cantSplit/>
          <w:trHeight w:val="498"/>
        </w:trPr>
        <w:tc>
          <w:tcPr>
            <w:tcW w:w="1387" w:type="pct"/>
            <w:gridSpan w:val="4"/>
            <w:vMerge w:val="restart"/>
            <w:shd w:val="clear" w:color="auto" w:fill="auto"/>
            <w:vAlign w:val="center"/>
          </w:tcPr>
          <w:p w14:paraId="0CA1C2DD" w14:textId="77777777" w:rsidR="00BE7F89" w:rsidRPr="00470E23" w:rsidRDefault="00BE7F89" w:rsidP="005A428D">
            <w:pPr>
              <w:rPr>
                <w:rFonts w:eastAsia="SimSun"/>
                <w:sz w:val="22"/>
              </w:rPr>
            </w:pPr>
            <w:r w:rsidRPr="00470E23">
              <w:rPr>
                <w:rFonts w:eastAsia="SimSun"/>
                <w:sz w:val="22"/>
              </w:rPr>
              <w:t>Профилактика РТПХ</w:t>
            </w:r>
          </w:p>
        </w:tc>
        <w:tc>
          <w:tcPr>
            <w:tcW w:w="3613" w:type="pct"/>
            <w:gridSpan w:val="9"/>
            <w:shd w:val="clear" w:color="auto" w:fill="auto"/>
            <w:vAlign w:val="center"/>
          </w:tcPr>
          <w:p w14:paraId="34BD580D" w14:textId="77777777" w:rsidR="00BE7F89" w:rsidRPr="00470E23" w:rsidRDefault="00BE7F89" w:rsidP="005A428D">
            <w:pPr>
              <w:rPr>
                <w:rFonts w:eastAsia="SimSun"/>
                <w:sz w:val="22"/>
              </w:rPr>
            </w:pPr>
            <w:r w:rsidRPr="00470E23">
              <w:rPr>
                <w:rFonts w:eastAsia="SimSun"/>
                <w:sz w:val="22"/>
              </w:rPr>
              <w:t>Режим кондиционирования</w:t>
            </w:r>
          </w:p>
        </w:tc>
      </w:tr>
      <w:tr w:rsidR="00BE7F89" w:rsidRPr="00470E23" w14:paraId="397AD77E" w14:textId="77777777" w:rsidTr="005A428D">
        <w:trPr>
          <w:cantSplit/>
          <w:trHeight w:val="433"/>
        </w:trPr>
        <w:tc>
          <w:tcPr>
            <w:tcW w:w="1387" w:type="pct"/>
            <w:gridSpan w:val="4"/>
            <w:vMerge/>
            <w:shd w:val="clear" w:color="auto" w:fill="auto"/>
            <w:vAlign w:val="center"/>
          </w:tcPr>
          <w:p w14:paraId="79FCD60B" w14:textId="77777777" w:rsidR="00BE7F89" w:rsidRPr="00470E23" w:rsidRDefault="00BE7F89" w:rsidP="005A428D">
            <w:pPr>
              <w:rPr>
                <w:rFonts w:eastAsia="SimSun"/>
                <w:sz w:val="22"/>
              </w:rPr>
            </w:pPr>
          </w:p>
        </w:tc>
        <w:tc>
          <w:tcPr>
            <w:tcW w:w="412" w:type="pct"/>
            <w:shd w:val="clear" w:color="auto" w:fill="D9D9D9"/>
            <w:vAlign w:val="center"/>
          </w:tcPr>
          <w:p w14:paraId="73AC6FA9" w14:textId="77777777" w:rsidR="00BE7F89" w:rsidRPr="00470E23" w:rsidRDefault="00BE7F89" w:rsidP="005A428D">
            <w:pPr>
              <w:rPr>
                <w:rFonts w:eastAsia="SimSun"/>
                <w:sz w:val="22"/>
              </w:rPr>
            </w:pPr>
            <w:r w:rsidRPr="00470E23">
              <w:rPr>
                <w:rFonts w:eastAsia="SimSun"/>
                <w:sz w:val="22"/>
              </w:rPr>
              <w:t>Flu90</w:t>
            </w:r>
          </w:p>
        </w:tc>
        <w:tc>
          <w:tcPr>
            <w:tcW w:w="803" w:type="pct"/>
            <w:gridSpan w:val="2"/>
            <w:tcBorders>
              <w:right w:val="single" w:sz="4" w:space="0" w:color="00000A"/>
            </w:tcBorders>
            <w:shd w:val="clear" w:color="auto" w:fill="D9D9D9"/>
            <w:vAlign w:val="center"/>
          </w:tcPr>
          <w:p w14:paraId="3944966A" w14:textId="77777777" w:rsidR="00BE7F89" w:rsidRPr="00470E23" w:rsidRDefault="00BE7F89" w:rsidP="005A428D">
            <w:pPr>
              <w:rPr>
                <w:rFonts w:eastAsia="SimSun"/>
                <w:sz w:val="22"/>
              </w:rPr>
            </w:pPr>
            <w:r w:rsidRPr="00470E23">
              <w:rPr>
                <w:rFonts w:eastAsia="SimSun"/>
                <w:sz w:val="22"/>
              </w:rPr>
              <w:t>Flu150</w:t>
            </w:r>
          </w:p>
        </w:tc>
        <w:tc>
          <w:tcPr>
            <w:tcW w:w="2398" w:type="pct"/>
            <w:gridSpan w:val="6"/>
            <w:tcBorders>
              <w:left w:val="single" w:sz="4" w:space="0" w:color="00000A"/>
            </w:tcBorders>
            <w:shd w:val="clear" w:color="auto" w:fill="D9D9D9"/>
            <w:vAlign w:val="center"/>
          </w:tcPr>
          <w:p w14:paraId="174B2944" w14:textId="77777777" w:rsidR="00BE7F89" w:rsidRPr="00470E23" w:rsidRDefault="00BE7F89" w:rsidP="005A428D">
            <w:pPr>
              <w:rPr>
                <w:rFonts w:eastAsia="SimSun"/>
                <w:sz w:val="22"/>
              </w:rPr>
            </w:pPr>
            <w:r w:rsidRPr="00470E23">
              <w:rPr>
                <w:rFonts w:eastAsia="SimSun"/>
                <w:sz w:val="22"/>
              </w:rPr>
              <w:t>Flu180</w:t>
            </w:r>
          </w:p>
        </w:tc>
      </w:tr>
      <w:tr w:rsidR="00BE7F89" w:rsidRPr="00470E23" w14:paraId="1839981F" w14:textId="77777777" w:rsidTr="005A428D">
        <w:trPr>
          <w:cantSplit/>
          <w:trHeight w:val="397"/>
        </w:trPr>
        <w:tc>
          <w:tcPr>
            <w:tcW w:w="1387" w:type="pct"/>
            <w:gridSpan w:val="4"/>
            <w:vMerge/>
            <w:shd w:val="clear" w:color="auto" w:fill="auto"/>
            <w:vAlign w:val="center"/>
          </w:tcPr>
          <w:p w14:paraId="38A9C2AF" w14:textId="77777777" w:rsidR="00BE7F89" w:rsidRPr="00470E23" w:rsidRDefault="00BE7F89" w:rsidP="005A428D">
            <w:pPr>
              <w:rPr>
                <w:rFonts w:eastAsia="SimSun"/>
                <w:sz w:val="22"/>
              </w:rPr>
            </w:pPr>
          </w:p>
        </w:tc>
        <w:tc>
          <w:tcPr>
            <w:tcW w:w="412" w:type="pct"/>
            <w:shd w:val="clear" w:color="auto" w:fill="D9D9D9"/>
            <w:vAlign w:val="center"/>
          </w:tcPr>
          <w:p w14:paraId="639E791B" w14:textId="77777777" w:rsidR="00BE7F89" w:rsidRPr="00470E23" w:rsidRDefault="00BE7F89" w:rsidP="005A428D">
            <w:pPr>
              <w:rPr>
                <w:rFonts w:eastAsia="SimSun"/>
                <w:sz w:val="22"/>
              </w:rPr>
            </w:pPr>
            <w:r w:rsidRPr="00470E23">
              <w:rPr>
                <w:rFonts w:eastAsia="SimSun"/>
                <w:sz w:val="22"/>
              </w:rPr>
              <w:t>Benda</w:t>
            </w:r>
          </w:p>
        </w:tc>
        <w:tc>
          <w:tcPr>
            <w:tcW w:w="361" w:type="pct"/>
            <w:tcBorders>
              <w:right w:val="single" w:sz="4" w:space="0" w:color="00000A"/>
            </w:tcBorders>
            <w:shd w:val="clear" w:color="auto" w:fill="D9D9D9"/>
            <w:vAlign w:val="center"/>
          </w:tcPr>
          <w:p w14:paraId="5198F03A" w14:textId="77777777" w:rsidR="00BE7F89" w:rsidRPr="00470E23" w:rsidRDefault="00BE7F89" w:rsidP="005A428D">
            <w:pPr>
              <w:rPr>
                <w:rFonts w:eastAsia="SimSun"/>
                <w:sz w:val="22"/>
              </w:rPr>
            </w:pPr>
            <w:r w:rsidRPr="00470E23">
              <w:rPr>
                <w:rFonts w:eastAsia="SimSun"/>
                <w:sz w:val="22"/>
              </w:rPr>
              <w:t>-</w:t>
            </w:r>
          </w:p>
        </w:tc>
        <w:tc>
          <w:tcPr>
            <w:tcW w:w="443" w:type="pct"/>
            <w:tcBorders>
              <w:left w:val="single" w:sz="4" w:space="0" w:color="00000A"/>
              <w:right w:val="single" w:sz="4" w:space="0" w:color="00000A"/>
            </w:tcBorders>
            <w:shd w:val="clear" w:color="auto" w:fill="D9D9D9"/>
            <w:vAlign w:val="center"/>
          </w:tcPr>
          <w:p w14:paraId="7344BEBA" w14:textId="77777777" w:rsidR="00BE7F89" w:rsidRPr="00470E23" w:rsidRDefault="00BE7F89" w:rsidP="005A428D">
            <w:pPr>
              <w:rPr>
                <w:rFonts w:eastAsia="SimSun"/>
                <w:sz w:val="22"/>
              </w:rPr>
            </w:pPr>
            <w:r w:rsidRPr="00470E23">
              <w:rPr>
                <w:rFonts w:eastAsia="SimSun"/>
                <w:sz w:val="22"/>
              </w:rPr>
              <w:t>Bu8</w:t>
            </w:r>
          </w:p>
        </w:tc>
        <w:tc>
          <w:tcPr>
            <w:tcW w:w="746" w:type="pct"/>
            <w:gridSpan w:val="2"/>
            <w:shd w:val="clear" w:color="auto" w:fill="D9D9D9"/>
            <w:vAlign w:val="center"/>
          </w:tcPr>
          <w:p w14:paraId="2F55E7B9" w14:textId="77777777" w:rsidR="00BE7F89" w:rsidRPr="00470E23" w:rsidRDefault="00BE7F89" w:rsidP="005A428D">
            <w:pPr>
              <w:rPr>
                <w:rFonts w:eastAsia="SimSun"/>
                <w:sz w:val="22"/>
              </w:rPr>
            </w:pPr>
            <w:r w:rsidRPr="00470E23">
              <w:rPr>
                <w:rFonts w:eastAsia="SimSun"/>
                <w:sz w:val="22"/>
              </w:rPr>
              <w:t>Bu8</w:t>
            </w:r>
          </w:p>
        </w:tc>
        <w:tc>
          <w:tcPr>
            <w:tcW w:w="475" w:type="pct"/>
            <w:shd w:val="clear" w:color="auto" w:fill="D9D9D9"/>
            <w:vAlign w:val="center"/>
          </w:tcPr>
          <w:p w14:paraId="0DA76B51" w14:textId="77777777" w:rsidR="00BE7F89" w:rsidRPr="00470E23" w:rsidRDefault="00BE7F89" w:rsidP="005A428D">
            <w:pPr>
              <w:rPr>
                <w:rFonts w:eastAsia="SimSun"/>
                <w:sz w:val="22"/>
              </w:rPr>
            </w:pPr>
            <w:r w:rsidRPr="00470E23">
              <w:rPr>
                <w:rFonts w:eastAsia="SimSun"/>
                <w:sz w:val="22"/>
              </w:rPr>
              <w:t>Bu10</w:t>
            </w:r>
          </w:p>
        </w:tc>
        <w:tc>
          <w:tcPr>
            <w:tcW w:w="382" w:type="pct"/>
            <w:shd w:val="clear" w:color="auto" w:fill="D9D9D9"/>
            <w:vAlign w:val="center"/>
          </w:tcPr>
          <w:p w14:paraId="6ACCC45C" w14:textId="77777777" w:rsidR="00BE7F89" w:rsidRPr="00470E23" w:rsidRDefault="00BE7F89" w:rsidP="005A428D">
            <w:pPr>
              <w:rPr>
                <w:rFonts w:eastAsia="SimSun"/>
                <w:sz w:val="22"/>
              </w:rPr>
            </w:pPr>
            <w:r w:rsidRPr="00470E23">
              <w:rPr>
                <w:rFonts w:eastAsia="SimSun"/>
                <w:sz w:val="22"/>
              </w:rPr>
              <w:t>Treo36</w:t>
            </w:r>
          </w:p>
        </w:tc>
        <w:tc>
          <w:tcPr>
            <w:tcW w:w="400" w:type="pct"/>
            <w:shd w:val="clear" w:color="auto" w:fill="D9D9D9"/>
            <w:vAlign w:val="center"/>
          </w:tcPr>
          <w:p w14:paraId="4C95F7A1" w14:textId="77777777" w:rsidR="00BE7F89" w:rsidRPr="00470E23" w:rsidRDefault="00BE7F89" w:rsidP="005A428D">
            <w:pPr>
              <w:rPr>
                <w:rFonts w:eastAsia="SimSun"/>
                <w:sz w:val="22"/>
              </w:rPr>
            </w:pPr>
            <w:r w:rsidRPr="00470E23">
              <w:rPr>
                <w:rFonts w:eastAsia="SimSun"/>
                <w:sz w:val="22"/>
              </w:rPr>
              <w:t>Cy1200</w:t>
            </w:r>
          </w:p>
        </w:tc>
        <w:tc>
          <w:tcPr>
            <w:tcW w:w="394" w:type="pct"/>
            <w:shd w:val="clear" w:color="auto" w:fill="D9D9D9"/>
            <w:vAlign w:val="center"/>
          </w:tcPr>
          <w:p w14:paraId="3049BF38" w14:textId="77777777" w:rsidR="00BE7F89" w:rsidRPr="00470E23" w:rsidRDefault="00BE7F89" w:rsidP="005A428D">
            <w:pPr>
              <w:rPr>
                <w:rFonts w:eastAsia="SimSun"/>
                <w:sz w:val="22"/>
              </w:rPr>
            </w:pPr>
            <w:r w:rsidRPr="00470E23">
              <w:rPr>
                <w:rFonts w:eastAsia="SimSun"/>
                <w:sz w:val="22"/>
              </w:rPr>
              <w:t>Mel100</w:t>
            </w:r>
          </w:p>
        </w:tc>
      </w:tr>
      <w:tr w:rsidR="00BE7F89" w:rsidRPr="00470E23" w14:paraId="5FB6A9AD" w14:textId="77777777" w:rsidTr="005A428D">
        <w:trPr>
          <w:cantSplit/>
          <w:trHeight w:val="417"/>
        </w:trPr>
        <w:tc>
          <w:tcPr>
            <w:tcW w:w="1387" w:type="pct"/>
            <w:gridSpan w:val="4"/>
            <w:vMerge/>
            <w:shd w:val="clear" w:color="auto" w:fill="auto"/>
            <w:vAlign w:val="center"/>
          </w:tcPr>
          <w:p w14:paraId="748D8964" w14:textId="77777777" w:rsidR="00BE7F89" w:rsidRPr="00470E23" w:rsidRDefault="00BE7F89" w:rsidP="005A428D">
            <w:pPr>
              <w:rPr>
                <w:rFonts w:eastAsia="SimSun"/>
                <w:sz w:val="22"/>
              </w:rPr>
            </w:pPr>
          </w:p>
        </w:tc>
        <w:tc>
          <w:tcPr>
            <w:tcW w:w="412" w:type="pct"/>
            <w:shd w:val="clear" w:color="auto" w:fill="D9D9D9"/>
            <w:vAlign w:val="center"/>
          </w:tcPr>
          <w:p w14:paraId="74DCC101" w14:textId="77777777" w:rsidR="00BE7F89" w:rsidRPr="00470E23" w:rsidRDefault="00BE7F89" w:rsidP="005A428D">
            <w:pPr>
              <w:rPr>
                <w:rFonts w:eastAsia="SimSun"/>
                <w:sz w:val="22"/>
              </w:rPr>
            </w:pPr>
            <w:r w:rsidRPr="00470E23">
              <w:rPr>
                <w:rFonts w:eastAsia="SimSun"/>
                <w:sz w:val="22"/>
              </w:rPr>
              <w:t>-</w:t>
            </w:r>
          </w:p>
        </w:tc>
        <w:tc>
          <w:tcPr>
            <w:tcW w:w="361" w:type="pct"/>
            <w:tcBorders>
              <w:right w:val="single" w:sz="4" w:space="0" w:color="00000A"/>
            </w:tcBorders>
            <w:shd w:val="clear" w:color="auto" w:fill="D9D9D9"/>
            <w:vAlign w:val="center"/>
          </w:tcPr>
          <w:p w14:paraId="53E530FC" w14:textId="77777777" w:rsidR="00BE7F89" w:rsidRPr="00470E23" w:rsidRDefault="00BE7F89" w:rsidP="005A428D">
            <w:pPr>
              <w:rPr>
                <w:rFonts w:eastAsia="SimSun"/>
                <w:sz w:val="22"/>
              </w:rPr>
            </w:pPr>
            <w:r w:rsidRPr="00470E23">
              <w:rPr>
                <w:rFonts w:eastAsia="SimSun"/>
                <w:sz w:val="22"/>
              </w:rPr>
              <w:t>Thio</w:t>
            </w:r>
          </w:p>
        </w:tc>
        <w:tc>
          <w:tcPr>
            <w:tcW w:w="443" w:type="pct"/>
            <w:tcBorders>
              <w:left w:val="single" w:sz="4" w:space="0" w:color="00000A"/>
            </w:tcBorders>
            <w:shd w:val="clear" w:color="auto" w:fill="D9D9D9"/>
            <w:vAlign w:val="center"/>
          </w:tcPr>
          <w:p w14:paraId="1A95037F" w14:textId="77777777" w:rsidR="00BE7F89" w:rsidRPr="00470E23" w:rsidRDefault="00BE7F89" w:rsidP="005A428D">
            <w:pPr>
              <w:rPr>
                <w:rFonts w:eastAsia="SimSun"/>
                <w:sz w:val="22"/>
              </w:rPr>
            </w:pPr>
            <w:r w:rsidRPr="00470E23">
              <w:rPr>
                <w:rFonts w:eastAsia="SimSun"/>
                <w:sz w:val="22"/>
              </w:rPr>
              <w:t>Thio</w:t>
            </w:r>
          </w:p>
        </w:tc>
        <w:tc>
          <w:tcPr>
            <w:tcW w:w="430" w:type="pct"/>
            <w:tcBorders>
              <w:right w:val="single" w:sz="4" w:space="0" w:color="00000A"/>
            </w:tcBorders>
            <w:shd w:val="clear" w:color="auto" w:fill="D9D9D9"/>
            <w:vAlign w:val="center"/>
          </w:tcPr>
          <w:p w14:paraId="61B3F1B5" w14:textId="77777777" w:rsidR="00BE7F89" w:rsidRPr="00470E23" w:rsidRDefault="00BE7F89" w:rsidP="005A428D">
            <w:pPr>
              <w:rPr>
                <w:rFonts w:eastAsia="SimSun"/>
                <w:sz w:val="22"/>
              </w:rPr>
            </w:pPr>
            <w:r w:rsidRPr="00470E23">
              <w:rPr>
                <w:rFonts w:eastAsia="SimSun"/>
                <w:sz w:val="22"/>
              </w:rPr>
              <w:t>-</w:t>
            </w:r>
          </w:p>
        </w:tc>
        <w:tc>
          <w:tcPr>
            <w:tcW w:w="316" w:type="pct"/>
            <w:tcBorders>
              <w:left w:val="single" w:sz="4" w:space="0" w:color="00000A"/>
            </w:tcBorders>
            <w:shd w:val="clear" w:color="auto" w:fill="D9D9D9"/>
            <w:vAlign w:val="center"/>
          </w:tcPr>
          <w:p w14:paraId="4F4C8D09" w14:textId="77777777" w:rsidR="00BE7F89" w:rsidRPr="00470E23" w:rsidRDefault="00BE7F89" w:rsidP="005A428D">
            <w:pPr>
              <w:rPr>
                <w:rFonts w:eastAsia="SimSun"/>
                <w:sz w:val="22"/>
              </w:rPr>
            </w:pPr>
            <w:r w:rsidRPr="00470E23">
              <w:rPr>
                <w:rFonts w:eastAsia="SimSun"/>
                <w:sz w:val="22"/>
              </w:rPr>
              <w:t>Thio</w:t>
            </w:r>
          </w:p>
        </w:tc>
        <w:tc>
          <w:tcPr>
            <w:tcW w:w="475" w:type="pct"/>
            <w:shd w:val="clear" w:color="auto" w:fill="D9D9D9"/>
            <w:vAlign w:val="center"/>
          </w:tcPr>
          <w:p w14:paraId="46CB7BC5" w14:textId="77777777" w:rsidR="00BE7F89" w:rsidRPr="00470E23" w:rsidRDefault="00BE7F89" w:rsidP="005A428D">
            <w:pPr>
              <w:rPr>
                <w:rFonts w:eastAsia="SimSun"/>
                <w:sz w:val="22"/>
              </w:rPr>
            </w:pPr>
            <w:r w:rsidRPr="00470E23">
              <w:rPr>
                <w:rFonts w:eastAsia="SimSun"/>
                <w:sz w:val="22"/>
              </w:rPr>
              <w:t>-</w:t>
            </w:r>
          </w:p>
        </w:tc>
        <w:tc>
          <w:tcPr>
            <w:tcW w:w="382" w:type="pct"/>
            <w:shd w:val="clear" w:color="auto" w:fill="D9D9D9"/>
            <w:vAlign w:val="center"/>
          </w:tcPr>
          <w:p w14:paraId="075804D2" w14:textId="77777777" w:rsidR="00BE7F89" w:rsidRPr="00470E23" w:rsidRDefault="00BE7F89" w:rsidP="005A428D">
            <w:pPr>
              <w:rPr>
                <w:rFonts w:eastAsia="SimSun"/>
                <w:sz w:val="22"/>
              </w:rPr>
            </w:pPr>
            <w:r w:rsidRPr="00470E23">
              <w:rPr>
                <w:rFonts w:eastAsia="SimSun"/>
                <w:sz w:val="22"/>
              </w:rPr>
              <w:t>-</w:t>
            </w:r>
          </w:p>
        </w:tc>
        <w:tc>
          <w:tcPr>
            <w:tcW w:w="400" w:type="pct"/>
            <w:shd w:val="clear" w:color="auto" w:fill="D9D9D9"/>
            <w:vAlign w:val="center"/>
          </w:tcPr>
          <w:p w14:paraId="56BD8E01" w14:textId="77777777" w:rsidR="00BE7F89" w:rsidRPr="00470E23" w:rsidRDefault="00BE7F89" w:rsidP="005A428D">
            <w:pPr>
              <w:rPr>
                <w:rFonts w:eastAsia="SimSun"/>
                <w:sz w:val="22"/>
              </w:rPr>
            </w:pPr>
          </w:p>
        </w:tc>
        <w:tc>
          <w:tcPr>
            <w:tcW w:w="394" w:type="pct"/>
            <w:shd w:val="clear" w:color="auto" w:fill="D9D9D9"/>
            <w:vAlign w:val="center"/>
          </w:tcPr>
          <w:p w14:paraId="40FDB287" w14:textId="77777777" w:rsidR="00BE7F89" w:rsidRPr="00470E23" w:rsidRDefault="00BE7F89" w:rsidP="005A428D">
            <w:pPr>
              <w:rPr>
                <w:rFonts w:eastAsia="SimSun"/>
                <w:sz w:val="22"/>
              </w:rPr>
            </w:pPr>
          </w:p>
        </w:tc>
      </w:tr>
      <w:tr w:rsidR="00BE7F89" w:rsidRPr="00470E23" w14:paraId="3913AAD9" w14:textId="77777777" w:rsidTr="005A428D">
        <w:trPr>
          <w:cantSplit/>
          <w:trHeight w:val="606"/>
        </w:trPr>
        <w:tc>
          <w:tcPr>
            <w:tcW w:w="348" w:type="pct"/>
            <w:vMerge w:val="restart"/>
            <w:shd w:val="clear" w:color="auto" w:fill="D9D9D9"/>
            <w:vAlign w:val="center"/>
          </w:tcPr>
          <w:p w14:paraId="7D983A5F" w14:textId="77777777" w:rsidR="00BE7F89" w:rsidRPr="00470E23" w:rsidRDefault="00BE7F89" w:rsidP="005A428D">
            <w:pPr>
              <w:rPr>
                <w:rFonts w:eastAsia="SimSun"/>
                <w:sz w:val="22"/>
              </w:rPr>
            </w:pPr>
            <w:r w:rsidRPr="00470E23">
              <w:rPr>
                <w:rFonts w:eastAsia="SimSun"/>
                <w:sz w:val="22"/>
              </w:rPr>
              <w:t>hATG</w:t>
            </w:r>
          </w:p>
        </w:tc>
        <w:tc>
          <w:tcPr>
            <w:tcW w:w="303" w:type="pct"/>
            <w:shd w:val="clear" w:color="auto" w:fill="D9D9D9"/>
            <w:vAlign w:val="center"/>
          </w:tcPr>
          <w:p w14:paraId="54043743" w14:textId="77777777" w:rsidR="00BE7F89" w:rsidRPr="00470E23" w:rsidRDefault="00BE7F89" w:rsidP="005A428D">
            <w:pPr>
              <w:rPr>
                <w:rFonts w:eastAsia="SimSun"/>
                <w:sz w:val="22"/>
              </w:rPr>
            </w:pPr>
            <w:r w:rsidRPr="00470E23">
              <w:rPr>
                <w:rFonts w:eastAsia="SimSun"/>
                <w:sz w:val="22"/>
              </w:rPr>
              <w:t>CSA</w:t>
            </w:r>
          </w:p>
        </w:tc>
        <w:tc>
          <w:tcPr>
            <w:tcW w:w="308" w:type="pct"/>
            <w:shd w:val="clear" w:color="auto" w:fill="D9D9D9"/>
            <w:vAlign w:val="center"/>
          </w:tcPr>
          <w:p w14:paraId="40C8DCC8" w14:textId="77777777" w:rsidR="00BE7F89" w:rsidRPr="00470E23" w:rsidRDefault="00BE7F89" w:rsidP="005A428D">
            <w:pPr>
              <w:rPr>
                <w:rFonts w:eastAsia="SimSun"/>
                <w:sz w:val="22"/>
              </w:rPr>
            </w:pPr>
            <w:r w:rsidRPr="00470E23">
              <w:rPr>
                <w:rFonts w:eastAsia="SimSun"/>
                <w:sz w:val="22"/>
              </w:rPr>
              <w:t>MTX</w:t>
            </w:r>
          </w:p>
        </w:tc>
        <w:tc>
          <w:tcPr>
            <w:tcW w:w="428" w:type="pct"/>
            <w:shd w:val="clear" w:color="auto" w:fill="D9D9D9"/>
            <w:vAlign w:val="center"/>
          </w:tcPr>
          <w:p w14:paraId="74CABD85" w14:textId="77777777" w:rsidR="00BE7F89" w:rsidRPr="00470E23" w:rsidRDefault="00BE7F89" w:rsidP="005A428D">
            <w:pPr>
              <w:rPr>
                <w:rFonts w:eastAsia="SimSun"/>
                <w:sz w:val="22"/>
              </w:rPr>
            </w:pPr>
            <w:r w:rsidRPr="00470E23">
              <w:rPr>
                <w:rFonts w:eastAsia="SimSun"/>
                <w:sz w:val="22"/>
              </w:rPr>
              <w:t>MMF45</w:t>
            </w:r>
          </w:p>
        </w:tc>
        <w:tc>
          <w:tcPr>
            <w:tcW w:w="412" w:type="pct"/>
            <w:shd w:val="clear" w:color="auto" w:fill="auto"/>
            <w:vAlign w:val="center"/>
          </w:tcPr>
          <w:p w14:paraId="20D5817E" w14:textId="77777777" w:rsidR="00BE7F89" w:rsidRPr="00470E23" w:rsidRDefault="00BE7F89" w:rsidP="005A428D">
            <w:pPr>
              <w:rPr>
                <w:rFonts w:eastAsia="SimSun"/>
                <w:sz w:val="22"/>
              </w:rPr>
            </w:pPr>
            <w:r w:rsidRPr="00470E23">
              <w:rPr>
                <w:rFonts w:eastAsia="SimSun"/>
                <w:sz w:val="22"/>
              </w:rPr>
              <w:t>-</w:t>
            </w:r>
          </w:p>
        </w:tc>
        <w:tc>
          <w:tcPr>
            <w:tcW w:w="361" w:type="pct"/>
            <w:tcBorders>
              <w:right w:val="single" w:sz="4" w:space="0" w:color="00000A"/>
            </w:tcBorders>
            <w:shd w:val="clear" w:color="auto" w:fill="auto"/>
            <w:vAlign w:val="center"/>
          </w:tcPr>
          <w:p w14:paraId="39D58116" w14:textId="77777777" w:rsidR="00BE7F89" w:rsidRPr="00470E23" w:rsidRDefault="00BE7F89" w:rsidP="005A428D">
            <w:pPr>
              <w:rPr>
                <w:rFonts w:eastAsia="SimSun"/>
                <w:sz w:val="22"/>
              </w:rPr>
            </w:pPr>
          </w:p>
        </w:tc>
        <w:tc>
          <w:tcPr>
            <w:tcW w:w="443" w:type="pct"/>
            <w:tcBorders>
              <w:left w:val="single" w:sz="4" w:space="0" w:color="00000A"/>
            </w:tcBorders>
            <w:shd w:val="clear" w:color="auto" w:fill="auto"/>
            <w:vAlign w:val="center"/>
          </w:tcPr>
          <w:p w14:paraId="4EC5F951" w14:textId="77777777" w:rsidR="00BE7F89" w:rsidRPr="00470E23" w:rsidRDefault="00BE7F89" w:rsidP="005A428D">
            <w:pPr>
              <w:rPr>
                <w:rFonts w:eastAsia="SimSun"/>
                <w:sz w:val="22"/>
              </w:rPr>
            </w:pPr>
            <w:r w:rsidRPr="00470E23">
              <w:rPr>
                <w:rFonts w:eastAsia="SimSun"/>
                <w:sz w:val="22"/>
              </w:rPr>
              <w:t>5.2.2.1</w:t>
            </w:r>
          </w:p>
        </w:tc>
        <w:tc>
          <w:tcPr>
            <w:tcW w:w="430" w:type="pct"/>
            <w:tcBorders>
              <w:right w:val="single" w:sz="4" w:space="0" w:color="00000A"/>
            </w:tcBorders>
            <w:shd w:val="clear" w:color="auto" w:fill="auto"/>
            <w:vAlign w:val="center"/>
          </w:tcPr>
          <w:p w14:paraId="1BFA677A" w14:textId="77777777" w:rsidR="00BE7F89" w:rsidRPr="00470E23" w:rsidRDefault="00BE7F89" w:rsidP="005A428D">
            <w:pPr>
              <w:rPr>
                <w:rFonts w:eastAsia="SimSun"/>
                <w:sz w:val="22"/>
              </w:rPr>
            </w:pPr>
            <w:r w:rsidRPr="00470E23">
              <w:rPr>
                <w:rFonts w:eastAsia="SimSun"/>
                <w:sz w:val="22"/>
              </w:rPr>
              <w:t>5.2.2.5</w:t>
            </w:r>
          </w:p>
        </w:tc>
        <w:tc>
          <w:tcPr>
            <w:tcW w:w="316" w:type="pct"/>
            <w:tcBorders>
              <w:left w:val="single" w:sz="4" w:space="0" w:color="00000A"/>
            </w:tcBorders>
            <w:shd w:val="clear" w:color="auto" w:fill="auto"/>
            <w:vAlign w:val="center"/>
          </w:tcPr>
          <w:p w14:paraId="70607EFF" w14:textId="77777777" w:rsidR="00BE7F89" w:rsidRPr="00470E23" w:rsidRDefault="00BE7F89" w:rsidP="005A428D">
            <w:pPr>
              <w:rPr>
                <w:rFonts w:eastAsia="SimSun"/>
                <w:sz w:val="22"/>
              </w:rPr>
            </w:pPr>
          </w:p>
        </w:tc>
        <w:tc>
          <w:tcPr>
            <w:tcW w:w="475" w:type="pct"/>
            <w:shd w:val="clear" w:color="auto" w:fill="auto"/>
            <w:vAlign w:val="center"/>
          </w:tcPr>
          <w:p w14:paraId="40F4E802" w14:textId="77777777" w:rsidR="00BE7F89" w:rsidRPr="00470E23" w:rsidRDefault="00BE7F89" w:rsidP="005A428D">
            <w:pPr>
              <w:rPr>
                <w:rFonts w:eastAsia="SimSun"/>
                <w:sz w:val="22"/>
              </w:rPr>
            </w:pPr>
          </w:p>
        </w:tc>
        <w:tc>
          <w:tcPr>
            <w:tcW w:w="382" w:type="pct"/>
            <w:shd w:val="clear" w:color="auto" w:fill="auto"/>
            <w:vAlign w:val="center"/>
          </w:tcPr>
          <w:p w14:paraId="0E7579CF" w14:textId="77777777" w:rsidR="00BE7F89" w:rsidRPr="00470E23" w:rsidRDefault="00BE7F89" w:rsidP="005A428D">
            <w:pPr>
              <w:rPr>
                <w:rFonts w:eastAsia="SimSun"/>
                <w:sz w:val="22"/>
              </w:rPr>
            </w:pPr>
          </w:p>
        </w:tc>
        <w:tc>
          <w:tcPr>
            <w:tcW w:w="400" w:type="pct"/>
            <w:shd w:val="clear" w:color="auto" w:fill="auto"/>
            <w:vAlign w:val="center"/>
          </w:tcPr>
          <w:p w14:paraId="4BCEAEF3" w14:textId="77777777" w:rsidR="00BE7F89" w:rsidRPr="00470E23" w:rsidRDefault="00BE7F89" w:rsidP="005A428D">
            <w:pPr>
              <w:rPr>
                <w:rFonts w:eastAsia="SimSun"/>
                <w:sz w:val="22"/>
              </w:rPr>
            </w:pPr>
          </w:p>
        </w:tc>
        <w:tc>
          <w:tcPr>
            <w:tcW w:w="394" w:type="pct"/>
            <w:vAlign w:val="center"/>
          </w:tcPr>
          <w:p w14:paraId="531A7552" w14:textId="77777777" w:rsidR="00BE7F89" w:rsidRPr="00470E23" w:rsidRDefault="00BE7F89" w:rsidP="005A428D">
            <w:pPr>
              <w:rPr>
                <w:rFonts w:eastAsia="SimSun"/>
                <w:sz w:val="22"/>
              </w:rPr>
            </w:pPr>
          </w:p>
        </w:tc>
      </w:tr>
      <w:tr w:rsidR="00BE7F89" w:rsidRPr="00470E23" w14:paraId="6F9B3D76" w14:textId="77777777" w:rsidTr="005A428D">
        <w:trPr>
          <w:cantSplit/>
          <w:trHeight w:val="606"/>
        </w:trPr>
        <w:tc>
          <w:tcPr>
            <w:tcW w:w="348" w:type="pct"/>
            <w:vMerge/>
            <w:shd w:val="clear" w:color="auto" w:fill="D9D9D9"/>
            <w:vAlign w:val="center"/>
          </w:tcPr>
          <w:p w14:paraId="428E1B6D" w14:textId="77777777" w:rsidR="00BE7F89" w:rsidRPr="00470E23" w:rsidRDefault="00BE7F89" w:rsidP="005A428D">
            <w:pPr>
              <w:rPr>
                <w:rFonts w:eastAsia="SimSun"/>
                <w:sz w:val="22"/>
              </w:rPr>
            </w:pPr>
          </w:p>
        </w:tc>
        <w:tc>
          <w:tcPr>
            <w:tcW w:w="303" w:type="pct"/>
            <w:shd w:val="clear" w:color="auto" w:fill="D9D9D9"/>
            <w:vAlign w:val="center"/>
          </w:tcPr>
          <w:p w14:paraId="60BF0135" w14:textId="77777777" w:rsidR="00BE7F89" w:rsidRPr="00470E23" w:rsidRDefault="00BE7F89" w:rsidP="005A428D">
            <w:pPr>
              <w:rPr>
                <w:rFonts w:eastAsia="SimSun"/>
                <w:sz w:val="22"/>
              </w:rPr>
            </w:pPr>
            <w:r w:rsidRPr="00470E23">
              <w:rPr>
                <w:rFonts w:eastAsia="SimSun"/>
                <w:sz w:val="22"/>
              </w:rPr>
              <w:t>Tx</w:t>
            </w:r>
          </w:p>
        </w:tc>
        <w:tc>
          <w:tcPr>
            <w:tcW w:w="308" w:type="pct"/>
            <w:shd w:val="clear" w:color="auto" w:fill="D9D9D9"/>
            <w:vAlign w:val="center"/>
          </w:tcPr>
          <w:p w14:paraId="1A9E3B94" w14:textId="77777777" w:rsidR="00BE7F89" w:rsidRPr="00470E23" w:rsidRDefault="00BE7F89" w:rsidP="005A428D">
            <w:pPr>
              <w:rPr>
                <w:rFonts w:eastAsia="SimSun"/>
                <w:sz w:val="22"/>
              </w:rPr>
            </w:pPr>
            <w:r w:rsidRPr="00470E23">
              <w:rPr>
                <w:rFonts w:eastAsia="SimSun"/>
                <w:sz w:val="22"/>
              </w:rPr>
              <w:t>-</w:t>
            </w:r>
          </w:p>
        </w:tc>
        <w:tc>
          <w:tcPr>
            <w:tcW w:w="428" w:type="pct"/>
            <w:shd w:val="clear" w:color="auto" w:fill="D9D9D9"/>
            <w:vAlign w:val="center"/>
          </w:tcPr>
          <w:p w14:paraId="436050C4" w14:textId="77777777" w:rsidR="00BE7F89" w:rsidRPr="00470E23" w:rsidRDefault="00BE7F89" w:rsidP="005A428D">
            <w:pPr>
              <w:rPr>
                <w:rFonts w:eastAsia="SimSun"/>
                <w:sz w:val="22"/>
              </w:rPr>
            </w:pPr>
            <w:r w:rsidRPr="00470E23">
              <w:rPr>
                <w:rFonts w:eastAsia="SimSun"/>
                <w:sz w:val="22"/>
              </w:rPr>
              <w:t>MMF30</w:t>
            </w:r>
          </w:p>
        </w:tc>
        <w:tc>
          <w:tcPr>
            <w:tcW w:w="412" w:type="pct"/>
            <w:shd w:val="clear" w:color="auto" w:fill="auto"/>
            <w:vAlign w:val="center"/>
          </w:tcPr>
          <w:p w14:paraId="61074B4A" w14:textId="77777777" w:rsidR="00BE7F89" w:rsidRPr="00470E23" w:rsidRDefault="00BE7F89" w:rsidP="005A428D">
            <w:pPr>
              <w:rPr>
                <w:rFonts w:eastAsia="SimSun"/>
                <w:sz w:val="22"/>
              </w:rPr>
            </w:pPr>
          </w:p>
        </w:tc>
        <w:tc>
          <w:tcPr>
            <w:tcW w:w="361" w:type="pct"/>
            <w:tcBorders>
              <w:right w:val="single" w:sz="4" w:space="0" w:color="00000A"/>
            </w:tcBorders>
            <w:shd w:val="clear" w:color="auto" w:fill="auto"/>
            <w:vAlign w:val="center"/>
          </w:tcPr>
          <w:p w14:paraId="6FE038C9" w14:textId="77777777" w:rsidR="00BE7F89" w:rsidRPr="00470E23" w:rsidRDefault="00BE7F89" w:rsidP="005A428D">
            <w:pPr>
              <w:rPr>
                <w:rFonts w:eastAsia="SimSun"/>
                <w:sz w:val="22"/>
              </w:rPr>
            </w:pPr>
            <w:r w:rsidRPr="00470E23">
              <w:rPr>
                <w:rFonts w:eastAsia="SimSun"/>
                <w:sz w:val="22"/>
              </w:rPr>
              <w:t>5.2.2.17</w:t>
            </w:r>
          </w:p>
        </w:tc>
        <w:tc>
          <w:tcPr>
            <w:tcW w:w="443" w:type="pct"/>
            <w:tcBorders>
              <w:left w:val="single" w:sz="4" w:space="0" w:color="00000A"/>
            </w:tcBorders>
            <w:shd w:val="clear" w:color="auto" w:fill="auto"/>
            <w:vAlign w:val="center"/>
          </w:tcPr>
          <w:p w14:paraId="07EF6E3C" w14:textId="77777777" w:rsidR="00BE7F89" w:rsidRPr="00470E23" w:rsidRDefault="00BE7F89" w:rsidP="005A428D">
            <w:pPr>
              <w:rPr>
                <w:rFonts w:eastAsia="SimSun"/>
                <w:sz w:val="22"/>
              </w:rPr>
            </w:pPr>
          </w:p>
        </w:tc>
        <w:tc>
          <w:tcPr>
            <w:tcW w:w="430" w:type="pct"/>
            <w:tcBorders>
              <w:right w:val="single" w:sz="4" w:space="0" w:color="00000A"/>
            </w:tcBorders>
            <w:shd w:val="clear" w:color="auto" w:fill="auto"/>
            <w:vAlign w:val="center"/>
          </w:tcPr>
          <w:p w14:paraId="0764A6FA" w14:textId="77777777" w:rsidR="00BE7F89" w:rsidRPr="00470E23" w:rsidRDefault="00BE7F89" w:rsidP="005A428D">
            <w:pPr>
              <w:rPr>
                <w:rFonts w:eastAsia="SimSun"/>
                <w:sz w:val="22"/>
              </w:rPr>
            </w:pPr>
          </w:p>
        </w:tc>
        <w:tc>
          <w:tcPr>
            <w:tcW w:w="316" w:type="pct"/>
            <w:tcBorders>
              <w:left w:val="single" w:sz="4" w:space="0" w:color="00000A"/>
            </w:tcBorders>
            <w:shd w:val="clear" w:color="auto" w:fill="auto"/>
            <w:vAlign w:val="center"/>
          </w:tcPr>
          <w:p w14:paraId="3B667A9F" w14:textId="77777777" w:rsidR="00BE7F89" w:rsidRPr="00470E23" w:rsidRDefault="00BE7F89" w:rsidP="005A428D">
            <w:pPr>
              <w:rPr>
                <w:rFonts w:eastAsia="SimSun"/>
                <w:sz w:val="22"/>
              </w:rPr>
            </w:pPr>
          </w:p>
        </w:tc>
        <w:tc>
          <w:tcPr>
            <w:tcW w:w="475" w:type="pct"/>
            <w:shd w:val="clear" w:color="auto" w:fill="auto"/>
            <w:vAlign w:val="center"/>
          </w:tcPr>
          <w:p w14:paraId="657AE945" w14:textId="77777777" w:rsidR="00BE7F89" w:rsidRPr="00470E23" w:rsidRDefault="00BE7F89" w:rsidP="005A428D">
            <w:pPr>
              <w:rPr>
                <w:rFonts w:eastAsia="SimSun"/>
                <w:sz w:val="22"/>
              </w:rPr>
            </w:pPr>
          </w:p>
        </w:tc>
        <w:tc>
          <w:tcPr>
            <w:tcW w:w="382" w:type="pct"/>
            <w:shd w:val="clear" w:color="auto" w:fill="auto"/>
            <w:vAlign w:val="center"/>
          </w:tcPr>
          <w:p w14:paraId="3753EF28" w14:textId="77777777" w:rsidR="00BE7F89" w:rsidRPr="00470E23" w:rsidRDefault="00BE7F89" w:rsidP="005A428D">
            <w:pPr>
              <w:rPr>
                <w:rFonts w:eastAsia="SimSun"/>
                <w:sz w:val="22"/>
              </w:rPr>
            </w:pPr>
          </w:p>
        </w:tc>
        <w:tc>
          <w:tcPr>
            <w:tcW w:w="400" w:type="pct"/>
            <w:shd w:val="clear" w:color="auto" w:fill="auto"/>
            <w:vAlign w:val="center"/>
          </w:tcPr>
          <w:p w14:paraId="2A0AAB5F" w14:textId="77777777" w:rsidR="00BE7F89" w:rsidRPr="00470E23" w:rsidRDefault="00BE7F89" w:rsidP="005A428D">
            <w:pPr>
              <w:rPr>
                <w:rFonts w:eastAsia="SimSun"/>
                <w:sz w:val="22"/>
              </w:rPr>
            </w:pPr>
            <w:r w:rsidRPr="00470E23">
              <w:rPr>
                <w:rFonts w:eastAsia="SimSun"/>
                <w:sz w:val="22"/>
              </w:rPr>
              <w:t>5.2.2.19</w:t>
            </w:r>
          </w:p>
        </w:tc>
        <w:tc>
          <w:tcPr>
            <w:tcW w:w="394" w:type="pct"/>
            <w:vAlign w:val="center"/>
          </w:tcPr>
          <w:p w14:paraId="765D2D2E" w14:textId="77777777" w:rsidR="00BE7F89" w:rsidRPr="00470E23" w:rsidRDefault="00BE7F89" w:rsidP="005A428D">
            <w:pPr>
              <w:rPr>
                <w:rFonts w:eastAsia="SimSun"/>
                <w:sz w:val="22"/>
              </w:rPr>
            </w:pPr>
          </w:p>
        </w:tc>
      </w:tr>
      <w:tr w:rsidR="00BE7F89" w:rsidRPr="00470E23" w14:paraId="4E53B1BD" w14:textId="77777777" w:rsidTr="005A428D">
        <w:trPr>
          <w:cantSplit/>
          <w:trHeight w:val="606"/>
        </w:trPr>
        <w:tc>
          <w:tcPr>
            <w:tcW w:w="348" w:type="pct"/>
            <w:vMerge w:val="restart"/>
            <w:shd w:val="clear" w:color="auto" w:fill="D9D9D9"/>
            <w:vAlign w:val="center"/>
          </w:tcPr>
          <w:p w14:paraId="3191CC88" w14:textId="77777777" w:rsidR="00BE7F89" w:rsidRPr="00470E23" w:rsidRDefault="00BE7F89" w:rsidP="005A428D">
            <w:pPr>
              <w:rPr>
                <w:rFonts w:eastAsia="SimSun"/>
                <w:sz w:val="22"/>
              </w:rPr>
            </w:pPr>
            <w:r w:rsidRPr="00470E23">
              <w:rPr>
                <w:rFonts w:eastAsia="SimSun"/>
                <w:sz w:val="22"/>
              </w:rPr>
              <w:t>rATG</w:t>
            </w:r>
          </w:p>
        </w:tc>
        <w:tc>
          <w:tcPr>
            <w:tcW w:w="303" w:type="pct"/>
            <w:shd w:val="clear" w:color="auto" w:fill="D9D9D9"/>
            <w:vAlign w:val="center"/>
          </w:tcPr>
          <w:p w14:paraId="41605034" w14:textId="77777777" w:rsidR="00BE7F89" w:rsidRPr="00470E23" w:rsidRDefault="00BE7F89" w:rsidP="005A428D">
            <w:pPr>
              <w:rPr>
                <w:rFonts w:eastAsia="SimSun"/>
                <w:sz w:val="22"/>
              </w:rPr>
            </w:pPr>
            <w:r w:rsidRPr="00470E23">
              <w:rPr>
                <w:rFonts w:eastAsia="SimSun"/>
                <w:sz w:val="22"/>
              </w:rPr>
              <w:t>CSA</w:t>
            </w:r>
          </w:p>
        </w:tc>
        <w:tc>
          <w:tcPr>
            <w:tcW w:w="308" w:type="pct"/>
            <w:shd w:val="clear" w:color="auto" w:fill="D9D9D9"/>
            <w:vAlign w:val="center"/>
          </w:tcPr>
          <w:p w14:paraId="26F1A9B8" w14:textId="77777777" w:rsidR="00BE7F89" w:rsidRPr="00470E23" w:rsidRDefault="00BE7F89" w:rsidP="005A428D">
            <w:pPr>
              <w:rPr>
                <w:rFonts w:eastAsia="SimSun"/>
                <w:sz w:val="22"/>
              </w:rPr>
            </w:pPr>
            <w:r w:rsidRPr="00470E23">
              <w:rPr>
                <w:rFonts w:eastAsia="SimSun"/>
                <w:sz w:val="22"/>
              </w:rPr>
              <w:t>MTX</w:t>
            </w:r>
          </w:p>
        </w:tc>
        <w:tc>
          <w:tcPr>
            <w:tcW w:w="428" w:type="pct"/>
            <w:shd w:val="clear" w:color="auto" w:fill="D9D9D9"/>
            <w:vAlign w:val="center"/>
          </w:tcPr>
          <w:p w14:paraId="2008AE9E" w14:textId="77777777" w:rsidR="00BE7F89" w:rsidRPr="00470E23" w:rsidRDefault="00BE7F89" w:rsidP="005A428D">
            <w:pPr>
              <w:rPr>
                <w:rFonts w:eastAsia="SimSun"/>
                <w:sz w:val="22"/>
              </w:rPr>
            </w:pPr>
            <w:r w:rsidRPr="00470E23">
              <w:rPr>
                <w:rFonts w:eastAsia="SimSun"/>
                <w:sz w:val="22"/>
              </w:rPr>
              <w:t>MMF45</w:t>
            </w:r>
          </w:p>
        </w:tc>
        <w:tc>
          <w:tcPr>
            <w:tcW w:w="412" w:type="pct"/>
            <w:shd w:val="clear" w:color="auto" w:fill="auto"/>
            <w:vAlign w:val="center"/>
          </w:tcPr>
          <w:p w14:paraId="081FB4C6" w14:textId="77777777" w:rsidR="00BE7F89" w:rsidRPr="00470E23" w:rsidRDefault="00BE7F89" w:rsidP="005A428D">
            <w:pPr>
              <w:rPr>
                <w:rFonts w:eastAsia="SimSun"/>
                <w:sz w:val="22"/>
              </w:rPr>
            </w:pPr>
          </w:p>
        </w:tc>
        <w:tc>
          <w:tcPr>
            <w:tcW w:w="361" w:type="pct"/>
            <w:tcBorders>
              <w:right w:val="single" w:sz="4" w:space="0" w:color="00000A"/>
            </w:tcBorders>
            <w:shd w:val="clear" w:color="auto" w:fill="auto"/>
            <w:vAlign w:val="center"/>
          </w:tcPr>
          <w:p w14:paraId="4366CD72" w14:textId="77777777" w:rsidR="00BE7F89" w:rsidRPr="00470E23" w:rsidRDefault="00BE7F89" w:rsidP="005A428D">
            <w:pPr>
              <w:rPr>
                <w:rFonts w:eastAsia="SimSun"/>
                <w:sz w:val="22"/>
              </w:rPr>
            </w:pPr>
          </w:p>
        </w:tc>
        <w:tc>
          <w:tcPr>
            <w:tcW w:w="443" w:type="pct"/>
            <w:tcBorders>
              <w:left w:val="single" w:sz="4" w:space="0" w:color="00000A"/>
            </w:tcBorders>
            <w:shd w:val="clear" w:color="auto" w:fill="auto"/>
            <w:vAlign w:val="center"/>
          </w:tcPr>
          <w:p w14:paraId="59E46D1F" w14:textId="77777777" w:rsidR="00BE7F89" w:rsidRPr="00470E23" w:rsidRDefault="00BE7F89" w:rsidP="005A428D">
            <w:pPr>
              <w:rPr>
                <w:rFonts w:eastAsia="SimSun"/>
                <w:sz w:val="22"/>
              </w:rPr>
            </w:pPr>
            <w:r w:rsidRPr="00470E23">
              <w:rPr>
                <w:rFonts w:eastAsia="SimSun"/>
                <w:sz w:val="22"/>
              </w:rPr>
              <w:t>5.2.2.2</w:t>
            </w:r>
          </w:p>
        </w:tc>
        <w:tc>
          <w:tcPr>
            <w:tcW w:w="430" w:type="pct"/>
            <w:tcBorders>
              <w:right w:val="single" w:sz="4" w:space="0" w:color="00000A"/>
            </w:tcBorders>
            <w:shd w:val="clear" w:color="auto" w:fill="auto"/>
            <w:vAlign w:val="center"/>
          </w:tcPr>
          <w:p w14:paraId="2B3B2EE1" w14:textId="77777777" w:rsidR="00BE7F89" w:rsidRPr="00470E23" w:rsidRDefault="00BE7F89" w:rsidP="005A428D">
            <w:pPr>
              <w:rPr>
                <w:rFonts w:eastAsia="SimSun"/>
                <w:sz w:val="22"/>
              </w:rPr>
            </w:pPr>
            <w:r w:rsidRPr="00470E23">
              <w:rPr>
                <w:rFonts w:eastAsia="SimSun"/>
                <w:sz w:val="22"/>
              </w:rPr>
              <w:t>5.2.2.6</w:t>
            </w:r>
          </w:p>
        </w:tc>
        <w:tc>
          <w:tcPr>
            <w:tcW w:w="316" w:type="pct"/>
            <w:tcBorders>
              <w:left w:val="single" w:sz="4" w:space="0" w:color="00000A"/>
            </w:tcBorders>
            <w:shd w:val="clear" w:color="auto" w:fill="auto"/>
            <w:vAlign w:val="center"/>
          </w:tcPr>
          <w:p w14:paraId="188247CE" w14:textId="77777777" w:rsidR="00BE7F89" w:rsidRPr="00470E23" w:rsidRDefault="00BE7F89" w:rsidP="005A428D">
            <w:pPr>
              <w:rPr>
                <w:rFonts w:eastAsia="SimSun"/>
                <w:sz w:val="22"/>
              </w:rPr>
            </w:pPr>
          </w:p>
        </w:tc>
        <w:tc>
          <w:tcPr>
            <w:tcW w:w="475" w:type="pct"/>
            <w:shd w:val="clear" w:color="auto" w:fill="auto"/>
            <w:vAlign w:val="center"/>
          </w:tcPr>
          <w:p w14:paraId="59096A0C" w14:textId="77777777" w:rsidR="00BE7F89" w:rsidRPr="00470E23" w:rsidRDefault="00BE7F89" w:rsidP="005A428D">
            <w:pPr>
              <w:rPr>
                <w:rFonts w:eastAsia="SimSun"/>
                <w:sz w:val="22"/>
              </w:rPr>
            </w:pPr>
          </w:p>
        </w:tc>
        <w:tc>
          <w:tcPr>
            <w:tcW w:w="382" w:type="pct"/>
            <w:shd w:val="clear" w:color="auto" w:fill="auto"/>
            <w:vAlign w:val="center"/>
          </w:tcPr>
          <w:p w14:paraId="593641BF" w14:textId="77777777" w:rsidR="00BE7F89" w:rsidRPr="00470E23" w:rsidRDefault="00BE7F89" w:rsidP="005A428D">
            <w:pPr>
              <w:rPr>
                <w:rFonts w:eastAsia="SimSun"/>
                <w:sz w:val="22"/>
              </w:rPr>
            </w:pPr>
          </w:p>
        </w:tc>
        <w:tc>
          <w:tcPr>
            <w:tcW w:w="400" w:type="pct"/>
            <w:shd w:val="clear" w:color="auto" w:fill="auto"/>
            <w:vAlign w:val="center"/>
          </w:tcPr>
          <w:p w14:paraId="1185321A" w14:textId="77777777" w:rsidR="00BE7F89" w:rsidRPr="00470E23" w:rsidRDefault="00BE7F89" w:rsidP="005A428D">
            <w:pPr>
              <w:rPr>
                <w:rFonts w:eastAsia="SimSun"/>
                <w:sz w:val="22"/>
              </w:rPr>
            </w:pPr>
          </w:p>
        </w:tc>
        <w:tc>
          <w:tcPr>
            <w:tcW w:w="394" w:type="pct"/>
            <w:vAlign w:val="center"/>
          </w:tcPr>
          <w:p w14:paraId="3DDFD0A2" w14:textId="77777777" w:rsidR="00BE7F89" w:rsidRPr="00470E23" w:rsidRDefault="00BE7F89" w:rsidP="005A428D">
            <w:pPr>
              <w:rPr>
                <w:rFonts w:eastAsia="SimSun"/>
                <w:sz w:val="22"/>
              </w:rPr>
            </w:pPr>
          </w:p>
        </w:tc>
      </w:tr>
      <w:tr w:rsidR="00BE7F89" w:rsidRPr="00470E23" w14:paraId="02847685" w14:textId="77777777" w:rsidTr="005A428D">
        <w:trPr>
          <w:cantSplit/>
          <w:trHeight w:val="606"/>
        </w:trPr>
        <w:tc>
          <w:tcPr>
            <w:tcW w:w="348" w:type="pct"/>
            <w:vMerge/>
            <w:shd w:val="clear" w:color="auto" w:fill="D9D9D9"/>
            <w:vAlign w:val="center"/>
          </w:tcPr>
          <w:p w14:paraId="7BD68629" w14:textId="77777777" w:rsidR="00BE7F89" w:rsidRPr="00470E23" w:rsidRDefault="00BE7F89" w:rsidP="005A428D">
            <w:pPr>
              <w:rPr>
                <w:rFonts w:eastAsia="SimSun"/>
                <w:sz w:val="22"/>
              </w:rPr>
            </w:pPr>
          </w:p>
        </w:tc>
        <w:tc>
          <w:tcPr>
            <w:tcW w:w="303" w:type="pct"/>
            <w:shd w:val="clear" w:color="auto" w:fill="D9D9D9"/>
            <w:vAlign w:val="center"/>
          </w:tcPr>
          <w:p w14:paraId="6FE5BF50" w14:textId="77777777" w:rsidR="00BE7F89" w:rsidRPr="00470E23" w:rsidRDefault="00BE7F89" w:rsidP="005A428D">
            <w:pPr>
              <w:rPr>
                <w:rFonts w:eastAsia="SimSun"/>
                <w:sz w:val="22"/>
              </w:rPr>
            </w:pPr>
            <w:r w:rsidRPr="00470E23">
              <w:rPr>
                <w:rFonts w:eastAsia="SimSun"/>
                <w:sz w:val="22"/>
              </w:rPr>
              <w:t>Tx</w:t>
            </w:r>
          </w:p>
        </w:tc>
        <w:tc>
          <w:tcPr>
            <w:tcW w:w="308" w:type="pct"/>
            <w:shd w:val="clear" w:color="auto" w:fill="D9D9D9"/>
            <w:vAlign w:val="center"/>
          </w:tcPr>
          <w:p w14:paraId="5BE959F8" w14:textId="77777777" w:rsidR="00BE7F89" w:rsidRPr="00470E23" w:rsidRDefault="00BE7F89" w:rsidP="005A428D">
            <w:pPr>
              <w:rPr>
                <w:rFonts w:eastAsia="SimSun"/>
                <w:sz w:val="22"/>
              </w:rPr>
            </w:pPr>
            <w:r w:rsidRPr="00470E23">
              <w:rPr>
                <w:rFonts w:eastAsia="SimSun"/>
                <w:sz w:val="22"/>
              </w:rPr>
              <w:t>-</w:t>
            </w:r>
          </w:p>
        </w:tc>
        <w:tc>
          <w:tcPr>
            <w:tcW w:w="428" w:type="pct"/>
            <w:shd w:val="clear" w:color="auto" w:fill="D9D9D9"/>
            <w:vAlign w:val="center"/>
          </w:tcPr>
          <w:p w14:paraId="222D6D51" w14:textId="77777777" w:rsidR="00BE7F89" w:rsidRPr="00470E23" w:rsidRDefault="00BE7F89" w:rsidP="005A428D">
            <w:pPr>
              <w:rPr>
                <w:rFonts w:eastAsia="SimSun"/>
                <w:sz w:val="22"/>
              </w:rPr>
            </w:pPr>
            <w:r w:rsidRPr="00470E23">
              <w:rPr>
                <w:rFonts w:eastAsia="SimSun"/>
                <w:sz w:val="22"/>
              </w:rPr>
              <w:t>MMF30</w:t>
            </w:r>
          </w:p>
        </w:tc>
        <w:tc>
          <w:tcPr>
            <w:tcW w:w="412" w:type="pct"/>
            <w:shd w:val="clear" w:color="auto" w:fill="auto"/>
            <w:vAlign w:val="center"/>
          </w:tcPr>
          <w:p w14:paraId="43C77752" w14:textId="77777777" w:rsidR="00BE7F89" w:rsidRPr="00470E23" w:rsidRDefault="00BE7F89" w:rsidP="005A428D">
            <w:pPr>
              <w:rPr>
                <w:rFonts w:eastAsia="SimSun"/>
                <w:sz w:val="22"/>
              </w:rPr>
            </w:pPr>
          </w:p>
        </w:tc>
        <w:tc>
          <w:tcPr>
            <w:tcW w:w="361" w:type="pct"/>
            <w:tcBorders>
              <w:right w:val="single" w:sz="4" w:space="0" w:color="00000A"/>
            </w:tcBorders>
            <w:shd w:val="clear" w:color="auto" w:fill="auto"/>
            <w:vAlign w:val="center"/>
          </w:tcPr>
          <w:p w14:paraId="563955C9" w14:textId="77777777" w:rsidR="00BE7F89" w:rsidRPr="00470E23" w:rsidRDefault="00BE7F89" w:rsidP="005A428D">
            <w:pPr>
              <w:rPr>
                <w:rFonts w:eastAsia="SimSun"/>
                <w:sz w:val="22"/>
              </w:rPr>
            </w:pPr>
          </w:p>
        </w:tc>
        <w:tc>
          <w:tcPr>
            <w:tcW w:w="443" w:type="pct"/>
            <w:tcBorders>
              <w:left w:val="single" w:sz="4" w:space="0" w:color="00000A"/>
            </w:tcBorders>
            <w:shd w:val="clear" w:color="auto" w:fill="auto"/>
            <w:vAlign w:val="center"/>
          </w:tcPr>
          <w:p w14:paraId="709CE76B" w14:textId="77777777" w:rsidR="00BE7F89" w:rsidRPr="00470E23" w:rsidRDefault="00BE7F89" w:rsidP="005A428D">
            <w:pPr>
              <w:rPr>
                <w:rFonts w:eastAsia="SimSun"/>
                <w:sz w:val="22"/>
              </w:rPr>
            </w:pPr>
          </w:p>
        </w:tc>
        <w:tc>
          <w:tcPr>
            <w:tcW w:w="430" w:type="pct"/>
            <w:tcBorders>
              <w:right w:val="single" w:sz="4" w:space="0" w:color="00000A"/>
            </w:tcBorders>
            <w:shd w:val="clear" w:color="auto" w:fill="auto"/>
            <w:vAlign w:val="center"/>
          </w:tcPr>
          <w:p w14:paraId="4E66E72F" w14:textId="77777777" w:rsidR="00BE7F89" w:rsidRPr="00470E23" w:rsidRDefault="00BE7F89" w:rsidP="005A428D">
            <w:pPr>
              <w:rPr>
                <w:rFonts w:eastAsia="SimSun"/>
                <w:sz w:val="22"/>
              </w:rPr>
            </w:pPr>
          </w:p>
        </w:tc>
        <w:tc>
          <w:tcPr>
            <w:tcW w:w="316" w:type="pct"/>
            <w:tcBorders>
              <w:left w:val="single" w:sz="4" w:space="0" w:color="00000A"/>
            </w:tcBorders>
            <w:shd w:val="clear" w:color="auto" w:fill="auto"/>
            <w:vAlign w:val="center"/>
          </w:tcPr>
          <w:p w14:paraId="5CBFE4E4" w14:textId="77777777" w:rsidR="00BE7F89" w:rsidRPr="00470E23" w:rsidRDefault="00BE7F89" w:rsidP="005A428D">
            <w:pPr>
              <w:rPr>
                <w:rFonts w:eastAsia="SimSun"/>
                <w:sz w:val="22"/>
              </w:rPr>
            </w:pPr>
          </w:p>
        </w:tc>
        <w:tc>
          <w:tcPr>
            <w:tcW w:w="475" w:type="pct"/>
            <w:shd w:val="clear" w:color="auto" w:fill="auto"/>
            <w:vAlign w:val="center"/>
          </w:tcPr>
          <w:p w14:paraId="48BCF178" w14:textId="77777777" w:rsidR="00BE7F89" w:rsidRPr="00470E23" w:rsidRDefault="00BE7F89" w:rsidP="005A428D">
            <w:pPr>
              <w:rPr>
                <w:rFonts w:eastAsia="SimSun"/>
                <w:sz w:val="22"/>
              </w:rPr>
            </w:pPr>
          </w:p>
        </w:tc>
        <w:tc>
          <w:tcPr>
            <w:tcW w:w="382" w:type="pct"/>
            <w:shd w:val="clear" w:color="auto" w:fill="auto"/>
            <w:vAlign w:val="center"/>
          </w:tcPr>
          <w:p w14:paraId="13885EFD" w14:textId="77777777" w:rsidR="00BE7F89" w:rsidRPr="00470E23" w:rsidRDefault="00BE7F89" w:rsidP="005A428D">
            <w:pPr>
              <w:rPr>
                <w:rFonts w:eastAsia="SimSun"/>
                <w:sz w:val="22"/>
              </w:rPr>
            </w:pPr>
          </w:p>
        </w:tc>
        <w:tc>
          <w:tcPr>
            <w:tcW w:w="400" w:type="pct"/>
            <w:shd w:val="clear" w:color="auto" w:fill="auto"/>
            <w:vAlign w:val="center"/>
          </w:tcPr>
          <w:p w14:paraId="71B0D3F1" w14:textId="77777777" w:rsidR="00BE7F89" w:rsidRPr="00470E23" w:rsidRDefault="00BE7F89" w:rsidP="005A428D">
            <w:pPr>
              <w:rPr>
                <w:rFonts w:eastAsia="SimSun"/>
                <w:sz w:val="22"/>
              </w:rPr>
            </w:pPr>
            <w:r w:rsidRPr="00470E23">
              <w:rPr>
                <w:rFonts w:eastAsia="SimSun"/>
                <w:sz w:val="22"/>
              </w:rPr>
              <w:t>5.2.2.20</w:t>
            </w:r>
          </w:p>
        </w:tc>
        <w:tc>
          <w:tcPr>
            <w:tcW w:w="394" w:type="pct"/>
            <w:vAlign w:val="center"/>
          </w:tcPr>
          <w:p w14:paraId="27BFC20F" w14:textId="77777777" w:rsidR="00BE7F89" w:rsidRPr="00470E23" w:rsidRDefault="00BE7F89" w:rsidP="005A428D">
            <w:pPr>
              <w:rPr>
                <w:rFonts w:eastAsia="SimSun"/>
                <w:sz w:val="22"/>
              </w:rPr>
            </w:pPr>
          </w:p>
        </w:tc>
      </w:tr>
      <w:tr w:rsidR="00BE7F89" w:rsidRPr="00470E23" w14:paraId="754D1D2F" w14:textId="77777777" w:rsidTr="005A428D">
        <w:trPr>
          <w:cantSplit/>
          <w:trHeight w:val="606"/>
        </w:trPr>
        <w:tc>
          <w:tcPr>
            <w:tcW w:w="348" w:type="pct"/>
            <w:vMerge w:val="restart"/>
            <w:shd w:val="clear" w:color="auto" w:fill="D9D9D9"/>
            <w:vAlign w:val="center"/>
          </w:tcPr>
          <w:p w14:paraId="2EC38138" w14:textId="77777777" w:rsidR="00BE7F89" w:rsidRPr="00470E23" w:rsidRDefault="00BE7F89" w:rsidP="005A428D">
            <w:pPr>
              <w:rPr>
                <w:rFonts w:eastAsia="SimSun"/>
                <w:sz w:val="22"/>
              </w:rPr>
            </w:pPr>
            <w:r w:rsidRPr="00470E23">
              <w:rPr>
                <w:rFonts w:eastAsia="SimSun"/>
                <w:sz w:val="22"/>
              </w:rPr>
              <w:t>PT-Cy</w:t>
            </w:r>
          </w:p>
          <w:p w14:paraId="1D40FDF7" w14:textId="77777777" w:rsidR="00BE7F89" w:rsidRPr="00470E23" w:rsidRDefault="00BE7F89" w:rsidP="005A428D">
            <w:pPr>
              <w:rPr>
                <w:rFonts w:eastAsia="SimSun"/>
                <w:sz w:val="22"/>
              </w:rPr>
            </w:pPr>
          </w:p>
        </w:tc>
        <w:tc>
          <w:tcPr>
            <w:tcW w:w="303" w:type="pct"/>
            <w:shd w:val="clear" w:color="auto" w:fill="D9D9D9"/>
            <w:vAlign w:val="center"/>
          </w:tcPr>
          <w:p w14:paraId="615BB52F" w14:textId="77777777" w:rsidR="00BE7F89" w:rsidRPr="00470E23" w:rsidRDefault="00BE7F89" w:rsidP="005A428D">
            <w:pPr>
              <w:rPr>
                <w:rFonts w:eastAsia="SimSun"/>
                <w:sz w:val="22"/>
              </w:rPr>
            </w:pPr>
            <w:r w:rsidRPr="00470E23">
              <w:rPr>
                <w:rFonts w:eastAsia="SimSun"/>
                <w:sz w:val="22"/>
              </w:rPr>
              <w:t>-</w:t>
            </w:r>
          </w:p>
        </w:tc>
        <w:tc>
          <w:tcPr>
            <w:tcW w:w="308" w:type="pct"/>
            <w:shd w:val="clear" w:color="auto" w:fill="D9D9D9"/>
            <w:vAlign w:val="center"/>
          </w:tcPr>
          <w:p w14:paraId="1642BEB8" w14:textId="77777777" w:rsidR="00BE7F89" w:rsidRPr="00470E23" w:rsidRDefault="00BE7F89" w:rsidP="005A428D">
            <w:pPr>
              <w:rPr>
                <w:rFonts w:eastAsia="SimSun"/>
                <w:sz w:val="22"/>
              </w:rPr>
            </w:pPr>
            <w:r w:rsidRPr="00470E23">
              <w:rPr>
                <w:rFonts w:eastAsia="SimSun"/>
                <w:sz w:val="22"/>
              </w:rPr>
              <w:t>-</w:t>
            </w:r>
          </w:p>
        </w:tc>
        <w:tc>
          <w:tcPr>
            <w:tcW w:w="428" w:type="pct"/>
            <w:shd w:val="clear" w:color="auto" w:fill="D9D9D9"/>
            <w:vAlign w:val="center"/>
          </w:tcPr>
          <w:p w14:paraId="199B48E0" w14:textId="77777777" w:rsidR="00BE7F89" w:rsidRPr="00470E23" w:rsidRDefault="00BE7F89" w:rsidP="005A428D">
            <w:pPr>
              <w:rPr>
                <w:rFonts w:eastAsia="SimSun"/>
                <w:sz w:val="22"/>
              </w:rPr>
            </w:pPr>
            <w:r w:rsidRPr="00470E23">
              <w:rPr>
                <w:rFonts w:eastAsia="SimSun"/>
                <w:sz w:val="22"/>
              </w:rPr>
              <w:t>-</w:t>
            </w:r>
          </w:p>
        </w:tc>
        <w:tc>
          <w:tcPr>
            <w:tcW w:w="412" w:type="pct"/>
            <w:shd w:val="clear" w:color="auto" w:fill="auto"/>
            <w:vAlign w:val="center"/>
          </w:tcPr>
          <w:p w14:paraId="75477D68" w14:textId="77777777" w:rsidR="00BE7F89" w:rsidRPr="00470E23" w:rsidRDefault="00BE7F89" w:rsidP="005A428D">
            <w:pPr>
              <w:rPr>
                <w:rFonts w:eastAsia="SimSun"/>
                <w:sz w:val="22"/>
              </w:rPr>
            </w:pPr>
            <w:r w:rsidRPr="00470E23">
              <w:rPr>
                <w:rFonts w:eastAsia="SimSun"/>
                <w:sz w:val="22"/>
              </w:rPr>
              <w:t>5.2.2.16</w:t>
            </w:r>
          </w:p>
        </w:tc>
        <w:tc>
          <w:tcPr>
            <w:tcW w:w="361" w:type="pct"/>
            <w:tcBorders>
              <w:right w:val="single" w:sz="4" w:space="0" w:color="00000A"/>
            </w:tcBorders>
            <w:shd w:val="clear" w:color="auto" w:fill="auto"/>
            <w:vAlign w:val="center"/>
          </w:tcPr>
          <w:p w14:paraId="52A2FC49" w14:textId="77777777" w:rsidR="00BE7F89" w:rsidRPr="00470E23" w:rsidRDefault="00BE7F89" w:rsidP="005A428D">
            <w:pPr>
              <w:rPr>
                <w:rFonts w:eastAsia="SimSun"/>
                <w:sz w:val="22"/>
              </w:rPr>
            </w:pPr>
          </w:p>
        </w:tc>
        <w:tc>
          <w:tcPr>
            <w:tcW w:w="443" w:type="pct"/>
            <w:tcBorders>
              <w:left w:val="single" w:sz="4" w:space="0" w:color="00000A"/>
            </w:tcBorders>
            <w:shd w:val="clear" w:color="auto" w:fill="auto"/>
            <w:vAlign w:val="center"/>
          </w:tcPr>
          <w:p w14:paraId="51B55FF3" w14:textId="77777777" w:rsidR="00BE7F89" w:rsidRPr="00470E23" w:rsidRDefault="00BE7F89" w:rsidP="005A428D">
            <w:pPr>
              <w:rPr>
                <w:rFonts w:eastAsia="SimSun"/>
                <w:sz w:val="22"/>
              </w:rPr>
            </w:pPr>
          </w:p>
        </w:tc>
        <w:tc>
          <w:tcPr>
            <w:tcW w:w="430" w:type="pct"/>
            <w:tcBorders>
              <w:right w:val="single" w:sz="4" w:space="0" w:color="00000A"/>
            </w:tcBorders>
            <w:shd w:val="clear" w:color="auto" w:fill="auto"/>
            <w:vAlign w:val="center"/>
          </w:tcPr>
          <w:p w14:paraId="362EC88A" w14:textId="77777777" w:rsidR="00BE7F89" w:rsidRPr="00470E23" w:rsidRDefault="00BE7F89" w:rsidP="005A428D">
            <w:pPr>
              <w:rPr>
                <w:rFonts w:eastAsia="SimSun"/>
                <w:sz w:val="22"/>
              </w:rPr>
            </w:pPr>
          </w:p>
        </w:tc>
        <w:tc>
          <w:tcPr>
            <w:tcW w:w="316" w:type="pct"/>
            <w:tcBorders>
              <w:left w:val="single" w:sz="4" w:space="0" w:color="00000A"/>
            </w:tcBorders>
            <w:shd w:val="clear" w:color="auto" w:fill="auto"/>
            <w:vAlign w:val="center"/>
          </w:tcPr>
          <w:p w14:paraId="3BD0391D" w14:textId="77777777" w:rsidR="00BE7F89" w:rsidRPr="00470E23" w:rsidRDefault="00BE7F89" w:rsidP="005A428D">
            <w:pPr>
              <w:rPr>
                <w:rFonts w:eastAsia="SimSun"/>
                <w:sz w:val="22"/>
              </w:rPr>
            </w:pPr>
            <w:r w:rsidRPr="00470E23">
              <w:rPr>
                <w:rFonts w:eastAsia="SimSun"/>
                <w:sz w:val="22"/>
              </w:rPr>
              <w:t>5.2.2.8</w:t>
            </w:r>
          </w:p>
        </w:tc>
        <w:tc>
          <w:tcPr>
            <w:tcW w:w="475" w:type="pct"/>
            <w:shd w:val="clear" w:color="auto" w:fill="auto"/>
            <w:vAlign w:val="center"/>
          </w:tcPr>
          <w:p w14:paraId="3E2BE55A" w14:textId="77777777" w:rsidR="00BE7F89" w:rsidRPr="00470E23" w:rsidRDefault="00BE7F89" w:rsidP="005A428D">
            <w:pPr>
              <w:rPr>
                <w:rFonts w:eastAsia="SimSun"/>
                <w:sz w:val="22"/>
              </w:rPr>
            </w:pPr>
            <w:r w:rsidRPr="00470E23">
              <w:rPr>
                <w:rFonts w:eastAsia="SimSun"/>
                <w:sz w:val="22"/>
              </w:rPr>
              <w:t>5.2.2.12</w:t>
            </w:r>
          </w:p>
        </w:tc>
        <w:tc>
          <w:tcPr>
            <w:tcW w:w="382" w:type="pct"/>
            <w:shd w:val="clear" w:color="auto" w:fill="auto"/>
            <w:vAlign w:val="center"/>
          </w:tcPr>
          <w:p w14:paraId="350A830A" w14:textId="77777777" w:rsidR="00BE7F89" w:rsidRPr="00470E23" w:rsidRDefault="00BE7F89" w:rsidP="005A428D">
            <w:pPr>
              <w:rPr>
                <w:rFonts w:eastAsia="SimSun"/>
                <w:sz w:val="22"/>
              </w:rPr>
            </w:pPr>
          </w:p>
        </w:tc>
        <w:tc>
          <w:tcPr>
            <w:tcW w:w="400" w:type="pct"/>
            <w:shd w:val="clear" w:color="auto" w:fill="auto"/>
            <w:vAlign w:val="center"/>
          </w:tcPr>
          <w:p w14:paraId="6F51EC33" w14:textId="77777777" w:rsidR="00BE7F89" w:rsidRPr="00470E23" w:rsidRDefault="00BE7F89" w:rsidP="005A428D">
            <w:pPr>
              <w:rPr>
                <w:rFonts w:eastAsia="SimSun"/>
                <w:sz w:val="22"/>
              </w:rPr>
            </w:pPr>
          </w:p>
        </w:tc>
        <w:tc>
          <w:tcPr>
            <w:tcW w:w="394" w:type="pct"/>
            <w:vAlign w:val="center"/>
          </w:tcPr>
          <w:p w14:paraId="34DF4B00" w14:textId="77777777" w:rsidR="00BE7F89" w:rsidRPr="00470E23" w:rsidRDefault="00BE7F89" w:rsidP="005A428D">
            <w:pPr>
              <w:rPr>
                <w:rFonts w:eastAsia="SimSun"/>
                <w:sz w:val="22"/>
              </w:rPr>
            </w:pPr>
          </w:p>
        </w:tc>
      </w:tr>
      <w:tr w:rsidR="00BE7F89" w:rsidRPr="00470E23" w14:paraId="3EF91561" w14:textId="77777777" w:rsidTr="005A428D">
        <w:trPr>
          <w:cantSplit/>
          <w:trHeight w:val="606"/>
        </w:trPr>
        <w:tc>
          <w:tcPr>
            <w:tcW w:w="348" w:type="pct"/>
            <w:vMerge/>
            <w:shd w:val="clear" w:color="auto" w:fill="D9D9D9"/>
            <w:vAlign w:val="center"/>
          </w:tcPr>
          <w:p w14:paraId="2A657A47" w14:textId="77777777" w:rsidR="00BE7F89" w:rsidRPr="00470E23" w:rsidRDefault="00BE7F89" w:rsidP="005A428D">
            <w:pPr>
              <w:rPr>
                <w:rFonts w:eastAsia="SimSun"/>
                <w:sz w:val="22"/>
              </w:rPr>
            </w:pPr>
          </w:p>
        </w:tc>
        <w:tc>
          <w:tcPr>
            <w:tcW w:w="303" w:type="pct"/>
            <w:vMerge w:val="restart"/>
            <w:shd w:val="clear" w:color="auto" w:fill="D9D9D9"/>
            <w:vAlign w:val="center"/>
          </w:tcPr>
          <w:p w14:paraId="1210C658" w14:textId="77777777" w:rsidR="00BE7F89" w:rsidRPr="00470E23" w:rsidRDefault="00BE7F89" w:rsidP="005A428D">
            <w:pPr>
              <w:rPr>
                <w:rFonts w:eastAsia="SimSun"/>
                <w:sz w:val="22"/>
              </w:rPr>
            </w:pPr>
            <w:r w:rsidRPr="00470E23">
              <w:rPr>
                <w:rFonts w:eastAsia="SimSun"/>
                <w:sz w:val="22"/>
              </w:rPr>
              <w:t>CSA</w:t>
            </w:r>
          </w:p>
          <w:p w14:paraId="2895DB90" w14:textId="77777777" w:rsidR="00BE7F89" w:rsidRPr="00470E23" w:rsidRDefault="00BE7F89" w:rsidP="005A428D">
            <w:pPr>
              <w:rPr>
                <w:rFonts w:eastAsia="SimSun"/>
                <w:sz w:val="22"/>
              </w:rPr>
            </w:pPr>
          </w:p>
        </w:tc>
        <w:tc>
          <w:tcPr>
            <w:tcW w:w="308" w:type="pct"/>
            <w:shd w:val="clear" w:color="auto" w:fill="D9D9D9"/>
            <w:vAlign w:val="center"/>
          </w:tcPr>
          <w:p w14:paraId="1814E2A1" w14:textId="77777777" w:rsidR="00BE7F89" w:rsidRPr="00470E23" w:rsidRDefault="00BE7F89" w:rsidP="005A428D">
            <w:pPr>
              <w:rPr>
                <w:rFonts w:eastAsia="SimSun"/>
                <w:sz w:val="22"/>
              </w:rPr>
            </w:pPr>
            <w:r w:rsidRPr="00470E23">
              <w:rPr>
                <w:rFonts w:eastAsia="SimSun"/>
                <w:sz w:val="22"/>
              </w:rPr>
              <w:t>-</w:t>
            </w:r>
          </w:p>
        </w:tc>
        <w:tc>
          <w:tcPr>
            <w:tcW w:w="428" w:type="pct"/>
            <w:shd w:val="clear" w:color="auto" w:fill="D9D9D9"/>
            <w:vAlign w:val="center"/>
          </w:tcPr>
          <w:p w14:paraId="7447009E" w14:textId="77777777" w:rsidR="00BE7F89" w:rsidRPr="00470E23" w:rsidRDefault="00BE7F89" w:rsidP="005A428D">
            <w:pPr>
              <w:rPr>
                <w:rFonts w:eastAsia="SimSun"/>
                <w:sz w:val="22"/>
              </w:rPr>
            </w:pPr>
            <w:r w:rsidRPr="00470E23">
              <w:rPr>
                <w:rFonts w:eastAsia="SimSun"/>
                <w:sz w:val="22"/>
              </w:rPr>
              <w:t>MMF30</w:t>
            </w:r>
          </w:p>
        </w:tc>
        <w:tc>
          <w:tcPr>
            <w:tcW w:w="412" w:type="pct"/>
            <w:shd w:val="clear" w:color="auto" w:fill="auto"/>
            <w:vAlign w:val="center"/>
          </w:tcPr>
          <w:p w14:paraId="62EFAE33" w14:textId="77777777" w:rsidR="00BE7F89" w:rsidRPr="00470E23" w:rsidRDefault="00BE7F89" w:rsidP="005A428D">
            <w:pPr>
              <w:rPr>
                <w:rFonts w:eastAsia="SimSun"/>
                <w:sz w:val="22"/>
              </w:rPr>
            </w:pPr>
          </w:p>
        </w:tc>
        <w:tc>
          <w:tcPr>
            <w:tcW w:w="361" w:type="pct"/>
            <w:tcBorders>
              <w:right w:val="single" w:sz="4" w:space="0" w:color="00000A"/>
            </w:tcBorders>
            <w:shd w:val="clear" w:color="auto" w:fill="auto"/>
            <w:vAlign w:val="center"/>
          </w:tcPr>
          <w:p w14:paraId="1FFABDA9" w14:textId="77777777" w:rsidR="00BE7F89" w:rsidRPr="00470E23" w:rsidRDefault="00BE7F89" w:rsidP="005A428D">
            <w:pPr>
              <w:rPr>
                <w:rFonts w:eastAsia="SimSun"/>
                <w:sz w:val="22"/>
              </w:rPr>
            </w:pPr>
          </w:p>
        </w:tc>
        <w:tc>
          <w:tcPr>
            <w:tcW w:w="443" w:type="pct"/>
            <w:tcBorders>
              <w:left w:val="single" w:sz="4" w:space="0" w:color="00000A"/>
            </w:tcBorders>
            <w:shd w:val="clear" w:color="auto" w:fill="auto"/>
            <w:vAlign w:val="center"/>
          </w:tcPr>
          <w:p w14:paraId="714ABBC8" w14:textId="77777777" w:rsidR="00BE7F89" w:rsidRPr="00470E23" w:rsidRDefault="00BE7F89" w:rsidP="005A428D">
            <w:pPr>
              <w:rPr>
                <w:rFonts w:eastAsia="SimSun"/>
                <w:sz w:val="22"/>
              </w:rPr>
            </w:pPr>
            <w:r w:rsidRPr="00470E23">
              <w:rPr>
                <w:rFonts w:eastAsia="SimSun"/>
                <w:sz w:val="22"/>
              </w:rPr>
              <w:t>5.2.2.3</w:t>
            </w:r>
          </w:p>
        </w:tc>
        <w:tc>
          <w:tcPr>
            <w:tcW w:w="430" w:type="pct"/>
            <w:tcBorders>
              <w:right w:val="single" w:sz="4" w:space="0" w:color="00000A"/>
            </w:tcBorders>
            <w:shd w:val="clear" w:color="auto" w:fill="auto"/>
            <w:vAlign w:val="center"/>
          </w:tcPr>
          <w:p w14:paraId="5B12DB1F" w14:textId="77777777" w:rsidR="00BE7F89" w:rsidRPr="00470E23" w:rsidRDefault="00BE7F89" w:rsidP="005A428D">
            <w:pPr>
              <w:rPr>
                <w:rFonts w:eastAsia="SimSun"/>
                <w:sz w:val="22"/>
              </w:rPr>
            </w:pPr>
            <w:r w:rsidRPr="00470E23">
              <w:rPr>
                <w:rFonts w:eastAsia="SimSun"/>
                <w:sz w:val="22"/>
              </w:rPr>
              <w:t>5.2.2.7/11</w:t>
            </w:r>
          </w:p>
        </w:tc>
        <w:tc>
          <w:tcPr>
            <w:tcW w:w="316" w:type="pct"/>
            <w:tcBorders>
              <w:left w:val="single" w:sz="4" w:space="0" w:color="00000A"/>
            </w:tcBorders>
            <w:shd w:val="clear" w:color="auto" w:fill="auto"/>
            <w:vAlign w:val="center"/>
          </w:tcPr>
          <w:p w14:paraId="7D6D0AA7" w14:textId="77777777" w:rsidR="00BE7F89" w:rsidRPr="00470E23" w:rsidRDefault="00BE7F89" w:rsidP="005A428D">
            <w:pPr>
              <w:rPr>
                <w:rFonts w:eastAsia="SimSun"/>
                <w:sz w:val="22"/>
              </w:rPr>
            </w:pPr>
          </w:p>
        </w:tc>
        <w:tc>
          <w:tcPr>
            <w:tcW w:w="475" w:type="pct"/>
            <w:shd w:val="clear" w:color="auto" w:fill="auto"/>
            <w:vAlign w:val="center"/>
          </w:tcPr>
          <w:p w14:paraId="5B3E9311" w14:textId="77777777" w:rsidR="00BE7F89" w:rsidRPr="00470E23" w:rsidRDefault="00BE7F89" w:rsidP="005A428D">
            <w:pPr>
              <w:rPr>
                <w:rFonts w:eastAsia="SimSun"/>
                <w:sz w:val="22"/>
              </w:rPr>
            </w:pPr>
          </w:p>
        </w:tc>
        <w:tc>
          <w:tcPr>
            <w:tcW w:w="382" w:type="pct"/>
            <w:shd w:val="clear" w:color="auto" w:fill="auto"/>
            <w:vAlign w:val="center"/>
          </w:tcPr>
          <w:p w14:paraId="0A9CCA52" w14:textId="77777777" w:rsidR="00BE7F89" w:rsidRPr="00470E23" w:rsidRDefault="00BE7F89" w:rsidP="005A428D">
            <w:pPr>
              <w:rPr>
                <w:rFonts w:eastAsia="SimSun"/>
                <w:sz w:val="22"/>
              </w:rPr>
            </w:pPr>
            <w:r w:rsidRPr="00470E23">
              <w:rPr>
                <w:rFonts w:eastAsia="SimSun"/>
                <w:sz w:val="22"/>
              </w:rPr>
              <w:t>5.2.2.18</w:t>
            </w:r>
          </w:p>
        </w:tc>
        <w:tc>
          <w:tcPr>
            <w:tcW w:w="400" w:type="pct"/>
            <w:shd w:val="clear" w:color="auto" w:fill="auto"/>
            <w:vAlign w:val="center"/>
          </w:tcPr>
          <w:p w14:paraId="3C0A68C8" w14:textId="77777777" w:rsidR="00BE7F89" w:rsidRPr="00470E23" w:rsidRDefault="00BE7F89" w:rsidP="005A428D">
            <w:pPr>
              <w:rPr>
                <w:rFonts w:eastAsia="SimSun"/>
                <w:sz w:val="22"/>
              </w:rPr>
            </w:pPr>
          </w:p>
        </w:tc>
        <w:tc>
          <w:tcPr>
            <w:tcW w:w="394" w:type="pct"/>
            <w:vAlign w:val="center"/>
          </w:tcPr>
          <w:p w14:paraId="766294F3" w14:textId="77777777" w:rsidR="00BE7F89" w:rsidRPr="00470E23" w:rsidRDefault="00BE7F89" w:rsidP="005A428D">
            <w:pPr>
              <w:rPr>
                <w:rFonts w:eastAsia="SimSun"/>
                <w:sz w:val="22"/>
              </w:rPr>
            </w:pPr>
          </w:p>
        </w:tc>
      </w:tr>
      <w:tr w:rsidR="00BE7F89" w:rsidRPr="00470E23" w14:paraId="24A19690" w14:textId="77777777" w:rsidTr="005A428D">
        <w:trPr>
          <w:cantSplit/>
          <w:trHeight w:val="606"/>
        </w:trPr>
        <w:tc>
          <w:tcPr>
            <w:tcW w:w="348" w:type="pct"/>
            <w:vMerge/>
            <w:shd w:val="clear" w:color="auto" w:fill="D9D9D9"/>
            <w:vAlign w:val="center"/>
          </w:tcPr>
          <w:p w14:paraId="74B601AD" w14:textId="77777777" w:rsidR="00BE7F89" w:rsidRPr="00470E23" w:rsidRDefault="00BE7F89" w:rsidP="005A428D">
            <w:pPr>
              <w:rPr>
                <w:rFonts w:eastAsia="SimSun"/>
                <w:sz w:val="22"/>
              </w:rPr>
            </w:pPr>
          </w:p>
        </w:tc>
        <w:tc>
          <w:tcPr>
            <w:tcW w:w="303" w:type="pct"/>
            <w:vMerge/>
            <w:shd w:val="clear" w:color="auto" w:fill="D9D9D9"/>
            <w:vAlign w:val="center"/>
          </w:tcPr>
          <w:p w14:paraId="056B4914" w14:textId="77777777" w:rsidR="00BE7F89" w:rsidRPr="00470E23" w:rsidRDefault="00BE7F89" w:rsidP="005A428D">
            <w:pPr>
              <w:rPr>
                <w:rFonts w:eastAsia="SimSun"/>
                <w:sz w:val="22"/>
              </w:rPr>
            </w:pPr>
          </w:p>
        </w:tc>
        <w:tc>
          <w:tcPr>
            <w:tcW w:w="308" w:type="pct"/>
            <w:shd w:val="clear" w:color="auto" w:fill="D9D9D9"/>
            <w:vAlign w:val="center"/>
          </w:tcPr>
          <w:p w14:paraId="7FDF4839" w14:textId="77777777" w:rsidR="00BE7F89" w:rsidRPr="00470E23" w:rsidRDefault="00BE7F89" w:rsidP="005A428D">
            <w:pPr>
              <w:rPr>
                <w:rFonts w:eastAsia="SimSun"/>
                <w:sz w:val="22"/>
              </w:rPr>
            </w:pPr>
            <w:r w:rsidRPr="00470E23">
              <w:rPr>
                <w:rFonts w:eastAsia="SimSun"/>
                <w:sz w:val="22"/>
              </w:rPr>
              <w:t>-</w:t>
            </w:r>
          </w:p>
        </w:tc>
        <w:tc>
          <w:tcPr>
            <w:tcW w:w="428" w:type="pct"/>
            <w:shd w:val="clear" w:color="auto" w:fill="D9D9D9"/>
            <w:vAlign w:val="center"/>
          </w:tcPr>
          <w:p w14:paraId="33E2A93F" w14:textId="77777777" w:rsidR="00BE7F89" w:rsidRPr="00470E23" w:rsidRDefault="00BE7F89" w:rsidP="005A428D">
            <w:pPr>
              <w:rPr>
                <w:rFonts w:eastAsia="SimSun"/>
                <w:sz w:val="22"/>
              </w:rPr>
            </w:pPr>
            <w:r w:rsidRPr="00470E23">
              <w:rPr>
                <w:rFonts w:eastAsia="SimSun"/>
                <w:sz w:val="22"/>
              </w:rPr>
              <w:t>MMF45</w:t>
            </w:r>
          </w:p>
        </w:tc>
        <w:tc>
          <w:tcPr>
            <w:tcW w:w="412" w:type="pct"/>
            <w:shd w:val="clear" w:color="auto" w:fill="auto"/>
            <w:vAlign w:val="center"/>
          </w:tcPr>
          <w:p w14:paraId="19839727" w14:textId="77777777" w:rsidR="00BE7F89" w:rsidRPr="00470E23" w:rsidRDefault="00BE7F89" w:rsidP="005A428D">
            <w:pPr>
              <w:rPr>
                <w:rFonts w:eastAsia="SimSun"/>
                <w:sz w:val="22"/>
              </w:rPr>
            </w:pPr>
          </w:p>
        </w:tc>
        <w:tc>
          <w:tcPr>
            <w:tcW w:w="361" w:type="pct"/>
            <w:tcBorders>
              <w:right w:val="single" w:sz="4" w:space="0" w:color="00000A"/>
            </w:tcBorders>
            <w:shd w:val="clear" w:color="auto" w:fill="auto"/>
            <w:vAlign w:val="center"/>
          </w:tcPr>
          <w:p w14:paraId="684A6EA9" w14:textId="77777777" w:rsidR="00BE7F89" w:rsidRPr="00470E23" w:rsidRDefault="00BE7F89" w:rsidP="005A428D">
            <w:pPr>
              <w:rPr>
                <w:rFonts w:eastAsia="SimSun"/>
                <w:sz w:val="22"/>
              </w:rPr>
            </w:pPr>
          </w:p>
        </w:tc>
        <w:tc>
          <w:tcPr>
            <w:tcW w:w="443" w:type="pct"/>
            <w:tcBorders>
              <w:left w:val="single" w:sz="4" w:space="0" w:color="00000A"/>
            </w:tcBorders>
            <w:shd w:val="clear" w:color="auto" w:fill="auto"/>
            <w:vAlign w:val="center"/>
          </w:tcPr>
          <w:p w14:paraId="0A842BC7" w14:textId="77777777" w:rsidR="00BE7F89" w:rsidRPr="00470E23" w:rsidRDefault="00BE7F89" w:rsidP="005A428D">
            <w:pPr>
              <w:rPr>
                <w:rFonts w:eastAsia="SimSun"/>
                <w:sz w:val="22"/>
              </w:rPr>
            </w:pPr>
            <w:r w:rsidRPr="00470E23">
              <w:rPr>
                <w:rFonts w:eastAsia="SimSun"/>
                <w:sz w:val="22"/>
              </w:rPr>
              <w:t>5.2.2.4</w:t>
            </w:r>
          </w:p>
        </w:tc>
        <w:tc>
          <w:tcPr>
            <w:tcW w:w="430" w:type="pct"/>
            <w:tcBorders>
              <w:right w:val="single" w:sz="4" w:space="0" w:color="00000A"/>
            </w:tcBorders>
            <w:shd w:val="clear" w:color="auto" w:fill="auto"/>
            <w:vAlign w:val="center"/>
          </w:tcPr>
          <w:p w14:paraId="0B9037BB" w14:textId="77777777" w:rsidR="00BE7F89" w:rsidRPr="00470E23" w:rsidRDefault="00BE7F89" w:rsidP="005A428D">
            <w:pPr>
              <w:rPr>
                <w:rFonts w:eastAsia="SimSun"/>
                <w:sz w:val="22"/>
              </w:rPr>
            </w:pPr>
          </w:p>
        </w:tc>
        <w:tc>
          <w:tcPr>
            <w:tcW w:w="316" w:type="pct"/>
            <w:tcBorders>
              <w:left w:val="single" w:sz="4" w:space="0" w:color="00000A"/>
            </w:tcBorders>
            <w:shd w:val="clear" w:color="auto" w:fill="auto"/>
            <w:vAlign w:val="center"/>
          </w:tcPr>
          <w:p w14:paraId="36B6AA85" w14:textId="77777777" w:rsidR="00BE7F89" w:rsidRPr="00470E23" w:rsidRDefault="00BE7F89" w:rsidP="005A428D">
            <w:pPr>
              <w:rPr>
                <w:rFonts w:eastAsia="SimSun"/>
                <w:sz w:val="22"/>
              </w:rPr>
            </w:pPr>
          </w:p>
        </w:tc>
        <w:tc>
          <w:tcPr>
            <w:tcW w:w="475" w:type="pct"/>
            <w:shd w:val="clear" w:color="auto" w:fill="auto"/>
            <w:vAlign w:val="center"/>
          </w:tcPr>
          <w:p w14:paraId="18B882E4" w14:textId="77777777" w:rsidR="00BE7F89" w:rsidRPr="00470E23" w:rsidRDefault="00BE7F89" w:rsidP="005A428D">
            <w:pPr>
              <w:rPr>
                <w:rFonts w:eastAsia="SimSun"/>
                <w:sz w:val="22"/>
              </w:rPr>
            </w:pPr>
          </w:p>
        </w:tc>
        <w:tc>
          <w:tcPr>
            <w:tcW w:w="382" w:type="pct"/>
            <w:shd w:val="clear" w:color="auto" w:fill="auto"/>
            <w:vAlign w:val="center"/>
          </w:tcPr>
          <w:p w14:paraId="79821EBF" w14:textId="77777777" w:rsidR="00BE7F89" w:rsidRPr="00470E23" w:rsidRDefault="00BE7F89" w:rsidP="005A428D">
            <w:pPr>
              <w:rPr>
                <w:rFonts w:eastAsia="SimSun"/>
                <w:sz w:val="22"/>
              </w:rPr>
            </w:pPr>
          </w:p>
        </w:tc>
        <w:tc>
          <w:tcPr>
            <w:tcW w:w="400" w:type="pct"/>
            <w:shd w:val="clear" w:color="auto" w:fill="auto"/>
            <w:vAlign w:val="center"/>
          </w:tcPr>
          <w:p w14:paraId="0FE26EE4" w14:textId="77777777" w:rsidR="00BE7F89" w:rsidRPr="00470E23" w:rsidRDefault="00BE7F89" w:rsidP="005A428D">
            <w:pPr>
              <w:rPr>
                <w:rFonts w:eastAsia="SimSun"/>
                <w:sz w:val="22"/>
              </w:rPr>
            </w:pPr>
          </w:p>
        </w:tc>
        <w:tc>
          <w:tcPr>
            <w:tcW w:w="394" w:type="pct"/>
            <w:vAlign w:val="center"/>
          </w:tcPr>
          <w:p w14:paraId="7CC4CAB6" w14:textId="77777777" w:rsidR="00BE7F89" w:rsidRPr="00470E23" w:rsidRDefault="00BE7F89" w:rsidP="005A428D">
            <w:pPr>
              <w:rPr>
                <w:rFonts w:eastAsia="SimSun"/>
                <w:sz w:val="22"/>
              </w:rPr>
            </w:pPr>
          </w:p>
        </w:tc>
      </w:tr>
      <w:tr w:rsidR="00BE7F89" w:rsidRPr="00470E23" w14:paraId="1727581A" w14:textId="77777777" w:rsidTr="005A428D">
        <w:trPr>
          <w:cantSplit/>
          <w:trHeight w:val="606"/>
        </w:trPr>
        <w:tc>
          <w:tcPr>
            <w:tcW w:w="348" w:type="pct"/>
            <w:vMerge/>
            <w:shd w:val="clear" w:color="auto" w:fill="D9D9D9"/>
            <w:vAlign w:val="center"/>
          </w:tcPr>
          <w:p w14:paraId="6619E242" w14:textId="77777777" w:rsidR="00BE7F89" w:rsidRPr="00470E23" w:rsidRDefault="00BE7F89" w:rsidP="005A428D">
            <w:pPr>
              <w:rPr>
                <w:rFonts w:eastAsia="SimSun"/>
                <w:sz w:val="22"/>
              </w:rPr>
            </w:pPr>
          </w:p>
        </w:tc>
        <w:tc>
          <w:tcPr>
            <w:tcW w:w="303" w:type="pct"/>
            <w:shd w:val="clear" w:color="auto" w:fill="D9D9D9"/>
            <w:vAlign w:val="center"/>
          </w:tcPr>
          <w:p w14:paraId="0A09F6EA" w14:textId="77777777" w:rsidR="00BE7F89" w:rsidRPr="00470E23" w:rsidRDefault="00BE7F89" w:rsidP="005A428D">
            <w:pPr>
              <w:rPr>
                <w:rFonts w:eastAsia="SimSun"/>
                <w:sz w:val="22"/>
              </w:rPr>
            </w:pPr>
            <w:r w:rsidRPr="00470E23">
              <w:rPr>
                <w:rFonts w:eastAsia="SimSun"/>
                <w:sz w:val="22"/>
              </w:rPr>
              <w:t>Tx</w:t>
            </w:r>
          </w:p>
        </w:tc>
        <w:tc>
          <w:tcPr>
            <w:tcW w:w="308" w:type="pct"/>
            <w:shd w:val="clear" w:color="auto" w:fill="D9D9D9"/>
            <w:vAlign w:val="center"/>
          </w:tcPr>
          <w:p w14:paraId="3B5228EE" w14:textId="77777777" w:rsidR="00BE7F89" w:rsidRPr="00470E23" w:rsidRDefault="00BE7F89" w:rsidP="005A428D">
            <w:pPr>
              <w:rPr>
                <w:rFonts w:eastAsia="SimSun"/>
                <w:sz w:val="22"/>
              </w:rPr>
            </w:pPr>
            <w:r w:rsidRPr="00470E23">
              <w:rPr>
                <w:rFonts w:eastAsia="SimSun"/>
                <w:sz w:val="22"/>
              </w:rPr>
              <w:t>-</w:t>
            </w:r>
          </w:p>
        </w:tc>
        <w:tc>
          <w:tcPr>
            <w:tcW w:w="428" w:type="pct"/>
            <w:shd w:val="clear" w:color="auto" w:fill="D9D9D9"/>
            <w:vAlign w:val="center"/>
          </w:tcPr>
          <w:p w14:paraId="59F8F598" w14:textId="77777777" w:rsidR="00BE7F89" w:rsidRPr="00470E23" w:rsidRDefault="00BE7F89" w:rsidP="005A428D">
            <w:pPr>
              <w:rPr>
                <w:rFonts w:eastAsia="SimSun"/>
                <w:sz w:val="22"/>
              </w:rPr>
            </w:pPr>
            <w:r w:rsidRPr="00470E23">
              <w:rPr>
                <w:rFonts w:eastAsia="SimSun"/>
                <w:sz w:val="22"/>
              </w:rPr>
              <w:t>MMF30</w:t>
            </w:r>
          </w:p>
        </w:tc>
        <w:tc>
          <w:tcPr>
            <w:tcW w:w="412" w:type="pct"/>
            <w:shd w:val="clear" w:color="auto" w:fill="auto"/>
            <w:vAlign w:val="center"/>
          </w:tcPr>
          <w:p w14:paraId="3EF2BED5" w14:textId="77777777" w:rsidR="00BE7F89" w:rsidRPr="00470E23" w:rsidRDefault="00BE7F89" w:rsidP="005A428D">
            <w:pPr>
              <w:rPr>
                <w:rFonts w:eastAsia="SimSun"/>
                <w:sz w:val="22"/>
              </w:rPr>
            </w:pPr>
            <w:r w:rsidRPr="00470E23">
              <w:rPr>
                <w:rFonts w:eastAsia="SimSun"/>
                <w:sz w:val="22"/>
              </w:rPr>
              <w:t>5.2.2.15</w:t>
            </w:r>
          </w:p>
        </w:tc>
        <w:tc>
          <w:tcPr>
            <w:tcW w:w="361" w:type="pct"/>
            <w:tcBorders>
              <w:right w:val="single" w:sz="4" w:space="0" w:color="00000A"/>
            </w:tcBorders>
            <w:shd w:val="clear" w:color="auto" w:fill="auto"/>
            <w:vAlign w:val="center"/>
          </w:tcPr>
          <w:p w14:paraId="018FB977" w14:textId="77777777" w:rsidR="00BE7F89" w:rsidRPr="00470E23" w:rsidRDefault="00BE7F89" w:rsidP="005A428D">
            <w:pPr>
              <w:rPr>
                <w:rFonts w:eastAsia="SimSun"/>
                <w:sz w:val="22"/>
              </w:rPr>
            </w:pPr>
          </w:p>
        </w:tc>
        <w:tc>
          <w:tcPr>
            <w:tcW w:w="443" w:type="pct"/>
            <w:tcBorders>
              <w:left w:val="single" w:sz="4" w:space="0" w:color="00000A"/>
            </w:tcBorders>
            <w:shd w:val="clear" w:color="auto" w:fill="auto"/>
            <w:vAlign w:val="center"/>
          </w:tcPr>
          <w:p w14:paraId="01CAB3AC" w14:textId="77777777" w:rsidR="00BE7F89" w:rsidRPr="00470E23" w:rsidRDefault="00BE7F89" w:rsidP="005A428D">
            <w:pPr>
              <w:rPr>
                <w:rFonts w:eastAsia="SimSun"/>
                <w:sz w:val="22"/>
              </w:rPr>
            </w:pPr>
          </w:p>
        </w:tc>
        <w:tc>
          <w:tcPr>
            <w:tcW w:w="430" w:type="pct"/>
            <w:tcBorders>
              <w:right w:val="single" w:sz="4" w:space="0" w:color="00000A"/>
            </w:tcBorders>
            <w:shd w:val="clear" w:color="auto" w:fill="auto"/>
            <w:vAlign w:val="center"/>
          </w:tcPr>
          <w:p w14:paraId="585B6BC1" w14:textId="77777777" w:rsidR="00BE7F89" w:rsidRPr="00470E23" w:rsidRDefault="00BE7F89" w:rsidP="005A428D">
            <w:pPr>
              <w:rPr>
                <w:rFonts w:eastAsia="SimSun"/>
                <w:sz w:val="22"/>
              </w:rPr>
            </w:pPr>
            <w:r w:rsidRPr="00470E23">
              <w:rPr>
                <w:rFonts w:eastAsia="SimSun"/>
                <w:sz w:val="22"/>
              </w:rPr>
              <w:t>5.2.2.9</w:t>
            </w:r>
          </w:p>
        </w:tc>
        <w:tc>
          <w:tcPr>
            <w:tcW w:w="316" w:type="pct"/>
            <w:tcBorders>
              <w:left w:val="single" w:sz="4" w:space="0" w:color="00000A"/>
            </w:tcBorders>
            <w:shd w:val="clear" w:color="auto" w:fill="auto"/>
            <w:vAlign w:val="center"/>
          </w:tcPr>
          <w:p w14:paraId="4641BF23" w14:textId="77777777" w:rsidR="00BE7F89" w:rsidRPr="00470E23" w:rsidRDefault="00BE7F89" w:rsidP="005A428D">
            <w:pPr>
              <w:rPr>
                <w:rFonts w:eastAsia="SimSun"/>
                <w:sz w:val="22"/>
              </w:rPr>
            </w:pPr>
          </w:p>
        </w:tc>
        <w:tc>
          <w:tcPr>
            <w:tcW w:w="475" w:type="pct"/>
            <w:shd w:val="clear" w:color="auto" w:fill="auto"/>
            <w:vAlign w:val="center"/>
          </w:tcPr>
          <w:p w14:paraId="634E8225" w14:textId="77777777" w:rsidR="00BE7F89" w:rsidRPr="00470E23" w:rsidRDefault="00BE7F89" w:rsidP="005A428D">
            <w:pPr>
              <w:rPr>
                <w:rFonts w:eastAsia="SimSun"/>
                <w:sz w:val="22"/>
              </w:rPr>
            </w:pPr>
            <w:r w:rsidRPr="00470E23">
              <w:rPr>
                <w:rFonts w:eastAsia="SimSun"/>
                <w:sz w:val="22"/>
              </w:rPr>
              <w:t>5.2.2.13</w:t>
            </w:r>
          </w:p>
        </w:tc>
        <w:tc>
          <w:tcPr>
            <w:tcW w:w="382" w:type="pct"/>
            <w:shd w:val="clear" w:color="auto" w:fill="auto"/>
            <w:vAlign w:val="center"/>
          </w:tcPr>
          <w:p w14:paraId="55E3BCE0" w14:textId="77777777" w:rsidR="00BE7F89" w:rsidRPr="00470E23" w:rsidRDefault="00BE7F89" w:rsidP="005A428D">
            <w:pPr>
              <w:rPr>
                <w:rFonts w:eastAsia="SimSun"/>
                <w:sz w:val="22"/>
              </w:rPr>
            </w:pPr>
          </w:p>
        </w:tc>
        <w:tc>
          <w:tcPr>
            <w:tcW w:w="400" w:type="pct"/>
            <w:shd w:val="clear" w:color="auto" w:fill="auto"/>
            <w:vAlign w:val="center"/>
          </w:tcPr>
          <w:p w14:paraId="1CD1CBBF" w14:textId="77777777" w:rsidR="00BE7F89" w:rsidRPr="00470E23" w:rsidRDefault="00BE7F89" w:rsidP="005A428D">
            <w:pPr>
              <w:rPr>
                <w:rFonts w:eastAsia="SimSun"/>
                <w:sz w:val="22"/>
              </w:rPr>
            </w:pPr>
          </w:p>
        </w:tc>
        <w:tc>
          <w:tcPr>
            <w:tcW w:w="394" w:type="pct"/>
            <w:vAlign w:val="center"/>
          </w:tcPr>
          <w:p w14:paraId="37822738" w14:textId="77777777" w:rsidR="00BE7F89" w:rsidRPr="00470E23" w:rsidRDefault="00BE7F89" w:rsidP="005A428D">
            <w:pPr>
              <w:rPr>
                <w:rFonts w:eastAsia="SimSun"/>
                <w:sz w:val="22"/>
              </w:rPr>
            </w:pPr>
            <w:r w:rsidRPr="00470E23">
              <w:rPr>
                <w:rFonts w:eastAsia="SimSun"/>
                <w:sz w:val="22"/>
              </w:rPr>
              <w:t>5.2.2.21</w:t>
            </w:r>
          </w:p>
        </w:tc>
      </w:tr>
      <w:tr w:rsidR="00BE7F89" w:rsidRPr="00470E23" w14:paraId="64A3DF35" w14:textId="77777777" w:rsidTr="005A428D">
        <w:trPr>
          <w:cantSplit/>
          <w:trHeight w:val="606"/>
        </w:trPr>
        <w:tc>
          <w:tcPr>
            <w:tcW w:w="348" w:type="pct"/>
            <w:vMerge/>
            <w:shd w:val="clear" w:color="auto" w:fill="D9D9D9"/>
            <w:vAlign w:val="center"/>
          </w:tcPr>
          <w:p w14:paraId="5B6B9F3B" w14:textId="77777777" w:rsidR="00BE7F89" w:rsidRPr="00470E23" w:rsidRDefault="00BE7F89" w:rsidP="005A428D">
            <w:pPr>
              <w:rPr>
                <w:rFonts w:eastAsia="SimSun"/>
                <w:sz w:val="22"/>
              </w:rPr>
            </w:pPr>
          </w:p>
        </w:tc>
        <w:tc>
          <w:tcPr>
            <w:tcW w:w="303" w:type="pct"/>
            <w:shd w:val="clear" w:color="auto" w:fill="D9D9D9"/>
            <w:vAlign w:val="center"/>
          </w:tcPr>
          <w:p w14:paraId="4AC886B4" w14:textId="77777777" w:rsidR="00BE7F89" w:rsidRPr="00470E23" w:rsidRDefault="00BE7F89" w:rsidP="005A428D">
            <w:pPr>
              <w:rPr>
                <w:rFonts w:eastAsia="SimSun"/>
                <w:sz w:val="22"/>
              </w:rPr>
            </w:pPr>
            <w:r w:rsidRPr="00470E23">
              <w:rPr>
                <w:rFonts w:eastAsia="SimSun"/>
                <w:sz w:val="22"/>
              </w:rPr>
              <w:t>Ruxo</w:t>
            </w:r>
          </w:p>
        </w:tc>
        <w:tc>
          <w:tcPr>
            <w:tcW w:w="308" w:type="pct"/>
            <w:shd w:val="clear" w:color="auto" w:fill="D9D9D9"/>
            <w:vAlign w:val="center"/>
          </w:tcPr>
          <w:p w14:paraId="09E4934A" w14:textId="77777777" w:rsidR="00BE7F89" w:rsidRPr="00470E23" w:rsidRDefault="00BE7F89" w:rsidP="005A428D">
            <w:pPr>
              <w:rPr>
                <w:rFonts w:eastAsia="SimSun"/>
                <w:sz w:val="22"/>
              </w:rPr>
            </w:pPr>
            <w:r w:rsidRPr="00470E23">
              <w:rPr>
                <w:rFonts w:eastAsia="SimSun"/>
                <w:sz w:val="22"/>
              </w:rPr>
              <w:t>-</w:t>
            </w:r>
          </w:p>
        </w:tc>
        <w:tc>
          <w:tcPr>
            <w:tcW w:w="428" w:type="pct"/>
            <w:shd w:val="clear" w:color="auto" w:fill="D9D9D9"/>
            <w:vAlign w:val="center"/>
          </w:tcPr>
          <w:p w14:paraId="20F346F1" w14:textId="77777777" w:rsidR="00BE7F89" w:rsidRPr="00470E23" w:rsidRDefault="00BE7F89" w:rsidP="005A428D">
            <w:pPr>
              <w:rPr>
                <w:rFonts w:eastAsia="SimSun"/>
                <w:sz w:val="22"/>
              </w:rPr>
            </w:pPr>
            <w:r w:rsidRPr="00470E23">
              <w:rPr>
                <w:rFonts w:eastAsia="SimSun"/>
                <w:sz w:val="22"/>
              </w:rPr>
              <w:t>-</w:t>
            </w:r>
          </w:p>
        </w:tc>
        <w:tc>
          <w:tcPr>
            <w:tcW w:w="412" w:type="pct"/>
            <w:shd w:val="clear" w:color="auto" w:fill="auto"/>
            <w:vAlign w:val="center"/>
          </w:tcPr>
          <w:p w14:paraId="2FF542D9" w14:textId="77777777" w:rsidR="00BE7F89" w:rsidRPr="00470E23" w:rsidRDefault="00BE7F89" w:rsidP="005A428D">
            <w:pPr>
              <w:rPr>
                <w:rFonts w:eastAsia="SimSun"/>
                <w:sz w:val="22"/>
              </w:rPr>
            </w:pPr>
          </w:p>
        </w:tc>
        <w:tc>
          <w:tcPr>
            <w:tcW w:w="361" w:type="pct"/>
            <w:tcBorders>
              <w:right w:val="single" w:sz="4" w:space="0" w:color="00000A"/>
            </w:tcBorders>
            <w:shd w:val="clear" w:color="auto" w:fill="auto"/>
            <w:vAlign w:val="center"/>
          </w:tcPr>
          <w:p w14:paraId="6F125A9E" w14:textId="77777777" w:rsidR="00BE7F89" w:rsidRPr="00470E23" w:rsidRDefault="00BE7F89" w:rsidP="005A428D">
            <w:pPr>
              <w:rPr>
                <w:rFonts w:eastAsia="SimSun"/>
                <w:sz w:val="22"/>
              </w:rPr>
            </w:pPr>
          </w:p>
        </w:tc>
        <w:tc>
          <w:tcPr>
            <w:tcW w:w="443" w:type="pct"/>
            <w:tcBorders>
              <w:left w:val="single" w:sz="4" w:space="0" w:color="00000A"/>
            </w:tcBorders>
            <w:shd w:val="clear" w:color="auto" w:fill="auto"/>
            <w:vAlign w:val="center"/>
          </w:tcPr>
          <w:p w14:paraId="2E2B4CCC" w14:textId="77777777" w:rsidR="00BE7F89" w:rsidRPr="00470E23" w:rsidRDefault="00BE7F89" w:rsidP="005A428D">
            <w:pPr>
              <w:rPr>
                <w:rFonts w:eastAsia="SimSun"/>
                <w:sz w:val="22"/>
              </w:rPr>
            </w:pPr>
          </w:p>
        </w:tc>
        <w:tc>
          <w:tcPr>
            <w:tcW w:w="430" w:type="pct"/>
            <w:tcBorders>
              <w:right w:val="single" w:sz="4" w:space="0" w:color="00000A"/>
            </w:tcBorders>
            <w:shd w:val="clear" w:color="auto" w:fill="auto"/>
            <w:vAlign w:val="center"/>
          </w:tcPr>
          <w:p w14:paraId="4E2DE914" w14:textId="77777777" w:rsidR="00BE7F89" w:rsidRPr="00470E23" w:rsidRDefault="00BE7F89" w:rsidP="005A428D">
            <w:pPr>
              <w:rPr>
                <w:rFonts w:eastAsia="SimSun"/>
                <w:sz w:val="22"/>
              </w:rPr>
            </w:pPr>
          </w:p>
        </w:tc>
        <w:tc>
          <w:tcPr>
            <w:tcW w:w="316" w:type="pct"/>
            <w:tcBorders>
              <w:left w:val="single" w:sz="4" w:space="0" w:color="00000A"/>
            </w:tcBorders>
            <w:shd w:val="clear" w:color="auto" w:fill="auto"/>
            <w:vAlign w:val="center"/>
          </w:tcPr>
          <w:p w14:paraId="52537C3B" w14:textId="77777777" w:rsidR="00BE7F89" w:rsidRPr="00470E23" w:rsidRDefault="00BE7F89" w:rsidP="005A428D">
            <w:pPr>
              <w:rPr>
                <w:rFonts w:eastAsia="SimSun"/>
                <w:sz w:val="22"/>
              </w:rPr>
            </w:pPr>
          </w:p>
        </w:tc>
        <w:tc>
          <w:tcPr>
            <w:tcW w:w="475" w:type="pct"/>
            <w:shd w:val="clear" w:color="auto" w:fill="auto"/>
            <w:vAlign w:val="center"/>
          </w:tcPr>
          <w:p w14:paraId="67D1C6B6" w14:textId="77777777" w:rsidR="00BE7F89" w:rsidRPr="00470E23" w:rsidRDefault="00BE7F89" w:rsidP="005A428D">
            <w:pPr>
              <w:rPr>
                <w:rFonts w:eastAsia="SimSun"/>
                <w:sz w:val="22"/>
              </w:rPr>
            </w:pPr>
            <w:r w:rsidRPr="00470E23">
              <w:rPr>
                <w:rFonts w:eastAsia="SimSun"/>
                <w:sz w:val="22"/>
              </w:rPr>
              <w:t>5.2.2.14</w:t>
            </w:r>
          </w:p>
        </w:tc>
        <w:tc>
          <w:tcPr>
            <w:tcW w:w="382" w:type="pct"/>
            <w:shd w:val="clear" w:color="auto" w:fill="auto"/>
            <w:vAlign w:val="center"/>
          </w:tcPr>
          <w:p w14:paraId="75C127CE" w14:textId="77777777" w:rsidR="00BE7F89" w:rsidRPr="00470E23" w:rsidRDefault="00BE7F89" w:rsidP="005A428D">
            <w:pPr>
              <w:rPr>
                <w:rFonts w:eastAsia="SimSun"/>
                <w:sz w:val="22"/>
              </w:rPr>
            </w:pPr>
          </w:p>
        </w:tc>
        <w:tc>
          <w:tcPr>
            <w:tcW w:w="400" w:type="pct"/>
            <w:shd w:val="clear" w:color="auto" w:fill="auto"/>
            <w:vAlign w:val="center"/>
          </w:tcPr>
          <w:p w14:paraId="0E20F510" w14:textId="77777777" w:rsidR="00BE7F89" w:rsidRPr="00470E23" w:rsidRDefault="00BE7F89" w:rsidP="005A428D">
            <w:pPr>
              <w:rPr>
                <w:rFonts w:eastAsia="SimSun"/>
                <w:sz w:val="22"/>
              </w:rPr>
            </w:pPr>
          </w:p>
        </w:tc>
        <w:tc>
          <w:tcPr>
            <w:tcW w:w="394" w:type="pct"/>
            <w:vAlign w:val="center"/>
          </w:tcPr>
          <w:p w14:paraId="21661798" w14:textId="77777777" w:rsidR="00BE7F89" w:rsidRPr="00470E23" w:rsidRDefault="00BE7F89" w:rsidP="005A428D">
            <w:pPr>
              <w:rPr>
                <w:rFonts w:eastAsia="SimSun"/>
                <w:sz w:val="22"/>
              </w:rPr>
            </w:pPr>
          </w:p>
        </w:tc>
      </w:tr>
      <w:tr w:rsidR="00BE7F89" w:rsidRPr="00470E23" w14:paraId="7D813B52" w14:textId="77777777" w:rsidTr="005A428D">
        <w:trPr>
          <w:cantSplit/>
          <w:trHeight w:val="606"/>
        </w:trPr>
        <w:tc>
          <w:tcPr>
            <w:tcW w:w="348" w:type="pct"/>
            <w:shd w:val="clear" w:color="auto" w:fill="D9D9D9"/>
            <w:vAlign w:val="center"/>
          </w:tcPr>
          <w:p w14:paraId="7DB6EEE8" w14:textId="77777777" w:rsidR="00BE7F89" w:rsidRPr="00470E23" w:rsidRDefault="00BE7F89" w:rsidP="005A428D">
            <w:pPr>
              <w:rPr>
                <w:rFonts w:eastAsia="SimSun"/>
                <w:sz w:val="22"/>
              </w:rPr>
            </w:pPr>
            <w:r w:rsidRPr="00470E23">
              <w:rPr>
                <w:rFonts w:eastAsia="SimSun"/>
                <w:sz w:val="22"/>
              </w:rPr>
              <w:t>-</w:t>
            </w:r>
          </w:p>
        </w:tc>
        <w:tc>
          <w:tcPr>
            <w:tcW w:w="303" w:type="pct"/>
            <w:shd w:val="clear" w:color="auto" w:fill="D9D9D9"/>
            <w:vAlign w:val="center"/>
          </w:tcPr>
          <w:p w14:paraId="6DF847BE" w14:textId="77777777" w:rsidR="00BE7F89" w:rsidRPr="00470E23" w:rsidRDefault="00BE7F89" w:rsidP="005A428D">
            <w:pPr>
              <w:rPr>
                <w:rFonts w:eastAsia="SimSun"/>
                <w:sz w:val="22"/>
              </w:rPr>
            </w:pPr>
            <w:r w:rsidRPr="00470E23">
              <w:rPr>
                <w:rFonts w:eastAsia="SimSun"/>
                <w:sz w:val="22"/>
              </w:rPr>
              <w:t>Tx</w:t>
            </w:r>
          </w:p>
        </w:tc>
        <w:tc>
          <w:tcPr>
            <w:tcW w:w="308" w:type="pct"/>
            <w:shd w:val="clear" w:color="auto" w:fill="D9D9D9"/>
            <w:vAlign w:val="center"/>
          </w:tcPr>
          <w:p w14:paraId="68E541D3" w14:textId="77777777" w:rsidR="00BE7F89" w:rsidRPr="00470E23" w:rsidRDefault="00BE7F89" w:rsidP="005A428D">
            <w:pPr>
              <w:rPr>
                <w:rFonts w:eastAsia="SimSun"/>
                <w:sz w:val="22"/>
              </w:rPr>
            </w:pPr>
            <w:r w:rsidRPr="00470E23">
              <w:rPr>
                <w:rFonts w:eastAsia="SimSun"/>
                <w:sz w:val="22"/>
              </w:rPr>
              <w:t>-</w:t>
            </w:r>
          </w:p>
        </w:tc>
        <w:tc>
          <w:tcPr>
            <w:tcW w:w="428" w:type="pct"/>
            <w:shd w:val="clear" w:color="auto" w:fill="D9D9D9"/>
            <w:vAlign w:val="center"/>
          </w:tcPr>
          <w:p w14:paraId="3E1B3AF5" w14:textId="77777777" w:rsidR="00BE7F89" w:rsidRPr="00470E23" w:rsidRDefault="00BE7F89" w:rsidP="005A428D">
            <w:pPr>
              <w:rPr>
                <w:rFonts w:eastAsia="SimSun"/>
                <w:sz w:val="22"/>
              </w:rPr>
            </w:pPr>
            <w:r w:rsidRPr="00470E23">
              <w:rPr>
                <w:rFonts w:eastAsia="SimSun"/>
                <w:sz w:val="22"/>
              </w:rPr>
              <w:t>MMF30</w:t>
            </w:r>
          </w:p>
        </w:tc>
        <w:tc>
          <w:tcPr>
            <w:tcW w:w="412" w:type="pct"/>
            <w:shd w:val="clear" w:color="auto" w:fill="auto"/>
            <w:vAlign w:val="center"/>
          </w:tcPr>
          <w:p w14:paraId="35B193C9" w14:textId="77777777" w:rsidR="00BE7F89" w:rsidRPr="00470E23" w:rsidRDefault="00BE7F89" w:rsidP="005A428D">
            <w:pPr>
              <w:rPr>
                <w:rFonts w:eastAsia="SimSun"/>
                <w:sz w:val="22"/>
              </w:rPr>
            </w:pPr>
          </w:p>
        </w:tc>
        <w:tc>
          <w:tcPr>
            <w:tcW w:w="361" w:type="pct"/>
            <w:tcBorders>
              <w:right w:val="single" w:sz="4" w:space="0" w:color="00000A"/>
            </w:tcBorders>
            <w:shd w:val="clear" w:color="auto" w:fill="auto"/>
            <w:vAlign w:val="center"/>
          </w:tcPr>
          <w:p w14:paraId="787F4422" w14:textId="77777777" w:rsidR="00BE7F89" w:rsidRPr="00470E23" w:rsidRDefault="00BE7F89" w:rsidP="005A428D">
            <w:pPr>
              <w:rPr>
                <w:rFonts w:eastAsia="SimSun"/>
                <w:sz w:val="22"/>
              </w:rPr>
            </w:pPr>
          </w:p>
        </w:tc>
        <w:tc>
          <w:tcPr>
            <w:tcW w:w="443" w:type="pct"/>
            <w:tcBorders>
              <w:left w:val="single" w:sz="4" w:space="0" w:color="00000A"/>
            </w:tcBorders>
            <w:shd w:val="clear" w:color="auto" w:fill="auto"/>
            <w:vAlign w:val="center"/>
          </w:tcPr>
          <w:p w14:paraId="4565BC72" w14:textId="77777777" w:rsidR="00BE7F89" w:rsidRPr="00470E23" w:rsidRDefault="00BE7F89" w:rsidP="005A428D">
            <w:pPr>
              <w:rPr>
                <w:rFonts w:eastAsia="SimSun"/>
                <w:sz w:val="22"/>
              </w:rPr>
            </w:pPr>
          </w:p>
        </w:tc>
        <w:tc>
          <w:tcPr>
            <w:tcW w:w="430" w:type="pct"/>
            <w:tcBorders>
              <w:right w:val="single" w:sz="4" w:space="0" w:color="00000A"/>
            </w:tcBorders>
            <w:shd w:val="clear" w:color="auto" w:fill="auto"/>
            <w:vAlign w:val="center"/>
          </w:tcPr>
          <w:p w14:paraId="6AFB310F" w14:textId="77777777" w:rsidR="00BE7F89" w:rsidRPr="00470E23" w:rsidRDefault="00BE7F89" w:rsidP="005A428D">
            <w:pPr>
              <w:rPr>
                <w:rFonts w:eastAsia="SimSun"/>
                <w:sz w:val="22"/>
              </w:rPr>
            </w:pPr>
            <w:r w:rsidRPr="00470E23">
              <w:rPr>
                <w:rFonts w:eastAsia="SimSun"/>
                <w:sz w:val="22"/>
              </w:rPr>
              <w:t>5.2.2.10</w:t>
            </w:r>
          </w:p>
        </w:tc>
        <w:tc>
          <w:tcPr>
            <w:tcW w:w="316" w:type="pct"/>
            <w:tcBorders>
              <w:left w:val="single" w:sz="4" w:space="0" w:color="00000A"/>
            </w:tcBorders>
            <w:shd w:val="clear" w:color="auto" w:fill="auto"/>
            <w:vAlign w:val="center"/>
          </w:tcPr>
          <w:p w14:paraId="41960FE0" w14:textId="77777777" w:rsidR="00BE7F89" w:rsidRPr="00470E23" w:rsidRDefault="00BE7F89" w:rsidP="005A428D">
            <w:pPr>
              <w:rPr>
                <w:rFonts w:eastAsia="SimSun"/>
                <w:sz w:val="22"/>
              </w:rPr>
            </w:pPr>
          </w:p>
        </w:tc>
        <w:tc>
          <w:tcPr>
            <w:tcW w:w="475" w:type="pct"/>
            <w:shd w:val="clear" w:color="auto" w:fill="auto"/>
            <w:vAlign w:val="center"/>
          </w:tcPr>
          <w:p w14:paraId="34EBCEEE" w14:textId="77777777" w:rsidR="00BE7F89" w:rsidRPr="00470E23" w:rsidRDefault="00BE7F89" w:rsidP="005A428D">
            <w:pPr>
              <w:rPr>
                <w:rFonts w:eastAsia="SimSun"/>
                <w:sz w:val="22"/>
              </w:rPr>
            </w:pPr>
            <w:r w:rsidRPr="00470E23">
              <w:rPr>
                <w:rFonts w:eastAsia="SimSun"/>
                <w:sz w:val="22"/>
              </w:rPr>
              <w:t>5.2.2</w:t>
            </w:r>
          </w:p>
        </w:tc>
        <w:tc>
          <w:tcPr>
            <w:tcW w:w="382" w:type="pct"/>
            <w:shd w:val="clear" w:color="auto" w:fill="auto"/>
            <w:vAlign w:val="center"/>
          </w:tcPr>
          <w:p w14:paraId="556E5009" w14:textId="77777777" w:rsidR="00BE7F89" w:rsidRPr="00470E23" w:rsidRDefault="00BE7F89" w:rsidP="005A428D">
            <w:pPr>
              <w:rPr>
                <w:rFonts w:eastAsia="SimSun"/>
                <w:sz w:val="22"/>
              </w:rPr>
            </w:pPr>
          </w:p>
        </w:tc>
        <w:tc>
          <w:tcPr>
            <w:tcW w:w="400" w:type="pct"/>
            <w:shd w:val="clear" w:color="auto" w:fill="auto"/>
            <w:vAlign w:val="center"/>
          </w:tcPr>
          <w:p w14:paraId="04013F5E" w14:textId="77777777" w:rsidR="00BE7F89" w:rsidRPr="00470E23" w:rsidRDefault="00BE7F89" w:rsidP="005A428D">
            <w:pPr>
              <w:rPr>
                <w:rFonts w:eastAsia="SimSun"/>
                <w:sz w:val="22"/>
              </w:rPr>
            </w:pPr>
          </w:p>
        </w:tc>
        <w:tc>
          <w:tcPr>
            <w:tcW w:w="394" w:type="pct"/>
            <w:vAlign w:val="center"/>
          </w:tcPr>
          <w:p w14:paraId="3EE8A14F" w14:textId="77777777" w:rsidR="00BE7F89" w:rsidRPr="00470E23" w:rsidRDefault="00BE7F89" w:rsidP="005A428D">
            <w:pPr>
              <w:rPr>
                <w:rFonts w:eastAsia="SimSun"/>
                <w:sz w:val="22"/>
              </w:rPr>
            </w:pPr>
          </w:p>
        </w:tc>
      </w:tr>
    </w:tbl>
    <w:p w14:paraId="61CDC102" w14:textId="77777777" w:rsidR="00BE7F89" w:rsidRPr="00C07B2E" w:rsidRDefault="00BE7F89" w:rsidP="00BE7F89">
      <w:pPr>
        <w:rPr>
          <w:rFonts w:eastAsia="SimSun"/>
        </w:rPr>
      </w:pPr>
    </w:p>
    <w:p w14:paraId="2D724C42" w14:textId="77777777" w:rsidR="00BE7F89" w:rsidRPr="00C07B2E" w:rsidRDefault="00BE7F89" w:rsidP="00BE7F89">
      <w:pPr>
        <w:rPr>
          <w:rFonts w:eastAsia="SimSun"/>
        </w:rPr>
        <w:sectPr w:rsidR="00BE7F89" w:rsidRPr="00C07B2E" w:rsidSect="00980822">
          <w:type w:val="continuous"/>
          <w:pgSz w:w="16839" w:h="11907" w:orient="landscape" w:code="9"/>
          <w:pgMar w:top="1134" w:right="850" w:bottom="1134" w:left="1701" w:header="709" w:footer="567" w:gutter="0"/>
          <w:cols w:space="708"/>
          <w:docGrid w:linePitch="360"/>
        </w:sectPr>
      </w:pPr>
    </w:p>
    <w:p w14:paraId="14E45459" w14:textId="77777777" w:rsidR="00BE7F89" w:rsidRPr="00C07B2E" w:rsidRDefault="00BE7F89" w:rsidP="00BE7F89">
      <w:pPr>
        <w:rPr>
          <w:rFonts w:eastAsia="SimSun"/>
        </w:rPr>
      </w:pPr>
      <w:bookmarkStart w:id="187" w:name="_Toc44401201"/>
      <w:r w:rsidRPr="00042499">
        <w:rPr>
          <w:rFonts w:eastAsia="SimSun"/>
        </w:rPr>
        <w:t>Таблица</w:t>
      </w:r>
      <w:r w:rsidRPr="00C07B2E">
        <w:rPr>
          <w:rFonts w:eastAsia="SimSun"/>
        </w:rPr>
        <w:t xml:space="preserve"> </w:t>
      </w:r>
      <w:r>
        <w:rPr>
          <w:rFonts w:eastAsia="SimSun"/>
        </w:rPr>
        <w:t>5.</w:t>
      </w:r>
      <w:r w:rsidRPr="00C07B2E">
        <w:rPr>
          <w:rFonts w:eastAsia="SimSun"/>
        </w:rPr>
        <w:t>2.2.1  – Flu150+Bu8+Thio / hATG+ CSA+MTX+MMF45</w:t>
      </w:r>
      <w:bookmarkEnd w:id="18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BE7F89" w:rsidRPr="00AC3044" w14:paraId="05B70B5F" w14:textId="77777777" w:rsidTr="005A428D">
        <w:trPr>
          <w:cantSplit/>
          <w:trHeight w:val="20"/>
          <w:tblHeader/>
        </w:trPr>
        <w:tc>
          <w:tcPr>
            <w:tcW w:w="993" w:type="dxa"/>
            <w:vAlign w:val="center"/>
          </w:tcPr>
          <w:p w14:paraId="1684A20B" w14:textId="77777777" w:rsidR="00BE7F89" w:rsidRPr="00470D3D" w:rsidRDefault="00BE7F89" w:rsidP="005A428D">
            <w:pPr>
              <w:rPr>
                <w:rFonts w:eastAsia="SimSun"/>
              </w:rPr>
            </w:pPr>
          </w:p>
        </w:tc>
        <w:tc>
          <w:tcPr>
            <w:tcW w:w="1701" w:type="dxa"/>
            <w:vAlign w:val="center"/>
          </w:tcPr>
          <w:p w14:paraId="79492CF3"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074E65E2"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65A74F77"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5EA06331"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4A0A3C45"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7CCFE2BE" w14:textId="77777777" w:rsidTr="005A428D">
        <w:trPr>
          <w:cantSplit/>
          <w:trHeight w:val="20"/>
        </w:trPr>
        <w:tc>
          <w:tcPr>
            <w:tcW w:w="993" w:type="dxa"/>
            <w:vMerge w:val="restart"/>
            <w:textDirection w:val="btLr"/>
            <w:vAlign w:val="center"/>
          </w:tcPr>
          <w:p w14:paraId="5A3BE8FE"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47663BEE"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3815E344" w14:textId="77777777" w:rsidR="00BE7F89" w:rsidRPr="00AC3044" w:rsidRDefault="00BE7F89" w:rsidP="005A428D">
            <w:pPr>
              <w:rPr>
                <w:rFonts w:eastAsia="SimSun"/>
              </w:rPr>
            </w:pPr>
            <w:r w:rsidRPr="00AC3044">
              <w:rPr>
                <w:rFonts w:eastAsia="SimSun"/>
              </w:rPr>
              <w:t>50 мг/м</w:t>
            </w:r>
            <w:r w:rsidRPr="00DB259E">
              <w:rPr>
                <w:rFonts w:eastAsia="SimSun"/>
                <w:vertAlign w:val="superscript"/>
              </w:rPr>
              <w:t>2</w:t>
            </w:r>
          </w:p>
        </w:tc>
        <w:tc>
          <w:tcPr>
            <w:tcW w:w="1418" w:type="dxa"/>
            <w:vAlign w:val="center"/>
          </w:tcPr>
          <w:p w14:paraId="3ABC7E52" w14:textId="77777777" w:rsidR="00BE7F89" w:rsidRPr="00AC3044" w:rsidRDefault="00BE7F89" w:rsidP="005A428D">
            <w:pPr>
              <w:rPr>
                <w:rFonts w:eastAsia="SimSun"/>
              </w:rPr>
            </w:pPr>
            <w:r w:rsidRPr="00AC3044">
              <w:rPr>
                <w:rFonts w:eastAsia="SimSun"/>
              </w:rPr>
              <w:t>150 мг/м</w:t>
            </w:r>
            <w:r w:rsidRPr="00DB259E">
              <w:rPr>
                <w:rFonts w:eastAsia="SimSun"/>
                <w:vertAlign w:val="superscript"/>
              </w:rPr>
              <w:t>2</w:t>
            </w:r>
          </w:p>
        </w:tc>
        <w:tc>
          <w:tcPr>
            <w:tcW w:w="1701" w:type="dxa"/>
            <w:vAlign w:val="center"/>
          </w:tcPr>
          <w:p w14:paraId="6C46E8BA" w14:textId="77777777" w:rsidR="00BE7F89" w:rsidRPr="00AC3044" w:rsidRDefault="00BE7F89" w:rsidP="005A428D">
            <w:pPr>
              <w:rPr>
                <w:rFonts w:eastAsia="SimSun"/>
              </w:rPr>
            </w:pPr>
            <w:r w:rsidRPr="00AC3044">
              <w:rPr>
                <w:rFonts w:eastAsia="SimSun"/>
              </w:rPr>
              <w:t>С –4 по –2 день</w:t>
            </w:r>
          </w:p>
        </w:tc>
        <w:tc>
          <w:tcPr>
            <w:tcW w:w="2268" w:type="dxa"/>
            <w:vAlign w:val="center"/>
          </w:tcPr>
          <w:p w14:paraId="775B18B6"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5CB43161" w14:textId="77777777" w:rsidTr="005A428D">
        <w:trPr>
          <w:cantSplit/>
          <w:trHeight w:val="20"/>
        </w:trPr>
        <w:tc>
          <w:tcPr>
            <w:tcW w:w="993" w:type="dxa"/>
            <w:vMerge/>
            <w:textDirection w:val="btLr"/>
            <w:vAlign w:val="center"/>
          </w:tcPr>
          <w:p w14:paraId="4E3A9121" w14:textId="77777777" w:rsidR="00BE7F89" w:rsidRPr="00AC3044" w:rsidRDefault="00BE7F89" w:rsidP="005A428D">
            <w:pPr>
              <w:rPr>
                <w:rFonts w:eastAsia="SimSun"/>
              </w:rPr>
            </w:pPr>
          </w:p>
        </w:tc>
        <w:tc>
          <w:tcPr>
            <w:tcW w:w="1701" w:type="dxa"/>
            <w:vAlign w:val="center"/>
          </w:tcPr>
          <w:p w14:paraId="37DE6D70"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6B194258" w14:textId="77777777" w:rsidR="00BE7F89" w:rsidRPr="00AC3044" w:rsidRDefault="00BE7F89" w:rsidP="005A428D">
            <w:pPr>
              <w:rPr>
                <w:rFonts w:eastAsia="SimSun"/>
              </w:rPr>
            </w:pPr>
            <w:r w:rsidRPr="00AC3044">
              <w:rPr>
                <w:rFonts w:eastAsia="SimSun"/>
              </w:rPr>
              <w:t>4 мг/кг</w:t>
            </w:r>
          </w:p>
        </w:tc>
        <w:tc>
          <w:tcPr>
            <w:tcW w:w="1418" w:type="dxa"/>
            <w:vAlign w:val="center"/>
          </w:tcPr>
          <w:p w14:paraId="43130FF2" w14:textId="77777777" w:rsidR="00BE7F89" w:rsidRPr="00AC3044" w:rsidRDefault="00BE7F89" w:rsidP="005A428D">
            <w:pPr>
              <w:rPr>
                <w:rFonts w:eastAsia="SimSun"/>
              </w:rPr>
            </w:pPr>
            <w:r w:rsidRPr="00AC3044">
              <w:rPr>
                <w:rFonts w:eastAsia="SimSun"/>
              </w:rPr>
              <w:t>8 мг/кг</w:t>
            </w:r>
          </w:p>
        </w:tc>
        <w:tc>
          <w:tcPr>
            <w:tcW w:w="1701" w:type="dxa"/>
            <w:vAlign w:val="center"/>
          </w:tcPr>
          <w:p w14:paraId="4D5798FF" w14:textId="77777777" w:rsidR="00BE7F89" w:rsidRPr="00AC3044" w:rsidRDefault="00BE7F89" w:rsidP="005A428D">
            <w:pPr>
              <w:rPr>
                <w:rFonts w:eastAsia="SimSun"/>
              </w:rPr>
            </w:pPr>
            <w:r w:rsidRPr="00AC3044">
              <w:rPr>
                <w:rFonts w:eastAsia="SimSun"/>
              </w:rPr>
              <w:t>–3, –2 дни</w:t>
            </w:r>
          </w:p>
        </w:tc>
        <w:tc>
          <w:tcPr>
            <w:tcW w:w="2268" w:type="dxa"/>
            <w:vAlign w:val="center"/>
          </w:tcPr>
          <w:p w14:paraId="34953F8F"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1A4F7736" w14:textId="77777777" w:rsidTr="005A428D">
        <w:trPr>
          <w:cantSplit/>
          <w:trHeight w:val="20"/>
        </w:trPr>
        <w:tc>
          <w:tcPr>
            <w:tcW w:w="993" w:type="dxa"/>
            <w:vMerge/>
            <w:textDirection w:val="btLr"/>
            <w:vAlign w:val="center"/>
          </w:tcPr>
          <w:p w14:paraId="07D74DAD" w14:textId="77777777" w:rsidR="00BE7F89" w:rsidRPr="00AC3044" w:rsidRDefault="00BE7F89" w:rsidP="005A428D">
            <w:pPr>
              <w:rPr>
                <w:rFonts w:eastAsia="SimSun"/>
              </w:rPr>
            </w:pPr>
          </w:p>
        </w:tc>
        <w:tc>
          <w:tcPr>
            <w:tcW w:w="1701" w:type="dxa"/>
            <w:vAlign w:val="center"/>
          </w:tcPr>
          <w:p w14:paraId="69CBADDA" w14:textId="77777777" w:rsidR="00BE7F89" w:rsidRPr="00AC3044" w:rsidRDefault="00BE7F89" w:rsidP="005A428D">
            <w:pPr>
              <w:rPr>
                <w:rFonts w:eastAsia="SimSun"/>
              </w:rPr>
            </w:pPr>
            <w:r w:rsidRPr="00AC3044">
              <w:rPr>
                <w:rFonts w:eastAsia="SimSun"/>
              </w:rPr>
              <w:t>Тиотепа</w:t>
            </w:r>
          </w:p>
        </w:tc>
        <w:tc>
          <w:tcPr>
            <w:tcW w:w="1559" w:type="dxa"/>
            <w:vAlign w:val="center"/>
          </w:tcPr>
          <w:p w14:paraId="45D97364" w14:textId="77777777" w:rsidR="00BE7F89" w:rsidRPr="00AC3044" w:rsidRDefault="00BE7F89" w:rsidP="005A428D">
            <w:pPr>
              <w:rPr>
                <w:rFonts w:eastAsia="SimSun"/>
              </w:rPr>
            </w:pPr>
            <w:r w:rsidRPr="00AC3044">
              <w:rPr>
                <w:rFonts w:eastAsia="SimSun"/>
              </w:rPr>
              <w:t>5 мг/кг</w:t>
            </w:r>
          </w:p>
        </w:tc>
        <w:tc>
          <w:tcPr>
            <w:tcW w:w="1418" w:type="dxa"/>
            <w:vAlign w:val="center"/>
          </w:tcPr>
          <w:p w14:paraId="422C8C15" w14:textId="77777777" w:rsidR="00BE7F89" w:rsidRPr="00AC3044" w:rsidRDefault="00BE7F89" w:rsidP="005A428D">
            <w:pPr>
              <w:rPr>
                <w:rFonts w:eastAsia="SimSun"/>
              </w:rPr>
            </w:pPr>
            <w:r w:rsidRPr="00AC3044">
              <w:rPr>
                <w:rFonts w:eastAsia="SimSun"/>
              </w:rPr>
              <w:t>10 мг/кг</w:t>
            </w:r>
          </w:p>
        </w:tc>
        <w:tc>
          <w:tcPr>
            <w:tcW w:w="1701" w:type="dxa"/>
            <w:vAlign w:val="center"/>
          </w:tcPr>
          <w:p w14:paraId="4206E9C8" w14:textId="77777777" w:rsidR="00BE7F89" w:rsidRPr="00AC3044" w:rsidRDefault="00BE7F89" w:rsidP="005A428D">
            <w:pPr>
              <w:rPr>
                <w:rFonts w:eastAsia="SimSun"/>
              </w:rPr>
            </w:pPr>
            <w:r w:rsidRPr="00AC3044">
              <w:rPr>
                <w:rFonts w:eastAsia="SimSun"/>
              </w:rPr>
              <w:t>–6, –5 дни</w:t>
            </w:r>
          </w:p>
        </w:tc>
        <w:tc>
          <w:tcPr>
            <w:tcW w:w="2268" w:type="dxa"/>
            <w:vAlign w:val="center"/>
          </w:tcPr>
          <w:p w14:paraId="1E436391"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0C2DFBD0" w14:textId="77777777" w:rsidTr="005A428D">
        <w:trPr>
          <w:cantSplit/>
          <w:trHeight w:val="20"/>
        </w:trPr>
        <w:tc>
          <w:tcPr>
            <w:tcW w:w="993" w:type="dxa"/>
            <w:vMerge w:val="restart"/>
            <w:textDirection w:val="btLr"/>
            <w:vAlign w:val="center"/>
          </w:tcPr>
          <w:p w14:paraId="759D1BAB"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273B7326" w14:textId="77777777" w:rsidR="00BE7F89" w:rsidRPr="00AC3044" w:rsidRDefault="00BE7F89" w:rsidP="005A428D">
            <w:pPr>
              <w:rPr>
                <w:rFonts w:eastAsia="SimSun"/>
              </w:rPr>
            </w:pPr>
            <w:r w:rsidRPr="00AC3044">
              <w:rPr>
                <w:rFonts w:eastAsia="SimSun"/>
              </w:rPr>
              <w:t>АТГ (лошадиный)</w:t>
            </w:r>
          </w:p>
        </w:tc>
        <w:tc>
          <w:tcPr>
            <w:tcW w:w="1559" w:type="dxa"/>
            <w:vAlign w:val="center"/>
          </w:tcPr>
          <w:p w14:paraId="2EBD2E61" w14:textId="77777777" w:rsidR="00BE7F89" w:rsidRPr="00AC3044" w:rsidRDefault="00BE7F89" w:rsidP="005A428D">
            <w:pPr>
              <w:rPr>
                <w:rFonts w:eastAsia="SimSun"/>
              </w:rPr>
            </w:pPr>
            <w:r w:rsidRPr="00AC3044">
              <w:rPr>
                <w:rFonts w:eastAsia="SimSun"/>
              </w:rPr>
              <w:t>10-15 мг/кг</w:t>
            </w:r>
          </w:p>
        </w:tc>
        <w:tc>
          <w:tcPr>
            <w:tcW w:w="1418" w:type="dxa"/>
            <w:vAlign w:val="center"/>
          </w:tcPr>
          <w:p w14:paraId="2AA91435" w14:textId="77777777" w:rsidR="00BE7F89" w:rsidRPr="00AC3044" w:rsidRDefault="00BE7F89" w:rsidP="005A428D">
            <w:pPr>
              <w:rPr>
                <w:rFonts w:eastAsia="SimSun"/>
              </w:rPr>
            </w:pPr>
            <w:r w:rsidRPr="00AC3044">
              <w:rPr>
                <w:rFonts w:eastAsia="SimSun"/>
              </w:rPr>
              <w:t>40-60 мг/кг</w:t>
            </w:r>
          </w:p>
        </w:tc>
        <w:tc>
          <w:tcPr>
            <w:tcW w:w="1701" w:type="dxa"/>
            <w:vAlign w:val="center"/>
          </w:tcPr>
          <w:p w14:paraId="33790E58" w14:textId="77777777" w:rsidR="00BE7F89" w:rsidRPr="00AC3044" w:rsidRDefault="00BE7F89" w:rsidP="005A428D">
            <w:pPr>
              <w:rPr>
                <w:rFonts w:eastAsia="SimSun"/>
              </w:rPr>
            </w:pPr>
            <w:r w:rsidRPr="00AC3044">
              <w:rPr>
                <w:rFonts w:eastAsia="SimSun"/>
              </w:rPr>
              <w:t>С –4 по –1 день</w:t>
            </w:r>
          </w:p>
        </w:tc>
        <w:tc>
          <w:tcPr>
            <w:tcW w:w="2268" w:type="dxa"/>
            <w:vAlign w:val="center"/>
          </w:tcPr>
          <w:p w14:paraId="46281EAF" w14:textId="77777777" w:rsidR="00BE7F89" w:rsidRPr="00AC3044" w:rsidRDefault="00BE7F89" w:rsidP="005A428D">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BE7F89" w:rsidRPr="00AC3044" w14:paraId="08E96089" w14:textId="77777777" w:rsidTr="005A428D">
        <w:trPr>
          <w:cantSplit/>
          <w:trHeight w:val="20"/>
        </w:trPr>
        <w:tc>
          <w:tcPr>
            <w:tcW w:w="993" w:type="dxa"/>
            <w:vMerge/>
            <w:textDirection w:val="btLr"/>
          </w:tcPr>
          <w:p w14:paraId="5B22250A" w14:textId="77777777" w:rsidR="00BE7F89" w:rsidRPr="00AC3044" w:rsidRDefault="00BE7F89" w:rsidP="005A428D">
            <w:pPr>
              <w:rPr>
                <w:rFonts w:eastAsia="SimSun"/>
              </w:rPr>
            </w:pPr>
          </w:p>
        </w:tc>
        <w:tc>
          <w:tcPr>
            <w:tcW w:w="1701" w:type="dxa"/>
            <w:vAlign w:val="center"/>
          </w:tcPr>
          <w:p w14:paraId="47F3DF9A" w14:textId="77777777" w:rsidR="00BE7F89" w:rsidRPr="00AC3044" w:rsidRDefault="00BE7F89" w:rsidP="005A428D">
            <w:pPr>
              <w:rPr>
                <w:rFonts w:eastAsia="SimSun"/>
              </w:rPr>
            </w:pPr>
            <w:r w:rsidRPr="00AC3044">
              <w:rPr>
                <w:rFonts w:eastAsia="SimSun"/>
              </w:rPr>
              <w:t>Циклоспорин</w:t>
            </w:r>
          </w:p>
        </w:tc>
        <w:tc>
          <w:tcPr>
            <w:tcW w:w="1559" w:type="dxa"/>
            <w:vAlign w:val="center"/>
          </w:tcPr>
          <w:p w14:paraId="71D5F128" w14:textId="77777777" w:rsidR="00BE7F89" w:rsidRPr="00AC3044" w:rsidRDefault="00BE7F89" w:rsidP="005A428D">
            <w:pPr>
              <w:rPr>
                <w:rFonts w:eastAsia="SimSun"/>
              </w:rPr>
            </w:pPr>
            <w:r w:rsidRPr="00AC3044">
              <w:rPr>
                <w:rFonts w:eastAsia="SimSun"/>
              </w:rPr>
              <w:t>3 мг/кг</w:t>
            </w:r>
          </w:p>
        </w:tc>
        <w:tc>
          <w:tcPr>
            <w:tcW w:w="1418" w:type="dxa"/>
            <w:vAlign w:val="center"/>
          </w:tcPr>
          <w:p w14:paraId="3791800C" w14:textId="77777777" w:rsidR="00BE7F89" w:rsidRPr="00AC3044" w:rsidRDefault="00BE7F89" w:rsidP="005A428D">
            <w:pPr>
              <w:rPr>
                <w:rFonts w:eastAsia="SimSun"/>
              </w:rPr>
            </w:pPr>
            <w:r w:rsidRPr="00AC3044">
              <w:rPr>
                <w:rFonts w:eastAsia="SimSun"/>
              </w:rPr>
              <w:t>–</w:t>
            </w:r>
          </w:p>
        </w:tc>
        <w:tc>
          <w:tcPr>
            <w:tcW w:w="1701" w:type="dxa"/>
            <w:vAlign w:val="center"/>
          </w:tcPr>
          <w:p w14:paraId="63EA1137" w14:textId="77777777" w:rsidR="00BE7F89" w:rsidRPr="00AC3044" w:rsidRDefault="00BE7F89" w:rsidP="005A428D">
            <w:pPr>
              <w:rPr>
                <w:rFonts w:eastAsia="SimSun"/>
              </w:rPr>
            </w:pPr>
            <w:r w:rsidRPr="00AC3044">
              <w:rPr>
                <w:rFonts w:eastAsia="SimSun"/>
              </w:rPr>
              <w:t>С –1 по +90 день, затем постепенное снижение к +180 дню</w:t>
            </w:r>
          </w:p>
        </w:tc>
        <w:tc>
          <w:tcPr>
            <w:tcW w:w="2268" w:type="dxa"/>
            <w:vAlign w:val="center"/>
          </w:tcPr>
          <w:p w14:paraId="25A3686A"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71CB75D4" w14:textId="77777777" w:rsidTr="005A428D">
        <w:trPr>
          <w:cantSplit/>
          <w:trHeight w:val="20"/>
        </w:trPr>
        <w:tc>
          <w:tcPr>
            <w:tcW w:w="993" w:type="dxa"/>
            <w:vMerge/>
          </w:tcPr>
          <w:p w14:paraId="7C2919D1" w14:textId="77777777" w:rsidR="00BE7F89" w:rsidRPr="00AC3044" w:rsidRDefault="00BE7F89" w:rsidP="005A428D">
            <w:pPr>
              <w:rPr>
                <w:rFonts w:eastAsia="SimSun"/>
              </w:rPr>
            </w:pPr>
          </w:p>
        </w:tc>
        <w:tc>
          <w:tcPr>
            <w:tcW w:w="1701" w:type="dxa"/>
            <w:vMerge w:val="restart"/>
            <w:vAlign w:val="center"/>
          </w:tcPr>
          <w:p w14:paraId="4FD07404" w14:textId="77777777" w:rsidR="00BE7F89" w:rsidRPr="00AC3044" w:rsidRDefault="00BE7F89" w:rsidP="005A428D">
            <w:pPr>
              <w:rPr>
                <w:rFonts w:eastAsia="SimSun"/>
              </w:rPr>
            </w:pPr>
            <w:r w:rsidRPr="00AC3044">
              <w:rPr>
                <w:rFonts w:eastAsia="SimSun"/>
              </w:rPr>
              <w:t>Метотрексат</w:t>
            </w:r>
          </w:p>
        </w:tc>
        <w:tc>
          <w:tcPr>
            <w:tcW w:w="1559" w:type="dxa"/>
            <w:vAlign w:val="center"/>
          </w:tcPr>
          <w:p w14:paraId="0AFF987F" w14:textId="77777777" w:rsidR="00BE7F89" w:rsidRPr="00AC3044" w:rsidRDefault="00BE7F89" w:rsidP="005A428D">
            <w:pPr>
              <w:rPr>
                <w:rFonts w:eastAsia="SimSun"/>
              </w:rPr>
            </w:pPr>
            <w:r w:rsidRPr="00AC3044">
              <w:rPr>
                <w:rFonts w:eastAsia="SimSun"/>
              </w:rPr>
              <w:t>15 мг/м</w:t>
            </w:r>
            <w:r w:rsidRPr="00DB259E">
              <w:rPr>
                <w:rFonts w:eastAsia="SimSun"/>
                <w:vertAlign w:val="superscript"/>
              </w:rPr>
              <w:t>2</w:t>
            </w:r>
          </w:p>
        </w:tc>
        <w:tc>
          <w:tcPr>
            <w:tcW w:w="1418" w:type="dxa"/>
            <w:vAlign w:val="center"/>
          </w:tcPr>
          <w:p w14:paraId="0A89E7DA" w14:textId="77777777" w:rsidR="00BE7F89" w:rsidRPr="00AC3044" w:rsidRDefault="00BE7F89" w:rsidP="005A428D">
            <w:pPr>
              <w:rPr>
                <w:rFonts w:eastAsia="SimSun"/>
              </w:rPr>
            </w:pPr>
            <w:r w:rsidRPr="00AC3044">
              <w:rPr>
                <w:rFonts w:eastAsia="SimSun"/>
              </w:rPr>
              <w:t>–</w:t>
            </w:r>
          </w:p>
        </w:tc>
        <w:tc>
          <w:tcPr>
            <w:tcW w:w="1701" w:type="dxa"/>
            <w:vAlign w:val="center"/>
          </w:tcPr>
          <w:p w14:paraId="67905402" w14:textId="77777777" w:rsidR="00BE7F89" w:rsidRPr="00AC3044" w:rsidRDefault="00BE7F89" w:rsidP="005A428D">
            <w:pPr>
              <w:rPr>
                <w:rFonts w:eastAsia="SimSun"/>
              </w:rPr>
            </w:pPr>
            <w:r w:rsidRPr="00AC3044">
              <w:rPr>
                <w:rFonts w:eastAsia="SimSun"/>
              </w:rPr>
              <w:t>+1 день</w:t>
            </w:r>
          </w:p>
        </w:tc>
        <w:tc>
          <w:tcPr>
            <w:tcW w:w="2268" w:type="dxa"/>
            <w:vAlign w:val="center"/>
          </w:tcPr>
          <w:p w14:paraId="26F3CB50" w14:textId="77777777" w:rsidR="00BE7F89" w:rsidRPr="00AC3044" w:rsidRDefault="00BE7F89" w:rsidP="005A428D">
            <w:pPr>
              <w:rPr>
                <w:rFonts w:eastAsia="SimSun"/>
              </w:rPr>
            </w:pPr>
            <w:r w:rsidRPr="00AC3044">
              <w:rPr>
                <w:rFonts w:eastAsia="SimSun"/>
              </w:rPr>
              <w:t>В/в, в 20 мл физ. р-ра</w:t>
            </w:r>
          </w:p>
        </w:tc>
      </w:tr>
      <w:tr w:rsidR="00BE7F89" w:rsidRPr="00AC3044" w14:paraId="7CDC375F" w14:textId="77777777" w:rsidTr="005A428D">
        <w:trPr>
          <w:cantSplit/>
          <w:trHeight w:val="464"/>
        </w:trPr>
        <w:tc>
          <w:tcPr>
            <w:tcW w:w="993" w:type="dxa"/>
            <w:vMerge/>
          </w:tcPr>
          <w:p w14:paraId="257447F1" w14:textId="77777777" w:rsidR="00BE7F89" w:rsidRPr="00AC3044" w:rsidRDefault="00BE7F89" w:rsidP="005A428D">
            <w:pPr>
              <w:rPr>
                <w:rFonts w:eastAsia="SimSun"/>
              </w:rPr>
            </w:pPr>
          </w:p>
        </w:tc>
        <w:tc>
          <w:tcPr>
            <w:tcW w:w="1701" w:type="dxa"/>
            <w:vMerge/>
            <w:vAlign w:val="center"/>
          </w:tcPr>
          <w:p w14:paraId="78F8C130" w14:textId="77777777" w:rsidR="00BE7F89" w:rsidRPr="00AC3044" w:rsidRDefault="00BE7F89" w:rsidP="005A428D">
            <w:pPr>
              <w:rPr>
                <w:rFonts w:eastAsia="SimSun"/>
              </w:rPr>
            </w:pPr>
          </w:p>
        </w:tc>
        <w:tc>
          <w:tcPr>
            <w:tcW w:w="1559" w:type="dxa"/>
            <w:vAlign w:val="center"/>
          </w:tcPr>
          <w:p w14:paraId="7A184A11" w14:textId="77777777" w:rsidR="00BE7F89" w:rsidRPr="00AC3044" w:rsidRDefault="00BE7F89" w:rsidP="005A428D">
            <w:pPr>
              <w:rPr>
                <w:rFonts w:eastAsia="SimSun"/>
              </w:rPr>
            </w:pPr>
            <w:r w:rsidRPr="00AC3044">
              <w:rPr>
                <w:rFonts w:eastAsia="SimSun"/>
              </w:rPr>
              <w:t>10 мг/м</w:t>
            </w:r>
            <w:r w:rsidRPr="00DB259E">
              <w:rPr>
                <w:rFonts w:eastAsia="SimSun"/>
                <w:vertAlign w:val="superscript"/>
              </w:rPr>
              <w:t>2</w:t>
            </w:r>
          </w:p>
        </w:tc>
        <w:tc>
          <w:tcPr>
            <w:tcW w:w="1418" w:type="dxa"/>
            <w:vAlign w:val="center"/>
          </w:tcPr>
          <w:p w14:paraId="10DE634B" w14:textId="77777777" w:rsidR="00BE7F89" w:rsidRPr="00AC3044" w:rsidRDefault="00BE7F89" w:rsidP="005A428D">
            <w:pPr>
              <w:rPr>
                <w:rFonts w:eastAsia="SimSun"/>
              </w:rPr>
            </w:pPr>
            <w:r w:rsidRPr="00AC3044">
              <w:rPr>
                <w:rFonts w:eastAsia="SimSun"/>
              </w:rPr>
              <w:t>–</w:t>
            </w:r>
          </w:p>
        </w:tc>
        <w:tc>
          <w:tcPr>
            <w:tcW w:w="1701" w:type="dxa"/>
            <w:vAlign w:val="center"/>
          </w:tcPr>
          <w:p w14:paraId="3E93E420" w14:textId="77777777" w:rsidR="00BE7F89" w:rsidRPr="00AC3044" w:rsidRDefault="00BE7F89" w:rsidP="005A428D">
            <w:pPr>
              <w:rPr>
                <w:rFonts w:eastAsia="SimSun"/>
              </w:rPr>
            </w:pPr>
            <w:r w:rsidRPr="00AC3044">
              <w:rPr>
                <w:rFonts w:eastAsia="SimSun"/>
              </w:rPr>
              <w:t>+3, +6, +11 дни</w:t>
            </w:r>
          </w:p>
        </w:tc>
        <w:tc>
          <w:tcPr>
            <w:tcW w:w="2268" w:type="dxa"/>
            <w:vAlign w:val="center"/>
          </w:tcPr>
          <w:p w14:paraId="4AA37C16" w14:textId="77777777" w:rsidR="00BE7F89" w:rsidRPr="00AC3044" w:rsidRDefault="00BE7F89" w:rsidP="005A428D">
            <w:pPr>
              <w:rPr>
                <w:rFonts w:eastAsia="SimSun"/>
              </w:rPr>
            </w:pPr>
            <w:r w:rsidRPr="00AC3044">
              <w:rPr>
                <w:rFonts w:eastAsia="SimSun"/>
              </w:rPr>
              <w:t>В/в, в 20 мл физ. р-ра</w:t>
            </w:r>
          </w:p>
        </w:tc>
      </w:tr>
      <w:tr w:rsidR="00BE7F89" w:rsidRPr="00AC3044" w14:paraId="4568FB30" w14:textId="77777777" w:rsidTr="005A428D">
        <w:trPr>
          <w:cantSplit/>
          <w:trHeight w:val="464"/>
        </w:trPr>
        <w:tc>
          <w:tcPr>
            <w:tcW w:w="993" w:type="dxa"/>
            <w:vMerge/>
          </w:tcPr>
          <w:p w14:paraId="2745407C" w14:textId="77777777" w:rsidR="00BE7F89" w:rsidRPr="00AC3044" w:rsidRDefault="00BE7F89" w:rsidP="005A428D">
            <w:pPr>
              <w:rPr>
                <w:rFonts w:eastAsia="SimSun"/>
              </w:rPr>
            </w:pPr>
          </w:p>
        </w:tc>
        <w:tc>
          <w:tcPr>
            <w:tcW w:w="1701" w:type="dxa"/>
            <w:vAlign w:val="center"/>
          </w:tcPr>
          <w:p w14:paraId="26C78A06"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5006CBC4" w14:textId="77777777" w:rsidR="00BE7F89" w:rsidRPr="00AC3044" w:rsidRDefault="00BE7F89" w:rsidP="005A428D">
            <w:pPr>
              <w:rPr>
                <w:rFonts w:eastAsia="SimSun"/>
              </w:rPr>
            </w:pPr>
            <w:r w:rsidRPr="00AC3044">
              <w:rPr>
                <w:rFonts w:eastAsia="SimSun"/>
              </w:rPr>
              <w:t>45 мг/кг</w:t>
            </w:r>
          </w:p>
        </w:tc>
        <w:tc>
          <w:tcPr>
            <w:tcW w:w="1418" w:type="dxa"/>
            <w:vAlign w:val="center"/>
          </w:tcPr>
          <w:p w14:paraId="2FC3F1E6" w14:textId="77777777" w:rsidR="00BE7F89" w:rsidRPr="00AC3044" w:rsidRDefault="00BE7F89" w:rsidP="005A428D">
            <w:pPr>
              <w:rPr>
                <w:rFonts w:eastAsia="SimSun"/>
              </w:rPr>
            </w:pPr>
            <w:r w:rsidRPr="00AC3044">
              <w:rPr>
                <w:rFonts w:eastAsia="SimSun"/>
              </w:rPr>
              <w:t>–</w:t>
            </w:r>
          </w:p>
        </w:tc>
        <w:tc>
          <w:tcPr>
            <w:tcW w:w="1701" w:type="dxa"/>
            <w:vAlign w:val="center"/>
          </w:tcPr>
          <w:p w14:paraId="0B23DA47" w14:textId="77777777" w:rsidR="00BE7F89" w:rsidRPr="00AC3044" w:rsidRDefault="00BE7F89" w:rsidP="005A428D">
            <w:pPr>
              <w:rPr>
                <w:rFonts w:eastAsia="SimSun"/>
              </w:rPr>
            </w:pPr>
            <w:r w:rsidRPr="00AC3044">
              <w:rPr>
                <w:rFonts w:eastAsia="SimSun"/>
              </w:rPr>
              <w:t>С +1 по +90 день</w:t>
            </w:r>
          </w:p>
        </w:tc>
        <w:tc>
          <w:tcPr>
            <w:tcW w:w="2268" w:type="dxa"/>
            <w:vAlign w:val="center"/>
          </w:tcPr>
          <w:p w14:paraId="79798179"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67794092" w14:textId="77777777" w:rsidR="00BE7F89" w:rsidRDefault="00BE7F89" w:rsidP="00BE7F89">
      <w:pPr>
        <w:rPr>
          <w:rFonts w:eastAsia="SimSun"/>
        </w:rPr>
      </w:pPr>
      <w:bookmarkStart w:id="188" w:name="_Toc44401202"/>
    </w:p>
    <w:p w14:paraId="31AEFC9A"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2.2.2  – Flu150+Bu8+Thio / rATG+ CSA+MTX+MMF45</w:t>
      </w:r>
      <w:bookmarkEnd w:id="18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BE7F89" w:rsidRPr="00AC3044" w14:paraId="630FB687" w14:textId="77777777" w:rsidTr="005A428D">
        <w:trPr>
          <w:cantSplit/>
          <w:trHeight w:val="20"/>
          <w:tblHeader/>
        </w:trPr>
        <w:tc>
          <w:tcPr>
            <w:tcW w:w="993" w:type="dxa"/>
          </w:tcPr>
          <w:p w14:paraId="211D7870" w14:textId="77777777" w:rsidR="00BE7F89" w:rsidRPr="00470D3D" w:rsidRDefault="00BE7F89" w:rsidP="005A428D">
            <w:pPr>
              <w:rPr>
                <w:rFonts w:eastAsia="SimSun"/>
              </w:rPr>
            </w:pPr>
          </w:p>
        </w:tc>
        <w:tc>
          <w:tcPr>
            <w:tcW w:w="1701" w:type="dxa"/>
            <w:vAlign w:val="center"/>
          </w:tcPr>
          <w:p w14:paraId="02A22806"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21E61EA9"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143300E2"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03B58D29"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66F51411"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4976FDAC" w14:textId="77777777" w:rsidTr="005A428D">
        <w:trPr>
          <w:cantSplit/>
          <w:trHeight w:val="20"/>
        </w:trPr>
        <w:tc>
          <w:tcPr>
            <w:tcW w:w="993" w:type="dxa"/>
            <w:vMerge w:val="restart"/>
            <w:textDirection w:val="btLr"/>
            <w:vAlign w:val="center"/>
          </w:tcPr>
          <w:p w14:paraId="6CDA3786"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0A9111C2"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7A62FF89" w14:textId="77777777" w:rsidR="00BE7F89" w:rsidRPr="00AC3044" w:rsidRDefault="00BE7F89" w:rsidP="005A428D">
            <w:pPr>
              <w:rPr>
                <w:rFonts w:eastAsia="SimSun"/>
              </w:rPr>
            </w:pPr>
            <w:r w:rsidRPr="00AC3044">
              <w:rPr>
                <w:rFonts w:eastAsia="SimSun"/>
              </w:rPr>
              <w:t>50 мг/м</w:t>
            </w:r>
            <w:r w:rsidRPr="00DB259E">
              <w:rPr>
                <w:rFonts w:eastAsia="SimSun"/>
                <w:vertAlign w:val="superscript"/>
              </w:rPr>
              <w:t>2</w:t>
            </w:r>
          </w:p>
        </w:tc>
        <w:tc>
          <w:tcPr>
            <w:tcW w:w="1418" w:type="dxa"/>
            <w:vAlign w:val="center"/>
          </w:tcPr>
          <w:p w14:paraId="42F23696" w14:textId="77777777" w:rsidR="00BE7F89" w:rsidRPr="00AC3044" w:rsidRDefault="00BE7F89" w:rsidP="005A428D">
            <w:pPr>
              <w:rPr>
                <w:rFonts w:eastAsia="SimSun"/>
              </w:rPr>
            </w:pPr>
            <w:r w:rsidRPr="00AC3044">
              <w:rPr>
                <w:rFonts w:eastAsia="SimSun"/>
              </w:rPr>
              <w:t>150 мг/м</w:t>
            </w:r>
            <w:r w:rsidRPr="00DB259E">
              <w:rPr>
                <w:rFonts w:eastAsia="SimSun"/>
                <w:vertAlign w:val="superscript"/>
              </w:rPr>
              <w:t>2</w:t>
            </w:r>
          </w:p>
        </w:tc>
        <w:tc>
          <w:tcPr>
            <w:tcW w:w="1701" w:type="dxa"/>
            <w:vAlign w:val="center"/>
          </w:tcPr>
          <w:p w14:paraId="6124F03B" w14:textId="77777777" w:rsidR="00BE7F89" w:rsidRPr="00AC3044" w:rsidRDefault="00BE7F89" w:rsidP="005A428D">
            <w:pPr>
              <w:rPr>
                <w:rFonts w:eastAsia="SimSun"/>
              </w:rPr>
            </w:pPr>
            <w:r w:rsidRPr="00AC3044">
              <w:rPr>
                <w:rFonts w:eastAsia="SimSun"/>
              </w:rPr>
              <w:t>С –4 по –2 день</w:t>
            </w:r>
          </w:p>
        </w:tc>
        <w:tc>
          <w:tcPr>
            <w:tcW w:w="2268" w:type="dxa"/>
            <w:vAlign w:val="center"/>
          </w:tcPr>
          <w:p w14:paraId="6120FC2C"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261DE383" w14:textId="77777777" w:rsidTr="005A428D">
        <w:trPr>
          <w:cantSplit/>
          <w:trHeight w:val="20"/>
        </w:trPr>
        <w:tc>
          <w:tcPr>
            <w:tcW w:w="993" w:type="dxa"/>
            <w:vMerge/>
            <w:textDirection w:val="btLr"/>
            <w:vAlign w:val="center"/>
          </w:tcPr>
          <w:p w14:paraId="74EE9994" w14:textId="77777777" w:rsidR="00BE7F89" w:rsidRPr="00AC3044" w:rsidRDefault="00BE7F89" w:rsidP="005A428D">
            <w:pPr>
              <w:rPr>
                <w:rFonts w:eastAsia="SimSun"/>
              </w:rPr>
            </w:pPr>
          </w:p>
        </w:tc>
        <w:tc>
          <w:tcPr>
            <w:tcW w:w="1701" w:type="dxa"/>
            <w:vAlign w:val="center"/>
          </w:tcPr>
          <w:p w14:paraId="0086CAC4"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4E1D6864" w14:textId="77777777" w:rsidR="00BE7F89" w:rsidRPr="00AC3044" w:rsidRDefault="00BE7F89" w:rsidP="005A428D">
            <w:pPr>
              <w:rPr>
                <w:rFonts w:eastAsia="SimSun"/>
              </w:rPr>
            </w:pPr>
            <w:r w:rsidRPr="00AC3044">
              <w:rPr>
                <w:rFonts w:eastAsia="SimSun"/>
              </w:rPr>
              <w:t>4 мг/кг</w:t>
            </w:r>
          </w:p>
        </w:tc>
        <w:tc>
          <w:tcPr>
            <w:tcW w:w="1418" w:type="dxa"/>
            <w:vAlign w:val="center"/>
          </w:tcPr>
          <w:p w14:paraId="593A9E18" w14:textId="77777777" w:rsidR="00BE7F89" w:rsidRPr="00AC3044" w:rsidRDefault="00BE7F89" w:rsidP="005A428D">
            <w:pPr>
              <w:rPr>
                <w:rFonts w:eastAsia="SimSun"/>
              </w:rPr>
            </w:pPr>
            <w:r w:rsidRPr="00AC3044">
              <w:rPr>
                <w:rFonts w:eastAsia="SimSun"/>
              </w:rPr>
              <w:t>8 мг/кг</w:t>
            </w:r>
          </w:p>
        </w:tc>
        <w:tc>
          <w:tcPr>
            <w:tcW w:w="1701" w:type="dxa"/>
            <w:vAlign w:val="center"/>
          </w:tcPr>
          <w:p w14:paraId="38CFD4E3" w14:textId="77777777" w:rsidR="00BE7F89" w:rsidRPr="00AC3044" w:rsidRDefault="00BE7F89" w:rsidP="005A428D">
            <w:pPr>
              <w:rPr>
                <w:rFonts w:eastAsia="SimSun"/>
              </w:rPr>
            </w:pPr>
            <w:r w:rsidRPr="00AC3044">
              <w:rPr>
                <w:rFonts w:eastAsia="SimSun"/>
              </w:rPr>
              <w:t>–3, –2 дни</w:t>
            </w:r>
          </w:p>
        </w:tc>
        <w:tc>
          <w:tcPr>
            <w:tcW w:w="2268" w:type="dxa"/>
            <w:vAlign w:val="center"/>
          </w:tcPr>
          <w:p w14:paraId="1826DDF6"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0785B727" w14:textId="77777777" w:rsidTr="005A428D">
        <w:trPr>
          <w:cantSplit/>
          <w:trHeight w:val="20"/>
        </w:trPr>
        <w:tc>
          <w:tcPr>
            <w:tcW w:w="993" w:type="dxa"/>
            <w:vMerge/>
            <w:textDirection w:val="btLr"/>
            <w:vAlign w:val="center"/>
          </w:tcPr>
          <w:p w14:paraId="63ADD475" w14:textId="77777777" w:rsidR="00BE7F89" w:rsidRPr="00AC3044" w:rsidRDefault="00BE7F89" w:rsidP="005A428D">
            <w:pPr>
              <w:rPr>
                <w:rFonts w:eastAsia="SimSun"/>
              </w:rPr>
            </w:pPr>
          </w:p>
        </w:tc>
        <w:tc>
          <w:tcPr>
            <w:tcW w:w="1701" w:type="dxa"/>
            <w:vAlign w:val="center"/>
          </w:tcPr>
          <w:p w14:paraId="1EBC6B5E" w14:textId="77777777" w:rsidR="00BE7F89" w:rsidRPr="00AC3044" w:rsidRDefault="00BE7F89" w:rsidP="005A428D">
            <w:pPr>
              <w:rPr>
                <w:rFonts w:eastAsia="SimSun"/>
              </w:rPr>
            </w:pPr>
            <w:r w:rsidRPr="00AC3044">
              <w:rPr>
                <w:rFonts w:eastAsia="SimSun"/>
              </w:rPr>
              <w:t>Тиотепа</w:t>
            </w:r>
          </w:p>
        </w:tc>
        <w:tc>
          <w:tcPr>
            <w:tcW w:w="1559" w:type="dxa"/>
            <w:vAlign w:val="center"/>
          </w:tcPr>
          <w:p w14:paraId="3D6FA6FA" w14:textId="77777777" w:rsidR="00BE7F89" w:rsidRPr="00AC3044" w:rsidRDefault="00BE7F89" w:rsidP="005A428D">
            <w:pPr>
              <w:rPr>
                <w:rFonts w:eastAsia="SimSun"/>
              </w:rPr>
            </w:pPr>
            <w:r w:rsidRPr="00AC3044">
              <w:rPr>
                <w:rFonts w:eastAsia="SimSun"/>
              </w:rPr>
              <w:t>5 мг/кг</w:t>
            </w:r>
          </w:p>
        </w:tc>
        <w:tc>
          <w:tcPr>
            <w:tcW w:w="1418" w:type="dxa"/>
            <w:vAlign w:val="center"/>
          </w:tcPr>
          <w:p w14:paraId="7F6596A3" w14:textId="77777777" w:rsidR="00BE7F89" w:rsidRPr="00AC3044" w:rsidRDefault="00BE7F89" w:rsidP="005A428D">
            <w:pPr>
              <w:rPr>
                <w:rFonts w:eastAsia="SimSun"/>
              </w:rPr>
            </w:pPr>
            <w:r w:rsidRPr="00AC3044">
              <w:rPr>
                <w:rFonts w:eastAsia="SimSun"/>
              </w:rPr>
              <w:t>10 мг/кг</w:t>
            </w:r>
          </w:p>
        </w:tc>
        <w:tc>
          <w:tcPr>
            <w:tcW w:w="1701" w:type="dxa"/>
            <w:vAlign w:val="center"/>
          </w:tcPr>
          <w:p w14:paraId="7750F8E7" w14:textId="77777777" w:rsidR="00BE7F89" w:rsidRPr="00AC3044" w:rsidRDefault="00BE7F89" w:rsidP="005A428D">
            <w:pPr>
              <w:rPr>
                <w:rFonts w:eastAsia="SimSun"/>
              </w:rPr>
            </w:pPr>
            <w:r w:rsidRPr="00AC3044">
              <w:rPr>
                <w:rFonts w:eastAsia="SimSun"/>
              </w:rPr>
              <w:t>–6,–5 дни</w:t>
            </w:r>
          </w:p>
        </w:tc>
        <w:tc>
          <w:tcPr>
            <w:tcW w:w="2268" w:type="dxa"/>
            <w:vAlign w:val="center"/>
          </w:tcPr>
          <w:p w14:paraId="7869A256"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124EF3DF" w14:textId="77777777" w:rsidTr="005A428D">
        <w:trPr>
          <w:cantSplit/>
          <w:trHeight w:val="20"/>
        </w:trPr>
        <w:tc>
          <w:tcPr>
            <w:tcW w:w="993" w:type="dxa"/>
            <w:vMerge w:val="restart"/>
            <w:textDirection w:val="btLr"/>
            <w:vAlign w:val="center"/>
          </w:tcPr>
          <w:p w14:paraId="2FD01B07"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5DA9966F" w14:textId="77777777" w:rsidR="00BE7F89" w:rsidRPr="00AC3044" w:rsidRDefault="00BE7F89" w:rsidP="005A428D">
            <w:pPr>
              <w:rPr>
                <w:rFonts w:eastAsia="SimSun"/>
              </w:rPr>
            </w:pPr>
            <w:r w:rsidRPr="00AC3044">
              <w:rPr>
                <w:rFonts w:eastAsia="SimSun"/>
              </w:rPr>
              <w:t>АТГ (кроличий)</w:t>
            </w:r>
          </w:p>
        </w:tc>
        <w:tc>
          <w:tcPr>
            <w:tcW w:w="1559" w:type="dxa"/>
            <w:vAlign w:val="center"/>
          </w:tcPr>
          <w:p w14:paraId="4DFD17AF" w14:textId="77777777" w:rsidR="00BE7F89" w:rsidRPr="00AC3044" w:rsidRDefault="00BE7F89" w:rsidP="005A428D">
            <w:pPr>
              <w:rPr>
                <w:rFonts w:eastAsia="SimSun"/>
              </w:rPr>
            </w:pPr>
            <w:r w:rsidRPr="00AC3044">
              <w:rPr>
                <w:rFonts w:eastAsia="SimSun"/>
              </w:rPr>
              <w:t>2,5 мг/кг</w:t>
            </w:r>
          </w:p>
        </w:tc>
        <w:tc>
          <w:tcPr>
            <w:tcW w:w="1418" w:type="dxa"/>
            <w:vAlign w:val="center"/>
          </w:tcPr>
          <w:p w14:paraId="01827BFB" w14:textId="77777777" w:rsidR="00BE7F89" w:rsidRPr="00AC3044" w:rsidRDefault="00BE7F89" w:rsidP="005A428D">
            <w:pPr>
              <w:rPr>
                <w:rFonts w:eastAsia="SimSun"/>
              </w:rPr>
            </w:pPr>
            <w:r w:rsidRPr="00AC3044">
              <w:rPr>
                <w:rFonts w:eastAsia="SimSun"/>
              </w:rPr>
              <w:t>5-7,5 мг/кг</w:t>
            </w:r>
          </w:p>
        </w:tc>
        <w:tc>
          <w:tcPr>
            <w:tcW w:w="1701" w:type="dxa"/>
            <w:vAlign w:val="center"/>
          </w:tcPr>
          <w:p w14:paraId="05DAF2C7" w14:textId="77777777" w:rsidR="00BE7F89" w:rsidRPr="00AC3044" w:rsidRDefault="00BE7F89" w:rsidP="005A428D">
            <w:pPr>
              <w:rPr>
                <w:rFonts w:eastAsia="SimSun"/>
              </w:rPr>
            </w:pPr>
            <w:r w:rsidRPr="00AC3044">
              <w:rPr>
                <w:rFonts w:eastAsia="SimSun"/>
              </w:rPr>
              <w:t>С –3 по –2 (-1) день</w:t>
            </w:r>
          </w:p>
        </w:tc>
        <w:tc>
          <w:tcPr>
            <w:tcW w:w="2268" w:type="dxa"/>
            <w:vAlign w:val="center"/>
          </w:tcPr>
          <w:p w14:paraId="3BA05E50" w14:textId="77777777" w:rsidR="00BE7F89" w:rsidRPr="00AC3044" w:rsidRDefault="00BE7F89" w:rsidP="005A428D">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BE7F89" w:rsidRPr="00AC3044" w14:paraId="287BA8BC" w14:textId="77777777" w:rsidTr="005A428D">
        <w:trPr>
          <w:cantSplit/>
          <w:trHeight w:val="20"/>
        </w:trPr>
        <w:tc>
          <w:tcPr>
            <w:tcW w:w="993" w:type="dxa"/>
            <w:vMerge/>
            <w:textDirection w:val="btLr"/>
          </w:tcPr>
          <w:p w14:paraId="79EE6D34" w14:textId="77777777" w:rsidR="00BE7F89" w:rsidRPr="00AC3044" w:rsidRDefault="00BE7F89" w:rsidP="005A428D">
            <w:pPr>
              <w:rPr>
                <w:rFonts w:eastAsia="SimSun"/>
              </w:rPr>
            </w:pPr>
          </w:p>
        </w:tc>
        <w:tc>
          <w:tcPr>
            <w:tcW w:w="1701" w:type="dxa"/>
            <w:vAlign w:val="center"/>
          </w:tcPr>
          <w:p w14:paraId="4AE050C3" w14:textId="77777777" w:rsidR="00BE7F89" w:rsidRPr="00AC3044" w:rsidRDefault="00BE7F89" w:rsidP="005A428D">
            <w:pPr>
              <w:rPr>
                <w:rFonts w:eastAsia="SimSun"/>
              </w:rPr>
            </w:pPr>
            <w:r w:rsidRPr="00AC3044">
              <w:rPr>
                <w:rFonts w:eastAsia="SimSun"/>
              </w:rPr>
              <w:t>Циклоспорин</w:t>
            </w:r>
          </w:p>
        </w:tc>
        <w:tc>
          <w:tcPr>
            <w:tcW w:w="1559" w:type="dxa"/>
            <w:vAlign w:val="center"/>
          </w:tcPr>
          <w:p w14:paraId="1A871FD6" w14:textId="77777777" w:rsidR="00BE7F89" w:rsidRPr="00AC3044" w:rsidRDefault="00BE7F89" w:rsidP="005A428D">
            <w:pPr>
              <w:rPr>
                <w:rFonts w:eastAsia="SimSun"/>
              </w:rPr>
            </w:pPr>
            <w:r w:rsidRPr="00AC3044">
              <w:rPr>
                <w:rFonts w:eastAsia="SimSun"/>
              </w:rPr>
              <w:t>3 мг/кг</w:t>
            </w:r>
          </w:p>
        </w:tc>
        <w:tc>
          <w:tcPr>
            <w:tcW w:w="1418" w:type="dxa"/>
            <w:vAlign w:val="center"/>
          </w:tcPr>
          <w:p w14:paraId="4CDD03CC" w14:textId="77777777" w:rsidR="00BE7F89" w:rsidRPr="00AC3044" w:rsidRDefault="00BE7F89" w:rsidP="005A428D">
            <w:pPr>
              <w:rPr>
                <w:rFonts w:eastAsia="SimSun"/>
              </w:rPr>
            </w:pPr>
            <w:r w:rsidRPr="00AC3044">
              <w:rPr>
                <w:rFonts w:eastAsia="SimSun"/>
              </w:rPr>
              <w:t>–</w:t>
            </w:r>
          </w:p>
        </w:tc>
        <w:tc>
          <w:tcPr>
            <w:tcW w:w="1701" w:type="dxa"/>
            <w:vAlign w:val="center"/>
          </w:tcPr>
          <w:p w14:paraId="55E785A5" w14:textId="77777777" w:rsidR="00BE7F89" w:rsidRPr="00AC3044" w:rsidRDefault="00BE7F89" w:rsidP="005A428D">
            <w:pPr>
              <w:rPr>
                <w:rFonts w:eastAsia="SimSun"/>
              </w:rPr>
            </w:pPr>
            <w:r w:rsidRPr="00AC3044">
              <w:rPr>
                <w:rFonts w:eastAsia="SimSun"/>
              </w:rPr>
              <w:t>С–1 по +90 день, затем постепенное снижение к +180 дню</w:t>
            </w:r>
          </w:p>
        </w:tc>
        <w:tc>
          <w:tcPr>
            <w:tcW w:w="2268" w:type="dxa"/>
            <w:vAlign w:val="center"/>
          </w:tcPr>
          <w:p w14:paraId="2DFEF14B"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191BEEDA" w14:textId="77777777" w:rsidTr="005A428D">
        <w:trPr>
          <w:cantSplit/>
          <w:trHeight w:val="20"/>
        </w:trPr>
        <w:tc>
          <w:tcPr>
            <w:tcW w:w="993" w:type="dxa"/>
            <w:vMerge/>
          </w:tcPr>
          <w:p w14:paraId="2B04E9A6" w14:textId="77777777" w:rsidR="00BE7F89" w:rsidRPr="00AC3044" w:rsidRDefault="00BE7F89" w:rsidP="005A428D">
            <w:pPr>
              <w:rPr>
                <w:rFonts w:eastAsia="SimSun"/>
              </w:rPr>
            </w:pPr>
          </w:p>
        </w:tc>
        <w:tc>
          <w:tcPr>
            <w:tcW w:w="1701" w:type="dxa"/>
            <w:vMerge w:val="restart"/>
            <w:vAlign w:val="center"/>
          </w:tcPr>
          <w:p w14:paraId="7684455E" w14:textId="77777777" w:rsidR="00BE7F89" w:rsidRPr="00AC3044" w:rsidRDefault="00BE7F89" w:rsidP="005A428D">
            <w:pPr>
              <w:rPr>
                <w:rFonts w:eastAsia="SimSun"/>
              </w:rPr>
            </w:pPr>
            <w:r w:rsidRPr="00AC3044">
              <w:rPr>
                <w:rFonts w:eastAsia="SimSun"/>
              </w:rPr>
              <w:t>Метотрексат</w:t>
            </w:r>
          </w:p>
        </w:tc>
        <w:tc>
          <w:tcPr>
            <w:tcW w:w="1559" w:type="dxa"/>
            <w:vAlign w:val="center"/>
          </w:tcPr>
          <w:p w14:paraId="4B660C9A" w14:textId="77777777" w:rsidR="00BE7F89" w:rsidRPr="00AC3044" w:rsidRDefault="00BE7F89" w:rsidP="005A428D">
            <w:pPr>
              <w:rPr>
                <w:rFonts w:eastAsia="SimSun"/>
              </w:rPr>
            </w:pPr>
            <w:r w:rsidRPr="00AC3044">
              <w:rPr>
                <w:rFonts w:eastAsia="SimSun"/>
              </w:rPr>
              <w:t>15 мг/м</w:t>
            </w:r>
            <w:r w:rsidRPr="00DB259E">
              <w:rPr>
                <w:rFonts w:eastAsia="SimSun"/>
                <w:vertAlign w:val="superscript"/>
              </w:rPr>
              <w:t>2</w:t>
            </w:r>
          </w:p>
        </w:tc>
        <w:tc>
          <w:tcPr>
            <w:tcW w:w="1418" w:type="dxa"/>
            <w:vAlign w:val="center"/>
          </w:tcPr>
          <w:p w14:paraId="24FE47B0" w14:textId="77777777" w:rsidR="00BE7F89" w:rsidRPr="00AC3044" w:rsidRDefault="00BE7F89" w:rsidP="005A428D">
            <w:pPr>
              <w:rPr>
                <w:rFonts w:eastAsia="SimSun"/>
              </w:rPr>
            </w:pPr>
            <w:r w:rsidRPr="00AC3044">
              <w:rPr>
                <w:rFonts w:eastAsia="SimSun"/>
              </w:rPr>
              <w:t>–</w:t>
            </w:r>
          </w:p>
        </w:tc>
        <w:tc>
          <w:tcPr>
            <w:tcW w:w="1701" w:type="dxa"/>
            <w:vAlign w:val="center"/>
          </w:tcPr>
          <w:p w14:paraId="4A10F950" w14:textId="77777777" w:rsidR="00BE7F89" w:rsidRPr="00AC3044" w:rsidRDefault="00BE7F89" w:rsidP="005A428D">
            <w:pPr>
              <w:rPr>
                <w:rFonts w:eastAsia="SimSun"/>
              </w:rPr>
            </w:pPr>
            <w:r w:rsidRPr="00AC3044">
              <w:rPr>
                <w:rFonts w:eastAsia="SimSun"/>
              </w:rPr>
              <w:t>+1 день</w:t>
            </w:r>
          </w:p>
        </w:tc>
        <w:tc>
          <w:tcPr>
            <w:tcW w:w="2268" w:type="dxa"/>
            <w:vAlign w:val="center"/>
          </w:tcPr>
          <w:p w14:paraId="08394BC1"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1DB39D1C" w14:textId="77777777" w:rsidTr="005A428D">
        <w:trPr>
          <w:cantSplit/>
          <w:trHeight w:val="464"/>
        </w:trPr>
        <w:tc>
          <w:tcPr>
            <w:tcW w:w="993" w:type="dxa"/>
            <w:vMerge/>
          </w:tcPr>
          <w:p w14:paraId="5FA6DC76" w14:textId="77777777" w:rsidR="00BE7F89" w:rsidRPr="00AC3044" w:rsidRDefault="00BE7F89" w:rsidP="005A428D">
            <w:pPr>
              <w:rPr>
                <w:rFonts w:eastAsia="SimSun"/>
              </w:rPr>
            </w:pPr>
          </w:p>
        </w:tc>
        <w:tc>
          <w:tcPr>
            <w:tcW w:w="1701" w:type="dxa"/>
            <w:vMerge/>
            <w:vAlign w:val="center"/>
          </w:tcPr>
          <w:p w14:paraId="1F648EB5" w14:textId="77777777" w:rsidR="00BE7F89" w:rsidRPr="00AC3044" w:rsidRDefault="00BE7F89" w:rsidP="005A428D">
            <w:pPr>
              <w:rPr>
                <w:rFonts w:eastAsia="SimSun"/>
              </w:rPr>
            </w:pPr>
          </w:p>
        </w:tc>
        <w:tc>
          <w:tcPr>
            <w:tcW w:w="1559" w:type="dxa"/>
            <w:vAlign w:val="center"/>
          </w:tcPr>
          <w:p w14:paraId="6FC3888C" w14:textId="77777777" w:rsidR="00BE7F89" w:rsidRPr="00AC3044" w:rsidRDefault="00BE7F89" w:rsidP="005A428D">
            <w:pPr>
              <w:rPr>
                <w:rFonts w:eastAsia="SimSun"/>
              </w:rPr>
            </w:pPr>
            <w:r w:rsidRPr="00AC3044">
              <w:rPr>
                <w:rFonts w:eastAsia="SimSun"/>
              </w:rPr>
              <w:t>10 мг/м</w:t>
            </w:r>
            <w:r w:rsidRPr="00DB259E">
              <w:rPr>
                <w:rFonts w:eastAsia="SimSun"/>
                <w:vertAlign w:val="superscript"/>
              </w:rPr>
              <w:t>2</w:t>
            </w:r>
          </w:p>
        </w:tc>
        <w:tc>
          <w:tcPr>
            <w:tcW w:w="1418" w:type="dxa"/>
            <w:vAlign w:val="center"/>
          </w:tcPr>
          <w:p w14:paraId="3B5A580C" w14:textId="77777777" w:rsidR="00BE7F89" w:rsidRPr="00AC3044" w:rsidRDefault="00BE7F89" w:rsidP="005A428D">
            <w:pPr>
              <w:rPr>
                <w:rFonts w:eastAsia="SimSun"/>
              </w:rPr>
            </w:pPr>
            <w:r w:rsidRPr="00AC3044">
              <w:rPr>
                <w:rFonts w:eastAsia="SimSun"/>
              </w:rPr>
              <w:t>–</w:t>
            </w:r>
          </w:p>
        </w:tc>
        <w:tc>
          <w:tcPr>
            <w:tcW w:w="1701" w:type="dxa"/>
            <w:vAlign w:val="center"/>
          </w:tcPr>
          <w:p w14:paraId="13F0A180" w14:textId="77777777" w:rsidR="00BE7F89" w:rsidRPr="00AC3044" w:rsidRDefault="00BE7F89" w:rsidP="005A428D">
            <w:pPr>
              <w:rPr>
                <w:rFonts w:eastAsia="SimSun"/>
              </w:rPr>
            </w:pPr>
            <w:r w:rsidRPr="00AC3044">
              <w:rPr>
                <w:rFonts w:eastAsia="SimSun"/>
              </w:rPr>
              <w:t>+3, +6, +11 дни</w:t>
            </w:r>
          </w:p>
        </w:tc>
        <w:tc>
          <w:tcPr>
            <w:tcW w:w="2268" w:type="dxa"/>
            <w:vAlign w:val="center"/>
          </w:tcPr>
          <w:p w14:paraId="11705683"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7E32FCED" w14:textId="77777777" w:rsidTr="005A428D">
        <w:trPr>
          <w:cantSplit/>
          <w:trHeight w:val="464"/>
        </w:trPr>
        <w:tc>
          <w:tcPr>
            <w:tcW w:w="993" w:type="dxa"/>
            <w:vMerge/>
          </w:tcPr>
          <w:p w14:paraId="0E9EF385" w14:textId="77777777" w:rsidR="00BE7F89" w:rsidRPr="00AC3044" w:rsidRDefault="00BE7F89" w:rsidP="005A428D">
            <w:pPr>
              <w:rPr>
                <w:rFonts w:eastAsia="SimSun"/>
              </w:rPr>
            </w:pPr>
          </w:p>
        </w:tc>
        <w:tc>
          <w:tcPr>
            <w:tcW w:w="1701" w:type="dxa"/>
            <w:vAlign w:val="center"/>
          </w:tcPr>
          <w:p w14:paraId="02F0FF93"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72895E1A" w14:textId="77777777" w:rsidR="00BE7F89" w:rsidRPr="00AC3044" w:rsidRDefault="00BE7F89" w:rsidP="005A428D">
            <w:pPr>
              <w:rPr>
                <w:rFonts w:eastAsia="SimSun"/>
              </w:rPr>
            </w:pPr>
            <w:r w:rsidRPr="00AC3044">
              <w:rPr>
                <w:rFonts w:eastAsia="SimSun"/>
              </w:rPr>
              <w:t>45 мг/кг</w:t>
            </w:r>
          </w:p>
        </w:tc>
        <w:tc>
          <w:tcPr>
            <w:tcW w:w="1418" w:type="dxa"/>
            <w:vAlign w:val="center"/>
          </w:tcPr>
          <w:p w14:paraId="1AEBF207" w14:textId="77777777" w:rsidR="00BE7F89" w:rsidRPr="00AC3044" w:rsidRDefault="00BE7F89" w:rsidP="005A428D">
            <w:pPr>
              <w:rPr>
                <w:rFonts w:eastAsia="SimSun"/>
              </w:rPr>
            </w:pPr>
            <w:r w:rsidRPr="00AC3044">
              <w:rPr>
                <w:rFonts w:eastAsia="SimSun"/>
              </w:rPr>
              <w:t>–</w:t>
            </w:r>
          </w:p>
        </w:tc>
        <w:tc>
          <w:tcPr>
            <w:tcW w:w="1701" w:type="dxa"/>
            <w:vAlign w:val="center"/>
          </w:tcPr>
          <w:p w14:paraId="68B0B435" w14:textId="77777777" w:rsidR="00BE7F89" w:rsidRPr="00AC3044" w:rsidRDefault="00BE7F89" w:rsidP="005A428D">
            <w:pPr>
              <w:rPr>
                <w:rFonts w:eastAsia="SimSun"/>
              </w:rPr>
            </w:pPr>
            <w:r w:rsidRPr="00AC3044">
              <w:rPr>
                <w:rFonts w:eastAsia="SimSun"/>
              </w:rPr>
              <w:t>С +1 по +90 день</w:t>
            </w:r>
          </w:p>
        </w:tc>
        <w:tc>
          <w:tcPr>
            <w:tcW w:w="2268" w:type="dxa"/>
            <w:vAlign w:val="center"/>
          </w:tcPr>
          <w:p w14:paraId="5DFE41E6"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051E1147" w14:textId="77777777" w:rsidR="00BE7F89" w:rsidRDefault="00BE7F89" w:rsidP="00BE7F89">
      <w:pPr>
        <w:rPr>
          <w:rFonts w:eastAsia="SimSun"/>
        </w:rPr>
      </w:pPr>
      <w:bookmarkStart w:id="189" w:name="_Toc44401203"/>
    </w:p>
    <w:p w14:paraId="6D8989F6"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2.2.3  – Flu150+Bu8+Thio / PT-Cy+ CSA+MMF30</w:t>
      </w:r>
      <w:bookmarkEnd w:id="18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BE7F89" w:rsidRPr="00AC3044" w14:paraId="4EFD2E09" w14:textId="77777777" w:rsidTr="005A428D">
        <w:trPr>
          <w:cantSplit/>
          <w:trHeight w:val="20"/>
          <w:tblHeader/>
        </w:trPr>
        <w:tc>
          <w:tcPr>
            <w:tcW w:w="993" w:type="dxa"/>
          </w:tcPr>
          <w:p w14:paraId="507E92E9" w14:textId="77777777" w:rsidR="00BE7F89" w:rsidRPr="00470D3D" w:rsidRDefault="00BE7F89" w:rsidP="005A428D">
            <w:pPr>
              <w:rPr>
                <w:rFonts w:eastAsia="SimSun"/>
              </w:rPr>
            </w:pPr>
          </w:p>
        </w:tc>
        <w:tc>
          <w:tcPr>
            <w:tcW w:w="1701" w:type="dxa"/>
            <w:vAlign w:val="center"/>
          </w:tcPr>
          <w:p w14:paraId="22D6C7E4"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24BF481A"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593DD1DB"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33A8922E"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64FCBD75"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73FE7B51" w14:textId="77777777" w:rsidTr="005A428D">
        <w:trPr>
          <w:cantSplit/>
          <w:trHeight w:val="20"/>
        </w:trPr>
        <w:tc>
          <w:tcPr>
            <w:tcW w:w="993" w:type="dxa"/>
            <w:vMerge w:val="restart"/>
            <w:textDirection w:val="btLr"/>
            <w:vAlign w:val="center"/>
          </w:tcPr>
          <w:p w14:paraId="61DBE4C3"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4BE3F058"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02884234" w14:textId="77777777" w:rsidR="00BE7F89" w:rsidRPr="00AC3044" w:rsidRDefault="00BE7F89" w:rsidP="005A428D">
            <w:pPr>
              <w:rPr>
                <w:rFonts w:eastAsia="SimSun"/>
              </w:rPr>
            </w:pPr>
            <w:r w:rsidRPr="00AC3044">
              <w:rPr>
                <w:rFonts w:eastAsia="SimSun"/>
              </w:rPr>
              <w:t>50 мг/м</w:t>
            </w:r>
            <w:r w:rsidRPr="00DB259E">
              <w:rPr>
                <w:rFonts w:eastAsia="SimSun"/>
                <w:vertAlign w:val="superscript"/>
              </w:rPr>
              <w:t>2</w:t>
            </w:r>
          </w:p>
        </w:tc>
        <w:tc>
          <w:tcPr>
            <w:tcW w:w="1418" w:type="dxa"/>
            <w:vAlign w:val="center"/>
          </w:tcPr>
          <w:p w14:paraId="40607D63" w14:textId="77777777" w:rsidR="00BE7F89" w:rsidRPr="00AC3044" w:rsidRDefault="00BE7F89" w:rsidP="005A428D">
            <w:pPr>
              <w:rPr>
                <w:rFonts w:eastAsia="SimSun"/>
              </w:rPr>
            </w:pPr>
            <w:r w:rsidRPr="00AC3044">
              <w:rPr>
                <w:rFonts w:eastAsia="SimSun"/>
              </w:rPr>
              <w:t>150 мг/м</w:t>
            </w:r>
            <w:r w:rsidRPr="00DB259E">
              <w:rPr>
                <w:rFonts w:eastAsia="SimSun"/>
                <w:vertAlign w:val="superscript"/>
              </w:rPr>
              <w:t>2</w:t>
            </w:r>
          </w:p>
        </w:tc>
        <w:tc>
          <w:tcPr>
            <w:tcW w:w="1701" w:type="dxa"/>
            <w:vAlign w:val="center"/>
          </w:tcPr>
          <w:p w14:paraId="50B71728" w14:textId="77777777" w:rsidR="00BE7F89" w:rsidRPr="00AC3044" w:rsidRDefault="00BE7F89" w:rsidP="005A428D">
            <w:pPr>
              <w:rPr>
                <w:rFonts w:eastAsia="SimSun"/>
              </w:rPr>
            </w:pPr>
            <w:r w:rsidRPr="00AC3044">
              <w:rPr>
                <w:rFonts w:eastAsia="SimSun"/>
              </w:rPr>
              <w:t>С –4 по –2 день</w:t>
            </w:r>
          </w:p>
        </w:tc>
        <w:tc>
          <w:tcPr>
            <w:tcW w:w="2268" w:type="dxa"/>
            <w:vAlign w:val="center"/>
          </w:tcPr>
          <w:p w14:paraId="1B00425C"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30CA6F89" w14:textId="77777777" w:rsidTr="005A428D">
        <w:trPr>
          <w:cantSplit/>
          <w:trHeight w:val="560"/>
        </w:trPr>
        <w:tc>
          <w:tcPr>
            <w:tcW w:w="993" w:type="dxa"/>
            <w:vMerge/>
            <w:textDirection w:val="btLr"/>
            <w:vAlign w:val="center"/>
          </w:tcPr>
          <w:p w14:paraId="04CDBF9A" w14:textId="77777777" w:rsidR="00BE7F89" w:rsidRPr="00AC3044" w:rsidRDefault="00BE7F89" w:rsidP="005A428D">
            <w:pPr>
              <w:rPr>
                <w:rFonts w:eastAsia="SimSun"/>
              </w:rPr>
            </w:pPr>
          </w:p>
        </w:tc>
        <w:tc>
          <w:tcPr>
            <w:tcW w:w="1701" w:type="dxa"/>
            <w:vAlign w:val="center"/>
          </w:tcPr>
          <w:p w14:paraId="643C1D15"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713499EC" w14:textId="77777777" w:rsidR="00BE7F89" w:rsidRPr="00AC3044" w:rsidRDefault="00BE7F89" w:rsidP="005A428D">
            <w:pPr>
              <w:rPr>
                <w:rFonts w:eastAsia="SimSun"/>
              </w:rPr>
            </w:pPr>
            <w:r w:rsidRPr="00AC3044">
              <w:rPr>
                <w:rFonts w:eastAsia="SimSun"/>
              </w:rPr>
              <w:t>4 мг/кг</w:t>
            </w:r>
          </w:p>
        </w:tc>
        <w:tc>
          <w:tcPr>
            <w:tcW w:w="1418" w:type="dxa"/>
            <w:vAlign w:val="center"/>
          </w:tcPr>
          <w:p w14:paraId="0A01F723" w14:textId="77777777" w:rsidR="00BE7F89" w:rsidRPr="00AC3044" w:rsidRDefault="00BE7F89" w:rsidP="005A428D">
            <w:pPr>
              <w:rPr>
                <w:rFonts w:eastAsia="SimSun"/>
              </w:rPr>
            </w:pPr>
            <w:r w:rsidRPr="00AC3044">
              <w:rPr>
                <w:rFonts w:eastAsia="SimSun"/>
              </w:rPr>
              <w:t>8 мг/кг</w:t>
            </w:r>
          </w:p>
        </w:tc>
        <w:tc>
          <w:tcPr>
            <w:tcW w:w="1701" w:type="dxa"/>
            <w:vAlign w:val="center"/>
          </w:tcPr>
          <w:p w14:paraId="0872ABB2" w14:textId="77777777" w:rsidR="00BE7F89" w:rsidRPr="00AC3044" w:rsidRDefault="00BE7F89" w:rsidP="005A428D">
            <w:pPr>
              <w:rPr>
                <w:rFonts w:eastAsia="SimSun"/>
              </w:rPr>
            </w:pPr>
            <w:r w:rsidRPr="00AC3044">
              <w:rPr>
                <w:rFonts w:eastAsia="SimSun"/>
              </w:rPr>
              <w:t>–3, –2 дни</w:t>
            </w:r>
          </w:p>
        </w:tc>
        <w:tc>
          <w:tcPr>
            <w:tcW w:w="2268" w:type="dxa"/>
            <w:vAlign w:val="center"/>
          </w:tcPr>
          <w:p w14:paraId="3231850F"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5D39A480" w14:textId="77777777" w:rsidTr="005A428D">
        <w:trPr>
          <w:cantSplit/>
          <w:trHeight w:val="809"/>
        </w:trPr>
        <w:tc>
          <w:tcPr>
            <w:tcW w:w="993" w:type="dxa"/>
            <w:vMerge/>
            <w:textDirection w:val="btLr"/>
            <w:vAlign w:val="center"/>
          </w:tcPr>
          <w:p w14:paraId="6125A180" w14:textId="77777777" w:rsidR="00BE7F89" w:rsidRPr="00AC3044" w:rsidRDefault="00BE7F89" w:rsidP="005A428D">
            <w:pPr>
              <w:rPr>
                <w:rFonts w:eastAsia="SimSun"/>
              </w:rPr>
            </w:pPr>
          </w:p>
        </w:tc>
        <w:tc>
          <w:tcPr>
            <w:tcW w:w="1701" w:type="dxa"/>
            <w:vAlign w:val="center"/>
          </w:tcPr>
          <w:p w14:paraId="7BB19752" w14:textId="77777777" w:rsidR="00BE7F89" w:rsidRPr="00AC3044" w:rsidRDefault="00BE7F89" w:rsidP="005A428D">
            <w:pPr>
              <w:rPr>
                <w:rFonts w:eastAsia="SimSun"/>
              </w:rPr>
            </w:pPr>
            <w:r w:rsidRPr="00AC3044">
              <w:rPr>
                <w:rFonts w:eastAsia="SimSun"/>
              </w:rPr>
              <w:t>Тиотепа</w:t>
            </w:r>
          </w:p>
        </w:tc>
        <w:tc>
          <w:tcPr>
            <w:tcW w:w="1559" w:type="dxa"/>
            <w:vAlign w:val="center"/>
          </w:tcPr>
          <w:p w14:paraId="67070D3D" w14:textId="77777777" w:rsidR="00BE7F89" w:rsidRPr="00AC3044" w:rsidRDefault="00BE7F89" w:rsidP="005A428D">
            <w:pPr>
              <w:rPr>
                <w:rFonts w:eastAsia="SimSun"/>
              </w:rPr>
            </w:pPr>
            <w:r w:rsidRPr="00AC3044">
              <w:rPr>
                <w:rFonts w:eastAsia="SimSun"/>
              </w:rPr>
              <w:t>5 мг/кг</w:t>
            </w:r>
          </w:p>
        </w:tc>
        <w:tc>
          <w:tcPr>
            <w:tcW w:w="1418" w:type="dxa"/>
            <w:vAlign w:val="center"/>
          </w:tcPr>
          <w:p w14:paraId="1493BF18" w14:textId="77777777" w:rsidR="00BE7F89" w:rsidRPr="00AC3044" w:rsidRDefault="00BE7F89" w:rsidP="005A428D">
            <w:pPr>
              <w:rPr>
                <w:rFonts w:eastAsia="SimSun"/>
              </w:rPr>
            </w:pPr>
            <w:r w:rsidRPr="00AC3044">
              <w:rPr>
                <w:rFonts w:eastAsia="SimSun"/>
              </w:rPr>
              <w:t>10 мг/кг</w:t>
            </w:r>
          </w:p>
        </w:tc>
        <w:tc>
          <w:tcPr>
            <w:tcW w:w="1701" w:type="dxa"/>
            <w:vAlign w:val="center"/>
          </w:tcPr>
          <w:p w14:paraId="0316BEB5" w14:textId="77777777" w:rsidR="00BE7F89" w:rsidRPr="00AC3044" w:rsidRDefault="00BE7F89" w:rsidP="005A428D">
            <w:pPr>
              <w:rPr>
                <w:rFonts w:eastAsia="SimSun"/>
              </w:rPr>
            </w:pPr>
            <w:r w:rsidRPr="00AC3044">
              <w:rPr>
                <w:rFonts w:eastAsia="SimSun"/>
              </w:rPr>
              <w:t>-6,-5 дни</w:t>
            </w:r>
          </w:p>
        </w:tc>
        <w:tc>
          <w:tcPr>
            <w:tcW w:w="2268" w:type="dxa"/>
            <w:vAlign w:val="center"/>
          </w:tcPr>
          <w:p w14:paraId="1A9EE811"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3DC0BFCF" w14:textId="77777777" w:rsidTr="005A428D">
        <w:trPr>
          <w:cantSplit/>
          <w:trHeight w:val="1133"/>
        </w:trPr>
        <w:tc>
          <w:tcPr>
            <w:tcW w:w="993" w:type="dxa"/>
            <w:vMerge w:val="restart"/>
            <w:textDirection w:val="btLr"/>
            <w:vAlign w:val="center"/>
          </w:tcPr>
          <w:p w14:paraId="0768A88E"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55171232" w14:textId="77777777" w:rsidR="00BE7F89" w:rsidRPr="00AC3044" w:rsidRDefault="00BE7F89" w:rsidP="005A428D">
            <w:pPr>
              <w:rPr>
                <w:rFonts w:eastAsia="SimSun"/>
              </w:rPr>
            </w:pPr>
            <w:r w:rsidRPr="00AC3044">
              <w:rPr>
                <w:rFonts w:eastAsia="SimSun"/>
              </w:rPr>
              <w:t>Циклоспорин</w:t>
            </w:r>
          </w:p>
        </w:tc>
        <w:tc>
          <w:tcPr>
            <w:tcW w:w="1559" w:type="dxa"/>
            <w:vAlign w:val="center"/>
          </w:tcPr>
          <w:p w14:paraId="7121F45C" w14:textId="77777777" w:rsidR="00BE7F89" w:rsidRPr="00AC3044" w:rsidRDefault="00BE7F89" w:rsidP="005A428D">
            <w:pPr>
              <w:rPr>
                <w:rFonts w:eastAsia="SimSun"/>
              </w:rPr>
            </w:pPr>
            <w:r w:rsidRPr="00AC3044">
              <w:rPr>
                <w:rFonts w:eastAsia="SimSun"/>
              </w:rPr>
              <w:t>3 мг/кг</w:t>
            </w:r>
          </w:p>
        </w:tc>
        <w:tc>
          <w:tcPr>
            <w:tcW w:w="1418" w:type="dxa"/>
            <w:vAlign w:val="center"/>
          </w:tcPr>
          <w:p w14:paraId="3EA8525A" w14:textId="77777777" w:rsidR="00BE7F89" w:rsidRPr="00AC3044" w:rsidRDefault="00BE7F89" w:rsidP="005A428D">
            <w:pPr>
              <w:rPr>
                <w:rFonts w:eastAsia="SimSun"/>
              </w:rPr>
            </w:pPr>
            <w:r w:rsidRPr="00AC3044">
              <w:rPr>
                <w:rFonts w:eastAsia="SimSun"/>
              </w:rPr>
              <w:t>–</w:t>
            </w:r>
          </w:p>
        </w:tc>
        <w:tc>
          <w:tcPr>
            <w:tcW w:w="1701" w:type="dxa"/>
            <w:vAlign w:val="center"/>
          </w:tcPr>
          <w:p w14:paraId="5A6C13F2" w14:textId="77777777" w:rsidR="00BE7F89" w:rsidRPr="00AC3044" w:rsidRDefault="00BE7F89" w:rsidP="005A428D">
            <w:pPr>
              <w:rPr>
                <w:rFonts w:eastAsia="SimSun"/>
              </w:rPr>
            </w:pPr>
            <w:r w:rsidRPr="00AC3044">
              <w:rPr>
                <w:rFonts w:eastAsia="SimSun"/>
              </w:rPr>
              <w:t>С +5 дня по +90 день затем постепенное снижение к +180 дню</w:t>
            </w:r>
          </w:p>
        </w:tc>
        <w:tc>
          <w:tcPr>
            <w:tcW w:w="2268" w:type="dxa"/>
            <w:vAlign w:val="center"/>
          </w:tcPr>
          <w:p w14:paraId="7F460F2A"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48B51FDB" w14:textId="77777777" w:rsidTr="005A428D">
        <w:trPr>
          <w:cantSplit/>
          <w:trHeight w:val="20"/>
        </w:trPr>
        <w:tc>
          <w:tcPr>
            <w:tcW w:w="993" w:type="dxa"/>
            <w:vMerge/>
            <w:textDirection w:val="btLr"/>
          </w:tcPr>
          <w:p w14:paraId="268B444A" w14:textId="77777777" w:rsidR="00BE7F89" w:rsidRPr="00AC3044" w:rsidRDefault="00BE7F89" w:rsidP="005A428D">
            <w:pPr>
              <w:rPr>
                <w:rFonts w:eastAsia="SimSun"/>
              </w:rPr>
            </w:pPr>
          </w:p>
        </w:tc>
        <w:tc>
          <w:tcPr>
            <w:tcW w:w="1701" w:type="dxa"/>
            <w:vAlign w:val="center"/>
          </w:tcPr>
          <w:p w14:paraId="47C7876D"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4CA33172" w14:textId="77777777" w:rsidR="00BE7F89" w:rsidRPr="00AC3044" w:rsidRDefault="00BE7F89" w:rsidP="005A428D">
            <w:pPr>
              <w:rPr>
                <w:rFonts w:eastAsia="SimSun"/>
              </w:rPr>
            </w:pPr>
            <w:r w:rsidRPr="00AC3044">
              <w:rPr>
                <w:rFonts w:eastAsia="SimSun"/>
              </w:rPr>
              <w:t>30 мг/кг</w:t>
            </w:r>
          </w:p>
        </w:tc>
        <w:tc>
          <w:tcPr>
            <w:tcW w:w="1418" w:type="dxa"/>
            <w:vAlign w:val="center"/>
          </w:tcPr>
          <w:p w14:paraId="2BACBBE1" w14:textId="77777777" w:rsidR="00BE7F89" w:rsidRPr="00AC3044" w:rsidRDefault="00BE7F89" w:rsidP="005A428D">
            <w:pPr>
              <w:rPr>
                <w:rFonts w:eastAsia="SimSun"/>
              </w:rPr>
            </w:pPr>
            <w:r w:rsidRPr="00AC3044">
              <w:rPr>
                <w:rFonts w:eastAsia="SimSun"/>
              </w:rPr>
              <w:t>–</w:t>
            </w:r>
          </w:p>
        </w:tc>
        <w:tc>
          <w:tcPr>
            <w:tcW w:w="1701" w:type="dxa"/>
            <w:vAlign w:val="center"/>
          </w:tcPr>
          <w:p w14:paraId="1CB07BEF" w14:textId="77777777" w:rsidR="00BE7F89" w:rsidRPr="00AC3044" w:rsidRDefault="00BE7F89" w:rsidP="005A428D">
            <w:pPr>
              <w:rPr>
                <w:rFonts w:eastAsia="SimSun"/>
              </w:rPr>
            </w:pPr>
            <w:r w:rsidRPr="00AC3044">
              <w:rPr>
                <w:rFonts w:eastAsia="SimSun"/>
              </w:rPr>
              <w:t>С +5 по +90 день</w:t>
            </w:r>
          </w:p>
        </w:tc>
        <w:tc>
          <w:tcPr>
            <w:tcW w:w="2268" w:type="dxa"/>
            <w:vAlign w:val="center"/>
          </w:tcPr>
          <w:p w14:paraId="398F4775"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BE7F89" w:rsidRPr="00AC3044" w14:paraId="250BE182" w14:textId="77777777" w:rsidTr="005A428D">
        <w:trPr>
          <w:cantSplit/>
          <w:trHeight w:val="20"/>
        </w:trPr>
        <w:tc>
          <w:tcPr>
            <w:tcW w:w="993" w:type="dxa"/>
            <w:vMerge/>
            <w:textDirection w:val="btLr"/>
          </w:tcPr>
          <w:p w14:paraId="6793F1EB" w14:textId="77777777" w:rsidR="00BE7F89" w:rsidRPr="00AC3044" w:rsidRDefault="00BE7F89" w:rsidP="005A428D">
            <w:pPr>
              <w:rPr>
                <w:rFonts w:eastAsia="SimSun"/>
              </w:rPr>
            </w:pPr>
          </w:p>
        </w:tc>
        <w:tc>
          <w:tcPr>
            <w:tcW w:w="1701" w:type="dxa"/>
            <w:vAlign w:val="center"/>
          </w:tcPr>
          <w:p w14:paraId="31B4AAA6"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7B0379D1"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4F654D1F"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7C4C8463" w14:textId="77777777" w:rsidR="00BE7F89" w:rsidRPr="00AC3044" w:rsidRDefault="00BE7F89" w:rsidP="005A428D">
            <w:pPr>
              <w:rPr>
                <w:rFonts w:eastAsia="SimSun"/>
              </w:rPr>
            </w:pPr>
            <w:r w:rsidRPr="00AC3044">
              <w:rPr>
                <w:rFonts w:eastAsia="SimSun"/>
              </w:rPr>
              <w:t xml:space="preserve">+3,+4 дни </w:t>
            </w:r>
          </w:p>
        </w:tc>
        <w:tc>
          <w:tcPr>
            <w:tcW w:w="2268" w:type="dxa"/>
            <w:vAlign w:val="center"/>
          </w:tcPr>
          <w:p w14:paraId="1E7FB9E9" w14:textId="77777777" w:rsidR="00BE7F89" w:rsidRPr="00AC3044" w:rsidRDefault="00BE7F89" w:rsidP="005A428D">
            <w:pPr>
              <w:rPr>
                <w:rFonts w:eastAsia="SimSun"/>
              </w:rPr>
            </w:pPr>
            <w:r w:rsidRPr="00AC3044">
              <w:rPr>
                <w:rFonts w:eastAsia="SimSun"/>
              </w:rPr>
              <w:t>В/в, в течение 2 часов</w:t>
            </w:r>
          </w:p>
        </w:tc>
      </w:tr>
    </w:tbl>
    <w:p w14:paraId="53D7051A" w14:textId="77777777" w:rsidR="00BE7F89" w:rsidRPr="00C07B2E" w:rsidRDefault="00BE7F89" w:rsidP="00BE7F89">
      <w:pPr>
        <w:rPr>
          <w:rFonts w:eastAsia="SimSun"/>
        </w:rPr>
      </w:pPr>
    </w:p>
    <w:p w14:paraId="7AEB9E38" w14:textId="77777777" w:rsidR="00BE7F89" w:rsidRPr="00C07B2E" w:rsidRDefault="00BE7F89" w:rsidP="00BE7F89">
      <w:pPr>
        <w:rPr>
          <w:rFonts w:eastAsia="SimSun"/>
        </w:rPr>
      </w:pPr>
      <w:bookmarkStart w:id="190" w:name="_Toc44401204"/>
      <w:r w:rsidRPr="00042499">
        <w:rPr>
          <w:rFonts w:eastAsia="SimSun"/>
        </w:rPr>
        <w:t>Таблица</w:t>
      </w:r>
      <w:r w:rsidRPr="00C07B2E">
        <w:rPr>
          <w:rFonts w:eastAsia="SimSun"/>
        </w:rPr>
        <w:t xml:space="preserve"> </w:t>
      </w:r>
      <w:r>
        <w:rPr>
          <w:rFonts w:eastAsia="SimSun"/>
        </w:rPr>
        <w:t>5.</w:t>
      </w:r>
      <w:r w:rsidRPr="00C07B2E">
        <w:rPr>
          <w:rFonts w:eastAsia="SimSun"/>
        </w:rPr>
        <w:t>2.2.4  – Flu150+Bu8+Thio / PT-Cy+ CSA+MMF45</w:t>
      </w:r>
      <w:bookmarkEnd w:id="190"/>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BE7F89" w:rsidRPr="00AC3044" w14:paraId="09B846CC" w14:textId="77777777" w:rsidTr="005A428D">
        <w:trPr>
          <w:cantSplit/>
          <w:trHeight w:val="20"/>
          <w:tblHeader/>
        </w:trPr>
        <w:tc>
          <w:tcPr>
            <w:tcW w:w="851" w:type="dxa"/>
          </w:tcPr>
          <w:p w14:paraId="3C21BA23" w14:textId="77777777" w:rsidR="00BE7F89" w:rsidRPr="00470D3D" w:rsidRDefault="00BE7F89" w:rsidP="005A428D">
            <w:pPr>
              <w:rPr>
                <w:rFonts w:eastAsia="SimSun"/>
              </w:rPr>
            </w:pPr>
          </w:p>
        </w:tc>
        <w:tc>
          <w:tcPr>
            <w:tcW w:w="1701" w:type="dxa"/>
            <w:vAlign w:val="center"/>
          </w:tcPr>
          <w:p w14:paraId="74EEAADA"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031D5ABF"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182EF415"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5C5680ED"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7D9CF6E2"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3A9231EF" w14:textId="77777777" w:rsidTr="005A428D">
        <w:trPr>
          <w:cantSplit/>
          <w:trHeight w:val="20"/>
        </w:trPr>
        <w:tc>
          <w:tcPr>
            <w:tcW w:w="851" w:type="dxa"/>
            <w:vMerge w:val="restart"/>
            <w:textDirection w:val="btLr"/>
            <w:vAlign w:val="center"/>
          </w:tcPr>
          <w:p w14:paraId="7D80BBF9"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4EB844AE"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0E2F9F8E" w14:textId="77777777" w:rsidR="00BE7F89" w:rsidRPr="00AC3044" w:rsidRDefault="00BE7F89" w:rsidP="005A428D">
            <w:pPr>
              <w:rPr>
                <w:rFonts w:eastAsia="SimSun"/>
              </w:rPr>
            </w:pPr>
            <w:r w:rsidRPr="00AC3044">
              <w:rPr>
                <w:rFonts w:eastAsia="SimSun"/>
              </w:rPr>
              <w:t>50 мг/м</w:t>
            </w:r>
            <w:r w:rsidRPr="00DB259E">
              <w:rPr>
                <w:rFonts w:eastAsia="SimSun"/>
                <w:vertAlign w:val="superscript"/>
              </w:rPr>
              <w:t>2</w:t>
            </w:r>
          </w:p>
        </w:tc>
        <w:tc>
          <w:tcPr>
            <w:tcW w:w="1418" w:type="dxa"/>
            <w:vAlign w:val="center"/>
          </w:tcPr>
          <w:p w14:paraId="5408C3FB" w14:textId="77777777" w:rsidR="00BE7F89" w:rsidRPr="00AC3044" w:rsidRDefault="00BE7F89" w:rsidP="005A428D">
            <w:pPr>
              <w:rPr>
                <w:rFonts w:eastAsia="SimSun"/>
              </w:rPr>
            </w:pPr>
            <w:r w:rsidRPr="00AC3044">
              <w:rPr>
                <w:rFonts w:eastAsia="SimSun"/>
              </w:rPr>
              <w:t>150 мг/м</w:t>
            </w:r>
            <w:r w:rsidRPr="00DB259E">
              <w:rPr>
                <w:rFonts w:eastAsia="SimSun"/>
                <w:vertAlign w:val="superscript"/>
              </w:rPr>
              <w:t>2</w:t>
            </w:r>
          </w:p>
        </w:tc>
        <w:tc>
          <w:tcPr>
            <w:tcW w:w="1701" w:type="dxa"/>
            <w:vAlign w:val="center"/>
          </w:tcPr>
          <w:p w14:paraId="6F535344" w14:textId="77777777" w:rsidR="00BE7F89" w:rsidRPr="00AC3044" w:rsidRDefault="00BE7F89" w:rsidP="005A428D">
            <w:pPr>
              <w:rPr>
                <w:rFonts w:eastAsia="SimSun"/>
              </w:rPr>
            </w:pPr>
            <w:r w:rsidRPr="00AC3044">
              <w:rPr>
                <w:rFonts w:eastAsia="SimSun"/>
              </w:rPr>
              <w:t>С –4 по –2 день</w:t>
            </w:r>
          </w:p>
        </w:tc>
        <w:tc>
          <w:tcPr>
            <w:tcW w:w="2268" w:type="dxa"/>
            <w:vAlign w:val="center"/>
          </w:tcPr>
          <w:p w14:paraId="6AAE44CC"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14150C6" w14:textId="77777777" w:rsidTr="005A428D">
        <w:trPr>
          <w:cantSplit/>
          <w:trHeight w:val="1015"/>
        </w:trPr>
        <w:tc>
          <w:tcPr>
            <w:tcW w:w="851" w:type="dxa"/>
            <w:vMerge/>
            <w:textDirection w:val="btLr"/>
            <w:vAlign w:val="center"/>
          </w:tcPr>
          <w:p w14:paraId="15925FEA" w14:textId="77777777" w:rsidR="00BE7F89" w:rsidRPr="00AC3044" w:rsidRDefault="00BE7F89" w:rsidP="005A428D">
            <w:pPr>
              <w:rPr>
                <w:rFonts w:eastAsia="SimSun"/>
              </w:rPr>
            </w:pPr>
          </w:p>
        </w:tc>
        <w:tc>
          <w:tcPr>
            <w:tcW w:w="1701" w:type="dxa"/>
            <w:vAlign w:val="center"/>
          </w:tcPr>
          <w:p w14:paraId="2B764F6D"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74D1E402" w14:textId="77777777" w:rsidR="00BE7F89" w:rsidRPr="00AC3044" w:rsidRDefault="00BE7F89" w:rsidP="005A428D">
            <w:pPr>
              <w:rPr>
                <w:rFonts w:eastAsia="SimSun"/>
              </w:rPr>
            </w:pPr>
            <w:r w:rsidRPr="00AC3044">
              <w:rPr>
                <w:rFonts w:eastAsia="SimSun"/>
              </w:rPr>
              <w:t>4 мг/кг</w:t>
            </w:r>
          </w:p>
        </w:tc>
        <w:tc>
          <w:tcPr>
            <w:tcW w:w="1418" w:type="dxa"/>
            <w:vAlign w:val="center"/>
          </w:tcPr>
          <w:p w14:paraId="332511A5" w14:textId="77777777" w:rsidR="00BE7F89" w:rsidRPr="00AC3044" w:rsidRDefault="00BE7F89" w:rsidP="005A428D">
            <w:pPr>
              <w:rPr>
                <w:rFonts w:eastAsia="SimSun"/>
              </w:rPr>
            </w:pPr>
            <w:r w:rsidRPr="00AC3044">
              <w:rPr>
                <w:rFonts w:eastAsia="SimSun"/>
              </w:rPr>
              <w:t>8 мг/кг</w:t>
            </w:r>
          </w:p>
        </w:tc>
        <w:tc>
          <w:tcPr>
            <w:tcW w:w="1701" w:type="dxa"/>
            <w:vAlign w:val="center"/>
          </w:tcPr>
          <w:p w14:paraId="3022B697" w14:textId="77777777" w:rsidR="00BE7F89" w:rsidRPr="00AC3044" w:rsidRDefault="00BE7F89" w:rsidP="005A428D">
            <w:pPr>
              <w:rPr>
                <w:rFonts w:eastAsia="SimSun"/>
              </w:rPr>
            </w:pPr>
            <w:r w:rsidRPr="00AC3044">
              <w:rPr>
                <w:rFonts w:eastAsia="SimSun"/>
              </w:rPr>
              <w:t>–3, –2 дни</w:t>
            </w:r>
          </w:p>
        </w:tc>
        <w:tc>
          <w:tcPr>
            <w:tcW w:w="2268" w:type="dxa"/>
            <w:vAlign w:val="center"/>
          </w:tcPr>
          <w:p w14:paraId="3EC39BEB"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32016D0C" w14:textId="77777777" w:rsidTr="005A428D">
        <w:trPr>
          <w:cantSplit/>
          <w:trHeight w:val="238"/>
        </w:trPr>
        <w:tc>
          <w:tcPr>
            <w:tcW w:w="851" w:type="dxa"/>
            <w:vMerge/>
            <w:textDirection w:val="btLr"/>
            <w:vAlign w:val="center"/>
          </w:tcPr>
          <w:p w14:paraId="71C4A3ED" w14:textId="77777777" w:rsidR="00BE7F89" w:rsidRPr="00AC3044" w:rsidRDefault="00BE7F89" w:rsidP="005A428D">
            <w:pPr>
              <w:rPr>
                <w:rFonts w:eastAsia="SimSun"/>
              </w:rPr>
            </w:pPr>
          </w:p>
        </w:tc>
        <w:tc>
          <w:tcPr>
            <w:tcW w:w="1701" w:type="dxa"/>
            <w:vAlign w:val="center"/>
          </w:tcPr>
          <w:p w14:paraId="1FD1BFCC" w14:textId="77777777" w:rsidR="00BE7F89" w:rsidRPr="00AC3044" w:rsidRDefault="00BE7F89" w:rsidP="005A428D">
            <w:pPr>
              <w:rPr>
                <w:rFonts w:eastAsia="SimSun"/>
              </w:rPr>
            </w:pPr>
            <w:r w:rsidRPr="00AC3044">
              <w:rPr>
                <w:rFonts w:eastAsia="SimSun"/>
              </w:rPr>
              <w:t>Тиотепа</w:t>
            </w:r>
          </w:p>
        </w:tc>
        <w:tc>
          <w:tcPr>
            <w:tcW w:w="1559" w:type="dxa"/>
            <w:vAlign w:val="center"/>
          </w:tcPr>
          <w:p w14:paraId="4CB7C2F6" w14:textId="77777777" w:rsidR="00BE7F89" w:rsidRPr="00AC3044" w:rsidRDefault="00BE7F89" w:rsidP="005A428D">
            <w:pPr>
              <w:rPr>
                <w:rFonts w:eastAsia="SimSun"/>
              </w:rPr>
            </w:pPr>
            <w:r w:rsidRPr="00AC3044">
              <w:rPr>
                <w:rFonts w:eastAsia="SimSun"/>
              </w:rPr>
              <w:t>5 мг/кг</w:t>
            </w:r>
          </w:p>
        </w:tc>
        <w:tc>
          <w:tcPr>
            <w:tcW w:w="1418" w:type="dxa"/>
            <w:vAlign w:val="center"/>
          </w:tcPr>
          <w:p w14:paraId="40BF26A4" w14:textId="77777777" w:rsidR="00BE7F89" w:rsidRPr="00AC3044" w:rsidRDefault="00BE7F89" w:rsidP="005A428D">
            <w:pPr>
              <w:rPr>
                <w:rFonts w:eastAsia="SimSun"/>
              </w:rPr>
            </w:pPr>
            <w:r w:rsidRPr="00AC3044">
              <w:rPr>
                <w:rFonts w:eastAsia="SimSun"/>
              </w:rPr>
              <w:t>10 мг/кг</w:t>
            </w:r>
          </w:p>
        </w:tc>
        <w:tc>
          <w:tcPr>
            <w:tcW w:w="1701" w:type="dxa"/>
            <w:vAlign w:val="center"/>
          </w:tcPr>
          <w:p w14:paraId="003A422A" w14:textId="77777777" w:rsidR="00BE7F89" w:rsidRPr="00AC3044" w:rsidRDefault="00BE7F89" w:rsidP="005A428D">
            <w:pPr>
              <w:rPr>
                <w:rFonts w:eastAsia="SimSun"/>
              </w:rPr>
            </w:pPr>
            <w:r w:rsidRPr="00AC3044">
              <w:rPr>
                <w:rFonts w:eastAsia="SimSun"/>
              </w:rPr>
              <w:t>-6,-5 дни</w:t>
            </w:r>
          </w:p>
        </w:tc>
        <w:tc>
          <w:tcPr>
            <w:tcW w:w="2268" w:type="dxa"/>
            <w:vAlign w:val="center"/>
          </w:tcPr>
          <w:p w14:paraId="5608FDE7"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4024B7E2" w14:textId="77777777" w:rsidTr="005A428D">
        <w:trPr>
          <w:cantSplit/>
          <w:trHeight w:val="2464"/>
        </w:trPr>
        <w:tc>
          <w:tcPr>
            <w:tcW w:w="851" w:type="dxa"/>
            <w:vMerge w:val="restart"/>
            <w:textDirection w:val="btLr"/>
            <w:vAlign w:val="center"/>
          </w:tcPr>
          <w:p w14:paraId="7BC13D52"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3F5A7C6F" w14:textId="77777777" w:rsidR="00BE7F89" w:rsidRPr="00AC3044" w:rsidRDefault="00BE7F89" w:rsidP="005A428D">
            <w:pPr>
              <w:rPr>
                <w:rFonts w:eastAsia="SimSun"/>
              </w:rPr>
            </w:pPr>
            <w:r w:rsidRPr="00AC3044">
              <w:rPr>
                <w:rFonts w:eastAsia="SimSun"/>
              </w:rPr>
              <w:t>Циклоспорин</w:t>
            </w:r>
          </w:p>
        </w:tc>
        <w:tc>
          <w:tcPr>
            <w:tcW w:w="1559" w:type="dxa"/>
            <w:vAlign w:val="center"/>
          </w:tcPr>
          <w:p w14:paraId="0D647BBB" w14:textId="77777777" w:rsidR="00BE7F89" w:rsidRPr="00AC3044" w:rsidRDefault="00BE7F89" w:rsidP="005A428D">
            <w:pPr>
              <w:rPr>
                <w:rFonts w:eastAsia="SimSun"/>
              </w:rPr>
            </w:pPr>
            <w:r w:rsidRPr="00AC3044">
              <w:rPr>
                <w:rFonts w:eastAsia="SimSun"/>
              </w:rPr>
              <w:t>3 мг/кг</w:t>
            </w:r>
          </w:p>
        </w:tc>
        <w:tc>
          <w:tcPr>
            <w:tcW w:w="1418" w:type="dxa"/>
            <w:vAlign w:val="center"/>
          </w:tcPr>
          <w:p w14:paraId="62EB5A65" w14:textId="77777777" w:rsidR="00BE7F89" w:rsidRPr="00AC3044" w:rsidRDefault="00BE7F89" w:rsidP="005A428D">
            <w:pPr>
              <w:rPr>
                <w:rFonts w:eastAsia="SimSun"/>
              </w:rPr>
            </w:pPr>
            <w:r w:rsidRPr="00AC3044">
              <w:rPr>
                <w:rFonts w:eastAsia="SimSun"/>
              </w:rPr>
              <w:t>–</w:t>
            </w:r>
          </w:p>
        </w:tc>
        <w:tc>
          <w:tcPr>
            <w:tcW w:w="1701" w:type="dxa"/>
            <w:vAlign w:val="center"/>
          </w:tcPr>
          <w:p w14:paraId="79F7CDFF" w14:textId="77777777" w:rsidR="00BE7F89" w:rsidRPr="00AC3044" w:rsidRDefault="00BE7F89" w:rsidP="005A428D">
            <w:pPr>
              <w:rPr>
                <w:rFonts w:eastAsia="SimSun"/>
              </w:rPr>
            </w:pPr>
            <w:r w:rsidRPr="00AC3044">
              <w:rPr>
                <w:rFonts w:eastAsia="SimSun"/>
              </w:rPr>
              <w:t>С +5 дня по +90 день затем постепенное снижение к +180 дню</w:t>
            </w:r>
          </w:p>
        </w:tc>
        <w:tc>
          <w:tcPr>
            <w:tcW w:w="2268" w:type="dxa"/>
            <w:vAlign w:val="center"/>
          </w:tcPr>
          <w:p w14:paraId="32A6B2C3"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64421E99" w14:textId="77777777" w:rsidTr="005A428D">
        <w:trPr>
          <w:cantSplit/>
          <w:trHeight w:val="20"/>
        </w:trPr>
        <w:tc>
          <w:tcPr>
            <w:tcW w:w="851" w:type="dxa"/>
            <w:vMerge/>
            <w:textDirection w:val="btLr"/>
          </w:tcPr>
          <w:p w14:paraId="5BAF3929" w14:textId="77777777" w:rsidR="00BE7F89" w:rsidRPr="00AC3044" w:rsidRDefault="00BE7F89" w:rsidP="005A428D">
            <w:pPr>
              <w:rPr>
                <w:rFonts w:eastAsia="SimSun"/>
              </w:rPr>
            </w:pPr>
          </w:p>
        </w:tc>
        <w:tc>
          <w:tcPr>
            <w:tcW w:w="1701" w:type="dxa"/>
            <w:vAlign w:val="center"/>
          </w:tcPr>
          <w:p w14:paraId="6C30AE7C"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22A2CE06" w14:textId="77777777" w:rsidR="00BE7F89" w:rsidRPr="00AC3044" w:rsidRDefault="00BE7F89" w:rsidP="005A428D">
            <w:pPr>
              <w:rPr>
                <w:rFonts w:eastAsia="SimSun"/>
              </w:rPr>
            </w:pPr>
            <w:r w:rsidRPr="00AC3044">
              <w:rPr>
                <w:rFonts w:eastAsia="SimSun"/>
              </w:rPr>
              <w:t>45 мг/кг</w:t>
            </w:r>
          </w:p>
        </w:tc>
        <w:tc>
          <w:tcPr>
            <w:tcW w:w="1418" w:type="dxa"/>
            <w:vAlign w:val="center"/>
          </w:tcPr>
          <w:p w14:paraId="5AC68323" w14:textId="77777777" w:rsidR="00BE7F89" w:rsidRPr="00AC3044" w:rsidRDefault="00BE7F89" w:rsidP="005A428D">
            <w:pPr>
              <w:rPr>
                <w:rFonts w:eastAsia="SimSun"/>
              </w:rPr>
            </w:pPr>
            <w:r w:rsidRPr="00AC3044">
              <w:rPr>
                <w:rFonts w:eastAsia="SimSun"/>
              </w:rPr>
              <w:t>–</w:t>
            </w:r>
          </w:p>
        </w:tc>
        <w:tc>
          <w:tcPr>
            <w:tcW w:w="1701" w:type="dxa"/>
            <w:vAlign w:val="center"/>
          </w:tcPr>
          <w:p w14:paraId="0CA1B015" w14:textId="77777777" w:rsidR="00BE7F89" w:rsidRPr="00AC3044" w:rsidRDefault="00BE7F89" w:rsidP="005A428D">
            <w:pPr>
              <w:rPr>
                <w:rFonts w:eastAsia="SimSun"/>
              </w:rPr>
            </w:pPr>
            <w:r w:rsidRPr="00AC3044">
              <w:rPr>
                <w:rFonts w:eastAsia="SimSun"/>
              </w:rPr>
              <w:t>С +5 по +90 день</w:t>
            </w:r>
          </w:p>
        </w:tc>
        <w:tc>
          <w:tcPr>
            <w:tcW w:w="2268" w:type="dxa"/>
            <w:vAlign w:val="center"/>
          </w:tcPr>
          <w:p w14:paraId="31ECCB5B"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r w:rsidR="00BE7F89" w:rsidRPr="00AC3044" w14:paraId="27E9FFCE" w14:textId="77777777" w:rsidTr="005A428D">
        <w:trPr>
          <w:cantSplit/>
          <w:trHeight w:val="20"/>
        </w:trPr>
        <w:tc>
          <w:tcPr>
            <w:tcW w:w="851" w:type="dxa"/>
            <w:vMerge/>
            <w:textDirection w:val="btLr"/>
          </w:tcPr>
          <w:p w14:paraId="579CCACB" w14:textId="77777777" w:rsidR="00BE7F89" w:rsidRPr="00AC3044" w:rsidRDefault="00BE7F89" w:rsidP="005A428D">
            <w:pPr>
              <w:rPr>
                <w:rFonts w:eastAsia="SimSun"/>
              </w:rPr>
            </w:pPr>
          </w:p>
        </w:tc>
        <w:tc>
          <w:tcPr>
            <w:tcW w:w="1701" w:type="dxa"/>
            <w:vAlign w:val="center"/>
          </w:tcPr>
          <w:p w14:paraId="351CA736"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274797D0"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0097CE33"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5ACE2084" w14:textId="77777777" w:rsidR="00BE7F89" w:rsidRPr="00AC3044" w:rsidRDefault="00BE7F89" w:rsidP="005A428D">
            <w:pPr>
              <w:rPr>
                <w:rFonts w:eastAsia="SimSun"/>
              </w:rPr>
            </w:pPr>
            <w:r w:rsidRPr="00AC3044">
              <w:rPr>
                <w:rFonts w:eastAsia="SimSun"/>
              </w:rPr>
              <w:t xml:space="preserve">+3,+4 дни </w:t>
            </w:r>
          </w:p>
        </w:tc>
        <w:tc>
          <w:tcPr>
            <w:tcW w:w="2268" w:type="dxa"/>
            <w:vAlign w:val="center"/>
          </w:tcPr>
          <w:p w14:paraId="30C24551" w14:textId="77777777" w:rsidR="00BE7F89" w:rsidRPr="00AC3044" w:rsidRDefault="00BE7F89" w:rsidP="005A428D">
            <w:pPr>
              <w:rPr>
                <w:rFonts w:eastAsia="SimSun"/>
              </w:rPr>
            </w:pPr>
            <w:r w:rsidRPr="00AC3044">
              <w:rPr>
                <w:rFonts w:eastAsia="SimSun"/>
              </w:rPr>
              <w:t>В/в, в течение 2 часов</w:t>
            </w:r>
          </w:p>
        </w:tc>
      </w:tr>
    </w:tbl>
    <w:p w14:paraId="57075155" w14:textId="77777777" w:rsidR="00BE7F89" w:rsidRPr="00C07B2E" w:rsidRDefault="00BE7F89" w:rsidP="00BE7F89">
      <w:pPr>
        <w:rPr>
          <w:rFonts w:eastAsia="SimSun"/>
        </w:rPr>
      </w:pPr>
    </w:p>
    <w:p w14:paraId="4EC81F5E" w14:textId="77777777" w:rsidR="00BE7F89" w:rsidRPr="00C07B2E" w:rsidRDefault="00BE7F89" w:rsidP="00BE7F89">
      <w:pPr>
        <w:rPr>
          <w:rFonts w:eastAsia="SimSun"/>
        </w:rPr>
      </w:pPr>
      <w:bookmarkStart w:id="191" w:name="_Toc44401205"/>
      <w:r w:rsidRPr="00042499">
        <w:rPr>
          <w:rFonts w:eastAsia="SimSun"/>
        </w:rPr>
        <w:t>Таблица</w:t>
      </w:r>
      <w:r w:rsidRPr="00C07B2E">
        <w:rPr>
          <w:rFonts w:eastAsia="SimSun"/>
        </w:rPr>
        <w:t xml:space="preserve"> </w:t>
      </w:r>
      <w:r>
        <w:rPr>
          <w:rFonts w:eastAsia="SimSun"/>
        </w:rPr>
        <w:t>5.</w:t>
      </w:r>
      <w:r w:rsidRPr="00C07B2E">
        <w:rPr>
          <w:rFonts w:eastAsia="SimSun"/>
        </w:rPr>
        <w:t>2.2.5  – Flu180+Bu8 / hATG+CSA+MTX+MMF45</w:t>
      </w:r>
      <w:bookmarkEnd w:id="191"/>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BE7F89" w:rsidRPr="00AC3044" w14:paraId="1C5832DD" w14:textId="77777777" w:rsidTr="005A428D">
        <w:trPr>
          <w:cantSplit/>
          <w:trHeight w:val="20"/>
          <w:tblHeader/>
        </w:trPr>
        <w:tc>
          <w:tcPr>
            <w:tcW w:w="851" w:type="dxa"/>
            <w:vAlign w:val="center"/>
          </w:tcPr>
          <w:p w14:paraId="6E682BCB" w14:textId="77777777" w:rsidR="00BE7F89" w:rsidRPr="00470D3D" w:rsidRDefault="00BE7F89" w:rsidP="005A428D">
            <w:pPr>
              <w:rPr>
                <w:rFonts w:eastAsia="SimSun"/>
              </w:rPr>
            </w:pPr>
          </w:p>
        </w:tc>
        <w:tc>
          <w:tcPr>
            <w:tcW w:w="1701" w:type="dxa"/>
            <w:vAlign w:val="center"/>
          </w:tcPr>
          <w:p w14:paraId="2D64F200"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14A4A92B"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0BFA8ED2"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2645CA9C"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5E7A7E9D"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24E3B90D" w14:textId="77777777" w:rsidTr="005A428D">
        <w:trPr>
          <w:cantSplit/>
          <w:trHeight w:val="20"/>
        </w:trPr>
        <w:tc>
          <w:tcPr>
            <w:tcW w:w="851" w:type="dxa"/>
            <w:vMerge w:val="restart"/>
            <w:textDirection w:val="btLr"/>
            <w:vAlign w:val="center"/>
          </w:tcPr>
          <w:p w14:paraId="7EA41C5A"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78E0A140"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5C971E7E" w14:textId="77777777" w:rsidR="00BE7F89" w:rsidRPr="00AC3044" w:rsidRDefault="00BE7F89" w:rsidP="005A428D">
            <w:pPr>
              <w:rPr>
                <w:rFonts w:eastAsia="SimSun"/>
              </w:rPr>
            </w:pPr>
            <w:r w:rsidRPr="00AC3044">
              <w:rPr>
                <w:rFonts w:eastAsia="SimSun"/>
              </w:rPr>
              <w:t>30 мг/м</w:t>
            </w:r>
            <w:r w:rsidRPr="00DB259E">
              <w:rPr>
                <w:rFonts w:eastAsia="SimSun"/>
                <w:vertAlign w:val="superscript"/>
              </w:rPr>
              <w:t>2</w:t>
            </w:r>
          </w:p>
        </w:tc>
        <w:tc>
          <w:tcPr>
            <w:tcW w:w="1418" w:type="dxa"/>
            <w:vAlign w:val="center"/>
          </w:tcPr>
          <w:p w14:paraId="2C79A68F" w14:textId="77777777" w:rsidR="00BE7F89" w:rsidRPr="00AC3044" w:rsidRDefault="00BE7F89" w:rsidP="005A428D">
            <w:pPr>
              <w:rPr>
                <w:rFonts w:eastAsia="SimSun"/>
              </w:rPr>
            </w:pPr>
            <w:r w:rsidRPr="00AC3044">
              <w:rPr>
                <w:rFonts w:eastAsia="SimSun"/>
              </w:rPr>
              <w:t>180 мг/м</w:t>
            </w:r>
            <w:r w:rsidRPr="00DB259E">
              <w:rPr>
                <w:rFonts w:eastAsia="SimSun"/>
                <w:vertAlign w:val="superscript"/>
              </w:rPr>
              <w:t>2</w:t>
            </w:r>
          </w:p>
        </w:tc>
        <w:tc>
          <w:tcPr>
            <w:tcW w:w="1701" w:type="dxa"/>
            <w:vAlign w:val="center"/>
          </w:tcPr>
          <w:p w14:paraId="51F78D2C" w14:textId="77777777" w:rsidR="00BE7F89" w:rsidRPr="00AC3044" w:rsidRDefault="00BE7F89" w:rsidP="005A428D">
            <w:pPr>
              <w:rPr>
                <w:rFonts w:eastAsia="SimSun"/>
              </w:rPr>
            </w:pPr>
            <w:r w:rsidRPr="00AC3044">
              <w:rPr>
                <w:rFonts w:eastAsia="SimSun"/>
              </w:rPr>
              <w:t>С –10 по –5 день</w:t>
            </w:r>
          </w:p>
        </w:tc>
        <w:tc>
          <w:tcPr>
            <w:tcW w:w="2268" w:type="dxa"/>
            <w:vAlign w:val="center"/>
          </w:tcPr>
          <w:p w14:paraId="20EFA6EE"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5A638DA3" w14:textId="77777777" w:rsidTr="005A428D">
        <w:trPr>
          <w:cantSplit/>
          <w:trHeight w:val="20"/>
        </w:trPr>
        <w:tc>
          <w:tcPr>
            <w:tcW w:w="851" w:type="dxa"/>
            <w:vMerge/>
            <w:textDirection w:val="btLr"/>
            <w:vAlign w:val="center"/>
          </w:tcPr>
          <w:p w14:paraId="4F3EF13A" w14:textId="77777777" w:rsidR="00BE7F89" w:rsidRPr="00AC3044" w:rsidRDefault="00BE7F89" w:rsidP="005A428D">
            <w:pPr>
              <w:rPr>
                <w:rFonts w:eastAsia="SimSun"/>
              </w:rPr>
            </w:pPr>
          </w:p>
        </w:tc>
        <w:tc>
          <w:tcPr>
            <w:tcW w:w="1701" w:type="dxa"/>
            <w:vAlign w:val="center"/>
          </w:tcPr>
          <w:p w14:paraId="3CB91F2E"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24EDEAC6" w14:textId="77777777" w:rsidR="00BE7F89" w:rsidRPr="00AC3044" w:rsidRDefault="00BE7F89" w:rsidP="005A428D">
            <w:pPr>
              <w:rPr>
                <w:rFonts w:eastAsia="SimSun"/>
              </w:rPr>
            </w:pPr>
            <w:r w:rsidRPr="00AC3044">
              <w:rPr>
                <w:rFonts w:eastAsia="SimSun"/>
              </w:rPr>
              <w:t>4 мг/кг</w:t>
            </w:r>
          </w:p>
        </w:tc>
        <w:tc>
          <w:tcPr>
            <w:tcW w:w="1418" w:type="dxa"/>
            <w:vAlign w:val="center"/>
          </w:tcPr>
          <w:p w14:paraId="56547735" w14:textId="77777777" w:rsidR="00BE7F89" w:rsidRPr="00AC3044" w:rsidRDefault="00BE7F89" w:rsidP="005A428D">
            <w:pPr>
              <w:rPr>
                <w:rFonts w:eastAsia="SimSun"/>
              </w:rPr>
            </w:pPr>
            <w:r w:rsidRPr="00AC3044">
              <w:rPr>
                <w:rFonts w:eastAsia="SimSun"/>
              </w:rPr>
              <w:t>8 мг/кг</w:t>
            </w:r>
          </w:p>
        </w:tc>
        <w:tc>
          <w:tcPr>
            <w:tcW w:w="1701" w:type="dxa"/>
            <w:vAlign w:val="center"/>
          </w:tcPr>
          <w:p w14:paraId="016E1ED3" w14:textId="77777777" w:rsidR="00BE7F89" w:rsidRPr="00AC3044" w:rsidRDefault="00BE7F89" w:rsidP="005A428D">
            <w:pPr>
              <w:rPr>
                <w:rFonts w:eastAsia="SimSun"/>
              </w:rPr>
            </w:pPr>
            <w:r w:rsidRPr="00AC3044">
              <w:rPr>
                <w:rFonts w:eastAsia="SimSun"/>
              </w:rPr>
              <w:t>С –6 по –5 день</w:t>
            </w:r>
          </w:p>
        </w:tc>
        <w:tc>
          <w:tcPr>
            <w:tcW w:w="2268" w:type="dxa"/>
            <w:vAlign w:val="center"/>
          </w:tcPr>
          <w:p w14:paraId="78A12DB6"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20637B39" w14:textId="77777777" w:rsidTr="005A428D">
        <w:trPr>
          <w:cantSplit/>
          <w:trHeight w:val="20"/>
        </w:trPr>
        <w:tc>
          <w:tcPr>
            <w:tcW w:w="851" w:type="dxa"/>
            <w:vMerge w:val="restart"/>
            <w:textDirection w:val="btLr"/>
            <w:vAlign w:val="center"/>
          </w:tcPr>
          <w:p w14:paraId="383D8899"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2BAE1C04" w14:textId="77777777" w:rsidR="00BE7F89" w:rsidRPr="00AC3044" w:rsidRDefault="00BE7F89" w:rsidP="005A428D">
            <w:pPr>
              <w:rPr>
                <w:rFonts w:eastAsia="SimSun"/>
              </w:rPr>
            </w:pPr>
            <w:r w:rsidRPr="00AC3044">
              <w:rPr>
                <w:rFonts w:eastAsia="SimSun"/>
              </w:rPr>
              <w:t>АТГ (лошадиный)</w:t>
            </w:r>
          </w:p>
        </w:tc>
        <w:tc>
          <w:tcPr>
            <w:tcW w:w="1559" w:type="dxa"/>
            <w:vAlign w:val="center"/>
          </w:tcPr>
          <w:p w14:paraId="51759567" w14:textId="77777777" w:rsidR="00BE7F89" w:rsidRPr="00AC3044" w:rsidRDefault="00BE7F89" w:rsidP="005A428D">
            <w:pPr>
              <w:rPr>
                <w:rFonts w:eastAsia="SimSun"/>
              </w:rPr>
            </w:pPr>
            <w:r w:rsidRPr="00AC3044">
              <w:rPr>
                <w:rFonts w:eastAsia="SimSun"/>
              </w:rPr>
              <w:t>10-15 мг/кг</w:t>
            </w:r>
          </w:p>
        </w:tc>
        <w:tc>
          <w:tcPr>
            <w:tcW w:w="1418" w:type="dxa"/>
            <w:vAlign w:val="center"/>
          </w:tcPr>
          <w:p w14:paraId="26F162FE" w14:textId="77777777" w:rsidR="00BE7F89" w:rsidRPr="00AC3044" w:rsidRDefault="00BE7F89" w:rsidP="005A428D">
            <w:pPr>
              <w:rPr>
                <w:rFonts w:eastAsia="SimSun"/>
              </w:rPr>
            </w:pPr>
            <w:r w:rsidRPr="00AC3044">
              <w:rPr>
                <w:rFonts w:eastAsia="SimSun"/>
              </w:rPr>
              <w:t>40-60 мг/кг</w:t>
            </w:r>
          </w:p>
        </w:tc>
        <w:tc>
          <w:tcPr>
            <w:tcW w:w="1701" w:type="dxa"/>
            <w:vAlign w:val="center"/>
          </w:tcPr>
          <w:p w14:paraId="156F6432" w14:textId="77777777" w:rsidR="00BE7F89" w:rsidRPr="00AC3044" w:rsidRDefault="00BE7F89" w:rsidP="005A428D">
            <w:pPr>
              <w:rPr>
                <w:rFonts w:eastAsia="SimSun"/>
              </w:rPr>
            </w:pPr>
            <w:r w:rsidRPr="00AC3044">
              <w:rPr>
                <w:rFonts w:eastAsia="SimSun"/>
              </w:rPr>
              <w:t>С –4 по –1 день</w:t>
            </w:r>
          </w:p>
        </w:tc>
        <w:tc>
          <w:tcPr>
            <w:tcW w:w="2268" w:type="dxa"/>
            <w:vAlign w:val="center"/>
          </w:tcPr>
          <w:p w14:paraId="6D63954C" w14:textId="77777777" w:rsidR="00BE7F89" w:rsidRPr="00AC3044" w:rsidRDefault="00BE7F89" w:rsidP="005A428D">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BE7F89" w:rsidRPr="00AC3044" w14:paraId="63548C77" w14:textId="77777777" w:rsidTr="005A428D">
        <w:trPr>
          <w:cantSplit/>
          <w:trHeight w:val="20"/>
        </w:trPr>
        <w:tc>
          <w:tcPr>
            <w:tcW w:w="851" w:type="dxa"/>
            <w:vMerge/>
            <w:textDirection w:val="btLr"/>
          </w:tcPr>
          <w:p w14:paraId="237B01DD" w14:textId="77777777" w:rsidR="00BE7F89" w:rsidRPr="00AC3044" w:rsidRDefault="00BE7F89" w:rsidP="005A428D">
            <w:pPr>
              <w:rPr>
                <w:rFonts w:eastAsia="SimSun"/>
              </w:rPr>
            </w:pPr>
          </w:p>
        </w:tc>
        <w:tc>
          <w:tcPr>
            <w:tcW w:w="1701" w:type="dxa"/>
            <w:vAlign w:val="center"/>
          </w:tcPr>
          <w:p w14:paraId="4103520D" w14:textId="77777777" w:rsidR="00BE7F89" w:rsidRPr="00AC3044" w:rsidRDefault="00BE7F89" w:rsidP="005A428D">
            <w:pPr>
              <w:rPr>
                <w:rFonts w:eastAsia="SimSun"/>
              </w:rPr>
            </w:pPr>
            <w:r w:rsidRPr="00AC3044">
              <w:rPr>
                <w:rFonts w:eastAsia="SimSun"/>
              </w:rPr>
              <w:t>Циклоспорин</w:t>
            </w:r>
          </w:p>
        </w:tc>
        <w:tc>
          <w:tcPr>
            <w:tcW w:w="1559" w:type="dxa"/>
            <w:vAlign w:val="center"/>
          </w:tcPr>
          <w:p w14:paraId="376FA39A" w14:textId="77777777" w:rsidR="00BE7F89" w:rsidRPr="00AC3044" w:rsidRDefault="00BE7F89" w:rsidP="005A428D">
            <w:pPr>
              <w:rPr>
                <w:rFonts w:eastAsia="SimSun"/>
              </w:rPr>
            </w:pPr>
            <w:r w:rsidRPr="00AC3044">
              <w:rPr>
                <w:rFonts w:eastAsia="SimSun"/>
              </w:rPr>
              <w:t>3 мг/кг</w:t>
            </w:r>
          </w:p>
        </w:tc>
        <w:tc>
          <w:tcPr>
            <w:tcW w:w="1418" w:type="dxa"/>
            <w:vAlign w:val="center"/>
          </w:tcPr>
          <w:p w14:paraId="50E40D7B" w14:textId="77777777" w:rsidR="00BE7F89" w:rsidRPr="00AC3044" w:rsidRDefault="00BE7F89" w:rsidP="005A428D">
            <w:pPr>
              <w:rPr>
                <w:rFonts w:eastAsia="SimSun"/>
              </w:rPr>
            </w:pPr>
            <w:r w:rsidRPr="00AC3044">
              <w:rPr>
                <w:rFonts w:eastAsia="SimSun"/>
              </w:rPr>
              <w:t>–</w:t>
            </w:r>
          </w:p>
        </w:tc>
        <w:tc>
          <w:tcPr>
            <w:tcW w:w="1701" w:type="dxa"/>
            <w:vAlign w:val="center"/>
          </w:tcPr>
          <w:p w14:paraId="57E60CE9" w14:textId="77777777" w:rsidR="00BE7F89" w:rsidRPr="00AC3044" w:rsidRDefault="00BE7F89" w:rsidP="005A428D">
            <w:pPr>
              <w:rPr>
                <w:rFonts w:eastAsia="SimSun"/>
              </w:rPr>
            </w:pPr>
            <w:r w:rsidRPr="00AC3044">
              <w:rPr>
                <w:rFonts w:eastAsia="SimSun"/>
              </w:rPr>
              <w:t>С –1 по +90 день, затем постепенное снижение к +180 дню</w:t>
            </w:r>
          </w:p>
        </w:tc>
        <w:tc>
          <w:tcPr>
            <w:tcW w:w="2268" w:type="dxa"/>
            <w:vAlign w:val="center"/>
          </w:tcPr>
          <w:p w14:paraId="2F8A2FB2"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DB259E">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00180B5F" w14:textId="77777777" w:rsidTr="005A428D">
        <w:trPr>
          <w:cantSplit/>
          <w:trHeight w:val="20"/>
        </w:trPr>
        <w:tc>
          <w:tcPr>
            <w:tcW w:w="851" w:type="dxa"/>
            <w:vMerge/>
          </w:tcPr>
          <w:p w14:paraId="3D9D920A" w14:textId="77777777" w:rsidR="00BE7F89" w:rsidRPr="00AC3044" w:rsidRDefault="00BE7F89" w:rsidP="005A428D">
            <w:pPr>
              <w:rPr>
                <w:rFonts w:eastAsia="SimSun"/>
              </w:rPr>
            </w:pPr>
          </w:p>
        </w:tc>
        <w:tc>
          <w:tcPr>
            <w:tcW w:w="1701" w:type="dxa"/>
            <w:vMerge w:val="restart"/>
            <w:vAlign w:val="center"/>
          </w:tcPr>
          <w:p w14:paraId="60F8572F" w14:textId="77777777" w:rsidR="00BE7F89" w:rsidRPr="00AC3044" w:rsidRDefault="00BE7F89" w:rsidP="005A428D">
            <w:pPr>
              <w:rPr>
                <w:rFonts w:eastAsia="SimSun"/>
              </w:rPr>
            </w:pPr>
            <w:r w:rsidRPr="00AC3044">
              <w:rPr>
                <w:rFonts w:eastAsia="SimSun"/>
              </w:rPr>
              <w:t>Метотрексат</w:t>
            </w:r>
          </w:p>
        </w:tc>
        <w:tc>
          <w:tcPr>
            <w:tcW w:w="1559" w:type="dxa"/>
            <w:vAlign w:val="center"/>
          </w:tcPr>
          <w:p w14:paraId="32357FD7" w14:textId="77777777" w:rsidR="00BE7F89" w:rsidRPr="00AC3044" w:rsidRDefault="00BE7F89" w:rsidP="005A428D">
            <w:pPr>
              <w:rPr>
                <w:rFonts w:eastAsia="SimSun"/>
              </w:rPr>
            </w:pPr>
            <w:r w:rsidRPr="00AC3044">
              <w:rPr>
                <w:rFonts w:eastAsia="SimSun"/>
              </w:rPr>
              <w:t>15 мг/м</w:t>
            </w:r>
            <w:r w:rsidRPr="00DB259E">
              <w:rPr>
                <w:rFonts w:eastAsia="SimSun"/>
                <w:vertAlign w:val="superscript"/>
              </w:rPr>
              <w:t>2</w:t>
            </w:r>
          </w:p>
        </w:tc>
        <w:tc>
          <w:tcPr>
            <w:tcW w:w="1418" w:type="dxa"/>
            <w:vAlign w:val="center"/>
          </w:tcPr>
          <w:p w14:paraId="497625CF" w14:textId="77777777" w:rsidR="00BE7F89" w:rsidRPr="00AC3044" w:rsidRDefault="00BE7F89" w:rsidP="005A428D">
            <w:pPr>
              <w:rPr>
                <w:rFonts w:eastAsia="SimSun"/>
              </w:rPr>
            </w:pPr>
            <w:r w:rsidRPr="00AC3044">
              <w:rPr>
                <w:rFonts w:eastAsia="SimSun"/>
              </w:rPr>
              <w:t>–</w:t>
            </w:r>
          </w:p>
        </w:tc>
        <w:tc>
          <w:tcPr>
            <w:tcW w:w="1701" w:type="dxa"/>
            <w:vAlign w:val="center"/>
          </w:tcPr>
          <w:p w14:paraId="549553B5" w14:textId="77777777" w:rsidR="00BE7F89" w:rsidRPr="00AC3044" w:rsidRDefault="00BE7F89" w:rsidP="005A428D">
            <w:pPr>
              <w:rPr>
                <w:rFonts w:eastAsia="SimSun"/>
              </w:rPr>
            </w:pPr>
            <w:r w:rsidRPr="00AC3044">
              <w:rPr>
                <w:rFonts w:eastAsia="SimSun"/>
              </w:rPr>
              <w:t>+1 день</w:t>
            </w:r>
          </w:p>
        </w:tc>
        <w:tc>
          <w:tcPr>
            <w:tcW w:w="2268" w:type="dxa"/>
            <w:vAlign w:val="center"/>
          </w:tcPr>
          <w:p w14:paraId="7FB93AF7"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4FA1D46A" w14:textId="77777777" w:rsidTr="005A428D">
        <w:trPr>
          <w:cantSplit/>
          <w:trHeight w:val="464"/>
        </w:trPr>
        <w:tc>
          <w:tcPr>
            <w:tcW w:w="851" w:type="dxa"/>
            <w:vMerge/>
          </w:tcPr>
          <w:p w14:paraId="3578F5E2" w14:textId="77777777" w:rsidR="00BE7F89" w:rsidRPr="00AC3044" w:rsidRDefault="00BE7F89" w:rsidP="005A428D">
            <w:pPr>
              <w:rPr>
                <w:rFonts w:eastAsia="SimSun"/>
              </w:rPr>
            </w:pPr>
          </w:p>
        </w:tc>
        <w:tc>
          <w:tcPr>
            <w:tcW w:w="1701" w:type="dxa"/>
            <w:vMerge/>
            <w:vAlign w:val="center"/>
          </w:tcPr>
          <w:p w14:paraId="7C7DA5AF" w14:textId="77777777" w:rsidR="00BE7F89" w:rsidRPr="00AC3044" w:rsidRDefault="00BE7F89" w:rsidP="005A428D">
            <w:pPr>
              <w:rPr>
                <w:rFonts w:eastAsia="SimSun"/>
              </w:rPr>
            </w:pPr>
          </w:p>
        </w:tc>
        <w:tc>
          <w:tcPr>
            <w:tcW w:w="1559" w:type="dxa"/>
            <w:vAlign w:val="center"/>
          </w:tcPr>
          <w:p w14:paraId="7B4A1618" w14:textId="77777777" w:rsidR="00BE7F89" w:rsidRPr="00AC3044" w:rsidRDefault="00BE7F89" w:rsidP="005A428D">
            <w:pPr>
              <w:rPr>
                <w:rFonts w:eastAsia="SimSun"/>
              </w:rPr>
            </w:pPr>
            <w:r w:rsidRPr="00AC3044">
              <w:rPr>
                <w:rFonts w:eastAsia="SimSun"/>
              </w:rPr>
              <w:t>10 мг/м</w:t>
            </w:r>
            <w:r w:rsidRPr="00DB259E">
              <w:rPr>
                <w:rFonts w:eastAsia="SimSun"/>
                <w:vertAlign w:val="superscript"/>
              </w:rPr>
              <w:t>2</w:t>
            </w:r>
          </w:p>
        </w:tc>
        <w:tc>
          <w:tcPr>
            <w:tcW w:w="1418" w:type="dxa"/>
            <w:vAlign w:val="center"/>
          </w:tcPr>
          <w:p w14:paraId="643E89BB" w14:textId="77777777" w:rsidR="00BE7F89" w:rsidRPr="00AC3044" w:rsidRDefault="00BE7F89" w:rsidP="005A428D">
            <w:pPr>
              <w:rPr>
                <w:rFonts w:eastAsia="SimSun"/>
              </w:rPr>
            </w:pPr>
            <w:r w:rsidRPr="00AC3044">
              <w:rPr>
                <w:rFonts w:eastAsia="SimSun"/>
              </w:rPr>
              <w:t>–</w:t>
            </w:r>
          </w:p>
        </w:tc>
        <w:tc>
          <w:tcPr>
            <w:tcW w:w="1701" w:type="dxa"/>
            <w:vAlign w:val="center"/>
          </w:tcPr>
          <w:p w14:paraId="4E36C43E" w14:textId="77777777" w:rsidR="00BE7F89" w:rsidRPr="00AC3044" w:rsidRDefault="00BE7F89" w:rsidP="005A428D">
            <w:pPr>
              <w:rPr>
                <w:rFonts w:eastAsia="SimSun"/>
              </w:rPr>
            </w:pPr>
            <w:r w:rsidRPr="00AC3044">
              <w:rPr>
                <w:rFonts w:eastAsia="SimSun"/>
              </w:rPr>
              <w:t>+3, +6, +11 дни</w:t>
            </w:r>
          </w:p>
        </w:tc>
        <w:tc>
          <w:tcPr>
            <w:tcW w:w="2268" w:type="dxa"/>
            <w:vAlign w:val="center"/>
          </w:tcPr>
          <w:p w14:paraId="26135B49" w14:textId="77777777" w:rsidR="00BE7F89" w:rsidRPr="00AC3044" w:rsidRDefault="00BE7F89" w:rsidP="005A428D">
            <w:pPr>
              <w:rPr>
                <w:rFonts w:eastAsia="SimSun"/>
              </w:rPr>
            </w:pPr>
            <w:r w:rsidRPr="00AC3044">
              <w:rPr>
                <w:rFonts w:eastAsia="SimSun"/>
              </w:rPr>
              <w:t>В/в, в 20 мл физ. р-ра</w:t>
            </w:r>
          </w:p>
        </w:tc>
      </w:tr>
      <w:tr w:rsidR="00BE7F89" w:rsidRPr="00AC3044" w14:paraId="52863AEB" w14:textId="77777777" w:rsidTr="005A428D">
        <w:trPr>
          <w:cantSplit/>
          <w:trHeight w:val="464"/>
        </w:trPr>
        <w:tc>
          <w:tcPr>
            <w:tcW w:w="851" w:type="dxa"/>
            <w:vMerge/>
          </w:tcPr>
          <w:p w14:paraId="0E5EB8A2" w14:textId="77777777" w:rsidR="00BE7F89" w:rsidRPr="00AC3044" w:rsidRDefault="00BE7F89" w:rsidP="005A428D">
            <w:pPr>
              <w:rPr>
                <w:rFonts w:eastAsia="SimSun"/>
              </w:rPr>
            </w:pPr>
          </w:p>
        </w:tc>
        <w:tc>
          <w:tcPr>
            <w:tcW w:w="1701" w:type="dxa"/>
            <w:vAlign w:val="center"/>
          </w:tcPr>
          <w:p w14:paraId="62DDD553"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734DAD03" w14:textId="77777777" w:rsidR="00BE7F89" w:rsidRPr="00AC3044" w:rsidRDefault="00BE7F89" w:rsidP="005A428D">
            <w:pPr>
              <w:rPr>
                <w:rFonts w:eastAsia="SimSun"/>
              </w:rPr>
            </w:pPr>
            <w:r w:rsidRPr="00AC3044">
              <w:rPr>
                <w:rFonts w:eastAsia="SimSun"/>
              </w:rPr>
              <w:t>45 мг/кг</w:t>
            </w:r>
          </w:p>
        </w:tc>
        <w:tc>
          <w:tcPr>
            <w:tcW w:w="1418" w:type="dxa"/>
            <w:vAlign w:val="center"/>
          </w:tcPr>
          <w:p w14:paraId="05F34075" w14:textId="77777777" w:rsidR="00BE7F89" w:rsidRPr="00AC3044" w:rsidRDefault="00BE7F89" w:rsidP="005A428D">
            <w:pPr>
              <w:rPr>
                <w:rFonts w:eastAsia="SimSun"/>
              </w:rPr>
            </w:pPr>
            <w:r w:rsidRPr="00AC3044">
              <w:rPr>
                <w:rFonts w:eastAsia="SimSun"/>
              </w:rPr>
              <w:t>–</w:t>
            </w:r>
          </w:p>
        </w:tc>
        <w:tc>
          <w:tcPr>
            <w:tcW w:w="1701" w:type="dxa"/>
            <w:vAlign w:val="center"/>
          </w:tcPr>
          <w:p w14:paraId="5FFC7F6D" w14:textId="77777777" w:rsidR="00BE7F89" w:rsidRPr="00AC3044" w:rsidRDefault="00BE7F89" w:rsidP="005A428D">
            <w:pPr>
              <w:rPr>
                <w:rFonts w:eastAsia="SimSun"/>
              </w:rPr>
            </w:pPr>
            <w:r w:rsidRPr="00AC3044">
              <w:rPr>
                <w:rFonts w:eastAsia="SimSun"/>
              </w:rPr>
              <w:t>С +1 по +90 день</w:t>
            </w:r>
          </w:p>
        </w:tc>
        <w:tc>
          <w:tcPr>
            <w:tcW w:w="2268" w:type="dxa"/>
            <w:vAlign w:val="center"/>
          </w:tcPr>
          <w:p w14:paraId="74B157E7"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028F28E9" w14:textId="77777777" w:rsidR="00BE7F89" w:rsidRDefault="00BE7F89" w:rsidP="00BE7F89">
      <w:pPr>
        <w:rPr>
          <w:rFonts w:eastAsia="SimSun"/>
        </w:rPr>
      </w:pPr>
      <w:bookmarkStart w:id="192" w:name="_Toc44401206"/>
    </w:p>
    <w:p w14:paraId="49211676"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2.2.6  – Flu180+Bu8 / rATG+CSA+MTX+MMF45</w:t>
      </w:r>
      <w:bookmarkEnd w:id="192"/>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BE7F89" w:rsidRPr="00AC3044" w14:paraId="25C1EE4D" w14:textId="77777777" w:rsidTr="005A428D">
        <w:trPr>
          <w:cantSplit/>
          <w:trHeight w:val="20"/>
          <w:tblHeader/>
        </w:trPr>
        <w:tc>
          <w:tcPr>
            <w:tcW w:w="851" w:type="dxa"/>
          </w:tcPr>
          <w:p w14:paraId="15677FF8" w14:textId="77777777" w:rsidR="00BE7F89" w:rsidRPr="00470D3D" w:rsidRDefault="00BE7F89" w:rsidP="005A428D">
            <w:pPr>
              <w:rPr>
                <w:rFonts w:eastAsia="SimSun"/>
              </w:rPr>
            </w:pPr>
          </w:p>
        </w:tc>
        <w:tc>
          <w:tcPr>
            <w:tcW w:w="1701" w:type="dxa"/>
            <w:vAlign w:val="center"/>
          </w:tcPr>
          <w:p w14:paraId="3EA50212"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5B4D301F"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3B3C0F52"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0A249283"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38155746"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752F9B28" w14:textId="77777777" w:rsidTr="005A428D">
        <w:trPr>
          <w:cantSplit/>
          <w:trHeight w:val="20"/>
        </w:trPr>
        <w:tc>
          <w:tcPr>
            <w:tcW w:w="851" w:type="dxa"/>
            <w:vMerge w:val="restart"/>
            <w:textDirection w:val="btLr"/>
            <w:vAlign w:val="center"/>
          </w:tcPr>
          <w:p w14:paraId="1BDFB998"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70DFC9D8"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544F4433" w14:textId="77777777" w:rsidR="00BE7F89" w:rsidRPr="00AC3044" w:rsidRDefault="00BE7F89" w:rsidP="005A428D">
            <w:pPr>
              <w:rPr>
                <w:rFonts w:eastAsia="SimSun"/>
              </w:rPr>
            </w:pPr>
            <w:r w:rsidRPr="00AC3044">
              <w:rPr>
                <w:rFonts w:eastAsia="SimSun"/>
              </w:rPr>
              <w:t>30 мг/м</w:t>
            </w:r>
            <w:r w:rsidRPr="00DB259E">
              <w:rPr>
                <w:rFonts w:eastAsia="SimSun"/>
                <w:vertAlign w:val="superscript"/>
              </w:rPr>
              <w:t>2</w:t>
            </w:r>
          </w:p>
        </w:tc>
        <w:tc>
          <w:tcPr>
            <w:tcW w:w="1418" w:type="dxa"/>
            <w:vAlign w:val="center"/>
          </w:tcPr>
          <w:p w14:paraId="7FF8458B" w14:textId="77777777" w:rsidR="00BE7F89" w:rsidRPr="00AC3044" w:rsidRDefault="00BE7F89" w:rsidP="005A428D">
            <w:pPr>
              <w:rPr>
                <w:rFonts w:eastAsia="SimSun"/>
              </w:rPr>
            </w:pPr>
            <w:r w:rsidRPr="00AC3044">
              <w:rPr>
                <w:rFonts w:eastAsia="SimSun"/>
              </w:rPr>
              <w:t>180 мг/м</w:t>
            </w:r>
            <w:r w:rsidRPr="00DB259E">
              <w:rPr>
                <w:rFonts w:eastAsia="SimSun"/>
                <w:vertAlign w:val="superscript"/>
              </w:rPr>
              <w:t>2</w:t>
            </w:r>
          </w:p>
        </w:tc>
        <w:tc>
          <w:tcPr>
            <w:tcW w:w="1701" w:type="dxa"/>
            <w:vAlign w:val="center"/>
          </w:tcPr>
          <w:p w14:paraId="7290F0B6" w14:textId="77777777" w:rsidR="00BE7F89" w:rsidRPr="00AC3044" w:rsidRDefault="00BE7F89" w:rsidP="005A428D">
            <w:pPr>
              <w:rPr>
                <w:rFonts w:eastAsia="SimSun"/>
              </w:rPr>
            </w:pPr>
            <w:r w:rsidRPr="00AC3044">
              <w:rPr>
                <w:rFonts w:eastAsia="SimSun"/>
              </w:rPr>
              <w:t>С –9 по –4 день</w:t>
            </w:r>
          </w:p>
        </w:tc>
        <w:tc>
          <w:tcPr>
            <w:tcW w:w="2268" w:type="dxa"/>
            <w:vAlign w:val="center"/>
          </w:tcPr>
          <w:p w14:paraId="3D6F62D7"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AFE2D4B" w14:textId="77777777" w:rsidTr="005A428D">
        <w:trPr>
          <w:cantSplit/>
          <w:trHeight w:val="20"/>
        </w:trPr>
        <w:tc>
          <w:tcPr>
            <w:tcW w:w="851" w:type="dxa"/>
            <w:vMerge/>
            <w:textDirection w:val="btLr"/>
            <w:vAlign w:val="center"/>
          </w:tcPr>
          <w:p w14:paraId="3E60518E" w14:textId="77777777" w:rsidR="00BE7F89" w:rsidRPr="00AC3044" w:rsidRDefault="00BE7F89" w:rsidP="005A428D">
            <w:pPr>
              <w:rPr>
                <w:rFonts w:eastAsia="SimSun"/>
              </w:rPr>
            </w:pPr>
          </w:p>
        </w:tc>
        <w:tc>
          <w:tcPr>
            <w:tcW w:w="1701" w:type="dxa"/>
            <w:vAlign w:val="center"/>
          </w:tcPr>
          <w:p w14:paraId="10259087"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0C2639A7" w14:textId="77777777" w:rsidR="00BE7F89" w:rsidRPr="00AC3044" w:rsidRDefault="00BE7F89" w:rsidP="005A428D">
            <w:pPr>
              <w:rPr>
                <w:rFonts w:eastAsia="SimSun"/>
              </w:rPr>
            </w:pPr>
            <w:r w:rsidRPr="00AC3044">
              <w:rPr>
                <w:rFonts w:eastAsia="SimSun"/>
              </w:rPr>
              <w:t>4 мг/кг</w:t>
            </w:r>
          </w:p>
        </w:tc>
        <w:tc>
          <w:tcPr>
            <w:tcW w:w="1418" w:type="dxa"/>
            <w:vAlign w:val="center"/>
          </w:tcPr>
          <w:p w14:paraId="317E6E65" w14:textId="77777777" w:rsidR="00BE7F89" w:rsidRPr="00AC3044" w:rsidRDefault="00BE7F89" w:rsidP="005A428D">
            <w:pPr>
              <w:rPr>
                <w:rFonts w:eastAsia="SimSun"/>
              </w:rPr>
            </w:pPr>
            <w:r w:rsidRPr="00AC3044">
              <w:rPr>
                <w:rFonts w:eastAsia="SimSun"/>
              </w:rPr>
              <w:t>8 мг/кг</w:t>
            </w:r>
          </w:p>
        </w:tc>
        <w:tc>
          <w:tcPr>
            <w:tcW w:w="1701" w:type="dxa"/>
            <w:vAlign w:val="center"/>
          </w:tcPr>
          <w:p w14:paraId="5A5DF168" w14:textId="77777777" w:rsidR="00BE7F89" w:rsidRPr="00AC3044" w:rsidRDefault="00BE7F89" w:rsidP="005A428D">
            <w:pPr>
              <w:rPr>
                <w:rFonts w:eastAsia="SimSun"/>
              </w:rPr>
            </w:pPr>
            <w:r w:rsidRPr="00AC3044">
              <w:rPr>
                <w:rFonts w:eastAsia="SimSun"/>
              </w:rPr>
              <w:t>С –5 по –4 день</w:t>
            </w:r>
          </w:p>
        </w:tc>
        <w:tc>
          <w:tcPr>
            <w:tcW w:w="2268" w:type="dxa"/>
            <w:vAlign w:val="center"/>
          </w:tcPr>
          <w:p w14:paraId="6102FF04"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15F865D3" w14:textId="77777777" w:rsidTr="005A428D">
        <w:trPr>
          <w:cantSplit/>
          <w:trHeight w:val="20"/>
        </w:trPr>
        <w:tc>
          <w:tcPr>
            <w:tcW w:w="851" w:type="dxa"/>
            <w:vMerge w:val="restart"/>
            <w:textDirection w:val="btLr"/>
            <w:vAlign w:val="center"/>
          </w:tcPr>
          <w:p w14:paraId="141C8538"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252F6932" w14:textId="77777777" w:rsidR="00BE7F89" w:rsidRPr="00AC3044" w:rsidRDefault="00BE7F89" w:rsidP="005A428D">
            <w:pPr>
              <w:rPr>
                <w:rFonts w:eastAsia="SimSun"/>
              </w:rPr>
            </w:pPr>
            <w:r w:rsidRPr="00AC3044">
              <w:rPr>
                <w:rFonts w:eastAsia="SimSun"/>
              </w:rPr>
              <w:t>АТГ (кроличий)</w:t>
            </w:r>
          </w:p>
        </w:tc>
        <w:tc>
          <w:tcPr>
            <w:tcW w:w="1559" w:type="dxa"/>
            <w:vAlign w:val="center"/>
          </w:tcPr>
          <w:p w14:paraId="26E37151" w14:textId="77777777" w:rsidR="00BE7F89" w:rsidRPr="00AC3044" w:rsidRDefault="00BE7F89" w:rsidP="005A428D">
            <w:pPr>
              <w:rPr>
                <w:rFonts w:eastAsia="SimSun"/>
              </w:rPr>
            </w:pPr>
            <w:r w:rsidRPr="00AC3044">
              <w:rPr>
                <w:rFonts w:eastAsia="SimSun"/>
              </w:rPr>
              <w:t>2,5 мг/кг</w:t>
            </w:r>
          </w:p>
        </w:tc>
        <w:tc>
          <w:tcPr>
            <w:tcW w:w="1418" w:type="dxa"/>
            <w:vAlign w:val="center"/>
          </w:tcPr>
          <w:p w14:paraId="7E7EF535" w14:textId="77777777" w:rsidR="00BE7F89" w:rsidRPr="00AC3044" w:rsidRDefault="00BE7F89" w:rsidP="005A428D">
            <w:pPr>
              <w:rPr>
                <w:rFonts w:eastAsia="SimSun"/>
              </w:rPr>
            </w:pPr>
            <w:r w:rsidRPr="00AC3044">
              <w:rPr>
                <w:rFonts w:eastAsia="SimSun"/>
              </w:rPr>
              <w:t>5- 7,5 мг/кг2</w:t>
            </w:r>
          </w:p>
        </w:tc>
        <w:tc>
          <w:tcPr>
            <w:tcW w:w="1701" w:type="dxa"/>
            <w:vAlign w:val="center"/>
          </w:tcPr>
          <w:p w14:paraId="6791E8B7" w14:textId="77777777" w:rsidR="00BE7F89" w:rsidRPr="00AC3044" w:rsidRDefault="00BE7F89" w:rsidP="005A428D">
            <w:pPr>
              <w:rPr>
                <w:rFonts w:eastAsia="SimSun"/>
              </w:rPr>
            </w:pPr>
            <w:r w:rsidRPr="00AC3044">
              <w:rPr>
                <w:rFonts w:eastAsia="SimSun"/>
              </w:rPr>
              <w:t>С –3 по –2 (-1) день</w:t>
            </w:r>
          </w:p>
        </w:tc>
        <w:tc>
          <w:tcPr>
            <w:tcW w:w="2268" w:type="dxa"/>
            <w:vAlign w:val="center"/>
          </w:tcPr>
          <w:p w14:paraId="63999510" w14:textId="77777777" w:rsidR="00BE7F89" w:rsidRPr="00AC3044" w:rsidRDefault="00BE7F89" w:rsidP="005A428D">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BE7F89" w:rsidRPr="00AC3044" w14:paraId="281EEE8A" w14:textId="77777777" w:rsidTr="005A428D">
        <w:trPr>
          <w:cantSplit/>
          <w:trHeight w:val="20"/>
        </w:trPr>
        <w:tc>
          <w:tcPr>
            <w:tcW w:w="851" w:type="dxa"/>
            <w:vMerge/>
            <w:textDirection w:val="btLr"/>
          </w:tcPr>
          <w:p w14:paraId="75670F6A" w14:textId="77777777" w:rsidR="00BE7F89" w:rsidRPr="00AC3044" w:rsidRDefault="00BE7F89" w:rsidP="005A428D">
            <w:pPr>
              <w:rPr>
                <w:rFonts w:eastAsia="SimSun"/>
              </w:rPr>
            </w:pPr>
          </w:p>
        </w:tc>
        <w:tc>
          <w:tcPr>
            <w:tcW w:w="1701" w:type="dxa"/>
            <w:vAlign w:val="center"/>
          </w:tcPr>
          <w:p w14:paraId="0DC74574" w14:textId="77777777" w:rsidR="00BE7F89" w:rsidRPr="00AC3044" w:rsidRDefault="00BE7F89" w:rsidP="005A428D">
            <w:pPr>
              <w:rPr>
                <w:rFonts w:eastAsia="SimSun"/>
              </w:rPr>
            </w:pPr>
            <w:r w:rsidRPr="00AC3044">
              <w:rPr>
                <w:rFonts w:eastAsia="SimSun"/>
              </w:rPr>
              <w:t>Циклоспорин</w:t>
            </w:r>
          </w:p>
        </w:tc>
        <w:tc>
          <w:tcPr>
            <w:tcW w:w="1559" w:type="dxa"/>
            <w:vAlign w:val="center"/>
          </w:tcPr>
          <w:p w14:paraId="30C03501" w14:textId="77777777" w:rsidR="00BE7F89" w:rsidRPr="00AC3044" w:rsidRDefault="00BE7F89" w:rsidP="005A428D">
            <w:pPr>
              <w:rPr>
                <w:rFonts w:eastAsia="SimSun"/>
              </w:rPr>
            </w:pPr>
            <w:r w:rsidRPr="00AC3044">
              <w:rPr>
                <w:rFonts w:eastAsia="SimSun"/>
              </w:rPr>
              <w:t>3 мг/кг</w:t>
            </w:r>
          </w:p>
        </w:tc>
        <w:tc>
          <w:tcPr>
            <w:tcW w:w="1418" w:type="dxa"/>
            <w:vAlign w:val="center"/>
          </w:tcPr>
          <w:p w14:paraId="58BE343D" w14:textId="77777777" w:rsidR="00BE7F89" w:rsidRPr="00AC3044" w:rsidRDefault="00BE7F89" w:rsidP="005A428D">
            <w:pPr>
              <w:rPr>
                <w:rFonts w:eastAsia="SimSun"/>
              </w:rPr>
            </w:pPr>
            <w:r w:rsidRPr="00AC3044">
              <w:rPr>
                <w:rFonts w:eastAsia="SimSun"/>
              </w:rPr>
              <w:t>–</w:t>
            </w:r>
          </w:p>
        </w:tc>
        <w:tc>
          <w:tcPr>
            <w:tcW w:w="1701" w:type="dxa"/>
            <w:vAlign w:val="center"/>
          </w:tcPr>
          <w:p w14:paraId="13E6EFF0" w14:textId="77777777" w:rsidR="00BE7F89" w:rsidRPr="00AC3044" w:rsidRDefault="00BE7F89" w:rsidP="005A428D">
            <w:pPr>
              <w:rPr>
                <w:rFonts w:eastAsia="SimSun"/>
              </w:rPr>
            </w:pPr>
            <w:r w:rsidRPr="00AC3044">
              <w:rPr>
                <w:rFonts w:eastAsia="SimSun"/>
              </w:rPr>
              <w:t>С–1 по +90 день, затем постепенное снижение к +180 дню</w:t>
            </w:r>
          </w:p>
        </w:tc>
        <w:tc>
          <w:tcPr>
            <w:tcW w:w="2268" w:type="dxa"/>
            <w:vAlign w:val="center"/>
          </w:tcPr>
          <w:p w14:paraId="1D8F939F"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AC3044">
              <w:rPr>
                <w:rFonts w:eastAsia="SimSun"/>
              </w:rPr>
              <w:t> 109/л, при отсутствии тошноты, рвоты, диареи и возможности приема внутрь. Концентрация 150-350 нг/мл</w:t>
            </w:r>
          </w:p>
        </w:tc>
      </w:tr>
      <w:tr w:rsidR="00BE7F89" w:rsidRPr="00AC3044" w14:paraId="3FBD3F1A" w14:textId="77777777" w:rsidTr="005A428D">
        <w:trPr>
          <w:cantSplit/>
          <w:trHeight w:val="20"/>
        </w:trPr>
        <w:tc>
          <w:tcPr>
            <w:tcW w:w="851" w:type="dxa"/>
            <w:vMerge/>
          </w:tcPr>
          <w:p w14:paraId="45B1EB51" w14:textId="77777777" w:rsidR="00BE7F89" w:rsidRPr="00AC3044" w:rsidRDefault="00BE7F89" w:rsidP="005A428D">
            <w:pPr>
              <w:rPr>
                <w:rFonts w:eastAsia="SimSun"/>
              </w:rPr>
            </w:pPr>
          </w:p>
        </w:tc>
        <w:tc>
          <w:tcPr>
            <w:tcW w:w="1701" w:type="dxa"/>
            <w:vMerge w:val="restart"/>
            <w:vAlign w:val="center"/>
          </w:tcPr>
          <w:p w14:paraId="559D4B54" w14:textId="77777777" w:rsidR="00BE7F89" w:rsidRPr="00AC3044" w:rsidRDefault="00BE7F89" w:rsidP="005A428D">
            <w:pPr>
              <w:rPr>
                <w:rFonts w:eastAsia="SimSun"/>
              </w:rPr>
            </w:pPr>
            <w:r w:rsidRPr="00AC3044">
              <w:rPr>
                <w:rFonts w:eastAsia="SimSun"/>
              </w:rPr>
              <w:t>Метотрексат</w:t>
            </w:r>
          </w:p>
        </w:tc>
        <w:tc>
          <w:tcPr>
            <w:tcW w:w="1559" w:type="dxa"/>
            <w:vAlign w:val="center"/>
          </w:tcPr>
          <w:p w14:paraId="0E5FCB9B" w14:textId="77777777" w:rsidR="00BE7F89" w:rsidRPr="00AC3044" w:rsidRDefault="00BE7F89" w:rsidP="005A428D">
            <w:pPr>
              <w:rPr>
                <w:rFonts w:eastAsia="SimSun"/>
              </w:rPr>
            </w:pPr>
            <w:r w:rsidRPr="00AC3044">
              <w:rPr>
                <w:rFonts w:eastAsia="SimSun"/>
              </w:rPr>
              <w:t>15 мг/м</w:t>
            </w:r>
            <w:r w:rsidRPr="00DB259E">
              <w:rPr>
                <w:rFonts w:eastAsia="SimSun"/>
                <w:vertAlign w:val="superscript"/>
              </w:rPr>
              <w:t>2</w:t>
            </w:r>
          </w:p>
        </w:tc>
        <w:tc>
          <w:tcPr>
            <w:tcW w:w="1418" w:type="dxa"/>
            <w:vAlign w:val="center"/>
          </w:tcPr>
          <w:p w14:paraId="0C12B6FA" w14:textId="77777777" w:rsidR="00BE7F89" w:rsidRPr="00AC3044" w:rsidRDefault="00BE7F89" w:rsidP="005A428D">
            <w:pPr>
              <w:rPr>
                <w:rFonts w:eastAsia="SimSun"/>
              </w:rPr>
            </w:pPr>
            <w:r w:rsidRPr="00AC3044">
              <w:rPr>
                <w:rFonts w:eastAsia="SimSun"/>
              </w:rPr>
              <w:t>–</w:t>
            </w:r>
          </w:p>
        </w:tc>
        <w:tc>
          <w:tcPr>
            <w:tcW w:w="1701" w:type="dxa"/>
            <w:vAlign w:val="center"/>
          </w:tcPr>
          <w:p w14:paraId="45025B1A" w14:textId="77777777" w:rsidR="00BE7F89" w:rsidRPr="00AC3044" w:rsidRDefault="00BE7F89" w:rsidP="005A428D">
            <w:pPr>
              <w:rPr>
                <w:rFonts w:eastAsia="SimSun"/>
              </w:rPr>
            </w:pPr>
            <w:r w:rsidRPr="00AC3044">
              <w:rPr>
                <w:rFonts w:eastAsia="SimSun"/>
              </w:rPr>
              <w:t>+1 день</w:t>
            </w:r>
          </w:p>
        </w:tc>
        <w:tc>
          <w:tcPr>
            <w:tcW w:w="2268" w:type="dxa"/>
            <w:vAlign w:val="center"/>
          </w:tcPr>
          <w:p w14:paraId="066DDCD3"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23EE3D1E" w14:textId="77777777" w:rsidTr="005A428D">
        <w:trPr>
          <w:cantSplit/>
          <w:trHeight w:val="464"/>
        </w:trPr>
        <w:tc>
          <w:tcPr>
            <w:tcW w:w="851" w:type="dxa"/>
            <w:vMerge/>
          </w:tcPr>
          <w:p w14:paraId="5A2AA7FA" w14:textId="77777777" w:rsidR="00BE7F89" w:rsidRPr="00AC3044" w:rsidRDefault="00BE7F89" w:rsidP="005A428D">
            <w:pPr>
              <w:rPr>
                <w:rFonts w:eastAsia="SimSun"/>
              </w:rPr>
            </w:pPr>
          </w:p>
        </w:tc>
        <w:tc>
          <w:tcPr>
            <w:tcW w:w="1701" w:type="dxa"/>
            <w:vMerge/>
            <w:vAlign w:val="center"/>
          </w:tcPr>
          <w:p w14:paraId="317B125D" w14:textId="77777777" w:rsidR="00BE7F89" w:rsidRPr="00AC3044" w:rsidRDefault="00BE7F89" w:rsidP="005A428D">
            <w:pPr>
              <w:rPr>
                <w:rFonts w:eastAsia="SimSun"/>
              </w:rPr>
            </w:pPr>
          </w:p>
        </w:tc>
        <w:tc>
          <w:tcPr>
            <w:tcW w:w="1559" w:type="dxa"/>
            <w:vAlign w:val="center"/>
          </w:tcPr>
          <w:p w14:paraId="597C4CE1" w14:textId="77777777" w:rsidR="00BE7F89" w:rsidRPr="00AC3044" w:rsidRDefault="00BE7F89" w:rsidP="005A428D">
            <w:pPr>
              <w:rPr>
                <w:rFonts w:eastAsia="SimSun"/>
              </w:rPr>
            </w:pPr>
            <w:r w:rsidRPr="00AC3044">
              <w:rPr>
                <w:rFonts w:eastAsia="SimSun"/>
              </w:rPr>
              <w:t>10 мг/м</w:t>
            </w:r>
            <w:r w:rsidRPr="00DB259E">
              <w:rPr>
                <w:rFonts w:eastAsia="SimSun"/>
                <w:vertAlign w:val="superscript"/>
              </w:rPr>
              <w:t>2</w:t>
            </w:r>
          </w:p>
        </w:tc>
        <w:tc>
          <w:tcPr>
            <w:tcW w:w="1418" w:type="dxa"/>
            <w:vAlign w:val="center"/>
          </w:tcPr>
          <w:p w14:paraId="109E3E70" w14:textId="77777777" w:rsidR="00BE7F89" w:rsidRPr="00AC3044" w:rsidRDefault="00BE7F89" w:rsidP="005A428D">
            <w:pPr>
              <w:rPr>
                <w:rFonts w:eastAsia="SimSun"/>
              </w:rPr>
            </w:pPr>
            <w:r w:rsidRPr="00AC3044">
              <w:rPr>
                <w:rFonts w:eastAsia="SimSun"/>
              </w:rPr>
              <w:t>–</w:t>
            </w:r>
          </w:p>
        </w:tc>
        <w:tc>
          <w:tcPr>
            <w:tcW w:w="1701" w:type="dxa"/>
            <w:vAlign w:val="center"/>
          </w:tcPr>
          <w:p w14:paraId="21CE1B57" w14:textId="77777777" w:rsidR="00BE7F89" w:rsidRPr="00AC3044" w:rsidRDefault="00BE7F89" w:rsidP="005A428D">
            <w:pPr>
              <w:rPr>
                <w:rFonts w:eastAsia="SimSun"/>
              </w:rPr>
            </w:pPr>
            <w:r w:rsidRPr="00AC3044">
              <w:rPr>
                <w:rFonts w:eastAsia="SimSun"/>
              </w:rPr>
              <w:t>+3, +6, +11 дни</w:t>
            </w:r>
          </w:p>
        </w:tc>
        <w:tc>
          <w:tcPr>
            <w:tcW w:w="2268" w:type="dxa"/>
            <w:vAlign w:val="center"/>
          </w:tcPr>
          <w:p w14:paraId="7AFBAB79"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1DDD7E94" w14:textId="77777777" w:rsidTr="005A428D">
        <w:trPr>
          <w:cantSplit/>
          <w:trHeight w:val="464"/>
        </w:trPr>
        <w:tc>
          <w:tcPr>
            <w:tcW w:w="851" w:type="dxa"/>
            <w:vMerge/>
          </w:tcPr>
          <w:p w14:paraId="05AB5AA1" w14:textId="77777777" w:rsidR="00BE7F89" w:rsidRPr="00AC3044" w:rsidRDefault="00BE7F89" w:rsidP="005A428D">
            <w:pPr>
              <w:rPr>
                <w:rFonts w:eastAsia="SimSun"/>
              </w:rPr>
            </w:pPr>
          </w:p>
        </w:tc>
        <w:tc>
          <w:tcPr>
            <w:tcW w:w="1701" w:type="dxa"/>
            <w:vAlign w:val="center"/>
          </w:tcPr>
          <w:p w14:paraId="19C084D8"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09B50859" w14:textId="77777777" w:rsidR="00BE7F89" w:rsidRPr="00AC3044" w:rsidRDefault="00BE7F89" w:rsidP="005A428D">
            <w:pPr>
              <w:rPr>
                <w:rFonts w:eastAsia="SimSun"/>
              </w:rPr>
            </w:pPr>
            <w:r w:rsidRPr="00AC3044">
              <w:rPr>
                <w:rFonts w:eastAsia="SimSun"/>
              </w:rPr>
              <w:t>45 мг/кг</w:t>
            </w:r>
          </w:p>
        </w:tc>
        <w:tc>
          <w:tcPr>
            <w:tcW w:w="1418" w:type="dxa"/>
            <w:vAlign w:val="center"/>
          </w:tcPr>
          <w:p w14:paraId="010DE274" w14:textId="77777777" w:rsidR="00BE7F89" w:rsidRPr="00AC3044" w:rsidRDefault="00BE7F89" w:rsidP="005A428D">
            <w:pPr>
              <w:rPr>
                <w:rFonts w:eastAsia="SimSun"/>
              </w:rPr>
            </w:pPr>
            <w:r w:rsidRPr="00AC3044">
              <w:rPr>
                <w:rFonts w:eastAsia="SimSun"/>
              </w:rPr>
              <w:t>–</w:t>
            </w:r>
          </w:p>
        </w:tc>
        <w:tc>
          <w:tcPr>
            <w:tcW w:w="1701" w:type="dxa"/>
            <w:vAlign w:val="center"/>
          </w:tcPr>
          <w:p w14:paraId="0CB51E63" w14:textId="77777777" w:rsidR="00BE7F89" w:rsidRPr="00AC3044" w:rsidRDefault="00BE7F89" w:rsidP="005A428D">
            <w:pPr>
              <w:rPr>
                <w:rFonts w:eastAsia="SimSun"/>
              </w:rPr>
            </w:pPr>
            <w:r w:rsidRPr="00AC3044">
              <w:rPr>
                <w:rFonts w:eastAsia="SimSun"/>
              </w:rPr>
              <w:t>С +1 по +90 день</w:t>
            </w:r>
          </w:p>
        </w:tc>
        <w:tc>
          <w:tcPr>
            <w:tcW w:w="2268" w:type="dxa"/>
            <w:vAlign w:val="center"/>
          </w:tcPr>
          <w:p w14:paraId="1B5B6FD2"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554DC733" w14:textId="77777777" w:rsidR="00BE7F89" w:rsidRDefault="00BE7F89" w:rsidP="00BE7F89">
      <w:pPr>
        <w:rPr>
          <w:rFonts w:eastAsia="SimSun"/>
        </w:rPr>
      </w:pPr>
      <w:bookmarkStart w:id="193" w:name="_Toc44401207"/>
    </w:p>
    <w:p w14:paraId="23DFC00A"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2.2.7  – Flu180+Bu8 / PT-Cy+CSA+MMF30</w:t>
      </w:r>
      <w:bookmarkEnd w:id="193"/>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BE7F89" w:rsidRPr="00AC3044" w14:paraId="13DA7B58" w14:textId="77777777" w:rsidTr="005A428D">
        <w:trPr>
          <w:cantSplit/>
          <w:trHeight w:val="20"/>
          <w:tblHeader/>
        </w:trPr>
        <w:tc>
          <w:tcPr>
            <w:tcW w:w="851" w:type="dxa"/>
          </w:tcPr>
          <w:p w14:paraId="59D70CF5" w14:textId="77777777" w:rsidR="00BE7F89" w:rsidRPr="00470D3D" w:rsidRDefault="00BE7F89" w:rsidP="005A428D">
            <w:pPr>
              <w:rPr>
                <w:rFonts w:eastAsia="SimSun"/>
              </w:rPr>
            </w:pPr>
          </w:p>
        </w:tc>
        <w:tc>
          <w:tcPr>
            <w:tcW w:w="1701" w:type="dxa"/>
            <w:vAlign w:val="center"/>
          </w:tcPr>
          <w:p w14:paraId="2A18FE3A"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1BDDCE24"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2739F11A"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74E34ADC"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4EBBC0A6"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70E2BF4" w14:textId="77777777" w:rsidTr="005A428D">
        <w:trPr>
          <w:cantSplit/>
          <w:trHeight w:val="20"/>
        </w:trPr>
        <w:tc>
          <w:tcPr>
            <w:tcW w:w="851" w:type="dxa"/>
            <w:vMerge w:val="restart"/>
            <w:textDirection w:val="btLr"/>
            <w:vAlign w:val="center"/>
          </w:tcPr>
          <w:p w14:paraId="3FBAAD0B"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778D632C"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06228992" w14:textId="77777777" w:rsidR="00BE7F89" w:rsidRPr="00AC3044" w:rsidRDefault="00BE7F89" w:rsidP="005A428D">
            <w:pPr>
              <w:rPr>
                <w:rFonts w:eastAsia="SimSun"/>
              </w:rPr>
            </w:pPr>
            <w:r w:rsidRPr="00AC3044">
              <w:rPr>
                <w:rFonts w:eastAsia="SimSun"/>
              </w:rPr>
              <w:t>30 мг/м</w:t>
            </w:r>
            <w:r w:rsidRPr="00DB259E">
              <w:rPr>
                <w:rFonts w:eastAsia="SimSun"/>
                <w:vertAlign w:val="superscript"/>
              </w:rPr>
              <w:t>2</w:t>
            </w:r>
          </w:p>
        </w:tc>
        <w:tc>
          <w:tcPr>
            <w:tcW w:w="1418" w:type="dxa"/>
            <w:vAlign w:val="center"/>
          </w:tcPr>
          <w:p w14:paraId="76045FCE" w14:textId="77777777" w:rsidR="00BE7F89" w:rsidRPr="00AC3044" w:rsidRDefault="00BE7F89" w:rsidP="005A428D">
            <w:pPr>
              <w:rPr>
                <w:rFonts w:eastAsia="SimSun"/>
              </w:rPr>
            </w:pPr>
            <w:r w:rsidRPr="00AC3044">
              <w:rPr>
                <w:rFonts w:eastAsia="SimSun"/>
              </w:rPr>
              <w:t>150 мг/м</w:t>
            </w:r>
            <w:r w:rsidRPr="00DB259E">
              <w:rPr>
                <w:rFonts w:eastAsia="SimSun"/>
                <w:vertAlign w:val="superscript"/>
              </w:rPr>
              <w:t>2</w:t>
            </w:r>
          </w:p>
        </w:tc>
        <w:tc>
          <w:tcPr>
            <w:tcW w:w="1701" w:type="dxa"/>
            <w:vAlign w:val="center"/>
          </w:tcPr>
          <w:p w14:paraId="20DC63C4" w14:textId="77777777" w:rsidR="00BE7F89" w:rsidRPr="00AC3044" w:rsidRDefault="00BE7F89" w:rsidP="005A428D">
            <w:pPr>
              <w:rPr>
                <w:rFonts w:eastAsia="SimSun"/>
              </w:rPr>
            </w:pPr>
            <w:r w:rsidRPr="00AC3044">
              <w:rPr>
                <w:rFonts w:eastAsia="SimSun"/>
              </w:rPr>
              <w:t>С –6 по –2 день</w:t>
            </w:r>
          </w:p>
        </w:tc>
        <w:tc>
          <w:tcPr>
            <w:tcW w:w="2268" w:type="dxa"/>
            <w:vAlign w:val="center"/>
          </w:tcPr>
          <w:p w14:paraId="41EC087B"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8A95E08" w14:textId="77777777" w:rsidTr="005A428D">
        <w:trPr>
          <w:cantSplit/>
          <w:trHeight w:val="772"/>
        </w:trPr>
        <w:tc>
          <w:tcPr>
            <w:tcW w:w="851" w:type="dxa"/>
            <w:vMerge/>
            <w:textDirection w:val="btLr"/>
            <w:vAlign w:val="center"/>
          </w:tcPr>
          <w:p w14:paraId="15B8FE3E" w14:textId="77777777" w:rsidR="00BE7F89" w:rsidRPr="00AC3044" w:rsidRDefault="00BE7F89" w:rsidP="005A428D">
            <w:pPr>
              <w:rPr>
                <w:rFonts w:eastAsia="SimSun"/>
              </w:rPr>
            </w:pPr>
          </w:p>
        </w:tc>
        <w:tc>
          <w:tcPr>
            <w:tcW w:w="1701" w:type="dxa"/>
            <w:vAlign w:val="center"/>
          </w:tcPr>
          <w:p w14:paraId="74FE58C0"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5C9FC1D9" w14:textId="77777777" w:rsidR="00BE7F89" w:rsidRPr="00AC3044" w:rsidRDefault="00BE7F89" w:rsidP="005A428D">
            <w:pPr>
              <w:rPr>
                <w:rFonts w:eastAsia="SimSun"/>
              </w:rPr>
            </w:pPr>
            <w:r w:rsidRPr="00AC3044">
              <w:rPr>
                <w:rFonts w:eastAsia="SimSun"/>
              </w:rPr>
              <w:t>4 мг/кг</w:t>
            </w:r>
          </w:p>
        </w:tc>
        <w:tc>
          <w:tcPr>
            <w:tcW w:w="1418" w:type="dxa"/>
            <w:vAlign w:val="center"/>
          </w:tcPr>
          <w:p w14:paraId="77DC84A9" w14:textId="77777777" w:rsidR="00BE7F89" w:rsidRPr="00AC3044" w:rsidRDefault="00BE7F89" w:rsidP="005A428D">
            <w:pPr>
              <w:rPr>
                <w:rFonts w:eastAsia="SimSun"/>
              </w:rPr>
            </w:pPr>
            <w:r w:rsidRPr="00AC3044">
              <w:rPr>
                <w:rFonts w:eastAsia="SimSun"/>
              </w:rPr>
              <w:t>8 мг/кг</w:t>
            </w:r>
          </w:p>
        </w:tc>
        <w:tc>
          <w:tcPr>
            <w:tcW w:w="1701" w:type="dxa"/>
            <w:vAlign w:val="center"/>
          </w:tcPr>
          <w:p w14:paraId="61DA37A3" w14:textId="77777777" w:rsidR="00BE7F89" w:rsidRPr="00AC3044" w:rsidRDefault="00BE7F89" w:rsidP="005A428D">
            <w:pPr>
              <w:rPr>
                <w:rFonts w:eastAsia="SimSun"/>
              </w:rPr>
            </w:pPr>
            <w:r w:rsidRPr="00AC3044">
              <w:rPr>
                <w:rFonts w:eastAsia="SimSun"/>
              </w:rPr>
              <w:t>С –5 по –4 день</w:t>
            </w:r>
          </w:p>
        </w:tc>
        <w:tc>
          <w:tcPr>
            <w:tcW w:w="2268" w:type="dxa"/>
            <w:vAlign w:val="center"/>
          </w:tcPr>
          <w:p w14:paraId="0B9545F4"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0AC80FA0" w14:textId="77777777" w:rsidTr="005A428D">
        <w:trPr>
          <w:cantSplit/>
          <w:trHeight w:val="1337"/>
        </w:trPr>
        <w:tc>
          <w:tcPr>
            <w:tcW w:w="851" w:type="dxa"/>
            <w:vMerge w:val="restart"/>
            <w:textDirection w:val="btLr"/>
            <w:vAlign w:val="center"/>
          </w:tcPr>
          <w:p w14:paraId="1489422F"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70BCC07D" w14:textId="77777777" w:rsidR="00BE7F89" w:rsidRPr="00AC3044" w:rsidRDefault="00BE7F89" w:rsidP="005A428D">
            <w:pPr>
              <w:rPr>
                <w:rFonts w:eastAsia="SimSun"/>
              </w:rPr>
            </w:pPr>
            <w:r w:rsidRPr="00AC3044">
              <w:rPr>
                <w:rFonts w:eastAsia="SimSun"/>
              </w:rPr>
              <w:t>Циклоспорин</w:t>
            </w:r>
          </w:p>
        </w:tc>
        <w:tc>
          <w:tcPr>
            <w:tcW w:w="1559" w:type="dxa"/>
            <w:vAlign w:val="center"/>
          </w:tcPr>
          <w:p w14:paraId="14317D30" w14:textId="77777777" w:rsidR="00BE7F89" w:rsidRPr="00AC3044" w:rsidRDefault="00BE7F89" w:rsidP="005A428D">
            <w:pPr>
              <w:rPr>
                <w:rFonts w:eastAsia="SimSun"/>
              </w:rPr>
            </w:pPr>
            <w:r w:rsidRPr="00AC3044">
              <w:rPr>
                <w:rFonts w:eastAsia="SimSun"/>
              </w:rPr>
              <w:t>3 мг/кг</w:t>
            </w:r>
          </w:p>
        </w:tc>
        <w:tc>
          <w:tcPr>
            <w:tcW w:w="1418" w:type="dxa"/>
            <w:vAlign w:val="center"/>
          </w:tcPr>
          <w:p w14:paraId="499C64FE" w14:textId="77777777" w:rsidR="00BE7F89" w:rsidRPr="00AC3044" w:rsidRDefault="00BE7F89" w:rsidP="005A428D">
            <w:pPr>
              <w:rPr>
                <w:rFonts w:eastAsia="SimSun"/>
              </w:rPr>
            </w:pPr>
            <w:r w:rsidRPr="00AC3044">
              <w:rPr>
                <w:rFonts w:eastAsia="SimSun"/>
              </w:rPr>
              <w:t>–</w:t>
            </w:r>
          </w:p>
        </w:tc>
        <w:tc>
          <w:tcPr>
            <w:tcW w:w="1701" w:type="dxa"/>
            <w:vAlign w:val="center"/>
          </w:tcPr>
          <w:p w14:paraId="0FDB33DA" w14:textId="77777777" w:rsidR="00BE7F89" w:rsidRPr="00AC3044" w:rsidRDefault="00BE7F89" w:rsidP="005A428D">
            <w:pPr>
              <w:rPr>
                <w:rFonts w:eastAsia="SimSun"/>
              </w:rPr>
            </w:pPr>
            <w:r w:rsidRPr="00AC3044">
              <w:rPr>
                <w:rFonts w:eastAsia="SimSun"/>
              </w:rPr>
              <w:t>С +5 дня по +90 день затем постепенное снижение к +180 дню</w:t>
            </w:r>
          </w:p>
        </w:tc>
        <w:tc>
          <w:tcPr>
            <w:tcW w:w="2268" w:type="dxa"/>
            <w:vAlign w:val="center"/>
          </w:tcPr>
          <w:p w14:paraId="6760E1EC"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1E6B73B5" w14:textId="77777777" w:rsidTr="005A428D">
        <w:trPr>
          <w:cantSplit/>
          <w:trHeight w:val="308"/>
        </w:trPr>
        <w:tc>
          <w:tcPr>
            <w:tcW w:w="851" w:type="dxa"/>
            <w:vMerge/>
            <w:textDirection w:val="btLr"/>
          </w:tcPr>
          <w:p w14:paraId="380C2E63" w14:textId="77777777" w:rsidR="00BE7F89" w:rsidRPr="00AC3044" w:rsidRDefault="00BE7F89" w:rsidP="005A428D">
            <w:pPr>
              <w:rPr>
                <w:rFonts w:eastAsia="SimSun"/>
              </w:rPr>
            </w:pPr>
          </w:p>
        </w:tc>
        <w:tc>
          <w:tcPr>
            <w:tcW w:w="1701" w:type="dxa"/>
            <w:vAlign w:val="center"/>
          </w:tcPr>
          <w:p w14:paraId="465C6DD2"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62EDF3AB" w14:textId="77777777" w:rsidR="00BE7F89" w:rsidRPr="00AC3044" w:rsidRDefault="00BE7F89" w:rsidP="005A428D">
            <w:pPr>
              <w:rPr>
                <w:rFonts w:eastAsia="SimSun"/>
              </w:rPr>
            </w:pPr>
            <w:r w:rsidRPr="00AC3044">
              <w:rPr>
                <w:rFonts w:eastAsia="SimSun"/>
              </w:rPr>
              <w:t>30 мг/кг</w:t>
            </w:r>
          </w:p>
        </w:tc>
        <w:tc>
          <w:tcPr>
            <w:tcW w:w="1418" w:type="dxa"/>
            <w:vAlign w:val="center"/>
          </w:tcPr>
          <w:p w14:paraId="5DA9D3EA" w14:textId="77777777" w:rsidR="00BE7F89" w:rsidRPr="00AC3044" w:rsidRDefault="00BE7F89" w:rsidP="005A428D">
            <w:pPr>
              <w:rPr>
                <w:rFonts w:eastAsia="SimSun"/>
              </w:rPr>
            </w:pPr>
            <w:r w:rsidRPr="00AC3044">
              <w:rPr>
                <w:rFonts w:eastAsia="SimSun"/>
              </w:rPr>
              <w:t>–</w:t>
            </w:r>
          </w:p>
        </w:tc>
        <w:tc>
          <w:tcPr>
            <w:tcW w:w="1701" w:type="dxa"/>
            <w:vAlign w:val="center"/>
          </w:tcPr>
          <w:p w14:paraId="5733AE52" w14:textId="77777777" w:rsidR="00BE7F89" w:rsidRPr="00AC3044" w:rsidRDefault="00BE7F89" w:rsidP="005A428D">
            <w:pPr>
              <w:rPr>
                <w:rFonts w:eastAsia="SimSun"/>
              </w:rPr>
            </w:pPr>
            <w:r w:rsidRPr="00AC3044">
              <w:rPr>
                <w:rFonts w:eastAsia="SimSun"/>
              </w:rPr>
              <w:t>С +5 по +90 день</w:t>
            </w:r>
          </w:p>
        </w:tc>
        <w:tc>
          <w:tcPr>
            <w:tcW w:w="2268" w:type="dxa"/>
            <w:vAlign w:val="center"/>
          </w:tcPr>
          <w:p w14:paraId="74B3525B"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BE7F89" w:rsidRPr="00AC3044" w14:paraId="0E538851" w14:textId="77777777" w:rsidTr="005A428D">
        <w:trPr>
          <w:cantSplit/>
          <w:trHeight w:val="20"/>
        </w:trPr>
        <w:tc>
          <w:tcPr>
            <w:tcW w:w="851" w:type="dxa"/>
            <w:vMerge/>
            <w:textDirection w:val="btLr"/>
          </w:tcPr>
          <w:p w14:paraId="1B42A9F8" w14:textId="77777777" w:rsidR="00BE7F89" w:rsidRPr="00AC3044" w:rsidRDefault="00BE7F89" w:rsidP="005A428D">
            <w:pPr>
              <w:rPr>
                <w:rFonts w:eastAsia="SimSun"/>
              </w:rPr>
            </w:pPr>
          </w:p>
        </w:tc>
        <w:tc>
          <w:tcPr>
            <w:tcW w:w="1701" w:type="dxa"/>
            <w:vAlign w:val="center"/>
          </w:tcPr>
          <w:p w14:paraId="677F3FF2"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17C5113D"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7E332154"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0A92A15C" w14:textId="77777777" w:rsidR="00BE7F89" w:rsidRPr="00AC3044" w:rsidRDefault="00BE7F89" w:rsidP="005A428D">
            <w:pPr>
              <w:rPr>
                <w:rFonts w:eastAsia="SimSun"/>
              </w:rPr>
            </w:pPr>
            <w:r w:rsidRPr="00AC3044">
              <w:rPr>
                <w:rFonts w:eastAsia="SimSun"/>
              </w:rPr>
              <w:t xml:space="preserve">+3,+4 дни </w:t>
            </w:r>
          </w:p>
        </w:tc>
        <w:tc>
          <w:tcPr>
            <w:tcW w:w="2268" w:type="dxa"/>
            <w:vAlign w:val="center"/>
          </w:tcPr>
          <w:p w14:paraId="3644F40E" w14:textId="77777777" w:rsidR="00BE7F89" w:rsidRPr="00AC3044" w:rsidRDefault="00BE7F89" w:rsidP="005A428D">
            <w:pPr>
              <w:rPr>
                <w:rFonts w:eastAsia="SimSun"/>
              </w:rPr>
            </w:pPr>
            <w:r w:rsidRPr="00AC3044">
              <w:rPr>
                <w:rFonts w:eastAsia="SimSun"/>
              </w:rPr>
              <w:t>В/в, в течение 2 часов</w:t>
            </w:r>
          </w:p>
        </w:tc>
      </w:tr>
    </w:tbl>
    <w:p w14:paraId="35A14CFD" w14:textId="77777777" w:rsidR="00BE7F89" w:rsidRDefault="00BE7F89" w:rsidP="00BE7F89">
      <w:pPr>
        <w:rPr>
          <w:rFonts w:eastAsia="SimSun"/>
        </w:rPr>
      </w:pPr>
      <w:bookmarkStart w:id="194" w:name="_Toc44401208"/>
    </w:p>
    <w:p w14:paraId="08135D48" w14:textId="77777777" w:rsidR="00BE7F89" w:rsidRPr="00042499" w:rsidRDefault="00BE7F89" w:rsidP="00BE7F89">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2.2.8  – </w:t>
      </w:r>
      <w:r w:rsidRPr="00C07B2E">
        <w:rPr>
          <w:rFonts w:eastAsia="SimSun"/>
        </w:rPr>
        <w:t>Flu</w:t>
      </w:r>
      <w:r w:rsidRPr="00042499">
        <w:rPr>
          <w:rFonts w:eastAsia="SimSun"/>
          <w:lang w:val="en-US"/>
        </w:rPr>
        <w:t>180+</w:t>
      </w:r>
      <w:r w:rsidRPr="00C07B2E">
        <w:rPr>
          <w:rFonts w:eastAsia="SimSun"/>
        </w:rPr>
        <w:t>Bu</w:t>
      </w:r>
      <w:r w:rsidRPr="00042499">
        <w:rPr>
          <w:rFonts w:eastAsia="SimSun"/>
          <w:lang w:val="en-US"/>
        </w:rPr>
        <w:t>8+</w:t>
      </w:r>
      <w:r w:rsidRPr="00C07B2E">
        <w:rPr>
          <w:rFonts w:eastAsia="SimSun"/>
        </w:rPr>
        <w:t>Thio</w:t>
      </w:r>
      <w:r w:rsidRPr="00042499">
        <w:rPr>
          <w:rFonts w:eastAsia="SimSun"/>
          <w:lang w:val="en-US"/>
        </w:rPr>
        <w:t xml:space="preserve"> / </w:t>
      </w:r>
      <w:r w:rsidRPr="00C07B2E">
        <w:rPr>
          <w:rFonts w:eastAsia="SimSun"/>
        </w:rPr>
        <w:t>PT</w:t>
      </w:r>
      <w:r w:rsidRPr="00042499">
        <w:rPr>
          <w:rFonts w:eastAsia="SimSun"/>
          <w:lang w:val="en-US"/>
        </w:rPr>
        <w:t>-</w:t>
      </w:r>
      <w:r w:rsidRPr="00C07B2E">
        <w:rPr>
          <w:rFonts w:eastAsia="SimSun"/>
        </w:rPr>
        <w:t>Cy</w:t>
      </w:r>
      <w:bookmarkEnd w:id="194"/>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BE7F89" w:rsidRPr="00AC3044" w14:paraId="745A5965" w14:textId="77777777" w:rsidTr="005A428D">
        <w:trPr>
          <w:cantSplit/>
          <w:trHeight w:val="20"/>
          <w:tblHeader/>
        </w:trPr>
        <w:tc>
          <w:tcPr>
            <w:tcW w:w="851" w:type="dxa"/>
            <w:vAlign w:val="center"/>
          </w:tcPr>
          <w:p w14:paraId="69EE3EB0" w14:textId="77777777" w:rsidR="00BE7F89" w:rsidRPr="00723FEA" w:rsidRDefault="00BE7F89" w:rsidP="005A428D">
            <w:pPr>
              <w:rPr>
                <w:rFonts w:eastAsia="SimSun"/>
                <w:lang w:val="en-US"/>
              </w:rPr>
            </w:pPr>
          </w:p>
        </w:tc>
        <w:tc>
          <w:tcPr>
            <w:tcW w:w="1701" w:type="dxa"/>
            <w:vAlign w:val="center"/>
          </w:tcPr>
          <w:p w14:paraId="73E7D43B"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1FC5C3A9"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00EFF75A"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10F0D9B7"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02DD06CB"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CF5BBD1" w14:textId="77777777" w:rsidTr="005A428D">
        <w:trPr>
          <w:cantSplit/>
          <w:trHeight w:val="20"/>
        </w:trPr>
        <w:tc>
          <w:tcPr>
            <w:tcW w:w="851" w:type="dxa"/>
            <w:vMerge w:val="restart"/>
            <w:textDirection w:val="btLr"/>
            <w:vAlign w:val="center"/>
          </w:tcPr>
          <w:p w14:paraId="4924705E"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15F791E7"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55A516E5"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396C3013" w14:textId="77777777" w:rsidR="00BE7F89" w:rsidRPr="00AC3044" w:rsidRDefault="00BE7F89" w:rsidP="005A428D">
            <w:pPr>
              <w:rPr>
                <w:rFonts w:eastAsia="SimSun"/>
              </w:rPr>
            </w:pPr>
            <w:r w:rsidRPr="00AC3044">
              <w:rPr>
                <w:rFonts w:eastAsia="SimSun"/>
              </w:rPr>
              <w:t>180 мг/м2</w:t>
            </w:r>
          </w:p>
        </w:tc>
        <w:tc>
          <w:tcPr>
            <w:tcW w:w="1701" w:type="dxa"/>
            <w:vAlign w:val="center"/>
          </w:tcPr>
          <w:p w14:paraId="067D1D6D"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08DE8DE2"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11D9B5FA" w14:textId="77777777" w:rsidTr="005A428D">
        <w:trPr>
          <w:cantSplit/>
          <w:trHeight w:val="687"/>
        </w:trPr>
        <w:tc>
          <w:tcPr>
            <w:tcW w:w="851" w:type="dxa"/>
            <w:vMerge/>
            <w:vAlign w:val="center"/>
          </w:tcPr>
          <w:p w14:paraId="5A331AEA" w14:textId="77777777" w:rsidR="00BE7F89" w:rsidRPr="00AC3044" w:rsidRDefault="00BE7F89" w:rsidP="005A428D">
            <w:pPr>
              <w:rPr>
                <w:rFonts w:eastAsia="SimSun"/>
              </w:rPr>
            </w:pPr>
          </w:p>
        </w:tc>
        <w:tc>
          <w:tcPr>
            <w:tcW w:w="1701" w:type="dxa"/>
            <w:vAlign w:val="center"/>
          </w:tcPr>
          <w:p w14:paraId="759C629D"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0B80188D" w14:textId="77777777" w:rsidR="00BE7F89" w:rsidRPr="00AC3044" w:rsidRDefault="00BE7F89" w:rsidP="005A428D">
            <w:pPr>
              <w:rPr>
                <w:rFonts w:eastAsia="SimSun"/>
              </w:rPr>
            </w:pPr>
            <w:r w:rsidRPr="00AC3044">
              <w:rPr>
                <w:rFonts w:eastAsia="SimSun"/>
              </w:rPr>
              <w:t xml:space="preserve">4 мг/кг </w:t>
            </w:r>
          </w:p>
        </w:tc>
        <w:tc>
          <w:tcPr>
            <w:tcW w:w="1418" w:type="dxa"/>
            <w:vAlign w:val="center"/>
          </w:tcPr>
          <w:p w14:paraId="4C3A81E9" w14:textId="77777777" w:rsidR="00BE7F89" w:rsidRPr="00AC3044" w:rsidRDefault="00BE7F89" w:rsidP="005A428D">
            <w:pPr>
              <w:rPr>
                <w:rFonts w:eastAsia="SimSun"/>
              </w:rPr>
            </w:pPr>
            <w:r w:rsidRPr="00AC3044">
              <w:rPr>
                <w:rFonts w:eastAsia="SimSun"/>
              </w:rPr>
              <w:t xml:space="preserve">8 мг/кг </w:t>
            </w:r>
          </w:p>
        </w:tc>
        <w:tc>
          <w:tcPr>
            <w:tcW w:w="1701" w:type="dxa"/>
            <w:vAlign w:val="center"/>
          </w:tcPr>
          <w:p w14:paraId="7B969352" w14:textId="77777777" w:rsidR="00BE7F89" w:rsidRPr="00AC3044" w:rsidRDefault="00BE7F89" w:rsidP="005A428D">
            <w:pPr>
              <w:rPr>
                <w:rFonts w:eastAsia="SimSun"/>
              </w:rPr>
            </w:pPr>
            <w:r w:rsidRPr="00AC3044">
              <w:rPr>
                <w:rFonts w:eastAsia="SimSun"/>
              </w:rPr>
              <w:t>С -4 дня по -3 день</w:t>
            </w:r>
          </w:p>
        </w:tc>
        <w:tc>
          <w:tcPr>
            <w:tcW w:w="2268" w:type="dxa"/>
            <w:vAlign w:val="center"/>
          </w:tcPr>
          <w:p w14:paraId="5A9E9C29"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71AA855E" w14:textId="77777777" w:rsidTr="005A428D">
        <w:trPr>
          <w:cantSplit/>
          <w:trHeight w:val="555"/>
        </w:trPr>
        <w:tc>
          <w:tcPr>
            <w:tcW w:w="851" w:type="dxa"/>
            <w:vMerge/>
            <w:vAlign w:val="center"/>
          </w:tcPr>
          <w:p w14:paraId="6826EC91" w14:textId="77777777" w:rsidR="00BE7F89" w:rsidRPr="00AC3044" w:rsidRDefault="00BE7F89" w:rsidP="005A428D">
            <w:pPr>
              <w:rPr>
                <w:rFonts w:eastAsia="SimSun"/>
              </w:rPr>
            </w:pPr>
          </w:p>
        </w:tc>
        <w:tc>
          <w:tcPr>
            <w:tcW w:w="1701" w:type="dxa"/>
            <w:vAlign w:val="center"/>
          </w:tcPr>
          <w:p w14:paraId="384E7215" w14:textId="77777777" w:rsidR="00BE7F89" w:rsidRPr="00AC3044" w:rsidRDefault="00BE7F89" w:rsidP="005A428D">
            <w:pPr>
              <w:rPr>
                <w:rFonts w:eastAsia="SimSun"/>
              </w:rPr>
            </w:pPr>
            <w:r w:rsidRPr="00AC3044">
              <w:rPr>
                <w:rFonts w:eastAsia="SimSun"/>
              </w:rPr>
              <w:t>Тиотепа</w:t>
            </w:r>
          </w:p>
        </w:tc>
        <w:tc>
          <w:tcPr>
            <w:tcW w:w="1559" w:type="dxa"/>
            <w:vAlign w:val="center"/>
          </w:tcPr>
          <w:p w14:paraId="347B6FB0" w14:textId="77777777" w:rsidR="00BE7F89" w:rsidRPr="00AC3044" w:rsidRDefault="00BE7F89" w:rsidP="005A428D">
            <w:pPr>
              <w:rPr>
                <w:rFonts w:eastAsia="SimSun"/>
              </w:rPr>
            </w:pPr>
            <w:r w:rsidRPr="00AC3044">
              <w:rPr>
                <w:rFonts w:eastAsia="SimSun"/>
              </w:rPr>
              <w:t>5 мг/кг</w:t>
            </w:r>
          </w:p>
        </w:tc>
        <w:tc>
          <w:tcPr>
            <w:tcW w:w="1418" w:type="dxa"/>
            <w:vAlign w:val="center"/>
          </w:tcPr>
          <w:p w14:paraId="7E788787" w14:textId="77777777" w:rsidR="00BE7F89" w:rsidRPr="00AC3044" w:rsidRDefault="00BE7F89" w:rsidP="005A428D">
            <w:pPr>
              <w:rPr>
                <w:rFonts w:eastAsia="SimSun"/>
              </w:rPr>
            </w:pPr>
            <w:r w:rsidRPr="00AC3044">
              <w:rPr>
                <w:rFonts w:eastAsia="SimSun"/>
              </w:rPr>
              <w:t>10 мг/кг</w:t>
            </w:r>
          </w:p>
        </w:tc>
        <w:tc>
          <w:tcPr>
            <w:tcW w:w="1701" w:type="dxa"/>
            <w:vAlign w:val="center"/>
          </w:tcPr>
          <w:p w14:paraId="70F44904" w14:textId="77777777" w:rsidR="00BE7F89" w:rsidRPr="00AC3044" w:rsidRDefault="00BE7F89" w:rsidP="005A428D">
            <w:pPr>
              <w:rPr>
                <w:rFonts w:eastAsia="SimSun"/>
              </w:rPr>
            </w:pPr>
            <w:r w:rsidRPr="00AC3044">
              <w:rPr>
                <w:rFonts w:eastAsia="SimSun"/>
              </w:rPr>
              <w:t>-6,-5 дни</w:t>
            </w:r>
          </w:p>
        </w:tc>
        <w:tc>
          <w:tcPr>
            <w:tcW w:w="2268" w:type="dxa"/>
            <w:vAlign w:val="center"/>
          </w:tcPr>
          <w:p w14:paraId="66A20BC5"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24AFC9C4" w14:textId="77777777" w:rsidTr="005A428D">
        <w:trPr>
          <w:cantSplit/>
          <w:trHeight w:val="1498"/>
        </w:trPr>
        <w:tc>
          <w:tcPr>
            <w:tcW w:w="851" w:type="dxa"/>
            <w:textDirection w:val="btLr"/>
            <w:vAlign w:val="center"/>
          </w:tcPr>
          <w:p w14:paraId="35CB4A34"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52EA8BD3"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0B02FCD1"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0CA98544"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5E6A430A"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2D9ABF75" w14:textId="77777777" w:rsidR="00BE7F89" w:rsidRPr="00AC3044" w:rsidRDefault="00BE7F89" w:rsidP="005A428D">
            <w:pPr>
              <w:rPr>
                <w:rFonts w:eastAsia="SimSun"/>
              </w:rPr>
            </w:pPr>
            <w:r w:rsidRPr="00AC3044">
              <w:rPr>
                <w:rFonts w:eastAsia="SimSun"/>
              </w:rPr>
              <w:t>В/в, в течение 2 часов</w:t>
            </w:r>
          </w:p>
        </w:tc>
      </w:tr>
    </w:tbl>
    <w:p w14:paraId="06DC2B04" w14:textId="77777777" w:rsidR="00BE7F89" w:rsidRDefault="00BE7F89" w:rsidP="00BE7F89">
      <w:pPr>
        <w:rPr>
          <w:rFonts w:eastAsia="SimSun"/>
        </w:rPr>
      </w:pPr>
      <w:bookmarkStart w:id="195" w:name="_Toc44401209"/>
    </w:p>
    <w:p w14:paraId="476ADE84"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2.2.9 – Flu180+Bu8 / PT-Cy+Tx+MMF30</w:t>
      </w:r>
      <w:bookmarkEnd w:id="19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4D8E10B1" w14:textId="77777777" w:rsidTr="005A428D">
        <w:trPr>
          <w:cantSplit/>
          <w:trHeight w:val="20"/>
          <w:tblHeader/>
        </w:trPr>
        <w:tc>
          <w:tcPr>
            <w:tcW w:w="817" w:type="dxa"/>
            <w:vAlign w:val="center"/>
          </w:tcPr>
          <w:p w14:paraId="69E75248" w14:textId="77777777" w:rsidR="00BE7F89" w:rsidRPr="00470D3D" w:rsidRDefault="00BE7F89" w:rsidP="005A428D">
            <w:pPr>
              <w:rPr>
                <w:rFonts w:eastAsia="SimSun"/>
              </w:rPr>
            </w:pPr>
          </w:p>
        </w:tc>
        <w:tc>
          <w:tcPr>
            <w:tcW w:w="1701" w:type="dxa"/>
            <w:vAlign w:val="center"/>
          </w:tcPr>
          <w:p w14:paraId="6A4C764F"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1263B2F5"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15D516F5"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2ADE6017"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301916D7"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25666C62" w14:textId="77777777" w:rsidTr="005A428D">
        <w:trPr>
          <w:cantSplit/>
          <w:trHeight w:val="20"/>
        </w:trPr>
        <w:tc>
          <w:tcPr>
            <w:tcW w:w="817" w:type="dxa"/>
            <w:vMerge w:val="restart"/>
            <w:textDirection w:val="btLr"/>
            <w:vAlign w:val="center"/>
          </w:tcPr>
          <w:p w14:paraId="5E23474B"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0A72DECB"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73D9BD5A"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03421AF6"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1A110D30"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1B33984C"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33B07104" w14:textId="77777777" w:rsidTr="005A428D">
        <w:trPr>
          <w:cantSplit/>
          <w:trHeight w:val="889"/>
        </w:trPr>
        <w:tc>
          <w:tcPr>
            <w:tcW w:w="817" w:type="dxa"/>
            <w:vMerge/>
            <w:vAlign w:val="center"/>
          </w:tcPr>
          <w:p w14:paraId="6558BE18" w14:textId="77777777" w:rsidR="00BE7F89" w:rsidRPr="00AC3044" w:rsidRDefault="00BE7F89" w:rsidP="005A428D">
            <w:pPr>
              <w:rPr>
                <w:rFonts w:eastAsia="SimSun"/>
              </w:rPr>
            </w:pPr>
          </w:p>
        </w:tc>
        <w:tc>
          <w:tcPr>
            <w:tcW w:w="1701" w:type="dxa"/>
            <w:vAlign w:val="center"/>
          </w:tcPr>
          <w:p w14:paraId="18819E66"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3FA67650" w14:textId="77777777" w:rsidR="00BE7F89" w:rsidRPr="00AC3044" w:rsidRDefault="00BE7F89" w:rsidP="005A428D">
            <w:pPr>
              <w:rPr>
                <w:rFonts w:eastAsia="SimSun"/>
              </w:rPr>
            </w:pPr>
            <w:r w:rsidRPr="00AC3044">
              <w:rPr>
                <w:rFonts w:eastAsia="SimSun"/>
              </w:rPr>
              <w:t xml:space="preserve">4 мг/кг </w:t>
            </w:r>
          </w:p>
        </w:tc>
        <w:tc>
          <w:tcPr>
            <w:tcW w:w="1418" w:type="dxa"/>
            <w:vAlign w:val="center"/>
          </w:tcPr>
          <w:p w14:paraId="7015AAEF" w14:textId="77777777" w:rsidR="00BE7F89" w:rsidRPr="00AC3044" w:rsidRDefault="00BE7F89" w:rsidP="005A428D">
            <w:pPr>
              <w:rPr>
                <w:rFonts w:eastAsia="SimSun"/>
              </w:rPr>
            </w:pPr>
            <w:r w:rsidRPr="00AC3044">
              <w:rPr>
                <w:rFonts w:eastAsia="SimSun"/>
              </w:rPr>
              <w:t xml:space="preserve">8 мг/кг </w:t>
            </w:r>
          </w:p>
        </w:tc>
        <w:tc>
          <w:tcPr>
            <w:tcW w:w="1701" w:type="dxa"/>
            <w:vAlign w:val="center"/>
          </w:tcPr>
          <w:p w14:paraId="0A4B84CB" w14:textId="77777777" w:rsidR="00BE7F89" w:rsidRPr="00AC3044" w:rsidRDefault="00BE7F89" w:rsidP="005A428D">
            <w:pPr>
              <w:rPr>
                <w:rFonts w:eastAsia="SimSun"/>
              </w:rPr>
            </w:pPr>
            <w:r w:rsidRPr="00AC3044">
              <w:rPr>
                <w:rFonts w:eastAsia="SimSun"/>
              </w:rPr>
              <w:t>С -4 дня по -3 день</w:t>
            </w:r>
          </w:p>
        </w:tc>
        <w:tc>
          <w:tcPr>
            <w:tcW w:w="2268" w:type="dxa"/>
            <w:vAlign w:val="center"/>
          </w:tcPr>
          <w:p w14:paraId="0E321DDD"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351C4A83" w14:textId="77777777" w:rsidTr="005A428D">
        <w:trPr>
          <w:cantSplit/>
          <w:trHeight w:val="548"/>
        </w:trPr>
        <w:tc>
          <w:tcPr>
            <w:tcW w:w="817" w:type="dxa"/>
            <w:vMerge w:val="restart"/>
            <w:textDirection w:val="btLr"/>
            <w:vAlign w:val="center"/>
          </w:tcPr>
          <w:p w14:paraId="12EC761B"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147BA082"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65C965A1"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7A4CB97C"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6C74CEBE"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582C433C"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66EB952B" w14:textId="77777777" w:rsidTr="005A428D">
        <w:trPr>
          <w:cantSplit/>
          <w:trHeight w:val="958"/>
        </w:trPr>
        <w:tc>
          <w:tcPr>
            <w:tcW w:w="817" w:type="dxa"/>
            <w:vMerge/>
            <w:textDirection w:val="btLr"/>
            <w:vAlign w:val="center"/>
          </w:tcPr>
          <w:p w14:paraId="196344C8" w14:textId="77777777" w:rsidR="00BE7F89" w:rsidRPr="00AC3044" w:rsidRDefault="00BE7F89" w:rsidP="005A428D">
            <w:pPr>
              <w:rPr>
                <w:rFonts w:eastAsia="SimSun"/>
              </w:rPr>
            </w:pPr>
          </w:p>
        </w:tc>
        <w:tc>
          <w:tcPr>
            <w:tcW w:w="1701" w:type="dxa"/>
            <w:vAlign w:val="center"/>
          </w:tcPr>
          <w:p w14:paraId="1052612F"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43670837" w14:textId="77777777" w:rsidR="00BE7F89" w:rsidRPr="00AC3044" w:rsidRDefault="00BE7F89" w:rsidP="005A428D">
            <w:pPr>
              <w:rPr>
                <w:rFonts w:eastAsia="SimSun"/>
              </w:rPr>
            </w:pPr>
            <w:r w:rsidRPr="00AC3044">
              <w:rPr>
                <w:rFonts w:eastAsia="SimSun"/>
              </w:rPr>
              <w:t>0,03 мг/кг</w:t>
            </w:r>
          </w:p>
        </w:tc>
        <w:tc>
          <w:tcPr>
            <w:tcW w:w="1418" w:type="dxa"/>
            <w:vAlign w:val="center"/>
          </w:tcPr>
          <w:p w14:paraId="62B2EC09" w14:textId="77777777" w:rsidR="00BE7F89" w:rsidRPr="00AC3044" w:rsidRDefault="00BE7F89" w:rsidP="005A428D">
            <w:pPr>
              <w:rPr>
                <w:rFonts w:eastAsia="SimSun"/>
              </w:rPr>
            </w:pPr>
            <w:r w:rsidRPr="00AC3044">
              <w:rPr>
                <w:rFonts w:eastAsia="SimSun"/>
              </w:rPr>
              <w:t>–</w:t>
            </w:r>
          </w:p>
        </w:tc>
        <w:tc>
          <w:tcPr>
            <w:tcW w:w="1701" w:type="dxa"/>
            <w:vAlign w:val="center"/>
          </w:tcPr>
          <w:p w14:paraId="05160F1B" w14:textId="77777777" w:rsidR="00BE7F89" w:rsidRPr="00AC3044" w:rsidRDefault="00BE7F89" w:rsidP="005A428D">
            <w:pPr>
              <w:rPr>
                <w:rFonts w:eastAsia="SimSun"/>
              </w:rPr>
            </w:pPr>
            <w:r w:rsidRPr="00AC3044">
              <w:rPr>
                <w:rFonts w:eastAsia="SimSun"/>
              </w:rPr>
              <w:t xml:space="preserve">С +5 дня длительно </w:t>
            </w:r>
          </w:p>
        </w:tc>
        <w:tc>
          <w:tcPr>
            <w:tcW w:w="2268" w:type="dxa"/>
            <w:vAlign w:val="center"/>
          </w:tcPr>
          <w:p w14:paraId="3A4E3F9F"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109/л, при отсутствии тошноты, рвоты, диареи и возможности приема внутрь. Концентрация Tx 5-15 нг/мл.    </w:t>
            </w:r>
          </w:p>
        </w:tc>
      </w:tr>
      <w:tr w:rsidR="00BE7F89" w:rsidRPr="00AC3044" w14:paraId="63E07316" w14:textId="77777777" w:rsidTr="005A428D">
        <w:trPr>
          <w:cantSplit/>
          <w:trHeight w:val="214"/>
        </w:trPr>
        <w:tc>
          <w:tcPr>
            <w:tcW w:w="817" w:type="dxa"/>
            <w:vMerge/>
            <w:textDirection w:val="btLr"/>
            <w:vAlign w:val="center"/>
          </w:tcPr>
          <w:p w14:paraId="76C68DBA" w14:textId="77777777" w:rsidR="00BE7F89" w:rsidRPr="00AC3044" w:rsidRDefault="00BE7F89" w:rsidP="005A428D">
            <w:pPr>
              <w:rPr>
                <w:rFonts w:eastAsia="SimSun"/>
              </w:rPr>
            </w:pPr>
          </w:p>
        </w:tc>
        <w:tc>
          <w:tcPr>
            <w:tcW w:w="1701" w:type="dxa"/>
            <w:vAlign w:val="center"/>
          </w:tcPr>
          <w:p w14:paraId="3A38031E"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11DC7B21"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526C63AC" w14:textId="77777777" w:rsidR="00BE7F89" w:rsidRPr="00AC3044" w:rsidRDefault="00BE7F89" w:rsidP="005A428D">
            <w:pPr>
              <w:rPr>
                <w:rFonts w:eastAsia="SimSun"/>
              </w:rPr>
            </w:pPr>
            <w:r w:rsidRPr="00AC3044">
              <w:rPr>
                <w:rFonts w:eastAsia="SimSun"/>
              </w:rPr>
              <w:t>–</w:t>
            </w:r>
          </w:p>
        </w:tc>
        <w:tc>
          <w:tcPr>
            <w:tcW w:w="1701" w:type="dxa"/>
            <w:vAlign w:val="center"/>
          </w:tcPr>
          <w:p w14:paraId="2338B0A7" w14:textId="77777777" w:rsidR="00BE7F89" w:rsidRPr="00AC3044" w:rsidRDefault="00BE7F89" w:rsidP="005A428D">
            <w:pPr>
              <w:rPr>
                <w:rFonts w:eastAsia="SimSun"/>
              </w:rPr>
            </w:pPr>
            <w:r w:rsidRPr="00AC3044">
              <w:rPr>
                <w:rFonts w:eastAsia="SimSun"/>
              </w:rPr>
              <w:t xml:space="preserve">С +5 дня по +35 день </w:t>
            </w:r>
          </w:p>
        </w:tc>
        <w:tc>
          <w:tcPr>
            <w:tcW w:w="2268" w:type="dxa"/>
            <w:vAlign w:val="center"/>
          </w:tcPr>
          <w:p w14:paraId="50DDB11D"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34ABECC2" w14:textId="77777777" w:rsidR="00BE7F89" w:rsidRDefault="00BE7F89" w:rsidP="00BE7F89">
      <w:pPr>
        <w:rPr>
          <w:rFonts w:eastAsia="SimSun"/>
        </w:rPr>
      </w:pPr>
      <w:bookmarkStart w:id="196" w:name="_Toc44401210"/>
    </w:p>
    <w:p w14:paraId="42A6992E"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2.2.10  – Flu180+Bu8 / Tx+MMF30</w:t>
      </w:r>
      <w:bookmarkEnd w:id="19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26AE8896" w14:textId="77777777" w:rsidTr="005A428D">
        <w:trPr>
          <w:cantSplit/>
          <w:trHeight w:val="20"/>
          <w:tblHeader/>
        </w:trPr>
        <w:tc>
          <w:tcPr>
            <w:tcW w:w="817" w:type="dxa"/>
            <w:vAlign w:val="center"/>
          </w:tcPr>
          <w:p w14:paraId="0C4F573A" w14:textId="77777777" w:rsidR="00BE7F89" w:rsidRPr="00AC3044" w:rsidRDefault="00BE7F89" w:rsidP="005A428D">
            <w:pPr>
              <w:rPr>
                <w:rFonts w:eastAsia="SimSun"/>
              </w:rPr>
            </w:pPr>
          </w:p>
        </w:tc>
        <w:tc>
          <w:tcPr>
            <w:tcW w:w="1701" w:type="dxa"/>
            <w:vAlign w:val="center"/>
          </w:tcPr>
          <w:p w14:paraId="5AD1F38E"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43798439"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27D25F4B"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4C9E78E4"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7690A8F4"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414D4B1F" w14:textId="77777777" w:rsidTr="005A428D">
        <w:trPr>
          <w:cantSplit/>
          <w:trHeight w:val="20"/>
        </w:trPr>
        <w:tc>
          <w:tcPr>
            <w:tcW w:w="817" w:type="dxa"/>
            <w:vMerge w:val="restart"/>
            <w:textDirection w:val="btLr"/>
            <w:vAlign w:val="center"/>
          </w:tcPr>
          <w:p w14:paraId="10BAA45B"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634003EF"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29E3CF9A"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23A01061"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4EA10D03"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137D19A3"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15DA63F0" w14:textId="77777777" w:rsidTr="005A428D">
        <w:trPr>
          <w:cantSplit/>
          <w:trHeight w:val="1207"/>
        </w:trPr>
        <w:tc>
          <w:tcPr>
            <w:tcW w:w="817" w:type="dxa"/>
            <w:vMerge/>
            <w:vAlign w:val="center"/>
          </w:tcPr>
          <w:p w14:paraId="4D47B3FC" w14:textId="77777777" w:rsidR="00BE7F89" w:rsidRPr="00AC3044" w:rsidRDefault="00BE7F89" w:rsidP="005A428D">
            <w:pPr>
              <w:rPr>
                <w:rFonts w:eastAsia="SimSun"/>
              </w:rPr>
            </w:pPr>
          </w:p>
        </w:tc>
        <w:tc>
          <w:tcPr>
            <w:tcW w:w="1701" w:type="dxa"/>
            <w:vAlign w:val="center"/>
          </w:tcPr>
          <w:p w14:paraId="52D0AE93"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2AC62A0D" w14:textId="77777777" w:rsidR="00BE7F89" w:rsidRPr="00AC3044" w:rsidRDefault="00BE7F89" w:rsidP="005A428D">
            <w:pPr>
              <w:rPr>
                <w:rFonts w:eastAsia="SimSun"/>
              </w:rPr>
            </w:pPr>
            <w:r w:rsidRPr="00AC3044">
              <w:rPr>
                <w:rFonts w:eastAsia="SimSun"/>
              </w:rPr>
              <w:t xml:space="preserve">4 мг/кг </w:t>
            </w:r>
          </w:p>
        </w:tc>
        <w:tc>
          <w:tcPr>
            <w:tcW w:w="1418" w:type="dxa"/>
            <w:vAlign w:val="center"/>
          </w:tcPr>
          <w:p w14:paraId="0F47F6BD" w14:textId="77777777" w:rsidR="00BE7F89" w:rsidRPr="00AC3044" w:rsidRDefault="00BE7F89" w:rsidP="005A428D">
            <w:pPr>
              <w:rPr>
                <w:rFonts w:eastAsia="SimSun"/>
              </w:rPr>
            </w:pPr>
            <w:r w:rsidRPr="00AC3044">
              <w:rPr>
                <w:rFonts w:eastAsia="SimSun"/>
              </w:rPr>
              <w:t xml:space="preserve">8 мг/кг </w:t>
            </w:r>
          </w:p>
        </w:tc>
        <w:tc>
          <w:tcPr>
            <w:tcW w:w="1701" w:type="dxa"/>
            <w:vAlign w:val="center"/>
          </w:tcPr>
          <w:p w14:paraId="56D1651C" w14:textId="77777777" w:rsidR="00BE7F89" w:rsidRPr="00AC3044" w:rsidRDefault="00BE7F89" w:rsidP="005A428D">
            <w:pPr>
              <w:rPr>
                <w:rFonts w:eastAsia="SimSun"/>
              </w:rPr>
            </w:pPr>
            <w:r w:rsidRPr="00AC3044">
              <w:rPr>
                <w:rFonts w:eastAsia="SimSun"/>
              </w:rPr>
              <w:t>С -4 дня по -3 день</w:t>
            </w:r>
          </w:p>
        </w:tc>
        <w:tc>
          <w:tcPr>
            <w:tcW w:w="2268" w:type="dxa"/>
            <w:vAlign w:val="center"/>
          </w:tcPr>
          <w:p w14:paraId="3A20C2B5"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6E0D73E3" w14:textId="77777777" w:rsidTr="005A428D">
        <w:trPr>
          <w:cantSplit/>
          <w:trHeight w:val="1498"/>
        </w:trPr>
        <w:tc>
          <w:tcPr>
            <w:tcW w:w="817" w:type="dxa"/>
            <w:vMerge w:val="restart"/>
            <w:textDirection w:val="btLr"/>
            <w:vAlign w:val="center"/>
          </w:tcPr>
          <w:p w14:paraId="76389AEB"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749C1411"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22BAC331" w14:textId="77777777" w:rsidR="00BE7F89" w:rsidRPr="00AC3044" w:rsidRDefault="00BE7F89" w:rsidP="005A428D">
            <w:pPr>
              <w:rPr>
                <w:rFonts w:eastAsia="SimSun"/>
              </w:rPr>
            </w:pPr>
            <w:r w:rsidRPr="00AC3044">
              <w:rPr>
                <w:rFonts w:eastAsia="SimSun"/>
              </w:rPr>
              <w:t>0,03 мг/кг</w:t>
            </w:r>
          </w:p>
        </w:tc>
        <w:tc>
          <w:tcPr>
            <w:tcW w:w="1418" w:type="dxa"/>
            <w:vAlign w:val="center"/>
          </w:tcPr>
          <w:p w14:paraId="71DF01BE" w14:textId="77777777" w:rsidR="00BE7F89" w:rsidRPr="00AC3044" w:rsidRDefault="00BE7F89" w:rsidP="005A428D">
            <w:pPr>
              <w:rPr>
                <w:rFonts w:eastAsia="SimSun"/>
              </w:rPr>
            </w:pPr>
            <w:r w:rsidRPr="00AC3044">
              <w:rPr>
                <w:rFonts w:eastAsia="SimSun"/>
              </w:rPr>
              <w:t>–</w:t>
            </w:r>
          </w:p>
        </w:tc>
        <w:tc>
          <w:tcPr>
            <w:tcW w:w="1701" w:type="dxa"/>
            <w:vAlign w:val="center"/>
          </w:tcPr>
          <w:p w14:paraId="1352D927" w14:textId="77777777" w:rsidR="00BE7F89" w:rsidRPr="00AC3044" w:rsidRDefault="00BE7F89" w:rsidP="005A428D">
            <w:pPr>
              <w:rPr>
                <w:rFonts w:eastAsia="SimSun"/>
              </w:rPr>
            </w:pPr>
            <w:r w:rsidRPr="00AC3044">
              <w:rPr>
                <w:rFonts w:eastAsia="SimSun"/>
              </w:rPr>
              <w:t xml:space="preserve">С +5 дня длительно </w:t>
            </w:r>
          </w:p>
        </w:tc>
        <w:tc>
          <w:tcPr>
            <w:tcW w:w="2268" w:type="dxa"/>
            <w:vAlign w:val="center"/>
          </w:tcPr>
          <w:p w14:paraId="6C615BD9"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7C871458" w14:textId="77777777" w:rsidTr="005A428D">
        <w:trPr>
          <w:cantSplit/>
          <w:trHeight w:val="570"/>
        </w:trPr>
        <w:tc>
          <w:tcPr>
            <w:tcW w:w="817" w:type="dxa"/>
            <w:vMerge/>
            <w:textDirection w:val="btLr"/>
            <w:vAlign w:val="center"/>
          </w:tcPr>
          <w:p w14:paraId="1523C693" w14:textId="77777777" w:rsidR="00BE7F89" w:rsidRPr="00AC3044" w:rsidRDefault="00BE7F89" w:rsidP="005A428D">
            <w:pPr>
              <w:rPr>
                <w:rFonts w:eastAsia="SimSun"/>
              </w:rPr>
            </w:pPr>
          </w:p>
        </w:tc>
        <w:tc>
          <w:tcPr>
            <w:tcW w:w="1701" w:type="dxa"/>
            <w:vAlign w:val="center"/>
          </w:tcPr>
          <w:p w14:paraId="1885B9AA"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5D307471"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26EFEA0B" w14:textId="77777777" w:rsidR="00BE7F89" w:rsidRPr="00AC3044" w:rsidRDefault="00BE7F89" w:rsidP="005A428D">
            <w:pPr>
              <w:rPr>
                <w:rFonts w:eastAsia="SimSun"/>
              </w:rPr>
            </w:pPr>
            <w:r w:rsidRPr="00AC3044">
              <w:rPr>
                <w:rFonts w:eastAsia="SimSun"/>
              </w:rPr>
              <w:t>–</w:t>
            </w:r>
          </w:p>
        </w:tc>
        <w:tc>
          <w:tcPr>
            <w:tcW w:w="1701" w:type="dxa"/>
            <w:vAlign w:val="center"/>
          </w:tcPr>
          <w:p w14:paraId="5CF27D6A" w14:textId="77777777" w:rsidR="00BE7F89" w:rsidRPr="00AC3044" w:rsidRDefault="00BE7F89" w:rsidP="005A428D">
            <w:pPr>
              <w:rPr>
                <w:rFonts w:eastAsia="SimSun"/>
              </w:rPr>
            </w:pPr>
            <w:r w:rsidRPr="00AC3044">
              <w:rPr>
                <w:rFonts w:eastAsia="SimSun"/>
              </w:rPr>
              <w:t xml:space="preserve">С +5 дня по +35 день </w:t>
            </w:r>
          </w:p>
        </w:tc>
        <w:tc>
          <w:tcPr>
            <w:tcW w:w="2268" w:type="dxa"/>
            <w:vAlign w:val="center"/>
          </w:tcPr>
          <w:p w14:paraId="5DC2280B"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652478D1" w14:textId="77777777" w:rsidR="00BE7F89" w:rsidRPr="00C07B2E" w:rsidRDefault="00BE7F89" w:rsidP="00BE7F89">
      <w:pPr>
        <w:rPr>
          <w:rFonts w:eastAsia="SimSun"/>
        </w:rPr>
      </w:pPr>
    </w:p>
    <w:p w14:paraId="433BC5B7" w14:textId="77777777" w:rsidR="00BE7F89" w:rsidRPr="00C07B2E" w:rsidRDefault="00BE7F89" w:rsidP="00BE7F89">
      <w:pPr>
        <w:rPr>
          <w:rFonts w:eastAsia="SimSun"/>
        </w:rPr>
      </w:pPr>
      <w:bookmarkStart w:id="197" w:name="_Toc44401211"/>
      <w:r w:rsidRPr="00042499">
        <w:rPr>
          <w:rFonts w:eastAsia="SimSun"/>
        </w:rPr>
        <w:t>Таблица</w:t>
      </w:r>
      <w:r w:rsidRPr="00C07B2E">
        <w:rPr>
          <w:rFonts w:eastAsia="SimSun"/>
        </w:rPr>
        <w:t xml:space="preserve"> </w:t>
      </w:r>
      <w:r>
        <w:rPr>
          <w:rFonts w:eastAsia="SimSun"/>
        </w:rPr>
        <w:t>5.</w:t>
      </w:r>
      <w:r w:rsidRPr="00C07B2E">
        <w:rPr>
          <w:rFonts w:eastAsia="SimSun"/>
        </w:rPr>
        <w:t>2.2.11 – Flu180+Bu8 / PT-Cy+CSA+MMF30</w:t>
      </w:r>
      <w:bookmarkEnd w:id="19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34D8487C" w14:textId="77777777" w:rsidTr="005A428D">
        <w:trPr>
          <w:cantSplit/>
          <w:trHeight w:val="20"/>
          <w:tblHeader/>
        </w:trPr>
        <w:tc>
          <w:tcPr>
            <w:tcW w:w="817" w:type="dxa"/>
            <w:vAlign w:val="center"/>
          </w:tcPr>
          <w:p w14:paraId="671CC483" w14:textId="77777777" w:rsidR="00BE7F89" w:rsidRPr="00470D3D" w:rsidRDefault="00BE7F89" w:rsidP="005A428D">
            <w:pPr>
              <w:rPr>
                <w:rFonts w:eastAsia="SimSun"/>
              </w:rPr>
            </w:pPr>
          </w:p>
        </w:tc>
        <w:tc>
          <w:tcPr>
            <w:tcW w:w="1701" w:type="dxa"/>
            <w:vAlign w:val="center"/>
          </w:tcPr>
          <w:p w14:paraId="55ABB6EC"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379553B3"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76B8DD4E"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2D0EED07"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30A7EA67"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755B1FFD" w14:textId="77777777" w:rsidTr="005A428D">
        <w:trPr>
          <w:cantSplit/>
          <w:trHeight w:val="20"/>
        </w:trPr>
        <w:tc>
          <w:tcPr>
            <w:tcW w:w="817" w:type="dxa"/>
            <w:vMerge w:val="restart"/>
            <w:textDirection w:val="btLr"/>
            <w:vAlign w:val="center"/>
          </w:tcPr>
          <w:p w14:paraId="6861996E"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03480FBE"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7E90AC62"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0F322CEF"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12F284A6"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7CD79424"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300B08E9" w14:textId="77777777" w:rsidTr="005A428D">
        <w:trPr>
          <w:cantSplit/>
          <w:trHeight w:val="1207"/>
        </w:trPr>
        <w:tc>
          <w:tcPr>
            <w:tcW w:w="817" w:type="dxa"/>
            <w:vMerge/>
            <w:vAlign w:val="center"/>
          </w:tcPr>
          <w:p w14:paraId="43E710F1" w14:textId="77777777" w:rsidR="00BE7F89" w:rsidRPr="00AC3044" w:rsidRDefault="00BE7F89" w:rsidP="005A428D">
            <w:pPr>
              <w:rPr>
                <w:rFonts w:eastAsia="SimSun"/>
              </w:rPr>
            </w:pPr>
          </w:p>
        </w:tc>
        <w:tc>
          <w:tcPr>
            <w:tcW w:w="1701" w:type="dxa"/>
            <w:vAlign w:val="center"/>
          </w:tcPr>
          <w:p w14:paraId="1281B3E9"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14DFBAA1" w14:textId="77777777" w:rsidR="00BE7F89" w:rsidRPr="00AC3044" w:rsidRDefault="00BE7F89" w:rsidP="005A428D">
            <w:pPr>
              <w:rPr>
                <w:rFonts w:eastAsia="SimSun"/>
              </w:rPr>
            </w:pPr>
            <w:r w:rsidRPr="00AC3044">
              <w:rPr>
                <w:rFonts w:eastAsia="SimSun"/>
              </w:rPr>
              <w:t xml:space="preserve">4 мг/кг </w:t>
            </w:r>
          </w:p>
        </w:tc>
        <w:tc>
          <w:tcPr>
            <w:tcW w:w="1418" w:type="dxa"/>
            <w:vAlign w:val="center"/>
          </w:tcPr>
          <w:p w14:paraId="660762D1" w14:textId="77777777" w:rsidR="00BE7F89" w:rsidRPr="00AC3044" w:rsidRDefault="00BE7F89" w:rsidP="005A428D">
            <w:pPr>
              <w:rPr>
                <w:rFonts w:eastAsia="SimSun"/>
              </w:rPr>
            </w:pPr>
            <w:r w:rsidRPr="00AC3044">
              <w:rPr>
                <w:rFonts w:eastAsia="SimSun"/>
              </w:rPr>
              <w:t xml:space="preserve">8 мг/кг </w:t>
            </w:r>
          </w:p>
        </w:tc>
        <w:tc>
          <w:tcPr>
            <w:tcW w:w="1701" w:type="dxa"/>
            <w:vAlign w:val="center"/>
          </w:tcPr>
          <w:p w14:paraId="4466CBD6" w14:textId="77777777" w:rsidR="00BE7F89" w:rsidRPr="00AC3044" w:rsidRDefault="00BE7F89" w:rsidP="005A428D">
            <w:pPr>
              <w:rPr>
                <w:rFonts w:eastAsia="SimSun"/>
              </w:rPr>
            </w:pPr>
            <w:r w:rsidRPr="00AC3044">
              <w:rPr>
                <w:rFonts w:eastAsia="SimSun"/>
              </w:rPr>
              <w:t>С -4 дня по -3 день</w:t>
            </w:r>
          </w:p>
        </w:tc>
        <w:tc>
          <w:tcPr>
            <w:tcW w:w="2268" w:type="dxa"/>
            <w:vAlign w:val="center"/>
          </w:tcPr>
          <w:p w14:paraId="36A69767"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68B0F7E3" w14:textId="77777777" w:rsidTr="005A428D">
        <w:trPr>
          <w:cantSplit/>
          <w:trHeight w:val="520"/>
        </w:trPr>
        <w:tc>
          <w:tcPr>
            <w:tcW w:w="817" w:type="dxa"/>
            <w:vMerge w:val="restart"/>
            <w:textDirection w:val="btLr"/>
            <w:vAlign w:val="center"/>
          </w:tcPr>
          <w:p w14:paraId="326198DA"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6531C49A"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415026E1"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3AF064E6"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335B9942" w14:textId="77777777" w:rsidR="00BE7F89" w:rsidRPr="00AC3044" w:rsidRDefault="00BE7F89" w:rsidP="005A428D">
            <w:pPr>
              <w:rPr>
                <w:rFonts w:eastAsia="SimSun"/>
              </w:rPr>
            </w:pPr>
            <w:r w:rsidRPr="00AC3044">
              <w:rPr>
                <w:rFonts w:eastAsia="SimSun"/>
              </w:rPr>
              <w:t>В +3 день  и +5 день</w:t>
            </w:r>
          </w:p>
        </w:tc>
        <w:tc>
          <w:tcPr>
            <w:tcW w:w="2268" w:type="dxa"/>
            <w:vAlign w:val="center"/>
          </w:tcPr>
          <w:p w14:paraId="5C133A50"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0D5813DF" w14:textId="77777777" w:rsidTr="005A428D">
        <w:trPr>
          <w:cantSplit/>
          <w:trHeight w:val="486"/>
        </w:trPr>
        <w:tc>
          <w:tcPr>
            <w:tcW w:w="817" w:type="dxa"/>
            <w:vMerge/>
            <w:textDirection w:val="btLr"/>
            <w:vAlign w:val="center"/>
          </w:tcPr>
          <w:p w14:paraId="68229DB9" w14:textId="77777777" w:rsidR="00BE7F89" w:rsidRPr="00AC3044" w:rsidRDefault="00BE7F89" w:rsidP="005A428D">
            <w:pPr>
              <w:rPr>
                <w:rFonts w:eastAsia="SimSun"/>
              </w:rPr>
            </w:pPr>
          </w:p>
        </w:tc>
        <w:tc>
          <w:tcPr>
            <w:tcW w:w="1701" w:type="dxa"/>
            <w:vAlign w:val="center"/>
          </w:tcPr>
          <w:p w14:paraId="1309AF61"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7599E8AA"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2C7FA617" w14:textId="77777777" w:rsidR="00BE7F89" w:rsidRPr="00AC3044" w:rsidRDefault="00BE7F89" w:rsidP="005A428D">
            <w:pPr>
              <w:rPr>
                <w:rFonts w:eastAsia="SimSun"/>
              </w:rPr>
            </w:pPr>
            <w:r w:rsidRPr="00AC3044">
              <w:rPr>
                <w:rFonts w:eastAsia="SimSun"/>
              </w:rPr>
              <w:t>–</w:t>
            </w:r>
          </w:p>
        </w:tc>
        <w:tc>
          <w:tcPr>
            <w:tcW w:w="1701" w:type="dxa"/>
            <w:vAlign w:val="center"/>
          </w:tcPr>
          <w:p w14:paraId="38137C39" w14:textId="77777777" w:rsidR="00BE7F89" w:rsidRPr="00AC3044" w:rsidRDefault="00BE7F89" w:rsidP="005A428D">
            <w:pPr>
              <w:rPr>
                <w:rFonts w:eastAsia="SimSun"/>
              </w:rPr>
            </w:pPr>
            <w:r w:rsidRPr="00AC3044">
              <w:rPr>
                <w:rFonts w:eastAsia="SimSun"/>
              </w:rPr>
              <w:t xml:space="preserve">С +1 дня по +28 день </w:t>
            </w:r>
          </w:p>
        </w:tc>
        <w:tc>
          <w:tcPr>
            <w:tcW w:w="2268" w:type="dxa"/>
            <w:vAlign w:val="center"/>
          </w:tcPr>
          <w:p w14:paraId="5E917591"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r w:rsidR="00BE7F89" w:rsidRPr="00AC3044" w14:paraId="1A0D7155" w14:textId="77777777" w:rsidTr="005A428D">
        <w:trPr>
          <w:cantSplit/>
          <w:trHeight w:val="958"/>
        </w:trPr>
        <w:tc>
          <w:tcPr>
            <w:tcW w:w="817" w:type="dxa"/>
            <w:vMerge/>
            <w:textDirection w:val="btLr"/>
            <w:vAlign w:val="center"/>
          </w:tcPr>
          <w:p w14:paraId="06FEFD79" w14:textId="77777777" w:rsidR="00BE7F89" w:rsidRPr="00AC3044" w:rsidRDefault="00BE7F89" w:rsidP="005A428D">
            <w:pPr>
              <w:rPr>
                <w:rFonts w:eastAsia="SimSun"/>
              </w:rPr>
            </w:pPr>
          </w:p>
        </w:tc>
        <w:tc>
          <w:tcPr>
            <w:tcW w:w="1701" w:type="dxa"/>
            <w:vAlign w:val="center"/>
          </w:tcPr>
          <w:p w14:paraId="7F4ECBEB" w14:textId="77777777" w:rsidR="00BE7F89" w:rsidRPr="00AC3044" w:rsidRDefault="00BE7F89" w:rsidP="005A428D">
            <w:pPr>
              <w:rPr>
                <w:rFonts w:eastAsia="SimSun"/>
              </w:rPr>
            </w:pPr>
            <w:r w:rsidRPr="00AC3044">
              <w:rPr>
                <w:rFonts w:eastAsia="SimSun"/>
              </w:rPr>
              <w:t>Циклоспорин А</w:t>
            </w:r>
          </w:p>
        </w:tc>
        <w:tc>
          <w:tcPr>
            <w:tcW w:w="1559" w:type="dxa"/>
            <w:vAlign w:val="center"/>
          </w:tcPr>
          <w:p w14:paraId="0CF1E2B9" w14:textId="77777777" w:rsidR="00BE7F89" w:rsidRPr="00AC3044" w:rsidRDefault="00BE7F89" w:rsidP="005A428D">
            <w:pPr>
              <w:rPr>
                <w:rFonts w:eastAsia="SimSun"/>
              </w:rPr>
            </w:pPr>
            <w:r w:rsidRPr="00AC3044">
              <w:rPr>
                <w:rFonts w:eastAsia="SimSun"/>
              </w:rPr>
              <w:t>3  мг/кг</w:t>
            </w:r>
          </w:p>
        </w:tc>
        <w:tc>
          <w:tcPr>
            <w:tcW w:w="1418" w:type="dxa"/>
            <w:vAlign w:val="center"/>
          </w:tcPr>
          <w:p w14:paraId="3693797F" w14:textId="77777777" w:rsidR="00BE7F89" w:rsidRPr="00AC3044" w:rsidRDefault="00BE7F89" w:rsidP="005A428D">
            <w:pPr>
              <w:rPr>
                <w:rFonts w:eastAsia="SimSun"/>
              </w:rPr>
            </w:pPr>
            <w:r w:rsidRPr="00AC3044">
              <w:rPr>
                <w:rFonts w:eastAsia="SimSun"/>
              </w:rPr>
              <w:t>-</w:t>
            </w:r>
          </w:p>
        </w:tc>
        <w:tc>
          <w:tcPr>
            <w:tcW w:w="1701" w:type="dxa"/>
            <w:vAlign w:val="center"/>
          </w:tcPr>
          <w:p w14:paraId="52A8D002" w14:textId="77777777" w:rsidR="00BE7F89" w:rsidRPr="00AC3044" w:rsidRDefault="00BE7F89" w:rsidP="005A428D">
            <w:pPr>
              <w:rPr>
                <w:rFonts w:eastAsia="SimSun"/>
              </w:rPr>
            </w:pPr>
            <w:r w:rsidRPr="00AC3044">
              <w:rPr>
                <w:rFonts w:eastAsia="SimSun"/>
              </w:rPr>
              <w:t xml:space="preserve">С -1 дня по +100 день </w:t>
            </w:r>
          </w:p>
        </w:tc>
        <w:tc>
          <w:tcPr>
            <w:tcW w:w="2268" w:type="dxa"/>
            <w:vAlign w:val="center"/>
          </w:tcPr>
          <w:p w14:paraId="3140B285"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10C19BA1" w14:textId="77777777" w:rsidR="00BE7F89" w:rsidRPr="00C07B2E" w:rsidRDefault="00BE7F89" w:rsidP="00BE7F89">
      <w:pPr>
        <w:rPr>
          <w:rFonts w:eastAsia="SimSun"/>
        </w:rPr>
      </w:pPr>
    </w:p>
    <w:p w14:paraId="6E7C297B" w14:textId="77777777" w:rsidR="00BE7F89" w:rsidRPr="00C07B2E" w:rsidRDefault="00BE7F89" w:rsidP="00BE7F89">
      <w:pPr>
        <w:rPr>
          <w:rFonts w:eastAsia="SimSun"/>
        </w:rPr>
      </w:pPr>
      <w:bookmarkStart w:id="198" w:name="_Toc44401212"/>
      <w:r w:rsidRPr="00042499">
        <w:rPr>
          <w:rFonts w:eastAsia="SimSun"/>
        </w:rPr>
        <w:t>Таблица</w:t>
      </w:r>
      <w:r w:rsidRPr="00C07B2E">
        <w:rPr>
          <w:rFonts w:eastAsia="SimSun"/>
        </w:rPr>
        <w:t xml:space="preserve"> </w:t>
      </w:r>
      <w:r>
        <w:rPr>
          <w:rFonts w:eastAsia="SimSun"/>
        </w:rPr>
        <w:t>5.</w:t>
      </w:r>
      <w:r w:rsidRPr="00C07B2E">
        <w:rPr>
          <w:rFonts w:eastAsia="SimSun"/>
        </w:rPr>
        <w:t>2.2.12  – Flu180+Bu10 / PT-Cy</w:t>
      </w:r>
      <w:bookmarkEnd w:id="19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7C6C95A4" w14:textId="77777777" w:rsidTr="005A428D">
        <w:trPr>
          <w:cantSplit/>
          <w:trHeight w:val="20"/>
          <w:tblHeader/>
        </w:trPr>
        <w:tc>
          <w:tcPr>
            <w:tcW w:w="817" w:type="dxa"/>
            <w:vAlign w:val="center"/>
          </w:tcPr>
          <w:p w14:paraId="2C504427" w14:textId="77777777" w:rsidR="00BE7F89" w:rsidRPr="00AC3044" w:rsidRDefault="00BE7F89" w:rsidP="005A428D">
            <w:pPr>
              <w:rPr>
                <w:rFonts w:eastAsia="SimSun"/>
              </w:rPr>
            </w:pPr>
          </w:p>
        </w:tc>
        <w:tc>
          <w:tcPr>
            <w:tcW w:w="1701" w:type="dxa"/>
            <w:vAlign w:val="center"/>
          </w:tcPr>
          <w:p w14:paraId="1E53585F"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7E7203EF"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770DD657"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68E4C4CF"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2B5F271F"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1A7D9CF" w14:textId="77777777" w:rsidTr="005A428D">
        <w:trPr>
          <w:cantSplit/>
          <w:trHeight w:val="20"/>
        </w:trPr>
        <w:tc>
          <w:tcPr>
            <w:tcW w:w="817" w:type="dxa"/>
            <w:vMerge w:val="restart"/>
            <w:textDirection w:val="btLr"/>
            <w:vAlign w:val="center"/>
          </w:tcPr>
          <w:p w14:paraId="6CB5BC6C"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130A6137"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104036B4"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0A7F41F4"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4F11E7B6"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7CF30230"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66F01A50" w14:textId="77777777" w:rsidTr="005A428D">
        <w:trPr>
          <w:cantSplit/>
          <w:trHeight w:val="1207"/>
        </w:trPr>
        <w:tc>
          <w:tcPr>
            <w:tcW w:w="817" w:type="dxa"/>
            <w:vMerge/>
            <w:vAlign w:val="center"/>
          </w:tcPr>
          <w:p w14:paraId="6F5BA31A" w14:textId="77777777" w:rsidR="00BE7F89" w:rsidRPr="00AC3044" w:rsidRDefault="00BE7F89" w:rsidP="005A428D">
            <w:pPr>
              <w:rPr>
                <w:rFonts w:eastAsia="SimSun"/>
              </w:rPr>
            </w:pPr>
          </w:p>
        </w:tc>
        <w:tc>
          <w:tcPr>
            <w:tcW w:w="1701" w:type="dxa"/>
            <w:vAlign w:val="center"/>
          </w:tcPr>
          <w:p w14:paraId="298D1289"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240CCF70" w14:textId="77777777" w:rsidR="00BE7F89" w:rsidRPr="00AC3044" w:rsidRDefault="00BE7F89" w:rsidP="005A428D">
            <w:pPr>
              <w:rPr>
                <w:rFonts w:eastAsia="SimSun"/>
              </w:rPr>
            </w:pPr>
            <w:r w:rsidRPr="00AC3044">
              <w:rPr>
                <w:rFonts w:eastAsia="SimSun"/>
              </w:rPr>
              <w:t xml:space="preserve">4 мг/кг </w:t>
            </w:r>
          </w:p>
        </w:tc>
        <w:tc>
          <w:tcPr>
            <w:tcW w:w="1418" w:type="dxa"/>
            <w:vAlign w:val="center"/>
          </w:tcPr>
          <w:p w14:paraId="1A7EC1F9" w14:textId="77777777" w:rsidR="00BE7F89" w:rsidRPr="00AC3044" w:rsidRDefault="00BE7F89" w:rsidP="005A428D">
            <w:pPr>
              <w:rPr>
                <w:rFonts w:eastAsia="SimSun"/>
              </w:rPr>
            </w:pPr>
            <w:r w:rsidRPr="00AC3044">
              <w:rPr>
                <w:rFonts w:eastAsia="SimSun"/>
              </w:rPr>
              <w:t xml:space="preserve">10 мг/кг </w:t>
            </w:r>
          </w:p>
        </w:tc>
        <w:tc>
          <w:tcPr>
            <w:tcW w:w="1701" w:type="dxa"/>
            <w:vAlign w:val="center"/>
          </w:tcPr>
          <w:p w14:paraId="0BE42F79" w14:textId="77777777" w:rsidR="00BE7F89" w:rsidRPr="00AC3044" w:rsidRDefault="00BE7F89" w:rsidP="005A428D">
            <w:pPr>
              <w:rPr>
                <w:rFonts w:eastAsia="SimSun"/>
              </w:rPr>
            </w:pPr>
            <w:r w:rsidRPr="00AC3044">
              <w:rPr>
                <w:rFonts w:eastAsia="SimSun"/>
              </w:rPr>
              <w:t>С -5 дня по -3 день</w:t>
            </w:r>
          </w:p>
        </w:tc>
        <w:tc>
          <w:tcPr>
            <w:tcW w:w="2268" w:type="dxa"/>
            <w:vAlign w:val="center"/>
          </w:tcPr>
          <w:p w14:paraId="4BFDE968"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7126459A" w14:textId="77777777" w:rsidTr="005A428D">
        <w:trPr>
          <w:cantSplit/>
          <w:trHeight w:val="1498"/>
        </w:trPr>
        <w:tc>
          <w:tcPr>
            <w:tcW w:w="817" w:type="dxa"/>
            <w:textDirection w:val="btLr"/>
            <w:vAlign w:val="center"/>
          </w:tcPr>
          <w:p w14:paraId="242E5F9B"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22169068"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56AEAA1D"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05C10D8E"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5A31AD18"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3ECA4783" w14:textId="77777777" w:rsidR="00BE7F89" w:rsidRPr="00AC3044" w:rsidRDefault="00BE7F89" w:rsidP="005A428D">
            <w:pPr>
              <w:rPr>
                <w:rFonts w:eastAsia="SimSun"/>
              </w:rPr>
            </w:pPr>
            <w:r w:rsidRPr="00AC3044">
              <w:rPr>
                <w:rFonts w:eastAsia="SimSun"/>
              </w:rPr>
              <w:t>В/в, в течение 2 часов</w:t>
            </w:r>
          </w:p>
        </w:tc>
      </w:tr>
    </w:tbl>
    <w:p w14:paraId="64491D0E" w14:textId="77777777" w:rsidR="00BE7F89" w:rsidRDefault="00BE7F89" w:rsidP="00BE7F89">
      <w:pPr>
        <w:rPr>
          <w:rFonts w:eastAsia="SimSun"/>
        </w:rPr>
      </w:pPr>
      <w:bookmarkStart w:id="199" w:name="_Toc44401213"/>
    </w:p>
    <w:p w14:paraId="63EC8284"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2.2.13  – Flu180+Bu10 / PT-Cy+Tx+MMF30</w:t>
      </w:r>
      <w:bookmarkEnd w:id="19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2DBE55F9" w14:textId="77777777" w:rsidTr="005A428D">
        <w:trPr>
          <w:cantSplit/>
          <w:trHeight w:val="20"/>
          <w:tblHeader/>
        </w:trPr>
        <w:tc>
          <w:tcPr>
            <w:tcW w:w="817" w:type="dxa"/>
            <w:vAlign w:val="center"/>
          </w:tcPr>
          <w:p w14:paraId="0357F965" w14:textId="77777777" w:rsidR="00BE7F89" w:rsidRPr="00470D3D" w:rsidRDefault="00BE7F89" w:rsidP="005A428D">
            <w:pPr>
              <w:rPr>
                <w:rFonts w:eastAsia="SimSun"/>
              </w:rPr>
            </w:pPr>
          </w:p>
        </w:tc>
        <w:tc>
          <w:tcPr>
            <w:tcW w:w="1701" w:type="dxa"/>
            <w:vAlign w:val="center"/>
          </w:tcPr>
          <w:p w14:paraId="61073955"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6D2F6112"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4DABDEA8"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5589BB41"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1FE19FDB"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84B5836" w14:textId="77777777" w:rsidTr="005A428D">
        <w:trPr>
          <w:cantSplit/>
          <w:trHeight w:val="20"/>
        </w:trPr>
        <w:tc>
          <w:tcPr>
            <w:tcW w:w="817" w:type="dxa"/>
            <w:vMerge w:val="restart"/>
            <w:textDirection w:val="btLr"/>
            <w:vAlign w:val="center"/>
          </w:tcPr>
          <w:p w14:paraId="79F4FAE2"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4649B09B"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1408F192"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3628178D"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3B1C47D3"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46FC4E0E"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0F9C182A" w14:textId="77777777" w:rsidTr="005A428D">
        <w:trPr>
          <w:cantSplit/>
          <w:trHeight w:val="1207"/>
        </w:trPr>
        <w:tc>
          <w:tcPr>
            <w:tcW w:w="817" w:type="dxa"/>
            <w:vMerge/>
            <w:vAlign w:val="center"/>
          </w:tcPr>
          <w:p w14:paraId="5D83E363" w14:textId="77777777" w:rsidR="00BE7F89" w:rsidRPr="00AC3044" w:rsidRDefault="00BE7F89" w:rsidP="005A428D">
            <w:pPr>
              <w:rPr>
                <w:rFonts w:eastAsia="SimSun"/>
              </w:rPr>
            </w:pPr>
          </w:p>
        </w:tc>
        <w:tc>
          <w:tcPr>
            <w:tcW w:w="1701" w:type="dxa"/>
            <w:vAlign w:val="center"/>
          </w:tcPr>
          <w:p w14:paraId="27B729A7"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38C5B998" w14:textId="77777777" w:rsidR="00BE7F89" w:rsidRPr="00AC3044" w:rsidRDefault="00BE7F89" w:rsidP="005A428D">
            <w:pPr>
              <w:rPr>
                <w:rFonts w:eastAsia="SimSun"/>
              </w:rPr>
            </w:pPr>
            <w:r w:rsidRPr="00AC3044">
              <w:rPr>
                <w:rFonts w:eastAsia="SimSun"/>
              </w:rPr>
              <w:t xml:space="preserve">4 мг/кг </w:t>
            </w:r>
          </w:p>
        </w:tc>
        <w:tc>
          <w:tcPr>
            <w:tcW w:w="1418" w:type="dxa"/>
            <w:vAlign w:val="center"/>
          </w:tcPr>
          <w:p w14:paraId="146DD277" w14:textId="77777777" w:rsidR="00BE7F89" w:rsidRPr="00AC3044" w:rsidRDefault="00BE7F89" w:rsidP="005A428D">
            <w:pPr>
              <w:rPr>
                <w:rFonts w:eastAsia="SimSun"/>
              </w:rPr>
            </w:pPr>
            <w:r w:rsidRPr="00AC3044">
              <w:rPr>
                <w:rFonts w:eastAsia="SimSun"/>
              </w:rPr>
              <w:t xml:space="preserve">10 мг/кг </w:t>
            </w:r>
          </w:p>
        </w:tc>
        <w:tc>
          <w:tcPr>
            <w:tcW w:w="1701" w:type="dxa"/>
            <w:vAlign w:val="center"/>
          </w:tcPr>
          <w:p w14:paraId="542FD554" w14:textId="77777777" w:rsidR="00BE7F89" w:rsidRPr="00AC3044" w:rsidRDefault="00BE7F89" w:rsidP="005A428D">
            <w:pPr>
              <w:rPr>
                <w:rFonts w:eastAsia="SimSun"/>
              </w:rPr>
            </w:pPr>
            <w:r w:rsidRPr="00AC3044">
              <w:rPr>
                <w:rFonts w:eastAsia="SimSun"/>
              </w:rPr>
              <w:t>С -5 дня по -3 день</w:t>
            </w:r>
          </w:p>
        </w:tc>
        <w:tc>
          <w:tcPr>
            <w:tcW w:w="2268" w:type="dxa"/>
            <w:vAlign w:val="center"/>
          </w:tcPr>
          <w:p w14:paraId="4A17D6E6"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61F6265D" w14:textId="77777777" w:rsidTr="005A428D">
        <w:trPr>
          <w:cantSplit/>
          <w:trHeight w:val="368"/>
        </w:trPr>
        <w:tc>
          <w:tcPr>
            <w:tcW w:w="817" w:type="dxa"/>
            <w:vMerge w:val="restart"/>
            <w:textDirection w:val="btLr"/>
            <w:vAlign w:val="center"/>
          </w:tcPr>
          <w:p w14:paraId="7257B83B"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2A439962"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7E601871"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4796B112"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7B13C97D"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4125CB54"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6CE61619" w14:textId="77777777" w:rsidTr="005A428D">
        <w:trPr>
          <w:cantSplit/>
          <w:trHeight w:val="958"/>
        </w:trPr>
        <w:tc>
          <w:tcPr>
            <w:tcW w:w="817" w:type="dxa"/>
            <w:vMerge/>
            <w:textDirection w:val="btLr"/>
            <w:vAlign w:val="center"/>
          </w:tcPr>
          <w:p w14:paraId="3B2A9740" w14:textId="77777777" w:rsidR="00BE7F89" w:rsidRPr="00AC3044" w:rsidRDefault="00BE7F89" w:rsidP="005A428D">
            <w:pPr>
              <w:rPr>
                <w:rFonts w:eastAsia="SimSun"/>
              </w:rPr>
            </w:pPr>
          </w:p>
        </w:tc>
        <w:tc>
          <w:tcPr>
            <w:tcW w:w="1701" w:type="dxa"/>
            <w:vAlign w:val="center"/>
          </w:tcPr>
          <w:p w14:paraId="6BF94771"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5536A80B" w14:textId="77777777" w:rsidR="00BE7F89" w:rsidRPr="00AC3044" w:rsidRDefault="00BE7F89" w:rsidP="005A428D">
            <w:pPr>
              <w:rPr>
                <w:rFonts w:eastAsia="SimSun"/>
              </w:rPr>
            </w:pPr>
            <w:r w:rsidRPr="00AC3044">
              <w:rPr>
                <w:rFonts w:eastAsia="SimSun"/>
              </w:rPr>
              <w:t>0,03 мг/кг</w:t>
            </w:r>
          </w:p>
        </w:tc>
        <w:tc>
          <w:tcPr>
            <w:tcW w:w="1418" w:type="dxa"/>
            <w:vAlign w:val="center"/>
          </w:tcPr>
          <w:p w14:paraId="2CD9A0B6" w14:textId="77777777" w:rsidR="00BE7F89" w:rsidRPr="00AC3044" w:rsidRDefault="00BE7F89" w:rsidP="005A428D">
            <w:pPr>
              <w:rPr>
                <w:rFonts w:eastAsia="SimSun"/>
              </w:rPr>
            </w:pPr>
            <w:r w:rsidRPr="00AC3044">
              <w:rPr>
                <w:rFonts w:eastAsia="SimSun"/>
              </w:rPr>
              <w:t>–</w:t>
            </w:r>
          </w:p>
        </w:tc>
        <w:tc>
          <w:tcPr>
            <w:tcW w:w="1701" w:type="dxa"/>
            <w:vAlign w:val="center"/>
          </w:tcPr>
          <w:p w14:paraId="33F7437B" w14:textId="77777777" w:rsidR="00BE7F89" w:rsidRPr="00AC3044" w:rsidRDefault="00BE7F89" w:rsidP="005A428D">
            <w:pPr>
              <w:rPr>
                <w:rFonts w:eastAsia="SimSun"/>
              </w:rPr>
            </w:pPr>
            <w:r w:rsidRPr="00AC3044">
              <w:rPr>
                <w:rFonts w:eastAsia="SimSun"/>
              </w:rPr>
              <w:t xml:space="preserve">С +5 дня длительно </w:t>
            </w:r>
          </w:p>
        </w:tc>
        <w:tc>
          <w:tcPr>
            <w:tcW w:w="2268" w:type="dxa"/>
            <w:vAlign w:val="center"/>
          </w:tcPr>
          <w:p w14:paraId="2FE48599"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7DD9D4A0" w14:textId="77777777" w:rsidTr="005A428D">
        <w:trPr>
          <w:cantSplit/>
          <w:trHeight w:val="446"/>
        </w:trPr>
        <w:tc>
          <w:tcPr>
            <w:tcW w:w="817" w:type="dxa"/>
            <w:vMerge/>
            <w:textDirection w:val="btLr"/>
            <w:vAlign w:val="center"/>
          </w:tcPr>
          <w:p w14:paraId="51EA9CEA" w14:textId="77777777" w:rsidR="00BE7F89" w:rsidRPr="00AC3044" w:rsidRDefault="00BE7F89" w:rsidP="005A428D">
            <w:pPr>
              <w:rPr>
                <w:rFonts w:eastAsia="SimSun"/>
              </w:rPr>
            </w:pPr>
          </w:p>
        </w:tc>
        <w:tc>
          <w:tcPr>
            <w:tcW w:w="1701" w:type="dxa"/>
            <w:vAlign w:val="center"/>
          </w:tcPr>
          <w:p w14:paraId="3092A323"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04893F4C"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204E0853" w14:textId="77777777" w:rsidR="00BE7F89" w:rsidRPr="00AC3044" w:rsidRDefault="00BE7F89" w:rsidP="005A428D">
            <w:pPr>
              <w:rPr>
                <w:rFonts w:eastAsia="SimSun"/>
              </w:rPr>
            </w:pPr>
            <w:r w:rsidRPr="00AC3044">
              <w:rPr>
                <w:rFonts w:eastAsia="SimSun"/>
              </w:rPr>
              <w:t>–</w:t>
            </w:r>
          </w:p>
        </w:tc>
        <w:tc>
          <w:tcPr>
            <w:tcW w:w="1701" w:type="dxa"/>
            <w:vAlign w:val="center"/>
          </w:tcPr>
          <w:p w14:paraId="6CA21717" w14:textId="77777777" w:rsidR="00BE7F89" w:rsidRPr="00AC3044" w:rsidRDefault="00BE7F89" w:rsidP="005A428D">
            <w:pPr>
              <w:rPr>
                <w:rFonts w:eastAsia="SimSun"/>
              </w:rPr>
            </w:pPr>
            <w:r w:rsidRPr="00AC3044">
              <w:rPr>
                <w:rFonts w:eastAsia="SimSun"/>
              </w:rPr>
              <w:t xml:space="preserve">С +5 дня по +35 день </w:t>
            </w:r>
          </w:p>
        </w:tc>
        <w:tc>
          <w:tcPr>
            <w:tcW w:w="2268" w:type="dxa"/>
            <w:vAlign w:val="center"/>
          </w:tcPr>
          <w:p w14:paraId="215CBD60"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28BF0CA4" w14:textId="77777777" w:rsidR="00BE7F89" w:rsidRDefault="00BE7F89" w:rsidP="00BE7F89">
      <w:pPr>
        <w:rPr>
          <w:rFonts w:eastAsia="SimSun"/>
        </w:rPr>
      </w:pPr>
      <w:bookmarkStart w:id="200" w:name="_Toc44401214"/>
    </w:p>
    <w:p w14:paraId="4454B5A3"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2.2.14  – Flu180+Bu10 / PT-Cy+Ruxo</w:t>
      </w:r>
      <w:bookmarkEnd w:id="20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07FE5383" w14:textId="77777777" w:rsidTr="005A428D">
        <w:trPr>
          <w:cantSplit/>
          <w:trHeight w:val="20"/>
          <w:tblHeader/>
        </w:trPr>
        <w:tc>
          <w:tcPr>
            <w:tcW w:w="817" w:type="dxa"/>
            <w:vAlign w:val="center"/>
          </w:tcPr>
          <w:p w14:paraId="00C901B0" w14:textId="77777777" w:rsidR="00BE7F89" w:rsidRPr="00470D3D" w:rsidRDefault="00BE7F89" w:rsidP="005A428D">
            <w:pPr>
              <w:rPr>
                <w:rFonts w:eastAsia="SimSun"/>
              </w:rPr>
            </w:pPr>
          </w:p>
        </w:tc>
        <w:tc>
          <w:tcPr>
            <w:tcW w:w="1701" w:type="dxa"/>
            <w:vAlign w:val="center"/>
          </w:tcPr>
          <w:p w14:paraId="3A527DC0"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09AF0D2A"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1B98BE1B"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4DC1CDFA"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1F07C431"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245AA878" w14:textId="77777777" w:rsidTr="005A428D">
        <w:trPr>
          <w:cantSplit/>
          <w:trHeight w:val="20"/>
        </w:trPr>
        <w:tc>
          <w:tcPr>
            <w:tcW w:w="817" w:type="dxa"/>
            <w:vMerge w:val="restart"/>
            <w:textDirection w:val="btLr"/>
            <w:vAlign w:val="center"/>
          </w:tcPr>
          <w:p w14:paraId="42D6758C"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3868551A"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159586BD"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245EAE4B"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5F513E79"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4AD68FE2"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349B47B7" w14:textId="77777777" w:rsidTr="005A428D">
        <w:trPr>
          <w:cantSplit/>
          <w:trHeight w:val="1207"/>
        </w:trPr>
        <w:tc>
          <w:tcPr>
            <w:tcW w:w="817" w:type="dxa"/>
            <w:vMerge/>
            <w:vAlign w:val="center"/>
          </w:tcPr>
          <w:p w14:paraId="44FDD57E" w14:textId="77777777" w:rsidR="00BE7F89" w:rsidRPr="00AC3044" w:rsidRDefault="00BE7F89" w:rsidP="005A428D">
            <w:pPr>
              <w:rPr>
                <w:rFonts w:eastAsia="SimSun"/>
              </w:rPr>
            </w:pPr>
          </w:p>
        </w:tc>
        <w:tc>
          <w:tcPr>
            <w:tcW w:w="1701" w:type="dxa"/>
            <w:vAlign w:val="center"/>
          </w:tcPr>
          <w:p w14:paraId="58F40AB4" w14:textId="77777777" w:rsidR="00BE7F89" w:rsidRPr="00AC3044" w:rsidRDefault="00BE7F89" w:rsidP="005A428D">
            <w:pPr>
              <w:rPr>
                <w:rFonts w:eastAsia="SimSun"/>
              </w:rPr>
            </w:pPr>
            <w:r w:rsidRPr="00AC3044">
              <w:rPr>
                <w:rFonts w:eastAsia="SimSun"/>
              </w:rPr>
              <w:t>Бусульфан</w:t>
            </w:r>
          </w:p>
        </w:tc>
        <w:tc>
          <w:tcPr>
            <w:tcW w:w="1559" w:type="dxa"/>
            <w:vAlign w:val="center"/>
          </w:tcPr>
          <w:p w14:paraId="254B839E" w14:textId="77777777" w:rsidR="00BE7F89" w:rsidRPr="00AC3044" w:rsidRDefault="00BE7F89" w:rsidP="005A428D">
            <w:pPr>
              <w:rPr>
                <w:rFonts w:eastAsia="SimSun"/>
              </w:rPr>
            </w:pPr>
            <w:r w:rsidRPr="00AC3044">
              <w:rPr>
                <w:rFonts w:eastAsia="SimSun"/>
              </w:rPr>
              <w:t xml:space="preserve">4 мг/кг </w:t>
            </w:r>
          </w:p>
        </w:tc>
        <w:tc>
          <w:tcPr>
            <w:tcW w:w="1418" w:type="dxa"/>
            <w:vAlign w:val="center"/>
          </w:tcPr>
          <w:p w14:paraId="5D051146" w14:textId="77777777" w:rsidR="00BE7F89" w:rsidRPr="00AC3044" w:rsidRDefault="00BE7F89" w:rsidP="005A428D">
            <w:pPr>
              <w:rPr>
                <w:rFonts w:eastAsia="SimSun"/>
              </w:rPr>
            </w:pPr>
            <w:r w:rsidRPr="00AC3044">
              <w:rPr>
                <w:rFonts w:eastAsia="SimSun"/>
              </w:rPr>
              <w:t xml:space="preserve">10 мг/кг </w:t>
            </w:r>
          </w:p>
        </w:tc>
        <w:tc>
          <w:tcPr>
            <w:tcW w:w="1701" w:type="dxa"/>
            <w:vAlign w:val="center"/>
          </w:tcPr>
          <w:p w14:paraId="26749235" w14:textId="77777777" w:rsidR="00BE7F89" w:rsidRPr="00AC3044" w:rsidRDefault="00BE7F89" w:rsidP="005A428D">
            <w:pPr>
              <w:rPr>
                <w:rFonts w:eastAsia="SimSun"/>
              </w:rPr>
            </w:pPr>
            <w:r w:rsidRPr="00AC3044">
              <w:rPr>
                <w:rFonts w:eastAsia="SimSun"/>
              </w:rPr>
              <w:t>С -5 дня по -3 день</w:t>
            </w:r>
          </w:p>
        </w:tc>
        <w:tc>
          <w:tcPr>
            <w:tcW w:w="2268" w:type="dxa"/>
            <w:vAlign w:val="center"/>
          </w:tcPr>
          <w:p w14:paraId="6119C4AF"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70F572CA" w14:textId="77777777" w:rsidTr="005A428D">
        <w:trPr>
          <w:cantSplit/>
          <w:trHeight w:val="716"/>
        </w:trPr>
        <w:tc>
          <w:tcPr>
            <w:tcW w:w="817" w:type="dxa"/>
            <w:vMerge w:val="restart"/>
            <w:textDirection w:val="btLr"/>
            <w:vAlign w:val="center"/>
          </w:tcPr>
          <w:p w14:paraId="441AFEAA"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5AA888A9"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0E8FB17C"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39989FB7"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2F33F5C4" w14:textId="77777777" w:rsidR="00BE7F89" w:rsidRPr="00AC3044" w:rsidRDefault="00BE7F89" w:rsidP="005A428D">
            <w:pPr>
              <w:rPr>
                <w:rFonts w:eastAsia="SimSun"/>
              </w:rPr>
            </w:pPr>
            <w:r w:rsidRPr="00AC3044">
              <w:rPr>
                <w:rFonts w:eastAsia="SimSun"/>
              </w:rPr>
              <w:t>С +3 дня по +4 день</w:t>
            </w:r>
          </w:p>
        </w:tc>
        <w:tc>
          <w:tcPr>
            <w:tcW w:w="2268" w:type="dxa"/>
            <w:vAlign w:val="center"/>
          </w:tcPr>
          <w:p w14:paraId="77682236"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483EF505" w14:textId="77777777" w:rsidTr="005A428D">
        <w:trPr>
          <w:cantSplit/>
          <w:trHeight w:val="574"/>
        </w:trPr>
        <w:tc>
          <w:tcPr>
            <w:tcW w:w="817" w:type="dxa"/>
            <w:vMerge/>
            <w:textDirection w:val="btLr"/>
            <w:vAlign w:val="center"/>
          </w:tcPr>
          <w:p w14:paraId="1341B548" w14:textId="77777777" w:rsidR="00BE7F89" w:rsidRPr="00AC3044" w:rsidRDefault="00BE7F89" w:rsidP="005A428D">
            <w:pPr>
              <w:rPr>
                <w:rFonts w:eastAsia="SimSun"/>
              </w:rPr>
            </w:pPr>
          </w:p>
        </w:tc>
        <w:tc>
          <w:tcPr>
            <w:tcW w:w="1701" w:type="dxa"/>
            <w:vAlign w:val="center"/>
          </w:tcPr>
          <w:p w14:paraId="5AD45569" w14:textId="77777777" w:rsidR="00BE7F89" w:rsidRPr="00AC3044" w:rsidRDefault="00BE7F89" w:rsidP="005A428D">
            <w:pPr>
              <w:rPr>
                <w:rFonts w:eastAsia="SimSun"/>
              </w:rPr>
            </w:pPr>
            <w:r w:rsidRPr="00AC3044">
              <w:rPr>
                <w:rFonts w:eastAsia="SimSun"/>
              </w:rPr>
              <w:t>Руксолитиниб</w:t>
            </w:r>
          </w:p>
        </w:tc>
        <w:tc>
          <w:tcPr>
            <w:tcW w:w="1559" w:type="dxa"/>
            <w:vAlign w:val="center"/>
          </w:tcPr>
          <w:p w14:paraId="1EDD7736" w14:textId="77777777" w:rsidR="00BE7F89" w:rsidRPr="00AC3044" w:rsidRDefault="00BE7F89" w:rsidP="005A428D">
            <w:pPr>
              <w:rPr>
                <w:rFonts w:eastAsia="SimSun"/>
              </w:rPr>
            </w:pPr>
            <w:r w:rsidRPr="00AC3044">
              <w:rPr>
                <w:rFonts w:eastAsia="SimSun"/>
              </w:rPr>
              <w:t>45 мг</w:t>
            </w:r>
          </w:p>
        </w:tc>
        <w:tc>
          <w:tcPr>
            <w:tcW w:w="1418" w:type="dxa"/>
            <w:vAlign w:val="center"/>
          </w:tcPr>
          <w:p w14:paraId="313312D5" w14:textId="77777777" w:rsidR="00BE7F89" w:rsidRPr="00AC3044" w:rsidRDefault="00BE7F89" w:rsidP="005A428D">
            <w:pPr>
              <w:rPr>
                <w:rFonts w:eastAsia="SimSun"/>
              </w:rPr>
            </w:pPr>
            <w:r w:rsidRPr="00AC3044">
              <w:rPr>
                <w:rFonts w:eastAsia="SimSun"/>
              </w:rPr>
              <w:t>270 мг</w:t>
            </w:r>
          </w:p>
        </w:tc>
        <w:tc>
          <w:tcPr>
            <w:tcW w:w="1701" w:type="dxa"/>
            <w:vAlign w:val="center"/>
          </w:tcPr>
          <w:p w14:paraId="0F664269" w14:textId="77777777" w:rsidR="00BE7F89" w:rsidRPr="00AC3044" w:rsidRDefault="00BE7F89" w:rsidP="005A428D">
            <w:pPr>
              <w:rPr>
                <w:rFonts w:eastAsia="SimSun"/>
              </w:rPr>
            </w:pPr>
            <w:r w:rsidRPr="00AC3044">
              <w:rPr>
                <w:rFonts w:eastAsia="SimSun"/>
              </w:rPr>
              <w:t xml:space="preserve">С -7 дня по -2 день </w:t>
            </w:r>
          </w:p>
        </w:tc>
        <w:tc>
          <w:tcPr>
            <w:tcW w:w="2268" w:type="dxa"/>
            <w:vAlign w:val="center"/>
          </w:tcPr>
          <w:p w14:paraId="610E5F21" w14:textId="77777777" w:rsidR="00BE7F89" w:rsidRPr="00AC3044" w:rsidRDefault="00BE7F89" w:rsidP="005A428D">
            <w:pPr>
              <w:rPr>
                <w:rFonts w:eastAsia="SimSun"/>
              </w:rPr>
            </w:pPr>
            <w:r w:rsidRPr="00AC3044">
              <w:rPr>
                <w:rFonts w:eastAsia="SimSun"/>
              </w:rPr>
              <w:t xml:space="preserve">Внутрь суточную дозу </w:t>
            </w:r>
          </w:p>
          <w:p w14:paraId="7F645C89" w14:textId="77777777" w:rsidR="00BE7F89" w:rsidRPr="00AC3044" w:rsidRDefault="00BE7F89" w:rsidP="005A428D">
            <w:pPr>
              <w:rPr>
                <w:rFonts w:eastAsia="SimSun"/>
              </w:rPr>
            </w:pPr>
            <w:r w:rsidRPr="00AC3044">
              <w:rPr>
                <w:rFonts w:eastAsia="SimSun"/>
              </w:rPr>
              <w:t>за 3 приема</w:t>
            </w:r>
          </w:p>
        </w:tc>
      </w:tr>
      <w:tr w:rsidR="00BE7F89" w:rsidRPr="00AC3044" w14:paraId="1AD27890" w14:textId="77777777" w:rsidTr="005A428D">
        <w:trPr>
          <w:cantSplit/>
          <w:trHeight w:val="498"/>
        </w:trPr>
        <w:tc>
          <w:tcPr>
            <w:tcW w:w="817" w:type="dxa"/>
            <w:vMerge/>
            <w:textDirection w:val="btLr"/>
            <w:vAlign w:val="center"/>
          </w:tcPr>
          <w:p w14:paraId="324AA765" w14:textId="77777777" w:rsidR="00BE7F89" w:rsidRPr="00AC3044" w:rsidRDefault="00BE7F89" w:rsidP="005A428D">
            <w:pPr>
              <w:rPr>
                <w:rFonts w:eastAsia="SimSun"/>
              </w:rPr>
            </w:pPr>
          </w:p>
        </w:tc>
        <w:tc>
          <w:tcPr>
            <w:tcW w:w="1701" w:type="dxa"/>
            <w:vAlign w:val="center"/>
          </w:tcPr>
          <w:p w14:paraId="75049AB7" w14:textId="77777777" w:rsidR="00BE7F89" w:rsidRPr="00AC3044" w:rsidRDefault="00BE7F89" w:rsidP="005A428D">
            <w:pPr>
              <w:rPr>
                <w:rFonts w:eastAsia="SimSun"/>
              </w:rPr>
            </w:pPr>
            <w:r w:rsidRPr="00AC3044">
              <w:rPr>
                <w:rFonts w:eastAsia="SimSun"/>
              </w:rPr>
              <w:t xml:space="preserve">Руксолитиниб </w:t>
            </w:r>
          </w:p>
        </w:tc>
        <w:tc>
          <w:tcPr>
            <w:tcW w:w="1559" w:type="dxa"/>
            <w:vAlign w:val="center"/>
          </w:tcPr>
          <w:p w14:paraId="4CB05431" w14:textId="77777777" w:rsidR="00BE7F89" w:rsidRPr="00AC3044" w:rsidRDefault="00BE7F89" w:rsidP="005A428D">
            <w:pPr>
              <w:rPr>
                <w:rFonts w:eastAsia="SimSun"/>
              </w:rPr>
            </w:pPr>
            <w:r w:rsidRPr="00AC3044">
              <w:rPr>
                <w:rFonts w:eastAsia="SimSun"/>
              </w:rPr>
              <w:t>15 мг</w:t>
            </w:r>
          </w:p>
        </w:tc>
        <w:tc>
          <w:tcPr>
            <w:tcW w:w="1418" w:type="dxa"/>
            <w:vAlign w:val="center"/>
          </w:tcPr>
          <w:p w14:paraId="239AC36E" w14:textId="77777777" w:rsidR="00BE7F89" w:rsidRPr="00AC3044" w:rsidRDefault="00BE7F89" w:rsidP="005A428D">
            <w:pPr>
              <w:rPr>
                <w:rFonts w:eastAsia="SimSun"/>
              </w:rPr>
            </w:pPr>
            <w:r w:rsidRPr="00AC3044">
              <w:rPr>
                <w:rFonts w:eastAsia="SimSun"/>
              </w:rPr>
              <w:t>-</w:t>
            </w:r>
          </w:p>
        </w:tc>
        <w:tc>
          <w:tcPr>
            <w:tcW w:w="1701" w:type="dxa"/>
            <w:vAlign w:val="center"/>
          </w:tcPr>
          <w:p w14:paraId="03480E75" w14:textId="77777777" w:rsidR="00BE7F89" w:rsidRPr="00AC3044" w:rsidRDefault="00BE7F89" w:rsidP="005A428D">
            <w:pPr>
              <w:rPr>
                <w:rFonts w:eastAsia="SimSun"/>
              </w:rPr>
            </w:pPr>
            <w:r w:rsidRPr="00AC3044">
              <w:rPr>
                <w:rFonts w:eastAsia="SimSun"/>
              </w:rPr>
              <w:t>С +5 дня по +100 день</w:t>
            </w:r>
          </w:p>
        </w:tc>
        <w:tc>
          <w:tcPr>
            <w:tcW w:w="2268" w:type="dxa"/>
            <w:vAlign w:val="center"/>
          </w:tcPr>
          <w:p w14:paraId="7E5F5A85" w14:textId="77777777" w:rsidR="00BE7F89" w:rsidRPr="00AC3044" w:rsidRDefault="00BE7F89" w:rsidP="005A428D">
            <w:pPr>
              <w:rPr>
                <w:rFonts w:eastAsia="SimSun"/>
              </w:rPr>
            </w:pPr>
            <w:r w:rsidRPr="00AC3044">
              <w:rPr>
                <w:rFonts w:eastAsia="SimSun"/>
              </w:rPr>
              <w:t xml:space="preserve">Внутрь суточную дозу </w:t>
            </w:r>
          </w:p>
          <w:p w14:paraId="2B208D1E" w14:textId="77777777" w:rsidR="00BE7F89" w:rsidRPr="00AC3044" w:rsidRDefault="00BE7F89" w:rsidP="005A428D">
            <w:pPr>
              <w:rPr>
                <w:rFonts w:eastAsia="SimSun"/>
              </w:rPr>
            </w:pPr>
            <w:r w:rsidRPr="00AC3044">
              <w:rPr>
                <w:rFonts w:eastAsia="SimSun"/>
              </w:rPr>
              <w:t>за 2 приема</w:t>
            </w:r>
          </w:p>
        </w:tc>
      </w:tr>
    </w:tbl>
    <w:p w14:paraId="1767FCCA" w14:textId="77777777" w:rsidR="00BE7F89" w:rsidRDefault="00BE7F89" w:rsidP="00BE7F89">
      <w:pPr>
        <w:rPr>
          <w:rFonts w:eastAsia="SimSun"/>
        </w:rPr>
      </w:pPr>
      <w:bookmarkStart w:id="201" w:name="_Toc44401215"/>
    </w:p>
    <w:p w14:paraId="0B598802"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2.2.15  – Flu90+Benda / PT-Cy+Tx+MMF30</w:t>
      </w:r>
      <w:bookmarkEnd w:id="20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62DA5639" w14:textId="77777777" w:rsidTr="005A428D">
        <w:trPr>
          <w:cantSplit/>
          <w:trHeight w:val="20"/>
          <w:tblHeader/>
        </w:trPr>
        <w:tc>
          <w:tcPr>
            <w:tcW w:w="817" w:type="dxa"/>
            <w:vAlign w:val="center"/>
          </w:tcPr>
          <w:p w14:paraId="04C3782A" w14:textId="77777777" w:rsidR="00BE7F89" w:rsidRPr="00AC3044" w:rsidRDefault="00BE7F89" w:rsidP="005A428D">
            <w:pPr>
              <w:rPr>
                <w:rFonts w:eastAsia="SimSun"/>
              </w:rPr>
            </w:pPr>
          </w:p>
        </w:tc>
        <w:tc>
          <w:tcPr>
            <w:tcW w:w="1701" w:type="dxa"/>
            <w:vAlign w:val="center"/>
          </w:tcPr>
          <w:p w14:paraId="59E5A904"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5A91DC69"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28C19FCF"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271C7EC0"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0B374838"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05DB0F84" w14:textId="77777777" w:rsidTr="005A428D">
        <w:trPr>
          <w:cantSplit/>
          <w:trHeight w:val="20"/>
        </w:trPr>
        <w:tc>
          <w:tcPr>
            <w:tcW w:w="817" w:type="dxa"/>
            <w:vMerge w:val="restart"/>
            <w:textDirection w:val="btLr"/>
            <w:vAlign w:val="center"/>
          </w:tcPr>
          <w:p w14:paraId="6D2AA64A"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183A6011"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12843755"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754B7278" w14:textId="77777777" w:rsidR="00BE7F89" w:rsidRPr="00AC3044" w:rsidRDefault="00BE7F89" w:rsidP="005A428D">
            <w:pPr>
              <w:rPr>
                <w:rFonts w:eastAsia="SimSun"/>
              </w:rPr>
            </w:pPr>
            <w:r w:rsidRPr="00AC3044">
              <w:rPr>
                <w:rFonts w:eastAsia="SimSun"/>
              </w:rPr>
              <w:t>90 мг/м</w:t>
            </w:r>
            <w:r w:rsidRPr="0074195F">
              <w:rPr>
                <w:rFonts w:eastAsia="SimSun"/>
                <w:vertAlign w:val="superscript"/>
              </w:rPr>
              <w:t>2</w:t>
            </w:r>
          </w:p>
        </w:tc>
        <w:tc>
          <w:tcPr>
            <w:tcW w:w="1701" w:type="dxa"/>
            <w:vAlign w:val="center"/>
          </w:tcPr>
          <w:p w14:paraId="6A736771" w14:textId="77777777" w:rsidR="00BE7F89" w:rsidRPr="00AC3044" w:rsidRDefault="00BE7F89" w:rsidP="005A428D">
            <w:pPr>
              <w:rPr>
                <w:rFonts w:eastAsia="SimSun"/>
              </w:rPr>
            </w:pPr>
            <w:r w:rsidRPr="00AC3044">
              <w:rPr>
                <w:rFonts w:eastAsia="SimSun"/>
              </w:rPr>
              <w:t>С -4 дня по -2 день</w:t>
            </w:r>
          </w:p>
        </w:tc>
        <w:tc>
          <w:tcPr>
            <w:tcW w:w="2268" w:type="dxa"/>
            <w:vAlign w:val="center"/>
          </w:tcPr>
          <w:p w14:paraId="68545202"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EECA18A" w14:textId="77777777" w:rsidTr="005A428D">
        <w:trPr>
          <w:cantSplit/>
          <w:trHeight w:val="704"/>
        </w:trPr>
        <w:tc>
          <w:tcPr>
            <w:tcW w:w="817" w:type="dxa"/>
            <w:vMerge/>
            <w:vAlign w:val="center"/>
          </w:tcPr>
          <w:p w14:paraId="3FEEE6F0" w14:textId="77777777" w:rsidR="00BE7F89" w:rsidRPr="00AC3044" w:rsidRDefault="00BE7F89" w:rsidP="005A428D">
            <w:pPr>
              <w:rPr>
                <w:rFonts w:eastAsia="SimSun"/>
              </w:rPr>
            </w:pPr>
          </w:p>
        </w:tc>
        <w:tc>
          <w:tcPr>
            <w:tcW w:w="1701" w:type="dxa"/>
            <w:vAlign w:val="center"/>
          </w:tcPr>
          <w:p w14:paraId="4B1E5091" w14:textId="77777777" w:rsidR="00BE7F89" w:rsidRPr="00AC3044" w:rsidRDefault="00BE7F89" w:rsidP="005A428D">
            <w:pPr>
              <w:rPr>
                <w:rFonts w:eastAsia="SimSun"/>
              </w:rPr>
            </w:pPr>
            <w:r w:rsidRPr="00AC3044">
              <w:rPr>
                <w:rFonts w:eastAsia="SimSun"/>
              </w:rPr>
              <w:t>Бендамустин</w:t>
            </w:r>
          </w:p>
        </w:tc>
        <w:tc>
          <w:tcPr>
            <w:tcW w:w="1559" w:type="dxa"/>
            <w:vAlign w:val="center"/>
          </w:tcPr>
          <w:p w14:paraId="65059A2C" w14:textId="77777777" w:rsidR="00BE7F89" w:rsidRPr="00AC3044" w:rsidRDefault="00BE7F89" w:rsidP="005A428D">
            <w:pPr>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14:paraId="22F87F79" w14:textId="77777777" w:rsidR="00BE7F89" w:rsidRPr="00AC3044" w:rsidRDefault="00BE7F89" w:rsidP="005A428D">
            <w:pPr>
              <w:rPr>
                <w:rFonts w:eastAsia="SimSun"/>
              </w:rPr>
            </w:pPr>
            <w:r w:rsidRPr="00AC3044">
              <w:rPr>
                <w:rFonts w:eastAsia="SimSun"/>
              </w:rPr>
              <w:t>10 мг/м</w:t>
            </w:r>
            <w:r w:rsidRPr="0074195F">
              <w:rPr>
                <w:rFonts w:eastAsia="SimSun"/>
                <w:vertAlign w:val="superscript"/>
              </w:rPr>
              <w:t>2</w:t>
            </w:r>
          </w:p>
        </w:tc>
        <w:tc>
          <w:tcPr>
            <w:tcW w:w="1701" w:type="dxa"/>
            <w:vAlign w:val="center"/>
          </w:tcPr>
          <w:p w14:paraId="323F179B" w14:textId="77777777" w:rsidR="00BE7F89" w:rsidRPr="00AC3044" w:rsidRDefault="00BE7F89" w:rsidP="005A428D">
            <w:pPr>
              <w:rPr>
                <w:rFonts w:eastAsia="SimSun"/>
              </w:rPr>
            </w:pPr>
            <w:r w:rsidRPr="00AC3044">
              <w:rPr>
                <w:rFonts w:eastAsia="SimSun"/>
              </w:rPr>
              <w:t xml:space="preserve">  С -4 дня по -2 день</w:t>
            </w:r>
          </w:p>
        </w:tc>
        <w:tc>
          <w:tcPr>
            <w:tcW w:w="2268" w:type="dxa"/>
            <w:vAlign w:val="center"/>
          </w:tcPr>
          <w:p w14:paraId="39795632"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1D29710E" w14:textId="77777777" w:rsidTr="005A428D">
        <w:trPr>
          <w:cantSplit/>
          <w:trHeight w:val="958"/>
        </w:trPr>
        <w:tc>
          <w:tcPr>
            <w:tcW w:w="817" w:type="dxa"/>
            <w:vMerge w:val="restart"/>
            <w:textDirection w:val="btLr"/>
            <w:vAlign w:val="center"/>
          </w:tcPr>
          <w:p w14:paraId="56FE221E"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6E6FC3D2"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50B830D8" w14:textId="77777777" w:rsidR="00BE7F89" w:rsidRPr="00AC3044" w:rsidRDefault="00BE7F89" w:rsidP="005A428D">
            <w:pPr>
              <w:rPr>
                <w:rFonts w:eastAsia="SimSun"/>
              </w:rPr>
            </w:pPr>
            <w:r w:rsidRPr="00AC3044">
              <w:rPr>
                <w:rFonts w:eastAsia="SimSun"/>
              </w:rPr>
              <w:t>0,03 мг/кг</w:t>
            </w:r>
          </w:p>
        </w:tc>
        <w:tc>
          <w:tcPr>
            <w:tcW w:w="1418" w:type="dxa"/>
            <w:vAlign w:val="center"/>
          </w:tcPr>
          <w:p w14:paraId="4536BB7D" w14:textId="77777777" w:rsidR="00BE7F89" w:rsidRPr="00AC3044" w:rsidRDefault="00BE7F89" w:rsidP="005A428D">
            <w:pPr>
              <w:rPr>
                <w:rFonts w:eastAsia="SimSun"/>
              </w:rPr>
            </w:pPr>
            <w:r w:rsidRPr="00AC3044">
              <w:rPr>
                <w:rFonts w:eastAsia="SimSun"/>
              </w:rPr>
              <w:t>–</w:t>
            </w:r>
          </w:p>
        </w:tc>
        <w:tc>
          <w:tcPr>
            <w:tcW w:w="1701" w:type="dxa"/>
            <w:vAlign w:val="center"/>
          </w:tcPr>
          <w:p w14:paraId="5FC38F43" w14:textId="77777777" w:rsidR="00BE7F89" w:rsidRPr="00AC3044" w:rsidRDefault="00BE7F89" w:rsidP="005A428D">
            <w:pPr>
              <w:rPr>
                <w:rFonts w:eastAsia="SimSun"/>
              </w:rPr>
            </w:pPr>
            <w:r w:rsidRPr="00AC3044">
              <w:rPr>
                <w:rFonts w:eastAsia="SimSun"/>
              </w:rPr>
              <w:t xml:space="preserve">С +5 дня длительно </w:t>
            </w:r>
          </w:p>
        </w:tc>
        <w:tc>
          <w:tcPr>
            <w:tcW w:w="2268" w:type="dxa"/>
            <w:vAlign w:val="center"/>
          </w:tcPr>
          <w:p w14:paraId="6C5BE9E9"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405EA204" w14:textId="77777777" w:rsidTr="005A428D">
        <w:trPr>
          <w:cantSplit/>
          <w:trHeight w:val="542"/>
        </w:trPr>
        <w:tc>
          <w:tcPr>
            <w:tcW w:w="817" w:type="dxa"/>
            <w:vMerge/>
            <w:textDirection w:val="btLr"/>
            <w:vAlign w:val="center"/>
          </w:tcPr>
          <w:p w14:paraId="59E2DEA8" w14:textId="77777777" w:rsidR="00BE7F89" w:rsidRPr="00AC3044" w:rsidRDefault="00BE7F89" w:rsidP="005A428D">
            <w:pPr>
              <w:rPr>
                <w:rFonts w:eastAsia="SimSun"/>
              </w:rPr>
            </w:pPr>
          </w:p>
        </w:tc>
        <w:tc>
          <w:tcPr>
            <w:tcW w:w="1701" w:type="dxa"/>
            <w:vAlign w:val="center"/>
          </w:tcPr>
          <w:p w14:paraId="6F84B230"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50B4CF80"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43894947"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04CCF23A" w14:textId="77777777" w:rsidR="00BE7F89" w:rsidRPr="00AC3044" w:rsidRDefault="00BE7F89" w:rsidP="005A428D">
            <w:pPr>
              <w:rPr>
                <w:rFonts w:eastAsia="SimSun"/>
              </w:rPr>
            </w:pPr>
            <w:r w:rsidRPr="00AC3044">
              <w:rPr>
                <w:rFonts w:eastAsia="SimSun"/>
              </w:rPr>
              <w:t xml:space="preserve">В дни +3, +4 </w:t>
            </w:r>
          </w:p>
        </w:tc>
        <w:tc>
          <w:tcPr>
            <w:tcW w:w="2268" w:type="dxa"/>
            <w:vAlign w:val="center"/>
          </w:tcPr>
          <w:p w14:paraId="45754ED9"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3B36E1AA" w14:textId="77777777" w:rsidTr="005A428D">
        <w:trPr>
          <w:cantSplit/>
          <w:trHeight w:val="550"/>
        </w:trPr>
        <w:tc>
          <w:tcPr>
            <w:tcW w:w="817" w:type="dxa"/>
            <w:vMerge/>
            <w:textDirection w:val="btLr"/>
            <w:vAlign w:val="center"/>
          </w:tcPr>
          <w:p w14:paraId="097A3C5D" w14:textId="77777777" w:rsidR="00BE7F89" w:rsidRPr="00AC3044" w:rsidRDefault="00BE7F89" w:rsidP="005A428D">
            <w:pPr>
              <w:rPr>
                <w:rFonts w:eastAsia="SimSun"/>
              </w:rPr>
            </w:pPr>
          </w:p>
        </w:tc>
        <w:tc>
          <w:tcPr>
            <w:tcW w:w="1701" w:type="dxa"/>
            <w:vAlign w:val="center"/>
          </w:tcPr>
          <w:p w14:paraId="316A6526"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59B72078"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6165883D" w14:textId="77777777" w:rsidR="00BE7F89" w:rsidRPr="00AC3044" w:rsidRDefault="00BE7F89" w:rsidP="005A428D">
            <w:pPr>
              <w:rPr>
                <w:rFonts w:eastAsia="SimSun"/>
              </w:rPr>
            </w:pPr>
            <w:r w:rsidRPr="00AC3044">
              <w:rPr>
                <w:rFonts w:eastAsia="SimSun"/>
              </w:rPr>
              <w:t>–</w:t>
            </w:r>
          </w:p>
        </w:tc>
        <w:tc>
          <w:tcPr>
            <w:tcW w:w="1701" w:type="dxa"/>
            <w:vAlign w:val="center"/>
          </w:tcPr>
          <w:p w14:paraId="0F28748A" w14:textId="77777777" w:rsidR="00BE7F89" w:rsidRPr="00AC3044" w:rsidRDefault="00BE7F89" w:rsidP="005A428D">
            <w:pPr>
              <w:rPr>
                <w:rFonts w:eastAsia="SimSun"/>
              </w:rPr>
            </w:pPr>
            <w:r w:rsidRPr="00AC3044">
              <w:rPr>
                <w:rFonts w:eastAsia="SimSun"/>
              </w:rPr>
              <w:t xml:space="preserve">С +5 дня по +35 день </w:t>
            </w:r>
          </w:p>
        </w:tc>
        <w:tc>
          <w:tcPr>
            <w:tcW w:w="2268" w:type="dxa"/>
            <w:vAlign w:val="center"/>
          </w:tcPr>
          <w:p w14:paraId="1E0B8696"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437C00F0" w14:textId="77777777" w:rsidR="00BE7F89" w:rsidRPr="0074195F" w:rsidRDefault="00BE7F89" w:rsidP="00BE7F89">
      <w:pPr>
        <w:rPr>
          <w:rFonts w:eastAsia="SimSun"/>
        </w:rPr>
      </w:pPr>
      <w:bookmarkStart w:id="202" w:name="_Toc44401216"/>
    </w:p>
    <w:p w14:paraId="073CCA49" w14:textId="77777777" w:rsidR="00BE7F89" w:rsidRPr="00042499" w:rsidRDefault="00BE7F89" w:rsidP="00BE7F89">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2.2.16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 </w:t>
      </w:r>
      <w:r w:rsidRPr="00C07B2E">
        <w:rPr>
          <w:rFonts w:eastAsia="SimSun"/>
        </w:rPr>
        <w:t>PT</w:t>
      </w:r>
      <w:r w:rsidRPr="00042499">
        <w:rPr>
          <w:rFonts w:eastAsia="SimSun"/>
          <w:lang w:val="en-US"/>
        </w:rPr>
        <w:t>-</w:t>
      </w:r>
      <w:r w:rsidRPr="00C07B2E">
        <w:rPr>
          <w:rFonts w:eastAsia="SimSun"/>
        </w:rPr>
        <w:t>Cy</w:t>
      </w:r>
      <w:bookmarkEnd w:id="20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63B4FAA9" w14:textId="77777777" w:rsidTr="005A428D">
        <w:trPr>
          <w:cantSplit/>
          <w:trHeight w:val="20"/>
          <w:tblHeader/>
        </w:trPr>
        <w:tc>
          <w:tcPr>
            <w:tcW w:w="817" w:type="dxa"/>
            <w:vAlign w:val="center"/>
          </w:tcPr>
          <w:p w14:paraId="422916DB" w14:textId="77777777" w:rsidR="00BE7F89" w:rsidRPr="00942A16" w:rsidRDefault="00BE7F89" w:rsidP="005A428D">
            <w:pPr>
              <w:rPr>
                <w:rFonts w:eastAsia="SimSun"/>
                <w:lang w:val="en-US"/>
              </w:rPr>
            </w:pPr>
          </w:p>
        </w:tc>
        <w:tc>
          <w:tcPr>
            <w:tcW w:w="1701" w:type="dxa"/>
            <w:vAlign w:val="center"/>
          </w:tcPr>
          <w:p w14:paraId="3D5E9C36"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719B967C"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78E90F33"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1FF916FC"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31F373FA"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6E5EA6A" w14:textId="77777777" w:rsidTr="005A428D">
        <w:trPr>
          <w:cantSplit/>
          <w:trHeight w:val="20"/>
        </w:trPr>
        <w:tc>
          <w:tcPr>
            <w:tcW w:w="817" w:type="dxa"/>
            <w:vMerge w:val="restart"/>
            <w:textDirection w:val="btLr"/>
            <w:vAlign w:val="center"/>
          </w:tcPr>
          <w:p w14:paraId="3101121E"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1120D1E2"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33207B6E"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002C0AE0" w14:textId="77777777" w:rsidR="00BE7F89" w:rsidRPr="00AC3044" w:rsidRDefault="00BE7F89" w:rsidP="005A428D">
            <w:pPr>
              <w:rPr>
                <w:rFonts w:eastAsia="SimSun"/>
              </w:rPr>
            </w:pPr>
            <w:r w:rsidRPr="00AC3044">
              <w:rPr>
                <w:rFonts w:eastAsia="SimSun"/>
              </w:rPr>
              <w:t>90 мг/м</w:t>
            </w:r>
            <w:r w:rsidRPr="0074195F">
              <w:rPr>
                <w:rFonts w:eastAsia="SimSun"/>
                <w:vertAlign w:val="superscript"/>
              </w:rPr>
              <w:t>2</w:t>
            </w:r>
          </w:p>
        </w:tc>
        <w:tc>
          <w:tcPr>
            <w:tcW w:w="1701" w:type="dxa"/>
            <w:vAlign w:val="center"/>
          </w:tcPr>
          <w:p w14:paraId="34A9D3AC" w14:textId="77777777" w:rsidR="00BE7F89" w:rsidRPr="00AC3044" w:rsidRDefault="00BE7F89" w:rsidP="005A428D">
            <w:pPr>
              <w:rPr>
                <w:rFonts w:eastAsia="SimSun"/>
              </w:rPr>
            </w:pPr>
            <w:r w:rsidRPr="00AC3044">
              <w:rPr>
                <w:rFonts w:eastAsia="SimSun"/>
              </w:rPr>
              <w:t>С -4 дня по -2 день</w:t>
            </w:r>
          </w:p>
        </w:tc>
        <w:tc>
          <w:tcPr>
            <w:tcW w:w="2268" w:type="dxa"/>
            <w:vAlign w:val="center"/>
          </w:tcPr>
          <w:p w14:paraId="722A2BF9"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A0D74CE" w14:textId="77777777" w:rsidTr="005A428D">
        <w:trPr>
          <w:cantSplit/>
          <w:trHeight w:val="1207"/>
        </w:trPr>
        <w:tc>
          <w:tcPr>
            <w:tcW w:w="817" w:type="dxa"/>
            <w:vMerge/>
            <w:vAlign w:val="center"/>
          </w:tcPr>
          <w:p w14:paraId="4D5EC132" w14:textId="77777777" w:rsidR="00BE7F89" w:rsidRPr="00AC3044" w:rsidRDefault="00BE7F89" w:rsidP="005A428D">
            <w:pPr>
              <w:rPr>
                <w:rFonts w:eastAsia="SimSun"/>
              </w:rPr>
            </w:pPr>
          </w:p>
        </w:tc>
        <w:tc>
          <w:tcPr>
            <w:tcW w:w="1701" w:type="dxa"/>
            <w:vAlign w:val="center"/>
          </w:tcPr>
          <w:p w14:paraId="47266917" w14:textId="77777777" w:rsidR="00BE7F89" w:rsidRPr="00AC3044" w:rsidRDefault="00BE7F89" w:rsidP="005A428D">
            <w:pPr>
              <w:rPr>
                <w:rFonts w:eastAsia="SimSun"/>
              </w:rPr>
            </w:pPr>
            <w:r w:rsidRPr="00AC3044">
              <w:rPr>
                <w:rFonts w:eastAsia="SimSun"/>
              </w:rPr>
              <w:t>Бендамустин</w:t>
            </w:r>
          </w:p>
        </w:tc>
        <w:tc>
          <w:tcPr>
            <w:tcW w:w="1559" w:type="dxa"/>
            <w:vAlign w:val="center"/>
          </w:tcPr>
          <w:p w14:paraId="279A6D9A" w14:textId="77777777" w:rsidR="00BE7F89" w:rsidRPr="00AC3044" w:rsidRDefault="00BE7F89" w:rsidP="005A428D">
            <w:pPr>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14:paraId="6A6B630B" w14:textId="77777777" w:rsidR="00BE7F89" w:rsidRPr="00AC3044" w:rsidRDefault="00BE7F89" w:rsidP="005A428D">
            <w:pPr>
              <w:rPr>
                <w:rFonts w:eastAsia="SimSun"/>
              </w:rPr>
            </w:pPr>
            <w:r w:rsidRPr="00AC3044">
              <w:rPr>
                <w:rFonts w:eastAsia="SimSun"/>
              </w:rPr>
              <w:t>10 мг/м</w:t>
            </w:r>
            <w:r w:rsidRPr="0074195F">
              <w:rPr>
                <w:rFonts w:eastAsia="SimSun"/>
                <w:vertAlign w:val="superscript"/>
              </w:rPr>
              <w:t>2</w:t>
            </w:r>
          </w:p>
        </w:tc>
        <w:tc>
          <w:tcPr>
            <w:tcW w:w="1701" w:type="dxa"/>
            <w:vAlign w:val="center"/>
          </w:tcPr>
          <w:p w14:paraId="34C37C61" w14:textId="77777777" w:rsidR="00BE7F89" w:rsidRPr="00AC3044" w:rsidRDefault="00BE7F89" w:rsidP="005A428D">
            <w:pPr>
              <w:rPr>
                <w:rFonts w:eastAsia="SimSun"/>
              </w:rPr>
            </w:pPr>
            <w:r w:rsidRPr="00AC3044">
              <w:rPr>
                <w:rFonts w:eastAsia="SimSun"/>
              </w:rPr>
              <w:t xml:space="preserve">  С -4 дня по -2 день</w:t>
            </w:r>
          </w:p>
        </w:tc>
        <w:tc>
          <w:tcPr>
            <w:tcW w:w="2268" w:type="dxa"/>
            <w:vAlign w:val="center"/>
          </w:tcPr>
          <w:p w14:paraId="4A8777D8"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30C49229" w14:textId="77777777" w:rsidTr="005A428D">
        <w:trPr>
          <w:cantSplit/>
          <w:trHeight w:val="958"/>
        </w:trPr>
        <w:tc>
          <w:tcPr>
            <w:tcW w:w="817" w:type="dxa"/>
            <w:textDirection w:val="btLr"/>
            <w:vAlign w:val="center"/>
          </w:tcPr>
          <w:p w14:paraId="0146ECCA"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18F6AEB8"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4A997833"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7CA51A12"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64E62F74" w14:textId="77777777" w:rsidR="00BE7F89" w:rsidRPr="00AC3044" w:rsidRDefault="00BE7F89" w:rsidP="005A428D">
            <w:pPr>
              <w:rPr>
                <w:rFonts w:eastAsia="SimSun"/>
              </w:rPr>
            </w:pPr>
            <w:r w:rsidRPr="00AC3044">
              <w:rPr>
                <w:rFonts w:eastAsia="SimSun"/>
              </w:rPr>
              <w:t xml:space="preserve">В дни +3, +4 </w:t>
            </w:r>
          </w:p>
        </w:tc>
        <w:tc>
          <w:tcPr>
            <w:tcW w:w="2268" w:type="dxa"/>
            <w:vAlign w:val="center"/>
          </w:tcPr>
          <w:p w14:paraId="6DB76C59" w14:textId="77777777" w:rsidR="00BE7F89" w:rsidRPr="00AC3044" w:rsidRDefault="00BE7F89" w:rsidP="005A428D">
            <w:pPr>
              <w:rPr>
                <w:rFonts w:eastAsia="SimSun"/>
              </w:rPr>
            </w:pPr>
            <w:r w:rsidRPr="00AC3044">
              <w:rPr>
                <w:rFonts w:eastAsia="SimSun"/>
              </w:rPr>
              <w:t>В/в, в течение 2 часов</w:t>
            </w:r>
          </w:p>
        </w:tc>
      </w:tr>
    </w:tbl>
    <w:p w14:paraId="0028043E" w14:textId="77777777" w:rsidR="00BE7F89" w:rsidRDefault="00BE7F89" w:rsidP="00BE7F89">
      <w:pPr>
        <w:rPr>
          <w:rFonts w:eastAsia="SimSun"/>
        </w:rPr>
      </w:pPr>
      <w:bookmarkStart w:id="203" w:name="_Toc44401217"/>
    </w:p>
    <w:p w14:paraId="1A376DBB" w14:textId="77777777" w:rsidR="00BE7F89" w:rsidRPr="00042499" w:rsidRDefault="00BE7F89" w:rsidP="00BE7F89">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2.2.17  – </w:t>
      </w:r>
      <w:r w:rsidRPr="00C07B2E">
        <w:rPr>
          <w:rFonts w:eastAsia="SimSun"/>
        </w:rPr>
        <w:t>Flu</w:t>
      </w:r>
      <w:r w:rsidRPr="00042499">
        <w:rPr>
          <w:rFonts w:eastAsia="SimSun"/>
          <w:lang w:val="en-US"/>
        </w:rPr>
        <w:t>150+</w:t>
      </w:r>
      <w:r w:rsidRPr="00C07B2E">
        <w:rPr>
          <w:rFonts w:eastAsia="SimSun"/>
        </w:rPr>
        <w:t>Thio</w:t>
      </w:r>
      <w:r w:rsidRPr="00042499">
        <w:rPr>
          <w:rFonts w:eastAsia="SimSun"/>
          <w:lang w:val="en-US"/>
        </w:rPr>
        <w:t xml:space="preserve"> / </w:t>
      </w:r>
      <w:r w:rsidRPr="00C07B2E">
        <w:rPr>
          <w:rFonts w:eastAsia="SimSun"/>
        </w:rPr>
        <w:t>hATG</w:t>
      </w:r>
      <w:r w:rsidRPr="00042499">
        <w:rPr>
          <w:rFonts w:eastAsia="SimSun"/>
          <w:lang w:val="en-US"/>
        </w:rPr>
        <w:t>+</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20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226DD9F1" w14:textId="77777777" w:rsidTr="005A428D">
        <w:trPr>
          <w:cantSplit/>
          <w:trHeight w:val="20"/>
          <w:tblHeader/>
        </w:trPr>
        <w:tc>
          <w:tcPr>
            <w:tcW w:w="817" w:type="dxa"/>
            <w:vAlign w:val="center"/>
          </w:tcPr>
          <w:p w14:paraId="5B79630B" w14:textId="77777777" w:rsidR="00BE7F89" w:rsidRPr="00942A16" w:rsidRDefault="00BE7F89" w:rsidP="005A428D">
            <w:pPr>
              <w:rPr>
                <w:rFonts w:eastAsia="SimSun"/>
                <w:lang w:val="en-US"/>
              </w:rPr>
            </w:pPr>
          </w:p>
        </w:tc>
        <w:tc>
          <w:tcPr>
            <w:tcW w:w="1701" w:type="dxa"/>
            <w:vAlign w:val="center"/>
          </w:tcPr>
          <w:p w14:paraId="5AD98979"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667BC943"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35E4F52B"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2B9E46B1"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720AC67F"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2386E86D" w14:textId="77777777" w:rsidTr="005A428D">
        <w:trPr>
          <w:cantSplit/>
          <w:trHeight w:val="20"/>
        </w:trPr>
        <w:tc>
          <w:tcPr>
            <w:tcW w:w="817" w:type="dxa"/>
            <w:vMerge w:val="restart"/>
            <w:textDirection w:val="btLr"/>
            <w:vAlign w:val="center"/>
          </w:tcPr>
          <w:p w14:paraId="6B4ECA4A"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48B36D9F"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2681469A"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487E539E" w14:textId="77777777" w:rsidR="00BE7F89" w:rsidRPr="00AC3044" w:rsidRDefault="00BE7F89" w:rsidP="005A428D">
            <w:pPr>
              <w:rPr>
                <w:rFonts w:eastAsia="SimSun"/>
              </w:rPr>
            </w:pPr>
            <w:r w:rsidRPr="00AC3044">
              <w:rPr>
                <w:rFonts w:eastAsia="SimSun"/>
              </w:rPr>
              <w:t>150 мг/м</w:t>
            </w:r>
            <w:r w:rsidRPr="0074195F">
              <w:rPr>
                <w:rFonts w:eastAsia="SimSun"/>
                <w:vertAlign w:val="superscript"/>
              </w:rPr>
              <w:t>2</w:t>
            </w:r>
          </w:p>
        </w:tc>
        <w:tc>
          <w:tcPr>
            <w:tcW w:w="1701" w:type="dxa"/>
            <w:vAlign w:val="center"/>
          </w:tcPr>
          <w:p w14:paraId="315AADCA" w14:textId="77777777" w:rsidR="00BE7F89" w:rsidRPr="00AC3044" w:rsidRDefault="00BE7F89" w:rsidP="005A428D">
            <w:pPr>
              <w:rPr>
                <w:rFonts w:eastAsia="SimSun"/>
              </w:rPr>
            </w:pPr>
            <w:r w:rsidRPr="00AC3044">
              <w:rPr>
                <w:rFonts w:eastAsia="SimSun"/>
              </w:rPr>
              <w:t>С -6 дня по -2 день</w:t>
            </w:r>
          </w:p>
        </w:tc>
        <w:tc>
          <w:tcPr>
            <w:tcW w:w="2268" w:type="dxa"/>
            <w:vAlign w:val="center"/>
          </w:tcPr>
          <w:p w14:paraId="7EC9EC9B"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022975A3" w14:textId="77777777" w:rsidTr="005A428D">
        <w:trPr>
          <w:cantSplit/>
          <w:trHeight w:val="510"/>
        </w:trPr>
        <w:tc>
          <w:tcPr>
            <w:tcW w:w="817" w:type="dxa"/>
            <w:vMerge/>
            <w:vAlign w:val="center"/>
          </w:tcPr>
          <w:p w14:paraId="098F69A7" w14:textId="77777777" w:rsidR="00BE7F89" w:rsidRPr="00AC3044" w:rsidRDefault="00BE7F89" w:rsidP="005A428D">
            <w:pPr>
              <w:rPr>
                <w:rFonts w:eastAsia="SimSun"/>
              </w:rPr>
            </w:pPr>
          </w:p>
        </w:tc>
        <w:tc>
          <w:tcPr>
            <w:tcW w:w="1701" w:type="dxa"/>
            <w:vAlign w:val="center"/>
          </w:tcPr>
          <w:p w14:paraId="5DD4ED27" w14:textId="77777777" w:rsidR="00BE7F89" w:rsidRPr="00AC3044" w:rsidRDefault="00BE7F89" w:rsidP="005A428D">
            <w:pPr>
              <w:rPr>
                <w:rFonts w:eastAsia="SimSun"/>
              </w:rPr>
            </w:pPr>
            <w:r w:rsidRPr="00AC3044">
              <w:rPr>
                <w:rFonts w:eastAsia="SimSun"/>
              </w:rPr>
              <w:t>Тиотепа</w:t>
            </w:r>
          </w:p>
        </w:tc>
        <w:tc>
          <w:tcPr>
            <w:tcW w:w="1559" w:type="dxa"/>
            <w:vAlign w:val="center"/>
          </w:tcPr>
          <w:p w14:paraId="4C9AE7EE" w14:textId="77777777" w:rsidR="00BE7F89" w:rsidRPr="00AC3044" w:rsidRDefault="00BE7F89" w:rsidP="005A428D">
            <w:pPr>
              <w:rPr>
                <w:rFonts w:eastAsia="SimSun"/>
              </w:rPr>
            </w:pPr>
            <w:r w:rsidRPr="00AC3044">
              <w:rPr>
                <w:rFonts w:eastAsia="SimSun"/>
              </w:rPr>
              <w:t>5 мг/м</w:t>
            </w:r>
            <w:r w:rsidRPr="0074195F">
              <w:rPr>
                <w:rFonts w:eastAsia="SimSun"/>
                <w:vertAlign w:val="superscript"/>
              </w:rPr>
              <w:t>2</w:t>
            </w:r>
            <w:r w:rsidRPr="00AC3044">
              <w:rPr>
                <w:rFonts w:eastAsia="SimSun"/>
              </w:rPr>
              <w:t xml:space="preserve"> </w:t>
            </w:r>
          </w:p>
        </w:tc>
        <w:tc>
          <w:tcPr>
            <w:tcW w:w="1418" w:type="dxa"/>
            <w:vAlign w:val="center"/>
          </w:tcPr>
          <w:p w14:paraId="6DC06B7A" w14:textId="77777777" w:rsidR="00BE7F89" w:rsidRPr="00AC3044" w:rsidRDefault="00BE7F89" w:rsidP="005A428D">
            <w:pPr>
              <w:rPr>
                <w:rFonts w:eastAsia="SimSun"/>
              </w:rPr>
            </w:pPr>
            <w:r w:rsidRPr="00AC3044">
              <w:rPr>
                <w:rFonts w:eastAsia="SimSun"/>
              </w:rPr>
              <w:t>10 мг/м</w:t>
            </w:r>
            <w:r w:rsidRPr="0074195F">
              <w:rPr>
                <w:rFonts w:eastAsia="SimSun"/>
                <w:vertAlign w:val="superscript"/>
              </w:rPr>
              <w:t>2</w:t>
            </w:r>
          </w:p>
        </w:tc>
        <w:tc>
          <w:tcPr>
            <w:tcW w:w="1701" w:type="dxa"/>
            <w:vAlign w:val="center"/>
          </w:tcPr>
          <w:p w14:paraId="09E8153E" w14:textId="77777777" w:rsidR="00BE7F89" w:rsidRPr="00AC3044" w:rsidRDefault="00BE7F89" w:rsidP="005A428D">
            <w:pPr>
              <w:rPr>
                <w:rFonts w:eastAsia="SimSun"/>
              </w:rPr>
            </w:pPr>
            <w:r w:rsidRPr="00AC3044">
              <w:rPr>
                <w:rFonts w:eastAsia="SimSun"/>
              </w:rPr>
              <w:t xml:space="preserve"> Дни -5; -4  </w:t>
            </w:r>
          </w:p>
        </w:tc>
        <w:tc>
          <w:tcPr>
            <w:tcW w:w="2268" w:type="dxa"/>
            <w:vAlign w:val="center"/>
          </w:tcPr>
          <w:p w14:paraId="2783B0FC"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0DAC1D3D" w14:textId="77777777" w:rsidTr="005A428D">
        <w:trPr>
          <w:cantSplit/>
          <w:trHeight w:val="712"/>
        </w:trPr>
        <w:tc>
          <w:tcPr>
            <w:tcW w:w="817" w:type="dxa"/>
            <w:vMerge w:val="restart"/>
            <w:textDirection w:val="btLr"/>
            <w:vAlign w:val="center"/>
          </w:tcPr>
          <w:p w14:paraId="0B92A9A3"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14828745" w14:textId="77777777" w:rsidR="00BE7F89" w:rsidRPr="00AC3044" w:rsidRDefault="00BE7F89" w:rsidP="005A428D">
            <w:pPr>
              <w:rPr>
                <w:rFonts w:eastAsia="SimSun"/>
              </w:rPr>
            </w:pPr>
            <w:r w:rsidRPr="00AC3044">
              <w:rPr>
                <w:rFonts w:eastAsia="SimSun"/>
              </w:rPr>
              <w:t>АТГ (лошадиный)</w:t>
            </w:r>
          </w:p>
        </w:tc>
        <w:tc>
          <w:tcPr>
            <w:tcW w:w="1559" w:type="dxa"/>
            <w:vAlign w:val="center"/>
          </w:tcPr>
          <w:p w14:paraId="6E8C1D3F" w14:textId="77777777" w:rsidR="00BE7F89" w:rsidRPr="00AC3044" w:rsidRDefault="00BE7F89" w:rsidP="005A428D">
            <w:pPr>
              <w:rPr>
                <w:rFonts w:eastAsia="SimSun"/>
              </w:rPr>
            </w:pPr>
            <w:r w:rsidRPr="00AC3044">
              <w:rPr>
                <w:rFonts w:eastAsia="SimSun"/>
              </w:rPr>
              <w:t>20 мг/кг</w:t>
            </w:r>
          </w:p>
        </w:tc>
        <w:tc>
          <w:tcPr>
            <w:tcW w:w="1418" w:type="dxa"/>
            <w:vAlign w:val="center"/>
          </w:tcPr>
          <w:p w14:paraId="104AFDE0" w14:textId="77777777" w:rsidR="00BE7F89" w:rsidRPr="00AC3044" w:rsidRDefault="00BE7F89" w:rsidP="005A428D">
            <w:pPr>
              <w:rPr>
                <w:rFonts w:eastAsia="SimSun"/>
              </w:rPr>
            </w:pPr>
            <w:r w:rsidRPr="00AC3044">
              <w:rPr>
                <w:rFonts w:eastAsia="SimSun"/>
              </w:rPr>
              <w:t>60 мг/кг</w:t>
            </w:r>
          </w:p>
        </w:tc>
        <w:tc>
          <w:tcPr>
            <w:tcW w:w="1701" w:type="dxa"/>
            <w:vAlign w:val="center"/>
          </w:tcPr>
          <w:p w14:paraId="27FA3F89" w14:textId="77777777" w:rsidR="00BE7F89" w:rsidRPr="00AC3044" w:rsidRDefault="00BE7F89" w:rsidP="005A428D">
            <w:pPr>
              <w:rPr>
                <w:rFonts w:eastAsia="SimSun"/>
              </w:rPr>
            </w:pPr>
            <w:r w:rsidRPr="00AC3044">
              <w:rPr>
                <w:rFonts w:eastAsia="SimSun"/>
              </w:rPr>
              <w:t>В дни -3, -2, -1</w:t>
            </w:r>
          </w:p>
        </w:tc>
        <w:tc>
          <w:tcPr>
            <w:tcW w:w="2268" w:type="dxa"/>
            <w:vAlign w:val="center"/>
          </w:tcPr>
          <w:p w14:paraId="46643759" w14:textId="77777777" w:rsidR="00BE7F89" w:rsidRPr="00AC3044" w:rsidRDefault="00BE7F89" w:rsidP="005A428D">
            <w:pPr>
              <w:rPr>
                <w:rFonts w:eastAsia="SimSun"/>
              </w:rPr>
            </w:pPr>
            <w:r w:rsidRPr="00AC3044">
              <w:rPr>
                <w:rFonts w:eastAsia="SimSun"/>
              </w:rPr>
              <w:t xml:space="preserve"> В/в. Суточная доза разделяется на 2 введения (см. «Инфузия АТГ»)</w:t>
            </w:r>
          </w:p>
        </w:tc>
      </w:tr>
      <w:tr w:rsidR="00BE7F89" w:rsidRPr="00AC3044" w14:paraId="32FEA852" w14:textId="77777777" w:rsidTr="005A428D">
        <w:trPr>
          <w:cantSplit/>
          <w:trHeight w:val="958"/>
        </w:trPr>
        <w:tc>
          <w:tcPr>
            <w:tcW w:w="817" w:type="dxa"/>
            <w:vMerge/>
            <w:textDirection w:val="btLr"/>
            <w:vAlign w:val="center"/>
          </w:tcPr>
          <w:p w14:paraId="1EEA60B7" w14:textId="77777777" w:rsidR="00BE7F89" w:rsidRPr="00AC3044" w:rsidRDefault="00BE7F89" w:rsidP="005A428D">
            <w:pPr>
              <w:rPr>
                <w:rFonts w:eastAsia="SimSun"/>
              </w:rPr>
            </w:pPr>
          </w:p>
        </w:tc>
        <w:tc>
          <w:tcPr>
            <w:tcW w:w="1701" w:type="dxa"/>
            <w:vAlign w:val="center"/>
          </w:tcPr>
          <w:p w14:paraId="208CFEC2"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5C162DBE" w14:textId="77777777" w:rsidR="00BE7F89" w:rsidRPr="00AC3044" w:rsidRDefault="00BE7F89" w:rsidP="005A428D">
            <w:pPr>
              <w:rPr>
                <w:rFonts w:eastAsia="SimSun"/>
              </w:rPr>
            </w:pPr>
            <w:r w:rsidRPr="00AC3044">
              <w:rPr>
                <w:rFonts w:eastAsia="SimSun"/>
              </w:rPr>
              <w:t>0,03 мг/кг</w:t>
            </w:r>
          </w:p>
        </w:tc>
        <w:tc>
          <w:tcPr>
            <w:tcW w:w="1418" w:type="dxa"/>
            <w:vAlign w:val="center"/>
          </w:tcPr>
          <w:p w14:paraId="59E5C6FC" w14:textId="77777777" w:rsidR="00BE7F89" w:rsidRPr="00AC3044" w:rsidRDefault="00BE7F89" w:rsidP="005A428D">
            <w:pPr>
              <w:rPr>
                <w:rFonts w:eastAsia="SimSun"/>
              </w:rPr>
            </w:pPr>
            <w:r w:rsidRPr="00AC3044">
              <w:rPr>
                <w:rFonts w:eastAsia="SimSun"/>
              </w:rPr>
              <w:t>–</w:t>
            </w:r>
          </w:p>
        </w:tc>
        <w:tc>
          <w:tcPr>
            <w:tcW w:w="1701" w:type="dxa"/>
            <w:vAlign w:val="center"/>
          </w:tcPr>
          <w:p w14:paraId="5F0FA024" w14:textId="77777777" w:rsidR="00BE7F89" w:rsidRPr="00AC3044" w:rsidRDefault="00BE7F89" w:rsidP="005A428D">
            <w:pPr>
              <w:rPr>
                <w:rFonts w:eastAsia="SimSun"/>
              </w:rPr>
            </w:pPr>
            <w:r w:rsidRPr="00AC3044">
              <w:rPr>
                <w:rFonts w:eastAsia="SimSun"/>
              </w:rPr>
              <w:t xml:space="preserve">С -1 дня длительно </w:t>
            </w:r>
          </w:p>
        </w:tc>
        <w:tc>
          <w:tcPr>
            <w:tcW w:w="2268" w:type="dxa"/>
            <w:vAlign w:val="center"/>
          </w:tcPr>
          <w:p w14:paraId="757F62CF"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36389AC1" w14:textId="77777777" w:rsidTr="005A428D">
        <w:trPr>
          <w:cantSplit/>
          <w:trHeight w:val="362"/>
        </w:trPr>
        <w:tc>
          <w:tcPr>
            <w:tcW w:w="817" w:type="dxa"/>
            <w:vMerge/>
            <w:textDirection w:val="btLr"/>
            <w:vAlign w:val="center"/>
          </w:tcPr>
          <w:p w14:paraId="6E8C14D9" w14:textId="77777777" w:rsidR="00BE7F89" w:rsidRPr="00AC3044" w:rsidRDefault="00BE7F89" w:rsidP="005A428D">
            <w:pPr>
              <w:rPr>
                <w:rFonts w:eastAsia="SimSun"/>
              </w:rPr>
            </w:pPr>
          </w:p>
        </w:tc>
        <w:tc>
          <w:tcPr>
            <w:tcW w:w="1701" w:type="dxa"/>
            <w:vAlign w:val="center"/>
          </w:tcPr>
          <w:p w14:paraId="0F08B87A"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5C99ECAC"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18195FD9" w14:textId="77777777" w:rsidR="00BE7F89" w:rsidRPr="00AC3044" w:rsidRDefault="00BE7F89" w:rsidP="005A428D">
            <w:pPr>
              <w:rPr>
                <w:rFonts w:eastAsia="SimSun"/>
              </w:rPr>
            </w:pPr>
            <w:r w:rsidRPr="00AC3044">
              <w:rPr>
                <w:rFonts w:eastAsia="SimSun"/>
              </w:rPr>
              <w:t>–</w:t>
            </w:r>
          </w:p>
        </w:tc>
        <w:tc>
          <w:tcPr>
            <w:tcW w:w="1701" w:type="dxa"/>
            <w:vAlign w:val="center"/>
          </w:tcPr>
          <w:p w14:paraId="207EC7C0" w14:textId="77777777" w:rsidR="00BE7F89" w:rsidRPr="00AC3044" w:rsidRDefault="00BE7F89" w:rsidP="005A428D">
            <w:pPr>
              <w:rPr>
                <w:rFonts w:eastAsia="SimSun"/>
              </w:rPr>
            </w:pPr>
            <w:r w:rsidRPr="00AC3044">
              <w:rPr>
                <w:rFonts w:eastAsia="SimSun"/>
              </w:rPr>
              <w:t xml:space="preserve">С -1 дня по +30 день </w:t>
            </w:r>
          </w:p>
        </w:tc>
        <w:tc>
          <w:tcPr>
            <w:tcW w:w="2268" w:type="dxa"/>
            <w:vAlign w:val="center"/>
          </w:tcPr>
          <w:p w14:paraId="3AC1C1E7"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34959DCE" w14:textId="77777777" w:rsidR="00BE7F89" w:rsidRDefault="00BE7F89" w:rsidP="00BE7F89">
      <w:pPr>
        <w:rPr>
          <w:rFonts w:eastAsia="SimSun"/>
        </w:rPr>
      </w:pPr>
      <w:bookmarkStart w:id="204" w:name="_Toc44401218"/>
    </w:p>
    <w:p w14:paraId="6AD3AA72" w14:textId="77777777" w:rsidR="00BE7F89" w:rsidRPr="00C07B2E" w:rsidRDefault="00BE7F89" w:rsidP="00BE7F89">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2.2.18  – Flu180+Treo36 / PT-Cy+CSA+MMF30</w:t>
      </w:r>
      <w:bookmarkEnd w:id="204"/>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1559"/>
        <w:gridCol w:w="1418"/>
        <w:gridCol w:w="1701"/>
        <w:gridCol w:w="2268"/>
      </w:tblGrid>
      <w:tr w:rsidR="00BE7F89" w:rsidRPr="00AC3044" w14:paraId="1C980D70" w14:textId="77777777" w:rsidTr="005A428D">
        <w:trPr>
          <w:cantSplit/>
          <w:trHeight w:val="20"/>
          <w:tblHeader/>
        </w:trPr>
        <w:tc>
          <w:tcPr>
            <w:tcW w:w="709" w:type="dxa"/>
          </w:tcPr>
          <w:p w14:paraId="553EC39C" w14:textId="77777777" w:rsidR="00BE7F89" w:rsidRPr="00470D3D" w:rsidRDefault="00BE7F89" w:rsidP="005A428D">
            <w:pPr>
              <w:rPr>
                <w:rFonts w:eastAsia="SimSun"/>
              </w:rPr>
            </w:pPr>
          </w:p>
        </w:tc>
        <w:tc>
          <w:tcPr>
            <w:tcW w:w="1701" w:type="dxa"/>
            <w:vAlign w:val="center"/>
          </w:tcPr>
          <w:p w14:paraId="63E31C99"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1ACD0D20"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477D3B8C"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2A62492B"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179DD243"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7BE9F9C8" w14:textId="77777777" w:rsidTr="005A428D">
        <w:trPr>
          <w:cantSplit/>
          <w:trHeight w:val="20"/>
        </w:trPr>
        <w:tc>
          <w:tcPr>
            <w:tcW w:w="709" w:type="dxa"/>
            <w:vMerge w:val="restart"/>
            <w:textDirection w:val="btLr"/>
            <w:vAlign w:val="center"/>
          </w:tcPr>
          <w:p w14:paraId="104844E7"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3F8802C6"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5FDF29E3"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0F56E001" w14:textId="77777777" w:rsidR="00BE7F89" w:rsidRPr="00AC3044" w:rsidRDefault="00BE7F89" w:rsidP="005A428D">
            <w:pPr>
              <w:rPr>
                <w:rFonts w:eastAsia="SimSun"/>
              </w:rPr>
            </w:pPr>
            <w:r w:rsidRPr="00AC3044">
              <w:rPr>
                <w:rFonts w:eastAsia="SimSun"/>
              </w:rPr>
              <w:t>150 мг/м</w:t>
            </w:r>
            <w:r w:rsidRPr="0074195F">
              <w:rPr>
                <w:rFonts w:eastAsia="SimSun"/>
                <w:vertAlign w:val="superscript"/>
              </w:rPr>
              <w:t>2</w:t>
            </w:r>
          </w:p>
        </w:tc>
        <w:tc>
          <w:tcPr>
            <w:tcW w:w="1701" w:type="dxa"/>
            <w:vAlign w:val="center"/>
          </w:tcPr>
          <w:p w14:paraId="12DC477B" w14:textId="77777777" w:rsidR="00BE7F89" w:rsidRPr="00AC3044" w:rsidRDefault="00BE7F89" w:rsidP="005A428D">
            <w:pPr>
              <w:rPr>
                <w:rFonts w:eastAsia="SimSun"/>
              </w:rPr>
            </w:pPr>
            <w:r w:rsidRPr="00AC3044">
              <w:rPr>
                <w:rFonts w:eastAsia="SimSun"/>
              </w:rPr>
              <w:t>С –6 по –2 день</w:t>
            </w:r>
          </w:p>
        </w:tc>
        <w:tc>
          <w:tcPr>
            <w:tcW w:w="2268" w:type="dxa"/>
            <w:vAlign w:val="center"/>
          </w:tcPr>
          <w:p w14:paraId="27AEE73E"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5FD188E2" w14:textId="77777777" w:rsidTr="005A428D">
        <w:trPr>
          <w:cantSplit/>
          <w:trHeight w:val="899"/>
        </w:trPr>
        <w:tc>
          <w:tcPr>
            <w:tcW w:w="709" w:type="dxa"/>
            <w:vMerge/>
            <w:textDirection w:val="btLr"/>
            <w:vAlign w:val="center"/>
          </w:tcPr>
          <w:p w14:paraId="5A2059B4" w14:textId="77777777" w:rsidR="00BE7F89" w:rsidRPr="00AC3044" w:rsidRDefault="00BE7F89" w:rsidP="005A428D">
            <w:pPr>
              <w:rPr>
                <w:rFonts w:eastAsia="SimSun"/>
              </w:rPr>
            </w:pPr>
          </w:p>
        </w:tc>
        <w:tc>
          <w:tcPr>
            <w:tcW w:w="1701" w:type="dxa"/>
            <w:vAlign w:val="center"/>
          </w:tcPr>
          <w:p w14:paraId="261E2589" w14:textId="77777777" w:rsidR="00BE7F89" w:rsidRPr="00AC3044" w:rsidRDefault="00BE7F89" w:rsidP="005A428D">
            <w:pPr>
              <w:rPr>
                <w:rFonts w:eastAsia="SimSun"/>
              </w:rPr>
            </w:pPr>
            <w:r w:rsidRPr="00AC3044">
              <w:rPr>
                <w:rFonts w:eastAsia="SimSun"/>
              </w:rPr>
              <w:t>Треосульфан</w:t>
            </w:r>
          </w:p>
        </w:tc>
        <w:tc>
          <w:tcPr>
            <w:tcW w:w="1559" w:type="dxa"/>
            <w:vAlign w:val="center"/>
          </w:tcPr>
          <w:p w14:paraId="6D92B5C2" w14:textId="77777777" w:rsidR="00BE7F89" w:rsidRPr="00AC3044" w:rsidRDefault="00BE7F89" w:rsidP="005A428D">
            <w:pPr>
              <w:rPr>
                <w:rFonts w:eastAsia="SimSun"/>
              </w:rPr>
            </w:pPr>
            <w:r w:rsidRPr="00AC3044">
              <w:rPr>
                <w:rFonts w:eastAsia="SimSun"/>
              </w:rPr>
              <w:t>12 г/м</w:t>
            </w:r>
            <w:r w:rsidRPr="0074195F">
              <w:rPr>
                <w:rFonts w:eastAsia="SimSun"/>
                <w:vertAlign w:val="superscript"/>
              </w:rPr>
              <w:t>2</w:t>
            </w:r>
          </w:p>
        </w:tc>
        <w:tc>
          <w:tcPr>
            <w:tcW w:w="1418" w:type="dxa"/>
            <w:vAlign w:val="center"/>
          </w:tcPr>
          <w:p w14:paraId="3053CE23" w14:textId="77777777" w:rsidR="00BE7F89" w:rsidRPr="00AC3044" w:rsidRDefault="00BE7F89" w:rsidP="005A428D">
            <w:pPr>
              <w:rPr>
                <w:rFonts w:eastAsia="SimSun"/>
              </w:rPr>
            </w:pPr>
            <w:r w:rsidRPr="00AC3044">
              <w:rPr>
                <w:rFonts w:eastAsia="SimSun"/>
              </w:rPr>
              <w:t>36 г/м</w:t>
            </w:r>
            <w:r w:rsidRPr="0074195F">
              <w:rPr>
                <w:rFonts w:eastAsia="SimSun"/>
                <w:vertAlign w:val="superscript"/>
              </w:rPr>
              <w:t>2</w:t>
            </w:r>
          </w:p>
        </w:tc>
        <w:tc>
          <w:tcPr>
            <w:tcW w:w="1701" w:type="dxa"/>
            <w:vAlign w:val="center"/>
          </w:tcPr>
          <w:p w14:paraId="1A17D588" w14:textId="77777777" w:rsidR="00BE7F89" w:rsidRPr="00AC3044" w:rsidRDefault="00BE7F89" w:rsidP="005A428D">
            <w:pPr>
              <w:rPr>
                <w:rFonts w:eastAsia="SimSun"/>
              </w:rPr>
            </w:pPr>
            <w:r w:rsidRPr="00AC3044">
              <w:rPr>
                <w:rFonts w:eastAsia="SimSun"/>
              </w:rPr>
              <w:t>С –6 по –4 день</w:t>
            </w:r>
          </w:p>
        </w:tc>
        <w:tc>
          <w:tcPr>
            <w:tcW w:w="2268" w:type="dxa"/>
            <w:vAlign w:val="center"/>
          </w:tcPr>
          <w:p w14:paraId="1F677A74"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2147594D" w14:textId="77777777" w:rsidTr="005A428D">
        <w:trPr>
          <w:cantSplit/>
          <w:trHeight w:val="1394"/>
        </w:trPr>
        <w:tc>
          <w:tcPr>
            <w:tcW w:w="709" w:type="dxa"/>
            <w:vMerge w:val="restart"/>
            <w:textDirection w:val="btLr"/>
            <w:vAlign w:val="center"/>
          </w:tcPr>
          <w:p w14:paraId="047D30A7"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51C03562" w14:textId="77777777" w:rsidR="00BE7F89" w:rsidRPr="00AC3044" w:rsidRDefault="00BE7F89" w:rsidP="005A428D">
            <w:pPr>
              <w:rPr>
                <w:rFonts w:eastAsia="SimSun"/>
              </w:rPr>
            </w:pPr>
            <w:r w:rsidRPr="00AC3044">
              <w:rPr>
                <w:rFonts w:eastAsia="SimSun"/>
              </w:rPr>
              <w:t>Циклоспорин</w:t>
            </w:r>
          </w:p>
        </w:tc>
        <w:tc>
          <w:tcPr>
            <w:tcW w:w="1559" w:type="dxa"/>
            <w:vAlign w:val="center"/>
          </w:tcPr>
          <w:p w14:paraId="55CCCBB7" w14:textId="77777777" w:rsidR="00BE7F89" w:rsidRPr="00AC3044" w:rsidRDefault="00BE7F89" w:rsidP="005A428D">
            <w:pPr>
              <w:rPr>
                <w:rFonts w:eastAsia="SimSun"/>
              </w:rPr>
            </w:pPr>
            <w:r w:rsidRPr="00AC3044">
              <w:rPr>
                <w:rFonts w:eastAsia="SimSun"/>
              </w:rPr>
              <w:t>3 мг/кг</w:t>
            </w:r>
          </w:p>
        </w:tc>
        <w:tc>
          <w:tcPr>
            <w:tcW w:w="1418" w:type="dxa"/>
            <w:vAlign w:val="center"/>
          </w:tcPr>
          <w:p w14:paraId="2CB00087" w14:textId="77777777" w:rsidR="00BE7F89" w:rsidRPr="00AC3044" w:rsidRDefault="00BE7F89" w:rsidP="005A428D">
            <w:pPr>
              <w:rPr>
                <w:rFonts w:eastAsia="SimSun"/>
              </w:rPr>
            </w:pPr>
            <w:r w:rsidRPr="00AC3044">
              <w:rPr>
                <w:rFonts w:eastAsia="SimSun"/>
              </w:rPr>
              <w:t>–</w:t>
            </w:r>
          </w:p>
        </w:tc>
        <w:tc>
          <w:tcPr>
            <w:tcW w:w="1701" w:type="dxa"/>
            <w:vAlign w:val="center"/>
          </w:tcPr>
          <w:p w14:paraId="7710F4BC" w14:textId="77777777" w:rsidR="00BE7F89" w:rsidRPr="00AC3044" w:rsidRDefault="00BE7F89" w:rsidP="005A428D">
            <w:pPr>
              <w:rPr>
                <w:rFonts w:eastAsia="SimSun"/>
              </w:rPr>
            </w:pPr>
            <w:r w:rsidRPr="00AC3044">
              <w:rPr>
                <w:rFonts w:eastAsia="SimSun"/>
              </w:rPr>
              <w:t>С +5 дня по +90 день затем постепенное снижение к +180 дню</w:t>
            </w:r>
          </w:p>
        </w:tc>
        <w:tc>
          <w:tcPr>
            <w:tcW w:w="2268" w:type="dxa"/>
            <w:vAlign w:val="center"/>
          </w:tcPr>
          <w:p w14:paraId="6089CB41"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74195F">
              <w:rPr>
                <w:rFonts w:eastAsia="SimSun"/>
              </w:rPr>
              <w:t>/</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0ACBBC01" w14:textId="77777777" w:rsidTr="005A428D">
        <w:trPr>
          <w:cantSplit/>
          <w:trHeight w:val="20"/>
        </w:trPr>
        <w:tc>
          <w:tcPr>
            <w:tcW w:w="709" w:type="dxa"/>
            <w:vMerge/>
            <w:textDirection w:val="btLr"/>
          </w:tcPr>
          <w:p w14:paraId="4939ACE6" w14:textId="77777777" w:rsidR="00BE7F89" w:rsidRPr="00AC3044" w:rsidRDefault="00BE7F89" w:rsidP="005A428D">
            <w:pPr>
              <w:rPr>
                <w:rFonts w:eastAsia="SimSun"/>
              </w:rPr>
            </w:pPr>
          </w:p>
        </w:tc>
        <w:tc>
          <w:tcPr>
            <w:tcW w:w="1701" w:type="dxa"/>
            <w:vAlign w:val="center"/>
          </w:tcPr>
          <w:p w14:paraId="44AAC9CC"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670C7392" w14:textId="77777777" w:rsidR="00BE7F89" w:rsidRPr="00AC3044" w:rsidRDefault="00BE7F89" w:rsidP="005A428D">
            <w:pPr>
              <w:rPr>
                <w:rFonts w:eastAsia="SimSun"/>
              </w:rPr>
            </w:pPr>
            <w:r w:rsidRPr="00AC3044">
              <w:rPr>
                <w:rFonts w:eastAsia="SimSun"/>
              </w:rPr>
              <w:t>30 мг/кг</w:t>
            </w:r>
          </w:p>
        </w:tc>
        <w:tc>
          <w:tcPr>
            <w:tcW w:w="1418" w:type="dxa"/>
            <w:vAlign w:val="center"/>
          </w:tcPr>
          <w:p w14:paraId="63BA876C" w14:textId="77777777" w:rsidR="00BE7F89" w:rsidRPr="00AC3044" w:rsidRDefault="00BE7F89" w:rsidP="005A428D">
            <w:pPr>
              <w:rPr>
                <w:rFonts w:eastAsia="SimSun"/>
              </w:rPr>
            </w:pPr>
            <w:r w:rsidRPr="00AC3044">
              <w:rPr>
                <w:rFonts w:eastAsia="SimSun"/>
              </w:rPr>
              <w:t>–</w:t>
            </w:r>
          </w:p>
        </w:tc>
        <w:tc>
          <w:tcPr>
            <w:tcW w:w="1701" w:type="dxa"/>
            <w:vAlign w:val="center"/>
          </w:tcPr>
          <w:p w14:paraId="05EA1CD8" w14:textId="77777777" w:rsidR="00BE7F89" w:rsidRPr="00AC3044" w:rsidRDefault="00BE7F89" w:rsidP="005A428D">
            <w:pPr>
              <w:rPr>
                <w:rFonts w:eastAsia="SimSun"/>
              </w:rPr>
            </w:pPr>
            <w:r w:rsidRPr="00AC3044">
              <w:rPr>
                <w:rFonts w:eastAsia="SimSun"/>
              </w:rPr>
              <w:t>С +5 по +90 день</w:t>
            </w:r>
          </w:p>
        </w:tc>
        <w:tc>
          <w:tcPr>
            <w:tcW w:w="2268" w:type="dxa"/>
            <w:vAlign w:val="center"/>
          </w:tcPr>
          <w:p w14:paraId="01613F72"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BE7F89" w:rsidRPr="00AC3044" w14:paraId="03743084" w14:textId="77777777" w:rsidTr="005A428D">
        <w:trPr>
          <w:cantSplit/>
          <w:trHeight w:val="20"/>
        </w:trPr>
        <w:tc>
          <w:tcPr>
            <w:tcW w:w="709" w:type="dxa"/>
            <w:vMerge/>
            <w:textDirection w:val="btLr"/>
          </w:tcPr>
          <w:p w14:paraId="44F81FB2" w14:textId="77777777" w:rsidR="00BE7F89" w:rsidRPr="00AC3044" w:rsidRDefault="00BE7F89" w:rsidP="005A428D">
            <w:pPr>
              <w:rPr>
                <w:rFonts w:eastAsia="SimSun"/>
              </w:rPr>
            </w:pPr>
          </w:p>
        </w:tc>
        <w:tc>
          <w:tcPr>
            <w:tcW w:w="1701" w:type="dxa"/>
            <w:vAlign w:val="center"/>
          </w:tcPr>
          <w:p w14:paraId="7DE4D0E1"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4E2E4EC2"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61904E9A"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782459E3" w14:textId="77777777" w:rsidR="00BE7F89" w:rsidRPr="00AC3044" w:rsidRDefault="00BE7F89" w:rsidP="005A428D">
            <w:pPr>
              <w:rPr>
                <w:rFonts w:eastAsia="SimSun"/>
              </w:rPr>
            </w:pPr>
            <w:r w:rsidRPr="00AC3044">
              <w:rPr>
                <w:rFonts w:eastAsia="SimSun"/>
              </w:rPr>
              <w:t xml:space="preserve">+3,+4 дни </w:t>
            </w:r>
          </w:p>
        </w:tc>
        <w:tc>
          <w:tcPr>
            <w:tcW w:w="2268" w:type="dxa"/>
            <w:vAlign w:val="center"/>
          </w:tcPr>
          <w:p w14:paraId="2599418B" w14:textId="77777777" w:rsidR="00BE7F89" w:rsidRPr="00AC3044" w:rsidRDefault="00BE7F89" w:rsidP="005A428D">
            <w:pPr>
              <w:rPr>
                <w:rFonts w:eastAsia="SimSun"/>
              </w:rPr>
            </w:pPr>
            <w:r w:rsidRPr="00AC3044">
              <w:rPr>
                <w:rFonts w:eastAsia="SimSun"/>
              </w:rPr>
              <w:t>В/в, в течение 2 часов</w:t>
            </w:r>
          </w:p>
        </w:tc>
      </w:tr>
    </w:tbl>
    <w:p w14:paraId="1B75E237" w14:textId="77777777" w:rsidR="00BE7F89" w:rsidRDefault="00BE7F89" w:rsidP="00BE7F89">
      <w:pPr>
        <w:rPr>
          <w:rFonts w:eastAsia="SimSun"/>
        </w:rPr>
      </w:pPr>
      <w:bookmarkStart w:id="205" w:name="_Toc44401219"/>
    </w:p>
    <w:p w14:paraId="14741C8B"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2.2.19  – Flu180+Cy1200 / hATG+Tx+MMF30</w:t>
      </w:r>
      <w:bookmarkEnd w:id="20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28743B8C" w14:textId="77777777" w:rsidTr="005A428D">
        <w:trPr>
          <w:cantSplit/>
          <w:trHeight w:val="20"/>
          <w:tblHeader/>
        </w:trPr>
        <w:tc>
          <w:tcPr>
            <w:tcW w:w="817" w:type="dxa"/>
            <w:vAlign w:val="center"/>
          </w:tcPr>
          <w:p w14:paraId="4577BBB0" w14:textId="77777777" w:rsidR="00BE7F89" w:rsidRPr="00AC3044" w:rsidRDefault="00BE7F89" w:rsidP="005A428D">
            <w:pPr>
              <w:rPr>
                <w:rFonts w:eastAsia="SimSun"/>
              </w:rPr>
            </w:pPr>
          </w:p>
        </w:tc>
        <w:tc>
          <w:tcPr>
            <w:tcW w:w="1701" w:type="dxa"/>
            <w:vAlign w:val="center"/>
          </w:tcPr>
          <w:p w14:paraId="1D683BD0"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42CB4B1E"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0C0D8C5A"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7ECE12FC"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42BB59E3"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6D09C26B" w14:textId="77777777" w:rsidTr="005A428D">
        <w:trPr>
          <w:cantSplit/>
          <w:trHeight w:val="20"/>
        </w:trPr>
        <w:tc>
          <w:tcPr>
            <w:tcW w:w="817" w:type="dxa"/>
            <w:vMerge w:val="restart"/>
            <w:textDirection w:val="btLr"/>
            <w:vAlign w:val="center"/>
          </w:tcPr>
          <w:p w14:paraId="0E1D3AC9"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1264EB18"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449BA26E"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21B31DF8"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6F917BEC"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3B4BFBDB"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1C58F032" w14:textId="77777777" w:rsidTr="005A428D">
        <w:trPr>
          <w:cantSplit/>
          <w:trHeight w:val="736"/>
        </w:trPr>
        <w:tc>
          <w:tcPr>
            <w:tcW w:w="817" w:type="dxa"/>
            <w:vMerge/>
            <w:vAlign w:val="center"/>
          </w:tcPr>
          <w:p w14:paraId="2A74761D" w14:textId="77777777" w:rsidR="00BE7F89" w:rsidRPr="00AC3044" w:rsidRDefault="00BE7F89" w:rsidP="005A428D">
            <w:pPr>
              <w:rPr>
                <w:rFonts w:eastAsia="SimSun"/>
              </w:rPr>
            </w:pPr>
          </w:p>
        </w:tc>
        <w:tc>
          <w:tcPr>
            <w:tcW w:w="1701" w:type="dxa"/>
            <w:vAlign w:val="center"/>
          </w:tcPr>
          <w:p w14:paraId="50E3F819"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54B1AE73" w14:textId="77777777" w:rsidR="00BE7F89" w:rsidRPr="00AC3044" w:rsidRDefault="00BE7F89" w:rsidP="005A428D">
            <w:pPr>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14:paraId="3F7E43AD" w14:textId="77777777" w:rsidR="00BE7F89" w:rsidRPr="00AC3044" w:rsidRDefault="00BE7F89" w:rsidP="005A428D">
            <w:pPr>
              <w:rPr>
                <w:rFonts w:eastAsia="SimSun"/>
              </w:rPr>
            </w:pPr>
            <w:r w:rsidRPr="00AC3044">
              <w:rPr>
                <w:rFonts w:eastAsia="SimSun"/>
              </w:rPr>
              <w:t>1200 мг/м</w:t>
            </w:r>
            <w:r w:rsidRPr="0074195F">
              <w:rPr>
                <w:rFonts w:eastAsia="SimSun"/>
                <w:vertAlign w:val="superscript"/>
              </w:rPr>
              <w:t>2</w:t>
            </w:r>
          </w:p>
        </w:tc>
        <w:tc>
          <w:tcPr>
            <w:tcW w:w="1701" w:type="dxa"/>
            <w:vAlign w:val="center"/>
          </w:tcPr>
          <w:p w14:paraId="69F70BC7" w14:textId="77777777" w:rsidR="00BE7F89" w:rsidRPr="00AC3044" w:rsidRDefault="00BE7F89" w:rsidP="005A428D">
            <w:pPr>
              <w:rPr>
                <w:rFonts w:eastAsia="SimSun"/>
              </w:rPr>
            </w:pPr>
            <w:r w:rsidRPr="00AC3044">
              <w:rPr>
                <w:rFonts w:eastAsia="SimSun"/>
              </w:rPr>
              <w:t xml:space="preserve"> С -5 дня по -2 день </w:t>
            </w:r>
          </w:p>
        </w:tc>
        <w:tc>
          <w:tcPr>
            <w:tcW w:w="2268" w:type="dxa"/>
            <w:vAlign w:val="center"/>
          </w:tcPr>
          <w:p w14:paraId="458BB985"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6910BE31" w14:textId="77777777" w:rsidTr="005A428D">
        <w:trPr>
          <w:cantSplit/>
          <w:trHeight w:val="654"/>
        </w:trPr>
        <w:tc>
          <w:tcPr>
            <w:tcW w:w="817" w:type="dxa"/>
            <w:vMerge w:val="restart"/>
            <w:textDirection w:val="btLr"/>
            <w:vAlign w:val="center"/>
          </w:tcPr>
          <w:p w14:paraId="1B036F94"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6DDC4A31" w14:textId="77777777" w:rsidR="00BE7F89" w:rsidRPr="00AC3044" w:rsidRDefault="00BE7F89" w:rsidP="005A428D">
            <w:pPr>
              <w:rPr>
                <w:rFonts w:eastAsia="SimSun"/>
              </w:rPr>
            </w:pPr>
            <w:r w:rsidRPr="00AC3044">
              <w:rPr>
                <w:rFonts w:eastAsia="SimSun"/>
              </w:rPr>
              <w:t xml:space="preserve">АТГ (лошадиный) </w:t>
            </w:r>
          </w:p>
        </w:tc>
        <w:tc>
          <w:tcPr>
            <w:tcW w:w="1559" w:type="dxa"/>
            <w:vAlign w:val="center"/>
          </w:tcPr>
          <w:p w14:paraId="37173A4E" w14:textId="77777777" w:rsidR="00BE7F89" w:rsidRPr="00AC3044" w:rsidRDefault="00BE7F89" w:rsidP="005A428D">
            <w:pPr>
              <w:rPr>
                <w:rFonts w:eastAsia="SimSun"/>
              </w:rPr>
            </w:pPr>
            <w:r w:rsidRPr="00AC3044">
              <w:rPr>
                <w:rFonts w:eastAsia="SimSun"/>
              </w:rPr>
              <w:t>20 мг/кг</w:t>
            </w:r>
          </w:p>
        </w:tc>
        <w:tc>
          <w:tcPr>
            <w:tcW w:w="1418" w:type="dxa"/>
            <w:vAlign w:val="center"/>
          </w:tcPr>
          <w:p w14:paraId="11248999" w14:textId="77777777" w:rsidR="00BE7F89" w:rsidRPr="00AC3044" w:rsidRDefault="00BE7F89" w:rsidP="005A428D">
            <w:pPr>
              <w:rPr>
                <w:rFonts w:eastAsia="SimSun"/>
              </w:rPr>
            </w:pPr>
            <w:r w:rsidRPr="00AC3044">
              <w:rPr>
                <w:rFonts w:eastAsia="SimSun"/>
              </w:rPr>
              <w:t>60 мг/кг</w:t>
            </w:r>
          </w:p>
        </w:tc>
        <w:tc>
          <w:tcPr>
            <w:tcW w:w="1701" w:type="dxa"/>
            <w:vAlign w:val="center"/>
          </w:tcPr>
          <w:p w14:paraId="41BF5C18" w14:textId="77777777" w:rsidR="00BE7F89" w:rsidRPr="00AC3044" w:rsidRDefault="00BE7F89" w:rsidP="005A428D">
            <w:pPr>
              <w:rPr>
                <w:rFonts w:eastAsia="SimSun"/>
              </w:rPr>
            </w:pPr>
            <w:r w:rsidRPr="00AC3044">
              <w:rPr>
                <w:rFonts w:eastAsia="SimSun"/>
              </w:rPr>
              <w:t>В дни -3, -2, -1</w:t>
            </w:r>
          </w:p>
        </w:tc>
        <w:tc>
          <w:tcPr>
            <w:tcW w:w="2268" w:type="dxa"/>
            <w:vAlign w:val="center"/>
          </w:tcPr>
          <w:p w14:paraId="653CD052" w14:textId="77777777" w:rsidR="00BE7F89" w:rsidRPr="00AC3044" w:rsidRDefault="00BE7F89" w:rsidP="005A428D">
            <w:pPr>
              <w:rPr>
                <w:rFonts w:eastAsia="SimSun"/>
              </w:rPr>
            </w:pPr>
            <w:r w:rsidRPr="00AC3044">
              <w:rPr>
                <w:rFonts w:eastAsia="SimSun"/>
              </w:rPr>
              <w:t>В/в. Суточная доза разделяется на 2 введения (см. «Инфузия АТГ»)</w:t>
            </w:r>
          </w:p>
        </w:tc>
      </w:tr>
      <w:tr w:rsidR="00BE7F89" w:rsidRPr="00AC3044" w14:paraId="10DFD6C6" w14:textId="77777777" w:rsidTr="005A428D">
        <w:trPr>
          <w:cantSplit/>
          <w:trHeight w:val="958"/>
        </w:trPr>
        <w:tc>
          <w:tcPr>
            <w:tcW w:w="817" w:type="dxa"/>
            <w:vMerge/>
            <w:textDirection w:val="btLr"/>
            <w:vAlign w:val="center"/>
          </w:tcPr>
          <w:p w14:paraId="425D46ED" w14:textId="77777777" w:rsidR="00BE7F89" w:rsidRPr="00AC3044" w:rsidRDefault="00BE7F89" w:rsidP="005A428D">
            <w:pPr>
              <w:rPr>
                <w:rFonts w:eastAsia="SimSun"/>
              </w:rPr>
            </w:pPr>
          </w:p>
        </w:tc>
        <w:tc>
          <w:tcPr>
            <w:tcW w:w="1701" w:type="dxa"/>
            <w:vAlign w:val="center"/>
          </w:tcPr>
          <w:p w14:paraId="0F76C5DF"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5A91B255" w14:textId="77777777" w:rsidR="00BE7F89" w:rsidRPr="00AC3044" w:rsidRDefault="00BE7F89" w:rsidP="005A428D">
            <w:pPr>
              <w:rPr>
                <w:rFonts w:eastAsia="SimSun"/>
              </w:rPr>
            </w:pPr>
            <w:r w:rsidRPr="00AC3044">
              <w:rPr>
                <w:rFonts w:eastAsia="SimSun"/>
              </w:rPr>
              <w:t>0,03 мг/кг</w:t>
            </w:r>
          </w:p>
        </w:tc>
        <w:tc>
          <w:tcPr>
            <w:tcW w:w="1418" w:type="dxa"/>
            <w:vAlign w:val="center"/>
          </w:tcPr>
          <w:p w14:paraId="22735B2B" w14:textId="77777777" w:rsidR="00BE7F89" w:rsidRPr="00AC3044" w:rsidRDefault="00BE7F89" w:rsidP="005A428D">
            <w:pPr>
              <w:rPr>
                <w:rFonts w:eastAsia="SimSun"/>
              </w:rPr>
            </w:pPr>
            <w:r w:rsidRPr="00AC3044">
              <w:rPr>
                <w:rFonts w:eastAsia="SimSun"/>
              </w:rPr>
              <w:t>–</w:t>
            </w:r>
          </w:p>
        </w:tc>
        <w:tc>
          <w:tcPr>
            <w:tcW w:w="1701" w:type="dxa"/>
            <w:vAlign w:val="center"/>
          </w:tcPr>
          <w:p w14:paraId="3E7D56DD" w14:textId="77777777" w:rsidR="00BE7F89" w:rsidRPr="00AC3044" w:rsidRDefault="00BE7F89" w:rsidP="005A428D">
            <w:pPr>
              <w:rPr>
                <w:rFonts w:eastAsia="SimSun"/>
              </w:rPr>
            </w:pPr>
            <w:r w:rsidRPr="00AC3044">
              <w:rPr>
                <w:rFonts w:eastAsia="SimSun"/>
              </w:rPr>
              <w:t xml:space="preserve">С -1 дня длительно </w:t>
            </w:r>
          </w:p>
        </w:tc>
        <w:tc>
          <w:tcPr>
            <w:tcW w:w="2268" w:type="dxa"/>
            <w:vAlign w:val="center"/>
          </w:tcPr>
          <w:p w14:paraId="697A38BF"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7152610B" w14:textId="77777777" w:rsidTr="005A428D">
        <w:trPr>
          <w:cantSplit/>
          <w:trHeight w:val="392"/>
        </w:trPr>
        <w:tc>
          <w:tcPr>
            <w:tcW w:w="817" w:type="dxa"/>
            <w:vMerge/>
            <w:textDirection w:val="btLr"/>
            <w:vAlign w:val="center"/>
          </w:tcPr>
          <w:p w14:paraId="763F262B" w14:textId="77777777" w:rsidR="00BE7F89" w:rsidRPr="00AC3044" w:rsidRDefault="00BE7F89" w:rsidP="005A428D">
            <w:pPr>
              <w:rPr>
                <w:rFonts w:eastAsia="SimSun"/>
              </w:rPr>
            </w:pPr>
          </w:p>
        </w:tc>
        <w:tc>
          <w:tcPr>
            <w:tcW w:w="1701" w:type="dxa"/>
            <w:vAlign w:val="center"/>
          </w:tcPr>
          <w:p w14:paraId="6FA84152"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24DED0D1"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12FD964E" w14:textId="77777777" w:rsidR="00BE7F89" w:rsidRPr="00AC3044" w:rsidRDefault="00BE7F89" w:rsidP="005A428D">
            <w:pPr>
              <w:rPr>
                <w:rFonts w:eastAsia="SimSun"/>
              </w:rPr>
            </w:pPr>
            <w:r w:rsidRPr="00AC3044">
              <w:rPr>
                <w:rFonts w:eastAsia="SimSun"/>
              </w:rPr>
              <w:t>–</w:t>
            </w:r>
          </w:p>
        </w:tc>
        <w:tc>
          <w:tcPr>
            <w:tcW w:w="1701" w:type="dxa"/>
            <w:vAlign w:val="center"/>
          </w:tcPr>
          <w:p w14:paraId="257BE08A" w14:textId="77777777" w:rsidR="00BE7F89" w:rsidRPr="00AC3044" w:rsidRDefault="00BE7F89" w:rsidP="005A428D">
            <w:pPr>
              <w:rPr>
                <w:rFonts w:eastAsia="SimSun"/>
              </w:rPr>
            </w:pPr>
            <w:r w:rsidRPr="00AC3044">
              <w:rPr>
                <w:rFonts w:eastAsia="SimSun"/>
              </w:rPr>
              <w:t xml:space="preserve">С -1 дня по +30 день </w:t>
            </w:r>
          </w:p>
        </w:tc>
        <w:tc>
          <w:tcPr>
            <w:tcW w:w="2268" w:type="dxa"/>
            <w:vAlign w:val="center"/>
          </w:tcPr>
          <w:p w14:paraId="1C61DC6F"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0061D138" w14:textId="77777777" w:rsidR="00BE7F89" w:rsidRPr="0074195F" w:rsidRDefault="00BE7F89" w:rsidP="00BE7F89">
      <w:pPr>
        <w:rPr>
          <w:rFonts w:eastAsia="SimSun"/>
        </w:rPr>
      </w:pPr>
      <w:bookmarkStart w:id="206" w:name="_Toc44401220"/>
    </w:p>
    <w:p w14:paraId="43A40C50" w14:textId="77777777" w:rsidR="00BE7F89" w:rsidRPr="00EE51B1" w:rsidRDefault="00BE7F89" w:rsidP="00BE7F89">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2.2.20  – </w:t>
      </w:r>
      <w:r w:rsidRPr="00C07B2E">
        <w:rPr>
          <w:rFonts w:eastAsia="SimSun"/>
        </w:rPr>
        <w:t>Flu</w:t>
      </w:r>
      <w:r w:rsidRPr="00EE51B1">
        <w:rPr>
          <w:rFonts w:eastAsia="SimSun"/>
          <w:lang w:val="en-US"/>
        </w:rPr>
        <w:t>180+</w:t>
      </w:r>
      <w:r w:rsidRPr="00C07B2E">
        <w:rPr>
          <w:rFonts w:eastAsia="SimSun"/>
        </w:rPr>
        <w:t>Cy</w:t>
      </w:r>
      <w:r w:rsidRPr="00EE51B1">
        <w:rPr>
          <w:rFonts w:eastAsia="SimSun"/>
          <w:lang w:val="en-US"/>
        </w:rPr>
        <w:t xml:space="preserve">1200 / </w:t>
      </w:r>
      <w:r w:rsidRPr="00C07B2E">
        <w:rPr>
          <w:rFonts w:eastAsia="SimSun"/>
        </w:rPr>
        <w:t>rATG</w:t>
      </w:r>
      <w:r w:rsidRPr="00EE51B1">
        <w:rPr>
          <w:rFonts w:eastAsia="SimSun"/>
          <w:lang w:val="en-US"/>
        </w:rPr>
        <w:t>+</w:t>
      </w:r>
      <w:r w:rsidRPr="00C07B2E">
        <w:rPr>
          <w:rFonts w:eastAsia="SimSun"/>
        </w:rPr>
        <w:t>Tx</w:t>
      </w:r>
      <w:r w:rsidRPr="00EE51B1">
        <w:rPr>
          <w:rFonts w:eastAsia="SimSun"/>
          <w:lang w:val="en-US"/>
        </w:rPr>
        <w:t>+</w:t>
      </w:r>
      <w:r w:rsidRPr="00C07B2E">
        <w:rPr>
          <w:rFonts w:eastAsia="SimSun"/>
        </w:rPr>
        <w:t>MMF</w:t>
      </w:r>
      <w:r w:rsidRPr="00EE51B1">
        <w:rPr>
          <w:rFonts w:eastAsia="SimSun"/>
          <w:lang w:val="en-US"/>
        </w:rPr>
        <w:t>30</w:t>
      </w:r>
      <w:bookmarkEnd w:id="20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2DB31AFB" w14:textId="77777777" w:rsidTr="005A428D">
        <w:trPr>
          <w:cantSplit/>
          <w:trHeight w:val="20"/>
          <w:tblHeader/>
        </w:trPr>
        <w:tc>
          <w:tcPr>
            <w:tcW w:w="817" w:type="dxa"/>
            <w:vAlign w:val="center"/>
          </w:tcPr>
          <w:p w14:paraId="07793109" w14:textId="77777777" w:rsidR="00BE7F89" w:rsidRPr="00AC3044" w:rsidRDefault="00BE7F89" w:rsidP="005A428D">
            <w:pPr>
              <w:rPr>
                <w:rFonts w:eastAsia="SimSun"/>
                <w:lang w:val="en-US"/>
              </w:rPr>
            </w:pPr>
          </w:p>
        </w:tc>
        <w:tc>
          <w:tcPr>
            <w:tcW w:w="1701" w:type="dxa"/>
            <w:vAlign w:val="center"/>
          </w:tcPr>
          <w:p w14:paraId="4F5ACB35"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69329F25"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5610480D"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49A8ECFE"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7098B70B"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297E32C" w14:textId="77777777" w:rsidTr="005A428D">
        <w:trPr>
          <w:cantSplit/>
          <w:trHeight w:val="20"/>
        </w:trPr>
        <w:tc>
          <w:tcPr>
            <w:tcW w:w="817" w:type="dxa"/>
            <w:vMerge w:val="restart"/>
            <w:textDirection w:val="btLr"/>
            <w:vAlign w:val="center"/>
          </w:tcPr>
          <w:p w14:paraId="4B1EDDEF"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7A34EFFD"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5BE7B8C4" w14:textId="77777777" w:rsidR="00BE7F89" w:rsidRPr="0074195F" w:rsidRDefault="00BE7F89" w:rsidP="005A428D">
            <w:pPr>
              <w:rPr>
                <w:rFonts w:eastAsia="SimSun"/>
                <w:vertAlign w:val="superscript"/>
              </w:rPr>
            </w:pPr>
            <w:r w:rsidRPr="00AC3044">
              <w:rPr>
                <w:rFonts w:eastAsia="SimSun"/>
              </w:rPr>
              <w:t>30 мг/м</w:t>
            </w:r>
            <w:r w:rsidRPr="0074195F">
              <w:rPr>
                <w:rFonts w:eastAsia="SimSun"/>
                <w:vertAlign w:val="superscript"/>
              </w:rPr>
              <w:t>2</w:t>
            </w:r>
          </w:p>
        </w:tc>
        <w:tc>
          <w:tcPr>
            <w:tcW w:w="1418" w:type="dxa"/>
            <w:vAlign w:val="center"/>
          </w:tcPr>
          <w:p w14:paraId="63A81AC8"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431853DB"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1755D34D"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285AEC26" w14:textId="77777777" w:rsidTr="005A428D">
        <w:trPr>
          <w:cantSplit/>
          <w:trHeight w:val="721"/>
        </w:trPr>
        <w:tc>
          <w:tcPr>
            <w:tcW w:w="817" w:type="dxa"/>
            <w:vMerge/>
            <w:vAlign w:val="center"/>
          </w:tcPr>
          <w:p w14:paraId="27F303A6" w14:textId="77777777" w:rsidR="00BE7F89" w:rsidRPr="00AC3044" w:rsidRDefault="00BE7F89" w:rsidP="005A428D">
            <w:pPr>
              <w:rPr>
                <w:rFonts w:eastAsia="SimSun"/>
              </w:rPr>
            </w:pPr>
          </w:p>
        </w:tc>
        <w:tc>
          <w:tcPr>
            <w:tcW w:w="1701" w:type="dxa"/>
            <w:vAlign w:val="center"/>
          </w:tcPr>
          <w:p w14:paraId="30DFCA07"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14563667" w14:textId="77777777" w:rsidR="00BE7F89" w:rsidRPr="00AC3044" w:rsidRDefault="00BE7F89" w:rsidP="005A428D">
            <w:pPr>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14:paraId="4A71C850" w14:textId="77777777" w:rsidR="00BE7F89" w:rsidRPr="00AC3044" w:rsidRDefault="00BE7F89" w:rsidP="005A428D">
            <w:pPr>
              <w:rPr>
                <w:rFonts w:eastAsia="SimSun"/>
              </w:rPr>
            </w:pPr>
            <w:r w:rsidRPr="00AC3044">
              <w:rPr>
                <w:rFonts w:eastAsia="SimSun"/>
              </w:rPr>
              <w:t>1200 мг/м</w:t>
            </w:r>
            <w:r w:rsidRPr="0074195F">
              <w:rPr>
                <w:rFonts w:eastAsia="SimSun"/>
                <w:vertAlign w:val="superscript"/>
              </w:rPr>
              <w:t>2</w:t>
            </w:r>
          </w:p>
        </w:tc>
        <w:tc>
          <w:tcPr>
            <w:tcW w:w="1701" w:type="dxa"/>
            <w:vAlign w:val="center"/>
          </w:tcPr>
          <w:p w14:paraId="0A1E7610" w14:textId="77777777" w:rsidR="00BE7F89" w:rsidRPr="00AC3044" w:rsidRDefault="00BE7F89" w:rsidP="005A428D">
            <w:pPr>
              <w:rPr>
                <w:rFonts w:eastAsia="SimSun"/>
              </w:rPr>
            </w:pPr>
            <w:r w:rsidRPr="00AC3044">
              <w:rPr>
                <w:rFonts w:eastAsia="SimSun"/>
              </w:rPr>
              <w:t xml:space="preserve"> С -5 дня по -2 день </w:t>
            </w:r>
          </w:p>
        </w:tc>
        <w:tc>
          <w:tcPr>
            <w:tcW w:w="2268" w:type="dxa"/>
            <w:vAlign w:val="center"/>
          </w:tcPr>
          <w:p w14:paraId="4DA404DA"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43383372" w14:textId="77777777" w:rsidTr="005A428D">
        <w:trPr>
          <w:cantSplit/>
          <w:trHeight w:val="547"/>
        </w:trPr>
        <w:tc>
          <w:tcPr>
            <w:tcW w:w="817" w:type="dxa"/>
            <w:vMerge w:val="restart"/>
            <w:textDirection w:val="btLr"/>
            <w:vAlign w:val="center"/>
          </w:tcPr>
          <w:p w14:paraId="43223630"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128594C0" w14:textId="77777777" w:rsidR="00BE7F89" w:rsidRPr="00AC3044" w:rsidRDefault="00BE7F89" w:rsidP="005A428D">
            <w:pPr>
              <w:rPr>
                <w:rFonts w:eastAsia="SimSun"/>
              </w:rPr>
            </w:pPr>
            <w:r w:rsidRPr="00AC3044">
              <w:rPr>
                <w:rFonts w:eastAsia="SimSun"/>
              </w:rPr>
              <w:t>АТГ (кроличий)</w:t>
            </w:r>
          </w:p>
        </w:tc>
        <w:tc>
          <w:tcPr>
            <w:tcW w:w="1559" w:type="dxa"/>
            <w:vAlign w:val="center"/>
          </w:tcPr>
          <w:p w14:paraId="29A83DE7" w14:textId="77777777" w:rsidR="00BE7F89" w:rsidRPr="00AC3044" w:rsidRDefault="00BE7F89" w:rsidP="005A428D">
            <w:pPr>
              <w:rPr>
                <w:rFonts w:eastAsia="SimSun"/>
              </w:rPr>
            </w:pPr>
            <w:r w:rsidRPr="00AC3044">
              <w:rPr>
                <w:rFonts w:eastAsia="SimSun"/>
              </w:rPr>
              <w:t>5 мг/кг</w:t>
            </w:r>
          </w:p>
        </w:tc>
        <w:tc>
          <w:tcPr>
            <w:tcW w:w="1418" w:type="dxa"/>
            <w:vAlign w:val="center"/>
          </w:tcPr>
          <w:p w14:paraId="365B8A94" w14:textId="77777777" w:rsidR="00BE7F89" w:rsidRPr="00AC3044" w:rsidRDefault="00BE7F89" w:rsidP="005A428D">
            <w:pPr>
              <w:rPr>
                <w:rFonts w:eastAsia="SimSun"/>
              </w:rPr>
            </w:pPr>
            <w:r w:rsidRPr="00AC3044">
              <w:rPr>
                <w:rFonts w:eastAsia="SimSun"/>
              </w:rPr>
              <w:t>10 мг/кг</w:t>
            </w:r>
          </w:p>
        </w:tc>
        <w:tc>
          <w:tcPr>
            <w:tcW w:w="1701" w:type="dxa"/>
            <w:vAlign w:val="center"/>
          </w:tcPr>
          <w:p w14:paraId="70E02A6D" w14:textId="77777777" w:rsidR="00BE7F89" w:rsidRPr="00AC3044" w:rsidRDefault="00BE7F89" w:rsidP="005A428D">
            <w:pPr>
              <w:rPr>
                <w:rFonts w:eastAsia="SimSun"/>
              </w:rPr>
            </w:pPr>
            <w:r w:rsidRPr="00AC3044">
              <w:rPr>
                <w:rFonts w:eastAsia="SimSun"/>
              </w:rPr>
              <w:t>В дни -2, -1</w:t>
            </w:r>
          </w:p>
        </w:tc>
        <w:tc>
          <w:tcPr>
            <w:tcW w:w="2268" w:type="dxa"/>
            <w:vAlign w:val="center"/>
          </w:tcPr>
          <w:p w14:paraId="62C88F8E" w14:textId="77777777" w:rsidR="00BE7F89" w:rsidRPr="00AC3044" w:rsidRDefault="00BE7F89" w:rsidP="005A428D">
            <w:pPr>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BE7F89" w:rsidRPr="00AC3044" w14:paraId="3AB12396" w14:textId="77777777" w:rsidTr="005A428D">
        <w:trPr>
          <w:cantSplit/>
          <w:trHeight w:val="958"/>
        </w:trPr>
        <w:tc>
          <w:tcPr>
            <w:tcW w:w="817" w:type="dxa"/>
            <w:vMerge/>
            <w:textDirection w:val="btLr"/>
            <w:vAlign w:val="center"/>
          </w:tcPr>
          <w:p w14:paraId="5E1A75BA" w14:textId="77777777" w:rsidR="00BE7F89" w:rsidRPr="00AC3044" w:rsidRDefault="00BE7F89" w:rsidP="005A428D">
            <w:pPr>
              <w:rPr>
                <w:rFonts w:eastAsia="SimSun"/>
              </w:rPr>
            </w:pPr>
          </w:p>
        </w:tc>
        <w:tc>
          <w:tcPr>
            <w:tcW w:w="1701" w:type="dxa"/>
            <w:vAlign w:val="center"/>
          </w:tcPr>
          <w:p w14:paraId="38234E31"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3D7B7DAD" w14:textId="77777777" w:rsidR="00BE7F89" w:rsidRPr="00AC3044" w:rsidRDefault="00BE7F89" w:rsidP="005A428D">
            <w:pPr>
              <w:rPr>
                <w:rFonts w:eastAsia="SimSun"/>
              </w:rPr>
            </w:pPr>
            <w:r w:rsidRPr="00AC3044">
              <w:rPr>
                <w:rFonts w:eastAsia="SimSun"/>
              </w:rPr>
              <w:t>0,03 мг/кг</w:t>
            </w:r>
          </w:p>
        </w:tc>
        <w:tc>
          <w:tcPr>
            <w:tcW w:w="1418" w:type="dxa"/>
            <w:vAlign w:val="center"/>
          </w:tcPr>
          <w:p w14:paraId="45912173" w14:textId="77777777" w:rsidR="00BE7F89" w:rsidRPr="00AC3044" w:rsidRDefault="00BE7F89" w:rsidP="005A428D">
            <w:pPr>
              <w:rPr>
                <w:rFonts w:eastAsia="SimSun"/>
              </w:rPr>
            </w:pPr>
            <w:r w:rsidRPr="00AC3044">
              <w:rPr>
                <w:rFonts w:eastAsia="SimSun"/>
              </w:rPr>
              <w:t>–</w:t>
            </w:r>
          </w:p>
        </w:tc>
        <w:tc>
          <w:tcPr>
            <w:tcW w:w="1701" w:type="dxa"/>
            <w:vAlign w:val="center"/>
          </w:tcPr>
          <w:p w14:paraId="6BBD1D2E" w14:textId="77777777" w:rsidR="00BE7F89" w:rsidRPr="00AC3044" w:rsidRDefault="00BE7F89" w:rsidP="005A428D">
            <w:pPr>
              <w:rPr>
                <w:rFonts w:eastAsia="SimSun"/>
              </w:rPr>
            </w:pPr>
            <w:r w:rsidRPr="00AC3044">
              <w:rPr>
                <w:rFonts w:eastAsia="SimSun"/>
              </w:rPr>
              <w:t xml:space="preserve">С -1 дня длительно </w:t>
            </w:r>
          </w:p>
        </w:tc>
        <w:tc>
          <w:tcPr>
            <w:tcW w:w="2268" w:type="dxa"/>
            <w:vAlign w:val="center"/>
          </w:tcPr>
          <w:p w14:paraId="511556D6"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08E787C9" w14:textId="77777777" w:rsidTr="005A428D">
        <w:trPr>
          <w:cantSplit/>
          <w:trHeight w:val="654"/>
        </w:trPr>
        <w:tc>
          <w:tcPr>
            <w:tcW w:w="817" w:type="dxa"/>
            <w:vMerge/>
            <w:textDirection w:val="btLr"/>
            <w:vAlign w:val="center"/>
          </w:tcPr>
          <w:p w14:paraId="38AF1526" w14:textId="77777777" w:rsidR="00BE7F89" w:rsidRPr="00AC3044" w:rsidRDefault="00BE7F89" w:rsidP="005A428D">
            <w:pPr>
              <w:rPr>
                <w:rFonts w:eastAsia="SimSun"/>
              </w:rPr>
            </w:pPr>
          </w:p>
        </w:tc>
        <w:tc>
          <w:tcPr>
            <w:tcW w:w="1701" w:type="dxa"/>
            <w:vAlign w:val="center"/>
          </w:tcPr>
          <w:p w14:paraId="2FCB1C9C"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1E15634B"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358EE6D3" w14:textId="77777777" w:rsidR="00BE7F89" w:rsidRPr="00AC3044" w:rsidRDefault="00BE7F89" w:rsidP="005A428D">
            <w:pPr>
              <w:rPr>
                <w:rFonts w:eastAsia="SimSun"/>
              </w:rPr>
            </w:pPr>
            <w:r w:rsidRPr="00AC3044">
              <w:rPr>
                <w:rFonts w:eastAsia="SimSun"/>
              </w:rPr>
              <w:t>–</w:t>
            </w:r>
          </w:p>
        </w:tc>
        <w:tc>
          <w:tcPr>
            <w:tcW w:w="1701" w:type="dxa"/>
            <w:vAlign w:val="center"/>
          </w:tcPr>
          <w:p w14:paraId="4639F76E" w14:textId="77777777" w:rsidR="00BE7F89" w:rsidRPr="00AC3044" w:rsidRDefault="00BE7F89" w:rsidP="005A428D">
            <w:pPr>
              <w:rPr>
                <w:rFonts w:eastAsia="SimSun"/>
              </w:rPr>
            </w:pPr>
            <w:r w:rsidRPr="00AC3044">
              <w:rPr>
                <w:rFonts w:eastAsia="SimSun"/>
              </w:rPr>
              <w:t xml:space="preserve">С -1 дня по +30 день </w:t>
            </w:r>
          </w:p>
        </w:tc>
        <w:tc>
          <w:tcPr>
            <w:tcW w:w="2268" w:type="dxa"/>
            <w:vAlign w:val="center"/>
          </w:tcPr>
          <w:p w14:paraId="38D61B71"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3550D34E" w14:textId="77777777" w:rsidR="00BE7F89" w:rsidRPr="00C07B2E" w:rsidRDefault="00BE7F89" w:rsidP="00BE7F89">
      <w:pPr>
        <w:rPr>
          <w:rFonts w:eastAsia="SimSun"/>
        </w:rPr>
      </w:pPr>
    </w:p>
    <w:p w14:paraId="78C73465" w14:textId="77777777" w:rsidR="00BE7F89" w:rsidRPr="00C07B2E" w:rsidRDefault="00BE7F89" w:rsidP="00BE7F89">
      <w:pPr>
        <w:rPr>
          <w:rFonts w:eastAsia="SimSun"/>
        </w:rPr>
      </w:pPr>
      <w:bookmarkStart w:id="207" w:name="_Toc44401221"/>
      <w:r w:rsidRPr="00EE51B1">
        <w:rPr>
          <w:rFonts w:eastAsia="SimSun"/>
        </w:rPr>
        <w:t>Таблица</w:t>
      </w:r>
      <w:r w:rsidRPr="00C07B2E">
        <w:rPr>
          <w:rFonts w:eastAsia="SimSun"/>
        </w:rPr>
        <w:t xml:space="preserve"> </w:t>
      </w:r>
      <w:r>
        <w:rPr>
          <w:rFonts w:eastAsia="SimSun"/>
        </w:rPr>
        <w:t>5.</w:t>
      </w:r>
      <w:r w:rsidRPr="00C07B2E">
        <w:rPr>
          <w:rFonts w:eastAsia="SimSun"/>
        </w:rPr>
        <w:t>2.2.21 – Flu180+Mel100/ PT-Cy+Tx+MMF30</w:t>
      </w:r>
      <w:bookmarkEnd w:id="20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BE7F89" w:rsidRPr="00AC3044" w14:paraId="6D6EDFFE" w14:textId="77777777" w:rsidTr="005A428D">
        <w:trPr>
          <w:cantSplit/>
          <w:trHeight w:val="20"/>
          <w:tblHeader/>
        </w:trPr>
        <w:tc>
          <w:tcPr>
            <w:tcW w:w="817" w:type="dxa"/>
            <w:vAlign w:val="center"/>
          </w:tcPr>
          <w:p w14:paraId="0D31F776" w14:textId="77777777" w:rsidR="00BE7F89" w:rsidRPr="00AC3044" w:rsidRDefault="00BE7F89" w:rsidP="005A428D">
            <w:pPr>
              <w:rPr>
                <w:rFonts w:eastAsia="SimSun"/>
              </w:rPr>
            </w:pPr>
          </w:p>
        </w:tc>
        <w:tc>
          <w:tcPr>
            <w:tcW w:w="1701" w:type="dxa"/>
            <w:vAlign w:val="center"/>
          </w:tcPr>
          <w:p w14:paraId="50EF2B94" w14:textId="77777777" w:rsidR="00BE7F89" w:rsidRPr="00AC3044" w:rsidRDefault="00BE7F89" w:rsidP="005A428D">
            <w:pPr>
              <w:rPr>
                <w:rFonts w:eastAsia="SimSun"/>
              </w:rPr>
            </w:pPr>
            <w:r w:rsidRPr="00AC3044">
              <w:rPr>
                <w:rFonts w:eastAsia="SimSun"/>
              </w:rPr>
              <w:t>Препарат</w:t>
            </w:r>
          </w:p>
        </w:tc>
        <w:tc>
          <w:tcPr>
            <w:tcW w:w="1559" w:type="dxa"/>
            <w:vAlign w:val="center"/>
          </w:tcPr>
          <w:p w14:paraId="0267B213" w14:textId="77777777" w:rsidR="00BE7F89" w:rsidRPr="00AC3044" w:rsidRDefault="00BE7F89" w:rsidP="005A428D">
            <w:pPr>
              <w:rPr>
                <w:rFonts w:eastAsia="SimSun"/>
              </w:rPr>
            </w:pPr>
            <w:r w:rsidRPr="00AC3044">
              <w:rPr>
                <w:rFonts w:eastAsia="SimSun"/>
              </w:rPr>
              <w:t>Суточная доза</w:t>
            </w:r>
          </w:p>
        </w:tc>
        <w:tc>
          <w:tcPr>
            <w:tcW w:w="1418" w:type="dxa"/>
            <w:vAlign w:val="center"/>
          </w:tcPr>
          <w:p w14:paraId="5F272631" w14:textId="77777777" w:rsidR="00BE7F89" w:rsidRPr="00AC3044" w:rsidRDefault="00BE7F89" w:rsidP="005A428D">
            <w:pPr>
              <w:rPr>
                <w:rFonts w:eastAsia="SimSun"/>
              </w:rPr>
            </w:pPr>
            <w:r w:rsidRPr="00AC3044">
              <w:rPr>
                <w:rFonts w:eastAsia="SimSun"/>
              </w:rPr>
              <w:t>Курсовая доза</w:t>
            </w:r>
          </w:p>
        </w:tc>
        <w:tc>
          <w:tcPr>
            <w:tcW w:w="1701" w:type="dxa"/>
            <w:vAlign w:val="center"/>
          </w:tcPr>
          <w:p w14:paraId="7BF114D8" w14:textId="77777777" w:rsidR="00BE7F89" w:rsidRPr="00AC3044" w:rsidRDefault="00BE7F89" w:rsidP="005A428D">
            <w:pPr>
              <w:rPr>
                <w:rFonts w:eastAsia="SimSun"/>
              </w:rPr>
            </w:pPr>
            <w:r w:rsidRPr="00AC3044">
              <w:rPr>
                <w:rFonts w:eastAsia="SimSun"/>
              </w:rPr>
              <w:t>Дни введения</w:t>
            </w:r>
          </w:p>
        </w:tc>
        <w:tc>
          <w:tcPr>
            <w:tcW w:w="2268" w:type="dxa"/>
            <w:vAlign w:val="center"/>
          </w:tcPr>
          <w:p w14:paraId="6AB99AA7"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601615EE" w14:textId="77777777" w:rsidTr="005A428D">
        <w:trPr>
          <w:cantSplit/>
          <w:trHeight w:val="20"/>
        </w:trPr>
        <w:tc>
          <w:tcPr>
            <w:tcW w:w="817" w:type="dxa"/>
            <w:vMerge w:val="restart"/>
            <w:textDirection w:val="btLr"/>
            <w:vAlign w:val="center"/>
          </w:tcPr>
          <w:p w14:paraId="5193FF9E" w14:textId="77777777" w:rsidR="00BE7F89" w:rsidRPr="00AC3044" w:rsidRDefault="00BE7F89" w:rsidP="005A428D">
            <w:pPr>
              <w:rPr>
                <w:rFonts w:eastAsia="SimSun"/>
              </w:rPr>
            </w:pPr>
            <w:r w:rsidRPr="00AC3044">
              <w:rPr>
                <w:rFonts w:eastAsia="SimSun"/>
              </w:rPr>
              <w:t>Кондиционирование</w:t>
            </w:r>
          </w:p>
        </w:tc>
        <w:tc>
          <w:tcPr>
            <w:tcW w:w="1701" w:type="dxa"/>
            <w:vAlign w:val="center"/>
          </w:tcPr>
          <w:p w14:paraId="35C2436A" w14:textId="77777777" w:rsidR="00BE7F89" w:rsidRPr="00AC3044" w:rsidRDefault="00BE7F89" w:rsidP="005A428D">
            <w:pPr>
              <w:rPr>
                <w:rFonts w:eastAsia="SimSun"/>
              </w:rPr>
            </w:pPr>
            <w:r w:rsidRPr="00AC3044">
              <w:rPr>
                <w:rFonts w:eastAsia="SimSun"/>
              </w:rPr>
              <w:t xml:space="preserve">Флударабин </w:t>
            </w:r>
          </w:p>
        </w:tc>
        <w:tc>
          <w:tcPr>
            <w:tcW w:w="1559" w:type="dxa"/>
            <w:vAlign w:val="center"/>
          </w:tcPr>
          <w:p w14:paraId="78A10C60"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8" w:type="dxa"/>
            <w:vAlign w:val="center"/>
          </w:tcPr>
          <w:p w14:paraId="5564BB08"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701" w:type="dxa"/>
            <w:vAlign w:val="center"/>
          </w:tcPr>
          <w:p w14:paraId="1467FB00" w14:textId="77777777" w:rsidR="00BE7F89" w:rsidRPr="00AC3044" w:rsidRDefault="00BE7F89" w:rsidP="005A428D">
            <w:pPr>
              <w:rPr>
                <w:rFonts w:eastAsia="SimSun"/>
              </w:rPr>
            </w:pPr>
            <w:r w:rsidRPr="00AC3044">
              <w:rPr>
                <w:rFonts w:eastAsia="SimSun"/>
              </w:rPr>
              <w:t>С -7 дня по -2 день</w:t>
            </w:r>
          </w:p>
        </w:tc>
        <w:tc>
          <w:tcPr>
            <w:tcW w:w="2268" w:type="dxa"/>
            <w:vAlign w:val="center"/>
          </w:tcPr>
          <w:p w14:paraId="7414E159"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1E516C57" w14:textId="77777777" w:rsidTr="005A428D">
        <w:trPr>
          <w:cantSplit/>
          <w:trHeight w:val="450"/>
        </w:trPr>
        <w:tc>
          <w:tcPr>
            <w:tcW w:w="817" w:type="dxa"/>
            <w:vMerge/>
            <w:vAlign w:val="center"/>
          </w:tcPr>
          <w:p w14:paraId="4A543C61" w14:textId="77777777" w:rsidR="00BE7F89" w:rsidRPr="00AC3044" w:rsidRDefault="00BE7F89" w:rsidP="005A428D">
            <w:pPr>
              <w:rPr>
                <w:rFonts w:eastAsia="SimSun"/>
              </w:rPr>
            </w:pPr>
          </w:p>
        </w:tc>
        <w:tc>
          <w:tcPr>
            <w:tcW w:w="1701" w:type="dxa"/>
            <w:vAlign w:val="center"/>
          </w:tcPr>
          <w:p w14:paraId="1C9D24D1" w14:textId="77777777" w:rsidR="00BE7F89" w:rsidRPr="00AC3044" w:rsidRDefault="00BE7F89" w:rsidP="005A428D">
            <w:pPr>
              <w:rPr>
                <w:rFonts w:eastAsia="SimSun"/>
              </w:rPr>
            </w:pPr>
            <w:r w:rsidRPr="00AC3044">
              <w:rPr>
                <w:rFonts w:eastAsia="SimSun"/>
              </w:rPr>
              <w:t>Мелфалан</w:t>
            </w:r>
          </w:p>
        </w:tc>
        <w:tc>
          <w:tcPr>
            <w:tcW w:w="1559" w:type="dxa"/>
            <w:vAlign w:val="center"/>
          </w:tcPr>
          <w:p w14:paraId="539A15A7" w14:textId="77777777" w:rsidR="00BE7F89" w:rsidRPr="00AC3044" w:rsidRDefault="00BE7F89" w:rsidP="005A428D">
            <w:pPr>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418" w:type="dxa"/>
            <w:vAlign w:val="center"/>
          </w:tcPr>
          <w:p w14:paraId="593D9C8E" w14:textId="77777777" w:rsidR="00BE7F89" w:rsidRPr="00AC3044" w:rsidRDefault="00BE7F89" w:rsidP="005A428D">
            <w:pPr>
              <w:rPr>
                <w:rFonts w:eastAsia="SimSun"/>
              </w:rPr>
            </w:pPr>
            <w:r w:rsidRPr="00AC3044">
              <w:rPr>
                <w:rFonts w:eastAsia="SimSun"/>
              </w:rPr>
              <w:t>100 мг/м</w:t>
            </w:r>
            <w:r w:rsidRPr="0074195F">
              <w:rPr>
                <w:rFonts w:eastAsia="SimSun"/>
                <w:vertAlign w:val="superscript"/>
              </w:rPr>
              <w:t>2</w:t>
            </w:r>
          </w:p>
        </w:tc>
        <w:tc>
          <w:tcPr>
            <w:tcW w:w="1701" w:type="dxa"/>
            <w:vAlign w:val="center"/>
          </w:tcPr>
          <w:p w14:paraId="2BABDB37" w14:textId="77777777" w:rsidR="00BE7F89" w:rsidRPr="00AC3044" w:rsidRDefault="00BE7F89" w:rsidP="005A428D">
            <w:pPr>
              <w:rPr>
                <w:rFonts w:eastAsia="SimSun"/>
              </w:rPr>
            </w:pPr>
            <w:r w:rsidRPr="00AC3044">
              <w:rPr>
                <w:rFonts w:eastAsia="SimSun"/>
              </w:rPr>
              <w:t xml:space="preserve">В -2 день </w:t>
            </w:r>
          </w:p>
        </w:tc>
        <w:tc>
          <w:tcPr>
            <w:tcW w:w="2268" w:type="dxa"/>
            <w:vAlign w:val="center"/>
          </w:tcPr>
          <w:p w14:paraId="7B058878"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6E791287" w14:textId="77777777" w:rsidTr="005A428D">
        <w:trPr>
          <w:cantSplit/>
          <w:trHeight w:val="450"/>
        </w:trPr>
        <w:tc>
          <w:tcPr>
            <w:tcW w:w="817" w:type="dxa"/>
            <w:vMerge w:val="restart"/>
            <w:textDirection w:val="btLr"/>
            <w:vAlign w:val="center"/>
          </w:tcPr>
          <w:p w14:paraId="34B60C1D" w14:textId="77777777" w:rsidR="00BE7F89" w:rsidRPr="00AC3044" w:rsidRDefault="00BE7F89" w:rsidP="005A428D">
            <w:pPr>
              <w:rPr>
                <w:rFonts w:eastAsia="SimSun"/>
              </w:rPr>
            </w:pPr>
            <w:r w:rsidRPr="00AC3044">
              <w:rPr>
                <w:rFonts w:eastAsia="SimSun"/>
              </w:rPr>
              <w:t>Профилактика РТПХ</w:t>
            </w:r>
          </w:p>
        </w:tc>
        <w:tc>
          <w:tcPr>
            <w:tcW w:w="1701" w:type="dxa"/>
            <w:vAlign w:val="center"/>
          </w:tcPr>
          <w:p w14:paraId="46FB8B74" w14:textId="77777777" w:rsidR="00BE7F89" w:rsidRPr="00AC3044" w:rsidRDefault="00BE7F89" w:rsidP="005A428D">
            <w:pPr>
              <w:rPr>
                <w:rFonts w:eastAsia="SimSun"/>
              </w:rPr>
            </w:pPr>
            <w:r w:rsidRPr="00AC3044">
              <w:rPr>
                <w:rFonts w:eastAsia="SimSun"/>
              </w:rPr>
              <w:t>Циклофосфамид</w:t>
            </w:r>
          </w:p>
        </w:tc>
        <w:tc>
          <w:tcPr>
            <w:tcW w:w="1559" w:type="dxa"/>
            <w:vAlign w:val="center"/>
          </w:tcPr>
          <w:p w14:paraId="3B21AF97" w14:textId="77777777" w:rsidR="00BE7F89" w:rsidRPr="00AC3044" w:rsidRDefault="00BE7F89" w:rsidP="005A428D">
            <w:pPr>
              <w:rPr>
                <w:rFonts w:eastAsia="SimSun"/>
              </w:rPr>
            </w:pPr>
            <w:r w:rsidRPr="00AC3044">
              <w:rPr>
                <w:rFonts w:eastAsia="SimSun"/>
              </w:rPr>
              <w:t>50 мг/кг</w:t>
            </w:r>
          </w:p>
        </w:tc>
        <w:tc>
          <w:tcPr>
            <w:tcW w:w="1418" w:type="dxa"/>
            <w:vAlign w:val="center"/>
          </w:tcPr>
          <w:p w14:paraId="165A1484" w14:textId="77777777" w:rsidR="00BE7F89" w:rsidRPr="00AC3044" w:rsidRDefault="00BE7F89" w:rsidP="005A428D">
            <w:pPr>
              <w:rPr>
                <w:rFonts w:eastAsia="SimSun"/>
              </w:rPr>
            </w:pPr>
            <w:r w:rsidRPr="00AC3044">
              <w:rPr>
                <w:rFonts w:eastAsia="SimSun"/>
              </w:rPr>
              <w:t>100 мг/кг</w:t>
            </w:r>
          </w:p>
        </w:tc>
        <w:tc>
          <w:tcPr>
            <w:tcW w:w="1701" w:type="dxa"/>
            <w:vAlign w:val="center"/>
          </w:tcPr>
          <w:p w14:paraId="18D1CB92" w14:textId="77777777" w:rsidR="00BE7F89" w:rsidRPr="00AC3044" w:rsidRDefault="00BE7F89" w:rsidP="005A428D">
            <w:pPr>
              <w:rPr>
                <w:rFonts w:eastAsia="SimSun"/>
              </w:rPr>
            </w:pPr>
            <w:r w:rsidRPr="00AC3044">
              <w:rPr>
                <w:rFonts w:eastAsia="SimSun"/>
              </w:rPr>
              <w:t xml:space="preserve">+3,+4 дни </w:t>
            </w:r>
          </w:p>
        </w:tc>
        <w:tc>
          <w:tcPr>
            <w:tcW w:w="2268" w:type="dxa"/>
            <w:vAlign w:val="center"/>
          </w:tcPr>
          <w:p w14:paraId="437B5BAF"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68E8A8B2" w14:textId="77777777" w:rsidTr="005A428D">
        <w:trPr>
          <w:cantSplit/>
          <w:trHeight w:val="958"/>
        </w:trPr>
        <w:tc>
          <w:tcPr>
            <w:tcW w:w="817" w:type="dxa"/>
            <w:vMerge/>
            <w:textDirection w:val="btLr"/>
            <w:vAlign w:val="center"/>
          </w:tcPr>
          <w:p w14:paraId="35C8A999" w14:textId="77777777" w:rsidR="00BE7F89" w:rsidRPr="00AC3044" w:rsidRDefault="00BE7F89" w:rsidP="005A428D">
            <w:pPr>
              <w:rPr>
                <w:rFonts w:eastAsia="SimSun"/>
              </w:rPr>
            </w:pPr>
          </w:p>
        </w:tc>
        <w:tc>
          <w:tcPr>
            <w:tcW w:w="1701" w:type="dxa"/>
            <w:vAlign w:val="center"/>
          </w:tcPr>
          <w:p w14:paraId="6E1F236D" w14:textId="77777777" w:rsidR="00BE7F89" w:rsidRPr="00AC3044" w:rsidRDefault="00BE7F89" w:rsidP="005A428D">
            <w:pPr>
              <w:rPr>
                <w:rFonts w:eastAsia="SimSun"/>
              </w:rPr>
            </w:pPr>
            <w:r w:rsidRPr="00AC3044">
              <w:rPr>
                <w:rFonts w:eastAsia="SimSun"/>
              </w:rPr>
              <w:t xml:space="preserve">Такролимус </w:t>
            </w:r>
          </w:p>
        </w:tc>
        <w:tc>
          <w:tcPr>
            <w:tcW w:w="1559" w:type="dxa"/>
            <w:vAlign w:val="center"/>
          </w:tcPr>
          <w:p w14:paraId="3B9F0C6D" w14:textId="77777777" w:rsidR="00BE7F89" w:rsidRPr="00AC3044" w:rsidRDefault="00BE7F89" w:rsidP="005A428D">
            <w:pPr>
              <w:rPr>
                <w:rFonts w:eastAsia="SimSun"/>
              </w:rPr>
            </w:pPr>
            <w:r w:rsidRPr="00AC3044">
              <w:rPr>
                <w:rFonts w:eastAsia="SimSun"/>
              </w:rPr>
              <w:t>0,03 мг/кг</w:t>
            </w:r>
          </w:p>
        </w:tc>
        <w:tc>
          <w:tcPr>
            <w:tcW w:w="1418" w:type="dxa"/>
            <w:vAlign w:val="center"/>
          </w:tcPr>
          <w:p w14:paraId="5FAC86F0" w14:textId="77777777" w:rsidR="00BE7F89" w:rsidRPr="00AC3044" w:rsidRDefault="00BE7F89" w:rsidP="005A428D">
            <w:pPr>
              <w:rPr>
                <w:rFonts w:eastAsia="SimSun"/>
              </w:rPr>
            </w:pPr>
            <w:r w:rsidRPr="00AC3044">
              <w:rPr>
                <w:rFonts w:eastAsia="SimSun"/>
              </w:rPr>
              <w:t>–</w:t>
            </w:r>
          </w:p>
        </w:tc>
        <w:tc>
          <w:tcPr>
            <w:tcW w:w="1701" w:type="dxa"/>
            <w:vAlign w:val="center"/>
          </w:tcPr>
          <w:p w14:paraId="78C1A11E" w14:textId="77777777" w:rsidR="00BE7F89" w:rsidRPr="00AC3044" w:rsidRDefault="00BE7F89" w:rsidP="005A428D">
            <w:pPr>
              <w:rPr>
                <w:rFonts w:eastAsia="SimSun"/>
              </w:rPr>
            </w:pPr>
            <w:r w:rsidRPr="00AC3044">
              <w:rPr>
                <w:rFonts w:eastAsia="SimSun"/>
              </w:rPr>
              <w:t xml:space="preserve">С -1 дня длительно </w:t>
            </w:r>
          </w:p>
        </w:tc>
        <w:tc>
          <w:tcPr>
            <w:tcW w:w="2268" w:type="dxa"/>
            <w:vAlign w:val="center"/>
          </w:tcPr>
          <w:p w14:paraId="374EE65F"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584A9C54" w14:textId="77777777" w:rsidTr="005A428D">
        <w:trPr>
          <w:cantSplit/>
          <w:trHeight w:val="528"/>
        </w:trPr>
        <w:tc>
          <w:tcPr>
            <w:tcW w:w="817" w:type="dxa"/>
            <w:vMerge/>
            <w:textDirection w:val="btLr"/>
            <w:vAlign w:val="center"/>
          </w:tcPr>
          <w:p w14:paraId="409C9ADE" w14:textId="77777777" w:rsidR="00BE7F89" w:rsidRPr="00AC3044" w:rsidRDefault="00BE7F89" w:rsidP="005A428D">
            <w:pPr>
              <w:rPr>
                <w:rFonts w:eastAsia="SimSun"/>
              </w:rPr>
            </w:pPr>
          </w:p>
        </w:tc>
        <w:tc>
          <w:tcPr>
            <w:tcW w:w="1701" w:type="dxa"/>
            <w:vAlign w:val="center"/>
          </w:tcPr>
          <w:p w14:paraId="52EE0732" w14:textId="77777777" w:rsidR="00BE7F89" w:rsidRPr="00AC3044" w:rsidRDefault="00BE7F89" w:rsidP="005A428D">
            <w:pPr>
              <w:rPr>
                <w:rFonts w:eastAsia="SimSun"/>
              </w:rPr>
            </w:pPr>
            <w:r w:rsidRPr="00AC3044">
              <w:rPr>
                <w:rFonts w:eastAsia="SimSun"/>
              </w:rPr>
              <w:t>Микофенолата мофетил</w:t>
            </w:r>
          </w:p>
        </w:tc>
        <w:tc>
          <w:tcPr>
            <w:tcW w:w="1559" w:type="dxa"/>
            <w:vAlign w:val="center"/>
          </w:tcPr>
          <w:p w14:paraId="1096ED1F" w14:textId="77777777" w:rsidR="00BE7F89" w:rsidRPr="00AC3044" w:rsidRDefault="00BE7F89" w:rsidP="005A428D">
            <w:pPr>
              <w:rPr>
                <w:rFonts w:eastAsia="SimSun"/>
              </w:rPr>
            </w:pPr>
            <w:r w:rsidRPr="00AC3044">
              <w:rPr>
                <w:rFonts w:eastAsia="SimSun"/>
              </w:rPr>
              <w:t xml:space="preserve">30 мг/кг </w:t>
            </w:r>
          </w:p>
        </w:tc>
        <w:tc>
          <w:tcPr>
            <w:tcW w:w="1418" w:type="dxa"/>
            <w:vAlign w:val="center"/>
          </w:tcPr>
          <w:p w14:paraId="09137D94" w14:textId="77777777" w:rsidR="00BE7F89" w:rsidRPr="00AC3044" w:rsidRDefault="00BE7F89" w:rsidP="005A428D">
            <w:pPr>
              <w:rPr>
                <w:rFonts w:eastAsia="SimSun"/>
              </w:rPr>
            </w:pPr>
            <w:r w:rsidRPr="00AC3044">
              <w:rPr>
                <w:rFonts w:eastAsia="SimSun"/>
              </w:rPr>
              <w:t>–</w:t>
            </w:r>
          </w:p>
        </w:tc>
        <w:tc>
          <w:tcPr>
            <w:tcW w:w="1701" w:type="dxa"/>
            <w:vAlign w:val="center"/>
          </w:tcPr>
          <w:p w14:paraId="4BC55CE6" w14:textId="77777777" w:rsidR="00BE7F89" w:rsidRPr="00AC3044" w:rsidRDefault="00BE7F89" w:rsidP="005A428D">
            <w:pPr>
              <w:rPr>
                <w:rFonts w:eastAsia="SimSun"/>
              </w:rPr>
            </w:pPr>
            <w:r w:rsidRPr="00AC3044">
              <w:rPr>
                <w:rFonts w:eastAsia="SimSun"/>
              </w:rPr>
              <w:t xml:space="preserve">С -1 дня по +30 день </w:t>
            </w:r>
          </w:p>
        </w:tc>
        <w:tc>
          <w:tcPr>
            <w:tcW w:w="2268" w:type="dxa"/>
            <w:vAlign w:val="center"/>
          </w:tcPr>
          <w:p w14:paraId="6D89BDFE"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415C2173" w14:textId="77777777" w:rsidR="00BE7F89" w:rsidRPr="00C07B2E" w:rsidRDefault="00BE7F89" w:rsidP="00BE7F89">
      <w:pPr>
        <w:rPr>
          <w:rFonts w:eastAsia="SimSun"/>
        </w:rPr>
        <w:sectPr w:rsidR="00BE7F89" w:rsidRPr="00C07B2E" w:rsidSect="00980822">
          <w:footerReference w:type="default" r:id="rId12"/>
          <w:type w:val="continuous"/>
          <w:pgSz w:w="11907" w:h="16839" w:code="9"/>
          <w:pgMar w:top="1134" w:right="850" w:bottom="1134" w:left="1701" w:header="709" w:footer="567" w:gutter="0"/>
          <w:cols w:space="708"/>
          <w:docGrid w:linePitch="360"/>
        </w:sectPr>
      </w:pPr>
    </w:p>
    <w:p w14:paraId="067C17F1" w14:textId="77777777" w:rsidR="00BE7F89" w:rsidRPr="0074195F" w:rsidRDefault="00BE7F89" w:rsidP="00BE7F89">
      <w:pPr>
        <w:rPr>
          <w:rFonts w:eastAsia="SimSun"/>
        </w:rPr>
      </w:pPr>
      <w:bookmarkStart w:id="208" w:name="_Toc44401222"/>
    </w:p>
    <w:p w14:paraId="61AF1FE3" w14:textId="77777777" w:rsidR="00BE7F89" w:rsidRPr="00030511" w:rsidRDefault="00BE7F89" w:rsidP="00BE7F89">
      <w:pPr>
        <w:rPr>
          <w:rFonts w:eastAsia="SimSun"/>
          <w:i/>
          <w:u w:val="single"/>
        </w:rPr>
      </w:pPr>
      <w:r w:rsidRPr="00030511">
        <w:rPr>
          <w:rFonts w:eastAsia="SimSun"/>
          <w:i/>
          <w:u w:val="single"/>
        </w:rPr>
        <w:t>3. Неродственный частично совместимый или родственный гаплоидентичный донор</w:t>
      </w:r>
      <w:bookmarkEnd w:id="208"/>
    </w:p>
    <w:p w14:paraId="16672F2B" w14:textId="77777777" w:rsidR="00BE7F89" w:rsidRDefault="00BE7F89" w:rsidP="00BE7F89">
      <w:pPr>
        <w:rPr>
          <w:rFonts w:eastAsia="SimSun"/>
        </w:rPr>
      </w:pPr>
      <w:bookmarkStart w:id="209" w:name="_Toc44401223"/>
    </w:p>
    <w:bookmarkEnd w:id="209"/>
    <w:p w14:paraId="0F894716" w14:textId="77777777" w:rsidR="00BE7F89" w:rsidRDefault="00BE7F89" w:rsidP="00BE7F89">
      <w:pPr>
        <w:rPr>
          <w:rFonts w:eastAsia="SimSun"/>
        </w:rPr>
      </w:pPr>
      <w:r w:rsidRPr="00C07B2E">
        <w:rPr>
          <w:rFonts w:eastAsia="SimSun"/>
        </w:rPr>
        <w:t>Схемы и режимы применения препаратов для кондиционирования</w:t>
      </w:r>
      <w:r>
        <w:rPr>
          <w:rFonts w:eastAsia="SimSun"/>
        </w:rPr>
        <w:t xml:space="preserve"> </w:t>
      </w:r>
      <w:r w:rsidRPr="00030511">
        <w:rPr>
          <w:rFonts w:eastAsia="SimSun"/>
        </w:rPr>
        <w:t>в миелоаблативном режиме и режиме пониженной интенсивности</w:t>
      </w:r>
      <w:r w:rsidRPr="00C07B2E">
        <w:rPr>
          <w:rFonts w:eastAsia="SimSun"/>
        </w:rPr>
        <w:t xml:space="preserve"> и профилактики РТПХ со ссылками на приложения указаны в Таблице </w:t>
      </w:r>
      <w:r>
        <w:rPr>
          <w:rFonts w:eastAsia="SimSun"/>
        </w:rPr>
        <w:t>5.</w:t>
      </w:r>
      <w:r w:rsidRPr="00C07B2E">
        <w:rPr>
          <w:rFonts w:eastAsia="SimSun"/>
        </w:rPr>
        <w:t>3.1</w:t>
      </w:r>
    </w:p>
    <w:p w14:paraId="2078CEE4" w14:textId="77777777" w:rsidR="00BE7F89" w:rsidRPr="00C07B2E" w:rsidRDefault="00BE7F89" w:rsidP="00BE7F89">
      <w:pPr>
        <w:rPr>
          <w:rFonts w:eastAsia="SimSun"/>
        </w:rPr>
        <w:sectPr w:rsidR="00BE7F89" w:rsidRPr="00C07B2E" w:rsidSect="00980822">
          <w:footerReference w:type="default" r:id="rId13"/>
          <w:type w:val="continuous"/>
          <w:pgSz w:w="11907" w:h="16839" w:code="9"/>
          <w:pgMar w:top="1134" w:right="850" w:bottom="1134" w:left="1701" w:header="709" w:footer="567" w:gutter="0"/>
          <w:cols w:space="708"/>
          <w:docGrid w:linePitch="360"/>
        </w:sectPr>
      </w:pPr>
    </w:p>
    <w:p w14:paraId="55A5C7A2" w14:textId="77777777" w:rsidR="00BE7F89" w:rsidRPr="00C07B2E" w:rsidRDefault="00BE7F89" w:rsidP="00BE7F89">
      <w:pPr>
        <w:rPr>
          <w:rFonts w:eastAsia="SimSun"/>
        </w:rPr>
      </w:pPr>
      <w:r w:rsidRPr="00C07B2E">
        <w:rPr>
          <w:rFonts w:eastAsia="SimSun"/>
        </w:rPr>
        <w:t xml:space="preserve">Таблица </w:t>
      </w:r>
      <w:r>
        <w:rPr>
          <w:rFonts w:eastAsia="SimSun"/>
        </w:rPr>
        <w:t>5.</w:t>
      </w:r>
      <w:r w:rsidRPr="00C07B2E">
        <w:rPr>
          <w:rFonts w:eastAsia="SimSun"/>
        </w:rPr>
        <w:t>3.1 Схемы и режимы применения препаратов для кондиционирования и профилактики РТПХ со ссылками на приложения</w:t>
      </w:r>
    </w:p>
    <w:p w14:paraId="53E884A4" w14:textId="77777777" w:rsidR="00BE7F89" w:rsidRPr="00C07B2E" w:rsidRDefault="00BE7F89" w:rsidP="00BE7F89">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053"/>
        <w:gridCol w:w="917"/>
        <w:gridCol w:w="1302"/>
        <w:gridCol w:w="1268"/>
        <w:gridCol w:w="1154"/>
        <w:gridCol w:w="1331"/>
        <w:gridCol w:w="1268"/>
        <w:gridCol w:w="954"/>
        <w:gridCol w:w="954"/>
        <w:gridCol w:w="954"/>
        <w:gridCol w:w="1214"/>
        <w:gridCol w:w="1202"/>
      </w:tblGrid>
      <w:tr w:rsidR="00BE7F89" w:rsidRPr="00470E23" w14:paraId="6700F194" w14:textId="77777777" w:rsidTr="005A428D">
        <w:trPr>
          <w:cantSplit/>
          <w:trHeight w:val="1020"/>
        </w:trPr>
        <w:tc>
          <w:tcPr>
            <w:tcW w:w="1394" w:type="pct"/>
            <w:gridSpan w:val="4"/>
            <w:vMerge w:val="restart"/>
            <w:tcBorders>
              <w:right w:val="single" w:sz="4" w:space="0" w:color="00000A"/>
            </w:tcBorders>
            <w:shd w:val="clear" w:color="auto" w:fill="auto"/>
            <w:vAlign w:val="center"/>
          </w:tcPr>
          <w:p w14:paraId="1A356BE9" w14:textId="77777777" w:rsidR="00BE7F89" w:rsidRPr="00470E23" w:rsidRDefault="00BE7F89" w:rsidP="005A428D">
            <w:pPr>
              <w:rPr>
                <w:rFonts w:eastAsia="SimSun"/>
                <w:sz w:val="22"/>
              </w:rPr>
            </w:pPr>
            <w:r w:rsidRPr="00470E23">
              <w:rPr>
                <w:rFonts w:eastAsia="SimSun"/>
                <w:sz w:val="22"/>
              </w:rPr>
              <w:t>Профилактика РТПХ</w:t>
            </w:r>
          </w:p>
        </w:tc>
        <w:tc>
          <w:tcPr>
            <w:tcW w:w="3606" w:type="pct"/>
            <w:gridSpan w:val="9"/>
            <w:tcBorders>
              <w:left w:val="single" w:sz="4" w:space="0" w:color="00000A"/>
              <w:right w:val="single" w:sz="4" w:space="0" w:color="00000A"/>
            </w:tcBorders>
            <w:shd w:val="clear" w:color="auto" w:fill="auto"/>
            <w:vAlign w:val="center"/>
          </w:tcPr>
          <w:p w14:paraId="0E798571" w14:textId="77777777" w:rsidR="00BE7F89" w:rsidRPr="00470E23" w:rsidRDefault="00BE7F89" w:rsidP="005A428D">
            <w:pPr>
              <w:rPr>
                <w:rFonts w:eastAsia="SimSun"/>
                <w:sz w:val="22"/>
              </w:rPr>
            </w:pPr>
            <w:r w:rsidRPr="00470E23">
              <w:rPr>
                <w:rFonts w:eastAsia="SimSun"/>
                <w:sz w:val="22"/>
              </w:rPr>
              <w:t>Режим кондиционирования</w:t>
            </w:r>
          </w:p>
        </w:tc>
      </w:tr>
      <w:tr w:rsidR="00BE7F89" w:rsidRPr="00470E23" w14:paraId="4A209152" w14:textId="77777777" w:rsidTr="005A428D">
        <w:trPr>
          <w:cantSplit/>
          <w:trHeight w:val="1020"/>
        </w:trPr>
        <w:tc>
          <w:tcPr>
            <w:tcW w:w="1394" w:type="pct"/>
            <w:gridSpan w:val="4"/>
            <w:vMerge/>
            <w:tcBorders>
              <w:right w:val="single" w:sz="4" w:space="0" w:color="00000A"/>
            </w:tcBorders>
            <w:shd w:val="clear" w:color="auto" w:fill="auto"/>
            <w:vAlign w:val="center"/>
          </w:tcPr>
          <w:p w14:paraId="2A409714" w14:textId="77777777" w:rsidR="00BE7F89" w:rsidRPr="00470E23" w:rsidRDefault="00BE7F89" w:rsidP="005A428D">
            <w:pPr>
              <w:rPr>
                <w:rFonts w:eastAsia="SimSun"/>
                <w:sz w:val="22"/>
              </w:rPr>
            </w:pPr>
          </w:p>
        </w:tc>
        <w:tc>
          <w:tcPr>
            <w:tcW w:w="1314" w:type="pct"/>
            <w:gridSpan w:val="3"/>
            <w:tcBorders>
              <w:left w:val="single" w:sz="4" w:space="0" w:color="00000A"/>
              <w:right w:val="single" w:sz="4" w:space="0" w:color="00000A"/>
            </w:tcBorders>
            <w:shd w:val="clear" w:color="auto" w:fill="D9D9D9"/>
            <w:vAlign w:val="center"/>
          </w:tcPr>
          <w:p w14:paraId="0AF0ABB7" w14:textId="77777777" w:rsidR="00BE7F89" w:rsidRPr="00470E23" w:rsidRDefault="00BE7F89" w:rsidP="005A428D">
            <w:pPr>
              <w:rPr>
                <w:rFonts w:eastAsia="SimSun"/>
                <w:sz w:val="22"/>
              </w:rPr>
            </w:pPr>
            <w:r w:rsidRPr="00470E23">
              <w:rPr>
                <w:rFonts w:eastAsia="SimSun"/>
                <w:sz w:val="22"/>
              </w:rPr>
              <w:t>Flu150</w:t>
            </w:r>
          </w:p>
        </w:tc>
        <w:tc>
          <w:tcPr>
            <w:tcW w:w="2293" w:type="pct"/>
            <w:gridSpan w:val="6"/>
            <w:tcBorders>
              <w:left w:val="single" w:sz="4" w:space="0" w:color="00000A"/>
              <w:right w:val="single" w:sz="4" w:space="0" w:color="00000A"/>
            </w:tcBorders>
            <w:shd w:val="clear" w:color="auto" w:fill="D9D9D9"/>
            <w:vAlign w:val="center"/>
          </w:tcPr>
          <w:p w14:paraId="4DF84FF7" w14:textId="77777777" w:rsidR="00BE7F89" w:rsidRPr="00470E23" w:rsidRDefault="00BE7F89" w:rsidP="005A428D">
            <w:pPr>
              <w:rPr>
                <w:rFonts w:eastAsia="SimSun"/>
                <w:sz w:val="22"/>
              </w:rPr>
            </w:pPr>
            <w:r w:rsidRPr="00470E23">
              <w:rPr>
                <w:rFonts w:eastAsia="SimSun"/>
                <w:sz w:val="22"/>
              </w:rPr>
              <w:t>Flu180</w:t>
            </w:r>
          </w:p>
        </w:tc>
      </w:tr>
      <w:tr w:rsidR="00BE7F89" w:rsidRPr="00470E23" w14:paraId="6A0D1B9F" w14:textId="77777777" w:rsidTr="005A428D">
        <w:trPr>
          <w:cantSplit/>
          <w:trHeight w:val="1020"/>
        </w:trPr>
        <w:tc>
          <w:tcPr>
            <w:tcW w:w="1394" w:type="pct"/>
            <w:gridSpan w:val="4"/>
            <w:vMerge/>
            <w:tcBorders>
              <w:right w:val="single" w:sz="4" w:space="0" w:color="00000A"/>
            </w:tcBorders>
            <w:shd w:val="clear" w:color="auto" w:fill="auto"/>
            <w:vAlign w:val="center"/>
          </w:tcPr>
          <w:p w14:paraId="5E73C16B" w14:textId="77777777" w:rsidR="00BE7F89" w:rsidRPr="00470E23" w:rsidRDefault="00BE7F89" w:rsidP="005A428D">
            <w:pPr>
              <w:rPr>
                <w:rFonts w:eastAsia="SimSun"/>
                <w:sz w:val="22"/>
              </w:rPr>
            </w:pPr>
          </w:p>
        </w:tc>
        <w:tc>
          <w:tcPr>
            <w:tcW w:w="444" w:type="pct"/>
            <w:tcBorders>
              <w:left w:val="single" w:sz="4" w:space="0" w:color="00000A"/>
              <w:right w:val="single" w:sz="4" w:space="0" w:color="00000A"/>
            </w:tcBorders>
            <w:shd w:val="clear" w:color="auto" w:fill="D9D9D9"/>
            <w:vAlign w:val="center"/>
          </w:tcPr>
          <w:p w14:paraId="19CFFC6A" w14:textId="77777777" w:rsidR="00BE7F89" w:rsidRPr="00470E23" w:rsidRDefault="00BE7F89" w:rsidP="005A428D">
            <w:pPr>
              <w:rPr>
                <w:rFonts w:eastAsia="SimSun"/>
                <w:sz w:val="22"/>
              </w:rPr>
            </w:pPr>
            <w:r w:rsidRPr="00470E23">
              <w:rPr>
                <w:rFonts w:eastAsia="SimSun"/>
                <w:sz w:val="22"/>
              </w:rPr>
              <w:t>Bu8</w:t>
            </w:r>
          </w:p>
        </w:tc>
        <w:tc>
          <w:tcPr>
            <w:tcW w:w="404" w:type="pct"/>
            <w:shd w:val="clear" w:color="auto" w:fill="D9D9D9"/>
            <w:vAlign w:val="center"/>
          </w:tcPr>
          <w:p w14:paraId="5B13407A" w14:textId="77777777" w:rsidR="00BE7F89" w:rsidRPr="00470E23" w:rsidRDefault="00BE7F89" w:rsidP="005A428D">
            <w:pPr>
              <w:rPr>
                <w:rFonts w:eastAsia="SimSun"/>
                <w:sz w:val="22"/>
              </w:rPr>
            </w:pPr>
            <w:r w:rsidRPr="00470E23">
              <w:rPr>
                <w:rFonts w:eastAsia="SimSun"/>
                <w:sz w:val="22"/>
              </w:rPr>
              <w:t>Treo36</w:t>
            </w:r>
          </w:p>
        </w:tc>
        <w:tc>
          <w:tcPr>
            <w:tcW w:w="466" w:type="pct"/>
            <w:shd w:val="clear" w:color="auto" w:fill="D9D9D9"/>
            <w:vAlign w:val="center"/>
          </w:tcPr>
          <w:p w14:paraId="0C9D7D96" w14:textId="77777777" w:rsidR="00BE7F89" w:rsidRPr="00470E23" w:rsidRDefault="00BE7F89" w:rsidP="005A428D">
            <w:pPr>
              <w:rPr>
                <w:rFonts w:eastAsia="SimSun"/>
                <w:sz w:val="22"/>
              </w:rPr>
            </w:pPr>
            <w:r w:rsidRPr="00470E23">
              <w:rPr>
                <w:rFonts w:eastAsia="SimSun"/>
                <w:sz w:val="22"/>
              </w:rPr>
              <w:t>Cy14</w:t>
            </w:r>
          </w:p>
        </w:tc>
        <w:tc>
          <w:tcPr>
            <w:tcW w:w="444" w:type="pct"/>
            <w:shd w:val="clear" w:color="auto" w:fill="D9D9D9"/>
            <w:vAlign w:val="center"/>
          </w:tcPr>
          <w:p w14:paraId="10E7A13C" w14:textId="77777777" w:rsidR="00BE7F89" w:rsidRPr="00470E23" w:rsidRDefault="00BE7F89" w:rsidP="005A428D">
            <w:pPr>
              <w:rPr>
                <w:rFonts w:eastAsia="SimSun"/>
                <w:sz w:val="22"/>
              </w:rPr>
            </w:pPr>
            <w:r w:rsidRPr="00470E23">
              <w:rPr>
                <w:rFonts w:eastAsia="SimSun"/>
                <w:sz w:val="22"/>
              </w:rPr>
              <w:t>Bu8</w:t>
            </w:r>
          </w:p>
        </w:tc>
        <w:tc>
          <w:tcPr>
            <w:tcW w:w="334" w:type="pct"/>
            <w:shd w:val="clear" w:color="auto" w:fill="D9D9D9"/>
            <w:vAlign w:val="center"/>
          </w:tcPr>
          <w:p w14:paraId="2121480D" w14:textId="77777777" w:rsidR="00BE7F89" w:rsidRPr="00470E23" w:rsidRDefault="00BE7F89" w:rsidP="005A428D">
            <w:pPr>
              <w:rPr>
                <w:rFonts w:eastAsia="SimSun"/>
                <w:sz w:val="22"/>
              </w:rPr>
            </w:pPr>
            <w:r w:rsidRPr="00470E23">
              <w:rPr>
                <w:rFonts w:eastAsia="SimSun"/>
                <w:sz w:val="22"/>
              </w:rPr>
              <w:t>Bu10</w:t>
            </w:r>
          </w:p>
        </w:tc>
        <w:tc>
          <w:tcPr>
            <w:tcW w:w="334" w:type="pct"/>
            <w:shd w:val="clear" w:color="auto" w:fill="D9D9D9"/>
            <w:vAlign w:val="center"/>
          </w:tcPr>
          <w:p w14:paraId="14D5D89E" w14:textId="77777777" w:rsidR="00BE7F89" w:rsidRPr="00470E23" w:rsidRDefault="00BE7F89" w:rsidP="005A428D">
            <w:pPr>
              <w:rPr>
                <w:rFonts w:eastAsia="SimSun"/>
                <w:sz w:val="22"/>
              </w:rPr>
            </w:pPr>
            <w:r w:rsidRPr="00470E23">
              <w:rPr>
                <w:rFonts w:eastAsia="SimSun"/>
                <w:sz w:val="22"/>
              </w:rPr>
              <w:t>Bu12</w:t>
            </w:r>
          </w:p>
        </w:tc>
        <w:tc>
          <w:tcPr>
            <w:tcW w:w="334" w:type="pct"/>
            <w:shd w:val="clear" w:color="auto" w:fill="D9D9D9"/>
            <w:vAlign w:val="center"/>
          </w:tcPr>
          <w:p w14:paraId="6AE3DA38" w14:textId="77777777" w:rsidR="00BE7F89" w:rsidRPr="00470E23" w:rsidRDefault="00BE7F89" w:rsidP="005A428D">
            <w:pPr>
              <w:rPr>
                <w:rFonts w:eastAsia="SimSun"/>
                <w:sz w:val="22"/>
              </w:rPr>
            </w:pPr>
            <w:r w:rsidRPr="00470E23">
              <w:rPr>
                <w:rFonts w:eastAsia="SimSun"/>
                <w:sz w:val="22"/>
              </w:rPr>
              <w:t>Bu14</w:t>
            </w:r>
          </w:p>
        </w:tc>
        <w:tc>
          <w:tcPr>
            <w:tcW w:w="425" w:type="pct"/>
            <w:shd w:val="clear" w:color="auto" w:fill="D9D9D9"/>
            <w:vAlign w:val="center"/>
          </w:tcPr>
          <w:p w14:paraId="423798B8" w14:textId="77777777" w:rsidR="00BE7F89" w:rsidRPr="00470E23" w:rsidRDefault="00BE7F89" w:rsidP="005A428D">
            <w:pPr>
              <w:rPr>
                <w:rFonts w:eastAsia="SimSun"/>
                <w:sz w:val="22"/>
              </w:rPr>
            </w:pPr>
            <w:r w:rsidRPr="00470E23">
              <w:rPr>
                <w:rFonts w:eastAsia="SimSun"/>
                <w:sz w:val="22"/>
              </w:rPr>
              <w:t>Cy1200</w:t>
            </w:r>
          </w:p>
        </w:tc>
        <w:tc>
          <w:tcPr>
            <w:tcW w:w="422" w:type="pct"/>
            <w:shd w:val="clear" w:color="auto" w:fill="D9D9D9"/>
            <w:vAlign w:val="center"/>
          </w:tcPr>
          <w:p w14:paraId="69EAA6C7" w14:textId="77777777" w:rsidR="00BE7F89" w:rsidRPr="00470E23" w:rsidRDefault="00BE7F89" w:rsidP="005A428D">
            <w:pPr>
              <w:rPr>
                <w:rFonts w:eastAsia="SimSun"/>
                <w:sz w:val="22"/>
              </w:rPr>
            </w:pPr>
            <w:r w:rsidRPr="00470E23">
              <w:rPr>
                <w:rFonts w:eastAsia="SimSun"/>
                <w:sz w:val="22"/>
              </w:rPr>
              <w:t>Mel100</w:t>
            </w:r>
          </w:p>
        </w:tc>
      </w:tr>
      <w:tr w:rsidR="00BE7F89" w:rsidRPr="00470E23" w14:paraId="363E98F4" w14:textId="77777777" w:rsidTr="005A428D">
        <w:trPr>
          <w:cantSplit/>
          <w:trHeight w:val="1020"/>
        </w:trPr>
        <w:tc>
          <w:tcPr>
            <w:tcW w:w="1394" w:type="pct"/>
            <w:gridSpan w:val="4"/>
            <w:vMerge/>
            <w:tcBorders>
              <w:right w:val="single" w:sz="4" w:space="0" w:color="00000A"/>
            </w:tcBorders>
            <w:shd w:val="clear" w:color="auto" w:fill="auto"/>
            <w:vAlign w:val="center"/>
          </w:tcPr>
          <w:p w14:paraId="13E9A238" w14:textId="77777777" w:rsidR="00BE7F89" w:rsidRPr="00470E23" w:rsidRDefault="00BE7F89" w:rsidP="005A428D">
            <w:pPr>
              <w:rPr>
                <w:rFonts w:eastAsia="SimSun"/>
                <w:sz w:val="22"/>
              </w:rPr>
            </w:pPr>
          </w:p>
        </w:tc>
        <w:tc>
          <w:tcPr>
            <w:tcW w:w="444" w:type="pct"/>
            <w:tcBorders>
              <w:left w:val="single" w:sz="4" w:space="0" w:color="00000A"/>
            </w:tcBorders>
            <w:shd w:val="clear" w:color="auto" w:fill="D9D9D9"/>
            <w:vAlign w:val="center"/>
          </w:tcPr>
          <w:p w14:paraId="0500F0B3" w14:textId="77777777" w:rsidR="00BE7F89" w:rsidRPr="00470E23" w:rsidRDefault="00BE7F89" w:rsidP="005A428D">
            <w:pPr>
              <w:rPr>
                <w:rFonts w:eastAsia="SimSun"/>
                <w:sz w:val="22"/>
              </w:rPr>
            </w:pPr>
          </w:p>
          <w:p w14:paraId="101EB8E7" w14:textId="77777777" w:rsidR="00BE7F89" w:rsidRPr="00470E23" w:rsidRDefault="00BE7F89" w:rsidP="005A428D">
            <w:pPr>
              <w:rPr>
                <w:rFonts w:eastAsia="SimSun"/>
                <w:sz w:val="22"/>
              </w:rPr>
            </w:pPr>
            <w:r w:rsidRPr="00470E23">
              <w:rPr>
                <w:rFonts w:eastAsia="SimSun"/>
                <w:sz w:val="22"/>
              </w:rPr>
              <w:t>Thio</w:t>
            </w:r>
          </w:p>
        </w:tc>
        <w:tc>
          <w:tcPr>
            <w:tcW w:w="404" w:type="pct"/>
            <w:shd w:val="clear" w:color="auto" w:fill="D9D9D9"/>
            <w:vAlign w:val="center"/>
          </w:tcPr>
          <w:p w14:paraId="05A84067" w14:textId="77777777" w:rsidR="00BE7F89" w:rsidRPr="00470E23" w:rsidRDefault="00BE7F89" w:rsidP="005A428D">
            <w:pPr>
              <w:rPr>
                <w:rFonts w:eastAsia="SimSun"/>
                <w:sz w:val="22"/>
              </w:rPr>
            </w:pPr>
            <w:r w:rsidRPr="00470E23">
              <w:rPr>
                <w:rFonts w:eastAsia="SimSun"/>
                <w:sz w:val="22"/>
              </w:rPr>
              <w:t>-</w:t>
            </w:r>
          </w:p>
        </w:tc>
        <w:tc>
          <w:tcPr>
            <w:tcW w:w="466" w:type="pct"/>
            <w:shd w:val="clear" w:color="auto" w:fill="D9D9D9"/>
            <w:vAlign w:val="center"/>
          </w:tcPr>
          <w:p w14:paraId="22BB51AA" w14:textId="77777777" w:rsidR="00BE7F89" w:rsidRPr="00470E23" w:rsidRDefault="00BE7F89" w:rsidP="005A428D">
            <w:pPr>
              <w:rPr>
                <w:rFonts w:eastAsia="SimSun"/>
                <w:sz w:val="22"/>
              </w:rPr>
            </w:pPr>
            <w:r w:rsidRPr="00470E23">
              <w:rPr>
                <w:rFonts w:eastAsia="SimSun"/>
                <w:sz w:val="22"/>
              </w:rPr>
              <w:t>TBI</w:t>
            </w:r>
          </w:p>
        </w:tc>
        <w:tc>
          <w:tcPr>
            <w:tcW w:w="444" w:type="pct"/>
            <w:shd w:val="clear" w:color="auto" w:fill="D9D9D9"/>
            <w:vAlign w:val="center"/>
          </w:tcPr>
          <w:p w14:paraId="07389A9D" w14:textId="77777777" w:rsidR="00BE7F89" w:rsidRPr="00470E23" w:rsidRDefault="00BE7F89" w:rsidP="005A428D">
            <w:pPr>
              <w:rPr>
                <w:rFonts w:eastAsia="SimSun"/>
                <w:sz w:val="22"/>
              </w:rPr>
            </w:pPr>
            <w:r w:rsidRPr="00470E23">
              <w:rPr>
                <w:rFonts w:eastAsia="SimSun"/>
                <w:sz w:val="22"/>
              </w:rPr>
              <w:t>-</w:t>
            </w:r>
          </w:p>
        </w:tc>
        <w:tc>
          <w:tcPr>
            <w:tcW w:w="334" w:type="pct"/>
            <w:shd w:val="clear" w:color="auto" w:fill="D9D9D9"/>
            <w:vAlign w:val="center"/>
          </w:tcPr>
          <w:p w14:paraId="219020D3" w14:textId="77777777" w:rsidR="00BE7F89" w:rsidRPr="00470E23" w:rsidRDefault="00BE7F89" w:rsidP="005A428D">
            <w:pPr>
              <w:rPr>
                <w:rFonts w:eastAsia="SimSun"/>
                <w:sz w:val="22"/>
              </w:rPr>
            </w:pPr>
            <w:r w:rsidRPr="00470E23">
              <w:rPr>
                <w:rFonts w:eastAsia="SimSun"/>
                <w:sz w:val="22"/>
              </w:rPr>
              <w:t>-</w:t>
            </w:r>
          </w:p>
        </w:tc>
        <w:tc>
          <w:tcPr>
            <w:tcW w:w="334" w:type="pct"/>
            <w:shd w:val="clear" w:color="auto" w:fill="D9D9D9"/>
            <w:vAlign w:val="center"/>
          </w:tcPr>
          <w:p w14:paraId="31480370" w14:textId="77777777" w:rsidR="00BE7F89" w:rsidRPr="00470E23" w:rsidRDefault="00BE7F89" w:rsidP="005A428D">
            <w:pPr>
              <w:rPr>
                <w:rFonts w:eastAsia="SimSun"/>
                <w:sz w:val="22"/>
              </w:rPr>
            </w:pPr>
            <w:r w:rsidRPr="00470E23">
              <w:rPr>
                <w:rFonts w:eastAsia="SimSun"/>
                <w:sz w:val="22"/>
              </w:rPr>
              <w:t>-</w:t>
            </w:r>
          </w:p>
        </w:tc>
        <w:tc>
          <w:tcPr>
            <w:tcW w:w="334" w:type="pct"/>
            <w:shd w:val="clear" w:color="auto" w:fill="D9D9D9"/>
            <w:vAlign w:val="center"/>
          </w:tcPr>
          <w:p w14:paraId="32B8AFC9" w14:textId="77777777" w:rsidR="00BE7F89" w:rsidRPr="00470E23" w:rsidRDefault="00BE7F89" w:rsidP="005A428D">
            <w:pPr>
              <w:rPr>
                <w:rFonts w:eastAsia="SimSun"/>
                <w:sz w:val="22"/>
              </w:rPr>
            </w:pPr>
            <w:r w:rsidRPr="00470E23">
              <w:rPr>
                <w:rFonts w:eastAsia="SimSun"/>
                <w:sz w:val="22"/>
              </w:rPr>
              <w:t>-</w:t>
            </w:r>
          </w:p>
        </w:tc>
        <w:tc>
          <w:tcPr>
            <w:tcW w:w="425" w:type="pct"/>
            <w:shd w:val="clear" w:color="auto" w:fill="D9D9D9"/>
            <w:vAlign w:val="center"/>
          </w:tcPr>
          <w:p w14:paraId="723C9286" w14:textId="77777777" w:rsidR="00BE7F89" w:rsidRPr="00470E23" w:rsidRDefault="00BE7F89" w:rsidP="005A428D">
            <w:pPr>
              <w:rPr>
                <w:rFonts w:eastAsia="SimSun"/>
                <w:sz w:val="22"/>
              </w:rPr>
            </w:pPr>
            <w:r w:rsidRPr="00470E23">
              <w:rPr>
                <w:rFonts w:eastAsia="SimSun"/>
                <w:sz w:val="22"/>
              </w:rPr>
              <w:t>-</w:t>
            </w:r>
          </w:p>
        </w:tc>
        <w:tc>
          <w:tcPr>
            <w:tcW w:w="422" w:type="pct"/>
            <w:shd w:val="clear" w:color="auto" w:fill="D9D9D9"/>
            <w:vAlign w:val="center"/>
          </w:tcPr>
          <w:p w14:paraId="18CE1D16" w14:textId="77777777" w:rsidR="00BE7F89" w:rsidRPr="00470E23" w:rsidRDefault="00BE7F89" w:rsidP="005A428D">
            <w:pPr>
              <w:rPr>
                <w:rFonts w:eastAsia="SimSun"/>
                <w:sz w:val="22"/>
              </w:rPr>
            </w:pPr>
            <w:r w:rsidRPr="00470E23">
              <w:rPr>
                <w:rFonts w:eastAsia="SimSun"/>
                <w:sz w:val="22"/>
              </w:rPr>
              <w:t>-</w:t>
            </w:r>
          </w:p>
        </w:tc>
      </w:tr>
      <w:tr w:rsidR="00BE7F89" w:rsidRPr="00470E23" w14:paraId="558B26FE" w14:textId="77777777" w:rsidTr="005A428D">
        <w:trPr>
          <w:cantSplit/>
          <w:trHeight w:val="1020"/>
        </w:trPr>
        <w:tc>
          <w:tcPr>
            <w:tcW w:w="248" w:type="pct"/>
            <w:vMerge w:val="restart"/>
            <w:tcBorders>
              <w:top w:val="single" w:sz="4" w:space="0" w:color="00000A"/>
            </w:tcBorders>
            <w:shd w:val="clear" w:color="auto" w:fill="D9D9D9"/>
            <w:vAlign w:val="center"/>
          </w:tcPr>
          <w:p w14:paraId="1A7E98D1" w14:textId="77777777" w:rsidR="00BE7F89" w:rsidRPr="00470E23" w:rsidRDefault="00BE7F89" w:rsidP="005A428D">
            <w:pPr>
              <w:rPr>
                <w:rFonts w:eastAsia="SimSun"/>
                <w:sz w:val="22"/>
              </w:rPr>
            </w:pPr>
            <w:r w:rsidRPr="00470E23">
              <w:rPr>
                <w:rFonts w:eastAsia="SimSun"/>
                <w:sz w:val="22"/>
              </w:rPr>
              <w:t>PT-Cy</w:t>
            </w:r>
          </w:p>
        </w:tc>
        <w:tc>
          <w:tcPr>
            <w:tcW w:w="369" w:type="pct"/>
            <w:shd w:val="clear" w:color="auto" w:fill="D9D9D9"/>
            <w:vAlign w:val="center"/>
          </w:tcPr>
          <w:p w14:paraId="05B94B0B" w14:textId="77777777" w:rsidR="00BE7F89" w:rsidRPr="00470E23" w:rsidRDefault="00BE7F89" w:rsidP="005A428D">
            <w:pPr>
              <w:rPr>
                <w:rFonts w:eastAsia="SimSun"/>
                <w:sz w:val="22"/>
              </w:rPr>
            </w:pPr>
            <w:r w:rsidRPr="00470E23">
              <w:rPr>
                <w:rFonts w:eastAsia="SimSun"/>
                <w:sz w:val="22"/>
              </w:rPr>
              <w:t>-</w:t>
            </w:r>
          </w:p>
        </w:tc>
        <w:tc>
          <w:tcPr>
            <w:tcW w:w="321" w:type="pct"/>
            <w:shd w:val="clear" w:color="auto" w:fill="D9D9D9"/>
            <w:vAlign w:val="center"/>
          </w:tcPr>
          <w:p w14:paraId="3080928E" w14:textId="77777777" w:rsidR="00BE7F89" w:rsidRPr="00470E23" w:rsidRDefault="00BE7F89" w:rsidP="005A428D">
            <w:pPr>
              <w:rPr>
                <w:rFonts w:eastAsia="SimSun"/>
                <w:sz w:val="22"/>
              </w:rPr>
            </w:pPr>
            <w:r w:rsidRPr="00470E23">
              <w:rPr>
                <w:rFonts w:eastAsia="SimSun"/>
                <w:sz w:val="22"/>
              </w:rPr>
              <w:t>CSA</w:t>
            </w:r>
          </w:p>
        </w:tc>
        <w:tc>
          <w:tcPr>
            <w:tcW w:w="455" w:type="pct"/>
            <w:shd w:val="clear" w:color="auto" w:fill="D9D9D9"/>
            <w:vAlign w:val="center"/>
          </w:tcPr>
          <w:p w14:paraId="4F8315D8" w14:textId="77777777" w:rsidR="00BE7F89" w:rsidRPr="00470E23" w:rsidRDefault="00BE7F89" w:rsidP="005A428D">
            <w:pPr>
              <w:rPr>
                <w:rFonts w:eastAsia="SimSun"/>
                <w:sz w:val="22"/>
              </w:rPr>
            </w:pPr>
            <w:r w:rsidRPr="00470E23">
              <w:rPr>
                <w:rFonts w:eastAsia="SimSun"/>
                <w:sz w:val="22"/>
              </w:rPr>
              <w:t>MMF30</w:t>
            </w:r>
          </w:p>
        </w:tc>
        <w:tc>
          <w:tcPr>
            <w:tcW w:w="444" w:type="pct"/>
            <w:tcBorders>
              <w:left w:val="single" w:sz="4" w:space="0" w:color="00000A"/>
            </w:tcBorders>
            <w:shd w:val="clear" w:color="auto" w:fill="auto"/>
            <w:vAlign w:val="center"/>
          </w:tcPr>
          <w:p w14:paraId="72E9EB83" w14:textId="77777777" w:rsidR="00BE7F89" w:rsidRPr="00470E23" w:rsidRDefault="00BE7F89" w:rsidP="005A428D">
            <w:pPr>
              <w:rPr>
                <w:rFonts w:eastAsia="SimSun"/>
                <w:sz w:val="22"/>
              </w:rPr>
            </w:pPr>
            <w:r w:rsidRPr="00470E23">
              <w:rPr>
                <w:rFonts w:eastAsia="SimSun"/>
                <w:sz w:val="22"/>
              </w:rPr>
              <w:t>5.3.1.1</w:t>
            </w:r>
          </w:p>
        </w:tc>
        <w:tc>
          <w:tcPr>
            <w:tcW w:w="404" w:type="pct"/>
            <w:shd w:val="clear" w:color="auto" w:fill="auto"/>
            <w:vAlign w:val="center"/>
          </w:tcPr>
          <w:p w14:paraId="12FCFDF3" w14:textId="77777777" w:rsidR="00BE7F89" w:rsidRPr="00470E23" w:rsidRDefault="00BE7F89" w:rsidP="005A428D">
            <w:pPr>
              <w:rPr>
                <w:rFonts w:eastAsia="SimSun"/>
                <w:sz w:val="22"/>
              </w:rPr>
            </w:pPr>
            <w:r w:rsidRPr="00470E23">
              <w:rPr>
                <w:rFonts w:eastAsia="SimSun"/>
                <w:sz w:val="22"/>
              </w:rPr>
              <w:t>5.3.1.10</w:t>
            </w:r>
          </w:p>
        </w:tc>
        <w:tc>
          <w:tcPr>
            <w:tcW w:w="466" w:type="pct"/>
            <w:shd w:val="clear" w:color="auto" w:fill="auto"/>
            <w:vAlign w:val="center"/>
          </w:tcPr>
          <w:p w14:paraId="0EA70269" w14:textId="77777777" w:rsidR="00BE7F89" w:rsidRPr="00470E23" w:rsidRDefault="00BE7F89" w:rsidP="005A428D">
            <w:pPr>
              <w:rPr>
                <w:rFonts w:eastAsia="SimSun"/>
                <w:sz w:val="22"/>
              </w:rPr>
            </w:pPr>
            <w:r w:rsidRPr="00470E23">
              <w:rPr>
                <w:rFonts w:eastAsia="SimSun"/>
                <w:sz w:val="22"/>
              </w:rPr>
              <w:t>-</w:t>
            </w:r>
          </w:p>
        </w:tc>
        <w:tc>
          <w:tcPr>
            <w:tcW w:w="444" w:type="pct"/>
            <w:shd w:val="clear" w:color="auto" w:fill="auto"/>
            <w:vAlign w:val="center"/>
          </w:tcPr>
          <w:p w14:paraId="38143349" w14:textId="77777777" w:rsidR="00BE7F89" w:rsidRPr="00470E23" w:rsidRDefault="00BE7F89" w:rsidP="005A428D">
            <w:pPr>
              <w:rPr>
                <w:rFonts w:eastAsia="SimSun"/>
                <w:sz w:val="22"/>
              </w:rPr>
            </w:pPr>
            <w:r w:rsidRPr="00470E23">
              <w:rPr>
                <w:rFonts w:eastAsia="SimSun"/>
                <w:sz w:val="22"/>
              </w:rPr>
              <w:t>5.3.1.4</w:t>
            </w:r>
          </w:p>
        </w:tc>
        <w:tc>
          <w:tcPr>
            <w:tcW w:w="334" w:type="pct"/>
            <w:shd w:val="clear" w:color="auto" w:fill="auto"/>
            <w:vAlign w:val="center"/>
          </w:tcPr>
          <w:p w14:paraId="7A0059BF" w14:textId="77777777" w:rsidR="00BE7F89" w:rsidRPr="00470E23" w:rsidRDefault="00BE7F89" w:rsidP="005A428D">
            <w:pPr>
              <w:rPr>
                <w:rFonts w:eastAsia="SimSun"/>
                <w:sz w:val="22"/>
              </w:rPr>
            </w:pPr>
            <w:r w:rsidRPr="00470E23">
              <w:rPr>
                <w:rFonts w:eastAsia="SimSun"/>
                <w:sz w:val="22"/>
              </w:rPr>
              <w:t>-</w:t>
            </w:r>
          </w:p>
        </w:tc>
        <w:tc>
          <w:tcPr>
            <w:tcW w:w="334" w:type="pct"/>
            <w:shd w:val="clear" w:color="auto" w:fill="auto"/>
            <w:vAlign w:val="center"/>
          </w:tcPr>
          <w:p w14:paraId="7A7FF99B" w14:textId="77777777" w:rsidR="00BE7F89" w:rsidRPr="00470E23" w:rsidRDefault="00BE7F89" w:rsidP="005A428D">
            <w:pPr>
              <w:rPr>
                <w:rFonts w:eastAsia="SimSun"/>
                <w:sz w:val="22"/>
              </w:rPr>
            </w:pPr>
            <w:r w:rsidRPr="00470E23">
              <w:rPr>
                <w:rFonts w:eastAsia="SimSun"/>
                <w:sz w:val="22"/>
              </w:rPr>
              <w:t>-</w:t>
            </w:r>
          </w:p>
        </w:tc>
        <w:tc>
          <w:tcPr>
            <w:tcW w:w="334" w:type="pct"/>
            <w:shd w:val="clear" w:color="auto" w:fill="auto"/>
            <w:vAlign w:val="center"/>
          </w:tcPr>
          <w:p w14:paraId="1A97AE04" w14:textId="77777777" w:rsidR="00BE7F89" w:rsidRPr="00470E23" w:rsidRDefault="00BE7F89" w:rsidP="005A428D">
            <w:pPr>
              <w:rPr>
                <w:rFonts w:eastAsia="SimSun"/>
                <w:sz w:val="22"/>
              </w:rPr>
            </w:pPr>
            <w:r w:rsidRPr="00470E23">
              <w:rPr>
                <w:rFonts w:eastAsia="SimSun"/>
                <w:sz w:val="22"/>
              </w:rPr>
              <w:t>-</w:t>
            </w:r>
          </w:p>
        </w:tc>
        <w:tc>
          <w:tcPr>
            <w:tcW w:w="425" w:type="pct"/>
            <w:shd w:val="clear" w:color="auto" w:fill="auto"/>
            <w:vAlign w:val="center"/>
          </w:tcPr>
          <w:p w14:paraId="47FB88EC" w14:textId="77777777" w:rsidR="00BE7F89" w:rsidRPr="00470E23" w:rsidRDefault="00BE7F89" w:rsidP="005A428D">
            <w:pPr>
              <w:rPr>
                <w:rFonts w:eastAsia="SimSun"/>
                <w:sz w:val="22"/>
              </w:rPr>
            </w:pPr>
            <w:r w:rsidRPr="00470E23">
              <w:rPr>
                <w:rFonts w:eastAsia="SimSun"/>
                <w:sz w:val="22"/>
              </w:rPr>
              <w:t>-</w:t>
            </w:r>
          </w:p>
        </w:tc>
        <w:tc>
          <w:tcPr>
            <w:tcW w:w="422" w:type="pct"/>
            <w:vAlign w:val="center"/>
          </w:tcPr>
          <w:p w14:paraId="17C0ABCA" w14:textId="77777777" w:rsidR="00BE7F89" w:rsidRPr="00470E23" w:rsidRDefault="00BE7F89" w:rsidP="005A428D">
            <w:pPr>
              <w:rPr>
                <w:rFonts w:eastAsia="SimSun"/>
                <w:sz w:val="22"/>
              </w:rPr>
            </w:pPr>
          </w:p>
        </w:tc>
      </w:tr>
      <w:tr w:rsidR="00BE7F89" w:rsidRPr="00470E23" w14:paraId="7F4A0EF4" w14:textId="77777777" w:rsidTr="005A428D">
        <w:trPr>
          <w:cantSplit/>
          <w:trHeight w:val="1020"/>
        </w:trPr>
        <w:tc>
          <w:tcPr>
            <w:tcW w:w="248" w:type="pct"/>
            <w:vMerge/>
            <w:shd w:val="clear" w:color="auto" w:fill="D9D9D9"/>
            <w:vAlign w:val="center"/>
          </w:tcPr>
          <w:p w14:paraId="5663CA78" w14:textId="77777777" w:rsidR="00BE7F89" w:rsidRPr="00470E23" w:rsidRDefault="00BE7F89" w:rsidP="005A428D">
            <w:pPr>
              <w:rPr>
                <w:rFonts w:eastAsia="SimSun"/>
                <w:sz w:val="22"/>
              </w:rPr>
            </w:pPr>
          </w:p>
        </w:tc>
        <w:tc>
          <w:tcPr>
            <w:tcW w:w="369" w:type="pct"/>
            <w:tcBorders>
              <w:bottom w:val="single" w:sz="4" w:space="0" w:color="00000A"/>
            </w:tcBorders>
            <w:shd w:val="clear" w:color="auto" w:fill="D9D9D9"/>
            <w:vAlign w:val="center"/>
          </w:tcPr>
          <w:p w14:paraId="4D5B4286" w14:textId="77777777" w:rsidR="00BE7F89" w:rsidRPr="00470E23" w:rsidRDefault="00BE7F89" w:rsidP="005A428D">
            <w:pPr>
              <w:rPr>
                <w:rFonts w:eastAsia="SimSun"/>
                <w:sz w:val="22"/>
              </w:rPr>
            </w:pPr>
            <w:r w:rsidRPr="00470E23">
              <w:rPr>
                <w:rFonts w:eastAsia="SimSun"/>
                <w:sz w:val="22"/>
              </w:rPr>
              <w:t>hATG</w:t>
            </w:r>
          </w:p>
        </w:tc>
        <w:tc>
          <w:tcPr>
            <w:tcW w:w="321" w:type="pct"/>
            <w:tcBorders>
              <w:bottom w:val="single" w:sz="4" w:space="0" w:color="00000A"/>
            </w:tcBorders>
            <w:shd w:val="clear" w:color="auto" w:fill="D9D9D9"/>
            <w:vAlign w:val="center"/>
          </w:tcPr>
          <w:p w14:paraId="4113DBDB" w14:textId="77777777" w:rsidR="00BE7F89" w:rsidRPr="00470E23" w:rsidRDefault="00BE7F89" w:rsidP="005A428D">
            <w:pPr>
              <w:rPr>
                <w:rFonts w:eastAsia="SimSun"/>
                <w:sz w:val="22"/>
              </w:rPr>
            </w:pPr>
            <w:r w:rsidRPr="00470E23">
              <w:rPr>
                <w:rFonts w:eastAsia="SimSun"/>
                <w:sz w:val="22"/>
              </w:rPr>
              <w:t>CSA</w:t>
            </w:r>
          </w:p>
        </w:tc>
        <w:tc>
          <w:tcPr>
            <w:tcW w:w="455" w:type="pct"/>
            <w:shd w:val="clear" w:color="auto" w:fill="D9D9D9"/>
            <w:vAlign w:val="center"/>
          </w:tcPr>
          <w:p w14:paraId="31E63DD8" w14:textId="77777777" w:rsidR="00BE7F89" w:rsidRPr="00470E23" w:rsidRDefault="00BE7F89" w:rsidP="005A428D">
            <w:pPr>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68DF66C6" w14:textId="77777777" w:rsidR="00BE7F89" w:rsidRPr="00470E23" w:rsidRDefault="00BE7F89" w:rsidP="005A428D">
            <w:pPr>
              <w:rPr>
                <w:rFonts w:eastAsia="SimSun"/>
                <w:sz w:val="22"/>
              </w:rPr>
            </w:pPr>
            <w:r w:rsidRPr="00470E23">
              <w:rPr>
                <w:rFonts w:eastAsia="SimSun"/>
                <w:sz w:val="22"/>
              </w:rPr>
              <w:t>-</w:t>
            </w:r>
          </w:p>
        </w:tc>
        <w:tc>
          <w:tcPr>
            <w:tcW w:w="404" w:type="pct"/>
            <w:shd w:val="clear" w:color="auto" w:fill="auto"/>
            <w:vAlign w:val="center"/>
          </w:tcPr>
          <w:p w14:paraId="5D76BBEE" w14:textId="77777777" w:rsidR="00BE7F89" w:rsidRPr="00470E23" w:rsidRDefault="00BE7F89" w:rsidP="005A428D">
            <w:pPr>
              <w:rPr>
                <w:rFonts w:eastAsia="SimSun"/>
                <w:sz w:val="22"/>
              </w:rPr>
            </w:pPr>
            <w:r w:rsidRPr="00470E23">
              <w:rPr>
                <w:rFonts w:eastAsia="SimSun"/>
                <w:sz w:val="22"/>
              </w:rPr>
              <w:t>-</w:t>
            </w:r>
          </w:p>
        </w:tc>
        <w:tc>
          <w:tcPr>
            <w:tcW w:w="466" w:type="pct"/>
            <w:shd w:val="clear" w:color="auto" w:fill="auto"/>
            <w:vAlign w:val="center"/>
          </w:tcPr>
          <w:p w14:paraId="2F1478EC" w14:textId="77777777" w:rsidR="00BE7F89" w:rsidRPr="00470E23" w:rsidRDefault="00BE7F89" w:rsidP="005A428D">
            <w:pPr>
              <w:rPr>
                <w:rFonts w:eastAsia="SimSun"/>
                <w:sz w:val="22"/>
              </w:rPr>
            </w:pPr>
            <w:r w:rsidRPr="00470E23">
              <w:rPr>
                <w:rFonts w:eastAsia="SimSun"/>
                <w:sz w:val="22"/>
              </w:rPr>
              <w:t>-</w:t>
            </w:r>
          </w:p>
        </w:tc>
        <w:tc>
          <w:tcPr>
            <w:tcW w:w="444" w:type="pct"/>
            <w:shd w:val="clear" w:color="auto" w:fill="auto"/>
            <w:vAlign w:val="center"/>
          </w:tcPr>
          <w:p w14:paraId="3F6FB8F2" w14:textId="77777777" w:rsidR="00BE7F89" w:rsidRPr="00470E23" w:rsidRDefault="00BE7F89" w:rsidP="005A428D">
            <w:pPr>
              <w:rPr>
                <w:rFonts w:eastAsia="SimSun"/>
                <w:sz w:val="22"/>
              </w:rPr>
            </w:pPr>
            <w:r w:rsidRPr="00470E23">
              <w:rPr>
                <w:rFonts w:eastAsia="SimSun"/>
                <w:sz w:val="22"/>
              </w:rPr>
              <w:t>5.3.1.3</w:t>
            </w:r>
          </w:p>
        </w:tc>
        <w:tc>
          <w:tcPr>
            <w:tcW w:w="334" w:type="pct"/>
            <w:shd w:val="clear" w:color="auto" w:fill="auto"/>
            <w:vAlign w:val="center"/>
          </w:tcPr>
          <w:p w14:paraId="3C16F322" w14:textId="77777777" w:rsidR="00BE7F89" w:rsidRPr="00470E23" w:rsidRDefault="00BE7F89" w:rsidP="005A428D">
            <w:pPr>
              <w:rPr>
                <w:rFonts w:eastAsia="SimSun"/>
                <w:sz w:val="22"/>
              </w:rPr>
            </w:pPr>
            <w:r w:rsidRPr="00470E23">
              <w:rPr>
                <w:rFonts w:eastAsia="SimSun"/>
                <w:sz w:val="22"/>
              </w:rPr>
              <w:t>-</w:t>
            </w:r>
          </w:p>
        </w:tc>
        <w:tc>
          <w:tcPr>
            <w:tcW w:w="334" w:type="pct"/>
            <w:shd w:val="clear" w:color="auto" w:fill="auto"/>
            <w:vAlign w:val="center"/>
          </w:tcPr>
          <w:p w14:paraId="577A234F" w14:textId="77777777" w:rsidR="00BE7F89" w:rsidRPr="00470E23" w:rsidRDefault="00BE7F89" w:rsidP="005A428D">
            <w:pPr>
              <w:rPr>
                <w:rFonts w:eastAsia="SimSun"/>
                <w:sz w:val="22"/>
              </w:rPr>
            </w:pPr>
            <w:r w:rsidRPr="00470E23">
              <w:rPr>
                <w:rFonts w:eastAsia="SimSun"/>
                <w:sz w:val="22"/>
              </w:rPr>
              <w:t>-</w:t>
            </w:r>
          </w:p>
        </w:tc>
        <w:tc>
          <w:tcPr>
            <w:tcW w:w="334" w:type="pct"/>
            <w:shd w:val="clear" w:color="auto" w:fill="auto"/>
            <w:vAlign w:val="center"/>
          </w:tcPr>
          <w:p w14:paraId="03A9843D" w14:textId="77777777" w:rsidR="00BE7F89" w:rsidRPr="00470E23" w:rsidRDefault="00BE7F89" w:rsidP="005A428D">
            <w:pPr>
              <w:rPr>
                <w:rFonts w:eastAsia="SimSun"/>
                <w:sz w:val="22"/>
              </w:rPr>
            </w:pPr>
            <w:r w:rsidRPr="00470E23">
              <w:rPr>
                <w:rFonts w:eastAsia="SimSun"/>
                <w:sz w:val="22"/>
              </w:rPr>
              <w:t>-</w:t>
            </w:r>
          </w:p>
        </w:tc>
        <w:tc>
          <w:tcPr>
            <w:tcW w:w="425" w:type="pct"/>
            <w:shd w:val="clear" w:color="auto" w:fill="auto"/>
            <w:vAlign w:val="center"/>
          </w:tcPr>
          <w:p w14:paraId="1942D947" w14:textId="77777777" w:rsidR="00BE7F89" w:rsidRPr="00470E23" w:rsidRDefault="00BE7F89" w:rsidP="005A428D">
            <w:pPr>
              <w:rPr>
                <w:rFonts w:eastAsia="SimSun"/>
                <w:sz w:val="22"/>
              </w:rPr>
            </w:pPr>
            <w:r w:rsidRPr="00470E23">
              <w:rPr>
                <w:rFonts w:eastAsia="SimSun"/>
                <w:sz w:val="22"/>
              </w:rPr>
              <w:t>-</w:t>
            </w:r>
          </w:p>
        </w:tc>
        <w:tc>
          <w:tcPr>
            <w:tcW w:w="422" w:type="pct"/>
            <w:vAlign w:val="center"/>
          </w:tcPr>
          <w:p w14:paraId="3496265A" w14:textId="77777777" w:rsidR="00BE7F89" w:rsidRPr="00470E23" w:rsidRDefault="00BE7F89" w:rsidP="005A428D">
            <w:pPr>
              <w:rPr>
                <w:rFonts w:eastAsia="SimSun"/>
                <w:sz w:val="22"/>
              </w:rPr>
            </w:pPr>
          </w:p>
        </w:tc>
      </w:tr>
      <w:tr w:rsidR="00BE7F89" w:rsidRPr="00470E23" w14:paraId="50250500" w14:textId="77777777" w:rsidTr="005A428D">
        <w:trPr>
          <w:cantSplit/>
          <w:trHeight w:val="1020"/>
        </w:trPr>
        <w:tc>
          <w:tcPr>
            <w:tcW w:w="248" w:type="pct"/>
            <w:vMerge/>
            <w:shd w:val="clear" w:color="auto" w:fill="D9D9D9"/>
            <w:vAlign w:val="center"/>
          </w:tcPr>
          <w:p w14:paraId="572C92B0" w14:textId="77777777" w:rsidR="00BE7F89" w:rsidRPr="00470E23" w:rsidRDefault="00BE7F89" w:rsidP="005A428D">
            <w:pPr>
              <w:rPr>
                <w:rFonts w:eastAsia="SimSun"/>
                <w:sz w:val="22"/>
              </w:rPr>
            </w:pPr>
          </w:p>
        </w:tc>
        <w:tc>
          <w:tcPr>
            <w:tcW w:w="369" w:type="pct"/>
            <w:tcBorders>
              <w:top w:val="single" w:sz="4" w:space="0" w:color="00000A"/>
              <w:bottom w:val="single" w:sz="4" w:space="0" w:color="00000A"/>
            </w:tcBorders>
            <w:shd w:val="clear" w:color="auto" w:fill="D9D9D9"/>
            <w:vAlign w:val="center"/>
          </w:tcPr>
          <w:p w14:paraId="64044114" w14:textId="77777777" w:rsidR="00BE7F89" w:rsidRPr="00470E23" w:rsidRDefault="00BE7F89" w:rsidP="005A428D">
            <w:pPr>
              <w:rPr>
                <w:rFonts w:eastAsia="SimSun"/>
                <w:sz w:val="22"/>
              </w:rPr>
            </w:pPr>
            <w:r w:rsidRPr="00470E23">
              <w:rPr>
                <w:rFonts w:eastAsia="SimSun"/>
                <w:sz w:val="22"/>
              </w:rPr>
              <w:t>-</w:t>
            </w:r>
          </w:p>
        </w:tc>
        <w:tc>
          <w:tcPr>
            <w:tcW w:w="321" w:type="pct"/>
            <w:tcBorders>
              <w:top w:val="single" w:sz="4" w:space="0" w:color="00000A"/>
              <w:bottom w:val="single" w:sz="4" w:space="0" w:color="00000A"/>
            </w:tcBorders>
            <w:shd w:val="clear" w:color="auto" w:fill="D9D9D9"/>
            <w:vAlign w:val="center"/>
          </w:tcPr>
          <w:p w14:paraId="12417FA0" w14:textId="77777777" w:rsidR="00BE7F89" w:rsidRPr="00470E23" w:rsidRDefault="00BE7F89" w:rsidP="005A428D">
            <w:pPr>
              <w:rPr>
                <w:rFonts w:eastAsia="SimSun"/>
                <w:sz w:val="22"/>
              </w:rPr>
            </w:pPr>
            <w:r w:rsidRPr="00470E23">
              <w:rPr>
                <w:rFonts w:eastAsia="SimSun"/>
                <w:sz w:val="22"/>
              </w:rPr>
              <w:t>CSA</w:t>
            </w:r>
          </w:p>
        </w:tc>
        <w:tc>
          <w:tcPr>
            <w:tcW w:w="455" w:type="pct"/>
            <w:shd w:val="clear" w:color="auto" w:fill="D9D9D9"/>
            <w:vAlign w:val="center"/>
          </w:tcPr>
          <w:p w14:paraId="75C9CB0E" w14:textId="77777777" w:rsidR="00BE7F89" w:rsidRPr="00470E23" w:rsidRDefault="00BE7F89" w:rsidP="005A428D">
            <w:pPr>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597FBF30" w14:textId="77777777" w:rsidR="00BE7F89" w:rsidRPr="00470E23" w:rsidRDefault="00BE7F89" w:rsidP="005A428D">
            <w:pPr>
              <w:rPr>
                <w:rFonts w:eastAsia="SimSun"/>
                <w:sz w:val="22"/>
              </w:rPr>
            </w:pPr>
            <w:r w:rsidRPr="00470E23">
              <w:rPr>
                <w:rFonts w:eastAsia="SimSun"/>
                <w:sz w:val="22"/>
              </w:rPr>
              <w:t>5.3.1.2</w:t>
            </w:r>
          </w:p>
        </w:tc>
        <w:tc>
          <w:tcPr>
            <w:tcW w:w="404" w:type="pct"/>
            <w:shd w:val="clear" w:color="auto" w:fill="auto"/>
            <w:vAlign w:val="center"/>
          </w:tcPr>
          <w:p w14:paraId="14D66BE2" w14:textId="77777777" w:rsidR="00BE7F89" w:rsidRPr="00470E23" w:rsidRDefault="00BE7F89" w:rsidP="005A428D">
            <w:pPr>
              <w:rPr>
                <w:rFonts w:eastAsia="SimSun"/>
                <w:sz w:val="22"/>
              </w:rPr>
            </w:pPr>
            <w:r w:rsidRPr="00470E23">
              <w:rPr>
                <w:rFonts w:eastAsia="SimSun"/>
                <w:sz w:val="22"/>
              </w:rPr>
              <w:t>5.3.1.11</w:t>
            </w:r>
          </w:p>
        </w:tc>
        <w:tc>
          <w:tcPr>
            <w:tcW w:w="466" w:type="pct"/>
            <w:shd w:val="clear" w:color="auto" w:fill="auto"/>
            <w:vAlign w:val="center"/>
          </w:tcPr>
          <w:p w14:paraId="00F56F9B" w14:textId="77777777" w:rsidR="00BE7F89" w:rsidRPr="00470E23" w:rsidRDefault="00BE7F89" w:rsidP="005A428D">
            <w:pPr>
              <w:rPr>
                <w:rFonts w:eastAsia="SimSun"/>
                <w:sz w:val="22"/>
              </w:rPr>
            </w:pPr>
            <w:r w:rsidRPr="00470E23">
              <w:rPr>
                <w:rFonts w:eastAsia="SimSun"/>
                <w:sz w:val="22"/>
              </w:rPr>
              <w:t>5.3.1.12</w:t>
            </w:r>
          </w:p>
        </w:tc>
        <w:tc>
          <w:tcPr>
            <w:tcW w:w="444" w:type="pct"/>
            <w:shd w:val="clear" w:color="auto" w:fill="auto"/>
            <w:vAlign w:val="center"/>
          </w:tcPr>
          <w:p w14:paraId="62C7511E" w14:textId="77777777" w:rsidR="00BE7F89" w:rsidRPr="00470E23" w:rsidRDefault="00BE7F89" w:rsidP="005A428D">
            <w:pPr>
              <w:rPr>
                <w:rFonts w:eastAsia="SimSun"/>
                <w:sz w:val="22"/>
              </w:rPr>
            </w:pPr>
            <w:r w:rsidRPr="00470E23">
              <w:rPr>
                <w:rFonts w:eastAsia="SimSun"/>
                <w:sz w:val="22"/>
              </w:rPr>
              <w:t>5.3.1.5</w:t>
            </w:r>
          </w:p>
        </w:tc>
        <w:tc>
          <w:tcPr>
            <w:tcW w:w="334" w:type="pct"/>
            <w:shd w:val="clear" w:color="auto" w:fill="auto"/>
            <w:vAlign w:val="center"/>
          </w:tcPr>
          <w:p w14:paraId="137FD481" w14:textId="77777777" w:rsidR="00BE7F89" w:rsidRPr="00470E23" w:rsidRDefault="00BE7F89" w:rsidP="005A428D">
            <w:pPr>
              <w:rPr>
                <w:rFonts w:eastAsia="SimSun"/>
                <w:sz w:val="22"/>
              </w:rPr>
            </w:pPr>
          </w:p>
        </w:tc>
        <w:tc>
          <w:tcPr>
            <w:tcW w:w="334" w:type="pct"/>
            <w:shd w:val="clear" w:color="auto" w:fill="auto"/>
            <w:vAlign w:val="center"/>
          </w:tcPr>
          <w:p w14:paraId="2A080752" w14:textId="77777777" w:rsidR="00BE7F89" w:rsidRPr="00470E23" w:rsidRDefault="00BE7F89" w:rsidP="005A428D">
            <w:pPr>
              <w:rPr>
                <w:rFonts w:eastAsia="SimSun"/>
                <w:sz w:val="22"/>
              </w:rPr>
            </w:pPr>
          </w:p>
        </w:tc>
        <w:tc>
          <w:tcPr>
            <w:tcW w:w="334" w:type="pct"/>
            <w:shd w:val="clear" w:color="auto" w:fill="auto"/>
            <w:vAlign w:val="center"/>
          </w:tcPr>
          <w:p w14:paraId="110D9FF2" w14:textId="77777777" w:rsidR="00BE7F89" w:rsidRPr="00470E23" w:rsidRDefault="00BE7F89" w:rsidP="005A428D">
            <w:pPr>
              <w:rPr>
                <w:rFonts w:eastAsia="SimSun"/>
                <w:sz w:val="22"/>
              </w:rPr>
            </w:pPr>
          </w:p>
        </w:tc>
        <w:tc>
          <w:tcPr>
            <w:tcW w:w="425" w:type="pct"/>
            <w:shd w:val="clear" w:color="auto" w:fill="auto"/>
            <w:vAlign w:val="center"/>
          </w:tcPr>
          <w:p w14:paraId="52BDC182" w14:textId="77777777" w:rsidR="00BE7F89" w:rsidRPr="00470E23" w:rsidRDefault="00BE7F89" w:rsidP="005A428D">
            <w:pPr>
              <w:rPr>
                <w:rFonts w:eastAsia="SimSun"/>
                <w:sz w:val="22"/>
              </w:rPr>
            </w:pPr>
          </w:p>
        </w:tc>
        <w:tc>
          <w:tcPr>
            <w:tcW w:w="422" w:type="pct"/>
            <w:vAlign w:val="center"/>
          </w:tcPr>
          <w:p w14:paraId="54B573B7" w14:textId="77777777" w:rsidR="00BE7F89" w:rsidRPr="00470E23" w:rsidRDefault="00BE7F89" w:rsidP="005A428D">
            <w:pPr>
              <w:rPr>
                <w:rFonts w:eastAsia="SimSun"/>
                <w:sz w:val="22"/>
              </w:rPr>
            </w:pPr>
          </w:p>
        </w:tc>
      </w:tr>
      <w:tr w:rsidR="00BE7F89" w:rsidRPr="00470E23" w14:paraId="5A04C857" w14:textId="77777777" w:rsidTr="005A428D">
        <w:trPr>
          <w:cantSplit/>
          <w:trHeight w:val="1020"/>
        </w:trPr>
        <w:tc>
          <w:tcPr>
            <w:tcW w:w="248" w:type="pct"/>
            <w:vMerge/>
            <w:tcBorders>
              <w:bottom w:val="single" w:sz="4" w:space="0" w:color="00000A"/>
            </w:tcBorders>
            <w:shd w:val="clear" w:color="auto" w:fill="D9D9D9"/>
            <w:vAlign w:val="center"/>
          </w:tcPr>
          <w:p w14:paraId="373DC2D1" w14:textId="77777777" w:rsidR="00BE7F89" w:rsidRPr="00470E23" w:rsidRDefault="00BE7F89" w:rsidP="005A428D">
            <w:pPr>
              <w:rPr>
                <w:rFonts w:eastAsia="SimSun"/>
                <w:sz w:val="22"/>
              </w:rPr>
            </w:pPr>
          </w:p>
        </w:tc>
        <w:tc>
          <w:tcPr>
            <w:tcW w:w="369" w:type="pct"/>
            <w:tcBorders>
              <w:top w:val="single" w:sz="4" w:space="0" w:color="00000A"/>
            </w:tcBorders>
            <w:shd w:val="clear" w:color="auto" w:fill="D9D9D9"/>
            <w:vAlign w:val="center"/>
          </w:tcPr>
          <w:p w14:paraId="5767A264" w14:textId="77777777" w:rsidR="00BE7F89" w:rsidRPr="00470E23" w:rsidRDefault="00BE7F89" w:rsidP="005A428D">
            <w:pPr>
              <w:rPr>
                <w:rFonts w:eastAsia="SimSun"/>
                <w:sz w:val="22"/>
              </w:rPr>
            </w:pPr>
            <w:r w:rsidRPr="00470E23">
              <w:rPr>
                <w:rFonts w:eastAsia="SimSun"/>
                <w:sz w:val="22"/>
              </w:rPr>
              <w:t>-</w:t>
            </w:r>
          </w:p>
        </w:tc>
        <w:tc>
          <w:tcPr>
            <w:tcW w:w="321" w:type="pct"/>
            <w:tcBorders>
              <w:top w:val="single" w:sz="4" w:space="0" w:color="00000A"/>
            </w:tcBorders>
            <w:shd w:val="clear" w:color="auto" w:fill="D9D9D9"/>
            <w:vAlign w:val="center"/>
          </w:tcPr>
          <w:p w14:paraId="3DCDC7B2" w14:textId="77777777" w:rsidR="00BE7F89" w:rsidRPr="00470E23" w:rsidRDefault="00BE7F89" w:rsidP="005A428D">
            <w:pPr>
              <w:rPr>
                <w:rFonts w:eastAsia="SimSun"/>
                <w:sz w:val="22"/>
              </w:rPr>
            </w:pPr>
            <w:r w:rsidRPr="00470E23">
              <w:rPr>
                <w:rFonts w:eastAsia="SimSun"/>
                <w:sz w:val="22"/>
              </w:rPr>
              <w:t>Tx</w:t>
            </w:r>
          </w:p>
        </w:tc>
        <w:tc>
          <w:tcPr>
            <w:tcW w:w="455" w:type="pct"/>
            <w:shd w:val="clear" w:color="auto" w:fill="D9D9D9"/>
            <w:vAlign w:val="center"/>
          </w:tcPr>
          <w:p w14:paraId="1A72CAB0" w14:textId="77777777" w:rsidR="00BE7F89" w:rsidRPr="00470E23" w:rsidRDefault="00BE7F89" w:rsidP="005A428D">
            <w:pPr>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40D67F4E" w14:textId="77777777" w:rsidR="00BE7F89" w:rsidRPr="00470E23" w:rsidRDefault="00BE7F89" w:rsidP="005A428D">
            <w:pPr>
              <w:rPr>
                <w:rFonts w:eastAsia="SimSun"/>
                <w:sz w:val="22"/>
              </w:rPr>
            </w:pPr>
            <w:r w:rsidRPr="00470E23">
              <w:rPr>
                <w:rFonts w:eastAsia="SimSun"/>
                <w:sz w:val="22"/>
              </w:rPr>
              <w:t>-</w:t>
            </w:r>
          </w:p>
        </w:tc>
        <w:tc>
          <w:tcPr>
            <w:tcW w:w="404" w:type="pct"/>
            <w:shd w:val="clear" w:color="auto" w:fill="auto"/>
            <w:vAlign w:val="center"/>
          </w:tcPr>
          <w:p w14:paraId="7FDEA41B" w14:textId="77777777" w:rsidR="00BE7F89" w:rsidRPr="00470E23" w:rsidRDefault="00BE7F89" w:rsidP="005A428D">
            <w:pPr>
              <w:rPr>
                <w:rFonts w:eastAsia="SimSun"/>
                <w:sz w:val="22"/>
              </w:rPr>
            </w:pPr>
            <w:r w:rsidRPr="00470E23">
              <w:rPr>
                <w:rFonts w:eastAsia="SimSun"/>
                <w:sz w:val="22"/>
              </w:rPr>
              <w:t>-</w:t>
            </w:r>
          </w:p>
        </w:tc>
        <w:tc>
          <w:tcPr>
            <w:tcW w:w="466" w:type="pct"/>
            <w:shd w:val="clear" w:color="auto" w:fill="auto"/>
            <w:vAlign w:val="center"/>
          </w:tcPr>
          <w:p w14:paraId="1B4A98AC" w14:textId="77777777" w:rsidR="00BE7F89" w:rsidRPr="00470E23" w:rsidRDefault="00BE7F89" w:rsidP="005A428D">
            <w:pPr>
              <w:rPr>
                <w:rFonts w:eastAsia="SimSun"/>
                <w:sz w:val="22"/>
              </w:rPr>
            </w:pPr>
            <w:r w:rsidRPr="00470E23">
              <w:rPr>
                <w:rFonts w:eastAsia="SimSun"/>
                <w:sz w:val="22"/>
              </w:rPr>
              <w:t>-</w:t>
            </w:r>
          </w:p>
        </w:tc>
        <w:tc>
          <w:tcPr>
            <w:tcW w:w="444" w:type="pct"/>
            <w:shd w:val="clear" w:color="auto" w:fill="auto"/>
            <w:vAlign w:val="center"/>
          </w:tcPr>
          <w:p w14:paraId="17CFB183" w14:textId="77777777" w:rsidR="00BE7F89" w:rsidRPr="00470E23" w:rsidRDefault="00BE7F89" w:rsidP="005A428D">
            <w:pPr>
              <w:rPr>
                <w:rFonts w:eastAsia="SimSun"/>
                <w:sz w:val="22"/>
              </w:rPr>
            </w:pPr>
            <w:r w:rsidRPr="00470E23">
              <w:rPr>
                <w:rFonts w:eastAsia="SimSun"/>
                <w:sz w:val="22"/>
              </w:rPr>
              <w:t>5.3.1.6</w:t>
            </w:r>
          </w:p>
        </w:tc>
        <w:tc>
          <w:tcPr>
            <w:tcW w:w="334" w:type="pct"/>
            <w:shd w:val="clear" w:color="auto" w:fill="auto"/>
            <w:vAlign w:val="center"/>
          </w:tcPr>
          <w:p w14:paraId="15D9BCD1" w14:textId="77777777" w:rsidR="00BE7F89" w:rsidRPr="00470E23" w:rsidRDefault="00BE7F89" w:rsidP="005A428D">
            <w:pPr>
              <w:rPr>
                <w:rFonts w:eastAsia="SimSun"/>
                <w:sz w:val="22"/>
              </w:rPr>
            </w:pPr>
            <w:r w:rsidRPr="00470E23">
              <w:rPr>
                <w:rFonts w:eastAsia="SimSun"/>
                <w:sz w:val="22"/>
              </w:rPr>
              <w:t>5.3.1.7</w:t>
            </w:r>
          </w:p>
        </w:tc>
        <w:tc>
          <w:tcPr>
            <w:tcW w:w="334" w:type="pct"/>
            <w:shd w:val="clear" w:color="auto" w:fill="auto"/>
            <w:vAlign w:val="center"/>
          </w:tcPr>
          <w:p w14:paraId="5D2D69AD" w14:textId="77777777" w:rsidR="00BE7F89" w:rsidRPr="00470E23" w:rsidRDefault="00BE7F89" w:rsidP="005A428D">
            <w:pPr>
              <w:rPr>
                <w:rFonts w:eastAsia="SimSun"/>
                <w:sz w:val="22"/>
              </w:rPr>
            </w:pPr>
            <w:r w:rsidRPr="00470E23">
              <w:rPr>
                <w:rFonts w:eastAsia="SimSun"/>
                <w:sz w:val="22"/>
              </w:rPr>
              <w:t>5.3.1.8</w:t>
            </w:r>
          </w:p>
        </w:tc>
        <w:tc>
          <w:tcPr>
            <w:tcW w:w="334" w:type="pct"/>
            <w:shd w:val="clear" w:color="auto" w:fill="auto"/>
            <w:vAlign w:val="center"/>
          </w:tcPr>
          <w:p w14:paraId="323C0430" w14:textId="77777777" w:rsidR="00BE7F89" w:rsidRPr="00470E23" w:rsidRDefault="00BE7F89" w:rsidP="005A428D">
            <w:pPr>
              <w:rPr>
                <w:rFonts w:eastAsia="SimSun"/>
                <w:sz w:val="22"/>
              </w:rPr>
            </w:pPr>
            <w:r w:rsidRPr="00470E23">
              <w:rPr>
                <w:rFonts w:eastAsia="SimSun"/>
                <w:sz w:val="22"/>
              </w:rPr>
              <w:t>5.3.1.9</w:t>
            </w:r>
          </w:p>
        </w:tc>
        <w:tc>
          <w:tcPr>
            <w:tcW w:w="425" w:type="pct"/>
            <w:shd w:val="clear" w:color="auto" w:fill="auto"/>
            <w:vAlign w:val="center"/>
          </w:tcPr>
          <w:p w14:paraId="43798652" w14:textId="77777777" w:rsidR="00BE7F89" w:rsidRPr="00470E23" w:rsidRDefault="00BE7F89" w:rsidP="005A428D">
            <w:pPr>
              <w:rPr>
                <w:rFonts w:eastAsia="SimSun"/>
                <w:sz w:val="22"/>
              </w:rPr>
            </w:pPr>
            <w:r w:rsidRPr="00470E23">
              <w:rPr>
                <w:rFonts w:eastAsia="SimSun"/>
                <w:sz w:val="22"/>
              </w:rPr>
              <w:t>5.3.1.13</w:t>
            </w:r>
          </w:p>
        </w:tc>
        <w:tc>
          <w:tcPr>
            <w:tcW w:w="422" w:type="pct"/>
            <w:vAlign w:val="center"/>
          </w:tcPr>
          <w:p w14:paraId="2822CC4F" w14:textId="77777777" w:rsidR="00BE7F89" w:rsidRPr="00470E23" w:rsidRDefault="00BE7F89" w:rsidP="005A428D">
            <w:pPr>
              <w:rPr>
                <w:rFonts w:eastAsia="SimSun"/>
                <w:sz w:val="22"/>
              </w:rPr>
            </w:pPr>
            <w:r w:rsidRPr="00470E23">
              <w:rPr>
                <w:rFonts w:eastAsia="SimSun"/>
                <w:sz w:val="22"/>
              </w:rPr>
              <w:t>5.3.1.14</w:t>
            </w:r>
          </w:p>
        </w:tc>
      </w:tr>
    </w:tbl>
    <w:p w14:paraId="0486A30D" w14:textId="77777777" w:rsidR="00BE7F89" w:rsidRPr="00C07B2E" w:rsidRDefault="00BE7F89" w:rsidP="00BE7F89">
      <w:pPr>
        <w:rPr>
          <w:rFonts w:eastAsia="SimSun"/>
        </w:rPr>
      </w:pPr>
    </w:p>
    <w:p w14:paraId="3C29DD59" w14:textId="77777777" w:rsidR="00BE7F89" w:rsidRPr="00C07B2E" w:rsidRDefault="00BE7F89" w:rsidP="00BE7F89">
      <w:pPr>
        <w:rPr>
          <w:rFonts w:eastAsia="SimSun"/>
        </w:rPr>
        <w:sectPr w:rsidR="00BE7F89" w:rsidRPr="00C07B2E" w:rsidSect="00980822">
          <w:headerReference w:type="default" r:id="rId14"/>
          <w:footerReference w:type="default" r:id="rId15"/>
          <w:type w:val="continuous"/>
          <w:pgSz w:w="16839" w:h="11907" w:orient="landscape" w:code="9"/>
          <w:pgMar w:top="1134" w:right="850" w:bottom="1134" w:left="1701" w:header="709" w:footer="567" w:gutter="0"/>
          <w:cols w:space="708"/>
          <w:docGrid w:linePitch="360"/>
        </w:sectPr>
      </w:pPr>
    </w:p>
    <w:p w14:paraId="2D1D7EF1" w14:textId="77777777" w:rsidR="00BE7F89" w:rsidRPr="00C07B2E" w:rsidRDefault="00BE7F89" w:rsidP="00BE7F89">
      <w:pPr>
        <w:rPr>
          <w:rFonts w:eastAsia="SimSun"/>
        </w:rPr>
      </w:pPr>
      <w:bookmarkStart w:id="210" w:name="_Toc44401226"/>
      <w:r w:rsidRPr="00EE51B1">
        <w:rPr>
          <w:rFonts w:eastAsia="SimSun"/>
        </w:rPr>
        <w:t>Таблица</w:t>
      </w:r>
      <w:r w:rsidRPr="00C07B2E">
        <w:rPr>
          <w:rFonts w:eastAsia="SimSun"/>
        </w:rPr>
        <w:t xml:space="preserve"> </w:t>
      </w:r>
      <w:r>
        <w:rPr>
          <w:rFonts w:eastAsia="SimSun"/>
        </w:rPr>
        <w:t>5.</w:t>
      </w:r>
      <w:r w:rsidRPr="00C07B2E">
        <w:rPr>
          <w:rFonts w:eastAsia="SimSun"/>
        </w:rPr>
        <w:t>3.1.1  – Flu150+Bu8+Thio / PT-Cy+CSA+MMF30</w:t>
      </w:r>
      <w:bookmarkEnd w:id="210"/>
    </w:p>
    <w:p w14:paraId="5F9BB4B2" w14:textId="77777777" w:rsidR="00BE7F89" w:rsidRPr="00C07B2E" w:rsidRDefault="00BE7F89" w:rsidP="00BE7F89">
      <w:pPr>
        <w:rPr>
          <w:rFonts w:eastAsia="SimSun"/>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BE7F89" w:rsidRPr="00AC3044" w14:paraId="7AAF0F0B" w14:textId="77777777" w:rsidTr="005A428D">
        <w:trPr>
          <w:cantSplit/>
          <w:trHeight w:val="20"/>
          <w:tblHeader/>
        </w:trPr>
        <w:tc>
          <w:tcPr>
            <w:tcW w:w="1135" w:type="dxa"/>
          </w:tcPr>
          <w:p w14:paraId="73700600" w14:textId="77777777" w:rsidR="00BE7F89" w:rsidRPr="006A5E21" w:rsidRDefault="00BE7F89" w:rsidP="005A428D">
            <w:pPr>
              <w:rPr>
                <w:rFonts w:eastAsia="SimSun"/>
              </w:rPr>
            </w:pPr>
          </w:p>
        </w:tc>
        <w:tc>
          <w:tcPr>
            <w:tcW w:w="1559" w:type="dxa"/>
          </w:tcPr>
          <w:p w14:paraId="2BA31913" w14:textId="77777777" w:rsidR="00BE7F89" w:rsidRPr="00AC3044" w:rsidRDefault="00BE7F89" w:rsidP="005A428D">
            <w:pPr>
              <w:rPr>
                <w:rFonts w:eastAsia="SimSun"/>
              </w:rPr>
            </w:pPr>
            <w:r w:rsidRPr="00AC3044">
              <w:rPr>
                <w:rFonts w:eastAsia="SimSun"/>
              </w:rPr>
              <w:t>Препарат</w:t>
            </w:r>
          </w:p>
        </w:tc>
        <w:tc>
          <w:tcPr>
            <w:tcW w:w="1418" w:type="dxa"/>
          </w:tcPr>
          <w:p w14:paraId="2B05B71C" w14:textId="77777777" w:rsidR="00BE7F89" w:rsidRPr="00AC3044" w:rsidRDefault="00BE7F89" w:rsidP="005A428D">
            <w:pPr>
              <w:rPr>
                <w:rFonts w:eastAsia="SimSun"/>
              </w:rPr>
            </w:pPr>
            <w:r w:rsidRPr="00AC3044">
              <w:rPr>
                <w:rFonts w:eastAsia="SimSun"/>
              </w:rPr>
              <w:t>Суточная доза</w:t>
            </w:r>
          </w:p>
        </w:tc>
        <w:tc>
          <w:tcPr>
            <w:tcW w:w="1559" w:type="dxa"/>
          </w:tcPr>
          <w:p w14:paraId="154E7269" w14:textId="77777777" w:rsidR="00BE7F89" w:rsidRPr="00AC3044" w:rsidRDefault="00BE7F89" w:rsidP="005A428D">
            <w:pPr>
              <w:rPr>
                <w:rFonts w:eastAsia="SimSun"/>
              </w:rPr>
            </w:pPr>
            <w:r w:rsidRPr="00AC3044">
              <w:rPr>
                <w:rFonts w:eastAsia="SimSun"/>
              </w:rPr>
              <w:t>Курсовая доза</w:t>
            </w:r>
          </w:p>
        </w:tc>
        <w:tc>
          <w:tcPr>
            <w:tcW w:w="1559" w:type="dxa"/>
          </w:tcPr>
          <w:p w14:paraId="7D87D353" w14:textId="77777777" w:rsidR="00BE7F89" w:rsidRPr="00AC3044" w:rsidRDefault="00BE7F89" w:rsidP="005A428D">
            <w:pPr>
              <w:rPr>
                <w:rFonts w:eastAsia="SimSun"/>
              </w:rPr>
            </w:pPr>
            <w:r w:rsidRPr="00AC3044">
              <w:rPr>
                <w:rFonts w:eastAsia="SimSun"/>
              </w:rPr>
              <w:t>Дни введения</w:t>
            </w:r>
          </w:p>
        </w:tc>
        <w:tc>
          <w:tcPr>
            <w:tcW w:w="2410" w:type="dxa"/>
          </w:tcPr>
          <w:p w14:paraId="5EC3054C"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7D8BC709" w14:textId="77777777" w:rsidTr="005A428D">
        <w:trPr>
          <w:cantSplit/>
          <w:trHeight w:val="20"/>
        </w:trPr>
        <w:tc>
          <w:tcPr>
            <w:tcW w:w="1135" w:type="dxa"/>
            <w:vMerge w:val="restart"/>
            <w:textDirection w:val="btLr"/>
          </w:tcPr>
          <w:p w14:paraId="28E1226B" w14:textId="77777777" w:rsidR="00BE7F89" w:rsidRPr="00AC3044" w:rsidRDefault="00BE7F89" w:rsidP="005A428D">
            <w:pPr>
              <w:rPr>
                <w:rFonts w:eastAsia="SimSun"/>
              </w:rPr>
            </w:pPr>
            <w:r w:rsidRPr="00AC3044">
              <w:rPr>
                <w:rFonts w:eastAsia="SimSun"/>
              </w:rPr>
              <w:t>Кондиционирование</w:t>
            </w:r>
          </w:p>
        </w:tc>
        <w:tc>
          <w:tcPr>
            <w:tcW w:w="1559" w:type="dxa"/>
          </w:tcPr>
          <w:p w14:paraId="5FF21B71" w14:textId="77777777" w:rsidR="00BE7F89" w:rsidRPr="00AC3044" w:rsidRDefault="00BE7F89" w:rsidP="005A428D">
            <w:pPr>
              <w:rPr>
                <w:rFonts w:eastAsia="SimSun"/>
              </w:rPr>
            </w:pPr>
            <w:r w:rsidRPr="00AC3044">
              <w:rPr>
                <w:rFonts w:eastAsia="SimSun"/>
              </w:rPr>
              <w:t xml:space="preserve">Флударабин </w:t>
            </w:r>
          </w:p>
        </w:tc>
        <w:tc>
          <w:tcPr>
            <w:tcW w:w="1418" w:type="dxa"/>
          </w:tcPr>
          <w:p w14:paraId="66139D35" w14:textId="77777777" w:rsidR="00BE7F89" w:rsidRPr="00AC3044" w:rsidRDefault="00BE7F89" w:rsidP="005A428D">
            <w:pPr>
              <w:rPr>
                <w:rFonts w:eastAsia="SimSun"/>
              </w:rPr>
            </w:pPr>
            <w:r w:rsidRPr="00AC3044">
              <w:rPr>
                <w:rFonts w:eastAsia="SimSun"/>
              </w:rPr>
              <w:t>50 мг/м</w:t>
            </w:r>
            <w:r w:rsidRPr="0074195F">
              <w:rPr>
                <w:rFonts w:eastAsia="SimSun"/>
                <w:vertAlign w:val="superscript"/>
              </w:rPr>
              <w:t>2</w:t>
            </w:r>
          </w:p>
        </w:tc>
        <w:tc>
          <w:tcPr>
            <w:tcW w:w="1559" w:type="dxa"/>
          </w:tcPr>
          <w:p w14:paraId="1982EE52" w14:textId="77777777" w:rsidR="00BE7F89" w:rsidRPr="00AC3044" w:rsidRDefault="00BE7F89" w:rsidP="005A428D">
            <w:pPr>
              <w:rPr>
                <w:rFonts w:eastAsia="SimSun"/>
              </w:rPr>
            </w:pPr>
            <w:r w:rsidRPr="00AC3044">
              <w:rPr>
                <w:rFonts w:eastAsia="SimSun"/>
              </w:rPr>
              <w:t>150 мг/м</w:t>
            </w:r>
            <w:r w:rsidRPr="0074195F">
              <w:rPr>
                <w:rFonts w:eastAsia="SimSun"/>
                <w:vertAlign w:val="superscript"/>
              </w:rPr>
              <w:t>2</w:t>
            </w:r>
          </w:p>
        </w:tc>
        <w:tc>
          <w:tcPr>
            <w:tcW w:w="1559" w:type="dxa"/>
          </w:tcPr>
          <w:p w14:paraId="4EFD8120" w14:textId="77777777" w:rsidR="00BE7F89" w:rsidRPr="00AC3044" w:rsidRDefault="00BE7F89" w:rsidP="005A428D">
            <w:pPr>
              <w:rPr>
                <w:rFonts w:eastAsia="SimSun"/>
              </w:rPr>
            </w:pPr>
            <w:r w:rsidRPr="00AC3044">
              <w:rPr>
                <w:rFonts w:eastAsia="SimSun"/>
              </w:rPr>
              <w:t>С –4 по –2 день</w:t>
            </w:r>
          </w:p>
        </w:tc>
        <w:tc>
          <w:tcPr>
            <w:tcW w:w="2410" w:type="dxa"/>
          </w:tcPr>
          <w:p w14:paraId="6E4F9172"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6435B69" w14:textId="77777777" w:rsidTr="005A428D">
        <w:trPr>
          <w:cantSplit/>
          <w:trHeight w:val="642"/>
        </w:trPr>
        <w:tc>
          <w:tcPr>
            <w:tcW w:w="1135" w:type="dxa"/>
            <w:vMerge/>
            <w:textDirection w:val="btLr"/>
          </w:tcPr>
          <w:p w14:paraId="765F9196" w14:textId="77777777" w:rsidR="00BE7F89" w:rsidRPr="00AC3044" w:rsidRDefault="00BE7F89" w:rsidP="005A428D">
            <w:pPr>
              <w:rPr>
                <w:rFonts w:eastAsia="SimSun"/>
              </w:rPr>
            </w:pPr>
          </w:p>
        </w:tc>
        <w:tc>
          <w:tcPr>
            <w:tcW w:w="1559" w:type="dxa"/>
          </w:tcPr>
          <w:p w14:paraId="4B61284B" w14:textId="77777777" w:rsidR="00BE7F89" w:rsidRPr="00AC3044" w:rsidRDefault="00BE7F89" w:rsidP="005A428D">
            <w:pPr>
              <w:rPr>
                <w:rFonts w:eastAsia="SimSun"/>
              </w:rPr>
            </w:pPr>
            <w:r w:rsidRPr="00AC3044">
              <w:rPr>
                <w:rFonts w:eastAsia="SimSun"/>
              </w:rPr>
              <w:t>Бусульфан</w:t>
            </w:r>
          </w:p>
        </w:tc>
        <w:tc>
          <w:tcPr>
            <w:tcW w:w="1418" w:type="dxa"/>
          </w:tcPr>
          <w:p w14:paraId="6953A860" w14:textId="77777777" w:rsidR="00BE7F89" w:rsidRPr="00AC3044" w:rsidRDefault="00BE7F89" w:rsidP="005A428D">
            <w:pPr>
              <w:rPr>
                <w:rFonts w:eastAsia="SimSun"/>
              </w:rPr>
            </w:pPr>
            <w:r w:rsidRPr="00AC3044">
              <w:rPr>
                <w:rFonts w:eastAsia="SimSun"/>
              </w:rPr>
              <w:t>4 мг/кг</w:t>
            </w:r>
          </w:p>
        </w:tc>
        <w:tc>
          <w:tcPr>
            <w:tcW w:w="1559" w:type="dxa"/>
          </w:tcPr>
          <w:p w14:paraId="496F50A1" w14:textId="77777777" w:rsidR="00BE7F89" w:rsidRPr="00AC3044" w:rsidRDefault="00BE7F89" w:rsidP="005A428D">
            <w:pPr>
              <w:rPr>
                <w:rFonts w:eastAsia="SimSun"/>
              </w:rPr>
            </w:pPr>
            <w:r w:rsidRPr="00AC3044">
              <w:rPr>
                <w:rFonts w:eastAsia="SimSun"/>
              </w:rPr>
              <w:t>8 мг/кг</w:t>
            </w:r>
          </w:p>
        </w:tc>
        <w:tc>
          <w:tcPr>
            <w:tcW w:w="1559" w:type="dxa"/>
          </w:tcPr>
          <w:p w14:paraId="4E74FD97" w14:textId="77777777" w:rsidR="00BE7F89" w:rsidRPr="00AC3044" w:rsidRDefault="00BE7F89" w:rsidP="005A428D">
            <w:pPr>
              <w:rPr>
                <w:rFonts w:eastAsia="SimSun"/>
              </w:rPr>
            </w:pPr>
            <w:r w:rsidRPr="00AC3044">
              <w:rPr>
                <w:rFonts w:eastAsia="SimSun"/>
              </w:rPr>
              <w:t>–3, –2 дни</w:t>
            </w:r>
          </w:p>
        </w:tc>
        <w:tc>
          <w:tcPr>
            <w:tcW w:w="2410" w:type="dxa"/>
          </w:tcPr>
          <w:p w14:paraId="7931602B"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538779EF" w14:textId="77777777" w:rsidTr="005A428D">
        <w:trPr>
          <w:cantSplit/>
          <w:trHeight w:val="552"/>
        </w:trPr>
        <w:tc>
          <w:tcPr>
            <w:tcW w:w="1135" w:type="dxa"/>
            <w:vMerge/>
            <w:textDirection w:val="btLr"/>
          </w:tcPr>
          <w:p w14:paraId="1116CCD9" w14:textId="77777777" w:rsidR="00BE7F89" w:rsidRPr="00AC3044" w:rsidRDefault="00BE7F89" w:rsidP="005A428D">
            <w:pPr>
              <w:rPr>
                <w:rFonts w:eastAsia="SimSun"/>
              </w:rPr>
            </w:pPr>
          </w:p>
        </w:tc>
        <w:tc>
          <w:tcPr>
            <w:tcW w:w="1559" w:type="dxa"/>
          </w:tcPr>
          <w:p w14:paraId="32BD647E" w14:textId="77777777" w:rsidR="00BE7F89" w:rsidRPr="00AC3044" w:rsidRDefault="00BE7F89" w:rsidP="005A428D">
            <w:pPr>
              <w:rPr>
                <w:rFonts w:eastAsia="SimSun"/>
              </w:rPr>
            </w:pPr>
            <w:r w:rsidRPr="00AC3044">
              <w:rPr>
                <w:rFonts w:eastAsia="SimSun"/>
              </w:rPr>
              <w:t>Тиотепа</w:t>
            </w:r>
          </w:p>
        </w:tc>
        <w:tc>
          <w:tcPr>
            <w:tcW w:w="1418" w:type="dxa"/>
          </w:tcPr>
          <w:p w14:paraId="26C51070" w14:textId="77777777" w:rsidR="00BE7F89" w:rsidRPr="00AC3044" w:rsidRDefault="00BE7F89" w:rsidP="005A428D">
            <w:pPr>
              <w:rPr>
                <w:rFonts w:eastAsia="SimSun"/>
              </w:rPr>
            </w:pPr>
            <w:r w:rsidRPr="00AC3044">
              <w:rPr>
                <w:rFonts w:eastAsia="SimSun"/>
              </w:rPr>
              <w:t>5 мг/кг</w:t>
            </w:r>
          </w:p>
        </w:tc>
        <w:tc>
          <w:tcPr>
            <w:tcW w:w="1559" w:type="dxa"/>
          </w:tcPr>
          <w:p w14:paraId="71146A48" w14:textId="77777777" w:rsidR="00BE7F89" w:rsidRPr="00AC3044" w:rsidRDefault="00BE7F89" w:rsidP="005A428D">
            <w:pPr>
              <w:rPr>
                <w:rFonts w:eastAsia="SimSun"/>
              </w:rPr>
            </w:pPr>
            <w:r w:rsidRPr="00AC3044">
              <w:rPr>
                <w:rFonts w:eastAsia="SimSun"/>
              </w:rPr>
              <w:t>10 мг/кг</w:t>
            </w:r>
          </w:p>
        </w:tc>
        <w:tc>
          <w:tcPr>
            <w:tcW w:w="1559" w:type="dxa"/>
          </w:tcPr>
          <w:p w14:paraId="373E44F1" w14:textId="77777777" w:rsidR="00BE7F89" w:rsidRPr="00AC3044" w:rsidRDefault="00BE7F89" w:rsidP="005A428D">
            <w:pPr>
              <w:rPr>
                <w:rFonts w:eastAsia="SimSun"/>
              </w:rPr>
            </w:pPr>
            <w:r w:rsidRPr="00AC3044">
              <w:rPr>
                <w:rFonts w:eastAsia="SimSun"/>
              </w:rPr>
              <w:t>-6,-5 дни</w:t>
            </w:r>
          </w:p>
        </w:tc>
        <w:tc>
          <w:tcPr>
            <w:tcW w:w="2410" w:type="dxa"/>
          </w:tcPr>
          <w:p w14:paraId="6AE7A3E5"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45FDAAD7" w14:textId="77777777" w:rsidTr="005A428D">
        <w:trPr>
          <w:cantSplit/>
          <w:trHeight w:val="1357"/>
        </w:trPr>
        <w:tc>
          <w:tcPr>
            <w:tcW w:w="1135" w:type="dxa"/>
            <w:vMerge w:val="restart"/>
            <w:textDirection w:val="btLr"/>
          </w:tcPr>
          <w:p w14:paraId="0F5D957A" w14:textId="77777777" w:rsidR="00BE7F89" w:rsidRPr="00AC3044" w:rsidRDefault="00BE7F89" w:rsidP="005A428D">
            <w:pPr>
              <w:rPr>
                <w:rFonts w:eastAsia="SimSun"/>
              </w:rPr>
            </w:pPr>
            <w:r w:rsidRPr="00AC3044">
              <w:rPr>
                <w:rFonts w:eastAsia="SimSun"/>
              </w:rPr>
              <w:t>Профилактика РТПХ</w:t>
            </w:r>
          </w:p>
        </w:tc>
        <w:tc>
          <w:tcPr>
            <w:tcW w:w="1559" w:type="dxa"/>
          </w:tcPr>
          <w:p w14:paraId="143C2005" w14:textId="77777777" w:rsidR="00BE7F89" w:rsidRPr="00AC3044" w:rsidRDefault="00BE7F89" w:rsidP="005A428D">
            <w:pPr>
              <w:rPr>
                <w:rFonts w:eastAsia="SimSun"/>
              </w:rPr>
            </w:pPr>
            <w:r w:rsidRPr="00AC3044">
              <w:rPr>
                <w:rFonts w:eastAsia="SimSun"/>
              </w:rPr>
              <w:t>Циклоспорин</w:t>
            </w:r>
          </w:p>
        </w:tc>
        <w:tc>
          <w:tcPr>
            <w:tcW w:w="1418" w:type="dxa"/>
          </w:tcPr>
          <w:p w14:paraId="61A52A38" w14:textId="77777777" w:rsidR="00BE7F89" w:rsidRPr="00AC3044" w:rsidRDefault="00BE7F89" w:rsidP="005A428D">
            <w:pPr>
              <w:rPr>
                <w:rFonts w:eastAsia="SimSun"/>
              </w:rPr>
            </w:pPr>
            <w:r w:rsidRPr="00AC3044">
              <w:rPr>
                <w:rFonts w:eastAsia="SimSun"/>
              </w:rPr>
              <w:t>3 мг/кг</w:t>
            </w:r>
          </w:p>
        </w:tc>
        <w:tc>
          <w:tcPr>
            <w:tcW w:w="1559" w:type="dxa"/>
          </w:tcPr>
          <w:p w14:paraId="18518E59" w14:textId="77777777" w:rsidR="00BE7F89" w:rsidRPr="00AC3044" w:rsidRDefault="00BE7F89" w:rsidP="005A428D">
            <w:pPr>
              <w:rPr>
                <w:rFonts w:eastAsia="SimSun"/>
              </w:rPr>
            </w:pPr>
            <w:r w:rsidRPr="00AC3044">
              <w:rPr>
                <w:rFonts w:eastAsia="SimSun"/>
              </w:rPr>
              <w:t>–</w:t>
            </w:r>
          </w:p>
        </w:tc>
        <w:tc>
          <w:tcPr>
            <w:tcW w:w="1559" w:type="dxa"/>
          </w:tcPr>
          <w:p w14:paraId="0BCEA44F" w14:textId="77777777" w:rsidR="00BE7F89" w:rsidRPr="00AC3044" w:rsidRDefault="00BE7F89" w:rsidP="005A428D">
            <w:pPr>
              <w:rPr>
                <w:rFonts w:eastAsia="SimSun"/>
              </w:rPr>
            </w:pPr>
            <w:r w:rsidRPr="00AC3044">
              <w:rPr>
                <w:rFonts w:eastAsia="SimSun"/>
              </w:rPr>
              <w:t>С +5 дня по +90 день затем постепенное снижение к +180 дню</w:t>
            </w:r>
          </w:p>
        </w:tc>
        <w:tc>
          <w:tcPr>
            <w:tcW w:w="2410" w:type="dxa"/>
          </w:tcPr>
          <w:p w14:paraId="1182121D"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588E3146" w14:textId="77777777" w:rsidTr="005A428D">
        <w:trPr>
          <w:cantSplit/>
          <w:trHeight w:val="20"/>
        </w:trPr>
        <w:tc>
          <w:tcPr>
            <w:tcW w:w="1135" w:type="dxa"/>
            <w:vMerge/>
            <w:textDirection w:val="btLr"/>
          </w:tcPr>
          <w:p w14:paraId="2F8FDECF" w14:textId="77777777" w:rsidR="00BE7F89" w:rsidRPr="00AC3044" w:rsidRDefault="00BE7F89" w:rsidP="005A428D">
            <w:pPr>
              <w:rPr>
                <w:rFonts w:eastAsia="SimSun"/>
              </w:rPr>
            </w:pPr>
          </w:p>
        </w:tc>
        <w:tc>
          <w:tcPr>
            <w:tcW w:w="1559" w:type="dxa"/>
          </w:tcPr>
          <w:p w14:paraId="3D6389D6" w14:textId="77777777" w:rsidR="00BE7F89" w:rsidRPr="00AC3044" w:rsidRDefault="00BE7F89" w:rsidP="005A428D">
            <w:pPr>
              <w:rPr>
                <w:rFonts w:eastAsia="SimSun"/>
              </w:rPr>
            </w:pPr>
            <w:r w:rsidRPr="00AC3044">
              <w:rPr>
                <w:rFonts w:eastAsia="SimSun"/>
              </w:rPr>
              <w:t>Микофенолата мофетил</w:t>
            </w:r>
          </w:p>
        </w:tc>
        <w:tc>
          <w:tcPr>
            <w:tcW w:w="1418" w:type="dxa"/>
          </w:tcPr>
          <w:p w14:paraId="2EAB9A07" w14:textId="77777777" w:rsidR="00BE7F89" w:rsidRPr="00AC3044" w:rsidRDefault="00BE7F89" w:rsidP="005A428D">
            <w:pPr>
              <w:rPr>
                <w:rFonts w:eastAsia="SimSun"/>
              </w:rPr>
            </w:pPr>
            <w:r w:rsidRPr="00AC3044">
              <w:rPr>
                <w:rFonts w:eastAsia="SimSun"/>
              </w:rPr>
              <w:t>30 мг/кг</w:t>
            </w:r>
          </w:p>
        </w:tc>
        <w:tc>
          <w:tcPr>
            <w:tcW w:w="1559" w:type="dxa"/>
          </w:tcPr>
          <w:p w14:paraId="0840DCBB" w14:textId="77777777" w:rsidR="00BE7F89" w:rsidRPr="00AC3044" w:rsidRDefault="00BE7F89" w:rsidP="005A428D">
            <w:pPr>
              <w:rPr>
                <w:rFonts w:eastAsia="SimSun"/>
              </w:rPr>
            </w:pPr>
            <w:r w:rsidRPr="00AC3044">
              <w:rPr>
                <w:rFonts w:eastAsia="SimSun"/>
              </w:rPr>
              <w:t>–</w:t>
            </w:r>
          </w:p>
        </w:tc>
        <w:tc>
          <w:tcPr>
            <w:tcW w:w="1559" w:type="dxa"/>
          </w:tcPr>
          <w:p w14:paraId="3B60B1C6" w14:textId="77777777" w:rsidR="00BE7F89" w:rsidRPr="00AC3044" w:rsidRDefault="00BE7F89" w:rsidP="005A428D">
            <w:pPr>
              <w:rPr>
                <w:rFonts w:eastAsia="SimSun"/>
              </w:rPr>
            </w:pPr>
            <w:r w:rsidRPr="00AC3044">
              <w:rPr>
                <w:rFonts w:eastAsia="SimSun"/>
              </w:rPr>
              <w:t>С +5 по +90 день</w:t>
            </w:r>
          </w:p>
        </w:tc>
        <w:tc>
          <w:tcPr>
            <w:tcW w:w="2410" w:type="dxa"/>
          </w:tcPr>
          <w:p w14:paraId="0790C97B"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BE7F89" w:rsidRPr="00AC3044" w14:paraId="39C54B68" w14:textId="77777777" w:rsidTr="005A428D">
        <w:trPr>
          <w:cantSplit/>
          <w:trHeight w:val="20"/>
        </w:trPr>
        <w:tc>
          <w:tcPr>
            <w:tcW w:w="1135" w:type="dxa"/>
            <w:vMerge/>
            <w:textDirection w:val="btLr"/>
          </w:tcPr>
          <w:p w14:paraId="6205301B" w14:textId="77777777" w:rsidR="00BE7F89" w:rsidRPr="00AC3044" w:rsidRDefault="00BE7F89" w:rsidP="005A428D">
            <w:pPr>
              <w:rPr>
                <w:rFonts w:eastAsia="SimSun"/>
              </w:rPr>
            </w:pPr>
          </w:p>
        </w:tc>
        <w:tc>
          <w:tcPr>
            <w:tcW w:w="1559" w:type="dxa"/>
          </w:tcPr>
          <w:p w14:paraId="7C13684D" w14:textId="77777777" w:rsidR="00BE7F89" w:rsidRPr="00AC3044" w:rsidRDefault="00BE7F89" w:rsidP="005A428D">
            <w:pPr>
              <w:rPr>
                <w:rFonts w:eastAsia="SimSun"/>
              </w:rPr>
            </w:pPr>
            <w:r w:rsidRPr="00AC3044">
              <w:rPr>
                <w:rFonts w:eastAsia="SimSun"/>
              </w:rPr>
              <w:t>Циклофосфамид</w:t>
            </w:r>
          </w:p>
        </w:tc>
        <w:tc>
          <w:tcPr>
            <w:tcW w:w="1418" w:type="dxa"/>
          </w:tcPr>
          <w:p w14:paraId="0F9552C7" w14:textId="77777777" w:rsidR="00BE7F89" w:rsidRPr="00AC3044" w:rsidRDefault="00BE7F89" w:rsidP="005A428D">
            <w:pPr>
              <w:rPr>
                <w:rFonts w:eastAsia="SimSun"/>
              </w:rPr>
            </w:pPr>
            <w:r w:rsidRPr="00AC3044">
              <w:rPr>
                <w:rFonts w:eastAsia="SimSun"/>
              </w:rPr>
              <w:t>50 мг/кг</w:t>
            </w:r>
          </w:p>
        </w:tc>
        <w:tc>
          <w:tcPr>
            <w:tcW w:w="1559" w:type="dxa"/>
          </w:tcPr>
          <w:p w14:paraId="6E95590F" w14:textId="77777777" w:rsidR="00BE7F89" w:rsidRPr="00AC3044" w:rsidRDefault="00BE7F89" w:rsidP="005A428D">
            <w:pPr>
              <w:rPr>
                <w:rFonts w:eastAsia="SimSun"/>
              </w:rPr>
            </w:pPr>
            <w:r w:rsidRPr="00AC3044">
              <w:rPr>
                <w:rFonts w:eastAsia="SimSun"/>
              </w:rPr>
              <w:t>100 мг/кг</w:t>
            </w:r>
          </w:p>
        </w:tc>
        <w:tc>
          <w:tcPr>
            <w:tcW w:w="1559" w:type="dxa"/>
          </w:tcPr>
          <w:p w14:paraId="72867A33" w14:textId="77777777" w:rsidR="00BE7F89" w:rsidRPr="00AC3044" w:rsidRDefault="00BE7F89" w:rsidP="005A428D">
            <w:pPr>
              <w:rPr>
                <w:rFonts w:eastAsia="SimSun"/>
              </w:rPr>
            </w:pPr>
            <w:r w:rsidRPr="00AC3044">
              <w:rPr>
                <w:rFonts w:eastAsia="SimSun"/>
              </w:rPr>
              <w:t xml:space="preserve">+3,+4 дни </w:t>
            </w:r>
          </w:p>
        </w:tc>
        <w:tc>
          <w:tcPr>
            <w:tcW w:w="2410" w:type="dxa"/>
          </w:tcPr>
          <w:p w14:paraId="2C0AEA25" w14:textId="77777777" w:rsidR="00BE7F89" w:rsidRPr="00AC3044" w:rsidRDefault="00BE7F89" w:rsidP="005A428D">
            <w:pPr>
              <w:rPr>
                <w:rFonts w:eastAsia="SimSun"/>
              </w:rPr>
            </w:pPr>
            <w:r w:rsidRPr="00AC3044">
              <w:rPr>
                <w:rFonts w:eastAsia="SimSun"/>
              </w:rPr>
              <w:t>В/в, в течение 2 часов</w:t>
            </w:r>
          </w:p>
        </w:tc>
      </w:tr>
    </w:tbl>
    <w:p w14:paraId="60EAB6F0" w14:textId="77777777" w:rsidR="00BE7F89" w:rsidRDefault="00BE7F89" w:rsidP="00BE7F89">
      <w:pPr>
        <w:rPr>
          <w:rFonts w:eastAsia="SimSun"/>
        </w:rPr>
      </w:pPr>
      <w:bookmarkStart w:id="211" w:name="_Toc44401227"/>
    </w:p>
    <w:p w14:paraId="2778ED15"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3.1.2  – Flu150+Bu8+Thio / PT-Cy+CSA+MMF45</w:t>
      </w:r>
      <w:bookmarkEnd w:id="211"/>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BE7F89" w:rsidRPr="00AC3044" w14:paraId="6B8761FA" w14:textId="77777777" w:rsidTr="005A428D">
        <w:trPr>
          <w:cantSplit/>
          <w:trHeight w:val="20"/>
          <w:tblHeader/>
        </w:trPr>
        <w:tc>
          <w:tcPr>
            <w:tcW w:w="1135" w:type="dxa"/>
          </w:tcPr>
          <w:p w14:paraId="652BF493" w14:textId="77777777" w:rsidR="00BE7F89" w:rsidRPr="006A5E21" w:rsidRDefault="00BE7F89" w:rsidP="005A428D">
            <w:pPr>
              <w:rPr>
                <w:rFonts w:eastAsia="SimSun"/>
              </w:rPr>
            </w:pPr>
          </w:p>
        </w:tc>
        <w:tc>
          <w:tcPr>
            <w:tcW w:w="1559" w:type="dxa"/>
            <w:vAlign w:val="center"/>
          </w:tcPr>
          <w:p w14:paraId="6252A336"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174C3978"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624564D1"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1B3996EC" w14:textId="77777777" w:rsidR="00BE7F89" w:rsidRPr="00AC3044" w:rsidRDefault="00BE7F89" w:rsidP="005A428D">
            <w:pPr>
              <w:rPr>
                <w:rFonts w:eastAsia="SimSun"/>
              </w:rPr>
            </w:pPr>
            <w:r w:rsidRPr="00AC3044">
              <w:rPr>
                <w:rFonts w:eastAsia="SimSun"/>
              </w:rPr>
              <w:t>Дни введения</w:t>
            </w:r>
          </w:p>
        </w:tc>
        <w:tc>
          <w:tcPr>
            <w:tcW w:w="2410" w:type="dxa"/>
            <w:vAlign w:val="center"/>
          </w:tcPr>
          <w:p w14:paraId="0B5F8BEB"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222E2930" w14:textId="77777777" w:rsidTr="005A428D">
        <w:trPr>
          <w:cantSplit/>
          <w:trHeight w:val="20"/>
        </w:trPr>
        <w:tc>
          <w:tcPr>
            <w:tcW w:w="1135" w:type="dxa"/>
            <w:vMerge w:val="restart"/>
            <w:textDirection w:val="btLr"/>
            <w:vAlign w:val="center"/>
          </w:tcPr>
          <w:p w14:paraId="43C6A915"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37516ECF"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4A14CF6B" w14:textId="77777777" w:rsidR="00BE7F89" w:rsidRPr="00AC3044" w:rsidRDefault="00BE7F89" w:rsidP="005A428D">
            <w:pPr>
              <w:rPr>
                <w:rFonts w:eastAsia="SimSun"/>
              </w:rPr>
            </w:pPr>
            <w:r w:rsidRPr="00AC3044">
              <w:rPr>
                <w:rFonts w:eastAsia="SimSun"/>
              </w:rPr>
              <w:t>50 мг/м</w:t>
            </w:r>
            <w:r w:rsidRPr="0074195F">
              <w:rPr>
                <w:rFonts w:eastAsia="SimSun"/>
                <w:vertAlign w:val="superscript"/>
              </w:rPr>
              <w:t>2</w:t>
            </w:r>
          </w:p>
        </w:tc>
        <w:tc>
          <w:tcPr>
            <w:tcW w:w="1559" w:type="dxa"/>
            <w:vAlign w:val="center"/>
          </w:tcPr>
          <w:p w14:paraId="1B661C02" w14:textId="77777777" w:rsidR="00BE7F89" w:rsidRPr="00AC3044" w:rsidRDefault="00BE7F89" w:rsidP="005A428D">
            <w:pPr>
              <w:rPr>
                <w:rFonts w:eastAsia="SimSun"/>
              </w:rPr>
            </w:pPr>
            <w:r w:rsidRPr="00AC3044">
              <w:rPr>
                <w:rFonts w:eastAsia="SimSun"/>
              </w:rPr>
              <w:t>150 мг/м</w:t>
            </w:r>
            <w:r w:rsidRPr="0074195F">
              <w:rPr>
                <w:rFonts w:eastAsia="SimSun"/>
                <w:vertAlign w:val="superscript"/>
              </w:rPr>
              <w:t>2</w:t>
            </w:r>
          </w:p>
        </w:tc>
        <w:tc>
          <w:tcPr>
            <w:tcW w:w="1559" w:type="dxa"/>
            <w:vAlign w:val="center"/>
          </w:tcPr>
          <w:p w14:paraId="374D2DED" w14:textId="77777777" w:rsidR="00BE7F89" w:rsidRPr="00AC3044" w:rsidRDefault="00BE7F89" w:rsidP="005A428D">
            <w:pPr>
              <w:rPr>
                <w:rFonts w:eastAsia="SimSun"/>
              </w:rPr>
            </w:pPr>
            <w:r w:rsidRPr="00AC3044">
              <w:rPr>
                <w:rFonts w:eastAsia="SimSun"/>
              </w:rPr>
              <w:t>С –4 по –2 день</w:t>
            </w:r>
          </w:p>
        </w:tc>
        <w:tc>
          <w:tcPr>
            <w:tcW w:w="2410" w:type="dxa"/>
            <w:vAlign w:val="center"/>
          </w:tcPr>
          <w:p w14:paraId="26E7B597"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C99E318" w14:textId="77777777" w:rsidTr="005A428D">
        <w:trPr>
          <w:cantSplit/>
          <w:trHeight w:val="550"/>
        </w:trPr>
        <w:tc>
          <w:tcPr>
            <w:tcW w:w="1135" w:type="dxa"/>
            <w:vMerge/>
            <w:textDirection w:val="btLr"/>
            <w:vAlign w:val="center"/>
          </w:tcPr>
          <w:p w14:paraId="5FEEED47" w14:textId="77777777" w:rsidR="00BE7F89" w:rsidRPr="00AC3044" w:rsidRDefault="00BE7F89" w:rsidP="005A428D">
            <w:pPr>
              <w:rPr>
                <w:rFonts w:eastAsia="SimSun"/>
              </w:rPr>
            </w:pPr>
          </w:p>
        </w:tc>
        <w:tc>
          <w:tcPr>
            <w:tcW w:w="1559" w:type="dxa"/>
            <w:vAlign w:val="center"/>
          </w:tcPr>
          <w:p w14:paraId="6C11AAA3"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7CCC13FD" w14:textId="77777777" w:rsidR="00BE7F89" w:rsidRPr="00AC3044" w:rsidRDefault="00BE7F89" w:rsidP="005A428D">
            <w:pPr>
              <w:rPr>
                <w:rFonts w:eastAsia="SimSun"/>
              </w:rPr>
            </w:pPr>
            <w:r w:rsidRPr="00AC3044">
              <w:rPr>
                <w:rFonts w:eastAsia="SimSun"/>
              </w:rPr>
              <w:t>4 мг/кг</w:t>
            </w:r>
          </w:p>
        </w:tc>
        <w:tc>
          <w:tcPr>
            <w:tcW w:w="1559" w:type="dxa"/>
            <w:vAlign w:val="center"/>
          </w:tcPr>
          <w:p w14:paraId="3C27DCF4" w14:textId="77777777" w:rsidR="00BE7F89" w:rsidRPr="00AC3044" w:rsidRDefault="00BE7F89" w:rsidP="005A428D">
            <w:pPr>
              <w:rPr>
                <w:rFonts w:eastAsia="SimSun"/>
              </w:rPr>
            </w:pPr>
            <w:r w:rsidRPr="00AC3044">
              <w:rPr>
                <w:rFonts w:eastAsia="SimSun"/>
              </w:rPr>
              <w:t>8 мг/кг</w:t>
            </w:r>
          </w:p>
        </w:tc>
        <w:tc>
          <w:tcPr>
            <w:tcW w:w="1559" w:type="dxa"/>
            <w:vAlign w:val="center"/>
          </w:tcPr>
          <w:p w14:paraId="605442D9" w14:textId="77777777" w:rsidR="00BE7F89" w:rsidRPr="00AC3044" w:rsidRDefault="00BE7F89" w:rsidP="005A428D">
            <w:pPr>
              <w:rPr>
                <w:rFonts w:eastAsia="SimSun"/>
              </w:rPr>
            </w:pPr>
            <w:r w:rsidRPr="00AC3044">
              <w:rPr>
                <w:rFonts w:eastAsia="SimSun"/>
              </w:rPr>
              <w:t>–3, –2 дни</w:t>
            </w:r>
          </w:p>
        </w:tc>
        <w:tc>
          <w:tcPr>
            <w:tcW w:w="2410" w:type="dxa"/>
            <w:vAlign w:val="center"/>
          </w:tcPr>
          <w:p w14:paraId="1B95603E"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430ABD2F" w14:textId="77777777" w:rsidTr="005A428D">
        <w:trPr>
          <w:cantSplit/>
          <w:trHeight w:val="516"/>
        </w:trPr>
        <w:tc>
          <w:tcPr>
            <w:tcW w:w="1135" w:type="dxa"/>
            <w:vMerge/>
            <w:textDirection w:val="btLr"/>
            <w:vAlign w:val="center"/>
          </w:tcPr>
          <w:p w14:paraId="46A9EEE1" w14:textId="77777777" w:rsidR="00BE7F89" w:rsidRPr="00AC3044" w:rsidRDefault="00BE7F89" w:rsidP="005A428D">
            <w:pPr>
              <w:rPr>
                <w:rFonts w:eastAsia="SimSun"/>
              </w:rPr>
            </w:pPr>
          </w:p>
        </w:tc>
        <w:tc>
          <w:tcPr>
            <w:tcW w:w="1559" w:type="dxa"/>
            <w:vAlign w:val="center"/>
          </w:tcPr>
          <w:p w14:paraId="003DFB71" w14:textId="77777777" w:rsidR="00BE7F89" w:rsidRPr="00AC3044" w:rsidRDefault="00BE7F89" w:rsidP="005A428D">
            <w:pPr>
              <w:rPr>
                <w:rFonts w:eastAsia="SimSun"/>
              </w:rPr>
            </w:pPr>
            <w:r w:rsidRPr="00AC3044">
              <w:rPr>
                <w:rFonts w:eastAsia="SimSun"/>
              </w:rPr>
              <w:t>Тиотепа</w:t>
            </w:r>
          </w:p>
        </w:tc>
        <w:tc>
          <w:tcPr>
            <w:tcW w:w="1418" w:type="dxa"/>
            <w:vAlign w:val="center"/>
          </w:tcPr>
          <w:p w14:paraId="64E3DF63" w14:textId="77777777" w:rsidR="00BE7F89" w:rsidRPr="00AC3044" w:rsidRDefault="00BE7F89" w:rsidP="005A428D">
            <w:pPr>
              <w:rPr>
                <w:rFonts w:eastAsia="SimSun"/>
              </w:rPr>
            </w:pPr>
            <w:r w:rsidRPr="00AC3044">
              <w:rPr>
                <w:rFonts w:eastAsia="SimSun"/>
              </w:rPr>
              <w:t>5 мг/кг</w:t>
            </w:r>
          </w:p>
        </w:tc>
        <w:tc>
          <w:tcPr>
            <w:tcW w:w="1559" w:type="dxa"/>
            <w:vAlign w:val="center"/>
          </w:tcPr>
          <w:p w14:paraId="14FDC1CB" w14:textId="77777777" w:rsidR="00BE7F89" w:rsidRPr="00AC3044" w:rsidRDefault="00BE7F89" w:rsidP="005A428D">
            <w:pPr>
              <w:rPr>
                <w:rFonts w:eastAsia="SimSun"/>
              </w:rPr>
            </w:pPr>
            <w:r w:rsidRPr="00AC3044">
              <w:rPr>
                <w:rFonts w:eastAsia="SimSun"/>
              </w:rPr>
              <w:t>10 мг/кг</w:t>
            </w:r>
          </w:p>
        </w:tc>
        <w:tc>
          <w:tcPr>
            <w:tcW w:w="1559" w:type="dxa"/>
            <w:vAlign w:val="center"/>
          </w:tcPr>
          <w:p w14:paraId="66004F07" w14:textId="77777777" w:rsidR="00BE7F89" w:rsidRPr="00AC3044" w:rsidRDefault="00BE7F89" w:rsidP="005A428D">
            <w:pPr>
              <w:rPr>
                <w:rFonts w:eastAsia="SimSun"/>
              </w:rPr>
            </w:pPr>
            <w:r w:rsidRPr="00AC3044">
              <w:rPr>
                <w:rFonts w:eastAsia="SimSun"/>
              </w:rPr>
              <w:t>-6,-5 дни</w:t>
            </w:r>
          </w:p>
        </w:tc>
        <w:tc>
          <w:tcPr>
            <w:tcW w:w="2410" w:type="dxa"/>
            <w:vAlign w:val="center"/>
          </w:tcPr>
          <w:p w14:paraId="34E4A7EB"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3DFE600A" w14:textId="77777777" w:rsidTr="005A428D">
        <w:trPr>
          <w:cantSplit/>
          <w:trHeight w:val="1558"/>
        </w:trPr>
        <w:tc>
          <w:tcPr>
            <w:tcW w:w="1135" w:type="dxa"/>
            <w:vMerge w:val="restart"/>
            <w:textDirection w:val="btLr"/>
            <w:vAlign w:val="center"/>
          </w:tcPr>
          <w:p w14:paraId="0E08939C"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7A1391D9" w14:textId="77777777" w:rsidR="00BE7F89" w:rsidRPr="00AC3044" w:rsidRDefault="00BE7F89" w:rsidP="005A428D">
            <w:pPr>
              <w:rPr>
                <w:rFonts w:eastAsia="SimSun"/>
              </w:rPr>
            </w:pPr>
            <w:r w:rsidRPr="00AC3044">
              <w:rPr>
                <w:rFonts w:eastAsia="SimSun"/>
              </w:rPr>
              <w:t>Циклоспорин</w:t>
            </w:r>
          </w:p>
        </w:tc>
        <w:tc>
          <w:tcPr>
            <w:tcW w:w="1418" w:type="dxa"/>
            <w:vAlign w:val="center"/>
          </w:tcPr>
          <w:p w14:paraId="5BCF2B4A" w14:textId="77777777" w:rsidR="00BE7F89" w:rsidRPr="00AC3044" w:rsidRDefault="00BE7F89" w:rsidP="005A428D">
            <w:pPr>
              <w:rPr>
                <w:rFonts w:eastAsia="SimSun"/>
              </w:rPr>
            </w:pPr>
            <w:r w:rsidRPr="00AC3044">
              <w:rPr>
                <w:rFonts w:eastAsia="SimSun"/>
              </w:rPr>
              <w:t>3 мг/кг</w:t>
            </w:r>
          </w:p>
        </w:tc>
        <w:tc>
          <w:tcPr>
            <w:tcW w:w="1559" w:type="dxa"/>
            <w:vAlign w:val="center"/>
          </w:tcPr>
          <w:p w14:paraId="35BCA0A8" w14:textId="77777777" w:rsidR="00BE7F89" w:rsidRPr="00AC3044" w:rsidRDefault="00BE7F89" w:rsidP="005A428D">
            <w:pPr>
              <w:rPr>
                <w:rFonts w:eastAsia="SimSun"/>
              </w:rPr>
            </w:pPr>
            <w:r w:rsidRPr="00AC3044">
              <w:rPr>
                <w:rFonts w:eastAsia="SimSun"/>
              </w:rPr>
              <w:t>–</w:t>
            </w:r>
          </w:p>
        </w:tc>
        <w:tc>
          <w:tcPr>
            <w:tcW w:w="1559" w:type="dxa"/>
            <w:vAlign w:val="center"/>
          </w:tcPr>
          <w:p w14:paraId="206C20A7" w14:textId="77777777" w:rsidR="00BE7F89" w:rsidRPr="00AC3044" w:rsidRDefault="00BE7F89" w:rsidP="005A428D">
            <w:pPr>
              <w:rPr>
                <w:rFonts w:eastAsia="SimSun"/>
              </w:rPr>
            </w:pPr>
            <w:r w:rsidRPr="00AC3044">
              <w:rPr>
                <w:rFonts w:eastAsia="SimSun"/>
              </w:rPr>
              <w:t>С +5 дня по +90 день затем постепенное снижение к +180 дню</w:t>
            </w:r>
          </w:p>
        </w:tc>
        <w:tc>
          <w:tcPr>
            <w:tcW w:w="2410" w:type="dxa"/>
            <w:vAlign w:val="center"/>
          </w:tcPr>
          <w:p w14:paraId="6F2D756A"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09BCEC6A" w14:textId="77777777" w:rsidTr="005A428D">
        <w:trPr>
          <w:cantSplit/>
          <w:trHeight w:val="20"/>
        </w:trPr>
        <w:tc>
          <w:tcPr>
            <w:tcW w:w="1135" w:type="dxa"/>
            <w:vMerge/>
            <w:textDirection w:val="btLr"/>
          </w:tcPr>
          <w:p w14:paraId="62B73546" w14:textId="77777777" w:rsidR="00BE7F89" w:rsidRPr="00AC3044" w:rsidRDefault="00BE7F89" w:rsidP="005A428D">
            <w:pPr>
              <w:rPr>
                <w:rFonts w:eastAsia="SimSun"/>
              </w:rPr>
            </w:pPr>
          </w:p>
        </w:tc>
        <w:tc>
          <w:tcPr>
            <w:tcW w:w="1559" w:type="dxa"/>
            <w:vAlign w:val="center"/>
          </w:tcPr>
          <w:p w14:paraId="2983AFDF"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3BFED800" w14:textId="77777777" w:rsidR="00BE7F89" w:rsidRPr="00AC3044" w:rsidRDefault="00BE7F89" w:rsidP="005A428D">
            <w:pPr>
              <w:rPr>
                <w:rFonts w:eastAsia="SimSun"/>
              </w:rPr>
            </w:pPr>
            <w:r w:rsidRPr="00AC3044">
              <w:rPr>
                <w:rFonts w:eastAsia="SimSun"/>
              </w:rPr>
              <w:t>45 мг/кг</w:t>
            </w:r>
          </w:p>
        </w:tc>
        <w:tc>
          <w:tcPr>
            <w:tcW w:w="1559" w:type="dxa"/>
            <w:vAlign w:val="center"/>
          </w:tcPr>
          <w:p w14:paraId="3AB1579C" w14:textId="77777777" w:rsidR="00BE7F89" w:rsidRPr="00AC3044" w:rsidRDefault="00BE7F89" w:rsidP="005A428D">
            <w:pPr>
              <w:rPr>
                <w:rFonts w:eastAsia="SimSun"/>
              </w:rPr>
            </w:pPr>
            <w:r w:rsidRPr="00AC3044">
              <w:rPr>
                <w:rFonts w:eastAsia="SimSun"/>
              </w:rPr>
              <w:t>–</w:t>
            </w:r>
          </w:p>
        </w:tc>
        <w:tc>
          <w:tcPr>
            <w:tcW w:w="1559" w:type="dxa"/>
            <w:vAlign w:val="center"/>
          </w:tcPr>
          <w:p w14:paraId="407ACCD2" w14:textId="77777777" w:rsidR="00BE7F89" w:rsidRPr="00AC3044" w:rsidRDefault="00BE7F89" w:rsidP="005A428D">
            <w:pPr>
              <w:rPr>
                <w:rFonts w:eastAsia="SimSun"/>
              </w:rPr>
            </w:pPr>
            <w:r w:rsidRPr="00AC3044">
              <w:rPr>
                <w:rFonts w:eastAsia="SimSun"/>
              </w:rPr>
              <w:t>С +5 по +90 день</w:t>
            </w:r>
          </w:p>
        </w:tc>
        <w:tc>
          <w:tcPr>
            <w:tcW w:w="2410" w:type="dxa"/>
            <w:vAlign w:val="center"/>
          </w:tcPr>
          <w:p w14:paraId="42106344"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r w:rsidR="00BE7F89" w:rsidRPr="00AC3044" w14:paraId="5326B67E" w14:textId="77777777" w:rsidTr="005A428D">
        <w:trPr>
          <w:cantSplit/>
          <w:trHeight w:val="20"/>
        </w:trPr>
        <w:tc>
          <w:tcPr>
            <w:tcW w:w="1135" w:type="dxa"/>
            <w:vMerge/>
            <w:textDirection w:val="btLr"/>
          </w:tcPr>
          <w:p w14:paraId="2FC667A4" w14:textId="77777777" w:rsidR="00BE7F89" w:rsidRPr="00AC3044" w:rsidRDefault="00BE7F89" w:rsidP="005A428D">
            <w:pPr>
              <w:rPr>
                <w:rFonts w:eastAsia="SimSun"/>
              </w:rPr>
            </w:pPr>
          </w:p>
        </w:tc>
        <w:tc>
          <w:tcPr>
            <w:tcW w:w="1559" w:type="dxa"/>
            <w:vAlign w:val="center"/>
          </w:tcPr>
          <w:p w14:paraId="6982BCD7"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57938222"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50F4401F"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454CC312" w14:textId="77777777" w:rsidR="00BE7F89" w:rsidRPr="00AC3044" w:rsidRDefault="00BE7F89" w:rsidP="005A428D">
            <w:pPr>
              <w:rPr>
                <w:rFonts w:eastAsia="SimSun"/>
              </w:rPr>
            </w:pPr>
            <w:r w:rsidRPr="00AC3044">
              <w:rPr>
                <w:rFonts w:eastAsia="SimSun"/>
              </w:rPr>
              <w:t xml:space="preserve">+3,+4 дни </w:t>
            </w:r>
          </w:p>
        </w:tc>
        <w:tc>
          <w:tcPr>
            <w:tcW w:w="2410" w:type="dxa"/>
            <w:vAlign w:val="center"/>
          </w:tcPr>
          <w:p w14:paraId="2CE47344" w14:textId="77777777" w:rsidR="00BE7F89" w:rsidRPr="00AC3044" w:rsidRDefault="00BE7F89" w:rsidP="005A428D">
            <w:pPr>
              <w:rPr>
                <w:rFonts w:eastAsia="SimSun"/>
              </w:rPr>
            </w:pPr>
            <w:r w:rsidRPr="00AC3044">
              <w:rPr>
                <w:rFonts w:eastAsia="SimSun"/>
              </w:rPr>
              <w:t>В/в, в течение 2 часов</w:t>
            </w:r>
          </w:p>
        </w:tc>
      </w:tr>
    </w:tbl>
    <w:p w14:paraId="0F33E1DC" w14:textId="77777777" w:rsidR="00BE7F89" w:rsidRPr="00C07B2E" w:rsidRDefault="00BE7F89" w:rsidP="00BE7F89">
      <w:pPr>
        <w:rPr>
          <w:rFonts w:eastAsia="SimSun"/>
        </w:rPr>
      </w:pPr>
    </w:p>
    <w:p w14:paraId="546C5F7B" w14:textId="77777777" w:rsidR="00BE7F89" w:rsidRPr="00C07B2E" w:rsidRDefault="00BE7F89" w:rsidP="00BE7F89">
      <w:pPr>
        <w:rPr>
          <w:rFonts w:eastAsia="SimSun"/>
        </w:rPr>
      </w:pPr>
      <w:bookmarkStart w:id="212" w:name="_Toc44401228"/>
      <w:r w:rsidRPr="00EE51B1">
        <w:rPr>
          <w:rFonts w:eastAsia="SimSun"/>
        </w:rPr>
        <w:t>Таблица</w:t>
      </w:r>
      <w:r w:rsidRPr="00C07B2E">
        <w:rPr>
          <w:rFonts w:eastAsia="SimSun"/>
        </w:rPr>
        <w:t xml:space="preserve"> </w:t>
      </w:r>
      <w:r>
        <w:rPr>
          <w:rFonts w:eastAsia="SimSun"/>
        </w:rPr>
        <w:t>5.</w:t>
      </w:r>
      <w:r w:rsidRPr="00C07B2E">
        <w:rPr>
          <w:rFonts w:eastAsia="SimSun"/>
        </w:rPr>
        <w:t>3.1.3  – Flu180+Bu8 / PT-Cy+hATG+CSA+MMF45</w:t>
      </w:r>
      <w:bookmarkEnd w:id="212"/>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BE7F89" w:rsidRPr="00AC3044" w14:paraId="5FC2D5EC" w14:textId="77777777" w:rsidTr="005A428D">
        <w:trPr>
          <w:cantSplit/>
          <w:trHeight w:val="20"/>
          <w:tblHeader/>
        </w:trPr>
        <w:tc>
          <w:tcPr>
            <w:tcW w:w="1135" w:type="dxa"/>
          </w:tcPr>
          <w:p w14:paraId="5C97D21D" w14:textId="77777777" w:rsidR="00BE7F89" w:rsidRPr="006A5E21" w:rsidRDefault="00BE7F89" w:rsidP="005A428D">
            <w:pPr>
              <w:rPr>
                <w:rFonts w:eastAsia="SimSun"/>
              </w:rPr>
            </w:pPr>
          </w:p>
        </w:tc>
        <w:tc>
          <w:tcPr>
            <w:tcW w:w="1559" w:type="dxa"/>
            <w:vAlign w:val="center"/>
          </w:tcPr>
          <w:p w14:paraId="476499F9"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7973AD76"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65D2770F"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562E6991" w14:textId="77777777" w:rsidR="00BE7F89" w:rsidRPr="00AC3044" w:rsidRDefault="00BE7F89" w:rsidP="005A428D">
            <w:pPr>
              <w:rPr>
                <w:rFonts w:eastAsia="SimSun"/>
              </w:rPr>
            </w:pPr>
            <w:r w:rsidRPr="00AC3044">
              <w:rPr>
                <w:rFonts w:eastAsia="SimSun"/>
              </w:rPr>
              <w:t>Дни введения</w:t>
            </w:r>
          </w:p>
        </w:tc>
        <w:tc>
          <w:tcPr>
            <w:tcW w:w="2410" w:type="dxa"/>
            <w:vAlign w:val="center"/>
          </w:tcPr>
          <w:p w14:paraId="4D94C7D3"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D4E43E6" w14:textId="77777777" w:rsidTr="005A428D">
        <w:trPr>
          <w:cantSplit/>
          <w:trHeight w:val="20"/>
        </w:trPr>
        <w:tc>
          <w:tcPr>
            <w:tcW w:w="1135" w:type="dxa"/>
            <w:vMerge w:val="restart"/>
            <w:textDirection w:val="btLr"/>
            <w:vAlign w:val="center"/>
          </w:tcPr>
          <w:p w14:paraId="5095AAA1"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18BFD1E9"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11E48EF2"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084C8F57"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7C23C3A2" w14:textId="77777777" w:rsidR="00BE7F89" w:rsidRPr="00AC3044" w:rsidRDefault="00BE7F89" w:rsidP="005A428D">
            <w:pPr>
              <w:rPr>
                <w:rFonts w:eastAsia="SimSun"/>
              </w:rPr>
            </w:pPr>
            <w:r w:rsidRPr="00AC3044">
              <w:rPr>
                <w:rFonts w:eastAsia="SimSun"/>
              </w:rPr>
              <w:t>С –10 по –5 день</w:t>
            </w:r>
          </w:p>
        </w:tc>
        <w:tc>
          <w:tcPr>
            <w:tcW w:w="2410" w:type="dxa"/>
            <w:vAlign w:val="center"/>
          </w:tcPr>
          <w:p w14:paraId="0315258D"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6882836" w14:textId="77777777" w:rsidTr="005A428D">
        <w:trPr>
          <w:cantSplit/>
          <w:trHeight w:val="2123"/>
        </w:trPr>
        <w:tc>
          <w:tcPr>
            <w:tcW w:w="1135" w:type="dxa"/>
            <w:vMerge/>
            <w:textDirection w:val="btLr"/>
            <w:vAlign w:val="center"/>
          </w:tcPr>
          <w:p w14:paraId="1E8FB8CF" w14:textId="77777777" w:rsidR="00BE7F89" w:rsidRPr="00AC3044" w:rsidRDefault="00BE7F89" w:rsidP="005A428D">
            <w:pPr>
              <w:rPr>
                <w:rFonts w:eastAsia="SimSun"/>
              </w:rPr>
            </w:pPr>
          </w:p>
        </w:tc>
        <w:tc>
          <w:tcPr>
            <w:tcW w:w="1559" w:type="dxa"/>
            <w:vAlign w:val="center"/>
          </w:tcPr>
          <w:p w14:paraId="0AB1970C"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59FC6387" w14:textId="77777777" w:rsidR="00BE7F89" w:rsidRPr="00AC3044" w:rsidRDefault="00BE7F89" w:rsidP="005A428D">
            <w:pPr>
              <w:rPr>
                <w:rFonts w:eastAsia="SimSun"/>
              </w:rPr>
            </w:pPr>
            <w:r w:rsidRPr="00AC3044">
              <w:rPr>
                <w:rFonts w:eastAsia="SimSun"/>
              </w:rPr>
              <w:t>4 мг/кг</w:t>
            </w:r>
          </w:p>
        </w:tc>
        <w:tc>
          <w:tcPr>
            <w:tcW w:w="1559" w:type="dxa"/>
            <w:vAlign w:val="center"/>
          </w:tcPr>
          <w:p w14:paraId="4283066A" w14:textId="77777777" w:rsidR="00BE7F89" w:rsidRPr="00AC3044" w:rsidRDefault="00BE7F89" w:rsidP="005A428D">
            <w:pPr>
              <w:rPr>
                <w:rFonts w:eastAsia="SimSun"/>
              </w:rPr>
            </w:pPr>
            <w:r w:rsidRPr="00AC3044">
              <w:rPr>
                <w:rFonts w:eastAsia="SimSun"/>
              </w:rPr>
              <w:t>8 мг/кг</w:t>
            </w:r>
          </w:p>
        </w:tc>
        <w:tc>
          <w:tcPr>
            <w:tcW w:w="1559" w:type="dxa"/>
            <w:vAlign w:val="center"/>
          </w:tcPr>
          <w:p w14:paraId="3799D837" w14:textId="77777777" w:rsidR="00BE7F89" w:rsidRPr="00AC3044" w:rsidRDefault="00BE7F89" w:rsidP="005A428D">
            <w:pPr>
              <w:rPr>
                <w:rFonts w:eastAsia="SimSun"/>
              </w:rPr>
            </w:pPr>
            <w:r w:rsidRPr="00AC3044">
              <w:rPr>
                <w:rFonts w:eastAsia="SimSun"/>
              </w:rPr>
              <w:t xml:space="preserve"> –6, –5 дни</w:t>
            </w:r>
          </w:p>
        </w:tc>
        <w:tc>
          <w:tcPr>
            <w:tcW w:w="2410" w:type="dxa"/>
            <w:vAlign w:val="center"/>
          </w:tcPr>
          <w:p w14:paraId="2408894E"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0E9B754E" w14:textId="77777777" w:rsidTr="005A428D">
        <w:trPr>
          <w:cantSplit/>
          <w:trHeight w:val="20"/>
        </w:trPr>
        <w:tc>
          <w:tcPr>
            <w:tcW w:w="1135" w:type="dxa"/>
            <w:vMerge w:val="restart"/>
            <w:textDirection w:val="btLr"/>
            <w:vAlign w:val="center"/>
          </w:tcPr>
          <w:p w14:paraId="607B8644"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7DDAD935" w14:textId="77777777" w:rsidR="00BE7F89" w:rsidRPr="00AC3044" w:rsidRDefault="00BE7F89" w:rsidP="005A428D">
            <w:pPr>
              <w:rPr>
                <w:rFonts w:eastAsia="SimSun"/>
              </w:rPr>
            </w:pPr>
            <w:r w:rsidRPr="00AC3044">
              <w:rPr>
                <w:rFonts w:eastAsia="SimSun"/>
              </w:rPr>
              <w:t>АТГ (лошадиный)</w:t>
            </w:r>
          </w:p>
        </w:tc>
        <w:tc>
          <w:tcPr>
            <w:tcW w:w="1418" w:type="dxa"/>
            <w:vAlign w:val="center"/>
          </w:tcPr>
          <w:p w14:paraId="4FCBC5C8" w14:textId="77777777" w:rsidR="00BE7F89" w:rsidRPr="00AC3044" w:rsidRDefault="00BE7F89" w:rsidP="005A428D">
            <w:pPr>
              <w:rPr>
                <w:rFonts w:eastAsia="SimSun"/>
              </w:rPr>
            </w:pPr>
            <w:r w:rsidRPr="00AC3044">
              <w:rPr>
                <w:rFonts w:eastAsia="SimSun"/>
              </w:rPr>
              <w:t>10-15 мг/кг</w:t>
            </w:r>
          </w:p>
        </w:tc>
        <w:tc>
          <w:tcPr>
            <w:tcW w:w="1559" w:type="dxa"/>
            <w:vAlign w:val="center"/>
          </w:tcPr>
          <w:p w14:paraId="576F697D" w14:textId="77777777" w:rsidR="00BE7F89" w:rsidRPr="00AC3044" w:rsidRDefault="00BE7F89" w:rsidP="005A428D">
            <w:pPr>
              <w:rPr>
                <w:rFonts w:eastAsia="SimSun"/>
              </w:rPr>
            </w:pPr>
            <w:r w:rsidRPr="00AC3044">
              <w:rPr>
                <w:rFonts w:eastAsia="SimSun"/>
              </w:rPr>
              <w:t>40-60 мг/кг</w:t>
            </w:r>
          </w:p>
        </w:tc>
        <w:tc>
          <w:tcPr>
            <w:tcW w:w="1559" w:type="dxa"/>
            <w:vAlign w:val="center"/>
          </w:tcPr>
          <w:p w14:paraId="682EC676" w14:textId="77777777" w:rsidR="00BE7F89" w:rsidRPr="00AC3044" w:rsidRDefault="00BE7F89" w:rsidP="005A428D">
            <w:pPr>
              <w:rPr>
                <w:rFonts w:eastAsia="SimSun"/>
              </w:rPr>
            </w:pPr>
            <w:r w:rsidRPr="00AC3044">
              <w:rPr>
                <w:rFonts w:eastAsia="SimSun"/>
              </w:rPr>
              <w:t>С –4 по –1 день</w:t>
            </w:r>
          </w:p>
        </w:tc>
        <w:tc>
          <w:tcPr>
            <w:tcW w:w="2410" w:type="dxa"/>
            <w:vAlign w:val="center"/>
          </w:tcPr>
          <w:p w14:paraId="658085D7" w14:textId="77777777" w:rsidR="00BE7F89" w:rsidRPr="00AC3044" w:rsidRDefault="00BE7F89" w:rsidP="005A428D">
            <w:pPr>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BE7F89" w:rsidRPr="00AC3044" w14:paraId="1E7D0607" w14:textId="77777777" w:rsidTr="005A428D">
        <w:trPr>
          <w:cantSplit/>
          <w:trHeight w:val="20"/>
        </w:trPr>
        <w:tc>
          <w:tcPr>
            <w:tcW w:w="1135" w:type="dxa"/>
            <w:vMerge/>
            <w:textDirection w:val="btLr"/>
          </w:tcPr>
          <w:p w14:paraId="7CEFEFE6" w14:textId="77777777" w:rsidR="00BE7F89" w:rsidRPr="00AC3044" w:rsidRDefault="00BE7F89" w:rsidP="005A428D">
            <w:pPr>
              <w:rPr>
                <w:rFonts w:eastAsia="SimSun"/>
              </w:rPr>
            </w:pPr>
          </w:p>
        </w:tc>
        <w:tc>
          <w:tcPr>
            <w:tcW w:w="1559" w:type="dxa"/>
            <w:vAlign w:val="center"/>
          </w:tcPr>
          <w:p w14:paraId="1BD33E19" w14:textId="77777777" w:rsidR="00BE7F89" w:rsidRPr="00AC3044" w:rsidRDefault="00BE7F89" w:rsidP="005A428D">
            <w:pPr>
              <w:rPr>
                <w:rFonts w:eastAsia="SimSun"/>
              </w:rPr>
            </w:pPr>
            <w:r w:rsidRPr="00AC3044">
              <w:rPr>
                <w:rFonts w:eastAsia="SimSun"/>
              </w:rPr>
              <w:t>Циклоспорин</w:t>
            </w:r>
          </w:p>
        </w:tc>
        <w:tc>
          <w:tcPr>
            <w:tcW w:w="1418" w:type="dxa"/>
            <w:vAlign w:val="center"/>
          </w:tcPr>
          <w:p w14:paraId="1201FC28" w14:textId="77777777" w:rsidR="00BE7F89" w:rsidRPr="00AC3044" w:rsidRDefault="00BE7F89" w:rsidP="005A428D">
            <w:pPr>
              <w:rPr>
                <w:rFonts w:eastAsia="SimSun"/>
              </w:rPr>
            </w:pPr>
            <w:r w:rsidRPr="00AC3044">
              <w:rPr>
                <w:rFonts w:eastAsia="SimSun"/>
              </w:rPr>
              <w:t>3 мг/кг</w:t>
            </w:r>
          </w:p>
        </w:tc>
        <w:tc>
          <w:tcPr>
            <w:tcW w:w="1559" w:type="dxa"/>
            <w:vAlign w:val="center"/>
          </w:tcPr>
          <w:p w14:paraId="71335169" w14:textId="77777777" w:rsidR="00BE7F89" w:rsidRPr="00AC3044" w:rsidRDefault="00BE7F89" w:rsidP="005A428D">
            <w:pPr>
              <w:rPr>
                <w:rFonts w:eastAsia="SimSun"/>
              </w:rPr>
            </w:pPr>
            <w:r w:rsidRPr="00AC3044">
              <w:rPr>
                <w:rFonts w:eastAsia="SimSun"/>
              </w:rPr>
              <w:t>–</w:t>
            </w:r>
          </w:p>
        </w:tc>
        <w:tc>
          <w:tcPr>
            <w:tcW w:w="1559" w:type="dxa"/>
            <w:vAlign w:val="center"/>
          </w:tcPr>
          <w:p w14:paraId="58C722E7" w14:textId="77777777" w:rsidR="00BE7F89" w:rsidRPr="00AC3044" w:rsidRDefault="00BE7F89" w:rsidP="005A428D">
            <w:pPr>
              <w:rPr>
                <w:rFonts w:eastAsia="SimSun"/>
              </w:rPr>
            </w:pPr>
            <w:r w:rsidRPr="00AC3044">
              <w:rPr>
                <w:rFonts w:eastAsia="SimSun"/>
              </w:rPr>
              <w:t>С +5 по +90 день, затем постепенное снижение к +180 дню</w:t>
            </w:r>
          </w:p>
        </w:tc>
        <w:tc>
          <w:tcPr>
            <w:tcW w:w="2410" w:type="dxa"/>
            <w:vAlign w:val="center"/>
          </w:tcPr>
          <w:p w14:paraId="6A92D833"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6F0671EA" w14:textId="77777777" w:rsidTr="005A428D">
        <w:trPr>
          <w:cantSplit/>
          <w:trHeight w:val="20"/>
        </w:trPr>
        <w:tc>
          <w:tcPr>
            <w:tcW w:w="1135" w:type="dxa"/>
            <w:vMerge/>
          </w:tcPr>
          <w:p w14:paraId="3D5D0ACB" w14:textId="77777777" w:rsidR="00BE7F89" w:rsidRPr="00AC3044" w:rsidRDefault="00BE7F89" w:rsidP="005A428D">
            <w:pPr>
              <w:rPr>
                <w:rFonts w:eastAsia="SimSun"/>
              </w:rPr>
            </w:pPr>
          </w:p>
        </w:tc>
        <w:tc>
          <w:tcPr>
            <w:tcW w:w="1559" w:type="dxa"/>
            <w:vAlign w:val="center"/>
          </w:tcPr>
          <w:p w14:paraId="3573D5D4"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37DEF5D1" w14:textId="77777777" w:rsidR="00BE7F89" w:rsidRPr="00AC3044" w:rsidRDefault="00BE7F89" w:rsidP="005A428D">
            <w:pPr>
              <w:rPr>
                <w:rFonts w:eastAsia="SimSun"/>
              </w:rPr>
            </w:pPr>
            <w:r w:rsidRPr="00AC3044">
              <w:rPr>
                <w:rFonts w:eastAsia="SimSun"/>
              </w:rPr>
              <w:t>45 мг/кг</w:t>
            </w:r>
          </w:p>
        </w:tc>
        <w:tc>
          <w:tcPr>
            <w:tcW w:w="1559" w:type="dxa"/>
            <w:vAlign w:val="center"/>
          </w:tcPr>
          <w:p w14:paraId="7F89178E" w14:textId="77777777" w:rsidR="00BE7F89" w:rsidRPr="00AC3044" w:rsidRDefault="00BE7F89" w:rsidP="005A428D">
            <w:pPr>
              <w:rPr>
                <w:rFonts w:eastAsia="SimSun"/>
              </w:rPr>
            </w:pPr>
            <w:r w:rsidRPr="00AC3044">
              <w:rPr>
                <w:rFonts w:eastAsia="SimSun"/>
              </w:rPr>
              <w:t>–</w:t>
            </w:r>
          </w:p>
        </w:tc>
        <w:tc>
          <w:tcPr>
            <w:tcW w:w="1559" w:type="dxa"/>
            <w:vAlign w:val="center"/>
          </w:tcPr>
          <w:p w14:paraId="4959B179" w14:textId="77777777" w:rsidR="00BE7F89" w:rsidRPr="00AC3044" w:rsidRDefault="00BE7F89" w:rsidP="005A428D">
            <w:pPr>
              <w:rPr>
                <w:rFonts w:eastAsia="SimSun"/>
              </w:rPr>
            </w:pPr>
            <w:r w:rsidRPr="00AC3044">
              <w:rPr>
                <w:rFonts w:eastAsia="SimSun"/>
              </w:rPr>
              <w:t>С +5 по +90 день</w:t>
            </w:r>
          </w:p>
        </w:tc>
        <w:tc>
          <w:tcPr>
            <w:tcW w:w="2410" w:type="dxa"/>
            <w:vAlign w:val="center"/>
          </w:tcPr>
          <w:p w14:paraId="10FA57C9"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r w:rsidR="00BE7F89" w:rsidRPr="00AC3044" w14:paraId="0B0AE116" w14:textId="77777777" w:rsidTr="005A428D">
        <w:trPr>
          <w:cantSplit/>
          <w:trHeight w:val="464"/>
        </w:trPr>
        <w:tc>
          <w:tcPr>
            <w:tcW w:w="1135" w:type="dxa"/>
            <w:vMerge/>
          </w:tcPr>
          <w:p w14:paraId="654D0B2D" w14:textId="77777777" w:rsidR="00BE7F89" w:rsidRPr="00AC3044" w:rsidRDefault="00BE7F89" w:rsidP="005A428D">
            <w:pPr>
              <w:rPr>
                <w:rFonts w:eastAsia="SimSun"/>
              </w:rPr>
            </w:pPr>
            <w:bookmarkStart w:id="213" w:name="_Hlk716839"/>
          </w:p>
        </w:tc>
        <w:tc>
          <w:tcPr>
            <w:tcW w:w="1559" w:type="dxa"/>
            <w:vAlign w:val="center"/>
          </w:tcPr>
          <w:p w14:paraId="57B2B036"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7D1EF2E9"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2759D90B"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3CE85356" w14:textId="77777777" w:rsidR="00BE7F89" w:rsidRPr="00AC3044" w:rsidRDefault="00BE7F89" w:rsidP="005A428D">
            <w:pPr>
              <w:rPr>
                <w:rFonts w:eastAsia="SimSun"/>
              </w:rPr>
            </w:pPr>
            <w:r w:rsidRPr="00AC3044">
              <w:rPr>
                <w:rFonts w:eastAsia="SimSun"/>
              </w:rPr>
              <w:t xml:space="preserve">+3, +4 дни </w:t>
            </w:r>
          </w:p>
        </w:tc>
        <w:tc>
          <w:tcPr>
            <w:tcW w:w="2410" w:type="dxa"/>
            <w:vAlign w:val="center"/>
          </w:tcPr>
          <w:p w14:paraId="37D1EA00" w14:textId="77777777" w:rsidR="00BE7F89" w:rsidRPr="00AC3044" w:rsidRDefault="00BE7F89" w:rsidP="005A428D">
            <w:pPr>
              <w:rPr>
                <w:rFonts w:eastAsia="SimSun"/>
              </w:rPr>
            </w:pPr>
            <w:r w:rsidRPr="00AC3044">
              <w:rPr>
                <w:rFonts w:eastAsia="SimSun"/>
              </w:rPr>
              <w:t>В/в, в течение 2 часов</w:t>
            </w:r>
          </w:p>
        </w:tc>
      </w:tr>
    </w:tbl>
    <w:p w14:paraId="3B69CFBA" w14:textId="77777777" w:rsidR="00BE7F89" w:rsidRDefault="00BE7F89" w:rsidP="00BE7F89">
      <w:pPr>
        <w:rPr>
          <w:rFonts w:eastAsia="SimSun"/>
        </w:rPr>
      </w:pPr>
      <w:bookmarkStart w:id="214" w:name="_Toc44401229"/>
      <w:bookmarkEnd w:id="213"/>
    </w:p>
    <w:p w14:paraId="6552D807"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3.1.4  – Flu180+Bu8 / PT-Cy+CSA+MMF30</w:t>
      </w:r>
      <w:bookmarkEnd w:id="214"/>
    </w:p>
    <w:tbl>
      <w:tblPr>
        <w:tblW w:w="958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559"/>
        <w:gridCol w:w="1418"/>
        <w:gridCol w:w="1559"/>
        <w:gridCol w:w="1559"/>
        <w:gridCol w:w="2410"/>
      </w:tblGrid>
      <w:tr w:rsidR="00BE7F89" w:rsidRPr="00AC3044" w14:paraId="058A3E04" w14:textId="77777777" w:rsidTr="005A428D">
        <w:trPr>
          <w:cantSplit/>
          <w:trHeight w:val="20"/>
          <w:tblHeader/>
        </w:trPr>
        <w:tc>
          <w:tcPr>
            <w:tcW w:w="1083" w:type="dxa"/>
          </w:tcPr>
          <w:p w14:paraId="36366CFE" w14:textId="77777777" w:rsidR="00BE7F89" w:rsidRPr="006A5E21" w:rsidRDefault="00BE7F89" w:rsidP="005A428D">
            <w:pPr>
              <w:rPr>
                <w:rFonts w:eastAsia="SimSun"/>
              </w:rPr>
            </w:pPr>
          </w:p>
        </w:tc>
        <w:tc>
          <w:tcPr>
            <w:tcW w:w="1559" w:type="dxa"/>
            <w:vAlign w:val="center"/>
          </w:tcPr>
          <w:p w14:paraId="61002E0E"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5EF3AA7F"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44E0BB0E"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7C74D7A8" w14:textId="77777777" w:rsidR="00BE7F89" w:rsidRPr="00AC3044" w:rsidRDefault="00BE7F89" w:rsidP="005A428D">
            <w:pPr>
              <w:rPr>
                <w:rFonts w:eastAsia="SimSun"/>
              </w:rPr>
            </w:pPr>
            <w:r w:rsidRPr="00AC3044">
              <w:rPr>
                <w:rFonts w:eastAsia="SimSun"/>
              </w:rPr>
              <w:t>Дни введения</w:t>
            </w:r>
          </w:p>
        </w:tc>
        <w:tc>
          <w:tcPr>
            <w:tcW w:w="2410" w:type="dxa"/>
            <w:vAlign w:val="center"/>
          </w:tcPr>
          <w:p w14:paraId="2982447D"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4DFA0715" w14:textId="77777777" w:rsidTr="005A428D">
        <w:trPr>
          <w:cantSplit/>
          <w:trHeight w:val="20"/>
        </w:trPr>
        <w:tc>
          <w:tcPr>
            <w:tcW w:w="1083" w:type="dxa"/>
            <w:vMerge w:val="restart"/>
            <w:textDirection w:val="btLr"/>
            <w:vAlign w:val="center"/>
          </w:tcPr>
          <w:p w14:paraId="2379C153"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10FA4487"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6C23AB6F"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2F74AA9A"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29C1915D" w14:textId="77777777" w:rsidR="00BE7F89" w:rsidRPr="00AC3044" w:rsidRDefault="00BE7F89" w:rsidP="005A428D">
            <w:pPr>
              <w:rPr>
                <w:rFonts w:eastAsia="SimSun"/>
              </w:rPr>
            </w:pPr>
            <w:r w:rsidRPr="00AC3044">
              <w:rPr>
                <w:rFonts w:eastAsia="SimSun"/>
              </w:rPr>
              <w:t>С –7 по –2 день</w:t>
            </w:r>
          </w:p>
        </w:tc>
        <w:tc>
          <w:tcPr>
            <w:tcW w:w="2410" w:type="dxa"/>
            <w:vAlign w:val="center"/>
          </w:tcPr>
          <w:p w14:paraId="01F27834"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080C48DE" w14:textId="77777777" w:rsidTr="005A428D">
        <w:trPr>
          <w:cantSplit/>
          <w:trHeight w:val="1123"/>
        </w:trPr>
        <w:tc>
          <w:tcPr>
            <w:tcW w:w="1083" w:type="dxa"/>
            <w:vMerge/>
            <w:textDirection w:val="btLr"/>
            <w:vAlign w:val="center"/>
          </w:tcPr>
          <w:p w14:paraId="0BEE8035" w14:textId="77777777" w:rsidR="00BE7F89" w:rsidRPr="00AC3044" w:rsidRDefault="00BE7F89" w:rsidP="005A428D">
            <w:pPr>
              <w:rPr>
                <w:rFonts w:eastAsia="SimSun"/>
              </w:rPr>
            </w:pPr>
          </w:p>
        </w:tc>
        <w:tc>
          <w:tcPr>
            <w:tcW w:w="1559" w:type="dxa"/>
            <w:vAlign w:val="center"/>
          </w:tcPr>
          <w:p w14:paraId="57B937FC"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77A5AA5E" w14:textId="77777777" w:rsidR="00BE7F89" w:rsidRPr="00AC3044" w:rsidRDefault="00BE7F89" w:rsidP="005A428D">
            <w:pPr>
              <w:rPr>
                <w:rFonts w:eastAsia="SimSun"/>
              </w:rPr>
            </w:pPr>
            <w:r w:rsidRPr="00AC3044">
              <w:rPr>
                <w:rFonts w:eastAsia="SimSun"/>
              </w:rPr>
              <w:t>4 мг/кг</w:t>
            </w:r>
          </w:p>
        </w:tc>
        <w:tc>
          <w:tcPr>
            <w:tcW w:w="1559" w:type="dxa"/>
            <w:vAlign w:val="center"/>
          </w:tcPr>
          <w:p w14:paraId="2985C09A" w14:textId="77777777" w:rsidR="00BE7F89" w:rsidRPr="00AC3044" w:rsidRDefault="00BE7F89" w:rsidP="005A428D">
            <w:pPr>
              <w:rPr>
                <w:rFonts w:eastAsia="SimSun"/>
              </w:rPr>
            </w:pPr>
            <w:r w:rsidRPr="00AC3044">
              <w:rPr>
                <w:rFonts w:eastAsia="SimSun"/>
              </w:rPr>
              <w:t>8 мг/кг</w:t>
            </w:r>
          </w:p>
        </w:tc>
        <w:tc>
          <w:tcPr>
            <w:tcW w:w="1559" w:type="dxa"/>
            <w:vAlign w:val="center"/>
          </w:tcPr>
          <w:p w14:paraId="0B3A8F84" w14:textId="77777777" w:rsidR="00BE7F89" w:rsidRPr="00AC3044" w:rsidRDefault="00BE7F89" w:rsidP="005A428D">
            <w:pPr>
              <w:rPr>
                <w:rFonts w:eastAsia="SimSun"/>
              </w:rPr>
            </w:pPr>
            <w:r w:rsidRPr="00AC3044">
              <w:rPr>
                <w:rFonts w:eastAsia="SimSun"/>
              </w:rPr>
              <w:t>–3, –2 дни</w:t>
            </w:r>
          </w:p>
        </w:tc>
        <w:tc>
          <w:tcPr>
            <w:tcW w:w="2410" w:type="dxa"/>
            <w:vAlign w:val="center"/>
          </w:tcPr>
          <w:p w14:paraId="60A07DF0"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7978D7C1" w14:textId="77777777" w:rsidTr="005A428D">
        <w:trPr>
          <w:cantSplit/>
          <w:trHeight w:val="20"/>
        </w:trPr>
        <w:tc>
          <w:tcPr>
            <w:tcW w:w="1083" w:type="dxa"/>
            <w:vMerge w:val="restart"/>
            <w:textDirection w:val="btLr"/>
            <w:vAlign w:val="center"/>
          </w:tcPr>
          <w:p w14:paraId="5A54169B"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66F42DB8" w14:textId="77777777" w:rsidR="00BE7F89" w:rsidRPr="00AC3044" w:rsidRDefault="00BE7F89" w:rsidP="005A428D">
            <w:pPr>
              <w:rPr>
                <w:rFonts w:eastAsia="SimSun"/>
              </w:rPr>
            </w:pPr>
            <w:r w:rsidRPr="00AC3044">
              <w:rPr>
                <w:rFonts w:eastAsia="SimSun"/>
              </w:rPr>
              <w:t>Циклоспорин</w:t>
            </w:r>
          </w:p>
        </w:tc>
        <w:tc>
          <w:tcPr>
            <w:tcW w:w="1418" w:type="dxa"/>
            <w:vAlign w:val="center"/>
          </w:tcPr>
          <w:p w14:paraId="408ADDE3" w14:textId="77777777" w:rsidR="00BE7F89" w:rsidRPr="00AC3044" w:rsidRDefault="00BE7F89" w:rsidP="005A428D">
            <w:pPr>
              <w:rPr>
                <w:rFonts w:eastAsia="SimSun"/>
              </w:rPr>
            </w:pPr>
            <w:r w:rsidRPr="00AC3044">
              <w:rPr>
                <w:rFonts w:eastAsia="SimSun"/>
              </w:rPr>
              <w:t>3 мг/кг</w:t>
            </w:r>
          </w:p>
        </w:tc>
        <w:tc>
          <w:tcPr>
            <w:tcW w:w="1559" w:type="dxa"/>
            <w:vAlign w:val="center"/>
          </w:tcPr>
          <w:p w14:paraId="2A6F127A" w14:textId="77777777" w:rsidR="00BE7F89" w:rsidRPr="00AC3044" w:rsidRDefault="00BE7F89" w:rsidP="005A428D">
            <w:pPr>
              <w:rPr>
                <w:rFonts w:eastAsia="SimSun"/>
              </w:rPr>
            </w:pPr>
            <w:r w:rsidRPr="00AC3044">
              <w:rPr>
                <w:rFonts w:eastAsia="SimSun"/>
              </w:rPr>
              <w:t>–</w:t>
            </w:r>
          </w:p>
        </w:tc>
        <w:tc>
          <w:tcPr>
            <w:tcW w:w="1559" w:type="dxa"/>
            <w:vAlign w:val="center"/>
          </w:tcPr>
          <w:p w14:paraId="022490F7" w14:textId="77777777" w:rsidR="00BE7F89" w:rsidRPr="00AC3044" w:rsidRDefault="00BE7F89" w:rsidP="005A428D">
            <w:pPr>
              <w:rPr>
                <w:rFonts w:eastAsia="SimSun"/>
              </w:rPr>
            </w:pPr>
            <w:r w:rsidRPr="00AC3044">
              <w:rPr>
                <w:rFonts w:eastAsia="SimSun"/>
              </w:rPr>
              <w:t>С +5 по +90 день, затем постепенное снижение к +180 дню</w:t>
            </w:r>
          </w:p>
        </w:tc>
        <w:tc>
          <w:tcPr>
            <w:tcW w:w="2410" w:type="dxa"/>
            <w:vAlign w:val="center"/>
          </w:tcPr>
          <w:p w14:paraId="4FDA0183"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66F93B8A" w14:textId="77777777" w:rsidTr="005A428D">
        <w:trPr>
          <w:cantSplit/>
          <w:trHeight w:val="20"/>
        </w:trPr>
        <w:tc>
          <w:tcPr>
            <w:tcW w:w="1083" w:type="dxa"/>
            <w:vMerge/>
          </w:tcPr>
          <w:p w14:paraId="2BF9FDCD" w14:textId="77777777" w:rsidR="00BE7F89" w:rsidRPr="00AC3044" w:rsidRDefault="00BE7F89" w:rsidP="005A428D">
            <w:pPr>
              <w:rPr>
                <w:rFonts w:eastAsia="SimSun"/>
              </w:rPr>
            </w:pPr>
          </w:p>
        </w:tc>
        <w:tc>
          <w:tcPr>
            <w:tcW w:w="1559" w:type="dxa"/>
            <w:vAlign w:val="center"/>
          </w:tcPr>
          <w:p w14:paraId="308A7086"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4A0B905B" w14:textId="77777777" w:rsidR="00BE7F89" w:rsidRPr="00AC3044" w:rsidRDefault="00BE7F89" w:rsidP="005A428D">
            <w:pPr>
              <w:rPr>
                <w:rFonts w:eastAsia="SimSun"/>
              </w:rPr>
            </w:pPr>
            <w:r w:rsidRPr="00AC3044">
              <w:rPr>
                <w:rFonts w:eastAsia="SimSun"/>
              </w:rPr>
              <w:t>30 мг/кг</w:t>
            </w:r>
          </w:p>
        </w:tc>
        <w:tc>
          <w:tcPr>
            <w:tcW w:w="1559" w:type="dxa"/>
            <w:vAlign w:val="center"/>
          </w:tcPr>
          <w:p w14:paraId="38ADDE6E" w14:textId="77777777" w:rsidR="00BE7F89" w:rsidRPr="00AC3044" w:rsidRDefault="00BE7F89" w:rsidP="005A428D">
            <w:pPr>
              <w:rPr>
                <w:rFonts w:eastAsia="SimSun"/>
              </w:rPr>
            </w:pPr>
            <w:r w:rsidRPr="00AC3044">
              <w:rPr>
                <w:rFonts w:eastAsia="SimSun"/>
              </w:rPr>
              <w:t>–</w:t>
            </w:r>
          </w:p>
        </w:tc>
        <w:tc>
          <w:tcPr>
            <w:tcW w:w="1559" w:type="dxa"/>
            <w:vAlign w:val="center"/>
          </w:tcPr>
          <w:p w14:paraId="013B06F8" w14:textId="77777777" w:rsidR="00BE7F89" w:rsidRPr="00AC3044" w:rsidRDefault="00BE7F89" w:rsidP="005A428D">
            <w:pPr>
              <w:rPr>
                <w:rFonts w:eastAsia="SimSun"/>
              </w:rPr>
            </w:pPr>
            <w:r w:rsidRPr="00AC3044">
              <w:rPr>
                <w:rFonts w:eastAsia="SimSun"/>
              </w:rPr>
              <w:t>С +5 по +90 день</w:t>
            </w:r>
          </w:p>
        </w:tc>
        <w:tc>
          <w:tcPr>
            <w:tcW w:w="2410" w:type="dxa"/>
            <w:vAlign w:val="center"/>
          </w:tcPr>
          <w:p w14:paraId="508705E0"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BE7F89" w:rsidRPr="00AC3044" w14:paraId="00D516DF" w14:textId="77777777" w:rsidTr="005A428D">
        <w:trPr>
          <w:cantSplit/>
          <w:trHeight w:val="464"/>
        </w:trPr>
        <w:tc>
          <w:tcPr>
            <w:tcW w:w="1083" w:type="dxa"/>
            <w:vMerge/>
          </w:tcPr>
          <w:p w14:paraId="026E0849" w14:textId="77777777" w:rsidR="00BE7F89" w:rsidRPr="00AC3044" w:rsidRDefault="00BE7F89" w:rsidP="005A428D">
            <w:pPr>
              <w:rPr>
                <w:rFonts w:eastAsia="SimSun"/>
              </w:rPr>
            </w:pPr>
          </w:p>
        </w:tc>
        <w:tc>
          <w:tcPr>
            <w:tcW w:w="1559" w:type="dxa"/>
            <w:vAlign w:val="center"/>
          </w:tcPr>
          <w:p w14:paraId="52408241"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0FD1D820"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005D0C4F"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0CADED85" w14:textId="77777777" w:rsidR="00BE7F89" w:rsidRPr="00AC3044" w:rsidRDefault="00BE7F89" w:rsidP="005A428D">
            <w:pPr>
              <w:rPr>
                <w:rFonts w:eastAsia="SimSun"/>
              </w:rPr>
            </w:pPr>
            <w:r w:rsidRPr="00AC3044">
              <w:rPr>
                <w:rFonts w:eastAsia="SimSun"/>
              </w:rPr>
              <w:t xml:space="preserve">+3, +4 дни </w:t>
            </w:r>
          </w:p>
        </w:tc>
        <w:tc>
          <w:tcPr>
            <w:tcW w:w="2410" w:type="dxa"/>
            <w:vAlign w:val="center"/>
          </w:tcPr>
          <w:p w14:paraId="077DD15A" w14:textId="77777777" w:rsidR="00BE7F89" w:rsidRPr="00AC3044" w:rsidRDefault="00BE7F89" w:rsidP="005A428D">
            <w:pPr>
              <w:rPr>
                <w:rFonts w:eastAsia="SimSun"/>
              </w:rPr>
            </w:pPr>
            <w:r w:rsidRPr="00AC3044">
              <w:rPr>
                <w:rFonts w:eastAsia="SimSun"/>
              </w:rPr>
              <w:t>В/в, в течение 2 часов</w:t>
            </w:r>
          </w:p>
        </w:tc>
      </w:tr>
    </w:tbl>
    <w:p w14:paraId="09DB218A" w14:textId="77777777" w:rsidR="00BE7F89" w:rsidRDefault="00BE7F89" w:rsidP="00BE7F89">
      <w:pPr>
        <w:rPr>
          <w:rFonts w:eastAsia="SimSun"/>
        </w:rPr>
      </w:pPr>
      <w:bookmarkStart w:id="215" w:name="_Toc44401230"/>
    </w:p>
    <w:p w14:paraId="36A2645F"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3.1.5  – Flu180+Bu8 / PT-Cy+CSA+MMF45</w:t>
      </w:r>
      <w:bookmarkEnd w:id="215"/>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BE7F89" w:rsidRPr="00AC3044" w14:paraId="2696E028" w14:textId="77777777" w:rsidTr="005A428D">
        <w:trPr>
          <w:cantSplit/>
          <w:trHeight w:val="20"/>
          <w:tblHeader/>
        </w:trPr>
        <w:tc>
          <w:tcPr>
            <w:tcW w:w="1103" w:type="dxa"/>
          </w:tcPr>
          <w:p w14:paraId="0EF15DE8" w14:textId="77777777" w:rsidR="00BE7F89" w:rsidRPr="006A5E21" w:rsidRDefault="00BE7F89" w:rsidP="005A428D">
            <w:pPr>
              <w:rPr>
                <w:rFonts w:eastAsia="SimSun"/>
              </w:rPr>
            </w:pPr>
          </w:p>
        </w:tc>
        <w:tc>
          <w:tcPr>
            <w:tcW w:w="1559" w:type="dxa"/>
            <w:vAlign w:val="center"/>
          </w:tcPr>
          <w:p w14:paraId="5CAC49D2"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5898F480"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7EE8ABF6"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3F19F7ED" w14:textId="77777777" w:rsidR="00BE7F89" w:rsidRPr="00AC3044" w:rsidRDefault="00BE7F89" w:rsidP="005A428D">
            <w:pPr>
              <w:rPr>
                <w:rFonts w:eastAsia="SimSun"/>
              </w:rPr>
            </w:pPr>
            <w:r w:rsidRPr="00AC3044">
              <w:rPr>
                <w:rFonts w:eastAsia="SimSun"/>
              </w:rPr>
              <w:t>Дни введения</w:t>
            </w:r>
          </w:p>
        </w:tc>
        <w:tc>
          <w:tcPr>
            <w:tcW w:w="2410" w:type="dxa"/>
            <w:vAlign w:val="center"/>
          </w:tcPr>
          <w:p w14:paraId="624906CD"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EAF9829" w14:textId="77777777" w:rsidTr="005A428D">
        <w:trPr>
          <w:cantSplit/>
          <w:trHeight w:val="20"/>
        </w:trPr>
        <w:tc>
          <w:tcPr>
            <w:tcW w:w="1103" w:type="dxa"/>
            <w:vMerge w:val="restart"/>
            <w:textDirection w:val="btLr"/>
            <w:vAlign w:val="center"/>
          </w:tcPr>
          <w:p w14:paraId="052237C6"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0CC26739"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18FEA357"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7BCD0BD5"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044BD24F" w14:textId="77777777" w:rsidR="00BE7F89" w:rsidRPr="00AC3044" w:rsidRDefault="00BE7F89" w:rsidP="005A428D">
            <w:pPr>
              <w:rPr>
                <w:rFonts w:eastAsia="SimSun"/>
              </w:rPr>
            </w:pPr>
            <w:r w:rsidRPr="00AC3044">
              <w:rPr>
                <w:rFonts w:eastAsia="SimSun"/>
              </w:rPr>
              <w:t>С –7 по –2 день</w:t>
            </w:r>
          </w:p>
        </w:tc>
        <w:tc>
          <w:tcPr>
            <w:tcW w:w="2410" w:type="dxa"/>
            <w:vAlign w:val="center"/>
          </w:tcPr>
          <w:p w14:paraId="6BCFD1C6"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37F6F381" w14:textId="77777777" w:rsidTr="005A428D">
        <w:trPr>
          <w:cantSplit/>
          <w:trHeight w:val="606"/>
        </w:trPr>
        <w:tc>
          <w:tcPr>
            <w:tcW w:w="1103" w:type="dxa"/>
            <w:vMerge/>
            <w:textDirection w:val="btLr"/>
            <w:vAlign w:val="center"/>
          </w:tcPr>
          <w:p w14:paraId="516D20DB" w14:textId="77777777" w:rsidR="00BE7F89" w:rsidRPr="00AC3044" w:rsidRDefault="00BE7F89" w:rsidP="005A428D">
            <w:pPr>
              <w:rPr>
                <w:rFonts w:eastAsia="SimSun"/>
              </w:rPr>
            </w:pPr>
          </w:p>
        </w:tc>
        <w:tc>
          <w:tcPr>
            <w:tcW w:w="1559" w:type="dxa"/>
            <w:vAlign w:val="center"/>
          </w:tcPr>
          <w:p w14:paraId="629241BB"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1FF08A69" w14:textId="77777777" w:rsidR="00BE7F89" w:rsidRPr="00AC3044" w:rsidRDefault="00BE7F89" w:rsidP="005A428D">
            <w:pPr>
              <w:rPr>
                <w:rFonts w:eastAsia="SimSun"/>
              </w:rPr>
            </w:pPr>
            <w:r w:rsidRPr="00AC3044">
              <w:rPr>
                <w:rFonts w:eastAsia="SimSun"/>
              </w:rPr>
              <w:t>4 мг/кг</w:t>
            </w:r>
          </w:p>
        </w:tc>
        <w:tc>
          <w:tcPr>
            <w:tcW w:w="1559" w:type="dxa"/>
            <w:vAlign w:val="center"/>
          </w:tcPr>
          <w:p w14:paraId="69FAB210" w14:textId="77777777" w:rsidR="00BE7F89" w:rsidRPr="00AC3044" w:rsidRDefault="00BE7F89" w:rsidP="005A428D">
            <w:pPr>
              <w:rPr>
                <w:rFonts w:eastAsia="SimSun"/>
              </w:rPr>
            </w:pPr>
            <w:r w:rsidRPr="00AC3044">
              <w:rPr>
                <w:rFonts w:eastAsia="SimSun"/>
              </w:rPr>
              <w:t>8 мг/кг</w:t>
            </w:r>
          </w:p>
        </w:tc>
        <w:tc>
          <w:tcPr>
            <w:tcW w:w="1559" w:type="dxa"/>
            <w:vAlign w:val="center"/>
          </w:tcPr>
          <w:p w14:paraId="518DFA6F" w14:textId="77777777" w:rsidR="00BE7F89" w:rsidRPr="00AC3044" w:rsidRDefault="00BE7F89" w:rsidP="005A428D">
            <w:pPr>
              <w:rPr>
                <w:rFonts w:eastAsia="SimSun"/>
              </w:rPr>
            </w:pPr>
            <w:r w:rsidRPr="00AC3044">
              <w:rPr>
                <w:rFonts w:eastAsia="SimSun"/>
              </w:rPr>
              <w:t>–3, –2 дни</w:t>
            </w:r>
          </w:p>
        </w:tc>
        <w:tc>
          <w:tcPr>
            <w:tcW w:w="2410" w:type="dxa"/>
            <w:vAlign w:val="center"/>
          </w:tcPr>
          <w:p w14:paraId="4ECD605F"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19E47DB7" w14:textId="77777777" w:rsidTr="005A428D">
        <w:trPr>
          <w:cantSplit/>
          <w:trHeight w:val="20"/>
        </w:trPr>
        <w:tc>
          <w:tcPr>
            <w:tcW w:w="1103" w:type="dxa"/>
            <w:vMerge w:val="restart"/>
            <w:textDirection w:val="btLr"/>
            <w:vAlign w:val="center"/>
          </w:tcPr>
          <w:p w14:paraId="17E87149"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4B4EB3B1" w14:textId="77777777" w:rsidR="00BE7F89" w:rsidRPr="00AC3044" w:rsidRDefault="00BE7F89" w:rsidP="005A428D">
            <w:pPr>
              <w:rPr>
                <w:rFonts w:eastAsia="SimSun"/>
              </w:rPr>
            </w:pPr>
            <w:r w:rsidRPr="00AC3044">
              <w:rPr>
                <w:rFonts w:eastAsia="SimSun"/>
              </w:rPr>
              <w:t>Циклоспорин</w:t>
            </w:r>
          </w:p>
        </w:tc>
        <w:tc>
          <w:tcPr>
            <w:tcW w:w="1418" w:type="dxa"/>
            <w:vAlign w:val="center"/>
          </w:tcPr>
          <w:p w14:paraId="255073A8" w14:textId="77777777" w:rsidR="00BE7F89" w:rsidRPr="00AC3044" w:rsidRDefault="00BE7F89" w:rsidP="005A428D">
            <w:pPr>
              <w:rPr>
                <w:rFonts w:eastAsia="SimSun"/>
              </w:rPr>
            </w:pPr>
            <w:r w:rsidRPr="00AC3044">
              <w:rPr>
                <w:rFonts w:eastAsia="SimSun"/>
              </w:rPr>
              <w:t>3 мг/кг</w:t>
            </w:r>
          </w:p>
        </w:tc>
        <w:tc>
          <w:tcPr>
            <w:tcW w:w="1559" w:type="dxa"/>
            <w:vAlign w:val="center"/>
          </w:tcPr>
          <w:p w14:paraId="1A71AC28" w14:textId="77777777" w:rsidR="00BE7F89" w:rsidRPr="00AC3044" w:rsidRDefault="00BE7F89" w:rsidP="005A428D">
            <w:pPr>
              <w:rPr>
                <w:rFonts w:eastAsia="SimSun"/>
              </w:rPr>
            </w:pPr>
            <w:r w:rsidRPr="00AC3044">
              <w:rPr>
                <w:rFonts w:eastAsia="SimSun"/>
              </w:rPr>
              <w:t>–</w:t>
            </w:r>
          </w:p>
        </w:tc>
        <w:tc>
          <w:tcPr>
            <w:tcW w:w="1559" w:type="dxa"/>
            <w:vAlign w:val="center"/>
          </w:tcPr>
          <w:p w14:paraId="15E62FE2" w14:textId="77777777" w:rsidR="00BE7F89" w:rsidRPr="00AC3044" w:rsidRDefault="00BE7F89" w:rsidP="005A428D">
            <w:pPr>
              <w:rPr>
                <w:rFonts w:eastAsia="SimSun"/>
              </w:rPr>
            </w:pPr>
            <w:r w:rsidRPr="00AC3044">
              <w:rPr>
                <w:rFonts w:eastAsia="SimSun"/>
              </w:rPr>
              <w:t>С +5 по +90 день, затем постепенное снижение к +180 дню</w:t>
            </w:r>
          </w:p>
        </w:tc>
        <w:tc>
          <w:tcPr>
            <w:tcW w:w="2410" w:type="dxa"/>
            <w:vAlign w:val="center"/>
          </w:tcPr>
          <w:p w14:paraId="3AC7B12A"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78E0F389" w14:textId="77777777" w:rsidTr="005A428D">
        <w:trPr>
          <w:cantSplit/>
          <w:trHeight w:val="20"/>
        </w:trPr>
        <w:tc>
          <w:tcPr>
            <w:tcW w:w="1103" w:type="dxa"/>
            <w:vMerge/>
          </w:tcPr>
          <w:p w14:paraId="6DB786B5" w14:textId="77777777" w:rsidR="00BE7F89" w:rsidRPr="00AC3044" w:rsidRDefault="00BE7F89" w:rsidP="005A428D">
            <w:pPr>
              <w:rPr>
                <w:rFonts w:eastAsia="SimSun"/>
              </w:rPr>
            </w:pPr>
          </w:p>
        </w:tc>
        <w:tc>
          <w:tcPr>
            <w:tcW w:w="1559" w:type="dxa"/>
            <w:vAlign w:val="center"/>
          </w:tcPr>
          <w:p w14:paraId="34B7B48E"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06968D85" w14:textId="77777777" w:rsidR="00BE7F89" w:rsidRPr="00AC3044" w:rsidRDefault="00BE7F89" w:rsidP="005A428D">
            <w:pPr>
              <w:rPr>
                <w:rFonts w:eastAsia="SimSun"/>
              </w:rPr>
            </w:pPr>
            <w:r w:rsidRPr="00AC3044">
              <w:rPr>
                <w:rFonts w:eastAsia="SimSun"/>
              </w:rPr>
              <w:t>45 мг/кг</w:t>
            </w:r>
          </w:p>
        </w:tc>
        <w:tc>
          <w:tcPr>
            <w:tcW w:w="1559" w:type="dxa"/>
            <w:vAlign w:val="center"/>
          </w:tcPr>
          <w:p w14:paraId="58BFEA4D" w14:textId="77777777" w:rsidR="00BE7F89" w:rsidRPr="00AC3044" w:rsidRDefault="00BE7F89" w:rsidP="005A428D">
            <w:pPr>
              <w:rPr>
                <w:rFonts w:eastAsia="SimSun"/>
              </w:rPr>
            </w:pPr>
            <w:r w:rsidRPr="00AC3044">
              <w:rPr>
                <w:rFonts w:eastAsia="SimSun"/>
              </w:rPr>
              <w:t>–</w:t>
            </w:r>
          </w:p>
        </w:tc>
        <w:tc>
          <w:tcPr>
            <w:tcW w:w="1559" w:type="dxa"/>
            <w:vAlign w:val="center"/>
          </w:tcPr>
          <w:p w14:paraId="558C74A6" w14:textId="77777777" w:rsidR="00BE7F89" w:rsidRPr="00AC3044" w:rsidRDefault="00BE7F89" w:rsidP="005A428D">
            <w:pPr>
              <w:rPr>
                <w:rFonts w:eastAsia="SimSun"/>
              </w:rPr>
            </w:pPr>
            <w:r w:rsidRPr="00AC3044">
              <w:rPr>
                <w:rFonts w:eastAsia="SimSun"/>
              </w:rPr>
              <w:t>С +5 по +90 день</w:t>
            </w:r>
          </w:p>
        </w:tc>
        <w:tc>
          <w:tcPr>
            <w:tcW w:w="2410" w:type="dxa"/>
            <w:vAlign w:val="center"/>
          </w:tcPr>
          <w:p w14:paraId="0863D4A2"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BE7F89" w:rsidRPr="00AC3044" w14:paraId="28DC3742" w14:textId="77777777" w:rsidTr="005A428D">
        <w:trPr>
          <w:cantSplit/>
          <w:trHeight w:val="464"/>
        </w:trPr>
        <w:tc>
          <w:tcPr>
            <w:tcW w:w="1103" w:type="dxa"/>
            <w:vMerge/>
          </w:tcPr>
          <w:p w14:paraId="68EBC0CF" w14:textId="77777777" w:rsidR="00BE7F89" w:rsidRPr="00AC3044" w:rsidRDefault="00BE7F89" w:rsidP="005A428D">
            <w:pPr>
              <w:rPr>
                <w:rFonts w:eastAsia="SimSun"/>
              </w:rPr>
            </w:pPr>
          </w:p>
        </w:tc>
        <w:tc>
          <w:tcPr>
            <w:tcW w:w="1559" w:type="dxa"/>
            <w:vAlign w:val="center"/>
          </w:tcPr>
          <w:p w14:paraId="3750B0B9"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2D9875C9"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4CEB6BEC"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7E9816A5" w14:textId="77777777" w:rsidR="00BE7F89" w:rsidRPr="00AC3044" w:rsidRDefault="00BE7F89" w:rsidP="005A428D">
            <w:pPr>
              <w:rPr>
                <w:rFonts w:eastAsia="SimSun"/>
              </w:rPr>
            </w:pPr>
            <w:r w:rsidRPr="00AC3044">
              <w:rPr>
                <w:rFonts w:eastAsia="SimSun"/>
              </w:rPr>
              <w:t xml:space="preserve">+3, +4 дни </w:t>
            </w:r>
          </w:p>
        </w:tc>
        <w:tc>
          <w:tcPr>
            <w:tcW w:w="2410" w:type="dxa"/>
            <w:vAlign w:val="center"/>
          </w:tcPr>
          <w:p w14:paraId="2BA9B6F2" w14:textId="77777777" w:rsidR="00BE7F89" w:rsidRPr="00AC3044" w:rsidRDefault="00BE7F89" w:rsidP="005A428D">
            <w:pPr>
              <w:rPr>
                <w:rFonts w:eastAsia="SimSun"/>
              </w:rPr>
            </w:pPr>
            <w:r w:rsidRPr="00AC3044">
              <w:rPr>
                <w:rFonts w:eastAsia="SimSun"/>
              </w:rPr>
              <w:t>В/в, в течение 2 часов</w:t>
            </w:r>
          </w:p>
        </w:tc>
      </w:tr>
    </w:tbl>
    <w:p w14:paraId="2340B48C" w14:textId="77777777" w:rsidR="00BE7F89" w:rsidRDefault="00BE7F89" w:rsidP="00BE7F89">
      <w:pPr>
        <w:rPr>
          <w:rFonts w:eastAsia="SimSun"/>
        </w:rPr>
      </w:pPr>
      <w:bookmarkStart w:id="216" w:name="_Toc44401231"/>
    </w:p>
    <w:p w14:paraId="045B22F9"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3.1.6  – Flu180+Bu8 / PT-Cy+Tx+MMF45</w:t>
      </w:r>
      <w:bookmarkEnd w:id="216"/>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BE7F89" w:rsidRPr="00AC3044" w14:paraId="5F41CDCB" w14:textId="77777777" w:rsidTr="005A428D">
        <w:trPr>
          <w:cantSplit/>
          <w:trHeight w:val="20"/>
          <w:tblHeader/>
        </w:trPr>
        <w:tc>
          <w:tcPr>
            <w:tcW w:w="1135" w:type="dxa"/>
            <w:vAlign w:val="center"/>
          </w:tcPr>
          <w:p w14:paraId="37596234" w14:textId="77777777" w:rsidR="00BE7F89" w:rsidRPr="006A5E21" w:rsidRDefault="00BE7F89" w:rsidP="005A428D">
            <w:pPr>
              <w:rPr>
                <w:rFonts w:eastAsia="SimSun"/>
              </w:rPr>
            </w:pPr>
          </w:p>
        </w:tc>
        <w:tc>
          <w:tcPr>
            <w:tcW w:w="1559" w:type="dxa"/>
            <w:vAlign w:val="center"/>
          </w:tcPr>
          <w:p w14:paraId="7B19441F"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1357544C"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1849A4FA"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5C4ADB97" w14:textId="77777777" w:rsidR="00BE7F89" w:rsidRPr="00AC3044" w:rsidRDefault="00BE7F89" w:rsidP="005A428D">
            <w:pPr>
              <w:rPr>
                <w:rFonts w:eastAsia="SimSun"/>
              </w:rPr>
            </w:pPr>
            <w:r w:rsidRPr="00AC3044">
              <w:rPr>
                <w:rFonts w:eastAsia="SimSun"/>
              </w:rPr>
              <w:t>Дни введения</w:t>
            </w:r>
          </w:p>
        </w:tc>
        <w:tc>
          <w:tcPr>
            <w:tcW w:w="2410" w:type="dxa"/>
            <w:vAlign w:val="center"/>
          </w:tcPr>
          <w:p w14:paraId="3ED728B7"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43D55C69" w14:textId="77777777" w:rsidTr="005A428D">
        <w:trPr>
          <w:cantSplit/>
          <w:trHeight w:val="20"/>
        </w:trPr>
        <w:tc>
          <w:tcPr>
            <w:tcW w:w="1135" w:type="dxa"/>
            <w:vMerge w:val="restart"/>
            <w:textDirection w:val="btLr"/>
            <w:vAlign w:val="center"/>
          </w:tcPr>
          <w:p w14:paraId="7A80D25D"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3B133006"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6A2621EE"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53F099CD"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50492E5B" w14:textId="77777777" w:rsidR="00BE7F89" w:rsidRPr="00AC3044" w:rsidRDefault="00BE7F89" w:rsidP="005A428D">
            <w:pPr>
              <w:rPr>
                <w:rFonts w:eastAsia="SimSun"/>
              </w:rPr>
            </w:pPr>
            <w:r w:rsidRPr="00AC3044">
              <w:rPr>
                <w:rFonts w:eastAsia="SimSun"/>
              </w:rPr>
              <w:t>С -7 дня по -2 день</w:t>
            </w:r>
          </w:p>
        </w:tc>
        <w:tc>
          <w:tcPr>
            <w:tcW w:w="2410" w:type="dxa"/>
            <w:vAlign w:val="center"/>
          </w:tcPr>
          <w:p w14:paraId="22842D94"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EF3F2F1" w14:textId="77777777" w:rsidTr="005A428D">
        <w:trPr>
          <w:cantSplit/>
          <w:trHeight w:val="436"/>
        </w:trPr>
        <w:tc>
          <w:tcPr>
            <w:tcW w:w="1135" w:type="dxa"/>
            <w:vMerge/>
            <w:vAlign w:val="center"/>
          </w:tcPr>
          <w:p w14:paraId="6B46F338" w14:textId="77777777" w:rsidR="00BE7F89" w:rsidRPr="00AC3044" w:rsidRDefault="00BE7F89" w:rsidP="005A428D">
            <w:pPr>
              <w:rPr>
                <w:rFonts w:eastAsia="SimSun"/>
              </w:rPr>
            </w:pPr>
          </w:p>
        </w:tc>
        <w:tc>
          <w:tcPr>
            <w:tcW w:w="1559" w:type="dxa"/>
            <w:vAlign w:val="center"/>
          </w:tcPr>
          <w:p w14:paraId="1BEDABB3"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07E0AB5A" w14:textId="77777777" w:rsidR="00BE7F89" w:rsidRPr="00AC3044" w:rsidRDefault="00BE7F89" w:rsidP="005A428D">
            <w:pPr>
              <w:rPr>
                <w:rFonts w:eastAsia="SimSun"/>
              </w:rPr>
            </w:pPr>
            <w:r w:rsidRPr="00AC3044">
              <w:rPr>
                <w:rFonts w:eastAsia="SimSun"/>
              </w:rPr>
              <w:t xml:space="preserve">4 мг/кг </w:t>
            </w:r>
          </w:p>
        </w:tc>
        <w:tc>
          <w:tcPr>
            <w:tcW w:w="1559" w:type="dxa"/>
            <w:vAlign w:val="center"/>
          </w:tcPr>
          <w:p w14:paraId="511A4D72" w14:textId="77777777" w:rsidR="00BE7F89" w:rsidRPr="00AC3044" w:rsidRDefault="00BE7F89" w:rsidP="005A428D">
            <w:pPr>
              <w:rPr>
                <w:rFonts w:eastAsia="SimSun"/>
              </w:rPr>
            </w:pPr>
            <w:r w:rsidRPr="00AC3044">
              <w:rPr>
                <w:rFonts w:eastAsia="SimSun"/>
              </w:rPr>
              <w:t xml:space="preserve">8 мг/кг </w:t>
            </w:r>
          </w:p>
        </w:tc>
        <w:tc>
          <w:tcPr>
            <w:tcW w:w="1559" w:type="dxa"/>
            <w:vAlign w:val="center"/>
          </w:tcPr>
          <w:p w14:paraId="7919FFA1" w14:textId="77777777" w:rsidR="00BE7F89" w:rsidRPr="00AC3044" w:rsidRDefault="00BE7F89" w:rsidP="005A428D">
            <w:pPr>
              <w:rPr>
                <w:rFonts w:eastAsia="SimSun"/>
              </w:rPr>
            </w:pPr>
            <w:r w:rsidRPr="00AC3044">
              <w:rPr>
                <w:rFonts w:eastAsia="SimSun"/>
              </w:rPr>
              <w:t>С -4 дня по -3 день</w:t>
            </w:r>
          </w:p>
        </w:tc>
        <w:tc>
          <w:tcPr>
            <w:tcW w:w="2410" w:type="dxa"/>
            <w:vAlign w:val="center"/>
          </w:tcPr>
          <w:p w14:paraId="7570AEEF"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4 приема с интервалом 6 часов. </w:t>
            </w:r>
          </w:p>
        </w:tc>
      </w:tr>
      <w:tr w:rsidR="00BE7F89" w:rsidRPr="00AC3044" w14:paraId="6A52D405" w14:textId="77777777" w:rsidTr="005A428D">
        <w:trPr>
          <w:cantSplit/>
          <w:trHeight w:val="416"/>
        </w:trPr>
        <w:tc>
          <w:tcPr>
            <w:tcW w:w="1135" w:type="dxa"/>
            <w:vMerge w:val="restart"/>
            <w:textDirection w:val="btLr"/>
            <w:vAlign w:val="center"/>
          </w:tcPr>
          <w:p w14:paraId="6FBC0BF2"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1C23419F"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0F992A3C"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01F5FF7D"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55572105" w14:textId="77777777" w:rsidR="00BE7F89" w:rsidRPr="00AC3044" w:rsidRDefault="00BE7F89" w:rsidP="005A428D">
            <w:pPr>
              <w:rPr>
                <w:rFonts w:eastAsia="SimSun"/>
              </w:rPr>
            </w:pPr>
            <w:r w:rsidRPr="00AC3044">
              <w:rPr>
                <w:rFonts w:eastAsia="SimSun"/>
              </w:rPr>
              <w:t>С +3 дня по +4 день</w:t>
            </w:r>
          </w:p>
        </w:tc>
        <w:tc>
          <w:tcPr>
            <w:tcW w:w="2410" w:type="dxa"/>
            <w:vAlign w:val="center"/>
          </w:tcPr>
          <w:p w14:paraId="0A9AA905"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157D9D9A" w14:textId="77777777" w:rsidTr="005A428D">
        <w:trPr>
          <w:cantSplit/>
          <w:trHeight w:val="958"/>
        </w:trPr>
        <w:tc>
          <w:tcPr>
            <w:tcW w:w="1135" w:type="dxa"/>
            <w:vMerge/>
            <w:textDirection w:val="btLr"/>
            <w:vAlign w:val="center"/>
          </w:tcPr>
          <w:p w14:paraId="069CAE4B" w14:textId="77777777" w:rsidR="00BE7F89" w:rsidRPr="00AC3044" w:rsidRDefault="00BE7F89" w:rsidP="005A428D">
            <w:pPr>
              <w:rPr>
                <w:rFonts w:eastAsia="SimSun"/>
              </w:rPr>
            </w:pPr>
          </w:p>
        </w:tc>
        <w:tc>
          <w:tcPr>
            <w:tcW w:w="1559" w:type="dxa"/>
            <w:vAlign w:val="center"/>
          </w:tcPr>
          <w:p w14:paraId="43D72AFE" w14:textId="77777777" w:rsidR="00BE7F89" w:rsidRPr="00AC3044" w:rsidRDefault="00BE7F89" w:rsidP="005A428D">
            <w:pPr>
              <w:rPr>
                <w:rFonts w:eastAsia="SimSun"/>
              </w:rPr>
            </w:pPr>
            <w:r w:rsidRPr="00AC3044">
              <w:rPr>
                <w:rFonts w:eastAsia="SimSun"/>
              </w:rPr>
              <w:t xml:space="preserve">Такролимус </w:t>
            </w:r>
          </w:p>
        </w:tc>
        <w:tc>
          <w:tcPr>
            <w:tcW w:w="1418" w:type="dxa"/>
            <w:vAlign w:val="center"/>
          </w:tcPr>
          <w:p w14:paraId="30993182" w14:textId="77777777" w:rsidR="00BE7F89" w:rsidRPr="00AC3044" w:rsidRDefault="00BE7F89" w:rsidP="005A428D">
            <w:pPr>
              <w:rPr>
                <w:rFonts w:eastAsia="SimSun"/>
              </w:rPr>
            </w:pPr>
            <w:r w:rsidRPr="00AC3044">
              <w:rPr>
                <w:rFonts w:eastAsia="SimSun"/>
              </w:rPr>
              <w:t>0,03 мг/кг</w:t>
            </w:r>
          </w:p>
        </w:tc>
        <w:tc>
          <w:tcPr>
            <w:tcW w:w="1559" w:type="dxa"/>
            <w:vAlign w:val="center"/>
          </w:tcPr>
          <w:p w14:paraId="000D1CE6" w14:textId="77777777" w:rsidR="00BE7F89" w:rsidRPr="00AC3044" w:rsidRDefault="00BE7F89" w:rsidP="005A428D">
            <w:pPr>
              <w:rPr>
                <w:rFonts w:eastAsia="SimSun"/>
              </w:rPr>
            </w:pPr>
            <w:r w:rsidRPr="00AC3044">
              <w:rPr>
                <w:rFonts w:eastAsia="SimSun"/>
              </w:rPr>
              <w:t>–</w:t>
            </w:r>
          </w:p>
        </w:tc>
        <w:tc>
          <w:tcPr>
            <w:tcW w:w="1559" w:type="dxa"/>
            <w:vAlign w:val="center"/>
          </w:tcPr>
          <w:p w14:paraId="121A60C6" w14:textId="77777777" w:rsidR="00BE7F89" w:rsidRPr="00AC3044" w:rsidRDefault="00BE7F89" w:rsidP="005A428D">
            <w:pPr>
              <w:rPr>
                <w:rFonts w:eastAsia="SimSun"/>
              </w:rPr>
            </w:pPr>
            <w:r w:rsidRPr="00AC3044">
              <w:rPr>
                <w:rFonts w:eastAsia="SimSun"/>
              </w:rPr>
              <w:t xml:space="preserve">С +5 дня длительно </w:t>
            </w:r>
          </w:p>
        </w:tc>
        <w:tc>
          <w:tcPr>
            <w:tcW w:w="2410" w:type="dxa"/>
            <w:vAlign w:val="center"/>
          </w:tcPr>
          <w:p w14:paraId="18FF4EC5"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5DF4AA26" w14:textId="77777777" w:rsidTr="005A428D">
        <w:trPr>
          <w:cantSplit/>
          <w:trHeight w:val="508"/>
        </w:trPr>
        <w:tc>
          <w:tcPr>
            <w:tcW w:w="1135" w:type="dxa"/>
            <w:vMerge/>
            <w:textDirection w:val="btLr"/>
            <w:vAlign w:val="center"/>
          </w:tcPr>
          <w:p w14:paraId="0F13C98D" w14:textId="77777777" w:rsidR="00BE7F89" w:rsidRPr="00AC3044" w:rsidRDefault="00BE7F89" w:rsidP="005A428D">
            <w:pPr>
              <w:rPr>
                <w:rFonts w:eastAsia="SimSun"/>
              </w:rPr>
            </w:pPr>
          </w:p>
        </w:tc>
        <w:tc>
          <w:tcPr>
            <w:tcW w:w="1559" w:type="dxa"/>
            <w:vAlign w:val="center"/>
          </w:tcPr>
          <w:p w14:paraId="0527D4C7"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641A7A33" w14:textId="77777777" w:rsidR="00BE7F89" w:rsidRPr="00AC3044" w:rsidRDefault="00BE7F89" w:rsidP="005A428D">
            <w:pPr>
              <w:rPr>
                <w:rFonts w:eastAsia="SimSun"/>
              </w:rPr>
            </w:pPr>
            <w:r w:rsidRPr="00AC3044">
              <w:rPr>
                <w:rFonts w:eastAsia="SimSun"/>
              </w:rPr>
              <w:t xml:space="preserve">45 мг/кг </w:t>
            </w:r>
          </w:p>
        </w:tc>
        <w:tc>
          <w:tcPr>
            <w:tcW w:w="1559" w:type="dxa"/>
            <w:vAlign w:val="center"/>
          </w:tcPr>
          <w:p w14:paraId="66CEEF1B" w14:textId="77777777" w:rsidR="00BE7F89" w:rsidRPr="00AC3044" w:rsidRDefault="00BE7F89" w:rsidP="005A428D">
            <w:pPr>
              <w:rPr>
                <w:rFonts w:eastAsia="SimSun"/>
              </w:rPr>
            </w:pPr>
            <w:r w:rsidRPr="00AC3044">
              <w:rPr>
                <w:rFonts w:eastAsia="SimSun"/>
              </w:rPr>
              <w:t>–</w:t>
            </w:r>
          </w:p>
        </w:tc>
        <w:tc>
          <w:tcPr>
            <w:tcW w:w="1559" w:type="dxa"/>
            <w:vAlign w:val="center"/>
          </w:tcPr>
          <w:p w14:paraId="2BB7BABF" w14:textId="77777777" w:rsidR="00BE7F89" w:rsidRPr="00AC3044" w:rsidRDefault="00BE7F89" w:rsidP="005A428D">
            <w:pPr>
              <w:rPr>
                <w:rFonts w:eastAsia="SimSun"/>
              </w:rPr>
            </w:pPr>
            <w:r w:rsidRPr="00AC3044">
              <w:rPr>
                <w:rFonts w:eastAsia="SimSun"/>
              </w:rPr>
              <w:t xml:space="preserve">С +5 дня по +35 день </w:t>
            </w:r>
          </w:p>
        </w:tc>
        <w:tc>
          <w:tcPr>
            <w:tcW w:w="2410" w:type="dxa"/>
            <w:vAlign w:val="center"/>
          </w:tcPr>
          <w:p w14:paraId="4284065B"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0E304C86" w14:textId="77777777" w:rsidR="00BE7F89" w:rsidRDefault="00BE7F89" w:rsidP="00BE7F89">
      <w:pPr>
        <w:rPr>
          <w:rFonts w:eastAsia="SimSun"/>
        </w:rPr>
      </w:pPr>
      <w:bookmarkStart w:id="217" w:name="_Toc44401232"/>
    </w:p>
    <w:p w14:paraId="6DF4668D"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3.1.7  – Flu180+Bu10 / PT-Cy+Tx+MMF45</w:t>
      </w:r>
      <w:bookmarkEnd w:id="217"/>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BE7F89" w:rsidRPr="00AC3044" w14:paraId="38A6E01D" w14:textId="77777777" w:rsidTr="005A428D">
        <w:trPr>
          <w:cantSplit/>
          <w:trHeight w:val="20"/>
          <w:tblHeader/>
        </w:trPr>
        <w:tc>
          <w:tcPr>
            <w:tcW w:w="1135" w:type="dxa"/>
            <w:vAlign w:val="center"/>
          </w:tcPr>
          <w:p w14:paraId="540F2010" w14:textId="77777777" w:rsidR="00BE7F89" w:rsidRPr="006A5E21" w:rsidRDefault="00BE7F89" w:rsidP="005A428D">
            <w:pPr>
              <w:rPr>
                <w:rFonts w:eastAsia="SimSun"/>
              </w:rPr>
            </w:pPr>
          </w:p>
        </w:tc>
        <w:tc>
          <w:tcPr>
            <w:tcW w:w="1559" w:type="dxa"/>
            <w:vAlign w:val="center"/>
          </w:tcPr>
          <w:p w14:paraId="634DF4EE"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40BA369D"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42CDEAF2"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70BB0B72" w14:textId="77777777" w:rsidR="00BE7F89" w:rsidRPr="00AC3044" w:rsidRDefault="00BE7F89" w:rsidP="005A428D">
            <w:pPr>
              <w:rPr>
                <w:rFonts w:eastAsia="SimSun"/>
              </w:rPr>
            </w:pPr>
            <w:r w:rsidRPr="00AC3044">
              <w:rPr>
                <w:rFonts w:eastAsia="SimSun"/>
              </w:rPr>
              <w:t>Дни введения</w:t>
            </w:r>
          </w:p>
        </w:tc>
        <w:tc>
          <w:tcPr>
            <w:tcW w:w="2410" w:type="dxa"/>
            <w:vAlign w:val="center"/>
          </w:tcPr>
          <w:p w14:paraId="52B303D5"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7657D5E" w14:textId="77777777" w:rsidTr="005A428D">
        <w:trPr>
          <w:cantSplit/>
          <w:trHeight w:val="20"/>
        </w:trPr>
        <w:tc>
          <w:tcPr>
            <w:tcW w:w="1135" w:type="dxa"/>
            <w:vMerge w:val="restart"/>
            <w:textDirection w:val="btLr"/>
            <w:vAlign w:val="center"/>
          </w:tcPr>
          <w:p w14:paraId="74F09B4A"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4D824F28"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1B239351"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3ED73F7A"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62AAF5DF" w14:textId="77777777" w:rsidR="00BE7F89" w:rsidRPr="00AC3044" w:rsidRDefault="00BE7F89" w:rsidP="005A428D">
            <w:pPr>
              <w:rPr>
                <w:rFonts w:eastAsia="SimSun"/>
              </w:rPr>
            </w:pPr>
            <w:r w:rsidRPr="00AC3044">
              <w:rPr>
                <w:rFonts w:eastAsia="SimSun"/>
              </w:rPr>
              <w:t>С -7 дня по -2 день</w:t>
            </w:r>
          </w:p>
        </w:tc>
        <w:tc>
          <w:tcPr>
            <w:tcW w:w="2410" w:type="dxa"/>
            <w:vAlign w:val="center"/>
          </w:tcPr>
          <w:p w14:paraId="53A761F3"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12AD1815" w14:textId="77777777" w:rsidTr="005A428D">
        <w:trPr>
          <w:cantSplit/>
          <w:trHeight w:val="390"/>
        </w:trPr>
        <w:tc>
          <w:tcPr>
            <w:tcW w:w="1135" w:type="dxa"/>
            <w:vMerge/>
            <w:vAlign w:val="center"/>
          </w:tcPr>
          <w:p w14:paraId="6B877409" w14:textId="77777777" w:rsidR="00BE7F89" w:rsidRPr="00AC3044" w:rsidRDefault="00BE7F89" w:rsidP="005A428D">
            <w:pPr>
              <w:rPr>
                <w:rFonts w:eastAsia="SimSun"/>
              </w:rPr>
            </w:pPr>
          </w:p>
        </w:tc>
        <w:tc>
          <w:tcPr>
            <w:tcW w:w="1559" w:type="dxa"/>
            <w:vAlign w:val="center"/>
          </w:tcPr>
          <w:p w14:paraId="467B64E5"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06DA8720" w14:textId="77777777" w:rsidR="00BE7F89" w:rsidRPr="00AC3044" w:rsidRDefault="00BE7F89" w:rsidP="005A428D">
            <w:pPr>
              <w:rPr>
                <w:rFonts w:eastAsia="SimSun"/>
              </w:rPr>
            </w:pPr>
            <w:r w:rsidRPr="00AC3044">
              <w:rPr>
                <w:rFonts w:eastAsia="SimSun"/>
              </w:rPr>
              <w:t xml:space="preserve">4 мг/кг </w:t>
            </w:r>
          </w:p>
        </w:tc>
        <w:tc>
          <w:tcPr>
            <w:tcW w:w="1559" w:type="dxa"/>
            <w:vAlign w:val="center"/>
          </w:tcPr>
          <w:p w14:paraId="087E999D" w14:textId="77777777" w:rsidR="00BE7F89" w:rsidRPr="00AC3044" w:rsidRDefault="00BE7F89" w:rsidP="005A428D">
            <w:pPr>
              <w:rPr>
                <w:rFonts w:eastAsia="SimSun"/>
              </w:rPr>
            </w:pPr>
            <w:r w:rsidRPr="00AC3044">
              <w:rPr>
                <w:rFonts w:eastAsia="SimSun"/>
              </w:rPr>
              <w:t xml:space="preserve">10 мг/кг </w:t>
            </w:r>
          </w:p>
        </w:tc>
        <w:tc>
          <w:tcPr>
            <w:tcW w:w="1559" w:type="dxa"/>
            <w:vAlign w:val="center"/>
          </w:tcPr>
          <w:p w14:paraId="7BD7DE58" w14:textId="77777777" w:rsidR="00BE7F89" w:rsidRPr="00AC3044" w:rsidRDefault="00BE7F89" w:rsidP="005A428D">
            <w:pPr>
              <w:rPr>
                <w:rFonts w:eastAsia="SimSun"/>
              </w:rPr>
            </w:pPr>
            <w:r w:rsidRPr="00AC3044">
              <w:rPr>
                <w:rFonts w:eastAsia="SimSun"/>
              </w:rPr>
              <w:t>С -5 дня по -3 день</w:t>
            </w:r>
          </w:p>
        </w:tc>
        <w:tc>
          <w:tcPr>
            <w:tcW w:w="2410" w:type="dxa"/>
            <w:vAlign w:val="center"/>
          </w:tcPr>
          <w:p w14:paraId="2379CCA8"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3D95A13D" w14:textId="77777777" w:rsidTr="005A428D">
        <w:trPr>
          <w:cantSplit/>
          <w:trHeight w:val="1498"/>
        </w:trPr>
        <w:tc>
          <w:tcPr>
            <w:tcW w:w="1135" w:type="dxa"/>
            <w:vMerge w:val="restart"/>
            <w:textDirection w:val="btLr"/>
            <w:vAlign w:val="center"/>
          </w:tcPr>
          <w:p w14:paraId="1581A94F"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2A4900B6"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4DAD04C2"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019C5AA0"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664D5EED" w14:textId="77777777" w:rsidR="00BE7F89" w:rsidRPr="00AC3044" w:rsidRDefault="00BE7F89" w:rsidP="005A428D">
            <w:pPr>
              <w:rPr>
                <w:rFonts w:eastAsia="SimSun"/>
              </w:rPr>
            </w:pPr>
            <w:r w:rsidRPr="00AC3044">
              <w:rPr>
                <w:rFonts w:eastAsia="SimSun"/>
              </w:rPr>
              <w:t>С +3 дня по +4 день</w:t>
            </w:r>
          </w:p>
        </w:tc>
        <w:tc>
          <w:tcPr>
            <w:tcW w:w="2410" w:type="dxa"/>
            <w:vAlign w:val="center"/>
          </w:tcPr>
          <w:p w14:paraId="413F89C8"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456B9BD4" w14:textId="77777777" w:rsidTr="005A428D">
        <w:trPr>
          <w:cantSplit/>
          <w:trHeight w:val="1598"/>
        </w:trPr>
        <w:tc>
          <w:tcPr>
            <w:tcW w:w="1135" w:type="dxa"/>
            <w:vMerge/>
            <w:textDirection w:val="btLr"/>
            <w:vAlign w:val="center"/>
          </w:tcPr>
          <w:p w14:paraId="305763FF" w14:textId="77777777" w:rsidR="00BE7F89" w:rsidRPr="00AC3044" w:rsidRDefault="00BE7F89" w:rsidP="005A428D">
            <w:pPr>
              <w:rPr>
                <w:rFonts w:eastAsia="SimSun"/>
              </w:rPr>
            </w:pPr>
          </w:p>
        </w:tc>
        <w:tc>
          <w:tcPr>
            <w:tcW w:w="1559" w:type="dxa"/>
            <w:vAlign w:val="center"/>
          </w:tcPr>
          <w:p w14:paraId="23A40860" w14:textId="77777777" w:rsidR="00BE7F89" w:rsidRPr="00AC3044" w:rsidRDefault="00BE7F89" w:rsidP="005A428D">
            <w:pPr>
              <w:rPr>
                <w:rFonts w:eastAsia="SimSun"/>
              </w:rPr>
            </w:pPr>
            <w:r w:rsidRPr="00AC3044">
              <w:rPr>
                <w:rFonts w:eastAsia="SimSun"/>
              </w:rPr>
              <w:t xml:space="preserve">Такролимус </w:t>
            </w:r>
          </w:p>
        </w:tc>
        <w:tc>
          <w:tcPr>
            <w:tcW w:w="1418" w:type="dxa"/>
            <w:vAlign w:val="center"/>
          </w:tcPr>
          <w:p w14:paraId="66E22370" w14:textId="77777777" w:rsidR="00BE7F89" w:rsidRPr="00AC3044" w:rsidRDefault="00BE7F89" w:rsidP="005A428D">
            <w:pPr>
              <w:rPr>
                <w:rFonts w:eastAsia="SimSun"/>
              </w:rPr>
            </w:pPr>
            <w:r w:rsidRPr="00AC3044">
              <w:rPr>
                <w:rFonts w:eastAsia="SimSun"/>
              </w:rPr>
              <w:t>0,03 мг/кг</w:t>
            </w:r>
          </w:p>
        </w:tc>
        <w:tc>
          <w:tcPr>
            <w:tcW w:w="1559" w:type="dxa"/>
            <w:vAlign w:val="center"/>
          </w:tcPr>
          <w:p w14:paraId="0C76745B" w14:textId="77777777" w:rsidR="00BE7F89" w:rsidRPr="00AC3044" w:rsidRDefault="00BE7F89" w:rsidP="005A428D">
            <w:pPr>
              <w:rPr>
                <w:rFonts w:eastAsia="SimSun"/>
              </w:rPr>
            </w:pPr>
            <w:r w:rsidRPr="00AC3044">
              <w:rPr>
                <w:rFonts w:eastAsia="SimSun"/>
              </w:rPr>
              <w:t>–</w:t>
            </w:r>
          </w:p>
        </w:tc>
        <w:tc>
          <w:tcPr>
            <w:tcW w:w="1559" w:type="dxa"/>
            <w:vAlign w:val="center"/>
          </w:tcPr>
          <w:p w14:paraId="375A736B" w14:textId="77777777" w:rsidR="00BE7F89" w:rsidRPr="00AC3044" w:rsidRDefault="00BE7F89" w:rsidP="005A428D">
            <w:pPr>
              <w:rPr>
                <w:rFonts w:eastAsia="SimSun"/>
              </w:rPr>
            </w:pPr>
            <w:r w:rsidRPr="00AC3044">
              <w:rPr>
                <w:rFonts w:eastAsia="SimSun"/>
              </w:rPr>
              <w:t xml:space="preserve">С +5 дня длительно </w:t>
            </w:r>
          </w:p>
        </w:tc>
        <w:tc>
          <w:tcPr>
            <w:tcW w:w="2410" w:type="dxa"/>
            <w:vAlign w:val="center"/>
          </w:tcPr>
          <w:p w14:paraId="240A97BB"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4B1FA068" w14:textId="77777777" w:rsidTr="005A428D">
        <w:trPr>
          <w:cantSplit/>
          <w:trHeight w:val="434"/>
        </w:trPr>
        <w:tc>
          <w:tcPr>
            <w:tcW w:w="1135" w:type="dxa"/>
            <w:vMerge/>
            <w:textDirection w:val="btLr"/>
            <w:vAlign w:val="center"/>
          </w:tcPr>
          <w:p w14:paraId="4C45E503" w14:textId="77777777" w:rsidR="00BE7F89" w:rsidRPr="00AC3044" w:rsidRDefault="00BE7F89" w:rsidP="005A428D">
            <w:pPr>
              <w:rPr>
                <w:rFonts w:eastAsia="SimSun"/>
              </w:rPr>
            </w:pPr>
          </w:p>
        </w:tc>
        <w:tc>
          <w:tcPr>
            <w:tcW w:w="1559" w:type="dxa"/>
            <w:vAlign w:val="center"/>
          </w:tcPr>
          <w:p w14:paraId="306F8B7E"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42472DBA" w14:textId="77777777" w:rsidR="00BE7F89" w:rsidRPr="00AC3044" w:rsidRDefault="00BE7F89" w:rsidP="005A428D">
            <w:pPr>
              <w:rPr>
                <w:rFonts w:eastAsia="SimSun"/>
              </w:rPr>
            </w:pPr>
            <w:r w:rsidRPr="00AC3044">
              <w:rPr>
                <w:rFonts w:eastAsia="SimSun"/>
              </w:rPr>
              <w:t xml:space="preserve">45 мг/кг </w:t>
            </w:r>
          </w:p>
        </w:tc>
        <w:tc>
          <w:tcPr>
            <w:tcW w:w="1559" w:type="dxa"/>
            <w:vAlign w:val="center"/>
          </w:tcPr>
          <w:p w14:paraId="3FB200F4" w14:textId="77777777" w:rsidR="00BE7F89" w:rsidRPr="00AC3044" w:rsidRDefault="00BE7F89" w:rsidP="005A428D">
            <w:pPr>
              <w:rPr>
                <w:rFonts w:eastAsia="SimSun"/>
              </w:rPr>
            </w:pPr>
            <w:r w:rsidRPr="00AC3044">
              <w:rPr>
                <w:rFonts w:eastAsia="SimSun"/>
              </w:rPr>
              <w:t>–</w:t>
            </w:r>
          </w:p>
        </w:tc>
        <w:tc>
          <w:tcPr>
            <w:tcW w:w="1559" w:type="dxa"/>
            <w:vAlign w:val="center"/>
          </w:tcPr>
          <w:p w14:paraId="2ADB55F3" w14:textId="77777777" w:rsidR="00BE7F89" w:rsidRPr="00AC3044" w:rsidRDefault="00BE7F89" w:rsidP="005A428D">
            <w:pPr>
              <w:rPr>
                <w:rFonts w:eastAsia="SimSun"/>
              </w:rPr>
            </w:pPr>
            <w:r w:rsidRPr="00AC3044">
              <w:rPr>
                <w:rFonts w:eastAsia="SimSun"/>
              </w:rPr>
              <w:t xml:space="preserve">С +5 дня по +35 день </w:t>
            </w:r>
          </w:p>
        </w:tc>
        <w:tc>
          <w:tcPr>
            <w:tcW w:w="2410" w:type="dxa"/>
            <w:vAlign w:val="center"/>
          </w:tcPr>
          <w:p w14:paraId="3B7D25CB"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7599073" w14:textId="77777777" w:rsidR="00BE7F89" w:rsidRDefault="00BE7F89" w:rsidP="00BE7F89">
      <w:pPr>
        <w:rPr>
          <w:rFonts w:eastAsia="SimSun"/>
        </w:rPr>
      </w:pPr>
      <w:bookmarkStart w:id="218" w:name="_Toc44401233"/>
    </w:p>
    <w:p w14:paraId="62073702"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3.1.8  – Flu180+Bu12 / PT-Cy+Tx+MMF45</w:t>
      </w:r>
      <w:bookmarkEnd w:id="218"/>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BE7F89" w:rsidRPr="00AC3044" w14:paraId="69D11F32" w14:textId="77777777" w:rsidTr="005A428D">
        <w:trPr>
          <w:cantSplit/>
          <w:trHeight w:val="20"/>
          <w:tblHeader/>
        </w:trPr>
        <w:tc>
          <w:tcPr>
            <w:tcW w:w="1135" w:type="dxa"/>
            <w:vAlign w:val="center"/>
          </w:tcPr>
          <w:p w14:paraId="49D64083" w14:textId="77777777" w:rsidR="00BE7F89" w:rsidRPr="006A5E21" w:rsidRDefault="00BE7F89" w:rsidP="005A428D">
            <w:pPr>
              <w:rPr>
                <w:rFonts w:eastAsia="SimSun"/>
              </w:rPr>
            </w:pPr>
          </w:p>
        </w:tc>
        <w:tc>
          <w:tcPr>
            <w:tcW w:w="1559" w:type="dxa"/>
            <w:vAlign w:val="center"/>
          </w:tcPr>
          <w:p w14:paraId="3B75B3F0"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2D84C991"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5A358F2C"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53C28079" w14:textId="77777777" w:rsidR="00BE7F89" w:rsidRPr="00AC3044" w:rsidRDefault="00BE7F89" w:rsidP="005A428D">
            <w:pPr>
              <w:rPr>
                <w:rFonts w:eastAsia="SimSun"/>
              </w:rPr>
            </w:pPr>
            <w:r w:rsidRPr="00AC3044">
              <w:rPr>
                <w:rFonts w:eastAsia="SimSun"/>
              </w:rPr>
              <w:t>Дни введения</w:t>
            </w:r>
          </w:p>
        </w:tc>
        <w:tc>
          <w:tcPr>
            <w:tcW w:w="2410" w:type="dxa"/>
            <w:vAlign w:val="center"/>
          </w:tcPr>
          <w:p w14:paraId="67C7749A"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E099322" w14:textId="77777777" w:rsidTr="005A428D">
        <w:trPr>
          <w:cantSplit/>
          <w:trHeight w:val="20"/>
        </w:trPr>
        <w:tc>
          <w:tcPr>
            <w:tcW w:w="1135" w:type="dxa"/>
            <w:vMerge w:val="restart"/>
            <w:textDirection w:val="btLr"/>
            <w:vAlign w:val="center"/>
          </w:tcPr>
          <w:p w14:paraId="16A6A68B"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124FF31F"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202EB0D3"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3A4249D9"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1C17D058" w14:textId="77777777" w:rsidR="00BE7F89" w:rsidRPr="00AC3044" w:rsidRDefault="00BE7F89" w:rsidP="005A428D">
            <w:pPr>
              <w:rPr>
                <w:rFonts w:eastAsia="SimSun"/>
              </w:rPr>
            </w:pPr>
            <w:r w:rsidRPr="00AC3044">
              <w:rPr>
                <w:rFonts w:eastAsia="SimSun"/>
              </w:rPr>
              <w:t>С -7 дня по -2 день</w:t>
            </w:r>
          </w:p>
        </w:tc>
        <w:tc>
          <w:tcPr>
            <w:tcW w:w="2410" w:type="dxa"/>
            <w:vAlign w:val="center"/>
          </w:tcPr>
          <w:p w14:paraId="58A07085"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D77645F" w14:textId="77777777" w:rsidTr="005A428D">
        <w:trPr>
          <w:cantSplit/>
          <w:trHeight w:val="1207"/>
        </w:trPr>
        <w:tc>
          <w:tcPr>
            <w:tcW w:w="1135" w:type="dxa"/>
            <w:vMerge/>
            <w:vAlign w:val="center"/>
          </w:tcPr>
          <w:p w14:paraId="705E39A5" w14:textId="77777777" w:rsidR="00BE7F89" w:rsidRPr="00AC3044" w:rsidRDefault="00BE7F89" w:rsidP="005A428D">
            <w:pPr>
              <w:rPr>
                <w:rFonts w:eastAsia="SimSun"/>
              </w:rPr>
            </w:pPr>
          </w:p>
        </w:tc>
        <w:tc>
          <w:tcPr>
            <w:tcW w:w="1559" w:type="dxa"/>
            <w:vAlign w:val="center"/>
          </w:tcPr>
          <w:p w14:paraId="69D654EB"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5E849D73" w14:textId="77777777" w:rsidR="00BE7F89" w:rsidRPr="00AC3044" w:rsidRDefault="00BE7F89" w:rsidP="005A428D">
            <w:pPr>
              <w:rPr>
                <w:rFonts w:eastAsia="SimSun"/>
              </w:rPr>
            </w:pPr>
            <w:r w:rsidRPr="00AC3044">
              <w:rPr>
                <w:rFonts w:eastAsia="SimSun"/>
              </w:rPr>
              <w:t xml:space="preserve">4 мг/кг </w:t>
            </w:r>
          </w:p>
        </w:tc>
        <w:tc>
          <w:tcPr>
            <w:tcW w:w="1559" w:type="dxa"/>
            <w:vAlign w:val="center"/>
          </w:tcPr>
          <w:p w14:paraId="20993C11" w14:textId="77777777" w:rsidR="00BE7F89" w:rsidRPr="00AC3044" w:rsidRDefault="00BE7F89" w:rsidP="005A428D">
            <w:pPr>
              <w:rPr>
                <w:rFonts w:eastAsia="SimSun"/>
              </w:rPr>
            </w:pPr>
            <w:r w:rsidRPr="00AC3044">
              <w:rPr>
                <w:rFonts w:eastAsia="SimSun"/>
              </w:rPr>
              <w:t xml:space="preserve">12 мг/кг </w:t>
            </w:r>
          </w:p>
        </w:tc>
        <w:tc>
          <w:tcPr>
            <w:tcW w:w="1559" w:type="dxa"/>
            <w:vAlign w:val="center"/>
          </w:tcPr>
          <w:p w14:paraId="31A2123F" w14:textId="77777777" w:rsidR="00BE7F89" w:rsidRPr="00AC3044" w:rsidRDefault="00BE7F89" w:rsidP="005A428D">
            <w:pPr>
              <w:rPr>
                <w:rFonts w:eastAsia="SimSun"/>
              </w:rPr>
            </w:pPr>
            <w:r w:rsidRPr="00AC3044">
              <w:rPr>
                <w:rFonts w:eastAsia="SimSun"/>
              </w:rPr>
              <w:t>С -5 дня по -3 день</w:t>
            </w:r>
          </w:p>
        </w:tc>
        <w:tc>
          <w:tcPr>
            <w:tcW w:w="2410" w:type="dxa"/>
            <w:vAlign w:val="center"/>
          </w:tcPr>
          <w:p w14:paraId="31A2CBF6"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67C54E6C" w14:textId="77777777" w:rsidTr="005A428D">
        <w:trPr>
          <w:cantSplit/>
          <w:trHeight w:val="660"/>
        </w:trPr>
        <w:tc>
          <w:tcPr>
            <w:tcW w:w="1135" w:type="dxa"/>
            <w:vMerge w:val="restart"/>
            <w:textDirection w:val="btLr"/>
            <w:vAlign w:val="center"/>
          </w:tcPr>
          <w:p w14:paraId="78527FB4"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0FFA0B83"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06986275"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1F05C905"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3BFD863B" w14:textId="77777777" w:rsidR="00BE7F89" w:rsidRPr="00AC3044" w:rsidRDefault="00BE7F89" w:rsidP="005A428D">
            <w:pPr>
              <w:rPr>
                <w:rFonts w:eastAsia="SimSun"/>
              </w:rPr>
            </w:pPr>
            <w:r w:rsidRPr="00AC3044">
              <w:rPr>
                <w:rFonts w:eastAsia="SimSun"/>
              </w:rPr>
              <w:t>С +3 дня по +4 день</w:t>
            </w:r>
          </w:p>
        </w:tc>
        <w:tc>
          <w:tcPr>
            <w:tcW w:w="2410" w:type="dxa"/>
            <w:vAlign w:val="center"/>
          </w:tcPr>
          <w:p w14:paraId="08134EDE"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0AC0939E" w14:textId="77777777" w:rsidTr="005A428D">
        <w:trPr>
          <w:cantSplit/>
          <w:trHeight w:val="958"/>
        </w:trPr>
        <w:tc>
          <w:tcPr>
            <w:tcW w:w="1135" w:type="dxa"/>
            <w:vMerge/>
            <w:textDirection w:val="btLr"/>
            <w:vAlign w:val="center"/>
          </w:tcPr>
          <w:p w14:paraId="175E72C8" w14:textId="77777777" w:rsidR="00BE7F89" w:rsidRPr="00AC3044" w:rsidRDefault="00BE7F89" w:rsidP="005A428D">
            <w:pPr>
              <w:rPr>
                <w:rFonts w:eastAsia="SimSun"/>
              </w:rPr>
            </w:pPr>
          </w:p>
        </w:tc>
        <w:tc>
          <w:tcPr>
            <w:tcW w:w="1559" w:type="dxa"/>
            <w:vAlign w:val="center"/>
          </w:tcPr>
          <w:p w14:paraId="1D662B90" w14:textId="77777777" w:rsidR="00BE7F89" w:rsidRPr="00AC3044" w:rsidRDefault="00BE7F89" w:rsidP="005A428D">
            <w:pPr>
              <w:rPr>
                <w:rFonts w:eastAsia="SimSun"/>
              </w:rPr>
            </w:pPr>
            <w:r w:rsidRPr="00AC3044">
              <w:rPr>
                <w:rFonts w:eastAsia="SimSun"/>
              </w:rPr>
              <w:t xml:space="preserve">Такролимус </w:t>
            </w:r>
          </w:p>
        </w:tc>
        <w:tc>
          <w:tcPr>
            <w:tcW w:w="1418" w:type="dxa"/>
            <w:vAlign w:val="center"/>
          </w:tcPr>
          <w:p w14:paraId="73A20309" w14:textId="77777777" w:rsidR="00BE7F89" w:rsidRPr="00AC3044" w:rsidRDefault="00BE7F89" w:rsidP="005A428D">
            <w:pPr>
              <w:rPr>
                <w:rFonts w:eastAsia="SimSun"/>
              </w:rPr>
            </w:pPr>
            <w:r w:rsidRPr="00AC3044">
              <w:rPr>
                <w:rFonts w:eastAsia="SimSun"/>
              </w:rPr>
              <w:t>0,03 мг/кг</w:t>
            </w:r>
          </w:p>
        </w:tc>
        <w:tc>
          <w:tcPr>
            <w:tcW w:w="1559" w:type="dxa"/>
            <w:vAlign w:val="center"/>
          </w:tcPr>
          <w:p w14:paraId="295B544D" w14:textId="77777777" w:rsidR="00BE7F89" w:rsidRPr="00AC3044" w:rsidRDefault="00BE7F89" w:rsidP="005A428D">
            <w:pPr>
              <w:rPr>
                <w:rFonts w:eastAsia="SimSun"/>
              </w:rPr>
            </w:pPr>
            <w:r w:rsidRPr="00AC3044">
              <w:rPr>
                <w:rFonts w:eastAsia="SimSun"/>
              </w:rPr>
              <w:t>–</w:t>
            </w:r>
          </w:p>
        </w:tc>
        <w:tc>
          <w:tcPr>
            <w:tcW w:w="1559" w:type="dxa"/>
            <w:vAlign w:val="center"/>
          </w:tcPr>
          <w:p w14:paraId="2FBDD455" w14:textId="77777777" w:rsidR="00BE7F89" w:rsidRPr="00AC3044" w:rsidRDefault="00BE7F89" w:rsidP="005A428D">
            <w:pPr>
              <w:rPr>
                <w:rFonts w:eastAsia="SimSun"/>
              </w:rPr>
            </w:pPr>
            <w:r w:rsidRPr="00AC3044">
              <w:rPr>
                <w:rFonts w:eastAsia="SimSun"/>
              </w:rPr>
              <w:t xml:space="preserve">С +5 дня длительно </w:t>
            </w:r>
          </w:p>
        </w:tc>
        <w:tc>
          <w:tcPr>
            <w:tcW w:w="2410" w:type="dxa"/>
            <w:vAlign w:val="center"/>
          </w:tcPr>
          <w:p w14:paraId="208789DC"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bl>
    <w:p w14:paraId="18EBCDF2" w14:textId="77777777" w:rsidR="00BE7F89" w:rsidRDefault="00BE7F89" w:rsidP="00BE7F89">
      <w:pPr>
        <w:rPr>
          <w:rFonts w:eastAsia="SimSun"/>
        </w:rPr>
      </w:pPr>
      <w:bookmarkStart w:id="219" w:name="_Toc44401234"/>
    </w:p>
    <w:p w14:paraId="29488393" w14:textId="77777777" w:rsidR="00BE7F89" w:rsidRPr="00030511" w:rsidRDefault="00BE7F89" w:rsidP="00BE7F89">
      <w:pPr>
        <w:rPr>
          <w:rFonts w:eastAsia="SimSun"/>
        </w:rPr>
      </w:pPr>
      <w:r w:rsidRPr="00030511">
        <w:rPr>
          <w:rFonts w:eastAsia="SimSun"/>
        </w:rPr>
        <w:t xml:space="preserve">Таблица 5.3.1.9  – </w:t>
      </w:r>
      <w:r w:rsidRPr="00C07B2E">
        <w:rPr>
          <w:rFonts w:eastAsia="SimSun"/>
        </w:rPr>
        <w:t>Flu</w:t>
      </w:r>
      <w:r w:rsidRPr="00030511">
        <w:rPr>
          <w:rFonts w:eastAsia="SimSun"/>
        </w:rPr>
        <w:t>180+</w:t>
      </w:r>
      <w:r w:rsidRPr="00C07B2E">
        <w:rPr>
          <w:rFonts w:eastAsia="SimSun"/>
        </w:rPr>
        <w:t>Bu</w:t>
      </w:r>
      <w:r w:rsidRPr="00030511">
        <w:rPr>
          <w:rFonts w:eastAsia="SimSun"/>
        </w:rPr>
        <w:t xml:space="preserve">14 / </w:t>
      </w:r>
      <w:r w:rsidRPr="00C07B2E">
        <w:rPr>
          <w:rFonts w:eastAsia="SimSun"/>
        </w:rPr>
        <w:t>PT</w:t>
      </w:r>
      <w:r w:rsidRPr="00030511">
        <w:rPr>
          <w:rFonts w:eastAsia="SimSun"/>
        </w:rPr>
        <w:t>-</w:t>
      </w:r>
      <w:r w:rsidRPr="00C07B2E">
        <w:rPr>
          <w:rFonts w:eastAsia="SimSun"/>
        </w:rPr>
        <w:t>Cy</w:t>
      </w:r>
      <w:r w:rsidRPr="00030511">
        <w:rPr>
          <w:rFonts w:eastAsia="SimSun"/>
        </w:rPr>
        <w:t>+</w:t>
      </w:r>
      <w:r w:rsidRPr="00C07B2E">
        <w:rPr>
          <w:rFonts w:eastAsia="SimSun"/>
        </w:rPr>
        <w:t>Tx</w:t>
      </w:r>
      <w:r w:rsidRPr="00030511">
        <w:rPr>
          <w:rFonts w:eastAsia="SimSun"/>
        </w:rPr>
        <w:t>+</w:t>
      </w:r>
      <w:r w:rsidRPr="00C07B2E">
        <w:rPr>
          <w:rFonts w:eastAsia="SimSun"/>
        </w:rPr>
        <w:t>MMF</w:t>
      </w:r>
      <w:r w:rsidRPr="00030511">
        <w:rPr>
          <w:rFonts w:eastAsia="SimSun"/>
        </w:rPr>
        <w:t>45</w:t>
      </w:r>
      <w:bookmarkEnd w:id="219"/>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BE7F89" w:rsidRPr="00AC3044" w14:paraId="5D3D2DFF" w14:textId="77777777" w:rsidTr="005A428D">
        <w:trPr>
          <w:cantSplit/>
          <w:trHeight w:val="20"/>
          <w:tblHeader/>
        </w:trPr>
        <w:tc>
          <w:tcPr>
            <w:tcW w:w="1135" w:type="dxa"/>
            <w:vAlign w:val="center"/>
          </w:tcPr>
          <w:p w14:paraId="5DEC5CE4" w14:textId="77777777" w:rsidR="00BE7F89" w:rsidRPr="00AC3044" w:rsidRDefault="00BE7F89" w:rsidP="005A428D">
            <w:pPr>
              <w:rPr>
                <w:rFonts w:eastAsia="SimSun"/>
              </w:rPr>
            </w:pPr>
          </w:p>
        </w:tc>
        <w:tc>
          <w:tcPr>
            <w:tcW w:w="1559" w:type="dxa"/>
            <w:vAlign w:val="center"/>
          </w:tcPr>
          <w:p w14:paraId="4FB48366"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5B21C176"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3907AACD"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763059A1" w14:textId="77777777" w:rsidR="00BE7F89" w:rsidRPr="00AC3044" w:rsidRDefault="00BE7F89" w:rsidP="005A428D">
            <w:pPr>
              <w:rPr>
                <w:rFonts w:eastAsia="SimSun"/>
              </w:rPr>
            </w:pPr>
            <w:r w:rsidRPr="00AC3044">
              <w:rPr>
                <w:rFonts w:eastAsia="SimSun"/>
              </w:rPr>
              <w:t>Дни введения</w:t>
            </w:r>
          </w:p>
        </w:tc>
        <w:tc>
          <w:tcPr>
            <w:tcW w:w="2410" w:type="dxa"/>
            <w:vAlign w:val="center"/>
          </w:tcPr>
          <w:p w14:paraId="37EB698E"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6C82CC4E" w14:textId="77777777" w:rsidTr="005A428D">
        <w:trPr>
          <w:cantSplit/>
          <w:trHeight w:val="450"/>
        </w:trPr>
        <w:tc>
          <w:tcPr>
            <w:tcW w:w="1135" w:type="dxa"/>
            <w:vMerge w:val="restart"/>
            <w:textDirection w:val="btLr"/>
            <w:vAlign w:val="center"/>
          </w:tcPr>
          <w:p w14:paraId="0F1A7F6F"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0697791A"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7C0DA1A0"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31FE6665"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559" w:type="dxa"/>
            <w:vAlign w:val="center"/>
          </w:tcPr>
          <w:p w14:paraId="07AB007E" w14:textId="77777777" w:rsidR="00BE7F89" w:rsidRPr="00AC3044" w:rsidRDefault="00BE7F89" w:rsidP="005A428D">
            <w:pPr>
              <w:rPr>
                <w:rFonts w:eastAsia="SimSun"/>
              </w:rPr>
            </w:pPr>
            <w:r w:rsidRPr="00AC3044">
              <w:rPr>
                <w:rFonts w:eastAsia="SimSun"/>
              </w:rPr>
              <w:t>С -7 дня по -2 день</w:t>
            </w:r>
          </w:p>
        </w:tc>
        <w:tc>
          <w:tcPr>
            <w:tcW w:w="2410" w:type="dxa"/>
            <w:vAlign w:val="center"/>
          </w:tcPr>
          <w:p w14:paraId="463EA668"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6F1B8E8E" w14:textId="77777777" w:rsidTr="005A428D">
        <w:trPr>
          <w:cantSplit/>
          <w:trHeight w:val="1207"/>
        </w:trPr>
        <w:tc>
          <w:tcPr>
            <w:tcW w:w="1135" w:type="dxa"/>
            <w:vMerge/>
            <w:vAlign w:val="center"/>
          </w:tcPr>
          <w:p w14:paraId="70E4B515" w14:textId="77777777" w:rsidR="00BE7F89" w:rsidRPr="00AC3044" w:rsidRDefault="00BE7F89" w:rsidP="005A428D">
            <w:pPr>
              <w:rPr>
                <w:rFonts w:eastAsia="SimSun"/>
              </w:rPr>
            </w:pPr>
          </w:p>
        </w:tc>
        <w:tc>
          <w:tcPr>
            <w:tcW w:w="1559" w:type="dxa"/>
            <w:vAlign w:val="center"/>
          </w:tcPr>
          <w:p w14:paraId="1103E470" w14:textId="77777777" w:rsidR="00BE7F89" w:rsidRPr="00AC3044" w:rsidRDefault="00BE7F89" w:rsidP="005A428D">
            <w:pPr>
              <w:rPr>
                <w:rFonts w:eastAsia="SimSun"/>
              </w:rPr>
            </w:pPr>
            <w:r w:rsidRPr="00AC3044">
              <w:rPr>
                <w:rFonts w:eastAsia="SimSun"/>
              </w:rPr>
              <w:t>Бусульфан</w:t>
            </w:r>
          </w:p>
        </w:tc>
        <w:tc>
          <w:tcPr>
            <w:tcW w:w="1418" w:type="dxa"/>
            <w:vAlign w:val="center"/>
          </w:tcPr>
          <w:p w14:paraId="5D5F4F43" w14:textId="77777777" w:rsidR="00BE7F89" w:rsidRPr="00AC3044" w:rsidRDefault="00BE7F89" w:rsidP="005A428D">
            <w:pPr>
              <w:rPr>
                <w:rFonts w:eastAsia="SimSun"/>
              </w:rPr>
            </w:pPr>
            <w:r w:rsidRPr="00AC3044">
              <w:rPr>
                <w:rFonts w:eastAsia="SimSun"/>
              </w:rPr>
              <w:t xml:space="preserve">4 мг/кг </w:t>
            </w:r>
          </w:p>
        </w:tc>
        <w:tc>
          <w:tcPr>
            <w:tcW w:w="1559" w:type="dxa"/>
            <w:vAlign w:val="center"/>
          </w:tcPr>
          <w:p w14:paraId="2C70AE7C" w14:textId="77777777" w:rsidR="00BE7F89" w:rsidRPr="00AC3044" w:rsidRDefault="00BE7F89" w:rsidP="005A428D">
            <w:pPr>
              <w:rPr>
                <w:rFonts w:eastAsia="SimSun"/>
              </w:rPr>
            </w:pPr>
            <w:r w:rsidRPr="00AC3044">
              <w:rPr>
                <w:rFonts w:eastAsia="SimSun"/>
              </w:rPr>
              <w:t xml:space="preserve">14 мг/кг </w:t>
            </w:r>
          </w:p>
        </w:tc>
        <w:tc>
          <w:tcPr>
            <w:tcW w:w="1559" w:type="dxa"/>
            <w:vAlign w:val="center"/>
          </w:tcPr>
          <w:p w14:paraId="79E28929" w14:textId="77777777" w:rsidR="00BE7F89" w:rsidRPr="00AC3044" w:rsidRDefault="00BE7F89" w:rsidP="005A428D">
            <w:pPr>
              <w:rPr>
                <w:rFonts w:eastAsia="SimSun"/>
              </w:rPr>
            </w:pPr>
            <w:r w:rsidRPr="00AC3044">
              <w:rPr>
                <w:rFonts w:eastAsia="SimSun"/>
              </w:rPr>
              <w:t>С -6 дня по -3 день</w:t>
            </w:r>
          </w:p>
        </w:tc>
        <w:tc>
          <w:tcPr>
            <w:tcW w:w="2410" w:type="dxa"/>
            <w:vAlign w:val="center"/>
          </w:tcPr>
          <w:p w14:paraId="02B4D9FE"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BE7F89" w:rsidRPr="00AC3044" w14:paraId="560B96CC" w14:textId="77777777" w:rsidTr="005A428D">
        <w:trPr>
          <w:cantSplit/>
          <w:trHeight w:val="606"/>
        </w:trPr>
        <w:tc>
          <w:tcPr>
            <w:tcW w:w="1135" w:type="dxa"/>
            <w:vMerge w:val="restart"/>
            <w:textDirection w:val="btLr"/>
            <w:vAlign w:val="center"/>
          </w:tcPr>
          <w:p w14:paraId="0F38E104"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141D1193"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3A37F3F1"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0F963F98"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121251EF" w14:textId="77777777" w:rsidR="00BE7F89" w:rsidRPr="00AC3044" w:rsidRDefault="00BE7F89" w:rsidP="005A428D">
            <w:pPr>
              <w:rPr>
                <w:rFonts w:eastAsia="SimSun"/>
              </w:rPr>
            </w:pPr>
            <w:r w:rsidRPr="00AC3044">
              <w:rPr>
                <w:rFonts w:eastAsia="SimSun"/>
              </w:rPr>
              <w:t>С +3 дня по +4 день</w:t>
            </w:r>
          </w:p>
        </w:tc>
        <w:tc>
          <w:tcPr>
            <w:tcW w:w="2410" w:type="dxa"/>
            <w:vAlign w:val="center"/>
          </w:tcPr>
          <w:p w14:paraId="63DDFBA3"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5C5DAE27" w14:textId="77777777" w:rsidTr="005A428D">
        <w:trPr>
          <w:cantSplit/>
          <w:trHeight w:val="958"/>
        </w:trPr>
        <w:tc>
          <w:tcPr>
            <w:tcW w:w="1135" w:type="dxa"/>
            <w:vMerge/>
            <w:textDirection w:val="btLr"/>
            <w:vAlign w:val="center"/>
          </w:tcPr>
          <w:p w14:paraId="15A4F03F" w14:textId="77777777" w:rsidR="00BE7F89" w:rsidRPr="00AC3044" w:rsidRDefault="00BE7F89" w:rsidP="005A428D">
            <w:pPr>
              <w:rPr>
                <w:rFonts w:eastAsia="SimSun"/>
              </w:rPr>
            </w:pPr>
          </w:p>
        </w:tc>
        <w:tc>
          <w:tcPr>
            <w:tcW w:w="1559" w:type="dxa"/>
            <w:vAlign w:val="center"/>
          </w:tcPr>
          <w:p w14:paraId="73A15615" w14:textId="77777777" w:rsidR="00BE7F89" w:rsidRPr="00AC3044" w:rsidRDefault="00BE7F89" w:rsidP="005A428D">
            <w:pPr>
              <w:rPr>
                <w:rFonts w:eastAsia="SimSun"/>
              </w:rPr>
            </w:pPr>
            <w:r w:rsidRPr="00AC3044">
              <w:rPr>
                <w:rFonts w:eastAsia="SimSun"/>
              </w:rPr>
              <w:t xml:space="preserve">Такролимус </w:t>
            </w:r>
          </w:p>
        </w:tc>
        <w:tc>
          <w:tcPr>
            <w:tcW w:w="1418" w:type="dxa"/>
            <w:vAlign w:val="center"/>
          </w:tcPr>
          <w:p w14:paraId="0F70627C" w14:textId="77777777" w:rsidR="00BE7F89" w:rsidRPr="00AC3044" w:rsidRDefault="00BE7F89" w:rsidP="005A428D">
            <w:pPr>
              <w:rPr>
                <w:rFonts w:eastAsia="SimSun"/>
              </w:rPr>
            </w:pPr>
            <w:r w:rsidRPr="00AC3044">
              <w:rPr>
                <w:rFonts w:eastAsia="SimSun"/>
              </w:rPr>
              <w:t>0,03 мг/кг</w:t>
            </w:r>
          </w:p>
        </w:tc>
        <w:tc>
          <w:tcPr>
            <w:tcW w:w="1559" w:type="dxa"/>
            <w:vAlign w:val="center"/>
          </w:tcPr>
          <w:p w14:paraId="657EF674" w14:textId="77777777" w:rsidR="00BE7F89" w:rsidRPr="00AC3044" w:rsidRDefault="00BE7F89" w:rsidP="005A428D">
            <w:pPr>
              <w:rPr>
                <w:rFonts w:eastAsia="SimSun"/>
              </w:rPr>
            </w:pPr>
            <w:r w:rsidRPr="00AC3044">
              <w:rPr>
                <w:rFonts w:eastAsia="SimSun"/>
              </w:rPr>
              <w:t>–</w:t>
            </w:r>
          </w:p>
        </w:tc>
        <w:tc>
          <w:tcPr>
            <w:tcW w:w="1559" w:type="dxa"/>
            <w:vAlign w:val="center"/>
          </w:tcPr>
          <w:p w14:paraId="52C19DF3" w14:textId="77777777" w:rsidR="00BE7F89" w:rsidRPr="00AC3044" w:rsidRDefault="00BE7F89" w:rsidP="005A428D">
            <w:pPr>
              <w:rPr>
                <w:rFonts w:eastAsia="SimSun"/>
              </w:rPr>
            </w:pPr>
            <w:r w:rsidRPr="00AC3044">
              <w:rPr>
                <w:rFonts w:eastAsia="SimSun"/>
              </w:rPr>
              <w:t xml:space="preserve">С +5 дня длительно </w:t>
            </w:r>
          </w:p>
        </w:tc>
        <w:tc>
          <w:tcPr>
            <w:tcW w:w="2410" w:type="dxa"/>
            <w:vAlign w:val="center"/>
          </w:tcPr>
          <w:p w14:paraId="68D55D00"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739DE16E" w14:textId="77777777" w:rsidTr="005A428D">
        <w:trPr>
          <w:cantSplit/>
          <w:trHeight w:val="576"/>
        </w:trPr>
        <w:tc>
          <w:tcPr>
            <w:tcW w:w="1135" w:type="dxa"/>
            <w:vMerge/>
            <w:textDirection w:val="btLr"/>
            <w:vAlign w:val="center"/>
          </w:tcPr>
          <w:p w14:paraId="10EEF041" w14:textId="77777777" w:rsidR="00BE7F89" w:rsidRPr="00AC3044" w:rsidRDefault="00BE7F89" w:rsidP="005A428D">
            <w:pPr>
              <w:rPr>
                <w:rFonts w:eastAsia="SimSun"/>
              </w:rPr>
            </w:pPr>
          </w:p>
        </w:tc>
        <w:tc>
          <w:tcPr>
            <w:tcW w:w="1559" w:type="dxa"/>
            <w:vAlign w:val="center"/>
          </w:tcPr>
          <w:p w14:paraId="3983982C"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0871B06C" w14:textId="77777777" w:rsidR="00BE7F89" w:rsidRPr="00AC3044" w:rsidRDefault="00BE7F89" w:rsidP="005A428D">
            <w:pPr>
              <w:rPr>
                <w:rFonts w:eastAsia="SimSun"/>
              </w:rPr>
            </w:pPr>
            <w:r w:rsidRPr="00AC3044">
              <w:rPr>
                <w:rFonts w:eastAsia="SimSun"/>
              </w:rPr>
              <w:t xml:space="preserve">45 мг/кг </w:t>
            </w:r>
          </w:p>
        </w:tc>
        <w:tc>
          <w:tcPr>
            <w:tcW w:w="1559" w:type="dxa"/>
            <w:vAlign w:val="center"/>
          </w:tcPr>
          <w:p w14:paraId="0C89C9F2" w14:textId="77777777" w:rsidR="00BE7F89" w:rsidRPr="00AC3044" w:rsidRDefault="00BE7F89" w:rsidP="005A428D">
            <w:pPr>
              <w:rPr>
                <w:rFonts w:eastAsia="SimSun"/>
              </w:rPr>
            </w:pPr>
            <w:r w:rsidRPr="00AC3044">
              <w:rPr>
                <w:rFonts w:eastAsia="SimSun"/>
              </w:rPr>
              <w:t>–</w:t>
            </w:r>
          </w:p>
        </w:tc>
        <w:tc>
          <w:tcPr>
            <w:tcW w:w="1559" w:type="dxa"/>
            <w:vAlign w:val="center"/>
          </w:tcPr>
          <w:p w14:paraId="1D1510EC" w14:textId="77777777" w:rsidR="00BE7F89" w:rsidRPr="00AC3044" w:rsidRDefault="00BE7F89" w:rsidP="005A428D">
            <w:pPr>
              <w:rPr>
                <w:rFonts w:eastAsia="SimSun"/>
              </w:rPr>
            </w:pPr>
            <w:r w:rsidRPr="00AC3044">
              <w:rPr>
                <w:rFonts w:eastAsia="SimSun"/>
              </w:rPr>
              <w:t xml:space="preserve">С +5 дня по +35 день </w:t>
            </w:r>
          </w:p>
        </w:tc>
        <w:tc>
          <w:tcPr>
            <w:tcW w:w="2410" w:type="dxa"/>
            <w:vAlign w:val="center"/>
          </w:tcPr>
          <w:p w14:paraId="4C36F690"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bl>
    <w:p w14:paraId="0ADE211D" w14:textId="77777777" w:rsidR="00BE7F89" w:rsidRPr="00C07B2E" w:rsidRDefault="00BE7F89" w:rsidP="00BE7F89">
      <w:pPr>
        <w:rPr>
          <w:rFonts w:eastAsia="SimSun"/>
        </w:rPr>
      </w:pPr>
    </w:p>
    <w:p w14:paraId="06A91B99" w14:textId="77777777" w:rsidR="00BE7F89" w:rsidRPr="00C07B2E" w:rsidRDefault="00BE7F89" w:rsidP="00BE7F89">
      <w:pPr>
        <w:rPr>
          <w:rFonts w:eastAsia="SimSun"/>
        </w:rPr>
      </w:pPr>
      <w:bookmarkStart w:id="220" w:name="_Toc44401235"/>
      <w:r w:rsidRPr="00EE51B1">
        <w:rPr>
          <w:rFonts w:eastAsia="SimSun"/>
        </w:rPr>
        <w:t>Таблица</w:t>
      </w:r>
      <w:r w:rsidRPr="00C07B2E">
        <w:rPr>
          <w:rFonts w:eastAsia="SimSun"/>
        </w:rPr>
        <w:t xml:space="preserve"> </w:t>
      </w:r>
      <w:r>
        <w:rPr>
          <w:rFonts w:eastAsia="SimSun"/>
        </w:rPr>
        <w:t>5.</w:t>
      </w:r>
      <w:r w:rsidRPr="00C07B2E">
        <w:rPr>
          <w:rFonts w:eastAsia="SimSun"/>
        </w:rPr>
        <w:t>3.1.10  – Flu150+Treo36 / PT-Cy+CSA+MMF30</w:t>
      </w:r>
      <w:bookmarkEnd w:id="220"/>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BE7F89" w:rsidRPr="00AC3044" w14:paraId="43455C95" w14:textId="77777777" w:rsidTr="005A428D">
        <w:trPr>
          <w:cantSplit/>
          <w:trHeight w:val="20"/>
          <w:tblHeader/>
        </w:trPr>
        <w:tc>
          <w:tcPr>
            <w:tcW w:w="1103" w:type="dxa"/>
          </w:tcPr>
          <w:p w14:paraId="209469B1" w14:textId="77777777" w:rsidR="00BE7F89" w:rsidRPr="006A5E21" w:rsidRDefault="00BE7F89" w:rsidP="005A428D">
            <w:pPr>
              <w:rPr>
                <w:rFonts w:eastAsia="SimSun"/>
              </w:rPr>
            </w:pPr>
          </w:p>
        </w:tc>
        <w:tc>
          <w:tcPr>
            <w:tcW w:w="1559" w:type="dxa"/>
            <w:vAlign w:val="center"/>
          </w:tcPr>
          <w:p w14:paraId="78A76C1C"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49EB72F2"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68A582A8"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30925195" w14:textId="77777777" w:rsidR="00BE7F89" w:rsidRPr="00AC3044" w:rsidRDefault="00BE7F89" w:rsidP="005A428D">
            <w:pPr>
              <w:rPr>
                <w:rFonts w:eastAsia="SimSun"/>
              </w:rPr>
            </w:pPr>
            <w:r w:rsidRPr="00AC3044">
              <w:rPr>
                <w:rFonts w:eastAsia="SimSun"/>
              </w:rPr>
              <w:t>Дни введения</w:t>
            </w:r>
          </w:p>
        </w:tc>
        <w:tc>
          <w:tcPr>
            <w:tcW w:w="2410" w:type="dxa"/>
            <w:vAlign w:val="center"/>
          </w:tcPr>
          <w:p w14:paraId="78507FD7"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0588795" w14:textId="77777777" w:rsidTr="005A428D">
        <w:trPr>
          <w:cantSplit/>
          <w:trHeight w:val="20"/>
        </w:trPr>
        <w:tc>
          <w:tcPr>
            <w:tcW w:w="1103" w:type="dxa"/>
            <w:vMerge w:val="restart"/>
            <w:textDirection w:val="btLr"/>
            <w:vAlign w:val="center"/>
          </w:tcPr>
          <w:p w14:paraId="56FD952C"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5950990B"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040C0F98" w14:textId="77777777" w:rsidR="00BE7F89" w:rsidRPr="00AC3044" w:rsidRDefault="00BE7F89" w:rsidP="005A428D">
            <w:pPr>
              <w:rPr>
                <w:rFonts w:eastAsia="SimSun"/>
              </w:rPr>
            </w:pPr>
            <w:r w:rsidRPr="00AC3044">
              <w:rPr>
                <w:rFonts w:eastAsia="SimSun"/>
              </w:rPr>
              <w:t>30 мг/м2</w:t>
            </w:r>
          </w:p>
        </w:tc>
        <w:tc>
          <w:tcPr>
            <w:tcW w:w="1559" w:type="dxa"/>
            <w:vAlign w:val="center"/>
          </w:tcPr>
          <w:p w14:paraId="5DBEF077" w14:textId="77777777" w:rsidR="00BE7F89" w:rsidRPr="00AC3044" w:rsidRDefault="00BE7F89" w:rsidP="005A428D">
            <w:pPr>
              <w:rPr>
                <w:rFonts w:eastAsia="SimSun"/>
              </w:rPr>
            </w:pPr>
            <w:r w:rsidRPr="00AC3044">
              <w:rPr>
                <w:rFonts w:eastAsia="SimSun"/>
              </w:rPr>
              <w:t>150 мг/м</w:t>
            </w:r>
            <w:r w:rsidRPr="0074195F">
              <w:rPr>
                <w:rFonts w:eastAsia="SimSun"/>
                <w:vertAlign w:val="superscript"/>
              </w:rPr>
              <w:t>2</w:t>
            </w:r>
          </w:p>
        </w:tc>
        <w:tc>
          <w:tcPr>
            <w:tcW w:w="1559" w:type="dxa"/>
            <w:vAlign w:val="center"/>
          </w:tcPr>
          <w:p w14:paraId="011BF28E" w14:textId="77777777" w:rsidR="00BE7F89" w:rsidRPr="00AC3044" w:rsidRDefault="00BE7F89" w:rsidP="005A428D">
            <w:pPr>
              <w:rPr>
                <w:rFonts w:eastAsia="SimSun"/>
              </w:rPr>
            </w:pPr>
            <w:r w:rsidRPr="00AC3044">
              <w:rPr>
                <w:rFonts w:eastAsia="SimSun"/>
              </w:rPr>
              <w:t>С –6 по –2 день</w:t>
            </w:r>
          </w:p>
        </w:tc>
        <w:tc>
          <w:tcPr>
            <w:tcW w:w="2410" w:type="dxa"/>
            <w:vAlign w:val="center"/>
          </w:tcPr>
          <w:p w14:paraId="2834E597"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629E63D8" w14:textId="77777777" w:rsidTr="005A428D">
        <w:trPr>
          <w:cantSplit/>
          <w:trHeight w:val="879"/>
        </w:trPr>
        <w:tc>
          <w:tcPr>
            <w:tcW w:w="1103" w:type="dxa"/>
            <w:vMerge/>
            <w:textDirection w:val="btLr"/>
            <w:vAlign w:val="center"/>
          </w:tcPr>
          <w:p w14:paraId="2F56272C" w14:textId="77777777" w:rsidR="00BE7F89" w:rsidRPr="00AC3044" w:rsidRDefault="00BE7F89" w:rsidP="005A428D">
            <w:pPr>
              <w:rPr>
                <w:rFonts w:eastAsia="SimSun"/>
              </w:rPr>
            </w:pPr>
          </w:p>
        </w:tc>
        <w:tc>
          <w:tcPr>
            <w:tcW w:w="1559" w:type="dxa"/>
            <w:vAlign w:val="center"/>
          </w:tcPr>
          <w:p w14:paraId="1729A27C" w14:textId="77777777" w:rsidR="00BE7F89" w:rsidRPr="00AC3044" w:rsidRDefault="00BE7F89" w:rsidP="005A428D">
            <w:pPr>
              <w:rPr>
                <w:rFonts w:eastAsia="SimSun"/>
              </w:rPr>
            </w:pPr>
            <w:r w:rsidRPr="00AC3044">
              <w:rPr>
                <w:rFonts w:eastAsia="SimSun"/>
              </w:rPr>
              <w:t>Треосульфан</w:t>
            </w:r>
          </w:p>
        </w:tc>
        <w:tc>
          <w:tcPr>
            <w:tcW w:w="1418" w:type="dxa"/>
            <w:vAlign w:val="center"/>
          </w:tcPr>
          <w:p w14:paraId="334B2290" w14:textId="77777777" w:rsidR="00BE7F89" w:rsidRPr="00AC3044" w:rsidRDefault="00BE7F89" w:rsidP="005A428D">
            <w:pPr>
              <w:rPr>
                <w:rFonts w:eastAsia="SimSun"/>
              </w:rPr>
            </w:pPr>
            <w:r w:rsidRPr="00AC3044">
              <w:rPr>
                <w:rFonts w:eastAsia="SimSun"/>
              </w:rPr>
              <w:t>12 г/м2</w:t>
            </w:r>
          </w:p>
        </w:tc>
        <w:tc>
          <w:tcPr>
            <w:tcW w:w="1559" w:type="dxa"/>
            <w:vAlign w:val="center"/>
          </w:tcPr>
          <w:p w14:paraId="6479B049" w14:textId="77777777" w:rsidR="00BE7F89" w:rsidRPr="00AC3044" w:rsidRDefault="00BE7F89" w:rsidP="005A428D">
            <w:pPr>
              <w:rPr>
                <w:rFonts w:eastAsia="SimSun"/>
              </w:rPr>
            </w:pPr>
            <w:r w:rsidRPr="00AC3044">
              <w:rPr>
                <w:rFonts w:eastAsia="SimSun"/>
              </w:rPr>
              <w:t>36 г/м</w:t>
            </w:r>
            <w:r w:rsidRPr="0074195F">
              <w:rPr>
                <w:rFonts w:eastAsia="SimSun"/>
                <w:vertAlign w:val="superscript"/>
              </w:rPr>
              <w:t>2</w:t>
            </w:r>
          </w:p>
        </w:tc>
        <w:tc>
          <w:tcPr>
            <w:tcW w:w="1559" w:type="dxa"/>
            <w:vAlign w:val="center"/>
          </w:tcPr>
          <w:p w14:paraId="2B6CCB08" w14:textId="77777777" w:rsidR="00BE7F89" w:rsidRPr="00AC3044" w:rsidRDefault="00BE7F89" w:rsidP="005A428D">
            <w:pPr>
              <w:rPr>
                <w:rFonts w:eastAsia="SimSun"/>
              </w:rPr>
            </w:pPr>
            <w:r w:rsidRPr="00AC3044">
              <w:rPr>
                <w:rFonts w:eastAsia="SimSun"/>
              </w:rPr>
              <w:t>С –6 по –4 день</w:t>
            </w:r>
          </w:p>
        </w:tc>
        <w:tc>
          <w:tcPr>
            <w:tcW w:w="2410" w:type="dxa"/>
            <w:vAlign w:val="center"/>
          </w:tcPr>
          <w:p w14:paraId="07B5C049"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1C17E00D" w14:textId="77777777" w:rsidTr="005A428D">
        <w:trPr>
          <w:cantSplit/>
          <w:trHeight w:val="1534"/>
        </w:trPr>
        <w:tc>
          <w:tcPr>
            <w:tcW w:w="1103" w:type="dxa"/>
            <w:vMerge w:val="restart"/>
            <w:textDirection w:val="btLr"/>
            <w:vAlign w:val="center"/>
          </w:tcPr>
          <w:p w14:paraId="71693F91"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6DB87F4E" w14:textId="77777777" w:rsidR="00BE7F89" w:rsidRPr="00AC3044" w:rsidRDefault="00BE7F89" w:rsidP="005A428D">
            <w:pPr>
              <w:rPr>
                <w:rFonts w:eastAsia="SimSun"/>
              </w:rPr>
            </w:pPr>
            <w:r w:rsidRPr="00AC3044">
              <w:rPr>
                <w:rFonts w:eastAsia="SimSun"/>
              </w:rPr>
              <w:t>Циклоспорин</w:t>
            </w:r>
          </w:p>
        </w:tc>
        <w:tc>
          <w:tcPr>
            <w:tcW w:w="1418" w:type="dxa"/>
            <w:vAlign w:val="center"/>
          </w:tcPr>
          <w:p w14:paraId="59F8C740" w14:textId="77777777" w:rsidR="00BE7F89" w:rsidRPr="00AC3044" w:rsidRDefault="00BE7F89" w:rsidP="005A428D">
            <w:pPr>
              <w:rPr>
                <w:rFonts w:eastAsia="SimSun"/>
              </w:rPr>
            </w:pPr>
            <w:r w:rsidRPr="00AC3044">
              <w:rPr>
                <w:rFonts w:eastAsia="SimSun"/>
              </w:rPr>
              <w:t>3 мг/кг</w:t>
            </w:r>
          </w:p>
        </w:tc>
        <w:tc>
          <w:tcPr>
            <w:tcW w:w="1559" w:type="dxa"/>
            <w:vAlign w:val="center"/>
          </w:tcPr>
          <w:p w14:paraId="3800BC17" w14:textId="77777777" w:rsidR="00BE7F89" w:rsidRPr="00AC3044" w:rsidRDefault="00BE7F89" w:rsidP="005A428D">
            <w:pPr>
              <w:rPr>
                <w:rFonts w:eastAsia="SimSun"/>
              </w:rPr>
            </w:pPr>
            <w:r w:rsidRPr="00AC3044">
              <w:rPr>
                <w:rFonts w:eastAsia="SimSun"/>
              </w:rPr>
              <w:t>–</w:t>
            </w:r>
          </w:p>
        </w:tc>
        <w:tc>
          <w:tcPr>
            <w:tcW w:w="1559" w:type="dxa"/>
            <w:vAlign w:val="center"/>
          </w:tcPr>
          <w:p w14:paraId="0F3C9008" w14:textId="77777777" w:rsidR="00BE7F89" w:rsidRPr="00AC3044" w:rsidRDefault="00BE7F89" w:rsidP="005A428D">
            <w:pPr>
              <w:rPr>
                <w:rFonts w:eastAsia="SimSun"/>
              </w:rPr>
            </w:pPr>
            <w:r w:rsidRPr="00AC3044">
              <w:rPr>
                <w:rFonts w:eastAsia="SimSun"/>
              </w:rPr>
              <w:t>С +5 дня по +90 день затем постепенное снижение к +180 дню</w:t>
            </w:r>
          </w:p>
        </w:tc>
        <w:tc>
          <w:tcPr>
            <w:tcW w:w="2410" w:type="dxa"/>
            <w:vAlign w:val="center"/>
          </w:tcPr>
          <w:p w14:paraId="216E35EF"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296E958D" w14:textId="77777777" w:rsidTr="005A428D">
        <w:trPr>
          <w:cantSplit/>
          <w:trHeight w:val="20"/>
        </w:trPr>
        <w:tc>
          <w:tcPr>
            <w:tcW w:w="1103" w:type="dxa"/>
            <w:vMerge/>
            <w:textDirection w:val="btLr"/>
          </w:tcPr>
          <w:p w14:paraId="5AFB1E79" w14:textId="77777777" w:rsidR="00BE7F89" w:rsidRPr="00AC3044" w:rsidRDefault="00BE7F89" w:rsidP="005A428D">
            <w:pPr>
              <w:rPr>
                <w:rFonts w:eastAsia="SimSun"/>
              </w:rPr>
            </w:pPr>
          </w:p>
        </w:tc>
        <w:tc>
          <w:tcPr>
            <w:tcW w:w="1559" w:type="dxa"/>
            <w:vAlign w:val="center"/>
          </w:tcPr>
          <w:p w14:paraId="6ECCFA4C"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48AB167E" w14:textId="77777777" w:rsidR="00BE7F89" w:rsidRPr="00AC3044" w:rsidRDefault="00BE7F89" w:rsidP="005A428D">
            <w:pPr>
              <w:rPr>
                <w:rFonts w:eastAsia="SimSun"/>
              </w:rPr>
            </w:pPr>
            <w:r w:rsidRPr="00AC3044">
              <w:rPr>
                <w:rFonts w:eastAsia="SimSun"/>
              </w:rPr>
              <w:t>30 мг/кг</w:t>
            </w:r>
          </w:p>
        </w:tc>
        <w:tc>
          <w:tcPr>
            <w:tcW w:w="1559" w:type="dxa"/>
            <w:vAlign w:val="center"/>
          </w:tcPr>
          <w:p w14:paraId="668AB45E" w14:textId="77777777" w:rsidR="00BE7F89" w:rsidRPr="00AC3044" w:rsidRDefault="00BE7F89" w:rsidP="005A428D">
            <w:pPr>
              <w:rPr>
                <w:rFonts w:eastAsia="SimSun"/>
              </w:rPr>
            </w:pPr>
            <w:r w:rsidRPr="00AC3044">
              <w:rPr>
                <w:rFonts w:eastAsia="SimSun"/>
              </w:rPr>
              <w:t>–</w:t>
            </w:r>
          </w:p>
        </w:tc>
        <w:tc>
          <w:tcPr>
            <w:tcW w:w="1559" w:type="dxa"/>
            <w:vAlign w:val="center"/>
          </w:tcPr>
          <w:p w14:paraId="723656C2" w14:textId="77777777" w:rsidR="00BE7F89" w:rsidRPr="00AC3044" w:rsidRDefault="00BE7F89" w:rsidP="005A428D">
            <w:pPr>
              <w:rPr>
                <w:rFonts w:eastAsia="SimSun"/>
              </w:rPr>
            </w:pPr>
            <w:r w:rsidRPr="00AC3044">
              <w:rPr>
                <w:rFonts w:eastAsia="SimSun"/>
              </w:rPr>
              <w:t>С +5 по +90 день</w:t>
            </w:r>
          </w:p>
        </w:tc>
        <w:tc>
          <w:tcPr>
            <w:tcW w:w="2410" w:type="dxa"/>
            <w:vAlign w:val="center"/>
          </w:tcPr>
          <w:p w14:paraId="29AB3DCC"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BE7F89" w:rsidRPr="00AC3044" w14:paraId="1CF6C9BA" w14:textId="77777777" w:rsidTr="005A428D">
        <w:trPr>
          <w:cantSplit/>
          <w:trHeight w:val="20"/>
        </w:trPr>
        <w:tc>
          <w:tcPr>
            <w:tcW w:w="1103" w:type="dxa"/>
            <w:vMerge/>
            <w:textDirection w:val="btLr"/>
          </w:tcPr>
          <w:p w14:paraId="126BFEEB" w14:textId="77777777" w:rsidR="00BE7F89" w:rsidRPr="00AC3044" w:rsidRDefault="00BE7F89" w:rsidP="005A428D">
            <w:pPr>
              <w:rPr>
                <w:rFonts w:eastAsia="SimSun"/>
              </w:rPr>
            </w:pPr>
          </w:p>
        </w:tc>
        <w:tc>
          <w:tcPr>
            <w:tcW w:w="1559" w:type="dxa"/>
            <w:vAlign w:val="center"/>
          </w:tcPr>
          <w:p w14:paraId="541F35CB"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4C5F7DF8"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0670690A"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217A6539" w14:textId="77777777" w:rsidR="00BE7F89" w:rsidRPr="00AC3044" w:rsidRDefault="00BE7F89" w:rsidP="005A428D">
            <w:pPr>
              <w:rPr>
                <w:rFonts w:eastAsia="SimSun"/>
              </w:rPr>
            </w:pPr>
            <w:r w:rsidRPr="00AC3044">
              <w:rPr>
                <w:rFonts w:eastAsia="SimSun"/>
              </w:rPr>
              <w:t xml:space="preserve">+3,+4 дни </w:t>
            </w:r>
          </w:p>
        </w:tc>
        <w:tc>
          <w:tcPr>
            <w:tcW w:w="2410" w:type="dxa"/>
            <w:vAlign w:val="center"/>
          </w:tcPr>
          <w:p w14:paraId="6F8A0536" w14:textId="77777777" w:rsidR="00BE7F89" w:rsidRPr="00AC3044" w:rsidRDefault="00BE7F89" w:rsidP="005A428D">
            <w:pPr>
              <w:rPr>
                <w:rFonts w:eastAsia="SimSun"/>
              </w:rPr>
            </w:pPr>
            <w:r w:rsidRPr="00AC3044">
              <w:rPr>
                <w:rFonts w:eastAsia="SimSun"/>
              </w:rPr>
              <w:t>В/в, в течение 2 часов</w:t>
            </w:r>
          </w:p>
        </w:tc>
      </w:tr>
    </w:tbl>
    <w:p w14:paraId="42A5A7A2" w14:textId="77777777" w:rsidR="00BE7F89" w:rsidRDefault="00BE7F89" w:rsidP="00BE7F89">
      <w:pPr>
        <w:rPr>
          <w:rFonts w:eastAsia="SimSun"/>
        </w:rPr>
      </w:pPr>
      <w:bookmarkStart w:id="221" w:name="_Toc44401236"/>
    </w:p>
    <w:p w14:paraId="681CBB21"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3.1.11  – Flu150+Treo36 / PT-Cy+CSA+MMF45</w:t>
      </w:r>
      <w:bookmarkEnd w:id="221"/>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BE7F89" w:rsidRPr="00AC3044" w14:paraId="2C2039EC" w14:textId="77777777" w:rsidTr="005A428D">
        <w:trPr>
          <w:cantSplit/>
          <w:trHeight w:val="20"/>
          <w:tblHeader/>
        </w:trPr>
        <w:tc>
          <w:tcPr>
            <w:tcW w:w="1135" w:type="dxa"/>
          </w:tcPr>
          <w:p w14:paraId="3143D38E" w14:textId="77777777" w:rsidR="00BE7F89" w:rsidRPr="006A5E21" w:rsidRDefault="00BE7F89" w:rsidP="005A428D">
            <w:pPr>
              <w:rPr>
                <w:rFonts w:eastAsia="SimSun"/>
              </w:rPr>
            </w:pPr>
          </w:p>
        </w:tc>
        <w:tc>
          <w:tcPr>
            <w:tcW w:w="1559" w:type="dxa"/>
            <w:vAlign w:val="center"/>
          </w:tcPr>
          <w:p w14:paraId="1217BE03"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33E1413F"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6390E4A7" w14:textId="77777777" w:rsidR="00BE7F89" w:rsidRPr="00AC3044" w:rsidRDefault="00BE7F89" w:rsidP="005A428D">
            <w:pPr>
              <w:rPr>
                <w:rFonts w:eastAsia="SimSun"/>
              </w:rPr>
            </w:pPr>
            <w:r w:rsidRPr="00AC3044">
              <w:rPr>
                <w:rFonts w:eastAsia="SimSun"/>
              </w:rPr>
              <w:t>Курсовая доза</w:t>
            </w:r>
          </w:p>
        </w:tc>
        <w:tc>
          <w:tcPr>
            <w:tcW w:w="1559" w:type="dxa"/>
            <w:vAlign w:val="center"/>
          </w:tcPr>
          <w:p w14:paraId="48A0C18B" w14:textId="77777777" w:rsidR="00BE7F89" w:rsidRPr="00AC3044" w:rsidRDefault="00BE7F89" w:rsidP="005A428D">
            <w:pPr>
              <w:rPr>
                <w:rFonts w:eastAsia="SimSun"/>
              </w:rPr>
            </w:pPr>
            <w:r w:rsidRPr="00AC3044">
              <w:rPr>
                <w:rFonts w:eastAsia="SimSun"/>
              </w:rPr>
              <w:t>Дни введения</w:t>
            </w:r>
          </w:p>
        </w:tc>
        <w:tc>
          <w:tcPr>
            <w:tcW w:w="2410" w:type="dxa"/>
            <w:vAlign w:val="center"/>
          </w:tcPr>
          <w:p w14:paraId="5A2DDA65"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0ADF7A65" w14:textId="77777777" w:rsidTr="005A428D">
        <w:trPr>
          <w:cantSplit/>
          <w:trHeight w:val="20"/>
        </w:trPr>
        <w:tc>
          <w:tcPr>
            <w:tcW w:w="1135" w:type="dxa"/>
            <w:vMerge w:val="restart"/>
            <w:textDirection w:val="btLr"/>
            <w:vAlign w:val="center"/>
          </w:tcPr>
          <w:p w14:paraId="6B5AD56B"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16BA5D0A"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06900328"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5DD5C3B0" w14:textId="77777777" w:rsidR="00BE7F89" w:rsidRPr="00AC3044" w:rsidRDefault="00BE7F89" w:rsidP="005A428D">
            <w:pPr>
              <w:rPr>
                <w:rFonts w:eastAsia="SimSun"/>
              </w:rPr>
            </w:pPr>
            <w:r w:rsidRPr="00AC3044">
              <w:rPr>
                <w:rFonts w:eastAsia="SimSun"/>
              </w:rPr>
              <w:t>150 мг/м</w:t>
            </w:r>
            <w:r w:rsidRPr="0074195F">
              <w:rPr>
                <w:rFonts w:eastAsia="SimSun"/>
                <w:vertAlign w:val="superscript"/>
              </w:rPr>
              <w:t>2</w:t>
            </w:r>
          </w:p>
        </w:tc>
        <w:tc>
          <w:tcPr>
            <w:tcW w:w="1559" w:type="dxa"/>
            <w:vAlign w:val="center"/>
          </w:tcPr>
          <w:p w14:paraId="6CC10C94" w14:textId="77777777" w:rsidR="00BE7F89" w:rsidRPr="00AC3044" w:rsidRDefault="00BE7F89" w:rsidP="005A428D">
            <w:pPr>
              <w:rPr>
                <w:rFonts w:eastAsia="SimSun"/>
              </w:rPr>
            </w:pPr>
            <w:r w:rsidRPr="00AC3044">
              <w:rPr>
                <w:rFonts w:eastAsia="SimSun"/>
              </w:rPr>
              <w:t>С –6 по –2 день</w:t>
            </w:r>
          </w:p>
        </w:tc>
        <w:tc>
          <w:tcPr>
            <w:tcW w:w="2410" w:type="dxa"/>
            <w:vAlign w:val="center"/>
          </w:tcPr>
          <w:p w14:paraId="450C7B35" w14:textId="77777777" w:rsidR="00BE7F89" w:rsidRPr="00AC3044" w:rsidRDefault="00BE7F89" w:rsidP="005A428D">
            <w:pPr>
              <w:rPr>
                <w:rFonts w:eastAsia="SimSun"/>
              </w:rPr>
            </w:pPr>
            <w:r w:rsidRPr="00AC3044">
              <w:rPr>
                <w:rFonts w:eastAsia="SimSun"/>
              </w:rPr>
              <w:t xml:space="preserve"> В/в, в течение 30 -60 мин</w:t>
            </w:r>
          </w:p>
        </w:tc>
      </w:tr>
      <w:tr w:rsidR="00BE7F89" w:rsidRPr="00AC3044" w14:paraId="3377B6F5" w14:textId="77777777" w:rsidTr="005A428D">
        <w:trPr>
          <w:cantSplit/>
          <w:trHeight w:val="985"/>
        </w:trPr>
        <w:tc>
          <w:tcPr>
            <w:tcW w:w="1135" w:type="dxa"/>
            <w:vMerge/>
            <w:textDirection w:val="btLr"/>
            <w:vAlign w:val="center"/>
          </w:tcPr>
          <w:p w14:paraId="3A673BE0" w14:textId="77777777" w:rsidR="00BE7F89" w:rsidRPr="00AC3044" w:rsidRDefault="00BE7F89" w:rsidP="005A428D">
            <w:pPr>
              <w:rPr>
                <w:rFonts w:eastAsia="SimSun"/>
              </w:rPr>
            </w:pPr>
          </w:p>
        </w:tc>
        <w:tc>
          <w:tcPr>
            <w:tcW w:w="1559" w:type="dxa"/>
            <w:vAlign w:val="center"/>
          </w:tcPr>
          <w:p w14:paraId="2570C948" w14:textId="77777777" w:rsidR="00BE7F89" w:rsidRPr="00AC3044" w:rsidRDefault="00BE7F89" w:rsidP="005A428D">
            <w:pPr>
              <w:rPr>
                <w:rFonts w:eastAsia="SimSun"/>
              </w:rPr>
            </w:pPr>
            <w:r w:rsidRPr="00AC3044">
              <w:rPr>
                <w:rFonts w:eastAsia="SimSun"/>
              </w:rPr>
              <w:t>Треосульфан</w:t>
            </w:r>
          </w:p>
        </w:tc>
        <w:tc>
          <w:tcPr>
            <w:tcW w:w="1418" w:type="dxa"/>
            <w:vAlign w:val="center"/>
          </w:tcPr>
          <w:p w14:paraId="72E69EE1" w14:textId="77777777" w:rsidR="00BE7F89" w:rsidRPr="00AC3044" w:rsidRDefault="00BE7F89" w:rsidP="005A428D">
            <w:pPr>
              <w:rPr>
                <w:rFonts w:eastAsia="SimSun"/>
              </w:rPr>
            </w:pPr>
            <w:r w:rsidRPr="00AC3044">
              <w:rPr>
                <w:rFonts w:eastAsia="SimSun"/>
              </w:rPr>
              <w:t>12 г/м</w:t>
            </w:r>
            <w:r w:rsidRPr="0074195F">
              <w:rPr>
                <w:rFonts w:eastAsia="SimSun"/>
                <w:vertAlign w:val="superscript"/>
              </w:rPr>
              <w:t>2</w:t>
            </w:r>
          </w:p>
        </w:tc>
        <w:tc>
          <w:tcPr>
            <w:tcW w:w="1559" w:type="dxa"/>
            <w:vAlign w:val="center"/>
          </w:tcPr>
          <w:p w14:paraId="146A01C5" w14:textId="77777777" w:rsidR="00BE7F89" w:rsidRPr="00AC3044" w:rsidRDefault="00BE7F89" w:rsidP="005A428D">
            <w:pPr>
              <w:rPr>
                <w:rFonts w:eastAsia="SimSun"/>
              </w:rPr>
            </w:pPr>
            <w:r w:rsidRPr="00AC3044">
              <w:rPr>
                <w:rFonts w:eastAsia="SimSun"/>
              </w:rPr>
              <w:t>36 г/м</w:t>
            </w:r>
            <w:r w:rsidRPr="0074195F">
              <w:rPr>
                <w:rFonts w:eastAsia="SimSun"/>
                <w:vertAlign w:val="superscript"/>
              </w:rPr>
              <w:t>2</w:t>
            </w:r>
          </w:p>
        </w:tc>
        <w:tc>
          <w:tcPr>
            <w:tcW w:w="1559" w:type="dxa"/>
            <w:vAlign w:val="center"/>
          </w:tcPr>
          <w:p w14:paraId="41D2A8ED" w14:textId="77777777" w:rsidR="00BE7F89" w:rsidRPr="00AC3044" w:rsidRDefault="00BE7F89" w:rsidP="005A428D">
            <w:pPr>
              <w:rPr>
                <w:rFonts w:eastAsia="SimSun"/>
              </w:rPr>
            </w:pPr>
            <w:r w:rsidRPr="00AC3044">
              <w:rPr>
                <w:rFonts w:eastAsia="SimSun"/>
              </w:rPr>
              <w:t>С –6 по –4 день</w:t>
            </w:r>
          </w:p>
        </w:tc>
        <w:tc>
          <w:tcPr>
            <w:tcW w:w="2410" w:type="dxa"/>
            <w:vAlign w:val="center"/>
          </w:tcPr>
          <w:p w14:paraId="49A75514"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09FD7226" w14:textId="77777777" w:rsidTr="005A428D">
        <w:trPr>
          <w:cantSplit/>
          <w:trHeight w:val="1680"/>
        </w:trPr>
        <w:tc>
          <w:tcPr>
            <w:tcW w:w="1135" w:type="dxa"/>
            <w:vMerge w:val="restart"/>
            <w:textDirection w:val="btLr"/>
            <w:vAlign w:val="center"/>
          </w:tcPr>
          <w:p w14:paraId="12B2B4EA"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6CD33BAA" w14:textId="77777777" w:rsidR="00BE7F89" w:rsidRPr="00AC3044" w:rsidRDefault="00BE7F89" w:rsidP="005A428D">
            <w:pPr>
              <w:rPr>
                <w:rFonts w:eastAsia="SimSun"/>
              </w:rPr>
            </w:pPr>
            <w:r w:rsidRPr="00AC3044">
              <w:rPr>
                <w:rFonts w:eastAsia="SimSun"/>
              </w:rPr>
              <w:t>Циклоспорин</w:t>
            </w:r>
          </w:p>
        </w:tc>
        <w:tc>
          <w:tcPr>
            <w:tcW w:w="1418" w:type="dxa"/>
            <w:vAlign w:val="center"/>
          </w:tcPr>
          <w:p w14:paraId="7EA4CD9C" w14:textId="77777777" w:rsidR="00BE7F89" w:rsidRPr="00AC3044" w:rsidRDefault="00BE7F89" w:rsidP="005A428D">
            <w:pPr>
              <w:rPr>
                <w:rFonts w:eastAsia="SimSun"/>
              </w:rPr>
            </w:pPr>
            <w:r w:rsidRPr="00AC3044">
              <w:rPr>
                <w:rFonts w:eastAsia="SimSun"/>
              </w:rPr>
              <w:t>3 мг/кг</w:t>
            </w:r>
          </w:p>
        </w:tc>
        <w:tc>
          <w:tcPr>
            <w:tcW w:w="1559" w:type="dxa"/>
            <w:vAlign w:val="center"/>
          </w:tcPr>
          <w:p w14:paraId="1370C665" w14:textId="77777777" w:rsidR="00BE7F89" w:rsidRPr="00AC3044" w:rsidRDefault="00BE7F89" w:rsidP="005A428D">
            <w:pPr>
              <w:rPr>
                <w:rFonts w:eastAsia="SimSun"/>
              </w:rPr>
            </w:pPr>
            <w:r w:rsidRPr="00AC3044">
              <w:rPr>
                <w:rFonts w:eastAsia="SimSun"/>
              </w:rPr>
              <w:t>–</w:t>
            </w:r>
          </w:p>
        </w:tc>
        <w:tc>
          <w:tcPr>
            <w:tcW w:w="1559" w:type="dxa"/>
            <w:vAlign w:val="center"/>
          </w:tcPr>
          <w:p w14:paraId="6877D9BF" w14:textId="77777777" w:rsidR="00BE7F89" w:rsidRPr="00AC3044" w:rsidRDefault="00BE7F89" w:rsidP="005A428D">
            <w:pPr>
              <w:rPr>
                <w:rFonts w:eastAsia="SimSun"/>
              </w:rPr>
            </w:pPr>
            <w:r w:rsidRPr="00AC3044">
              <w:rPr>
                <w:rFonts w:eastAsia="SimSun"/>
              </w:rPr>
              <w:t>С +5 дня по +90 день затем постепенное снижение к +180 дню</w:t>
            </w:r>
          </w:p>
        </w:tc>
        <w:tc>
          <w:tcPr>
            <w:tcW w:w="2410" w:type="dxa"/>
            <w:vAlign w:val="center"/>
          </w:tcPr>
          <w:p w14:paraId="58E9520C"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4571AE97" w14:textId="77777777" w:rsidTr="005A428D">
        <w:trPr>
          <w:cantSplit/>
          <w:trHeight w:val="20"/>
        </w:trPr>
        <w:tc>
          <w:tcPr>
            <w:tcW w:w="1135" w:type="dxa"/>
            <w:vMerge/>
            <w:textDirection w:val="btLr"/>
          </w:tcPr>
          <w:p w14:paraId="5B10E2D6" w14:textId="77777777" w:rsidR="00BE7F89" w:rsidRPr="00AC3044" w:rsidRDefault="00BE7F89" w:rsidP="005A428D">
            <w:pPr>
              <w:rPr>
                <w:rFonts w:eastAsia="SimSun"/>
              </w:rPr>
            </w:pPr>
          </w:p>
        </w:tc>
        <w:tc>
          <w:tcPr>
            <w:tcW w:w="1559" w:type="dxa"/>
            <w:vAlign w:val="center"/>
          </w:tcPr>
          <w:p w14:paraId="31DB0D13"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3B9169DE" w14:textId="77777777" w:rsidR="00BE7F89" w:rsidRPr="00AC3044" w:rsidRDefault="00BE7F89" w:rsidP="005A428D">
            <w:pPr>
              <w:rPr>
                <w:rFonts w:eastAsia="SimSun"/>
              </w:rPr>
            </w:pPr>
            <w:r w:rsidRPr="00AC3044">
              <w:rPr>
                <w:rFonts w:eastAsia="SimSun"/>
              </w:rPr>
              <w:t>45 мг/кг</w:t>
            </w:r>
          </w:p>
        </w:tc>
        <w:tc>
          <w:tcPr>
            <w:tcW w:w="1559" w:type="dxa"/>
            <w:vAlign w:val="center"/>
          </w:tcPr>
          <w:p w14:paraId="54974CED" w14:textId="77777777" w:rsidR="00BE7F89" w:rsidRPr="00AC3044" w:rsidRDefault="00BE7F89" w:rsidP="005A428D">
            <w:pPr>
              <w:rPr>
                <w:rFonts w:eastAsia="SimSun"/>
              </w:rPr>
            </w:pPr>
            <w:r w:rsidRPr="00AC3044">
              <w:rPr>
                <w:rFonts w:eastAsia="SimSun"/>
              </w:rPr>
              <w:t>–</w:t>
            </w:r>
          </w:p>
        </w:tc>
        <w:tc>
          <w:tcPr>
            <w:tcW w:w="1559" w:type="dxa"/>
            <w:vAlign w:val="center"/>
          </w:tcPr>
          <w:p w14:paraId="4B6F13C9" w14:textId="77777777" w:rsidR="00BE7F89" w:rsidRPr="00AC3044" w:rsidRDefault="00BE7F89" w:rsidP="005A428D">
            <w:pPr>
              <w:rPr>
                <w:rFonts w:eastAsia="SimSun"/>
              </w:rPr>
            </w:pPr>
            <w:r w:rsidRPr="00AC3044">
              <w:rPr>
                <w:rFonts w:eastAsia="SimSun"/>
              </w:rPr>
              <w:t>С +5 по +90 день</w:t>
            </w:r>
          </w:p>
        </w:tc>
        <w:tc>
          <w:tcPr>
            <w:tcW w:w="2410" w:type="dxa"/>
            <w:vAlign w:val="center"/>
          </w:tcPr>
          <w:p w14:paraId="7F56F13D"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r w:rsidR="00BE7F89" w:rsidRPr="00AC3044" w14:paraId="28C0A25A" w14:textId="77777777" w:rsidTr="005A428D">
        <w:trPr>
          <w:cantSplit/>
          <w:trHeight w:val="20"/>
        </w:trPr>
        <w:tc>
          <w:tcPr>
            <w:tcW w:w="1135" w:type="dxa"/>
            <w:vMerge/>
            <w:textDirection w:val="btLr"/>
          </w:tcPr>
          <w:p w14:paraId="3543B365" w14:textId="77777777" w:rsidR="00BE7F89" w:rsidRPr="00AC3044" w:rsidRDefault="00BE7F89" w:rsidP="005A428D">
            <w:pPr>
              <w:rPr>
                <w:rFonts w:eastAsia="SimSun"/>
              </w:rPr>
            </w:pPr>
          </w:p>
        </w:tc>
        <w:tc>
          <w:tcPr>
            <w:tcW w:w="1559" w:type="dxa"/>
            <w:vAlign w:val="center"/>
          </w:tcPr>
          <w:p w14:paraId="0145E9AF"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722296B1"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33FC0661" w14:textId="77777777" w:rsidR="00BE7F89" w:rsidRPr="00AC3044" w:rsidRDefault="00BE7F89" w:rsidP="005A428D">
            <w:pPr>
              <w:rPr>
                <w:rFonts w:eastAsia="SimSun"/>
              </w:rPr>
            </w:pPr>
            <w:r w:rsidRPr="00AC3044">
              <w:rPr>
                <w:rFonts w:eastAsia="SimSun"/>
              </w:rPr>
              <w:t>100 мг/кг</w:t>
            </w:r>
          </w:p>
        </w:tc>
        <w:tc>
          <w:tcPr>
            <w:tcW w:w="1559" w:type="dxa"/>
            <w:vAlign w:val="center"/>
          </w:tcPr>
          <w:p w14:paraId="668D82D7" w14:textId="77777777" w:rsidR="00BE7F89" w:rsidRPr="00AC3044" w:rsidRDefault="00BE7F89" w:rsidP="005A428D">
            <w:pPr>
              <w:rPr>
                <w:rFonts w:eastAsia="SimSun"/>
              </w:rPr>
            </w:pPr>
            <w:r w:rsidRPr="00AC3044">
              <w:rPr>
                <w:rFonts w:eastAsia="SimSun"/>
              </w:rPr>
              <w:t xml:space="preserve">+3,+4 дни </w:t>
            </w:r>
          </w:p>
        </w:tc>
        <w:tc>
          <w:tcPr>
            <w:tcW w:w="2410" w:type="dxa"/>
            <w:vAlign w:val="center"/>
          </w:tcPr>
          <w:p w14:paraId="5DE15682" w14:textId="77777777" w:rsidR="00BE7F89" w:rsidRPr="00AC3044" w:rsidRDefault="00BE7F89" w:rsidP="005A428D">
            <w:pPr>
              <w:rPr>
                <w:rFonts w:eastAsia="SimSun"/>
              </w:rPr>
            </w:pPr>
            <w:r w:rsidRPr="00AC3044">
              <w:rPr>
                <w:rFonts w:eastAsia="SimSun"/>
              </w:rPr>
              <w:t>В/в, в течение 2 часов</w:t>
            </w:r>
          </w:p>
        </w:tc>
      </w:tr>
    </w:tbl>
    <w:p w14:paraId="01212A78" w14:textId="77777777" w:rsidR="00BE7F89" w:rsidRPr="00C07B2E" w:rsidRDefault="00BE7F89" w:rsidP="00BE7F89">
      <w:pPr>
        <w:rPr>
          <w:rFonts w:eastAsia="SimSun"/>
        </w:rPr>
      </w:pPr>
    </w:p>
    <w:p w14:paraId="7066F3EA" w14:textId="77777777" w:rsidR="00BE7F89" w:rsidRPr="00C07B2E" w:rsidRDefault="00BE7F89" w:rsidP="00BE7F89">
      <w:pPr>
        <w:rPr>
          <w:rFonts w:eastAsia="SimSun"/>
        </w:rPr>
      </w:pPr>
    </w:p>
    <w:p w14:paraId="38A84C4C" w14:textId="77777777" w:rsidR="00BE7F89" w:rsidRPr="00C07B2E" w:rsidRDefault="00BE7F89" w:rsidP="00BE7F89">
      <w:pPr>
        <w:rPr>
          <w:rFonts w:eastAsia="SimSun"/>
        </w:rPr>
      </w:pPr>
      <w:bookmarkStart w:id="222" w:name="_Toc44401237"/>
      <w:r>
        <w:rPr>
          <w:rFonts w:eastAsia="SimSun"/>
        </w:rPr>
        <w:t>Таблица</w:t>
      </w:r>
      <w:r w:rsidRPr="00C07B2E">
        <w:rPr>
          <w:rFonts w:eastAsia="SimSun"/>
        </w:rPr>
        <w:t xml:space="preserve"> </w:t>
      </w:r>
      <w:r>
        <w:rPr>
          <w:rFonts w:eastAsia="SimSun"/>
        </w:rPr>
        <w:t>5.</w:t>
      </w:r>
      <w:r w:rsidRPr="00C07B2E">
        <w:rPr>
          <w:rFonts w:eastAsia="SimSun"/>
        </w:rPr>
        <w:t>3.1. 12 – Flu150+Cy29+TBI / PT-Cy+CSA+MMF45</w:t>
      </w:r>
      <w:bookmarkEnd w:id="222"/>
    </w:p>
    <w:tbl>
      <w:tblPr>
        <w:tblW w:w="50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3"/>
        <w:gridCol w:w="1524"/>
        <w:gridCol w:w="1387"/>
        <w:gridCol w:w="1519"/>
        <w:gridCol w:w="1382"/>
        <w:gridCol w:w="2478"/>
      </w:tblGrid>
      <w:tr w:rsidR="00BE7F89" w:rsidRPr="00AC3044" w14:paraId="1149FEF2" w14:textId="77777777" w:rsidTr="005A428D">
        <w:trPr>
          <w:cantSplit/>
          <w:trHeight w:val="20"/>
          <w:tblHeader/>
        </w:trPr>
        <w:tc>
          <w:tcPr>
            <w:tcW w:w="596" w:type="pct"/>
            <w:vAlign w:val="center"/>
          </w:tcPr>
          <w:p w14:paraId="2B83E164" w14:textId="77777777" w:rsidR="00BE7F89" w:rsidRPr="00AC3044" w:rsidRDefault="00BE7F89" w:rsidP="005A428D">
            <w:pPr>
              <w:rPr>
                <w:rFonts w:eastAsia="SimSun"/>
              </w:rPr>
            </w:pPr>
          </w:p>
        </w:tc>
        <w:tc>
          <w:tcPr>
            <w:tcW w:w="809" w:type="pct"/>
            <w:vAlign w:val="center"/>
          </w:tcPr>
          <w:p w14:paraId="7D6A94BD" w14:textId="77777777" w:rsidR="00BE7F89" w:rsidRPr="00AC3044" w:rsidRDefault="00BE7F89" w:rsidP="005A428D">
            <w:pPr>
              <w:rPr>
                <w:rFonts w:eastAsia="SimSun"/>
              </w:rPr>
            </w:pPr>
            <w:r w:rsidRPr="00AC3044">
              <w:rPr>
                <w:rFonts w:eastAsia="SimSun"/>
              </w:rPr>
              <w:t>Препарат</w:t>
            </w:r>
          </w:p>
        </w:tc>
        <w:tc>
          <w:tcPr>
            <w:tcW w:w="737" w:type="pct"/>
            <w:vAlign w:val="center"/>
          </w:tcPr>
          <w:p w14:paraId="7CD90793" w14:textId="77777777" w:rsidR="00BE7F89" w:rsidRPr="00AC3044" w:rsidRDefault="00BE7F89" w:rsidP="005A428D">
            <w:pPr>
              <w:rPr>
                <w:rFonts w:eastAsia="SimSun"/>
              </w:rPr>
            </w:pPr>
            <w:r w:rsidRPr="00AC3044">
              <w:rPr>
                <w:rFonts w:eastAsia="SimSun"/>
              </w:rPr>
              <w:t>Суточная доза</w:t>
            </w:r>
          </w:p>
        </w:tc>
        <w:tc>
          <w:tcPr>
            <w:tcW w:w="807" w:type="pct"/>
            <w:vAlign w:val="center"/>
          </w:tcPr>
          <w:p w14:paraId="2D04886A" w14:textId="77777777" w:rsidR="00BE7F89" w:rsidRPr="00AC3044" w:rsidRDefault="00BE7F89" w:rsidP="005A428D">
            <w:pPr>
              <w:rPr>
                <w:rFonts w:eastAsia="SimSun"/>
              </w:rPr>
            </w:pPr>
            <w:r w:rsidRPr="00AC3044">
              <w:rPr>
                <w:rFonts w:eastAsia="SimSun"/>
              </w:rPr>
              <w:t>Курсовая доза</w:t>
            </w:r>
          </w:p>
        </w:tc>
        <w:tc>
          <w:tcPr>
            <w:tcW w:w="734" w:type="pct"/>
            <w:vAlign w:val="center"/>
          </w:tcPr>
          <w:p w14:paraId="21F227A5" w14:textId="77777777" w:rsidR="00BE7F89" w:rsidRPr="00AC3044" w:rsidRDefault="00BE7F89" w:rsidP="005A428D">
            <w:pPr>
              <w:rPr>
                <w:rFonts w:eastAsia="SimSun"/>
              </w:rPr>
            </w:pPr>
            <w:r w:rsidRPr="00AC3044">
              <w:rPr>
                <w:rFonts w:eastAsia="SimSun"/>
              </w:rPr>
              <w:t>Дни введения</w:t>
            </w:r>
          </w:p>
        </w:tc>
        <w:tc>
          <w:tcPr>
            <w:tcW w:w="1316" w:type="pct"/>
            <w:vAlign w:val="center"/>
          </w:tcPr>
          <w:p w14:paraId="61E7B650"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AE1B175" w14:textId="77777777" w:rsidTr="005A428D">
        <w:trPr>
          <w:cantSplit/>
          <w:trHeight w:val="20"/>
        </w:trPr>
        <w:tc>
          <w:tcPr>
            <w:tcW w:w="596" w:type="pct"/>
            <w:vMerge w:val="restart"/>
            <w:textDirection w:val="btLr"/>
            <w:vAlign w:val="center"/>
          </w:tcPr>
          <w:p w14:paraId="5EC64242" w14:textId="77777777" w:rsidR="00BE7F89" w:rsidRPr="00AC3044" w:rsidRDefault="00BE7F89" w:rsidP="005A428D">
            <w:pPr>
              <w:rPr>
                <w:rFonts w:eastAsia="SimSun"/>
              </w:rPr>
            </w:pPr>
            <w:r w:rsidRPr="00AC3044">
              <w:rPr>
                <w:rFonts w:eastAsia="SimSun"/>
              </w:rPr>
              <w:t>Кондиционирование</w:t>
            </w:r>
          </w:p>
        </w:tc>
        <w:tc>
          <w:tcPr>
            <w:tcW w:w="809" w:type="pct"/>
          </w:tcPr>
          <w:p w14:paraId="76E8CE97" w14:textId="77777777" w:rsidR="00BE7F89" w:rsidRPr="00AC3044" w:rsidRDefault="00BE7F89" w:rsidP="005A428D">
            <w:pPr>
              <w:rPr>
                <w:rFonts w:eastAsia="SimSun"/>
              </w:rPr>
            </w:pPr>
            <w:r w:rsidRPr="00AC3044">
              <w:rPr>
                <w:rFonts w:eastAsia="SimSun"/>
              </w:rPr>
              <w:t xml:space="preserve">Флударабин </w:t>
            </w:r>
          </w:p>
        </w:tc>
        <w:tc>
          <w:tcPr>
            <w:tcW w:w="737" w:type="pct"/>
          </w:tcPr>
          <w:p w14:paraId="5C4A7748"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807" w:type="pct"/>
          </w:tcPr>
          <w:p w14:paraId="2FCEEBE2" w14:textId="77777777" w:rsidR="00BE7F89" w:rsidRPr="00AC3044" w:rsidRDefault="00BE7F89" w:rsidP="005A428D">
            <w:pPr>
              <w:rPr>
                <w:rFonts w:eastAsia="SimSun"/>
              </w:rPr>
            </w:pPr>
            <w:r w:rsidRPr="00AC3044">
              <w:rPr>
                <w:rFonts w:eastAsia="SimSun"/>
              </w:rPr>
              <w:t>150 мг/м</w:t>
            </w:r>
            <w:r w:rsidRPr="0074195F">
              <w:rPr>
                <w:rFonts w:eastAsia="SimSun"/>
                <w:vertAlign w:val="superscript"/>
              </w:rPr>
              <w:t>2</w:t>
            </w:r>
          </w:p>
        </w:tc>
        <w:tc>
          <w:tcPr>
            <w:tcW w:w="734" w:type="pct"/>
          </w:tcPr>
          <w:p w14:paraId="303C1811" w14:textId="77777777" w:rsidR="00BE7F89" w:rsidRPr="00AC3044" w:rsidRDefault="00BE7F89" w:rsidP="005A428D">
            <w:pPr>
              <w:rPr>
                <w:rFonts w:eastAsia="SimSun"/>
              </w:rPr>
            </w:pPr>
            <w:r w:rsidRPr="00AC3044">
              <w:rPr>
                <w:rFonts w:eastAsia="SimSun"/>
              </w:rPr>
              <w:t>С –6 по –2 день</w:t>
            </w:r>
          </w:p>
        </w:tc>
        <w:tc>
          <w:tcPr>
            <w:tcW w:w="1316" w:type="pct"/>
          </w:tcPr>
          <w:p w14:paraId="0C740B49" w14:textId="77777777" w:rsidR="00BE7F89" w:rsidRPr="00AC3044" w:rsidRDefault="00BE7F89" w:rsidP="005A428D">
            <w:pPr>
              <w:rPr>
                <w:rFonts w:eastAsia="SimSun"/>
              </w:rPr>
            </w:pPr>
            <w:r w:rsidRPr="00C07B2E">
              <w:rPr>
                <w:rFonts w:eastAsia="SimSun"/>
              </w:rPr>
              <w:t>В/в, в течение 30 -60 мин</w:t>
            </w:r>
          </w:p>
        </w:tc>
      </w:tr>
      <w:tr w:rsidR="00BE7F89" w:rsidRPr="00AC3044" w14:paraId="7C4A89A2" w14:textId="77777777" w:rsidTr="005A428D">
        <w:trPr>
          <w:cantSplit/>
          <w:trHeight w:val="586"/>
        </w:trPr>
        <w:tc>
          <w:tcPr>
            <w:tcW w:w="596" w:type="pct"/>
            <w:vMerge/>
            <w:vAlign w:val="center"/>
          </w:tcPr>
          <w:p w14:paraId="1F61A95A" w14:textId="77777777" w:rsidR="00BE7F89" w:rsidRPr="00AC3044" w:rsidRDefault="00BE7F89" w:rsidP="005A428D">
            <w:pPr>
              <w:rPr>
                <w:rFonts w:eastAsia="SimSun"/>
              </w:rPr>
            </w:pPr>
          </w:p>
        </w:tc>
        <w:tc>
          <w:tcPr>
            <w:tcW w:w="809" w:type="pct"/>
            <w:vAlign w:val="center"/>
          </w:tcPr>
          <w:p w14:paraId="00AA9EFE" w14:textId="77777777" w:rsidR="00BE7F89" w:rsidRPr="00AC3044" w:rsidRDefault="00BE7F89" w:rsidP="005A428D">
            <w:pPr>
              <w:rPr>
                <w:rFonts w:eastAsia="SimSun"/>
              </w:rPr>
            </w:pPr>
            <w:r w:rsidRPr="00AC3044">
              <w:rPr>
                <w:rFonts w:eastAsia="SimSun"/>
              </w:rPr>
              <w:t>Циклофосфамид</w:t>
            </w:r>
          </w:p>
        </w:tc>
        <w:tc>
          <w:tcPr>
            <w:tcW w:w="737" w:type="pct"/>
            <w:vAlign w:val="center"/>
          </w:tcPr>
          <w:p w14:paraId="2CA219B7" w14:textId="77777777" w:rsidR="00BE7F89" w:rsidRPr="00AC3044" w:rsidRDefault="00BE7F89" w:rsidP="005A428D">
            <w:pPr>
              <w:rPr>
                <w:rFonts w:eastAsia="SimSun"/>
              </w:rPr>
            </w:pPr>
            <w:r w:rsidRPr="00AC3044">
              <w:rPr>
                <w:rFonts w:eastAsia="SimSun"/>
              </w:rPr>
              <w:t>14,5 мг/кг</w:t>
            </w:r>
          </w:p>
        </w:tc>
        <w:tc>
          <w:tcPr>
            <w:tcW w:w="807" w:type="pct"/>
            <w:vAlign w:val="center"/>
          </w:tcPr>
          <w:p w14:paraId="61C15819" w14:textId="77777777" w:rsidR="00BE7F89" w:rsidRPr="00AC3044" w:rsidRDefault="00BE7F89" w:rsidP="005A428D">
            <w:pPr>
              <w:rPr>
                <w:rFonts w:eastAsia="SimSun"/>
              </w:rPr>
            </w:pPr>
            <w:r w:rsidRPr="00AC3044">
              <w:rPr>
                <w:rFonts w:eastAsia="SimSun"/>
              </w:rPr>
              <w:t>29 мг/кг</w:t>
            </w:r>
          </w:p>
        </w:tc>
        <w:tc>
          <w:tcPr>
            <w:tcW w:w="734" w:type="pct"/>
            <w:vAlign w:val="center"/>
          </w:tcPr>
          <w:p w14:paraId="515D9B86" w14:textId="77777777" w:rsidR="00BE7F89" w:rsidRPr="00AC3044" w:rsidRDefault="00BE7F89" w:rsidP="005A428D">
            <w:pPr>
              <w:rPr>
                <w:rFonts w:eastAsia="SimSun"/>
              </w:rPr>
            </w:pPr>
            <w:r w:rsidRPr="00AC3044">
              <w:rPr>
                <w:rFonts w:eastAsia="SimSun"/>
              </w:rPr>
              <w:t xml:space="preserve">–6, –5 дни </w:t>
            </w:r>
          </w:p>
        </w:tc>
        <w:tc>
          <w:tcPr>
            <w:tcW w:w="1316" w:type="pct"/>
            <w:vAlign w:val="center"/>
          </w:tcPr>
          <w:p w14:paraId="0F243D26"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0C2A3015" w14:textId="77777777" w:rsidTr="005A428D">
        <w:trPr>
          <w:cantSplit/>
          <w:trHeight w:val="566"/>
        </w:trPr>
        <w:tc>
          <w:tcPr>
            <w:tcW w:w="596" w:type="pct"/>
            <w:vMerge/>
            <w:vAlign w:val="center"/>
          </w:tcPr>
          <w:p w14:paraId="528EF9D8" w14:textId="77777777" w:rsidR="00BE7F89" w:rsidRPr="00AC3044" w:rsidRDefault="00BE7F89" w:rsidP="005A428D">
            <w:pPr>
              <w:rPr>
                <w:rFonts w:eastAsia="SimSun"/>
              </w:rPr>
            </w:pPr>
          </w:p>
        </w:tc>
        <w:tc>
          <w:tcPr>
            <w:tcW w:w="809" w:type="pct"/>
            <w:vAlign w:val="center"/>
          </w:tcPr>
          <w:p w14:paraId="5213C62F" w14:textId="77777777" w:rsidR="00BE7F89" w:rsidRPr="00AC3044" w:rsidRDefault="00BE7F89" w:rsidP="005A428D">
            <w:pPr>
              <w:rPr>
                <w:rFonts w:eastAsia="SimSun"/>
              </w:rPr>
            </w:pPr>
            <w:r w:rsidRPr="00AC3044">
              <w:rPr>
                <w:rFonts w:eastAsia="SimSun"/>
              </w:rPr>
              <w:t>ТТО</w:t>
            </w:r>
          </w:p>
        </w:tc>
        <w:tc>
          <w:tcPr>
            <w:tcW w:w="737" w:type="pct"/>
            <w:vAlign w:val="center"/>
          </w:tcPr>
          <w:p w14:paraId="5BA6D66F" w14:textId="77777777" w:rsidR="00BE7F89" w:rsidRPr="00AC3044" w:rsidRDefault="00BE7F89" w:rsidP="005A428D">
            <w:pPr>
              <w:rPr>
                <w:rFonts w:eastAsia="SimSun"/>
              </w:rPr>
            </w:pPr>
            <w:r w:rsidRPr="00AC3044">
              <w:rPr>
                <w:rFonts w:eastAsia="SimSun"/>
              </w:rPr>
              <w:t>2 Гр</w:t>
            </w:r>
          </w:p>
        </w:tc>
        <w:tc>
          <w:tcPr>
            <w:tcW w:w="807" w:type="pct"/>
            <w:vAlign w:val="center"/>
          </w:tcPr>
          <w:p w14:paraId="2A7D469A" w14:textId="77777777" w:rsidR="00BE7F89" w:rsidRPr="00AC3044" w:rsidRDefault="00BE7F89" w:rsidP="005A428D">
            <w:pPr>
              <w:rPr>
                <w:rFonts w:eastAsia="SimSun"/>
              </w:rPr>
            </w:pPr>
            <w:r w:rsidRPr="00AC3044">
              <w:rPr>
                <w:rFonts w:eastAsia="SimSun"/>
              </w:rPr>
              <w:t>2 Гр</w:t>
            </w:r>
          </w:p>
        </w:tc>
        <w:tc>
          <w:tcPr>
            <w:tcW w:w="734" w:type="pct"/>
            <w:vAlign w:val="center"/>
          </w:tcPr>
          <w:p w14:paraId="230A5977" w14:textId="77777777" w:rsidR="00BE7F89" w:rsidRPr="00AC3044" w:rsidRDefault="00BE7F89" w:rsidP="005A428D">
            <w:pPr>
              <w:rPr>
                <w:rFonts w:eastAsia="SimSun"/>
              </w:rPr>
            </w:pPr>
            <w:r w:rsidRPr="00AC3044">
              <w:rPr>
                <w:rFonts w:eastAsia="SimSun"/>
              </w:rPr>
              <w:t xml:space="preserve">Д-1 </w:t>
            </w:r>
          </w:p>
        </w:tc>
        <w:tc>
          <w:tcPr>
            <w:tcW w:w="1316" w:type="pct"/>
            <w:vAlign w:val="center"/>
          </w:tcPr>
          <w:p w14:paraId="5F16E3B3" w14:textId="77777777" w:rsidR="00BE7F89" w:rsidRPr="00AC3044" w:rsidRDefault="00BE7F89" w:rsidP="005A428D">
            <w:pPr>
              <w:rPr>
                <w:rFonts w:eastAsia="SimSun"/>
              </w:rPr>
            </w:pPr>
            <w:r w:rsidRPr="00AC3044">
              <w:rPr>
                <w:rFonts w:eastAsia="SimSun"/>
              </w:rPr>
              <w:t>1 фракция 2 Гр за 2 часа  без экранированиия легких</w:t>
            </w:r>
          </w:p>
        </w:tc>
      </w:tr>
      <w:tr w:rsidR="00BE7F89" w:rsidRPr="00AC3044" w14:paraId="22749AF5" w14:textId="77777777" w:rsidTr="005A428D">
        <w:trPr>
          <w:cantSplit/>
          <w:trHeight w:val="20"/>
        </w:trPr>
        <w:tc>
          <w:tcPr>
            <w:tcW w:w="596" w:type="pct"/>
            <w:vMerge w:val="restart"/>
            <w:textDirection w:val="btLr"/>
            <w:vAlign w:val="center"/>
          </w:tcPr>
          <w:p w14:paraId="4983583D" w14:textId="77777777" w:rsidR="00BE7F89" w:rsidRPr="00AC3044" w:rsidRDefault="00BE7F89" w:rsidP="005A428D">
            <w:pPr>
              <w:rPr>
                <w:rFonts w:eastAsia="SimSun"/>
              </w:rPr>
            </w:pPr>
            <w:r w:rsidRPr="00AC3044">
              <w:rPr>
                <w:rFonts w:eastAsia="SimSun"/>
              </w:rPr>
              <w:t>Профилактика РТПХ</w:t>
            </w:r>
          </w:p>
        </w:tc>
        <w:tc>
          <w:tcPr>
            <w:tcW w:w="809" w:type="pct"/>
          </w:tcPr>
          <w:p w14:paraId="4EDD085B" w14:textId="77777777" w:rsidR="00BE7F89" w:rsidRPr="00AC3044" w:rsidRDefault="00BE7F89" w:rsidP="005A428D">
            <w:pPr>
              <w:rPr>
                <w:rFonts w:eastAsia="SimSun"/>
              </w:rPr>
            </w:pPr>
            <w:r w:rsidRPr="00AC3044">
              <w:rPr>
                <w:rFonts w:eastAsia="SimSun"/>
              </w:rPr>
              <w:t>Циклофосфамид</w:t>
            </w:r>
          </w:p>
        </w:tc>
        <w:tc>
          <w:tcPr>
            <w:tcW w:w="737" w:type="pct"/>
          </w:tcPr>
          <w:p w14:paraId="10966FFD" w14:textId="77777777" w:rsidR="00BE7F89" w:rsidRPr="00AC3044" w:rsidRDefault="00BE7F89" w:rsidP="005A428D">
            <w:pPr>
              <w:rPr>
                <w:rFonts w:eastAsia="SimSun"/>
              </w:rPr>
            </w:pPr>
            <w:r w:rsidRPr="00AC3044">
              <w:rPr>
                <w:rFonts w:eastAsia="SimSun"/>
              </w:rPr>
              <w:t>50 мг/кг</w:t>
            </w:r>
          </w:p>
        </w:tc>
        <w:tc>
          <w:tcPr>
            <w:tcW w:w="807" w:type="pct"/>
          </w:tcPr>
          <w:p w14:paraId="76530A15" w14:textId="77777777" w:rsidR="00BE7F89" w:rsidRPr="00AC3044" w:rsidRDefault="00BE7F89" w:rsidP="005A428D">
            <w:pPr>
              <w:rPr>
                <w:rFonts w:eastAsia="SimSun"/>
              </w:rPr>
            </w:pPr>
            <w:r w:rsidRPr="00AC3044">
              <w:rPr>
                <w:rFonts w:eastAsia="SimSun"/>
              </w:rPr>
              <w:t>100 мг/кг</w:t>
            </w:r>
          </w:p>
        </w:tc>
        <w:tc>
          <w:tcPr>
            <w:tcW w:w="734" w:type="pct"/>
          </w:tcPr>
          <w:p w14:paraId="6AB6CB47" w14:textId="77777777" w:rsidR="00BE7F89" w:rsidRPr="00AC3044" w:rsidRDefault="00BE7F89" w:rsidP="005A428D">
            <w:pPr>
              <w:rPr>
                <w:rFonts w:eastAsia="SimSun"/>
              </w:rPr>
            </w:pPr>
            <w:r w:rsidRPr="00AC3044">
              <w:rPr>
                <w:rFonts w:eastAsia="SimSun"/>
              </w:rPr>
              <w:t xml:space="preserve">+3,+4 дни </w:t>
            </w:r>
          </w:p>
        </w:tc>
        <w:tc>
          <w:tcPr>
            <w:tcW w:w="1316" w:type="pct"/>
          </w:tcPr>
          <w:p w14:paraId="01A1422E"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29688D52" w14:textId="77777777" w:rsidTr="005A428D">
        <w:trPr>
          <w:cantSplit/>
          <w:trHeight w:val="20"/>
        </w:trPr>
        <w:tc>
          <w:tcPr>
            <w:tcW w:w="596" w:type="pct"/>
            <w:vMerge/>
          </w:tcPr>
          <w:p w14:paraId="6E695DFA" w14:textId="77777777" w:rsidR="00BE7F89" w:rsidRPr="00AC3044" w:rsidRDefault="00BE7F89" w:rsidP="005A428D">
            <w:pPr>
              <w:rPr>
                <w:rFonts w:eastAsia="SimSun"/>
              </w:rPr>
            </w:pPr>
          </w:p>
        </w:tc>
        <w:tc>
          <w:tcPr>
            <w:tcW w:w="809" w:type="pct"/>
            <w:vAlign w:val="center"/>
          </w:tcPr>
          <w:p w14:paraId="5B473545" w14:textId="77777777" w:rsidR="00BE7F89" w:rsidRPr="00AC3044" w:rsidRDefault="00BE7F89" w:rsidP="005A428D">
            <w:pPr>
              <w:rPr>
                <w:rFonts w:eastAsia="SimSun"/>
              </w:rPr>
            </w:pPr>
            <w:r w:rsidRPr="00AC3044">
              <w:rPr>
                <w:rFonts w:eastAsia="SimSun"/>
              </w:rPr>
              <w:t xml:space="preserve">Такролимус </w:t>
            </w:r>
          </w:p>
        </w:tc>
        <w:tc>
          <w:tcPr>
            <w:tcW w:w="737" w:type="pct"/>
            <w:vAlign w:val="center"/>
          </w:tcPr>
          <w:p w14:paraId="55D37A72" w14:textId="77777777" w:rsidR="00BE7F89" w:rsidRPr="00AC3044" w:rsidRDefault="00BE7F89" w:rsidP="005A428D">
            <w:pPr>
              <w:rPr>
                <w:rFonts w:eastAsia="SimSun"/>
              </w:rPr>
            </w:pPr>
            <w:r w:rsidRPr="00AC3044">
              <w:rPr>
                <w:rFonts w:eastAsia="SimSun"/>
              </w:rPr>
              <w:t>0,03 мг/кг</w:t>
            </w:r>
          </w:p>
        </w:tc>
        <w:tc>
          <w:tcPr>
            <w:tcW w:w="807" w:type="pct"/>
            <w:vAlign w:val="center"/>
          </w:tcPr>
          <w:p w14:paraId="2D0D5436" w14:textId="77777777" w:rsidR="00BE7F89" w:rsidRPr="00AC3044" w:rsidRDefault="00BE7F89" w:rsidP="005A428D">
            <w:pPr>
              <w:rPr>
                <w:rFonts w:eastAsia="SimSun"/>
              </w:rPr>
            </w:pPr>
            <w:r w:rsidRPr="00AC3044">
              <w:rPr>
                <w:rFonts w:eastAsia="SimSun"/>
              </w:rPr>
              <w:t>–</w:t>
            </w:r>
          </w:p>
        </w:tc>
        <w:tc>
          <w:tcPr>
            <w:tcW w:w="734" w:type="pct"/>
            <w:vAlign w:val="center"/>
          </w:tcPr>
          <w:p w14:paraId="73646B90" w14:textId="77777777" w:rsidR="00BE7F89" w:rsidRPr="00AC3044" w:rsidRDefault="00BE7F89" w:rsidP="005A428D">
            <w:pPr>
              <w:rPr>
                <w:rFonts w:eastAsia="SimSun"/>
              </w:rPr>
            </w:pPr>
            <w:r w:rsidRPr="00AC3044">
              <w:rPr>
                <w:rFonts w:eastAsia="SimSun"/>
              </w:rPr>
              <w:t>С +5 по +100 день, затем постепенное снижение к +180 дню</w:t>
            </w:r>
          </w:p>
        </w:tc>
        <w:tc>
          <w:tcPr>
            <w:tcW w:w="1316" w:type="pct"/>
            <w:vAlign w:val="center"/>
          </w:tcPr>
          <w:p w14:paraId="6E7F6C3F" w14:textId="77777777" w:rsidR="00BE7F89" w:rsidRPr="00AC3044" w:rsidRDefault="00BE7F89" w:rsidP="005A428D">
            <w:pPr>
              <w:rPr>
                <w:rFonts w:eastAsia="SimSun"/>
              </w:rPr>
            </w:pPr>
            <w:r w:rsidRPr="00C07B2E">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C07B2E">
              <w:rPr>
                <w:rFonts w:eastAsia="SimSun"/>
              </w:rPr>
              <w:t>10</w:t>
            </w:r>
            <w:r w:rsidRPr="0074195F">
              <w:rPr>
                <w:rFonts w:eastAsia="SimSun"/>
                <w:vertAlign w:val="superscript"/>
              </w:rPr>
              <w:t>9</w:t>
            </w:r>
            <w:r w:rsidRPr="00C07B2E">
              <w:rPr>
                <w:rFonts w:eastAsia="SimSun"/>
              </w:rPr>
              <w:t xml:space="preserve">/л, при отсутствии тошноты, рвоты, диареи и возможности приема внутрь. Концентрация Tx 5-15 нг/мл.    </w:t>
            </w:r>
          </w:p>
        </w:tc>
      </w:tr>
      <w:tr w:rsidR="00BE7F89" w:rsidRPr="00AC3044" w14:paraId="7091B1EB" w14:textId="77777777" w:rsidTr="005A428D">
        <w:trPr>
          <w:cantSplit/>
          <w:trHeight w:val="464"/>
        </w:trPr>
        <w:tc>
          <w:tcPr>
            <w:tcW w:w="596" w:type="pct"/>
            <w:vMerge/>
          </w:tcPr>
          <w:p w14:paraId="2B0253F0" w14:textId="77777777" w:rsidR="00BE7F89" w:rsidRPr="00AC3044" w:rsidRDefault="00BE7F89" w:rsidP="005A428D">
            <w:pPr>
              <w:rPr>
                <w:rFonts w:eastAsia="SimSun"/>
              </w:rPr>
            </w:pPr>
          </w:p>
        </w:tc>
        <w:tc>
          <w:tcPr>
            <w:tcW w:w="809" w:type="pct"/>
          </w:tcPr>
          <w:p w14:paraId="135AED2A" w14:textId="77777777" w:rsidR="00BE7F89" w:rsidRPr="00AC3044" w:rsidRDefault="00BE7F89" w:rsidP="005A428D">
            <w:pPr>
              <w:rPr>
                <w:rFonts w:eastAsia="SimSun"/>
              </w:rPr>
            </w:pPr>
            <w:r w:rsidRPr="00AC3044">
              <w:rPr>
                <w:rFonts w:eastAsia="SimSun"/>
              </w:rPr>
              <w:t>Микофенолата мофетил</w:t>
            </w:r>
          </w:p>
        </w:tc>
        <w:tc>
          <w:tcPr>
            <w:tcW w:w="737" w:type="pct"/>
          </w:tcPr>
          <w:p w14:paraId="224928F8" w14:textId="77777777" w:rsidR="00BE7F89" w:rsidRPr="00AC3044" w:rsidRDefault="00BE7F89" w:rsidP="005A428D">
            <w:pPr>
              <w:rPr>
                <w:rFonts w:eastAsia="SimSun"/>
              </w:rPr>
            </w:pPr>
            <w:r w:rsidRPr="00AC3044">
              <w:rPr>
                <w:rFonts w:eastAsia="SimSun"/>
              </w:rPr>
              <w:t>45мг/кг</w:t>
            </w:r>
          </w:p>
        </w:tc>
        <w:tc>
          <w:tcPr>
            <w:tcW w:w="807" w:type="pct"/>
          </w:tcPr>
          <w:p w14:paraId="6BB57B39" w14:textId="77777777" w:rsidR="00BE7F89" w:rsidRPr="00AC3044" w:rsidRDefault="00BE7F89" w:rsidP="005A428D">
            <w:pPr>
              <w:rPr>
                <w:rFonts w:eastAsia="SimSun"/>
              </w:rPr>
            </w:pPr>
            <w:r w:rsidRPr="00AC3044">
              <w:rPr>
                <w:rFonts w:eastAsia="SimSun"/>
              </w:rPr>
              <w:t>–</w:t>
            </w:r>
          </w:p>
        </w:tc>
        <w:tc>
          <w:tcPr>
            <w:tcW w:w="734" w:type="pct"/>
          </w:tcPr>
          <w:p w14:paraId="2C451E56" w14:textId="77777777" w:rsidR="00BE7F89" w:rsidRPr="00AC3044" w:rsidRDefault="00BE7F89" w:rsidP="005A428D">
            <w:pPr>
              <w:rPr>
                <w:rFonts w:eastAsia="SimSun"/>
              </w:rPr>
            </w:pPr>
            <w:r w:rsidRPr="00AC3044">
              <w:rPr>
                <w:rFonts w:eastAsia="SimSun"/>
              </w:rPr>
              <w:t>С +5 по +35 день</w:t>
            </w:r>
          </w:p>
        </w:tc>
        <w:tc>
          <w:tcPr>
            <w:tcW w:w="1316" w:type="pct"/>
          </w:tcPr>
          <w:p w14:paraId="72A9A0FB"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20638493" w14:textId="77777777" w:rsidR="00BE7F89" w:rsidRDefault="00BE7F89" w:rsidP="00BE7F89">
      <w:pPr>
        <w:rPr>
          <w:rFonts w:eastAsia="SimSun"/>
        </w:rPr>
      </w:pPr>
      <w:bookmarkStart w:id="223" w:name="_Toc44401238"/>
    </w:p>
    <w:p w14:paraId="24E1CD27"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3.1.13  – Flu180+Cy1200 / PT-Cy+Tx+MMF45</w:t>
      </w:r>
      <w:bookmarkEnd w:id="223"/>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BE7F89" w:rsidRPr="00AC3044" w14:paraId="73A7D9DE" w14:textId="77777777" w:rsidTr="005A428D">
        <w:trPr>
          <w:cantSplit/>
          <w:trHeight w:val="20"/>
          <w:tblHeader/>
        </w:trPr>
        <w:tc>
          <w:tcPr>
            <w:tcW w:w="1135" w:type="dxa"/>
            <w:vAlign w:val="center"/>
          </w:tcPr>
          <w:p w14:paraId="05880B2B" w14:textId="77777777" w:rsidR="00BE7F89" w:rsidRPr="00AC3044" w:rsidRDefault="00BE7F89" w:rsidP="005A428D">
            <w:pPr>
              <w:rPr>
                <w:rFonts w:eastAsia="SimSun"/>
              </w:rPr>
            </w:pPr>
          </w:p>
        </w:tc>
        <w:tc>
          <w:tcPr>
            <w:tcW w:w="1559" w:type="dxa"/>
            <w:vAlign w:val="center"/>
          </w:tcPr>
          <w:p w14:paraId="4F21145C"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4316FFEA"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64647C76" w14:textId="77777777" w:rsidR="00BE7F89" w:rsidRPr="00AC3044" w:rsidRDefault="00BE7F89" w:rsidP="005A428D">
            <w:pPr>
              <w:rPr>
                <w:rFonts w:eastAsia="SimSun"/>
              </w:rPr>
            </w:pPr>
            <w:r w:rsidRPr="00AC3044">
              <w:rPr>
                <w:rFonts w:eastAsia="SimSun"/>
              </w:rPr>
              <w:t>Курсовая доза</w:t>
            </w:r>
          </w:p>
        </w:tc>
        <w:tc>
          <w:tcPr>
            <w:tcW w:w="1417" w:type="dxa"/>
            <w:vAlign w:val="center"/>
          </w:tcPr>
          <w:p w14:paraId="7E07AD81" w14:textId="77777777" w:rsidR="00BE7F89" w:rsidRPr="00AC3044" w:rsidRDefault="00BE7F89" w:rsidP="005A428D">
            <w:pPr>
              <w:rPr>
                <w:rFonts w:eastAsia="SimSun"/>
              </w:rPr>
            </w:pPr>
            <w:r w:rsidRPr="00AC3044">
              <w:rPr>
                <w:rFonts w:eastAsia="SimSun"/>
              </w:rPr>
              <w:t>Дни введения</w:t>
            </w:r>
          </w:p>
        </w:tc>
        <w:tc>
          <w:tcPr>
            <w:tcW w:w="2552" w:type="dxa"/>
            <w:vAlign w:val="center"/>
          </w:tcPr>
          <w:p w14:paraId="07982A9F"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F7E17BF" w14:textId="77777777" w:rsidTr="005A428D">
        <w:trPr>
          <w:cantSplit/>
          <w:trHeight w:val="20"/>
        </w:trPr>
        <w:tc>
          <w:tcPr>
            <w:tcW w:w="1135" w:type="dxa"/>
            <w:vMerge w:val="restart"/>
            <w:textDirection w:val="btLr"/>
            <w:vAlign w:val="center"/>
          </w:tcPr>
          <w:p w14:paraId="095E1E20"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7AB66A7E"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43205ECE"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4BE1E891" w14:textId="77777777" w:rsidR="00BE7F89" w:rsidRPr="00AC3044" w:rsidRDefault="00BE7F89" w:rsidP="005A428D">
            <w:pPr>
              <w:rPr>
                <w:rFonts w:eastAsia="SimSun"/>
              </w:rPr>
            </w:pPr>
            <w:r w:rsidRPr="00AC3044">
              <w:rPr>
                <w:rFonts w:eastAsia="SimSun"/>
              </w:rPr>
              <w:t>120 мг/м</w:t>
            </w:r>
            <w:r w:rsidRPr="0074195F">
              <w:rPr>
                <w:rFonts w:eastAsia="SimSun"/>
                <w:vertAlign w:val="superscript"/>
              </w:rPr>
              <w:t>2</w:t>
            </w:r>
          </w:p>
        </w:tc>
        <w:tc>
          <w:tcPr>
            <w:tcW w:w="1417" w:type="dxa"/>
            <w:vAlign w:val="center"/>
          </w:tcPr>
          <w:p w14:paraId="34A3D373" w14:textId="77777777" w:rsidR="00BE7F89" w:rsidRPr="00AC3044" w:rsidRDefault="00BE7F89" w:rsidP="005A428D">
            <w:pPr>
              <w:rPr>
                <w:rFonts w:eastAsia="SimSun"/>
              </w:rPr>
            </w:pPr>
            <w:r w:rsidRPr="00AC3044">
              <w:rPr>
                <w:rFonts w:eastAsia="SimSun"/>
              </w:rPr>
              <w:t>С -5 дня по -2 день</w:t>
            </w:r>
          </w:p>
        </w:tc>
        <w:tc>
          <w:tcPr>
            <w:tcW w:w="2552" w:type="dxa"/>
            <w:vAlign w:val="center"/>
          </w:tcPr>
          <w:p w14:paraId="0BF3B547"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AD7BB9A" w14:textId="77777777" w:rsidTr="005A428D">
        <w:trPr>
          <w:cantSplit/>
          <w:trHeight w:val="855"/>
        </w:trPr>
        <w:tc>
          <w:tcPr>
            <w:tcW w:w="1135" w:type="dxa"/>
            <w:vMerge/>
            <w:vAlign w:val="center"/>
          </w:tcPr>
          <w:p w14:paraId="4361C1A5" w14:textId="77777777" w:rsidR="00BE7F89" w:rsidRPr="00AC3044" w:rsidRDefault="00BE7F89" w:rsidP="005A428D">
            <w:pPr>
              <w:rPr>
                <w:rFonts w:eastAsia="SimSun"/>
              </w:rPr>
            </w:pPr>
          </w:p>
        </w:tc>
        <w:tc>
          <w:tcPr>
            <w:tcW w:w="1559" w:type="dxa"/>
            <w:vAlign w:val="center"/>
          </w:tcPr>
          <w:p w14:paraId="184EA6D1"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1C626B88" w14:textId="77777777" w:rsidR="00BE7F89" w:rsidRPr="00AC3044" w:rsidRDefault="00BE7F89" w:rsidP="005A428D">
            <w:pPr>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559" w:type="dxa"/>
            <w:vAlign w:val="center"/>
          </w:tcPr>
          <w:p w14:paraId="06C3FE73" w14:textId="77777777" w:rsidR="00BE7F89" w:rsidRPr="00AC3044" w:rsidRDefault="00BE7F89" w:rsidP="005A428D">
            <w:pPr>
              <w:rPr>
                <w:rFonts w:eastAsia="SimSun"/>
              </w:rPr>
            </w:pPr>
            <w:r w:rsidRPr="00AC3044">
              <w:rPr>
                <w:rFonts w:eastAsia="SimSun"/>
              </w:rPr>
              <w:t>1200 мг/м</w:t>
            </w:r>
            <w:r w:rsidRPr="0074195F">
              <w:rPr>
                <w:rFonts w:eastAsia="SimSun"/>
                <w:vertAlign w:val="superscript"/>
              </w:rPr>
              <w:t>2</w:t>
            </w:r>
          </w:p>
        </w:tc>
        <w:tc>
          <w:tcPr>
            <w:tcW w:w="1417" w:type="dxa"/>
            <w:vAlign w:val="center"/>
          </w:tcPr>
          <w:p w14:paraId="2805448A" w14:textId="77777777" w:rsidR="00BE7F89" w:rsidRPr="00AC3044" w:rsidRDefault="00BE7F89" w:rsidP="005A428D">
            <w:pPr>
              <w:rPr>
                <w:rFonts w:eastAsia="SimSun"/>
              </w:rPr>
            </w:pPr>
            <w:r w:rsidRPr="00AC3044">
              <w:rPr>
                <w:rFonts w:eastAsia="SimSun"/>
              </w:rPr>
              <w:t xml:space="preserve"> С -5 дня по -2 день </w:t>
            </w:r>
          </w:p>
        </w:tc>
        <w:tc>
          <w:tcPr>
            <w:tcW w:w="2552" w:type="dxa"/>
            <w:vAlign w:val="center"/>
          </w:tcPr>
          <w:p w14:paraId="6D2335E6"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5A74E175" w14:textId="77777777" w:rsidTr="005A428D">
        <w:trPr>
          <w:cantSplit/>
          <w:trHeight w:val="556"/>
        </w:trPr>
        <w:tc>
          <w:tcPr>
            <w:tcW w:w="1135" w:type="dxa"/>
            <w:vMerge w:val="restart"/>
            <w:textDirection w:val="btLr"/>
            <w:vAlign w:val="center"/>
          </w:tcPr>
          <w:p w14:paraId="4144F74F"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0DD06EFD"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103E98DC"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4C7AE532" w14:textId="77777777" w:rsidR="00BE7F89" w:rsidRPr="00AC3044" w:rsidRDefault="00BE7F89" w:rsidP="005A428D">
            <w:pPr>
              <w:rPr>
                <w:rFonts w:eastAsia="SimSun"/>
              </w:rPr>
            </w:pPr>
            <w:r w:rsidRPr="00AC3044">
              <w:rPr>
                <w:rFonts w:eastAsia="SimSun"/>
              </w:rPr>
              <w:t>100 мг/кг</w:t>
            </w:r>
          </w:p>
        </w:tc>
        <w:tc>
          <w:tcPr>
            <w:tcW w:w="1417" w:type="dxa"/>
            <w:vAlign w:val="center"/>
          </w:tcPr>
          <w:p w14:paraId="21B78EA0" w14:textId="77777777" w:rsidR="00BE7F89" w:rsidRPr="00AC3044" w:rsidRDefault="00BE7F89" w:rsidP="005A428D">
            <w:pPr>
              <w:rPr>
                <w:rFonts w:eastAsia="SimSun"/>
              </w:rPr>
            </w:pPr>
            <w:r w:rsidRPr="00AC3044">
              <w:rPr>
                <w:rFonts w:eastAsia="SimSun"/>
              </w:rPr>
              <w:t>С +3 дня по +4 день</w:t>
            </w:r>
          </w:p>
        </w:tc>
        <w:tc>
          <w:tcPr>
            <w:tcW w:w="2552" w:type="dxa"/>
            <w:vAlign w:val="center"/>
          </w:tcPr>
          <w:p w14:paraId="19E75357"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7C44B9D1" w14:textId="77777777" w:rsidTr="005A428D">
        <w:trPr>
          <w:cantSplit/>
          <w:trHeight w:val="958"/>
        </w:trPr>
        <w:tc>
          <w:tcPr>
            <w:tcW w:w="1135" w:type="dxa"/>
            <w:vMerge/>
            <w:textDirection w:val="btLr"/>
            <w:vAlign w:val="center"/>
          </w:tcPr>
          <w:p w14:paraId="50FA2FD4" w14:textId="77777777" w:rsidR="00BE7F89" w:rsidRPr="00AC3044" w:rsidRDefault="00BE7F89" w:rsidP="005A428D">
            <w:pPr>
              <w:rPr>
                <w:rFonts w:eastAsia="SimSun"/>
              </w:rPr>
            </w:pPr>
          </w:p>
        </w:tc>
        <w:tc>
          <w:tcPr>
            <w:tcW w:w="1559" w:type="dxa"/>
            <w:vAlign w:val="center"/>
          </w:tcPr>
          <w:p w14:paraId="2909A831" w14:textId="77777777" w:rsidR="00BE7F89" w:rsidRPr="00AC3044" w:rsidRDefault="00BE7F89" w:rsidP="005A428D">
            <w:pPr>
              <w:rPr>
                <w:rFonts w:eastAsia="SimSun"/>
              </w:rPr>
            </w:pPr>
            <w:r w:rsidRPr="00AC3044">
              <w:rPr>
                <w:rFonts w:eastAsia="SimSun"/>
              </w:rPr>
              <w:t xml:space="preserve">Такролимус </w:t>
            </w:r>
          </w:p>
        </w:tc>
        <w:tc>
          <w:tcPr>
            <w:tcW w:w="1418" w:type="dxa"/>
            <w:vAlign w:val="center"/>
          </w:tcPr>
          <w:p w14:paraId="728620E9" w14:textId="77777777" w:rsidR="00BE7F89" w:rsidRPr="00AC3044" w:rsidRDefault="00BE7F89" w:rsidP="005A428D">
            <w:pPr>
              <w:rPr>
                <w:rFonts w:eastAsia="SimSun"/>
              </w:rPr>
            </w:pPr>
            <w:r w:rsidRPr="00AC3044">
              <w:rPr>
                <w:rFonts w:eastAsia="SimSun"/>
              </w:rPr>
              <w:t>0,03 мг/кг</w:t>
            </w:r>
          </w:p>
        </w:tc>
        <w:tc>
          <w:tcPr>
            <w:tcW w:w="1559" w:type="dxa"/>
            <w:vAlign w:val="center"/>
          </w:tcPr>
          <w:p w14:paraId="1EA984EE" w14:textId="77777777" w:rsidR="00BE7F89" w:rsidRPr="00AC3044" w:rsidRDefault="00BE7F89" w:rsidP="005A428D">
            <w:pPr>
              <w:rPr>
                <w:rFonts w:eastAsia="SimSun"/>
              </w:rPr>
            </w:pPr>
            <w:r w:rsidRPr="00AC3044">
              <w:rPr>
                <w:rFonts w:eastAsia="SimSun"/>
              </w:rPr>
              <w:t>–</w:t>
            </w:r>
          </w:p>
        </w:tc>
        <w:tc>
          <w:tcPr>
            <w:tcW w:w="1417" w:type="dxa"/>
            <w:vAlign w:val="center"/>
          </w:tcPr>
          <w:p w14:paraId="685D62B8" w14:textId="77777777" w:rsidR="00BE7F89" w:rsidRPr="00AC3044" w:rsidRDefault="00BE7F89" w:rsidP="005A428D">
            <w:pPr>
              <w:rPr>
                <w:rFonts w:eastAsia="SimSun"/>
              </w:rPr>
            </w:pPr>
            <w:r w:rsidRPr="00AC3044">
              <w:rPr>
                <w:rFonts w:eastAsia="SimSun"/>
              </w:rPr>
              <w:t xml:space="preserve">С +5 дня длительно </w:t>
            </w:r>
          </w:p>
        </w:tc>
        <w:tc>
          <w:tcPr>
            <w:tcW w:w="2552" w:type="dxa"/>
            <w:vAlign w:val="center"/>
          </w:tcPr>
          <w:p w14:paraId="61A118E3"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39266C82" w14:textId="77777777" w:rsidTr="005A428D">
        <w:trPr>
          <w:cantSplit/>
          <w:trHeight w:val="491"/>
        </w:trPr>
        <w:tc>
          <w:tcPr>
            <w:tcW w:w="1135" w:type="dxa"/>
            <w:vMerge/>
            <w:textDirection w:val="btLr"/>
            <w:vAlign w:val="center"/>
          </w:tcPr>
          <w:p w14:paraId="739982B4" w14:textId="77777777" w:rsidR="00BE7F89" w:rsidRPr="00AC3044" w:rsidRDefault="00BE7F89" w:rsidP="005A428D">
            <w:pPr>
              <w:rPr>
                <w:rFonts w:eastAsia="SimSun"/>
              </w:rPr>
            </w:pPr>
          </w:p>
        </w:tc>
        <w:tc>
          <w:tcPr>
            <w:tcW w:w="1559" w:type="dxa"/>
            <w:vAlign w:val="center"/>
          </w:tcPr>
          <w:p w14:paraId="6338364A"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7E879B4E" w14:textId="77777777" w:rsidR="00BE7F89" w:rsidRPr="00AC3044" w:rsidRDefault="00BE7F89" w:rsidP="005A428D">
            <w:pPr>
              <w:rPr>
                <w:rFonts w:eastAsia="SimSun"/>
              </w:rPr>
            </w:pPr>
            <w:r w:rsidRPr="00AC3044">
              <w:rPr>
                <w:rFonts w:eastAsia="SimSun"/>
              </w:rPr>
              <w:t xml:space="preserve">45 мг/кг </w:t>
            </w:r>
          </w:p>
        </w:tc>
        <w:tc>
          <w:tcPr>
            <w:tcW w:w="1559" w:type="dxa"/>
            <w:vAlign w:val="center"/>
          </w:tcPr>
          <w:p w14:paraId="335E0B27" w14:textId="77777777" w:rsidR="00BE7F89" w:rsidRPr="00AC3044" w:rsidRDefault="00BE7F89" w:rsidP="005A428D">
            <w:pPr>
              <w:rPr>
                <w:rFonts w:eastAsia="SimSun"/>
              </w:rPr>
            </w:pPr>
            <w:r w:rsidRPr="00AC3044">
              <w:rPr>
                <w:rFonts w:eastAsia="SimSun"/>
              </w:rPr>
              <w:t>–</w:t>
            </w:r>
          </w:p>
        </w:tc>
        <w:tc>
          <w:tcPr>
            <w:tcW w:w="1417" w:type="dxa"/>
            <w:vAlign w:val="center"/>
          </w:tcPr>
          <w:p w14:paraId="39DEAEE9" w14:textId="77777777" w:rsidR="00BE7F89" w:rsidRPr="00AC3044" w:rsidRDefault="00BE7F89" w:rsidP="005A428D">
            <w:pPr>
              <w:rPr>
                <w:rFonts w:eastAsia="SimSun"/>
              </w:rPr>
            </w:pPr>
            <w:r w:rsidRPr="00AC3044">
              <w:rPr>
                <w:rFonts w:eastAsia="SimSun"/>
              </w:rPr>
              <w:t xml:space="preserve">С +5 дня по +35 день </w:t>
            </w:r>
          </w:p>
        </w:tc>
        <w:tc>
          <w:tcPr>
            <w:tcW w:w="2552" w:type="dxa"/>
            <w:vAlign w:val="center"/>
          </w:tcPr>
          <w:p w14:paraId="2EE8EF05"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21D7AF7" w14:textId="77777777" w:rsidR="00BE7F89" w:rsidRDefault="00BE7F89" w:rsidP="00BE7F89">
      <w:pPr>
        <w:rPr>
          <w:rFonts w:eastAsia="SimSun"/>
        </w:rPr>
      </w:pPr>
      <w:bookmarkStart w:id="224" w:name="_Toc44401239"/>
    </w:p>
    <w:p w14:paraId="10031101"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3.1.14  – Flu180+Mel100 / PT-Cy+Tx+MMF45</w:t>
      </w:r>
      <w:bookmarkEnd w:id="224"/>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BE7F89" w:rsidRPr="00AC3044" w14:paraId="1E2BF3A6" w14:textId="77777777" w:rsidTr="005A428D">
        <w:trPr>
          <w:cantSplit/>
          <w:trHeight w:val="20"/>
          <w:tblHeader/>
        </w:trPr>
        <w:tc>
          <w:tcPr>
            <w:tcW w:w="1135" w:type="dxa"/>
            <w:vAlign w:val="center"/>
          </w:tcPr>
          <w:p w14:paraId="60AFFA79" w14:textId="77777777" w:rsidR="00BE7F89" w:rsidRPr="00AC3044" w:rsidRDefault="00BE7F89" w:rsidP="005A428D">
            <w:pPr>
              <w:rPr>
                <w:rFonts w:eastAsia="SimSun"/>
              </w:rPr>
            </w:pPr>
          </w:p>
        </w:tc>
        <w:tc>
          <w:tcPr>
            <w:tcW w:w="1559" w:type="dxa"/>
            <w:vAlign w:val="center"/>
          </w:tcPr>
          <w:p w14:paraId="5A28ED1D" w14:textId="77777777" w:rsidR="00BE7F89" w:rsidRPr="00AC3044" w:rsidRDefault="00BE7F89" w:rsidP="005A428D">
            <w:pPr>
              <w:rPr>
                <w:rFonts w:eastAsia="SimSun"/>
              </w:rPr>
            </w:pPr>
            <w:r w:rsidRPr="00AC3044">
              <w:rPr>
                <w:rFonts w:eastAsia="SimSun"/>
              </w:rPr>
              <w:t>Препарат</w:t>
            </w:r>
          </w:p>
        </w:tc>
        <w:tc>
          <w:tcPr>
            <w:tcW w:w="1418" w:type="dxa"/>
            <w:vAlign w:val="center"/>
          </w:tcPr>
          <w:p w14:paraId="6F1D66B8" w14:textId="77777777" w:rsidR="00BE7F89" w:rsidRPr="00AC3044" w:rsidRDefault="00BE7F89" w:rsidP="005A428D">
            <w:pPr>
              <w:rPr>
                <w:rFonts w:eastAsia="SimSun"/>
              </w:rPr>
            </w:pPr>
            <w:r w:rsidRPr="00AC3044">
              <w:rPr>
                <w:rFonts w:eastAsia="SimSun"/>
              </w:rPr>
              <w:t>Суточная доза</w:t>
            </w:r>
          </w:p>
        </w:tc>
        <w:tc>
          <w:tcPr>
            <w:tcW w:w="1559" w:type="dxa"/>
            <w:vAlign w:val="center"/>
          </w:tcPr>
          <w:p w14:paraId="55FAA458" w14:textId="77777777" w:rsidR="00BE7F89" w:rsidRPr="00AC3044" w:rsidRDefault="00BE7F89" w:rsidP="005A428D">
            <w:pPr>
              <w:rPr>
                <w:rFonts w:eastAsia="SimSun"/>
              </w:rPr>
            </w:pPr>
            <w:r w:rsidRPr="00AC3044">
              <w:rPr>
                <w:rFonts w:eastAsia="SimSun"/>
              </w:rPr>
              <w:t>Курсовая доза</w:t>
            </w:r>
          </w:p>
        </w:tc>
        <w:tc>
          <w:tcPr>
            <w:tcW w:w="1417" w:type="dxa"/>
            <w:vAlign w:val="center"/>
          </w:tcPr>
          <w:p w14:paraId="0B7F956B" w14:textId="77777777" w:rsidR="00BE7F89" w:rsidRPr="00AC3044" w:rsidRDefault="00BE7F89" w:rsidP="005A428D">
            <w:pPr>
              <w:rPr>
                <w:rFonts w:eastAsia="SimSun"/>
              </w:rPr>
            </w:pPr>
            <w:r w:rsidRPr="00AC3044">
              <w:rPr>
                <w:rFonts w:eastAsia="SimSun"/>
              </w:rPr>
              <w:t>Дни введения</w:t>
            </w:r>
          </w:p>
        </w:tc>
        <w:tc>
          <w:tcPr>
            <w:tcW w:w="2552" w:type="dxa"/>
            <w:vAlign w:val="center"/>
          </w:tcPr>
          <w:p w14:paraId="3893EE5B"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21B575E9" w14:textId="77777777" w:rsidTr="005A428D">
        <w:trPr>
          <w:cantSplit/>
          <w:trHeight w:val="20"/>
        </w:trPr>
        <w:tc>
          <w:tcPr>
            <w:tcW w:w="1135" w:type="dxa"/>
            <w:vMerge w:val="restart"/>
            <w:textDirection w:val="btLr"/>
            <w:vAlign w:val="center"/>
          </w:tcPr>
          <w:p w14:paraId="172EF1F0" w14:textId="77777777" w:rsidR="00BE7F89" w:rsidRPr="00AC3044" w:rsidRDefault="00BE7F89" w:rsidP="005A428D">
            <w:pPr>
              <w:rPr>
                <w:rFonts w:eastAsia="SimSun"/>
              </w:rPr>
            </w:pPr>
            <w:r w:rsidRPr="00AC3044">
              <w:rPr>
                <w:rFonts w:eastAsia="SimSun"/>
              </w:rPr>
              <w:t>Кондиционирование</w:t>
            </w:r>
          </w:p>
        </w:tc>
        <w:tc>
          <w:tcPr>
            <w:tcW w:w="1559" w:type="dxa"/>
            <w:vAlign w:val="center"/>
          </w:tcPr>
          <w:p w14:paraId="7F04345D" w14:textId="77777777" w:rsidR="00BE7F89" w:rsidRPr="00AC3044" w:rsidRDefault="00BE7F89" w:rsidP="005A428D">
            <w:pPr>
              <w:rPr>
                <w:rFonts w:eastAsia="SimSun"/>
              </w:rPr>
            </w:pPr>
            <w:r w:rsidRPr="00AC3044">
              <w:rPr>
                <w:rFonts w:eastAsia="SimSun"/>
              </w:rPr>
              <w:t xml:space="preserve">Флударабин </w:t>
            </w:r>
          </w:p>
        </w:tc>
        <w:tc>
          <w:tcPr>
            <w:tcW w:w="1418" w:type="dxa"/>
            <w:vAlign w:val="center"/>
          </w:tcPr>
          <w:p w14:paraId="5F59CC1E"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559" w:type="dxa"/>
            <w:vAlign w:val="center"/>
          </w:tcPr>
          <w:p w14:paraId="12F89050" w14:textId="77777777" w:rsidR="00BE7F89" w:rsidRPr="00AC3044" w:rsidRDefault="00BE7F89" w:rsidP="005A428D">
            <w:pPr>
              <w:rPr>
                <w:rFonts w:eastAsia="SimSun"/>
              </w:rPr>
            </w:pPr>
            <w:r w:rsidRPr="00AC3044">
              <w:rPr>
                <w:rFonts w:eastAsia="SimSun"/>
              </w:rPr>
              <w:t>180 мг/м</w:t>
            </w:r>
            <w:r w:rsidRPr="0074195F">
              <w:rPr>
                <w:rFonts w:eastAsia="SimSun"/>
                <w:vertAlign w:val="superscript"/>
              </w:rPr>
              <w:t>2</w:t>
            </w:r>
          </w:p>
        </w:tc>
        <w:tc>
          <w:tcPr>
            <w:tcW w:w="1417" w:type="dxa"/>
            <w:vAlign w:val="center"/>
          </w:tcPr>
          <w:p w14:paraId="64C518BD" w14:textId="77777777" w:rsidR="00BE7F89" w:rsidRPr="00AC3044" w:rsidRDefault="00BE7F89" w:rsidP="005A428D">
            <w:pPr>
              <w:rPr>
                <w:rFonts w:eastAsia="SimSun"/>
              </w:rPr>
            </w:pPr>
            <w:r w:rsidRPr="00AC3044">
              <w:rPr>
                <w:rFonts w:eastAsia="SimSun"/>
              </w:rPr>
              <w:t>С -7 дня по -2 день</w:t>
            </w:r>
          </w:p>
        </w:tc>
        <w:tc>
          <w:tcPr>
            <w:tcW w:w="2552" w:type="dxa"/>
            <w:vAlign w:val="center"/>
          </w:tcPr>
          <w:p w14:paraId="7852F607"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06285C4" w14:textId="77777777" w:rsidTr="005A428D">
        <w:trPr>
          <w:cantSplit/>
          <w:trHeight w:val="1207"/>
        </w:trPr>
        <w:tc>
          <w:tcPr>
            <w:tcW w:w="1135" w:type="dxa"/>
            <w:vMerge/>
            <w:vAlign w:val="center"/>
          </w:tcPr>
          <w:p w14:paraId="49793FCA" w14:textId="77777777" w:rsidR="00BE7F89" w:rsidRPr="00AC3044" w:rsidRDefault="00BE7F89" w:rsidP="005A428D">
            <w:pPr>
              <w:rPr>
                <w:rFonts w:eastAsia="SimSun"/>
              </w:rPr>
            </w:pPr>
          </w:p>
        </w:tc>
        <w:tc>
          <w:tcPr>
            <w:tcW w:w="1559" w:type="dxa"/>
            <w:vAlign w:val="center"/>
          </w:tcPr>
          <w:p w14:paraId="4B91018C" w14:textId="77777777" w:rsidR="00BE7F89" w:rsidRPr="00AC3044" w:rsidRDefault="00BE7F89" w:rsidP="005A428D">
            <w:pPr>
              <w:rPr>
                <w:rFonts w:eastAsia="SimSun"/>
              </w:rPr>
            </w:pPr>
            <w:r w:rsidRPr="00AC3044">
              <w:rPr>
                <w:rFonts w:eastAsia="SimSun"/>
              </w:rPr>
              <w:t>Мелфалан</w:t>
            </w:r>
          </w:p>
        </w:tc>
        <w:tc>
          <w:tcPr>
            <w:tcW w:w="1418" w:type="dxa"/>
            <w:vAlign w:val="center"/>
          </w:tcPr>
          <w:p w14:paraId="14F5378C" w14:textId="77777777" w:rsidR="00BE7F89" w:rsidRPr="00AC3044" w:rsidRDefault="00BE7F89" w:rsidP="005A428D">
            <w:pPr>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559" w:type="dxa"/>
            <w:vAlign w:val="center"/>
          </w:tcPr>
          <w:p w14:paraId="1E60A79D" w14:textId="77777777" w:rsidR="00BE7F89" w:rsidRPr="00AC3044" w:rsidRDefault="00BE7F89" w:rsidP="005A428D">
            <w:pPr>
              <w:rPr>
                <w:rFonts w:eastAsia="SimSun"/>
              </w:rPr>
            </w:pPr>
            <w:r w:rsidRPr="00AC3044">
              <w:rPr>
                <w:rFonts w:eastAsia="SimSun"/>
              </w:rPr>
              <w:t>100 мг/м</w:t>
            </w:r>
            <w:r w:rsidRPr="0074195F">
              <w:rPr>
                <w:rFonts w:eastAsia="SimSun"/>
                <w:vertAlign w:val="superscript"/>
              </w:rPr>
              <w:t>2</w:t>
            </w:r>
          </w:p>
        </w:tc>
        <w:tc>
          <w:tcPr>
            <w:tcW w:w="1417" w:type="dxa"/>
            <w:vAlign w:val="center"/>
          </w:tcPr>
          <w:p w14:paraId="7D0AFCE3" w14:textId="77777777" w:rsidR="00BE7F89" w:rsidRPr="00AC3044" w:rsidRDefault="00BE7F89" w:rsidP="005A428D">
            <w:pPr>
              <w:rPr>
                <w:rFonts w:eastAsia="SimSun"/>
              </w:rPr>
            </w:pPr>
            <w:r w:rsidRPr="00AC3044">
              <w:rPr>
                <w:rFonts w:eastAsia="SimSun"/>
              </w:rPr>
              <w:t xml:space="preserve">В -2 день </w:t>
            </w:r>
          </w:p>
        </w:tc>
        <w:tc>
          <w:tcPr>
            <w:tcW w:w="2552" w:type="dxa"/>
            <w:vAlign w:val="center"/>
          </w:tcPr>
          <w:p w14:paraId="29947BEA"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289D7B8F" w14:textId="77777777" w:rsidTr="005A428D">
        <w:trPr>
          <w:cantSplit/>
          <w:trHeight w:val="606"/>
        </w:trPr>
        <w:tc>
          <w:tcPr>
            <w:tcW w:w="1135" w:type="dxa"/>
            <w:vMerge w:val="restart"/>
            <w:textDirection w:val="btLr"/>
            <w:vAlign w:val="center"/>
          </w:tcPr>
          <w:p w14:paraId="1EB28E2A" w14:textId="77777777" w:rsidR="00BE7F89" w:rsidRPr="00AC3044" w:rsidRDefault="00BE7F89" w:rsidP="005A428D">
            <w:pPr>
              <w:rPr>
                <w:rFonts w:eastAsia="SimSun"/>
              </w:rPr>
            </w:pPr>
            <w:r w:rsidRPr="00AC3044">
              <w:rPr>
                <w:rFonts w:eastAsia="SimSun"/>
              </w:rPr>
              <w:t>Профилактика РТПХ</w:t>
            </w:r>
          </w:p>
        </w:tc>
        <w:tc>
          <w:tcPr>
            <w:tcW w:w="1559" w:type="dxa"/>
            <w:vAlign w:val="center"/>
          </w:tcPr>
          <w:p w14:paraId="4304B28E" w14:textId="77777777" w:rsidR="00BE7F89" w:rsidRPr="00AC3044" w:rsidRDefault="00BE7F89" w:rsidP="005A428D">
            <w:pPr>
              <w:rPr>
                <w:rFonts w:eastAsia="SimSun"/>
              </w:rPr>
            </w:pPr>
            <w:r w:rsidRPr="00AC3044">
              <w:rPr>
                <w:rFonts w:eastAsia="SimSun"/>
              </w:rPr>
              <w:t>Циклофосфамид</w:t>
            </w:r>
          </w:p>
        </w:tc>
        <w:tc>
          <w:tcPr>
            <w:tcW w:w="1418" w:type="dxa"/>
            <w:vAlign w:val="center"/>
          </w:tcPr>
          <w:p w14:paraId="2642CE80" w14:textId="77777777" w:rsidR="00BE7F89" w:rsidRPr="00AC3044" w:rsidRDefault="00BE7F89" w:rsidP="005A428D">
            <w:pPr>
              <w:rPr>
                <w:rFonts w:eastAsia="SimSun"/>
              </w:rPr>
            </w:pPr>
            <w:r w:rsidRPr="00AC3044">
              <w:rPr>
                <w:rFonts w:eastAsia="SimSun"/>
              </w:rPr>
              <w:t>50 мг/кг</w:t>
            </w:r>
          </w:p>
        </w:tc>
        <w:tc>
          <w:tcPr>
            <w:tcW w:w="1559" w:type="dxa"/>
            <w:vAlign w:val="center"/>
          </w:tcPr>
          <w:p w14:paraId="6BF8C0F7" w14:textId="77777777" w:rsidR="00BE7F89" w:rsidRPr="00AC3044" w:rsidRDefault="00BE7F89" w:rsidP="005A428D">
            <w:pPr>
              <w:rPr>
                <w:rFonts w:eastAsia="SimSun"/>
              </w:rPr>
            </w:pPr>
            <w:r w:rsidRPr="00AC3044">
              <w:rPr>
                <w:rFonts w:eastAsia="SimSun"/>
              </w:rPr>
              <w:t>100 мг/кг</w:t>
            </w:r>
          </w:p>
        </w:tc>
        <w:tc>
          <w:tcPr>
            <w:tcW w:w="1417" w:type="dxa"/>
            <w:vAlign w:val="center"/>
          </w:tcPr>
          <w:p w14:paraId="410FB3F9" w14:textId="77777777" w:rsidR="00BE7F89" w:rsidRPr="00AC3044" w:rsidRDefault="00BE7F89" w:rsidP="005A428D">
            <w:pPr>
              <w:rPr>
                <w:rFonts w:eastAsia="SimSun"/>
              </w:rPr>
            </w:pPr>
            <w:r w:rsidRPr="00AC3044">
              <w:rPr>
                <w:rFonts w:eastAsia="SimSun"/>
              </w:rPr>
              <w:t xml:space="preserve">+3,+4 дни </w:t>
            </w:r>
          </w:p>
        </w:tc>
        <w:tc>
          <w:tcPr>
            <w:tcW w:w="2552" w:type="dxa"/>
            <w:vAlign w:val="center"/>
          </w:tcPr>
          <w:p w14:paraId="12783532"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42D0E2E9" w14:textId="77777777" w:rsidTr="005A428D">
        <w:trPr>
          <w:cantSplit/>
          <w:trHeight w:val="958"/>
        </w:trPr>
        <w:tc>
          <w:tcPr>
            <w:tcW w:w="1135" w:type="dxa"/>
            <w:vMerge/>
            <w:textDirection w:val="btLr"/>
            <w:vAlign w:val="center"/>
          </w:tcPr>
          <w:p w14:paraId="3C99DFDC" w14:textId="77777777" w:rsidR="00BE7F89" w:rsidRPr="00AC3044" w:rsidRDefault="00BE7F89" w:rsidP="005A428D">
            <w:pPr>
              <w:rPr>
                <w:rFonts w:eastAsia="SimSun"/>
              </w:rPr>
            </w:pPr>
          </w:p>
        </w:tc>
        <w:tc>
          <w:tcPr>
            <w:tcW w:w="1559" w:type="dxa"/>
            <w:vAlign w:val="center"/>
          </w:tcPr>
          <w:p w14:paraId="762DDCA0" w14:textId="77777777" w:rsidR="00BE7F89" w:rsidRPr="00AC3044" w:rsidRDefault="00BE7F89" w:rsidP="005A428D">
            <w:pPr>
              <w:rPr>
                <w:rFonts w:eastAsia="SimSun"/>
              </w:rPr>
            </w:pPr>
            <w:r w:rsidRPr="00AC3044">
              <w:rPr>
                <w:rFonts w:eastAsia="SimSun"/>
              </w:rPr>
              <w:t xml:space="preserve">Такролимус </w:t>
            </w:r>
          </w:p>
        </w:tc>
        <w:tc>
          <w:tcPr>
            <w:tcW w:w="1418" w:type="dxa"/>
            <w:vAlign w:val="center"/>
          </w:tcPr>
          <w:p w14:paraId="5875E0EE" w14:textId="77777777" w:rsidR="00BE7F89" w:rsidRPr="00AC3044" w:rsidRDefault="00BE7F89" w:rsidP="005A428D">
            <w:pPr>
              <w:rPr>
                <w:rFonts w:eastAsia="SimSun"/>
              </w:rPr>
            </w:pPr>
            <w:r w:rsidRPr="00AC3044">
              <w:rPr>
                <w:rFonts w:eastAsia="SimSun"/>
              </w:rPr>
              <w:t>0,03 мг/кг</w:t>
            </w:r>
          </w:p>
        </w:tc>
        <w:tc>
          <w:tcPr>
            <w:tcW w:w="1559" w:type="dxa"/>
            <w:vAlign w:val="center"/>
          </w:tcPr>
          <w:p w14:paraId="3D42FF93" w14:textId="77777777" w:rsidR="00BE7F89" w:rsidRPr="00AC3044" w:rsidRDefault="00BE7F89" w:rsidP="005A428D">
            <w:pPr>
              <w:rPr>
                <w:rFonts w:eastAsia="SimSun"/>
              </w:rPr>
            </w:pPr>
            <w:r w:rsidRPr="00AC3044">
              <w:rPr>
                <w:rFonts w:eastAsia="SimSun"/>
              </w:rPr>
              <w:t>–</w:t>
            </w:r>
          </w:p>
        </w:tc>
        <w:tc>
          <w:tcPr>
            <w:tcW w:w="1417" w:type="dxa"/>
            <w:vAlign w:val="center"/>
          </w:tcPr>
          <w:p w14:paraId="4E538092" w14:textId="77777777" w:rsidR="00BE7F89" w:rsidRPr="00AC3044" w:rsidRDefault="00BE7F89" w:rsidP="005A428D">
            <w:pPr>
              <w:rPr>
                <w:rFonts w:eastAsia="SimSun"/>
              </w:rPr>
            </w:pPr>
            <w:r w:rsidRPr="00AC3044">
              <w:rPr>
                <w:rFonts w:eastAsia="SimSun"/>
              </w:rPr>
              <w:t xml:space="preserve">С -1 дня длительно </w:t>
            </w:r>
          </w:p>
        </w:tc>
        <w:tc>
          <w:tcPr>
            <w:tcW w:w="2552" w:type="dxa"/>
            <w:vAlign w:val="center"/>
          </w:tcPr>
          <w:p w14:paraId="74783688" w14:textId="77777777" w:rsidR="00BE7F89" w:rsidRPr="00AC3044" w:rsidRDefault="00BE7F89" w:rsidP="005A428D">
            <w:pPr>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BE7F89" w:rsidRPr="00AC3044" w14:paraId="518293A7" w14:textId="77777777" w:rsidTr="005A428D">
        <w:trPr>
          <w:cantSplit/>
          <w:trHeight w:val="386"/>
        </w:trPr>
        <w:tc>
          <w:tcPr>
            <w:tcW w:w="1135" w:type="dxa"/>
            <w:vMerge/>
            <w:textDirection w:val="btLr"/>
            <w:vAlign w:val="center"/>
          </w:tcPr>
          <w:p w14:paraId="629DE6E0" w14:textId="77777777" w:rsidR="00BE7F89" w:rsidRPr="00AC3044" w:rsidRDefault="00BE7F89" w:rsidP="005A428D">
            <w:pPr>
              <w:rPr>
                <w:rFonts w:eastAsia="SimSun"/>
              </w:rPr>
            </w:pPr>
          </w:p>
        </w:tc>
        <w:tc>
          <w:tcPr>
            <w:tcW w:w="1559" w:type="dxa"/>
            <w:vAlign w:val="center"/>
          </w:tcPr>
          <w:p w14:paraId="5EAEFE3C" w14:textId="77777777" w:rsidR="00BE7F89" w:rsidRPr="00AC3044" w:rsidRDefault="00BE7F89" w:rsidP="005A428D">
            <w:pPr>
              <w:rPr>
                <w:rFonts w:eastAsia="SimSun"/>
              </w:rPr>
            </w:pPr>
            <w:r w:rsidRPr="00AC3044">
              <w:rPr>
                <w:rFonts w:eastAsia="SimSun"/>
              </w:rPr>
              <w:t>Микофенолата мофетил</w:t>
            </w:r>
          </w:p>
        </w:tc>
        <w:tc>
          <w:tcPr>
            <w:tcW w:w="1418" w:type="dxa"/>
            <w:vAlign w:val="center"/>
          </w:tcPr>
          <w:p w14:paraId="7A5C1BFC" w14:textId="77777777" w:rsidR="00BE7F89" w:rsidRPr="00AC3044" w:rsidRDefault="00BE7F89" w:rsidP="005A428D">
            <w:pPr>
              <w:rPr>
                <w:rFonts w:eastAsia="SimSun"/>
              </w:rPr>
            </w:pPr>
            <w:r w:rsidRPr="00AC3044">
              <w:rPr>
                <w:rFonts w:eastAsia="SimSun"/>
              </w:rPr>
              <w:t xml:space="preserve">30 мг/кг </w:t>
            </w:r>
          </w:p>
        </w:tc>
        <w:tc>
          <w:tcPr>
            <w:tcW w:w="1559" w:type="dxa"/>
            <w:vAlign w:val="center"/>
          </w:tcPr>
          <w:p w14:paraId="3AAA8ABC" w14:textId="77777777" w:rsidR="00BE7F89" w:rsidRPr="00AC3044" w:rsidRDefault="00BE7F89" w:rsidP="005A428D">
            <w:pPr>
              <w:rPr>
                <w:rFonts w:eastAsia="SimSun"/>
              </w:rPr>
            </w:pPr>
            <w:r w:rsidRPr="00AC3044">
              <w:rPr>
                <w:rFonts w:eastAsia="SimSun"/>
              </w:rPr>
              <w:t>–</w:t>
            </w:r>
          </w:p>
        </w:tc>
        <w:tc>
          <w:tcPr>
            <w:tcW w:w="1417" w:type="dxa"/>
            <w:vAlign w:val="center"/>
          </w:tcPr>
          <w:p w14:paraId="3B990F43" w14:textId="77777777" w:rsidR="00BE7F89" w:rsidRPr="00AC3044" w:rsidRDefault="00BE7F89" w:rsidP="005A428D">
            <w:pPr>
              <w:rPr>
                <w:rFonts w:eastAsia="SimSun"/>
              </w:rPr>
            </w:pPr>
            <w:r w:rsidRPr="00AC3044">
              <w:rPr>
                <w:rFonts w:eastAsia="SimSun"/>
              </w:rPr>
              <w:t xml:space="preserve">С -1 дня по +30 день </w:t>
            </w:r>
          </w:p>
        </w:tc>
        <w:tc>
          <w:tcPr>
            <w:tcW w:w="2552" w:type="dxa"/>
            <w:vAlign w:val="center"/>
          </w:tcPr>
          <w:p w14:paraId="79EB4352" w14:textId="77777777" w:rsidR="00BE7F89" w:rsidRPr="00AC3044" w:rsidRDefault="00BE7F89" w:rsidP="005A428D">
            <w:pPr>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967590B" w14:textId="77777777" w:rsidR="00BE7F89" w:rsidRPr="00C07B2E" w:rsidRDefault="00BE7F89" w:rsidP="00BE7F89">
      <w:pPr>
        <w:rPr>
          <w:rFonts w:eastAsia="SimSun"/>
        </w:rPr>
      </w:pPr>
    </w:p>
    <w:p w14:paraId="2CCFB9A3" w14:textId="77777777" w:rsidR="00BE7F89" w:rsidRPr="000F445E" w:rsidRDefault="00BE7F89" w:rsidP="00BE7F89">
      <w:pPr>
        <w:rPr>
          <w:rFonts w:eastAsia="SimSun"/>
          <w:i/>
          <w:u w:val="single"/>
        </w:rPr>
      </w:pPr>
      <w:bookmarkStart w:id="225" w:name="_Toc44401240"/>
      <w:r w:rsidRPr="000F445E">
        <w:rPr>
          <w:rFonts w:eastAsia="SimSun"/>
          <w:i/>
          <w:u w:val="single"/>
        </w:rPr>
        <w:t>4.  Алло-ТГСК с использованием манипулированных  трансплантатов (ex vivo Т-клеточная деплеция, позитивная CD34+ селекция)</w:t>
      </w:r>
      <w:bookmarkEnd w:id="225"/>
      <w:r w:rsidRPr="000F445E">
        <w:rPr>
          <w:rFonts w:eastAsia="SimSun"/>
          <w:i/>
          <w:u w:val="single"/>
        </w:rPr>
        <w:t xml:space="preserve"> </w:t>
      </w:r>
    </w:p>
    <w:p w14:paraId="3811765C" w14:textId="77777777" w:rsidR="00BE7F89" w:rsidRDefault="00BE7F89" w:rsidP="00BE7F89">
      <w:pPr>
        <w:rPr>
          <w:rFonts w:eastAsia="SimSun"/>
        </w:rPr>
      </w:pPr>
      <w:bookmarkStart w:id="226" w:name="_Toc44401242"/>
    </w:p>
    <w:bookmarkEnd w:id="226"/>
    <w:p w14:paraId="10F68097" w14:textId="77777777" w:rsidR="00BE7F89" w:rsidRPr="00C07B2E" w:rsidRDefault="00BE7F89" w:rsidP="00BE7F89">
      <w:pPr>
        <w:rPr>
          <w:rFonts w:eastAsia="SimSun"/>
        </w:rPr>
      </w:pPr>
      <w:r w:rsidRPr="00C07B2E">
        <w:rPr>
          <w:rFonts w:eastAsia="SimSun"/>
        </w:rPr>
        <w:t xml:space="preserve">Схема и режим применения препаратов для кондиционирования и профилактики РТПХ приведены в </w:t>
      </w:r>
      <w:r>
        <w:rPr>
          <w:rFonts w:eastAsia="SimSun"/>
        </w:rPr>
        <w:t>Таблицах</w:t>
      </w:r>
      <w:r w:rsidRPr="00C07B2E">
        <w:rPr>
          <w:rFonts w:eastAsia="SimSun"/>
        </w:rPr>
        <w:t xml:space="preserve"> </w:t>
      </w:r>
      <w:r>
        <w:rPr>
          <w:rFonts w:eastAsia="SimSun"/>
        </w:rPr>
        <w:t>5.</w:t>
      </w:r>
      <w:r w:rsidRPr="00C07B2E">
        <w:rPr>
          <w:rFonts w:eastAsia="SimSun"/>
        </w:rPr>
        <w:t xml:space="preserve">4.1, </w:t>
      </w:r>
      <w:r>
        <w:rPr>
          <w:rFonts w:eastAsia="SimSun"/>
        </w:rPr>
        <w:t>5.</w:t>
      </w:r>
      <w:r w:rsidRPr="00C07B2E">
        <w:rPr>
          <w:rFonts w:eastAsia="SimSun"/>
        </w:rPr>
        <w:t xml:space="preserve">4.2 и </w:t>
      </w:r>
      <w:r>
        <w:rPr>
          <w:rFonts w:eastAsia="SimSun"/>
        </w:rPr>
        <w:t>5.</w:t>
      </w:r>
      <w:r w:rsidRPr="00C07B2E">
        <w:rPr>
          <w:rFonts w:eastAsia="SimSun"/>
        </w:rPr>
        <w:t xml:space="preserve">4.3. </w:t>
      </w:r>
    </w:p>
    <w:p w14:paraId="5BAFDA2D" w14:textId="77777777" w:rsidR="00BE7F89" w:rsidRDefault="00BE7F89" w:rsidP="00BE7F89">
      <w:pPr>
        <w:rPr>
          <w:rFonts w:eastAsia="SimSun"/>
        </w:rPr>
      </w:pPr>
      <w:bookmarkStart w:id="227" w:name="_Toc44401243"/>
    </w:p>
    <w:p w14:paraId="0451C878" w14:textId="77777777" w:rsidR="00BE7F89" w:rsidRPr="00EE51B1" w:rsidRDefault="00BE7F89" w:rsidP="00BE7F89">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4.1  – </w:t>
      </w:r>
      <w:r w:rsidRPr="00C07B2E">
        <w:rPr>
          <w:rFonts w:eastAsia="SimSun"/>
        </w:rPr>
        <w:t>Flu</w:t>
      </w:r>
      <w:r w:rsidRPr="00EE51B1">
        <w:rPr>
          <w:rFonts w:eastAsia="SimSun"/>
          <w:lang w:val="en-US"/>
        </w:rPr>
        <w:t>150+</w:t>
      </w:r>
      <w:r w:rsidRPr="00C07B2E">
        <w:rPr>
          <w:rFonts w:eastAsia="SimSun"/>
        </w:rPr>
        <w:t>Treo</w:t>
      </w:r>
      <w:r w:rsidRPr="00EE51B1">
        <w:rPr>
          <w:rFonts w:eastAsia="SimSun"/>
          <w:lang w:val="en-US"/>
        </w:rPr>
        <w:t>42+</w:t>
      </w:r>
      <w:r w:rsidRPr="00C07B2E">
        <w:rPr>
          <w:rFonts w:eastAsia="SimSun"/>
        </w:rPr>
        <w:t>Thio</w:t>
      </w:r>
      <w:r w:rsidRPr="00EE51B1">
        <w:rPr>
          <w:rFonts w:eastAsia="SimSun"/>
          <w:lang w:val="en-US"/>
        </w:rPr>
        <w:t xml:space="preserve"> / </w:t>
      </w:r>
      <w:r w:rsidRPr="00C07B2E">
        <w:rPr>
          <w:rFonts w:eastAsia="SimSun"/>
        </w:rPr>
        <w:t>TCRαβ</w:t>
      </w:r>
      <w:r w:rsidRPr="00EE51B1">
        <w:rPr>
          <w:rFonts w:eastAsia="SimSun"/>
          <w:lang w:val="en-US"/>
        </w:rPr>
        <w:t>-</w:t>
      </w:r>
      <w:r w:rsidRPr="00C07B2E">
        <w:rPr>
          <w:rFonts w:eastAsia="SimSun"/>
        </w:rPr>
        <w:t>CD</w:t>
      </w:r>
      <w:r w:rsidRPr="00EE51B1">
        <w:rPr>
          <w:rFonts w:eastAsia="SimSun"/>
          <w:lang w:val="en-US"/>
        </w:rPr>
        <w:t>19</w:t>
      </w:r>
      <w:bookmarkEnd w:id="227"/>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268"/>
        <w:gridCol w:w="1276"/>
        <w:gridCol w:w="1417"/>
        <w:gridCol w:w="1843"/>
        <w:gridCol w:w="2835"/>
      </w:tblGrid>
      <w:tr w:rsidR="00BE7F89" w:rsidRPr="00AC3044" w14:paraId="6D34C434" w14:textId="77777777" w:rsidTr="005A428D">
        <w:trPr>
          <w:cantSplit/>
          <w:trHeight w:val="20"/>
          <w:tblHeader/>
        </w:trPr>
        <w:tc>
          <w:tcPr>
            <w:tcW w:w="851" w:type="dxa"/>
          </w:tcPr>
          <w:p w14:paraId="50844815" w14:textId="77777777" w:rsidR="00BE7F89" w:rsidRPr="000F445E" w:rsidRDefault="00BE7F89" w:rsidP="005A428D">
            <w:pPr>
              <w:rPr>
                <w:rFonts w:eastAsia="SimSun"/>
                <w:lang w:val="en-US"/>
              </w:rPr>
            </w:pPr>
          </w:p>
        </w:tc>
        <w:tc>
          <w:tcPr>
            <w:tcW w:w="2268" w:type="dxa"/>
            <w:vAlign w:val="center"/>
          </w:tcPr>
          <w:p w14:paraId="7DCE3913" w14:textId="77777777" w:rsidR="00BE7F89" w:rsidRPr="00AC3044" w:rsidRDefault="00BE7F89" w:rsidP="005A428D">
            <w:pPr>
              <w:rPr>
                <w:rFonts w:eastAsia="SimSun"/>
              </w:rPr>
            </w:pPr>
            <w:r w:rsidRPr="00AC3044">
              <w:rPr>
                <w:rFonts w:eastAsia="SimSun"/>
              </w:rPr>
              <w:t>Препарат</w:t>
            </w:r>
          </w:p>
        </w:tc>
        <w:tc>
          <w:tcPr>
            <w:tcW w:w="1276" w:type="dxa"/>
            <w:vAlign w:val="center"/>
          </w:tcPr>
          <w:p w14:paraId="6B7079DF" w14:textId="77777777" w:rsidR="00BE7F89" w:rsidRPr="00AC3044" w:rsidRDefault="00BE7F89" w:rsidP="005A428D">
            <w:pPr>
              <w:rPr>
                <w:rFonts w:eastAsia="SimSun"/>
              </w:rPr>
            </w:pPr>
            <w:r w:rsidRPr="00AC3044">
              <w:rPr>
                <w:rFonts w:eastAsia="SimSun"/>
              </w:rPr>
              <w:t>Суточная доза</w:t>
            </w:r>
          </w:p>
        </w:tc>
        <w:tc>
          <w:tcPr>
            <w:tcW w:w="1417" w:type="dxa"/>
            <w:vAlign w:val="center"/>
          </w:tcPr>
          <w:p w14:paraId="55005679" w14:textId="77777777" w:rsidR="00BE7F89" w:rsidRPr="00AC3044" w:rsidRDefault="00BE7F89" w:rsidP="005A428D">
            <w:pPr>
              <w:rPr>
                <w:rFonts w:eastAsia="SimSun"/>
              </w:rPr>
            </w:pPr>
            <w:r w:rsidRPr="00AC3044">
              <w:rPr>
                <w:rFonts w:eastAsia="SimSun"/>
              </w:rPr>
              <w:t>Курсовая доза</w:t>
            </w:r>
          </w:p>
        </w:tc>
        <w:tc>
          <w:tcPr>
            <w:tcW w:w="1843" w:type="dxa"/>
            <w:vAlign w:val="center"/>
          </w:tcPr>
          <w:p w14:paraId="0902408B" w14:textId="77777777" w:rsidR="00BE7F89" w:rsidRPr="00AC3044" w:rsidRDefault="00BE7F89" w:rsidP="005A428D">
            <w:pPr>
              <w:rPr>
                <w:rFonts w:eastAsia="SimSun"/>
              </w:rPr>
            </w:pPr>
            <w:r w:rsidRPr="00AC3044">
              <w:rPr>
                <w:rFonts w:eastAsia="SimSun"/>
              </w:rPr>
              <w:t>Дни введения</w:t>
            </w:r>
          </w:p>
        </w:tc>
        <w:tc>
          <w:tcPr>
            <w:tcW w:w="2835" w:type="dxa"/>
            <w:vAlign w:val="center"/>
          </w:tcPr>
          <w:p w14:paraId="3672CD25"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9F4B64A" w14:textId="77777777" w:rsidTr="005A428D">
        <w:trPr>
          <w:cantSplit/>
          <w:trHeight w:val="20"/>
        </w:trPr>
        <w:tc>
          <w:tcPr>
            <w:tcW w:w="851" w:type="dxa"/>
            <w:vMerge w:val="restart"/>
            <w:textDirection w:val="btLr"/>
            <w:vAlign w:val="center"/>
          </w:tcPr>
          <w:p w14:paraId="1C57EED6" w14:textId="77777777" w:rsidR="00BE7F89" w:rsidRPr="00AC3044" w:rsidRDefault="00BE7F89" w:rsidP="005A428D">
            <w:pPr>
              <w:rPr>
                <w:rFonts w:eastAsia="SimSun"/>
              </w:rPr>
            </w:pPr>
            <w:r w:rsidRPr="00AC3044">
              <w:rPr>
                <w:rFonts w:eastAsia="SimSun"/>
              </w:rPr>
              <w:t>Кондиционирование</w:t>
            </w:r>
          </w:p>
        </w:tc>
        <w:tc>
          <w:tcPr>
            <w:tcW w:w="2268" w:type="dxa"/>
            <w:vAlign w:val="center"/>
          </w:tcPr>
          <w:p w14:paraId="7472499A" w14:textId="77777777" w:rsidR="00BE7F89" w:rsidRPr="00AC3044" w:rsidRDefault="00BE7F89" w:rsidP="005A428D">
            <w:pPr>
              <w:rPr>
                <w:rFonts w:eastAsia="SimSun"/>
              </w:rPr>
            </w:pPr>
            <w:r w:rsidRPr="00AC3044">
              <w:rPr>
                <w:rFonts w:eastAsia="SimSun"/>
              </w:rPr>
              <w:t>Треосульфан</w:t>
            </w:r>
          </w:p>
        </w:tc>
        <w:tc>
          <w:tcPr>
            <w:tcW w:w="1276" w:type="dxa"/>
            <w:vAlign w:val="center"/>
          </w:tcPr>
          <w:p w14:paraId="5F7E8C2F" w14:textId="77777777" w:rsidR="00BE7F89" w:rsidRPr="00AC3044" w:rsidRDefault="00BE7F89" w:rsidP="005A428D">
            <w:pPr>
              <w:rPr>
                <w:rFonts w:eastAsia="SimSun"/>
              </w:rPr>
            </w:pPr>
            <w:r w:rsidRPr="00AC3044">
              <w:rPr>
                <w:rFonts w:eastAsia="SimSun"/>
              </w:rPr>
              <w:t>14 г/м</w:t>
            </w:r>
            <w:r w:rsidRPr="0074195F">
              <w:rPr>
                <w:rFonts w:eastAsia="SimSun"/>
                <w:vertAlign w:val="superscript"/>
              </w:rPr>
              <w:t>2</w:t>
            </w:r>
          </w:p>
        </w:tc>
        <w:tc>
          <w:tcPr>
            <w:tcW w:w="1417" w:type="dxa"/>
            <w:vAlign w:val="center"/>
          </w:tcPr>
          <w:p w14:paraId="14D4CF01" w14:textId="77777777" w:rsidR="00BE7F89" w:rsidRPr="00AC3044" w:rsidRDefault="00BE7F89" w:rsidP="005A428D">
            <w:pPr>
              <w:rPr>
                <w:rFonts w:eastAsia="SimSun"/>
              </w:rPr>
            </w:pPr>
            <w:r w:rsidRPr="00AC3044">
              <w:rPr>
                <w:rFonts w:eastAsia="SimSun"/>
              </w:rPr>
              <w:t>42 г/м</w:t>
            </w:r>
            <w:r w:rsidRPr="0074195F">
              <w:rPr>
                <w:rFonts w:eastAsia="SimSun"/>
                <w:vertAlign w:val="superscript"/>
              </w:rPr>
              <w:t>2</w:t>
            </w:r>
          </w:p>
        </w:tc>
        <w:tc>
          <w:tcPr>
            <w:tcW w:w="1843" w:type="dxa"/>
            <w:vAlign w:val="center"/>
          </w:tcPr>
          <w:p w14:paraId="43160A5E" w14:textId="77777777" w:rsidR="00BE7F89" w:rsidRPr="00AC3044" w:rsidRDefault="00BE7F89" w:rsidP="005A428D">
            <w:pPr>
              <w:rPr>
                <w:rFonts w:eastAsia="SimSun"/>
              </w:rPr>
            </w:pPr>
            <w:r w:rsidRPr="00AC3044">
              <w:rPr>
                <w:rFonts w:eastAsia="SimSun"/>
              </w:rPr>
              <w:t>–5,–4,–3</w:t>
            </w:r>
          </w:p>
        </w:tc>
        <w:tc>
          <w:tcPr>
            <w:tcW w:w="2835" w:type="dxa"/>
            <w:vAlign w:val="center"/>
          </w:tcPr>
          <w:p w14:paraId="3F988A0C"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75A9E5F7" w14:textId="77777777" w:rsidTr="005A428D">
        <w:trPr>
          <w:cantSplit/>
          <w:trHeight w:val="457"/>
        </w:trPr>
        <w:tc>
          <w:tcPr>
            <w:tcW w:w="851" w:type="dxa"/>
            <w:vMerge/>
            <w:textDirection w:val="btLr"/>
            <w:vAlign w:val="center"/>
          </w:tcPr>
          <w:p w14:paraId="1C021D1C" w14:textId="77777777" w:rsidR="00BE7F89" w:rsidRPr="00AC3044" w:rsidRDefault="00BE7F89" w:rsidP="005A428D">
            <w:pPr>
              <w:rPr>
                <w:rFonts w:eastAsia="SimSun"/>
              </w:rPr>
            </w:pPr>
          </w:p>
        </w:tc>
        <w:tc>
          <w:tcPr>
            <w:tcW w:w="2268" w:type="dxa"/>
            <w:vAlign w:val="center"/>
          </w:tcPr>
          <w:p w14:paraId="1823880D" w14:textId="77777777" w:rsidR="00BE7F89" w:rsidRPr="00AC3044" w:rsidRDefault="00BE7F89" w:rsidP="005A428D">
            <w:pPr>
              <w:rPr>
                <w:rFonts w:eastAsia="SimSun"/>
              </w:rPr>
            </w:pPr>
            <w:r w:rsidRPr="00AC3044">
              <w:rPr>
                <w:rFonts w:eastAsia="SimSun"/>
              </w:rPr>
              <w:t>Тиотепа</w:t>
            </w:r>
          </w:p>
        </w:tc>
        <w:tc>
          <w:tcPr>
            <w:tcW w:w="1276" w:type="dxa"/>
            <w:vAlign w:val="center"/>
          </w:tcPr>
          <w:p w14:paraId="26271C23" w14:textId="77777777" w:rsidR="00BE7F89" w:rsidRPr="00AC3044" w:rsidRDefault="00BE7F89" w:rsidP="005A428D">
            <w:pPr>
              <w:rPr>
                <w:rFonts w:eastAsia="SimSun"/>
              </w:rPr>
            </w:pPr>
            <w:r w:rsidRPr="00AC3044">
              <w:rPr>
                <w:rFonts w:eastAsia="SimSun"/>
              </w:rPr>
              <w:t xml:space="preserve">5мг/кг </w:t>
            </w:r>
          </w:p>
        </w:tc>
        <w:tc>
          <w:tcPr>
            <w:tcW w:w="1417" w:type="dxa"/>
            <w:vAlign w:val="center"/>
          </w:tcPr>
          <w:p w14:paraId="456F3425" w14:textId="77777777" w:rsidR="00BE7F89" w:rsidRPr="00AC3044" w:rsidRDefault="00BE7F89" w:rsidP="005A428D">
            <w:pPr>
              <w:rPr>
                <w:rFonts w:eastAsia="SimSun"/>
              </w:rPr>
            </w:pPr>
            <w:r w:rsidRPr="00AC3044">
              <w:rPr>
                <w:rFonts w:eastAsia="SimSun"/>
              </w:rPr>
              <w:t>10 мг/кг</w:t>
            </w:r>
          </w:p>
        </w:tc>
        <w:tc>
          <w:tcPr>
            <w:tcW w:w="1843" w:type="dxa"/>
            <w:vAlign w:val="center"/>
          </w:tcPr>
          <w:p w14:paraId="56304994" w14:textId="77777777" w:rsidR="00BE7F89" w:rsidRPr="00AC3044" w:rsidRDefault="00BE7F89" w:rsidP="005A428D">
            <w:pPr>
              <w:rPr>
                <w:rFonts w:eastAsia="SimSun"/>
              </w:rPr>
            </w:pPr>
            <w:r w:rsidRPr="00AC3044">
              <w:rPr>
                <w:rFonts w:eastAsia="SimSun"/>
              </w:rPr>
              <w:t>–6,–5</w:t>
            </w:r>
          </w:p>
        </w:tc>
        <w:tc>
          <w:tcPr>
            <w:tcW w:w="2835" w:type="dxa"/>
            <w:vAlign w:val="center"/>
          </w:tcPr>
          <w:p w14:paraId="1583A050"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22BC0EBC" w14:textId="77777777" w:rsidTr="005A428D">
        <w:trPr>
          <w:cantSplit/>
          <w:trHeight w:val="262"/>
        </w:trPr>
        <w:tc>
          <w:tcPr>
            <w:tcW w:w="851" w:type="dxa"/>
            <w:vMerge/>
            <w:textDirection w:val="btLr"/>
            <w:vAlign w:val="center"/>
          </w:tcPr>
          <w:p w14:paraId="11E82AD2" w14:textId="77777777" w:rsidR="00BE7F89" w:rsidRPr="00AC3044" w:rsidRDefault="00BE7F89" w:rsidP="005A428D">
            <w:pPr>
              <w:rPr>
                <w:rFonts w:eastAsia="SimSun"/>
              </w:rPr>
            </w:pPr>
          </w:p>
        </w:tc>
        <w:tc>
          <w:tcPr>
            <w:tcW w:w="2268" w:type="dxa"/>
            <w:vAlign w:val="center"/>
          </w:tcPr>
          <w:p w14:paraId="12BF77F5" w14:textId="77777777" w:rsidR="00BE7F89" w:rsidRPr="00AC3044" w:rsidRDefault="00BE7F89" w:rsidP="005A428D">
            <w:pPr>
              <w:rPr>
                <w:rFonts w:eastAsia="SimSun"/>
              </w:rPr>
            </w:pPr>
            <w:r w:rsidRPr="00AC3044">
              <w:rPr>
                <w:rFonts w:eastAsia="SimSun"/>
              </w:rPr>
              <w:t>Флударабин</w:t>
            </w:r>
          </w:p>
        </w:tc>
        <w:tc>
          <w:tcPr>
            <w:tcW w:w="1276" w:type="dxa"/>
            <w:vAlign w:val="center"/>
          </w:tcPr>
          <w:p w14:paraId="5669B849"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7" w:type="dxa"/>
            <w:vAlign w:val="center"/>
          </w:tcPr>
          <w:p w14:paraId="30CFB0E5" w14:textId="77777777" w:rsidR="00BE7F89" w:rsidRPr="00AC3044" w:rsidRDefault="00BE7F89" w:rsidP="005A428D">
            <w:pPr>
              <w:rPr>
                <w:rFonts w:eastAsia="SimSun"/>
              </w:rPr>
            </w:pPr>
            <w:r w:rsidRPr="00AC3044">
              <w:rPr>
                <w:rFonts w:eastAsia="SimSun"/>
              </w:rPr>
              <w:t>150 мг/м</w:t>
            </w:r>
            <w:r w:rsidRPr="0074195F">
              <w:rPr>
                <w:rFonts w:eastAsia="SimSun"/>
                <w:vertAlign w:val="superscript"/>
              </w:rPr>
              <w:t>2</w:t>
            </w:r>
          </w:p>
        </w:tc>
        <w:tc>
          <w:tcPr>
            <w:tcW w:w="1843" w:type="dxa"/>
            <w:vAlign w:val="center"/>
          </w:tcPr>
          <w:p w14:paraId="2AC21C02" w14:textId="77777777" w:rsidR="00BE7F89" w:rsidRPr="00AC3044" w:rsidRDefault="00BE7F89" w:rsidP="005A428D">
            <w:pPr>
              <w:rPr>
                <w:rFonts w:eastAsia="SimSun"/>
              </w:rPr>
            </w:pPr>
            <w:r w:rsidRPr="00AC3044">
              <w:rPr>
                <w:rFonts w:eastAsia="SimSun"/>
              </w:rPr>
              <w:t>–6,–5,–4, –3, –2</w:t>
            </w:r>
          </w:p>
        </w:tc>
        <w:tc>
          <w:tcPr>
            <w:tcW w:w="2835" w:type="dxa"/>
            <w:vAlign w:val="center"/>
          </w:tcPr>
          <w:p w14:paraId="73B931E5"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4E9D2A38" w14:textId="77777777" w:rsidTr="005A428D">
        <w:trPr>
          <w:cantSplit/>
          <w:trHeight w:val="388"/>
        </w:trPr>
        <w:tc>
          <w:tcPr>
            <w:tcW w:w="851" w:type="dxa"/>
            <w:vMerge w:val="restart"/>
            <w:textDirection w:val="btLr"/>
            <w:vAlign w:val="center"/>
          </w:tcPr>
          <w:p w14:paraId="238E158B" w14:textId="77777777" w:rsidR="00BE7F89" w:rsidRPr="00AC3044" w:rsidRDefault="00BE7F89" w:rsidP="005A428D">
            <w:pPr>
              <w:rPr>
                <w:rFonts w:eastAsia="SimSun"/>
              </w:rPr>
            </w:pPr>
            <w:r w:rsidRPr="00AC3044">
              <w:rPr>
                <w:rFonts w:eastAsia="SimSun"/>
              </w:rPr>
              <w:t>Профилактика РТПХ</w:t>
            </w:r>
          </w:p>
        </w:tc>
        <w:tc>
          <w:tcPr>
            <w:tcW w:w="2268" w:type="dxa"/>
            <w:vAlign w:val="center"/>
          </w:tcPr>
          <w:p w14:paraId="1CDD47C5" w14:textId="77777777" w:rsidR="00BE7F89" w:rsidRPr="00AC3044" w:rsidRDefault="00BE7F89" w:rsidP="005A428D">
            <w:pPr>
              <w:rPr>
                <w:rFonts w:eastAsia="SimSun"/>
              </w:rPr>
            </w:pPr>
            <w:r w:rsidRPr="00AC3044">
              <w:rPr>
                <w:rFonts w:eastAsia="SimSun"/>
              </w:rPr>
              <w:t>Ритуксимаб</w:t>
            </w:r>
          </w:p>
        </w:tc>
        <w:tc>
          <w:tcPr>
            <w:tcW w:w="1276" w:type="dxa"/>
            <w:vAlign w:val="center"/>
          </w:tcPr>
          <w:p w14:paraId="701714F9" w14:textId="77777777" w:rsidR="00BE7F89" w:rsidRPr="00AC3044" w:rsidRDefault="00BE7F89" w:rsidP="005A428D">
            <w:pPr>
              <w:rPr>
                <w:rFonts w:eastAsia="SimSun"/>
              </w:rPr>
            </w:pPr>
            <w:r w:rsidRPr="00AC3044">
              <w:rPr>
                <w:rFonts w:eastAsia="SimSun"/>
              </w:rPr>
              <w:t>100  мг/м</w:t>
            </w:r>
            <w:r w:rsidRPr="0074195F">
              <w:rPr>
                <w:rFonts w:eastAsia="SimSun"/>
                <w:vertAlign w:val="superscript"/>
              </w:rPr>
              <w:t>2</w:t>
            </w:r>
          </w:p>
        </w:tc>
        <w:tc>
          <w:tcPr>
            <w:tcW w:w="1417" w:type="dxa"/>
            <w:vAlign w:val="center"/>
          </w:tcPr>
          <w:p w14:paraId="408C8E71" w14:textId="77777777" w:rsidR="00BE7F89" w:rsidRPr="00AC3044" w:rsidRDefault="00BE7F89" w:rsidP="005A428D">
            <w:pPr>
              <w:rPr>
                <w:rFonts w:eastAsia="SimSun"/>
              </w:rPr>
            </w:pPr>
            <w:r w:rsidRPr="00AC3044">
              <w:rPr>
                <w:rFonts w:eastAsia="SimSun"/>
              </w:rPr>
              <w:t>100  мг/м</w:t>
            </w:r>
            <w:r w:rsidRPr="0074195F">
              <w:rPr>
                <w:rFonts w:eastAsia="SimSun"/>
                <w:vertAlign w:val="superscript"/>
              </w:rPr>
              <w:t>2</w:t>
            </w:r>
          </w:p>
        </w:tc>
        <w:tc>
          <w:tcPr>
            <w:tcW w:w="1843" w:type="dxa"/>
            <w:vAlign w:val="center"/>
          </w:tcPr>
          <w:p w14:paraId="6B4153CC" w14:textId="77777777" w:rsidR="00BE7F89" w:rsidRPr="00AC3044" w:rsidRDefault="00BE7F89" w:rsidP="005A428D">
            <w:pPr>
              <w:rPr>
                <w:rFonts w:eastAsia="SimSun"/>
              </w:rPr>
            </w:pPr>
            <w:r w:rsidRPr="00AC3044">
              <w:rPr>
                <w:rFonts w:eastAsia="SimSun"/>
              </w:rPr>
              <w:t>–1</w:t>
            </w:r>
          </w:p>
        </w:tc>
        <w:tc>
          <w:tcPr>
            <w:tcW w:w="2835" w:type="dxa"/>
            <w:vAlign w:val="center"/>
          </w:tcPr>
          <w:p w14:paraId="4438B5A4"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41DB04DC" w14:textId="77777777" w:rsidTr="005A428D">
        <w:trPr>
          <w:cantSplit/>
          <w:trHeight w:val="20"/>
        </w:trPr>
        <w:tc>
          <w:tcPr>
            <w:tcW w:w="851" w:type="dxa"/>
            <w:vMerge/>
            <w:textDirection w:val="btLr"/>
          </w:tcPr>
          <w:p w14:paraId="7E6997C8" w14:textId="77777777" w:rsidR="00BE7F89" w:rsidRPr="00AC3044" w:rsidRDefault="00BE7F89" w:rsidP="005A428D">
            <w:pPr>
              <w:rPr>
                <w:rFonts w:eastAsia="SimSun"/>
              </w:rPr>
            </w:pPr>
          </w:p>
        </w:tc>
        <w:tc>
          <w:tcPr>
            <w:tcW w:w="2268" w:type="dxa"/>
            <w:vAlign w:val="center"/>
          </w:tcPr>
          <w:p w14:paraId="33F0D402" w14:textId="77777777" w:rsidR="00BE7F89" w:rsidRPr="00AC3044" w:rsidRDefault="00BE7F89" w:rsidP="005A428D">
            <w:pPr>
              <w:rPr>
                <w:rFonts w:eastAsia="SimSun"/>
              </w:rPr>
            </w:pPr>
            <w:r w:rsidRPr="00AC3044">
              <w:rPr>
                <w:rFonts w:eastAsia="SimSun"/>
              </w:rPr>
              <w:t>Тоцилизумаб</w:t>
            </w:r>
          </w:p>
        </w:tc>
        <w:tc>
          <w:tcPr>
            <w:tcW w:w="1276" w:type="dxa"/>
            <w:vAlign w:val="center"/>
          </w:tcPr>
          <w:p w14:paraId="39023069" w14:textId="77777777" w:rsidR="00BE7F89" w:rsidRPr="00AC3044" w:rsidRDefault="00BE7F89" w:rsidP="005A428D">
            <w:pPr>
              <w:rPr>
                <w:rFonts w:eastAsia="SimSun"/>
              </w:rPr>
            </w:pPr>
            <w:r w:rsidRPr="00AC3044">
              <w:rPr>
                <w:rFonts w:eastAsia="SimSun"/>
              </w:rPr>
              <w:t>8 мг/кг</w:t>
            </w:r>
          </w:p>
        </w:tc>
        <w:tc>
          <w:tcPr>
            <w:tcW w:w="1417" w:type="dxa"/>
            <w:vAlign w:val="center"/>
          </w:tcPr>
          <w:p w14:paraId="24080443" w14:textId="77777777" w:rsidR="00BE7F89" w:rsidRPr="00AC3044" w:rsidRDefault="00BE7F89" w:rsidP="005A428D">
            <w:pPr>
              <w:rPr>
                <w:rFonts w:eastAsia="SimSun"/>
              </w:rPr>
            </w:pPr>
            <w:r w:rsidRPr="00AC3044">
              <w:rPr>
                <w:rFonts w:eastAsia="SimSun"/>
              </w:rPr>
              <w:t>8 мг/кг</w:t>
            </w:r>
          </w:p>
        </w:tc>
        <w:tc>
          <w:tcPr>
            <w:tcW w:w="1843" w:type="dxa"/>
            <w:vAlign w:val="center"/>
          </w:tcPr>
          <w:p w14:paraId="62984931" w14:textId="77777777" w:rsidR="00BE7F89" w:rsidRPr="00AC3044" w:rsidRDefault="00BE7F89" w:rsidP="005A428D">
            <w:pPr>
              <w:rPr>
                <w:rFonts w:eastAsia="SimSun"/>
              </w:rPr>
            </w:pPr>
            <w:r w:rsidRPr="00AC3044">
              <w:rPr>
                <w:rFonts w:eastAsia="SimSun"/>
              </w:rPr>
              <w:t>–1, +21</w:t>
            </w:r>
          </w:p>
        </w:tc>
        <w:tc>
          <w:tcPr>
            <w:tcW w:w="2835" w:type="dxa"/>
            <w:vAlign w:val="center"/>
          </w:tcPr>
          <w:p w14:paraId="073CC840"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6D9EF40D" w14:textId="77777777" w:rsidTr="005A428D">
        <w:trPr>
          <w:cantSplit/>
          <w:trHeight w:val="20"/>
        </w:trPr>
        <w:tc>
          <w:tcPr>
            <w:tcW w:w="851" w:type="dxa"/>
            <w:vMerge/>
            <w:textDirection w:val="btLr"/>
          </w:tcPr>
          <w:p w14:paraId="0A563BF3" w14:textId="77777777" w:rsidR="00BE7F89" w:rsidRPr="00AC3044" w:rsidRDefault="00BE7F89" w:rsidP="005A428D">
            <w:pPr>
              <w:rPr>
                <w:rFonts w:eastAsia="SimSun"/>
              </w:rPr>
            </w:pPr>
          </w:p>
        </w:tc>
        <w:tc>
          <w:tcPr>
            <w:tcW w:w="2268" w:type="dxa"/>
            <w:vAlign w:val="center"/>
          </w:tcPr>
          <w:p w14:paraId="29468C75" w14:textId="77777777" w:rsidR="00BE7F89" w:rsidRPr="00AC3044" w:rsidRDefault="00BE7F89" w:rsidP="005A428D">
            <w:pPr>
              <w:rPr>
                <w:rFonts w:eastAsia="SimSun"/>
              </w:rPr>
            </w:pPr>
            <w:r w:rsidRPr="00AC3044">
              <w:rPr>
                <w:rFonts w:eastAsia="SimSun"/>
              </w:rPr>
              <w:t>Абатацепт1</w:t>
            </w:r>
          </w:p>
        </w:tc>
        <w:tc>
          <w:tcPr>
            <w:tcW w:w="1276" w:type="dxa"/>
            <w:vAlign w:val="center"/>
          </w:tcPr>
          <w:p w14:paraId="12871A4E" w14:textId="77777777" w:rsidR="00BE7F89" w:rsidRPr="00AC3044" w:rsidRDefault="00BE7F89" w:rsidP="005A428D">
            <w:pPr>
              <w:rPr>
                <w:rFonts w:eastAsia="SimSun"/>
              </w:rPr>
            </w:pPr>
            <w:r w:rsidRPr="00AC3044">
              <w:rPr>
                <w:rFonts w:eastAsia="SimSun"/>
              </w:rPr>
              <w:t>10 мг/кг</w:t>
            </w:r>
          </w:p>
        </w:tc>
        <w:tc>
          <w:tcPr>
            <w:tcW w:w="1417" w:type="dxa"/>
            <w:vAlign w:val="center"/>
          </w:tcPr>
          <w:p w14:paraId="6408E5D8" w14:textId="77777777" w:rsidR="00BE7F89" w:rsidRPr="00AC3044" w:rsidRDefault="00BE7F89" w:rsidP="005A428D">
            <w:pPr>
              <w:rPr>
                <w:rFonts w:eastAsia="SimSun"/>
              </w:rPr>
            </w:pPr>
            <w:r w:rsidRPr="00AC3044">
              <w:rPr>
                <w:rFonts w:eastAsia="SimSun"/>
              </w:rPr>
              <w:t>40 мг/кг</w:t>
            </w:r>
          </w:p>
        </w:tc>
        <w:tc>
          <w:tcPr>
            <w:tcW w:w="1843" w:type="dxa"/>
            <w:vAlign w:val="center"/>
          </w:tcPr>
          <w:p w14:paraId="4466828F" w14:textId="77777777" w:rsidR="00BE7F89" w:rsidRPr="00AC3044" w:rsidRDefault="00BE7F89" w:rsidP="005A428D">
            <w:pPr>
              <w:rPr>
                <w:rFonts w:eastAsia="SimSun"/>
              </w:rPr>
            </w:pPr>
            <w:r w:rsidRPr="00AC3044">
              <w:rPr>
                <w:rFonts w:eastAsia="SimSun"/>
              </w:rPr>
              <w:t>–1,+7,+14,+28</w:t>
            </w:r>
          </w:p>
        </w:tc>
        <w:tc>
          <w:tcPr>
            <w:tcW w:w="2835" w:type="dxa"/>
            <w:vAlign w:val="center"/>
          </w:tcPr>
          <w:p w14:paraId="2BAB81CA" w14:textId="77777777" w:rsidR="00BE7F89" w:rsidRPr="00AC3044" w:rsidRDefault="00BE7F89" w:rsidP="005A428D">
            <w:pPr>
              <w:rPr>
                <w:rFonts w:eastAsia="SimSun"/>
              </w:rPr>
            </w:pPr>
            <w:r w:rsidRPr="00AC3044">
              <w:rPr>
                <w:rFonts w:eastAsia="SimSun"/>
              </w:rPr>
              <w:t>В/в, в течение 30 мин</w:t>
            </w:r>
          </w:p>
        </w:tc>
      </w:tr>
      <w:tr w:rsidR="00BE7F89" w:rsidRPr="00AC3044" w14:paraId="780A175E" w14:textId="77777777" w:rsidTr="005A428D">
        <w:trPr>
          <w:cantSplit/>
          <w:trHeight w:val="1482"/>
        </w:trPr>
        <w:tc>
          <w:tcPr>
            <w:tcW w:w="851" w:type="dxa"/>
            <w:textDirection w:val="btLr"/>
            <w:vAlign w:val="center"/>
          </w:tcPr>
          <w:p w14:paraId="0605967B" w14:textId="77777777" w:rsidR="00BE7F89" w:rsidRPr="00AC3044" w:rsidRDefault="00BE7F89" w:rsidP="005A428D">
            <w:pPr>
              <w:rPr>
                <w:rFonts w:eastAsia="SimSun"/>
              </w:rPr>
            </w:pPr>
            <w:r w:rsidRPr="00AC3044">
              <w:rPr>
                <w:rFonts w:eastAsia="SimSun"/>
              </w:rPr>
              <w:t xml:space="preserve">Ex vivo манипуляция с трансплантатом </w:t>
            </w:r>
          </w:p>
        </w:tc>
        <w:tc>
          <w:tcPr>
            <w:tcW w:w="2268" w:type="dxa"/>
            <w:vAlign w:val="center"/>
          </w:tcPr>
          <w:p w14:paraId="1F6A949F" w14:textId="77777777" w:rsidR="00BE7F89" w:rsidRPr="00AC3044" w:rsidRDefault="00BE7F89" w:rsidP="005A428D">
            <w:pPr>
              <w:rPr>
                <w:rFonts w:eastAsia="SimSun"/>
              </w:rPr>
            </w:pPr>
            <w:r w:rsidRPr="00AC3044">
              <w:rPr>
                <w:rFonts w:eastAsia="SimSun"/>
              </w:rPr>
              <w:t>Комплексная услуга TCRαβ/CD19 деплеция</w:t>
            </w:r>
          </w:p>
        </w:tc>
        <w:tc>
          <w:tcPr>
            <w:tcW w:w="1276" w:type="dxa"/>
            <w:vAlign w:val="center"/>
          </w:tcPr>
          <w:p w14:paraId="56D46A7B" w14:textId="77777777" w:rsidR="00BE7F89" w:rsidRPr="00AC3044" w:rsidRDefault="00BE7F89" w:rsidP="005A428D">
            <w:pPr>
              <w:rPr>
                <w:rFonts w:eastAsia="SimSun"/>
              </w:rPr>
            </w:pPr>
            <w:r w:rsidRPr="00AC3044">
              <w:rPr>
                <w:rFonts w:eastAsia="SimSun"/>
              </w:rPr>
              <w:t>–</w:t>
            </w:r>
          </w:p>
        </w:tc>
        <w:tc>
          <w:tcPr>
            <w:tcW w:w="1417" w:type="dxa"/>
            <w:vAlign w:val="center"/>
          </w:tcPr>
          <w:p w14:paraId="2E05DEE8" w14:textId="77777777" w:rsidR="00BE7F89" w:rsidRPr="00AC3044" w:rsidRDefault="00BE7F89" w:rsidP="005A428D">
            <w:pPr>
              <w:rPr>
                <w:rFonts w:eastAsia="SimSun"/>
              </w:rPr>
            </w:pPr>
            <w:r w:rsidRPr="00AC3044">
              <w:rPr>
                <w:rFonts w:eastAsia="SimSun"/>
              </w:rPr>
              <w:t>–</w:t>
            </w:r>
          </w:p>
        </w:tc>
        <w:tc>
          <w:tcPr>
            <w:tcW w:w="1843" w:type="dxa"/>
            <w:vAlign w:val="center"/>
          </w:tcPr>
          <w:p w14:paraId="3245252D" w14:textId="77777777" w:rsidR="00BE7F89" w:rsidRPr="00AC3044" w:rsidRDefault="00BE7F89" w:rsidP="005A428D">
            <w:pPr>
              <w:rPr>
                <w:rFonts w:eastAsia="SimSun"/>
              </w:rPr>
            </w:pPr>
            <w:r w:rsidRPr="00AC3044">
              <w:rPr>
                <w:rFonts w:eastAsia="SimSun"/>
              </w:rPr>
              <w:t>0</w:t>
            </w:r>
          </w:p>
        </w:tc>
        <w:tc>
          <w:tcPr>
            <w:tcW w:w="2835" w:type="dxa"/>
            <w:vAlign w:val="center"/>
          </w:tcPr>
          <w:p w14:paraId="21B00059" w14:textId="77777777" w:rsidR="00BE7F89" w:rsidRPr="00AC3044" w:rsidRDefault="00BE7F89" w:rsidP="005A428D">
            <w:pPr>
              <w:rPr>
                <w:rFonts w:eastAsia="SimSun"/>
              </w:rPr>
            </w:pPr>
            <w:r w:rsidRPr="00AC3044">
              <w:rPr>
                <w:rFonts w:eastAsia="SimSun"/>
              </w:rPr>
              <w:t>-</w:t>
            </w:r>
          </w:p>
        </w:tc>
      </w:tr>
      <w:tr w:rsidR="00BE7F89" w:rsidRPr="00AC3044" w14:paraId="249DB937" w14:textId="77777777" w:rsidTr="005A428D">
        <w:trPr>
          <w:trHeight w:val="20"/>
        </w:trPr>
        <w:tc>
          <w:tcPr>
            <w:tcW w:w="10490" w:type="dxa"/>
            <w:gridSpan w:val="6"/>
          </w:tcPr>
          <w:p w14:paraId="362F6477" w14:textId="77777777" w:rsidR="00BE7F89" w:rsidRPr="00AC3044" w:rsidRDefault="00BE7F89" w:rsidP="005A428D">
            <w:pPr>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532DF1AF" w14:textId="77777777" w:rsidR="00BE7F89" w:rsidRPr="00AC3044" w:rsidRDefault="00BE7F89" w:rsidP="005A428D">
            <w:pPr>
              <w:rPr>
                <w:rFonts w:eastAsia="SimSun"/>
              </w:rPr>
            </w:pPr>
          </w:p>
        </w:tc>
      </w:tr>
    </w:tbl>
    <w:p w14:paraId="51D7495F" w14:textId="77777777" w:rsidR="00BE7F89" w:rsidRPr="00C07B2E" w:rsidRDefault="00BE7F89" w:rsidP="00BE7F89">
      <w:pPr>
        <w:rPr>
          <w:rFonts w:eastAsia="SimSun"/>
        </w:rPr>
      </w:pPr>
    </w:p>
    <w:p w14:paraId="4B26ABE9" w14:textId="77777777" w:rsidR="00BE7F89" w:rsidRPr="00C07B2E" w:rsidRDefault="00BE7F89" w:rsidP="00BE7F89">
      <w:pPr>
        <w:rPr>
          <w:rFonts w:eastAsia="SimSun"/>
        </w:rPr>
      </w:pPr>
      <w:bookmarkStart w:id="228" w:name="_Toc44401244"/>
      <w:r>
        <w:rPr>
          <w:rFonts w:eastAsia="SimSun"/>
        </w:rPr>
        <w:t>Таблица</w:t>
      </w:r>
      <w:r w:rsidRPr="00C07B2E">
        <w:rPr>
          <w:rFonts w:eastAsia="SimSun"/>
        </w:rPr>
        <w:t xml:space="preserve"> </w:t>
      </w:r>
      <w:r>
        <w:rPr>
          <w:rFonts w:eastAsia="SimSun"/>
        </w:rPr>
        <w:t>5.</w:t>
      </w:r>
      <w:r w:rsidRPr="00C07B2E">
        <w:rPr>
          <w:rFonts w:eastAsia="SimSun"/>
        </w:rPr>
        <w:t>4.2.  – Flu150+Treo42+Mel140 / TCRαβ-CD19</w:t>
      </w:r>
      <w:bookmarkEnd w:id="228"/>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BE7F89" w:rsidRPr="00AC3044" w14:paraId="5193F9CB" w14:textId="77777777" w:rsidTr="005A428D">
        <w:trPr>
          <w:cantSplit/>
          <w:trHeight w:val="20"/>
          <w:tblHeader/>
        </w:trPr>
        <w:tc>
          <w:tcPr>
            <w:tcW w:w="709" w:type="dxa"/>
          </w:tcPr>
          <w:p w14:paraId="259DE0CA" w14:textId="77777777" w:rsidR="00BE7F89" w:rsidRPr="00AC3044" w:rsidRDefault="00BE7F89" w:rsidP="005A428D">
            <w:pPr>
              <w:rPr>
                <w:rFonts w:eastAsia="SimSun"/>
              </w:rPr>
            </w:pPr>
          </w:p>
        </w:tc>
        <w:tc>
          <w:tcPr>
            <w:tcW w:w="2410" w:type="dxa"/>
            <w:vAlign w:val="center"/>
          </w:tcPr>
          <w:p w14:paraId="34C56260" w14:textId="77777777" w:rsidR="00BE7F89" w:rsidRPr="00AC3044" w:rsidRDefault="00BE7F89" w:rsidP="005A428D">
            <w:pPr>
              <w:rPr>
                <w:rFonts w:eastAsia="SimSun"/>
              </w:rPr>
            </w:pPr>
            <w:r w:rsidRPr="00AC3044">
              <w:rPr>
                <w:rFonts w:eastAsia="SimSun"/>
              </w:rPr>
              <w:t>Препарат</w:t>
            </w:r>
          </w:p>
        </w:tc>
        <w:tc>
          <w:tcPr>
            <w:tcW w:w="1276" w:type="dxa"/>
            <w:vAlign w:val="center"/>
          </w:tcPr>
          <w:p w14:paraId="135BD12C" w14:textId="77777777" w:rsidR="00BE7F89" w:rsidRPr="00AC3044" w:rsidRDefault="00BE7F89" w:rsidP="005A428D">
            <w:pPr>
              <w:rPr>
                <w:rFonts w:eastAsia="SimSun"/>
              </w:rPr>
            </w:pPr>
            <w:r w:rsidRPr="00AC3044">
              <w:rPr>
                <w:rFonts w:eastAsia="SimSun"/>
              </w:rPr>
              <w:t>Суточная доза</w:t>
            </w:r>
          </w:p>
        </w:tc>
        <w:tc>
          <w:tcPr>
            <w:tcW w:w="1417" w:type="dxa"/>
            <w:vAlign w:val="center"/>
          </w:tcPr>
          <w:p w14:paraId="447445B9" w14:textId="77777777" w:rsidR="00BE7F89" w:rsidRPr="00AC3044" w:rsidRDefault="00BE7F89" w:rsidP="005A428D">
            <w:pPr>
              <w:rPr>
                <w:rFonts w:eastAsia="SimSun"/>
              </w:rPr>
            </w:pPr>
            <w:r w:rsidRPr="00AC3044">
              <w:rPr>
                <w:rFonts w:eastAsia="SimSun"/>
              </w:rPr>
              <w:t>Курсовая доза</w:t>
            </w:r>
          </w:p>
        </w:tc>
        <w:tc>
          <w:tcPr>
            <w:tcW w:w="1843" w:type="dxa"/>
            <w:vAlign w:val="center"/>
          </w:tcPr>
          <w:p w14:paraId="3BA3A1A6" w14:textId="77777777" w:rsidR="00BE7F89" w:rsidRPr="00AC3044" w:rsidRDefault="00BE7F89" w:rsidP="005A428D">
            <w:pPr>
              <w:rPr>
                <w:rFonts w:eastAsia="SimSun"/>
              </w:rPr>
            </w:pPr>
            <w:r w:rsidRPr="00AC3044">
              <w:rPr>
                <w:rFonts w:eastAsia="SimSun"/>
              </w:rPr>
              <w:t>Дни введения</w:t>
            </w:r>
          </w:p>
        </w:tc>
        <w:tc>
          <w:tcPr>
            <w:tcW w:w="2835" w:type="dxa"/>
            <w:vAlign w:val="center"/>
          </w:tcPr>
          <w:p w14:paraId="0F7D362C"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430F9FBA" w14:textId="77777777" w:rsidTr="005A428D">
        <w:trPr>
          <w:cantSplit/>
          <w:trHeight w:val="20"/>
        </w:trPr>
        <w:tc>
          <w:tcPr>
            <w:tcW w:w="709" w:type="dxa"/>
            <w:vMerge w:val="restart"/>
            <w:textDirection w:val="btLr"/>
            <w:vAlign w:val="center"/>
          </w:tcPr>
          <w:p w14:paraId="34E2C959" w14:textId="77777777" w:rsidR="00BE7F89" w:rsidRPr="00AC3044" w:rsidRDefault="00BE7F89" w:rsidP="005A428D">
            <w:pPr>
              <w:rPr>
                <w:rFonts w:eastAsia="SimSun"/>
              </w:rPr>
            </w:pPr>
            <w:r w:rsidRPr="00AC3044">
              <w:rPr>
                <w:rFonts w:eastAsia="SimSun"/>
              </w:rPr>
              <w:t>Кондиционирование</w:t>
            </w:r>
          </w:p>
        </w:tc>
        <w:tc>
          <w:tcPr>
            <w:tcW w:w="2410" w:type="dxa"/>
          </w:tcPr>
          <w:p w14:paraId="7B5324AF" w14:textId="77777777" w:rsidR="00BE7F89" w:rsidRPr="00AC3044" w:rsidRDefault="00BE7F89" w:rsidP="005A428D">
            <w:pPr>
              <w:rPr>
                <w:rFonts w:eastAsia="SimSun"/>
              </w:rPr>
            </w:pPr>
            <w:r w:rsidRPr="00AC3044">
              <w:rPr>
                <w:rFonts w:eastAsia="SimSun"/>
              </w:rPr>
              <w:t>Треосульфан</w:t>
            </w:r>
          </w:p>
        </w:tc>
        <w:tc>
          <w:tcPr>
            <w:tcW w:w="1276" w:type="dxa"/>
            <w:vAlign w:val="center"/>
          </w:tcPr>
          <w:p w14:paraId="3FB3471C" w14:textId="77777777" w:rsidR="00BE7F89" w:rsidRPr="00AC3044" w:rsidRDefault="00BE7F89" w:rsidP="005A428D">
            <w:pPr>
              <w:rPr>
                <w:rFonts w:eastAsia="SimSun"/>
              </w:rPr>
            </w:pPr>
            <w:r w:rsidRPr="00AC3044">
              <w:rPr>
                <w:rFonts w:eastAsia="SimSun"/>
              </w:rPr>
              <w:t>14 г/м</w:t>
            </w:r>
            <w:r w:rsidRPr="0074195F">
              <w:rPr>
                <w:rFonts w:eastAsia="SimSun"/>
                <w:vertAlign w:val="superscript"/>
              </w:rPr>
              <w:t>2</w:t>
            </w:r>
          </w:p>
        </w:tc>
        <w:tc>
          <w:tcPr>
            <w:tcW w:w="1417" w:type="dxa"/>
            <w:vAlign w:val="center"/>
          </w:tcPr>
          <w:p w14:paraId="5BBBC8A0" w14:textId="77777777" w:rsidR="00BE7F89" w:rsidRPr="00AC3044" w:rsidRDefault="00BE7F89" w:rsidP="005A428D">
            <w:pPr>
              <w:rPr>
                <w:rFonts w:eastAsia="SimSun"/>
              </w:rPr>
            </w:pPr>
            <w:r w:rsidRPr="00AC3044">
              <w:rPr>
                <w:rFonts w:eastAsia="SimSun"/>
              </w:rPr>
              <w:t>42 г/м</w:t>
            </w:r>
            <w:r w:rsidRPr="0074195F">
              <w:rPr>
                <w:rFonts w:eastAsia="SimSun"/>
                <w:vertAlign w:val="superscript"/>
              </w:rPr>
              <w:t>2</w:t>
            </w:r>
          </w:p>
        </w:tc>
        <w:tc>
          <w:tcPr>
            <w:tcW w:w="1843" w:type="dxa"/>
            <w:vAlign w:val="center"/>
          </w:tcPr>
          <w:p w14:paraId="4E0C7897" w14:textId="77777777" w:rsidR="00BE7F89" w:rsidRPr="00AC3044" w:rsidRDefault="00BE7F89" w:rsidP="005A428D">
            <w:pPr>
              <w:rPr>
                <w:rFonts w:eastAsia="SimSun"/>
              </w:rPr>
            </w:pPr>
            <w:r w:rsidRPr="00AC3044">
              <w:rPr>
                <w:rFonts w:eastAsia="SimSun"/>
              </w:rPr>
              <w:t>–5,–4,–3</w:t>
            </w:r>
          </w:p>
        </w:tc>
        <w:tc>
          <w:tcPr>
            <w:tcW w:w="2835" w:type="dxa"/>
            <w:vAlign w:val="center"/>
          </w:tcPr>
          <w:p w14:paraId="4F7B2A39"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320B930A" w14:textId="77777777" w:rsidTr="005A428D">
        <w:trPr>
          <w:cantSplit/>
          <w:trHeight w:val="785"/>
        </w:trPr>
        <w:tc>
          <w:tcPr>
            <w:tcW w:w="709" w:type="dxa"/>
            <w:vMerge/>
            <w:textDirection w:val="btLr"/>
            <w:vAlign w:val="center"/>
          </w:tcPr>
          <w:p w14:paraId="496F864D" w14:textId="77777777" w:rsidR="00BE7F89" w:rsidRPr="00AC3044" w:rsidRDefault="00BE7F89" w:rsidP="005A428D">
            <w:pPr>
              <w:rPr>
                <w:rFonts w:eastAsia="SimSun"/>
              </w:rPr>
            </w:pPr>
          </w:p>
        </w:tc>
        <w:tc>
          <w:tcPr>
            <w:tcW w:w="2410" w:type="dxa"/>
          </w:tcPr>
          <w:p w14:paraId="568008BF" w14:textId="77777777" w:rsidR="00BE7F89" w:rsidRPr="00AC3044" w:rsidRDefault="00BE7F89" w:rsidP="005A428D">
            <w:pPr>
              <w:rPr>
                <w:rFonts w:eastAsia="SimSun"/>
              </w:rPr>
            </w:pPr>
            <w:r w:rsidRPr="00AC3044">
              <w:rPr>
                <w:rFonts w:eastAsia="SimSun"/>
              </w:rPr>
              <w:t>Мелфалан</w:t>
            </w:r>
          </w:p>
        </w:tc>
        <w:tc>
          <w:tcPr>
            <w:tcW w:w="1276" w:type="dxa"/>
          </w:tcPr>
          <w:p w14:paraId="08DC59E3" w14:textId="77777777" w:rsidR="00BE7F89" w:rsidRPr="00AC3044" w:rsidRDefault="00BE7F89" w:rsidP="005A428D">
            <w:pPr>
              <w:rPr>
                <w:rFonts w:eastAsia="SimSun"/>
              </w:rPr>
            </w:pPr>
            <w:r w:rsidRPr="00AC3044">
              <w:rPr>
                <w:rFonts w:eastAsia="SimSun"/>
              </w:rPr>
              <w:t>70 мг/м</w:t>
            </w:r>
            <w:r w:rsidRPr="0074195F">
              <w:rPr>
                <w:rFonts w:eastAsia="SimSun"/>
                <w:vertAlign w:val="superscript"/>
              </w:rPr>
              <w:t>2</w:t>
            </w:r>
          </w:p>
        </w:tc>
        <w:tc>
          <w:tcPr>
            <w:tcW w:w="1417" w:type="dxa"/>
          </w:tcPr>
          <w:p w14:paraId="08710C6B" w14:textId="77777777" w:rsidR="00BE7F89" w:rsidRPr="00AC3044" w:rsidRDefault="00BE7F89" w:rsidP="005A428D">
            <w:pPr>
              <w:rPr>
                <w:rFonts w:eastAsia="SimSun"/>
              </w:rPr>
            </w:pPr>
            <w:r w:rsidRPr="00AC3044">
              <w:rPr>
                <w:rFonts w:eastAsia="SimSun"/>
              </w:rPr>
              <w:t>140 мг/м</w:t>
            </w:r>
            <w:r w:rsidRPr="0074195F">
              <w:rPr>
                <w:rFonts w:eastAsia="SimSun"/>
                <w:vertAlign w:val="superscript"/>
              </w:rPr>
              <w:t>2</w:t>
            </w:r>
          </w:p>
        </w:tc>
        <w:tc>
          <w:tcPr>
            <w:tcW w:w="1843" w:type="dxa"/>
          </w:tcPr>
          <w:p w14:paraId="73F62C20" w14:textId="77777777" w:rsidR="00BE7F89" w:rsidRPr="00AC3044" w:rsidRDefault="00BE7F89" w:rsidP="005A428D">
            <w:pPr>
              <w:rPr>
                <w:rFonts w:eastAsia="SimSun"/>
              </w:rPr>
            </w:pPr>
            <w:r w:rsidRPr="00AC3044">
              <w:rPr>
                <w:rFonts w:eastAsia="SimSun"/>
              </w:rPr>
              <w:t>–3, –2</w:t>
            </w:r>
          </w:p>
        </w:tc>
        <w:tc>
          <w:tcPr>
            <w:tcW w:w="2835" w:type="dxa"/>
          </w:tcPr>
          <w:p w14:paraId="4607BDDD" w14:textId="77777777" w:rsidR="00BE7F89" w:rsidRPr="00AC3044" w:rsidRDefault="00BE7F89" w:rsidP="005A428D">
            <w:pPr>
              <w:rPr>
                <w:rFonts w:eastAsia="SimSun"/>
              </w:rPr>
            </w:pPr>
            <w:r w:rsidRPr="00AC3044">
              <w:rPr>
                <w:rFonts w:eastAsia="SimSun"/>
              </w:rPr>
              <w:t>В/в, в течение 1 часа, через 2 часа после введения флударабина</w:t>
            </w:r>
          </w:p>
        </w:tc>
      </w:tr>
      <w:tr w:rsidR="00BE7F89" w:rsidRPr="00AC3044" w14:paraId="0D85534D" w14:textId="77777777" w:rsidTr="005A428D">
        <w:trPr>
          <w:cantSplit/>
          <w:trHeight w:val="56"/>
        </w:trPr>
        <w:tc>
          <w:tcPr>
            <w:tcW w:w="709" w:type="dxa"/>
            <w:vMerge/>
            <w:textDirection w:val="btLr"/>
            <w:vAlign w:val="center"/>
          </w:tcPr>
          <w:p w14:paraId="0114B29D" w14:textId="77777777" w:rsidR="00BE7F89" w:rsidRPr="00AC3044" w:rsidRDefault="00BE7F89" w:rsidP="005A428D">
            <w:pPr>
              <w:rPr>
                <w:rFonts w:eastAsia="SimSun"/>
              </w:rPr>
            </w:pPr>
          </w:p>
        </w:tc>
        <w:tc>
          <w:tcPr>
            <w:tcW w:w="2410" w:type="dxa"/>
            <w:vAlign w:val="center"/>
          </w:tcPr>
          <w:p w14:paraId="1214EB8F" w14:textId="77777777" w:rsidR="00BE7F89" w:rsidRPr="00AC3044" w:rsidRDefault="00BE7F89" w:rsidP="005A428D">
            <w:pPr>
              <w:rPr>
                <w:rFonts w:eastAsia="SimSun"/>
              </w:rPr>
            </w:pPr>
            <w:r w:rsidRPr="00AC3044">
              <w:rPr>
                <w:rFonts w:eastAsia="SimSun"/>
              </w:rPr>
              <w:t>Флударабин</w:t>
            </w:r>
          </w:p>
        </w:tc>
        <w:tc>
          <w:tcPr>
            <w:tcW w:w="1276" w:type="dxa"/>
            <w:vAlign w:val="center"/>
          </w:tcPr>
          <w:p w14:paraId="479D7B1B"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7" w:type="dxa"/>
            <w:vAlign w:val="center"/>
          </w:tcPr>
          <w:p w14:paraId="7F889BF3" w14:textId="77777777" w:rsidR="00BE7F89" w:rsidRPr="00AC3044" w:rsidRDefault="00BE7F89" w:rsidP="005A428D">
            <w:pPr>
              <w:rPr>
                <w:rFonts w:eastAsia="SimSun"/>
              </w:rPr>
            </w:pPr>
            <w:r w:rsidRPr="00AC3044">
              <w:rPr>
                <w:rFonts w:eastAsia="SimSun"/>
              </w:rPr>
              <w:t>150 мг/м</w:t>
            </w:r>
            <w:r w:rsidRPr="0074195F">
              <w:rPr>
                <w:rFonts w:eastAsia="SimSun"/>
                <w:vertAlign w:val="superscript"/>
              </w:rPr>
              <w:t>2</w:t>
            </w:r>
          </w:p>
        </w:tc>
        <w:tc>
          <w:tcPr>
            <w:tcW w:w="1843" w:type="dxa"/>
            <w:vAlign w:val="center"/>
          </w:tcPr>
          <w:p w14:paraId="36D3B968" w14:textId="77777777" w:rsidR="00BE7F89" w:rsidRPr="00AC3044" w:rsidRDefault="00BE7F89" w:rsidP="005A428D">
            <w:pPr>
              <w:rPr>
                <w:rFonts w:eastAsia="SimSun"/>
              </w:rPr>
            </w:pPr>
            <w:r w:rsidRPr="00AC3044">
              <w:rPr>
                <w:rFonts w:eastAsia="SimSun"/>
              </w:rPr>
              <w:t>–6,–5,–4, –3, –2</w:t>
            </w:r>
          </w:p>
        </w:tc>
        <w:tc>
          <w:tcPr>
            <w:tcW w:w="2835" w:type="dxa"/>
            <w:vAlign w:val="center"/>
          </w:tcPr>
          <w:p w14:paraId="737C95A2"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24316D2A" w14:textId="77777777" w:rsidTr="005A428D">
        <w:trPr>
          <w:cantSplit/>
          <w:trHeight w:val="548"/>
        </w:trPr>
        <w:tc>
          <w:tcPr>
            <w:tcW w:w="709" w:type="dxa"/>
            <w:vMerge w:val="restart"/>
            <w:textDirection w:val="btLr"/>
            <w:vAlign w:val="center"/>
          </w:tcPr>
          <w:p w14:paraId="4ED976BB" w14:textId="77777777" w:rsidR="00BE7F89" w:rsidRPr="00AC3044" w:rsidRDefault="00BE7F89" w:rsidP="005A428D">
            <w:pPr>
              <w:rPr>
                <w:rFonts w:eastAsia="SimSun"/>
              </w:rPr>
            </w:pPr>
            <w:r w:rsidRPr="00AC3044">
              <w:rPr>
                <w:rFonts w:eastAsia="SimSun"/>
              </w:rPr>
              <w:t>Профилактика РТПХ</w:t>
            </w:r>
          </w:p>
        </w:tc>
        <w:tc>
          <w:tcPr>
            <w:tcW w:w="2410" w:type="dxa"/>
            <w:vAlign w:val="center"/>
          </w:tcPr>
          <w:p w14:paraId="07ACC1E6" w14:textId="77777777" w:rsidR="00BE7F89" w:rsidRPr="00AC3044" w:rsidRDefault="00BE7F89" w:rsidP="005A428D">
            <w:pPr>
              <w:rPr>
                <w:rFonts w:eastAsia="SimSun"/>
              </w:rPr>
            </w:pPr>
            <w:r w:rsidRPr="00AC3044">
              <w:rPr>
                <w:rFonts w:eastAsia="SimSun"/>
              </w:rPr>
              <w:t>Ритуксимаб</w:t>
            </w:r>
          </w:p>
        </w:tc>
        <w:tc>
          <w:tcPr>
            <w:tcW w:w="1276" w:type="dxa"/>
            <w:vAlign w:val="center"/>
          </w:tcPr>
          <w:p w14:paraId="09973F7E" w14:textId="77777777" w:rsidR="00BE7F89" w:rsidRPr="00AC3044" w:rsidRDefault="00BE7F89" w:rsidP="005A428D">
            <w:pPr>
              <w:rPr>
                <w:rFonts w:eastAsia="SimSun"/>
              </w:rPr>
            </w:pPr>
            <w:r w:rsidRPr="00AC3044">
              <w:rPr>
                <w:rFonts w:eastAsia="SimSun"/>
              </w:rPr>
              <w:t>100  мг/м</w:t>
            </w:r>
            <w:r w:rsidRPr="0074195F">
              <w:rPr>
                <w:rFonts w:eastAsia="SimSun"/>
                <w:vertAlign w:val="superscript"/>
              </w:rPr>
              <w:t>2</w:t>
            </w:r>
          </w:p>
        </w:tc>
        <w:tc>
          <w:tcPr>
            <w:tcW w:w="1417" w:type="dxa"/>
            <w:vAlign w:val="center"/>
          </w:tcPr>
          <w:p w14:paraId="0A6B7B53" w14:textId="77777777" w:rsidR="00BE7F89" w:rsidRPr="00AC3044" w:rsidRDefault="00BE7F89" w:rsidP="005A428D">
            <w:pPr>
              <w:rPr>
                <w:rFonts w:eastAsia="SimSun"/>
              </w:rPr>
            </w:pPr>
            <w:r w:rsidRPr="00AC3044">
              <w:rPr>
                <w:rFonts w:eastAsia="SimSun"/>
              </w:rPr>
              <w:t>100  мг/м</w:t>
            </w:r>
            <w:r w:rsidRPr="0074195F">
              <w:rPr>
                <w:rFonts w:eastAsia="SimSun"/>
                <w:vertAlign w:val="superscript"/>
              </w:rPr>
              <w:t>2</w:t>
            </w:r>
          </w:p>
        </w:tc>
        <w:tc>
          <w:tcPr>
            <w:tcW w:w="1843" w:type="dxa"/>
            <w:vAlign w:val="center"/>
          </w:tcPr>
          <w:p w14:paraId="5866DB9E" w14:textId="77777777" w:rsidR="00BE7F89" w:rsidRPr="00AC3044" w:rsidRDefault="00BE7F89" w:rsidP="005A428D">
            <w:pPr>
              <w:rPr>
                <w:rFonts w:eastAsia="SimSun"/>
              </w:rPr>
            </w:pPr>
            <w:r w:rsidRPr="00AC3044">
              <w:rPr>
                <w:rFonts w:eastAsia="SimSun"/>
              </w:rPr>
              <w:t>–1</w:t>
            </w:r>
          </w:p>
        </w:tc>
        <w:tc>
          <w:tcPr>
            <w:tcW w:w="2835" w:type="dxa"/>
            <w:vAlign w:val="center"/>
          </w:tcPr>
          <w:p w14:paraId="7D042CA3"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4C9B5AED" w14:textId="77777777" w:rsidTr="005A428D">
        <w:trPr>
          <w:cantSplit/>
          <w:trHeight w:val="20"/>
        </w:trPr>
        <w:tc>
          <w:tcPr>
            <w:tcW w:w="709" w:type="dxa"/>
            <w:vMerge/>
            <w:textDirection w:val="btLr"/>
          </w:tcPr>
          <w:p w14:paraId="1735B928" w14:textId="77777777" w:rsidR="00BE7F89" w:rsidRPr="00AC3044" w:rsidRDefault="00BE7F89" w:rsidP="005A428D">
            <w:pPr>
              <w:rPr>
                <w:rFonts w:eastAsia="SimSun"/>
              </w:rPr>
            </w:pPr>
          </w:p>
        </w:tc>
        <w:tc>
          <w:tcPr>
            <w:tcW w:w="2410" w:type="dxa"/>
            <w:vAlign w:val="center"/>
          </w:tcPr>
          <w:p w14:paraId="030CDF4B" w14:textId="77777777" w:rsidR="00BE7F89" w:rsidRPr="00AC3044" w:rsidRDefault="00BE7F89" w:rsidP="005A428D">
            <w:pPr>
              <w:rPr>
                <w:rFonts w:eastAsia="SimSun"/>
              </w:rPr>
            </w:pPr>
            <w:r w:rsidRPr="00AC3044">
              <w:rPr>
                <w:rFonts w:eastAsia="SimSun"/>
              </w:rPr>
              <w:t>Тоцилизумаб</w:t>
            </w:r>
          </w:p>
        </w:tc>
        <w:tc>
          <w:tcPr>
            <w:tcW w:w="1276" w:type="dxa"/>
            <w:vAlign w:val="center"/>
          </w:tcPr>
          <w:p w14:paraId="1FDEF6B9" w14:textId="77777777" w:rsidR="00BE7F89" w:rsidRPr="00AC3044" w:rsidRDefault="00BE7F89" w:rsidP="005A428D">
            <w:pPr>
              <w:rPr>
                <w:rFonts w:eastAsia="SimSun"/>
              </w:rPr>
            </w:pPr>
            <w:r w:rsidRPr="00AC3044">
              <w:rPr>
                <w:rFonts w:eastAsia="SimSun"/>
              </w:rPr>
              <w:t>8 мг/кг</w:t>
            </w:r>
          </w:p>
        </w:tc>
        <w:tc>
          <w:tcPr>
            <w:tcW w:w="1417" w:type="dxa"/>
            <w:vAlign w:val="center"/>
          </w:tcPr>
          <w:p w14:paraId="47ABCCB5" w14:textId="77777777" w:rsidR="00BE7F89" w:rsidRPr="00AC3044" w:rsidRDefault="00BE7F89" w:rsidP="005A428D">
            <w:pPr>
              <w:rPr>
                <w:rFonts w:eastAsia="SimSun"/>
              </w:rPr>
            </w:pPr>
            <w:r w:rsidRPr="00AC3044">
              <w:rPr>
                <w:rFonts w:eastAsia="SimSun"/>
              </w:rPr>
              <w:t>8 мг/кг</w:t>
            </w:r>
          </w:p>
        </w:tc>
        <w:tc>
          <w:tcPr>
            <w:tcW w:w="1843" w:type="dxa"/>
            <w:vAlign w:val="center"/>
          </w:tcPr>
          <w:p w14:paraId="24D920C2" w14:textId="77777777" w:rsidR="00BE7F89" w:rsidRPr="00AC3044" w:rsidRDefault="00BE7F89" w:rsidP="005A428D">
            <w:pPr>
              <w:rPr>
                <w:rFonts w:eastAsia="SimSun"/>
              </w:rPr>
            </w:pPr>
            <w:r w:rsidRPr="00AC3044">
              <w:rPr>
                <w:rFonts w:eastAsia="SimSun"/>
              </w:rPr>
              <w:t>–1, +21</w:t>
            </w:r>
          </w:p>
        </w:tc>
        <w:tc>
          <w:tcPr>
            <w:tcW w:w="2835" w:type="dxa"/>
            <w:vAlign w:val="center"/>
          </w:tcPr>
          <w:p w14:paraId="38CA869F"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676622BB" w14:textId="77777777" w:rsidTr="005A428D">
        <w:trPr>
          <w:cantSplit/>
          <w:trHeight w:val="20"/>
        </w:trPr>
        <w:tc>
          <w:tcPr>
            <w:tcW w:w="709" w:type="dxa"/>
            <w:vMerge/>
            <w:textDirection w:val="btLr"/>
          </w:tcPr>
          <w:p w14:paraId="7EFC15C7" w14:textId="77777777" w:rsidR="00BE7F89" w:rsidRPr="00AC3044" w:rsidRDefault="00BE7F89" w:rsidP="005A428D">
            <w:pPr>
              <w:rPr>
                <w:rFonts w:eastAsia="SimSun"/>
              </w:rPr>
            </w:pPr>
          </w:p>
        </w:tc>
        <w:tc>
          <w:tcPr>
            <w:tcW w:w="2410" w:type="dxa"/>
            <w:vAlign w:val="center"/>
          </w:tcPr>
          <w:p w14:paraId="27DC71C6" w14:textId="77777777" w:rsidR="00BE7F89" w:rsidRPr="00AC3044" w:rsidRDefault="00BE7F89" w:rsidP="005A428D">
            <w:pPr>
              <w:rPr>
                <w:rFonts w:eastAsia="SimSun"/>
              </w:rPr>
            </w:pPr>
            <w:r w:rsidRPr="00AC3044">
              <w:rPr>
                <w:rFonts w:eastAsia="SimSun"/>
              </w:rPr>
              <w:t>Абатацепт1</w:t>
            </w:r>
          </w:p>
        </w:tc>
        <w:tc>
          <w:tcPr>
            <w:tcW w:w="1276" w:type="dxa"/>
            <w:vAlign w:val="center"/>
          </w:tcPr>
          <w:p w14:paraId="4F0583C8" w14:textId="77777777" w:rsidR="00BE7F89" w:rsidRPr="00AC3044" w:rsidRDefault="00BE7F89" w:rsidP="005A428D">
            <w:pPr>
              <w:rPr>
                <w:rFonts w:eastAsia="SimSun"/>
              </w:rPr>
            </w:pPr>
            <w:r w:rsidRPr="00AC3044">
              <w:rPr>
                <w:rFonts w:eastAsia="SimSun"/>
              </w:rPr>
              <w:t>10 мг/кг</w:t>
            </w:r>
          </w:p>
        </w:tc>
        <w:tc>
          <w:tcPr>
            <w:tcW w:w="1417" w:type="dxa"/>
            <w:vAlign w:val="center"/>
          </w:tcPr>
          <w:p w14:paraId="219D7B1B" w14:textId="77777777" w:rsidR="00BE7F89" w:rsidRPr="00AC3044" w:rsidRDefault="00BE7F89" w:rsidP="005A428D">
            <w:pPr>
              <w:rPr>
                <w:rFonts w:eastAsia="SimSun"/>
              </w:rPr>
            </w:pPr>
            <w:r w:rsidRPr="00AC3044">
              <w:rPr>
                <w:rFonts w:eastAsia="SimSun"/>
              </w:rPr>
              <w:t>40 мг/кг</w:t>
            </w:r>
          </w:p>
        </w:tc>
        <w:tc>
          <w:tcPr>
            <w:tcW w:w="1843" w:type="dxa"/>
            <w:vAlign w:val="center"/>
          </w:tcPr>
          <w:p w14:paraId="3188806B" w14:textId="77777777" w:rsidR="00BE7F89" w:rsidRPr="00AC3044" w:rsidRDefault="00BE7F89" w:rsidP="005A428D">
            <w:pPr>
              <w:rPr>
                <w:rFonts w:eastAsia="SimSun"/>
              </w:rPr>
            </w:pPr>
            <w:r w:rsidRPr="00AC3044">
              <w:rPr>
                <w:rFonts w:eastAsia="SimSun"/>
              </w:rPr>
              <w:t>–1,+7,+14,+28</w:t>
            </w:r>
          </w:p>
        </w:tc>
        <w:tc>
          <w:tcPr>
            <w:tcW w:w="2835" w:type="dxa"/>
            <w:vAlign w:val="center"/>
          </w:tcPr>
          <w:p w14:paraId="5CB358E5" w14:textId="77777777" w:rsidR="00BE7F89" w:rsidRPr="00AC3044" w:rsidRDefault="00BE7F89" w:rsidP="005A428D">
            <w:pPr>
              <w:rPr>
                <w:rFonts w:eastAsia="SimSun"/>
              </w:rPr>
            </w:pPr>
            <w:r w:rsidRPr="00AC3044">
              <w:rPr>
                <w:rFonts w:eastAsia="SimSun"/>
              </w:rPr>
              <w:t>В/в, в течение 30 мин</w:t>
            </w:r>
          </w:p>
        </w:tc>
      </w:tr>
      <w:tr w:rsidR="00BE7F89" w:rsidRPr="00AC3044" w14:paraId="79E1D15E" w14:textId="77777777" w:rsidTr="005A428D">
        <w:trPr>
          <w:cantSplit/>
          <w:trHeight w:val="1797"/>
        </w:trPr>
        <w:tc>
          <w:tcPr>
            <w:tcW w:w="709" w:type="dxa"/>
            <w:textDirection w:val="btLr"/>
            <w:vAlign w:val="center"/>
          </w:tcPr>
          <w:p w14:paraId="544F3C18" w14:textId="77777777" w:rsidR="00BE7F89" w:rsidRPr="00AC3044" w:rsidRDefault="00BE7F89" w:rsidP="005A428D">
            <w:pPr>
              <w:rPr>
                <w:rFonts w:eastAsia="SimSun"/>
              </w:rPr>
            </w:pPr>
            <w:r w:rsidRPr="00AC3044">
              <w:rPr>
                <w:rFonts w:eastAsia="SimSun"/>
              </w:rPr>
              <w:t>Ex vivo манипуляция  с трансплантатом</w:t>
            </w:r>
          </w:p>
        </w:tc>
        <w:tc>
          <w:tcPr>
            <w:tcW w:w="2410" w:type="dxa"/>
            <w:vAlign w:val="center"/>
          </w:tcPr>
          <w:p w14:paraId="7EC14E97" w14:textId="77777777" w:rsidR="00BE7F89" w:rsidRPr="00AC3044" w:rsidRDefault="00BE7F89" w:rsidP="005A428D">
            <w:pPr>
              <w:rPr>
                <w:rFonts w:eastAsia="SimSun"/>
              </w:rPr>
            </w:pPr>
            <w:r w:rsidRPr="00AC3044">
              <w:rPr>
                <w:rFonts w:eastAsia="SimSun"/>
              </w:rPr>
              <w:t>Комплексная услуга TCRαβ/CD19 деплеция</w:t>
            </w:r>
          </w:p>
        </w:tc>
        <w:tc>
          <w:tcPr>
            <w:tcW w:w="1276" w:type="dxa"/>
            <w:vAlign w:val="center"/>
          </w:tcPr>
          <w:p w14:paraId="58F0E9F2" w14:textId="77777777" w:rsidR="00BE7F89" w:rsidRPr="00AC3044" w:rsidRDefault="00BE7F89" w:rsidP="005A428D">
            <w:pPr>
              <w:rPr>
                <w:rFonts w:eastAsia="SimSun"/>
              </w:rPr>
            </w:pPr>
            <w:r w:rsidRPr="00AC3044">
              <w:rPr>
                <w:rFonts w:eastAsia="SimSun"/>
              </w:rPr>
              <w:t>–</w:t>
            </w:r>
          </w:p>
        </w:tc>
        <w:tc>
          <w:tcPr>
            <w:tcW w:w="1417" w:type="dxa"/>
            <w:vAlign w:val="center"/>
          </w:tcPr>
          <w:p w14:paraId="2D4BC2C1" w14:textId="77777777" w:rsidR="00BE7F89" w:rsidRPr="00AC3044" w:rsidRDefault="00BE7F89" w:rsidP="005A428D">
            <w:pPr>
              <w:rPr>
                <w:rFonts w:eastAsia="SimSun"/>
              </w:rPr>
            </w:pPr>
            <w:r w:rsidRPr="00AC3044">
              <w:rPr>
                <w:rFonts w:eastAsia="SimSun"/>
              </w:rPr>
              <w:t>–</w:t>
            </w:r>
          </w:p>
        </w:tc>
        <w:tc>
          <w:tcPr>
            <w:tcW w:w="1843" w:type="dxa"/>
            <w:vAlign w:val="center"/>
          </w:tcPr>
          <w:p w14:paraId="4E7B37C9" w14:textId="77777777" w:rsidR="00BE7F89" w:rsidRPr="00AC3044" w:rsidRDefault="00BE7F89" w:rsidP="005A428D">
            <w:pPr>
              <w:rPr>
                <w:rFonts w:eastAsia="SimSun"/>
              </w:rPr>
            </w:pPr>
            <w:r w:rsidRPr="00AC3044">
              <w:rPr>
                <w:rFonts w:eastAsia="SimSun"/>
              </w:rPr>
              <w:t>0</w:t>
            </w:r>
          </w:p>
        </w:tc>
        <w:tc>
          <w:tcPr>
            <w:tcW w:w="2835" w:type="dxa"/>
            <w:vAlign w:val="center"/>
          </w:tcPr>
          <w:p w14:paraId="6817F368" w14:textId="77777777" w:rsidR="00BE7F89" w:rsidRPr="00AC3044" w:rsidRDefault="00BE7F89" w:rsidP="005A428D">
            <w:pPr>
              <w:rPr>
                <w:rFonts w:eastAsia="SimSun"/>
              </w:rPr>
            </w:pPr>
            <w:r w:rsidRPr="00AC3044">
              <w:rPr>
                <w:rFonts w:eastAsia="SimSun"/>
              </w:rPr>
              <w:t>-</w:t>
            </w:r>
          </w:p>
        </w:tc>
      </w:tr>
      <w:tr w:rsidR="00BE7F89" w:rsidRPr="00AC3044" w14:paraId="20BDBCF7" w14:textId="77777777" w:rsidTr="005A428D">
        <w:trPr>
          <w:trHeight w:val="20"/>
        </w:trPr>
        <w:tc>
          <w:tcPr>
            <w:tcW w:w="10490" w:type="dxa"/>
            <w:gridSpan w:val="6"/>
          </w:tcPr>
          <w:p w14:paraId="6729F543" w14:textId="77777777" w:rsidR="00BE7F89" w:rsidRPr="00AC3044" w:rsidRDefault="00BE7F89" w:rsidP="005A428D">
            <w:pPr>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4FB2FDC1" w14:textId="77777777" w:rsidR="00BE7F89" w:rsidRPr="00AC3044" w:rsidRDefault="00BE7F89" w:rsidP="005A428D">
            <w:pPr>
              <w:rPr>
                <w:rFonts w:eastAsia="SimSun"/>
              </w:rPr>
            </w:pPr>
          </w:p>
        </w:tc>
      </w:tr>
    </w:tbl>
    <w:p w14:paraId="2A072021" w14:textId="77777777" w:rsidR="00BE7F89" w:rsidRDefault="00BE7F89" w:rsidP="00BE7F89">
      <w:pPr>
        <w:rPr>
          <w:rFonts w:eastAsia="SimSun"/>
        </w:rPr>
      </w:pPr>
      <w:bookmarkStart w:id="229" w:name="_Toc44401245"/>
    </w:p>
    <w:p w14:paraId="6E686801" w14:textId="77777777" w:rsidR="00BE7F89" w:rsidRPr="00C07B2E" w:rsidRDefault="00BE7F89" w:rsidP="00BE7F89">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4.3  – Flu150+Bu12+Thio / TCRαβ-CD19</w:t>
      </w:r>
      <w:bookmarkEnd w:id="229"/>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BE7F89" w:rsidRPr="00AC3044" w14:paraId="540E41B3" w14:textId="77777777" w:rsidTr="005A428D">
        <w:trPr>
          <w:cantSplit/>
          <w:trHeight w:val="20"/>
          <w:tblHeader/>
        </w:trPr>
        <w:tc>
          <w:tcPr>
            <w:tcW w:w="709" w:type="dxa"/>
          </w:tcPr>
          <w:p w14:paraId="366ADC49" w14:textId="77777777" w:rsidR="00BE7F89" w:rsidRPr="006A5E21" w:rsidRDefault="00BE7F89" w:rsidP="005A428D">
            <w:pPr>
              <w:rPr>
                <w:rFonts w:eastAsia="SimSun"/>
              </w:rPr>
            </w:pPr>
          </w:p>
        </w:tc>
        <w:tc>
          <w:tcPr>
            <w:tcW w:w="2410" w:type="dxa"/>
            <w:vAlign w:val="center"/>
          </w:tcPr>
          <w:p w14:paraId="3C91A1FB" w14:textId="77777777" w:rsidR="00BE7F89" w:rsidRPr="00AC3044" w:rsidRDefault="00BE7F89" w:rsidP="005A428D">
            <w:pPr>
              <w:rPr>
                <w:rFonts w:eastAsia="SimSun"/>
              </w:rPr>
            </w:pPr>
            <w:r w:rsidRPr="00AC3044">
              <w:rPr>
                <w:rFonts w:eastAsia="SimSun"/>
              </w:rPr>
              <w:t>Препарат</w:t>
            </w:r>
          </w:p>
        </w:tc>
        <w:tc>
          <w:tcPr>
            <w:tcW w:w="1276" w:type="dxa"/>
            <w:vAlign w:val="center"/>
          </w:tcPr>
          <w:p w14:paraId="39FFDC45" w14:textId="77777777" w:rsidR="00BE7F89" w:rsidRPr="00AC3044" w:rsidRDefault="00BE7F89" w:rsidP="005A428D">
            <w:pPr>
              <w:rPr>
                <w:rFonts w:eastAsia="SimSun"/>
              </w:rPr>
            </w:pPr>
            <w:r w:rsidRPr="00AC3044">
              <w:rPr>
                <w:rFonts w:eastAsia="SimSun"/>
              </w:rPr>
              <w:t>Суточная доза</w:t>
            </w:r>
          </w:p>
        </w:tc>
        <w:tc>
          <w:tcPr>
            <w:tcW w:w="1417" w:type="dxa"/>
            <w:vAlign w:val="center"/>
          </w:tcPr>
          <w:p w14:paraId="27B224DA" w14:textId="77777777" w:rsidR="00BE7F89" w:rsidRPr="00AC3044" w:rsidRDefault="00BE7F89" w:rsidP="005A428D">
            <w:pPr>
              <w:rPr>
                <w:rFonts w:eastAsia="SimSun"/>
              </w:rPr>
            </w:pPr>
            <w:r w:rsidRPr="00AC3044">
              <w:rPr>
                <w:rFonts w:eastAsia="SimSun"/>
              </w:rPr>
              <w:t>Курсовая доза</w:t>
            </w:r>
          </w:p>
        </w:tc>
        <w:tc>
          <w:tcPr>
            <w:tcW w:w="1843" w:type="dxa"/>
            <w:vAlign w:val="center"/>
          </w:tcPr>
          <w:p w14:paraId="783C743E" w14:textId="77777777" w:rsidR="00BE7F89" w:rsidRPr="00AC3044" w:rsidRDefault="00BE7F89" w:rsidP="005A428D">
            <w:pPr>
              <w:rPr>
                <w:rFonts w:eastAsia="SimSun"/>
              </w:rPr>
            </w:pPr>
            <w:r w:rsidRPr="00AC3044">
              <w:rPr>
                <w:rFonts w:eastAsia="SimSun"/>
              </w:rPr>
              <w:t>Дни введения</w:t>
            </w:r>
          </w:p>
        </w:tc>
        <w:tc>
          <w:tcPr>
            <w:tcW w:w="2835" w:type="dxa"/>
            <w:vAlign w:val="center"/>
          </w:tcPr>
          <w:p w14:paraId="42445F71"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3E33E591" w14:textId="77777777" w:rsidTr="005A428D">
        <w:trPr>
          <w:cantSplit/>
          <w:trHeight w:val="20"/>
        </w:trPr>
        <w:tc>
          <w:tcPr>
            <w:tcW w:w="709" w:type="dxa"/>
            <w:vMerge w:val="restart"/>
            <w:textDirection w:val="btLr"/>
            <w:vAlign w:val="center"/>
          </w:tcPr>
          <w:p w14:paraId="41FB4D17" w14:textId="77777777" w:rsidR="00BE7F89" w:rsidRPr="00AC3044" w:rsidRDefault="00BE7F89" w:rsidP="005A428D">
            <w:pPr>
              <w:rPr>
                <w:rFonts w:eastAsia="SimSun"/>
              </w:rPr>
            </w:pPr>
            <w:r w:rsidRPr="00AC3044">
              <w:rPr>
                <w:rFonts w:eastAsia="SimSun"/>
              </w:rPr>
              <w:t>Кондиционирование</w:t>
            </w:r>
          </w:p>
        </w:tc>
        <w:tc>
          <w:tcPr>
            <w:tcW w:w="2410" w:type="dxa"/>
          </w:tcPr>
          <w:p w14:paraId="60C935C2" w14:textId="77777777" w:rsidR="00BE7F89" w:rsidRPr="00AC3044" w:rsidRDefault="00BE7F89" w:rsidP="005A428D">
            <w:pPr>
              <w:rPr>
                <w:rFonts w:eastAsia="SimSun"/>
              </w:rPr>
            </w:pPr>
            <w:r w:rsidRPr="00AC3044">
              <w:rPr>
                <w:rFonts w:eastAsia="SimSun"/>
              </w:rPr>
              <w:t>Бусульфан</w:t>
            </w:r>
          </w:p>
        </w:tc>
        <w:tc>
          <w:tcPr>
            <w:tcW w:w="1276" w:type="dxa"/>
          </w:tcPr>
          <w:p w14:paraId="22203B7B" w14:textId="77777777" w:rsidR="00BE7F89" w:rsidRPr="00AC3044" w:rsidRDefault="00BE7F89" w:rsidP="005A428D">
            <w:pPr>
              <w:rPr>
                <w:rFonts w:eastAsia="SimSun"/>
              </w:rPr>
            </w:pPr>
            <w:r w:rsidRPr="00AC3044">
              <w:rPr>
                <w:rFonts w:eastAsia="SimSun"/>
              </w:rPr>
              <w:t>4 мг/кг</w:t>
            </w:r>
          </w:p>
        </w:tc>
        <w:tc>
          <w:tcPr>
            <w:tcW w:w="1417" w:type="dxa"/>
          </w:tcPr>
          <w:p w14:paraId="499695A8" w14:textId="77777777" w:rsidR="00BE7F89" w:rsidRPr="00AC3044" w:rsidRDefault="00BE7F89" w:rsidP="005A428D">
            <w:pPr>
              <w:rPr>
                <w:rFonts w:eastAsia="SimSun"/>
              </w:rPr>
            </w:pPr>
            <w:r w:rsidRPr="00AC3044">
              <w:rPr>
                <w:rFonts w:eastAsia="SimSun"/>
              </w:rPr>
              <w:t>12мг/кг</w:t>
            </w:r>
          </w:p>
        </w:tc>
        <w:tc>
          <w:tcPr>
            <w:tcW w:w="1843" w:type="dxa"/>
          </w:tcPr>
          <w:p w14:paraId="30F81BCF" w14:textId="77777777" w:rsidR="00BE7F89" w:rsidRPr="00AC3044" w:rsidRDefault="00BE7F89" w:rsidP="005A428D">
            <w:pPr>
              <w:rPr>
                <w:rFonts w:eastAsia="SimSun"/>
              </w:rPr>
            </w:pPr>
            <w:r w:rsidRPr="00AC3044">
              <w:rPr>
                <w:rFonts w:eastAsia="SimSun"/>
              </w:rPr>
              <w:t>–5,–4,–3</w:t>
            </w:r>
          </w:p>
        </w:tc>
        <w:tc>
          <w:tcPr>
            <w:tcW w:w="2835" w:type="dxa"/>
          </w:tcPr>
          <w:p w14:paraId="394F9C81" w14:textId="77777777" w:rsidR="00BE7F89" w:rsidRPr="00AC3044" w:rsidRDefault="00BE7F89" w:rsidP="005A428D">
            <w:pPr>
              <w:rPr>
                <w:rFonts w:eastAsia="SimSun"/>
              </w:rPr>
            </w:pPr>
            <w:r w:rsidRPr="00AC3044">
              <w:rPr>
                <w:rFonts w:eastAsia="SimSun"/>
              </w:rPr>
              <w:t>Внутрь, суммарная суточная доза разделяется на 4 приема с интервалом 6 часов.</w:t>
            </w:r>
          </w:p>
        </w:tc>
      </w:tr>
      <w:tr w:rsidR="00BE7F89" w:rsidRPr="00AC3044" w14:paraId="268F9C06" w14:textId="77777777" w:rsidTr="005A428D">
        <w:trPr>
          <w:cantSplit/>
          <w:trHeight w:val="458"/>
        </w:trPr>
        <w:tc>
          <w:tcPr>
            <w:tcW w:w="709" w:type="dxa"/>
            <w:vMerge/>
            <w:textDirection w:val="btLr"/>
            <w:vAlign w:val="center"/>
          </w:tcPr>
          <w:p w14:paraId="67FACA4F" w14:textId="77777777" w:rsidR="00BE7F89" w:rsidRPr="00AC3044" w:rsidRDefault="00BE7F89" w:rsidP="005A428D">
            <w:pPr>
              <w:rPr>
                <w:rFonts w:eastAsia="SimSun"/>
              </w:rPr>
            </w:pPr>
          </w:p>
        </w:tc>
        <w:tc>
          <w:tcPr>
            <w:tcW w:w="2410" w:type="dxa"/>
            <w:vAlign w:val="center"/>
          </w:tcPr>
          <w:p w14:paraId="1B30225A" w14:textId="77777777" w:rsidR="00BE7F89" w:rsidRPr="00AC3044" w:rsidRDefault="00BE7F89" w:rsidP="005A428D">
            <w:pPr>
              <w:rPr>
                <w:rFonts w:eastAsia="SimSun"/>
              </w:rPr>
            </w:pPr>
            <w:r w:rsidRPr="00AC3044">
              <w:rPr>
                <w:rFonts w:eastAsia="SimSun"/>
              </w:rPr>
              <w:t>Тиотепа</w:t>
            </w:r>
          </w:p>
        </w:tc>
        <w:tc>
          <w:tcPr>
            <w:tcW w:w="1276" w:type="dxa"/>
            <w:vAlign w:val="center"/>
          </w:tcPr>
          <w:p w14:paraId="20A28E85" w14:textId="77777777" w:rsidR="00BE7F89" w:rsidRPr="00AC3044" w:rsidRDefault="00BE7F89" w:rsidP="005A428D">
            <w:pPr>
              <w:rPr>
                <w:rFonts w:eastAsia="SimSun"/>
              </w:rPr>
            </w:pPr>
            <w:r w:rsidRPr="00AC3044">
              <w:rPr>
                <w:rFonts w:eastAsia="SimSun"/>
              </w:rPr>
              <w:t xml:space="preserve">5мг/кг </w:t>
            </w:r>
          </w:p>
        </w:tc>
        <w:tc>
          <w:tcPr>
            <w:tcW w:w="1417" w:type="dxa"/>
            <w:vAlign w:val="center"/>
          </w:tcPr>
          <w:p w14:paraId="17424428" w14:textId="77777777" w:rsidR="00BE7F89" w:rsidRPr="00AC3044" w:rsidRDefault="00BE7F89" w:rsidP="005A428D">
            <w:pPr>
              <w:rPr>
                <w:rFonts w:eastAsia="SimSun"/>
              </w:rPr>
            </w:pPr>
            <w:r w:rsidRPr="00AC3044">
              <w:rPr>
                <w:rFonts w:eastAsia="SimSun"/>
              </w:rPr>
              <w:t>10 мг/кг</w:t>
            </w:r>
          </w:p>
        </w:tc>
        <w:tc>
          <w:tcPr>
            <w:tcW w:w="1843" w:type="dxa"/>
            <w:vAlign w:val="center"/>
          </w:tcPr>
          <w:p w14:paraId="643D8314" w14:textId="77777777" w:rsidR="00BE7F89" w:rsidRPr="00AC3044" w:rsidRDefault="00BE7F89" w:rsidP="005A428D">
            <w:pPr>
              <w:rPr>
                <w:rFonts w:eastAsia="SimSun"/>
              </w:rPr>
            </w:pPr>
            <w:r w:rsidRPr="00AC3044">
              <w:rPr>
                <w:rFonts w:eastAsia="SimSun"/>
              </w:rPr>
              <w:t>–6,–5</w:t>
            </w:r>
          </w:p>
        </w:tc>
        <w:tc>
          <w:tcPr>
            <w:tcW w:w="2835" w:type="dxa"/>
            <w:vAlign w:val="center"/>
          </w:tcPr>
          <w:p w14:paraId="26DA7A39"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4A05F35A" w14:textId="77777777" w:rsidTr="005A428D">
        <w:trPr>
          <w:cantSplit/>
          <w:trHeight w:val="550"/>
        </w:trPr>
        <w:tc>
          <w:tcPr>
            <w:tcW w:w="709" w:type="dxa"/>
            <w:vMerge/>
            <w:textDirection w:val="btLr"/>
            <w:vAlign w:val="center"/>
          </w:tcPr>
          <w:p w14:paraId="6E61584F" w14:textId="77777777" w:rsidR="00BE7F89" w:rsidRPr="00AC3044" w:rsidRDefault="00BE7F89" w:rsidP="005A428D">
            <w:pPr>
              <w:rPr>
                <w:rFonts w:eastAsia="SimSun"/>
              </w:rPr>
            </w:pPr>
          </w:p>
        </w:tc>
        <w:tc>
          <w:tcPr>
            <w:tcW w:w="2410" w:type="dxa"/>
            <w:vAlign w:val="center"/>
          </w:tcPr>
          <w:p w14:paraId="2785CF81" w14:textId="77777777" w:rsidR="00BE7F89" w:rsidRPr="00AC3044" w:rsidRDefault="00BE7F89" w:rsidP="005A428D">
            <w:pPr>
              <w:rPr>
                <w:rFonts w:eastAsia="SimSun"/>
              </w:rPr>
            </w:pPr>
            <w:r w:rsidRPr="00AC3044">
              <w:rPr>
                <w:rFonts w:eastAsia="SimSun"/>
              </w:rPr>
              <w:t>Флударабин</w:t>
            </w:r>
          </w:p>
        </w:tc>
        <w:tc>
          <w:tcPr>
            <w:tcW w:w="1276" w:type="dxa"/>
            <w:vAlign w:val="center"/>
          </w:tcPr>
          <w:p w14:paraId="537644A1" w14:textId="77777777" w:rsidR="00BE7F89" w:rsidRPr="00AC3044" w:rsidRDefault="00BE7F89" w:rsidP="005A428D">
            <w:pPr>
              <w:rPr>
                <w:rFonts w:eastAsia="SimSun"/>
              </w:rPr>
            </w:pPr>
            <w:r w:rsidRPr="00AC3044">
              <w:rPr>
                <w:rFonts w:eastAsia="SimSun"/>
              </w:rPr>
              <w:t>30 мг/м</w:t>
            </w:r>
            <w:r w:rsidRPr="0074195F">
              <w:rPr>
                <w:rFonts w:eastAsia="SimSun"/>
                <w:vertAlign w:val="superscript"/>
              </w:rPr>
              <w:t>2</w:t>
            </w:r>
          </w:p>
        </w:tc>
        <w:tc>
          <w:tcPr>
            <w:tcW w:w="1417" w:type="dxa"/>
            <w:vAlign w:val="center"/>
          </w:tcPr>
          <w:p w14:paraId="7B33BA3D" w14:textId="77777777" w:rsidR="00BE7F89" w:rsidRPr="00AC3044" w:rsidRDefault="00BE7F89" w:rsidP="005A428D">
            <w:pPr>
              <w:rPr>
                <w:rFonts w:eastAsia="SimSun"/>
              </w:rPr>
            </w:pPr>
            <w:r w:rsidRPr="00AC3044">
              <w:rPr>
                <w:rFonts w:eastAsia="SimSun"/>
              </w:rPr>
              <w:t>150 мг/м</w:t>
            </w:r>
            <w:r w:rsidRPr="0074195F">
              <w:rPr>
                <w:rFonts w:eastAsia="SimSun"/>
                <w:vertAlign w:val="superscript"/>
              </w:rPr>
              <w:t>2</w:t>
            </w:r>
          </w:p>
        </w:tc>
        <w:tc>
          <w:tcPr>
            <w:tcW w:w="1843" w:type="dxa"/>
            <w:vAlign w:val="center"/>
          </w:tcPr>
          <w:p w14:paraId="0A7CA9A1" w14:textId="77777777" w:rsidR="00BE7F89" w:rsidRPr="00AC3044" w:rsidRDefault="00BE7F89" w:rsidP="005A428D">
            <w:pPr>
              <w:rPr>
                <w:rFonts w:eastAsia="SimSun"/>
              </w:rPr>
            </w:pPr>
            <w:r w:rsidRPr="00AC3044">
              <w:rPr>
                <w:rFonts w:eastAsia="SimSun"/>
              </w:rPr>
              <w:t>–6,–5,–4, –3, –2</w:t>
            </w:r>
          </w:p>
        </w:tc>
        <w:tc>
          <w:tcPr>
            <w:tcW w:w="2835" w:type="dxa"/>
            <w:vAlign w:val="center"/>
          </w:tcPr>
          <w:p w14:paraId="6B843584" w14:textId="77777777" w:rsidR="00BE7F89" w:rsidRPr="00AC3044" w:rsidRDefault="00BE7F89" w:rsidP="005A428D">
            <w:pPr>
              <w:rPr>
                <w:rFonts w:eastAsia="SimSun"/>
              </w:rPr>
            </w:pPr>
            <w:r w:rsidRPr="00AC3044">
              <w:rPr>
                <w:rFonts w:eastAsia="SimSun"/>
              </w:rPr>
              <w:t>В/в, в течение 30 -60 мин</w:t>
            </w:r>
          </w:p>
        </w:tc>
      </w:tr>
      <w:tr w:rsidR="00BE7F89" w:rsidRPr="00AC3044" w14:paraId="727394EF" w14:textId="77777777" w:rsidTr="005A428D">
        <w:trPr>
          <w:cantSplit/>
          <w:trHeight w:val="416"/>
        </w:trPr>
        <w:tc>
          <w:tcPr>
            <w:tcW w:w="709" w:type="dxa"/>
            <w:vMerge w:val="restart"/>
            <w:textDirection w:val="btLr"/>
            <w:vAlign w:val="center"/>
          </w:tcPr>
          <w:p w14:paraId="61559AD6" w14:textId="77777777" w:rsidR="00BE7F89" w:rsidRPr="00AC3044" w:rsidRDefault="00BE7F89" w:rsidP="005A428D">
            <w:pPr>
              <w:rPr>
                <w:rFonts w:eastAsia="SimSun"/>
              </w:rPr>
            </w:pPr>
            <w:r w:rsidRPr="00AC3044">
              <w:rPr>
                <w:rFonts w:eastAsia="SimSun"/>
              </w:rPr>
              <w:t>Профилактика РТПХ</w:t>
            </w:r>
          </w:p>
        </w:tc>
        <w:tc>
          <w:tcPr>
            <w:tcW w:w="2410" w:type="dxa"/>
            <w:vAlign w:val="center"/>
          </w:tcPr>
          <w:p w14:paraId="2C21E719" w14:textId="77777777" w:rsidR="00BE7F89" w:rsidRPr="00AC3044" w:rsidRDefault="00BE7F89" w:rsidP="005A428D">
            <w:pPr>
              <w:rPr>
                <w:rFonts w:eastAsia="SimSun"/>
              </w:rPr>
            </w:pPr>
            <w:r w:rsidRPr="00AC3044">
              <w:rPr>
                <w:rFonts w:eastAsia="SimSun"/>
              </w:rPr>
              <w:t>Ритуксимаб</w:t>
            </w:r>
          </w:p>
        </w:tc>
        <w:tc>
          <w:tcPr>
            <w:tcW w:w="1276" w:type="dxa"/>
            <w:vAlign w:val="center"/>
          </w:tcPr>
          <w:p w14:paraId="2BAB7E61" w14:textId="77777777" w:rsidR="00BE7F89" w:rsidRPr="00AC3044" w:rsidRDefault="00BE7F89" w:rsidP="005A428D">
            <w:pPr>
              <w:rPr>
                <w:rFonts w:eastAsia="SimSun"/>
              </w:rPr>
            </w:pPr>
            <w:r w:rsidRPr="00AC3044">
              <w:rPr>
                <w:rFonts w:eastAsia="SimSun"/>
              </w:rPr>
              <w:t>100 мг/м</w:t>
            </w:r>
            <w:r w:rsidRPr="0074195F">
              <w:rPr>
                <w:rFonts w:eastAsia="SimSun"/>
                <w:vertAlign w:val="superscript"/>
              </w:rPr>
              <w:t>2</w:t>
            </w:r>
          </w:p>
        </w:tc>
        <w:tc>
          <w:tcPr>
            <w:tcW w:w="1417" w:type="dxa"/>
            <w:vAlign w:val="center"/>
          </w:tcPr>
          <w:p w14:paraId="6D1C0FF9" w14:textId="77777777" w:rsidR="00BE7F89" w:rsidRPr="00AC3044" w:rsidRDefault="00BE7F89" w:rsidP="005A428D">
            <w:pPr>
              <w:rPr>
                <w:rFonts w:eastAsia="SimSun"/>
              </w:rPr>
            </w:pPr>
            <w:r w:rsidRPr="00AC3044">
              <w:rPr>
                <w:rFonts w:eastAsia="SimSun"/>
              </w:rPr>
              <w:t>100 мг/м</w:t>
            </w:r>
            <w:r w:rsidRPr="0074195F">
              <w:rPr>
                <w:rFonts w:eastAsia="SimSun"/>
                <w:vertAlign w:val="superscript"/>
              </w:rPr>
              <w:t>2</w:t>
            </w:r>
          </w:p>
        </w:tc>
        <w:tc>
          <w:tcPr>
            <w:tcW w:w="1843" w:type="dxa"/>
            <w:vAlign w:val="center"/>
          </w:tcPr>
          <w:p w14:paraId="689DC142" w14:textId="77777777" w:rsidR="00BE7F89" w:rsidRPr="00AC3044" w:rsidRDefault="00BE7F89" w:rsidP="005A428D">
            <w:pPr>
              <w:rPr>
                <w:rFonts w:eastAsia="SimSun"/>
              </w:rPr>
            </w:pPr>
            <w:r w:rsidRPr="00AC3044">
              <w:rPr>
                <w:rFonts w:eastAsia="SimSun"/>
              </w:rPr>
              <w:t>–1</w:t>
            </w:r>
          </w:p>
        </w:tc>
        <w:tc>
          <w:tcPr>
            <w:tcW w:w="2835" w:type="dxa"/>
            <w:vAlign w:val="center"/>
          </w:tcPr>
          <w:p w14:paraId="070C0049" w14:textId="77777777" w:rsidR="00BE7F89" w:rsidRPr="00AC3044" w:rsidRDefault="00BE7F89" w:rsidP="005A428D">
            <w:pPr>
              <w:rPr>
                <w:rFonts w:eastAsia="SimSun"/>
              </w:rPr>
            </w:pPr>
            <w:r w:rsidRPr="00AC3044">
              <w:rPr>
                <w:rFonts w:eastAsia="SimSun"/>
              </w:rPr>
              <w:t>В/в, в течение 2 часов</w:t>
            </w:r>
          </w:p>
        </w:tc>
      </w:tr>
      <w:tr w:rsidR="00BE7F89" w:rsidRPr="00AC3044" w14:paraId="0AE63995" w14:textId="77777777" w:rsidTr="005A428D">
        <w:trPr>
          <w:cantSplit/>
          <w:trHeight w:val="20"/>
        </w:trPr>
        <w:tc>
          <w:tcPr>
            <w:tcW w:w="709" w:type="dxa"/>
            <w:vMerge/>
            <w:textDirection w:val="btLr"/>
          </w:tcPr>
          <w:p w14:paraId="5725794D" w14:textId="77777777" w:rsidR="00BE7F89" w:rsidRPr="00AC3044" w:rsidRDefault="00BE7F89" w:rsidP="005A428D">
            <w:pPr>
              <w:rPr>
                <w:rFonts w:eastAsia="SimSun"/>
              </w:rPr>
            </w:pPr>
          </w:p>
        </w:tc>
        <w:tc>
          <w:tcPr>
            <w:tcW w:w="2410" w:type="dxa"/>
            <w:vAlign w:val="center"/>
          </w:tcPr>
          <w:p w14:paraId="53AB6F24" w14:textId="77777777" w:rsidR="00BE7F89" w:rsidRPr="00AC3044" w:rsidRDefault="00BE7F89" w:rsidP="005A428D">
            <w:pPr>
              <w:rPr>
                <w:rFonts w:eastAsia="SimSun"/>
              </w:rPr>
            </w:pPr>
            <w:r w:rsidRPr="00AC3044">
              <w:rPr>
                <w:rFonts w:eastAsia="SimSun"/>
              </w:rPr>
              <w:t>Тоцилизумаб</w:t>
            </w:r>
          </w:p>
        </w:tc>
        <w:tc>
          <w:tcPr>
            <w:tcW w:w="1276" w:type="dxa"/>
            <w:vAlign w:val="center"/>
          </w:tcPr>
          <w:p w14:paraId="72D38EB1" w14:textId="77777777" w:rsidR="00BE7F89" w:rsidRPr="00AC3044" w:rsidRDefault="00BE7F89" w:rsidP="005A428D">
            <w:pPr>
              <w:rPr>
                <w:rFonts w:eastAsia="SimSun"/>
              </w:rPr>
            </w:pPr>
            <w:r w:rsidRPr="00AC3044">
              <w:rPr>
                <w:rFonts w:eastAsia="SimSun"/>
              </w:rPr>
              <w:t>8 мг/кг</w:t>
            </w:r>
          </w:p>
        </w:tc>
        <w:tc>
          <w:tcPr>
            <w:tcW w:w="1417" w:type="dxa"/>
            <w:vAlign w:val="center"/>
          </w:tcPr>
          <w:p w14:paraId="39161B9B" w14:textId="77777777" w:rsidR="00BE7F89" w:rsidRPr="00AC3044" w:rsidRDefault="00BE7F89" w:rsidP="005A428D">
            <w:pPr>
              <w:rPr>
                <w:rFonts w:eastAsia="SimSun"/>
              </w:rPr>
            </w:pPr>
            <w:r w:rsidRPr="00AC3044">
              <w:rPr>
                <w:rFonts w:eastAsia="SimSun"/>
              </w:rPr>
              <w:t>8 мг/кг</w:t>
            </w:r>
          </w:p>
        </w:tc>
        <w:tc>
          <w:tcPr>
            <w:tcW w:w="1843" w:type="dxa"/>
            <w:vAlign w:val="center"/>
          </w:tcPr>
          <w:p w14:paraId="202DD42A" w14:textId="77777777" w:rsidR="00BE7F89" w:rsidRPr="00AC3044" w:rsidRDefault="00BE7F89" w:rsidP="005A428D">
            <w:pPr>
              <w:rPr>
                <w:rFonts w:eastAsia="SimSun"/>
              </w:rPr>
            </w:pPr>
            <w:r w:rsidRPr="00AC3044">
              <w:rPr>
                <w:rFonts w:eastAsia="SimSun"/>
              </w:rPr>
              <w:t>–1, +21</w:t>
            </w:r>
          </w:p>
        </w:tc>
        <w:tc>
          <w:tcPr>
            <w:tcW w:w="2835" w:type="dxa"/>
            <w:vAlign w:val="center"/>
          </w:tcPr>
          <w:p w14:paraId="19311458" w14:textId="77777777" w:rsidR="00BE7F89" w:rsidRPr="00AC3044" w:rsidRDefault="00BE7F89" w:rsidP="005A428D">
            <w:pPr>
              <w:rPr>
                <w:rFonts w:eastAsia="SimSun"/>
              </w:rPr>
            </w:pPr>
            <w:r w:rsidRPr="00AC3044">
              <w:rPr>
                <w:rFonts w:eastAsia="SimSun"/>
              </w:rPr>
              <w:t>В/в, в течение 1 часа</w:t>
            </w:r>
          </w:p>
        </w:tc>
      </w:tr>
      <w:tr w:rsidR="00BE7F89" w:rsidRPr="00AC3044" w14:paraId="34CF0F26" w14:textId="77777777" w:rsidTr="005A428D">
        <w:trPr>
          <w:cantSplit/>
          <w:trHeight w:val="20"/>
        </w:trPr>
        <w:tc>
          <w:tcPr>
            <w:tcW w:w="709" w:type="dxa"/>
            <w:vMerge/>
            <w:textDirection w:val="btLr"/>
          </w:tcPr>
          <w:p w14:paraId="3D3BB2CA" w14:textId="77777777" w:rsidR="00BE7F89" w:rsidRPr="00AC3044" w:rsidRDefault="00BE7F89" w:rsidP="005A428D">
            <w:pPr>
              <w:rPr>
                <w:rFonts w:eastAsia="SimSun"/>
              </w:rPr>
            </w:pPr>
          </w:p>
        </w:tc>
        <w:tc>
          <w:tcPr>
            <w:tcW w:w="2410" w:type="dxa"/>
            <w:vAlign w:val="center"/>
          </w:tcPr>
          <w:p w14:paraId="3646C8EC" w14:textId="77777777" w:rsidR="00BE7F89" w:rsidRPr="00AC3044" w:rsidRDefault="00BE7F89" w:rsidP="005A428D">
            <w:pPr>
              <w:rPr>
                <w:rFonts w:eastAsia="SimSun"/>
              </w:rPr>
            </w:pPr>
            <w:r w:rsidRPr="00AC3044">
              <w:rPr>
                <w:rFonts w:eastAsia="SimSun"/>
              </w:rPr>
              <w:t>Абатацепт1</w:t>
            </w:r>
          </w:p>
        </w:tc>
        <w:tc>
          <w:tcPr>
            <w:tcW w:w="1276" w:type="dxa"/>
            <w:vAlign w:val="center"/>
          </w:tcPr>
          <w:p w14:paraId="5496E1E5" w14:textId="77777777" w:rsidR="00BE7F89" w:rsidRPr="00AC3044" w:rsidRDefault="00BE7F89" w:rsidP="005A428D">
            <w:pPr>
              <w:rPr>
                <w:rFonts w:eastAsia="SimSun"/>
              </w:rPr>
            </w:pPr>
            <w:r w:rsidRPr="00AC3044">
              <w:rPr>
                <w:rFonts w:eastAsia="SimSun"/>
              </w:rPr>
              <w:t>10 мг/кг</w:t>
            </w:r>
          </w:p>
        </w:tc>
        <w:tc>
          <w:tcPr>
            <w:tcW w:w="1417" w:type="dxa"/>
            <w:vAlign w:val="center"/>
          </w:tcPr>
          <w:p w14:paraId="3B64F811" w14:textId="77777777" w:rsidR="00BE7F89" w:rsidRPr="00AC3044" w:rsidRDefault="00BE7F89" w:rsidP="005A428D">
            <w:pPr>
              <w:rPr>
                <w:rFonts w:eastAsia="SimSun"/>
              </w:rPr>
            </w:pPr>
            <w:r w:rsidRPr="00AC3044">
              <w:rPr>
                <w:rFonts w:eastAsia="SimSun"/>
              </w:rPr>
              <w:t>40 мг/кг</w:t>
            </w:r>
          </w:p>
        </w:tc>
        <w:tc>
          <w:tcPr>
            <w:tcW w:w="1843" w:type="dxa"/>
            <w:vAlign w:val="center"/>
          </w:tcPr>
          <w:p w14:paraId="2B8D70E7" w14:textId="77777777" w:rsidR="00BE7F89" w:rsidRPr="00AC3044" w:rsidRDefault="00BE7F89" w:rsidP="005A428D">
            <w:pPr>
              <w:rPr>
                <w:rFonts w:eastAsia="SimSun"/>
              </w:rPr>
            </w:pPr>
            <w:r w:rsidRPr="00AC3044">
              <w:rPr>
                <w:rFonts w:eastAsia="SimSun"/>
              </w:rPr>
              <w:t>–1,+7,+14,+28</w:t>
            </w:r>
          </w:p>
        </w:tc>
        <w:tc>
          <w:tcPr>
            <w:tcW w:w="2835" w:type="dxa"/>
            <w:vAlign w:val="center"/>
          </w:tcPr>
          <w:p w14:paraId="6C3127C1" w14:textId="77777777" w:rsidR="00BE7F89" w:rsidRPr="00AC3044" w:rsidRDefault="00BE7F89" w:rsidP="005A428D">
            <w:pPr>
              <w:rPr>
                <w:rFonts w:eastAsia="SimSun"/>
              </w:rPr>
            </w:pPr>
            <w:r w:rsidRPr="00AC3044">
              <w:rPr>
                <w:rFonts w:eastAsia="SimSun"/>
              </w:rPr>
              <w:t>В/в, в течение 30 мин</w:t>
            </w:r>
          </w:p>
        </w:tc>
      </w:tr>
      <w:tr w:rsidR="00BE7F89" w:rsidRPr="00AC3044" w14:paraId="391ED5B0" w14:textId="77777777" w:rsidTr="005A428D">
        <w:trPr>
          <w:cantSplit/>
          <w:trHeight w:val="1797"/>
        </w:trPr>
        <w:tc>
          <w:tcPr>
            <w:tcW w:w="709" w:type="dxa"/>
            <w:textDirection w:val="btLr"/>
            <w:vAlign w:val="center"/>
          </w:tcPr>
          <w:p w14:paraId="0684FE59" w14:textId="77777777" w:rsidR="00BE7F89" w:rsidRPr="00AC3044" w:rsidRDefault="00BE7F89" w:rsidP="005A428D">
            <w:pPr>
              <w:rPr>
                <w:rFonts w:eastAsia="SimSun"/>
              </w:rPr>
            </w:pPr>
            <w:r w:rsidRPr="00AC3044">
              <w:rPr>
                <w:rFonts w:eastAsia="SimSun"/>
              </w:rPr>
              <w:t>Ex vivo манипуляция  с трансплантатом</w:t>
            </w:r>
          </w:p>
        </w:tc>
        <w:tc>
          <w:tcPr>
            <w:tcW w:w="2410" w:type="dxa"/>
            <w:vAlign w:val="center"/>
          </w:tcPr>
          <w:p w14:paraId="371E5222" w14:textId="77777777" w:rsidR="00BE7F89" w:rsidRPr="00AC3044" w:rsidRDefault="00BE7F89" w:rsidP="005A428D">
            <w:pPr>
              <w:rPr>
                <w:rFonts w:eastAsia="SimSun"/>
              </w:rPr>
            </w:pPr>
            <w:r w:rsidRPr="00AC3044">
              <w:rPr>
                <w:rFonts w:eastAsia="SimSun"/>
              </w:rPr>
              <w:t>Комплексная услуга TCRαβ/CD19 деплеция</w:t>
            </w:r>
          </w:p>
        </w:tc>
        <w:tc>
          <w:tcPr>
            <w:tcW w:w="1276" w:type="dxa"/>
            <w:vAlign w:val="center"/>
          </w:tcPr>
          <w:p w14:paraId="2141A5DD" w14:textId="77777777" w:rsidR="00BE7F89" w:rsidRPr="00AC3044" w:rsidRDefault="00BE7F89" w:rsidP="005A428D">
            <w:pPr>
              <w:rPr>
                <w:rFonts w:eastAsia="SimSun"/>
              </w:rPr>
            </w:pPr>
            <w:r w:rsidRPr="00AC3044">
              <w:rPr>
                <w:rFonts w:eastAsia="SimSun"/>
              </w:rPr>
              <w:t>–</w:t>
            </w:r>
          </w:p>
        </w:tc>
        <w:tc>
          <w:tcPr>
            <w:tcW w:w="1417" w:type="dxa"/>
            <w:vAlign w:val="center"/>
          </w:tcPr>
          <w:p w14:paraId="6E84DC02" w14:textId="77777777" w:rsidR="00BE7F89" w:rsidRPr="00AC3044" w:rsidRDefault="00BE7F89" w:rsidP="005A428D">
            <w:pPr>
              <w:rPr>
                <w:rFonts w:eastAsia="SimSun"/>
              </w:rPr>
            </w:pPr>
            <w:r w:rsidRPr="00AC3044">
              <w:rPr>
                <w:rFonts w:eastAsia="SimSun"/>
              </w:rPr>
              <w:t>–</w:t>
            </w:r>
          </w:p>
        </w:tc>
        <w:tc>
          <w:tcPr>
            <w:tcW w:w="1843" w:type="dxa"/>
            <w:vAlign w:val="center"/>
          </w:tcPr>
          <w:p w14:paraId="79F938ED" w14:textId="77777777" w:rsidR="00BE7F89" w:rsidRPr="00AC3044" w:rsidRDefault="00BE7F89" w:rsidP="005A428D">
            <w:pPr>
              <w:rPr>
                <w:rFonts w:eastAsia="SimSun"/>
              </w:rPr>
            </w:pPr>
            <w:r w:rsidRPr="00AC3044">
              <w:rPr>
                <w:rFonts w:eastAsia="SimSun"/>
              </w:rPr>
              <w:t>0</w:t>
            </w:r>
          </w:p>
        </w:tc>
        <w:tc>
          <w:tcPr>
            <w:tcW w:w="2835" w:type="dxa"/>
            <w:vAlign w:val="center"/>
          </w:tcPr>
          <w:p w14:paraId="6909D435" w14:textId="77777777" w:rsidR="00BE7F89" w:rsidRPr="00AC3044" w:rsidRDefault="00BE7F89" w:rsidP="005A428D">
            <w:pPr>
              <w:rPr>
                <w:rFonts w:eastAsia="SimSun"/>
              </w:rPr>
            </w:pPr>
            <w:r w:rsidRPr="00AC3044">
              <w:rPr>
                <w:rFonts w:eastAsia="SimSun"/>
              </w:rPr>
              <w:t>-</w:t>
            </w:r>
          </w:p>
        </w:tc>
      </w:tr>
      <w:tr w:rsidR="00BE7F89" w:rsidRPr="00AC3044" w14:paraId="789598FC" w14:textId="77777777" w:rsidTr="005A428D">
        <w:trPr>
          <w:trHeight w:val="20"/>
        </w:trPr>
        <w:tc>
          <w:tcPr>
            <w:tcW w:w="10490" w:type="dxa"/>
            <w:gridSpan w:val="6"/>
          </w:tcPr>
          <w:p w14:paraId="6EF89202" w14:textId="77777777" w:rsidR="00BE7F89" w:rsidRPr="00AC3044" w:rsidRDefault="00BE7F89" w:rsidP="005A428D">
            <w:pPr>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51064518" w14:textId="77777777" w:rsidR="00BE7F89" w:rsidRPr="00AC3044" w:rsidRDefault="00BE7F89" w:rsidP="005A428D">
            <w:pPr>
              <w:rPr>
                <w:rFonts w:eastAsia="SimSun"/>
              </w:rPr>
            </w:pPr>
          </w:p>
        </w:tc>
      </w:tr>
    </w:tbl>
    <w:p w14:paraId="1E1AF1A3" w14:textId="77777777" w:rsidR="00BE7F89" w:rsidRDefault="00BE7F89" w:rsidP="00BE7F89">
      <w:pPr>
        <w:rPr>
          <w:rFonts w:eastAsia="SimSun"/>
        </w:rPr>
      </w:pPr>
      <w:bookmarkStart w:id="230" w:name="_Toc44401246"/>
    </w:p>
    <w:p w14:paraId="0AB4B7E2" w14:textId="77777777" w:rsidR="00BE7F89" w:rsidRPr="00C07B2E" w:rsidRDefault="00BE7F89" w:rsidP="00BE7F89">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4.4.  – CD34+ ("boost")</w:t>
      </w:r>
      <w:bookmarkEnd w:id="230"/>
    </w:p>
    <w:p w14:paraId="51FF1F62" w14:textId="77777777" w:rsidR="00BE7F89" w:rsidRPr="00C07B2E" w:rsidRDefault="00BE7F89" w:rsidP="00BE7F89">
      <w:pPr>
        <w:rPr>
          <w:rFonts w:eastAsia="SimSun"/>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843"/>
        <w:gridCol w:w="1417"/>
        <w:gridCol w:w="1843"/>
        <w:gridCol w:w="2835"/>
      </w:tblGrid>
      <w:tr w:rsidR="00BE7F89" w:rsidRPr="00AC3044" w14:paraId="5F1F4D1D" w14:textId="77777777" w:rsidTr="005A428D">
        <w:trPr>
          <w:cantSplit/>
          <w:trHeight w:val="20"/>
          <w:tblHeader/>
        </w:trPr>
        <w:tc>
          <w:tcPr>
            <w:tcW w:w="709" w:type="dxa"/>
          </w:tcPr>
          <w:p w14:paraId="4363DAFA" w14:textId="77777777" w:rsidR="00BE7F89" w:rsidRPr="00AC3044" w:rsidRDefault="00BE7F89" w:rsidP="005A428D">
            <w:pPr>
              <w:rPr>
                <w:rFonts w:eastAsia="SimSun"/>
              </w:rPr>
            </w:pPr>
          </w:p>
        </w:tc>
        <w:tc>
          <w:tcPr>
            <w:tcW w:w="1843" w:type="dxa"/>
            <w:vAlign w:val="center"/>
          </w:tcPr>
          <w:p w14:paraId="68D483A2" w14:textId="77777777" w:rsidR="00BE7F89" w:rsidRPr="00AC3044" w:rsidRDefault="00BE7F89" w:rsidP="005A428D">
            <w:pPr>
              <w:rPr>
                <w:rFonts w:eastAsia="SimSun"/>
              </w:rPr>
            </w:pPr>
            <w:r w:rsidRPr="00AC3044">
              <w:rPr>
                <w:rFonts w:eastAsia="SimSun"/>
              </w:rPr>
              <w:t>Препарат</w:t>
            </w:r>
          </w:p>
        </w:tc>
        <w:tc>
          <w:tcPr>
            <w:tcW w:w="1843" w:type="dxa"/>
            <w:vAlign w:val="center"/>
          </w:tcPr>
          <w:p w14:paraId="3BCABD63" w14:textId="77777777" w:rsidR="00BE7F89" w:rsidRPr="00AC3044" w:rsidRDefault="00BE7F89" w:rsidP="005A428D">
            <w:pPr>
              <w:rPr>
                <w:rFonts w:eastAsia="SimSun"/>
              </w:rPr>
            </w:pPr>
            <w:r w:rsidRPr="00AC3044">
              <w:rPr>
                <w:rFonts w:eastAsia="SimSun"/>
              </w:rPr>
              <w:t>Суточная доза</w:t>
            </w:r>
          </w:p>
        </w:tc>
        <w:tc>
          <w:tcPr>
            <w:tcW w:w="1417" w:type="dxa"/>
            <w:vAlign w:val="center"/>
          </w:tcPr>
          <w:p w14:paraId="6BD04924" w14:textId="77777777" w:rsidR="00BE7F89" w:rsidRPr="00AC3044" w:rsidRDefault="00BE7F89" w:rsidP="005A428D">
            <w:pPr>
              <w:rPr>
                <w:rFonts w:eastAsia="SimSun"/>
              </w:rPr>
            </w:pPr>
            <w:r w:rsidRPr="00AC3044">
              <w:rPr>
                <w:rFonts w:eastAsia="SimSun"/>
              </w:rPr>
              <w:t>Курсовая доза</w:t>
            </w:r>
          </w:p>
        </w:tc>
        <w:tc>
          <w:tcPr>
            <w:tcW w:w="1843" w:type="dxa"/>
            <w:vAlign w:val="center"/>
          </w:tcPr>
          <w:p w14:paraId="3092E38A" w14:textId="77777777" w:rsidR="00BE7F89" w:rsidRPr="00AC3044" w:rsidRDefault="00BE7F89" w:rsidP="005A428D">
            <w:pPr>
              <w:rPr>
                <w:rFonts w:eastAsia="SimSun"/>
              </w:rPr>
            </w:pPr>
            <w:r w:rsidRPr="00AC3044">
              <w:rPr>
                <w:rFonts w:eastAsia="SimSun"/>
              </w:rPr>
              <w:t>Дни введения</w:t>
            </w:r>
          </w:p>
        </w:tc>
        <w:tc>
          <w:tcPr>
            <w:tcW w:w="2835" w:type="dxa"/>
            <w:vAlign w:val="center"/>
          </w:tcPr>
          <w:p w14:paraId="0E2FE98C"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51090B73" w14:textId="77777777" w:rsidTr="005A428D">
        <w:trPr>
          <w:cantSplit/>
          <w:trHeight w:val="1831"/>
        </w:trPr>
        <w:tc>
          <w:tcPr>
            <w:tcW w:w="709" w:type="dxa"/>
            <w:textDirection w:val="btLr"/>
            <w:vAlign w:val="center"/>
          </w:tcPr>
          <w:p w14:paraId="4EDE46A6" w14:textId="77777777" w:rsidR="00BE7F89" w:rsidRPr="00AC3044" w:rsidRDefault="00BE7F89" w:rsidP="005A428D">
            <w:pPr>
              <w:rPr>
                <w:rFonts w:eastAsia="SimSun"/>
              </w:rPr>
            </w:pPr>
            <w:r w:rsidRPr="00AC3044">
              <w:rPr>
                <w:rFonts w:eastAsia="SimSun"/>
              </w:rPr>
              <w:t>Кондиционирование</w:t>
            </w:r>
          </w:p>
        </w:tc>
        <w:tc>
          <w:tcPr>
            <w:tcW w:w="9781" w:type="dxa"/>
            <w:gridSpan w:val="5"/>
            <w:vAlign w:val="center"/>
          </w:tcPr>
          <w:p w14:paraId="40492479" w14:textId="77777777" w:rsidR="00BE7F89" w:rsidRPr="00AC3044" w:rsidRDefault="00BE7F89" w:rsidP="005A428D">
            <w:pPr>
              <w:rPr>
                <w:rFonts w:eastAsia="SimSun"/>
              </w:rPr>
            </w:pPr>
            <w:r w:rsidRPr="00AC3044">
              <w:rPr>
                <w:rFonts w:eastAsia="SimSun"/>
              </w:rPr>
              <w:t>Без предварительного кондиционирования</w:t>
            </w:r>
          </w:p>
        </w:tc>
      </w:tr>
      <w:tr w:rsidR="00BE7F89" w:rsidRPr="00AC3044" w14:paraId="629F9FBF" w14:textId="77777777" w:rsidTr="005A428D">
        <w:trPr>
          <w:cantSplit/>
          <w:trHeight w:val="1688"/>
        </w:trPr>
        <w:tc>
          <w:tcPr>
            <w:tcW w:w="709" w:type="dxa"/>
            <w:vMerge w:val="restart"/>
            <w:textDirection w:val="btLr"/>
            <w:vAlign w:val="center"/>
          </w:tcPr>
          <w:p w14:paraId="63091E48" w14:textId="77777777" w:rsidR="00BE7F89" w:rsidRPr="00AC3044" w:rsidRDefault="00BE7F89" w:rsidP="005A428D">
            <w:pPr>
              <w:rPr>
                <w:rFonts w:eastAsia="SimSun"/>
              </w:rPr>
            </w:pPr>
            <w:r w:rsidRPr="00AC3044">
              <w:rPr>
                <w:rFonts w:eastAsia="SimSun"/>
              </w:rPr>
              <w:t>Профилактика РТПХ</w:t>
            </w:r>
          </w:p>
        </w:tc>
        <w:tc>
          <w:tcPr>
            <w:tcW w:w="1843" w:type="dxa"/>
            <w:vAlign w:val="center"/>
          </w:tcPr>
          <w:p w14:paraId="6FDB9262" w14:textId="77777777" w:rsidR="00BE7F89" w:rsidRPr="00AC3044" w:rsidRDefault="00BE7F89" w:rsidP="005A428D">
            <w:pPr>
              <w:rPr>
                <w:rFonts w:eastAsia="SimSun"/>
              </w:rPr>
            </w:pPr>
            <w:r w:rsidRPr="00AC3044">
              <w:rPr>
                <w:rFonts w:eastAsia="SimSun"/>
              </w:rPr>
              <w:t>Циклоспорин</w:t>
            </w:r>
          </w:p>
        </w:tc>
        <w:tc>
          <w:tcPr>
            <w:tcW w:w="1843" w:type="dxa"/>
            <w:vAlign w:val="center"/>
          </w:tcPr>
          <w:p w14:paraId="558BBED3" w14:textId="77777777" w:rsidR="00BE7F89" w:rsidRPr="00AC3044" w:rsidRDefault="00BE7F89" w:rsidP="005A428D">
            <w:pPr>
              <w:rPr>
                <w:rFonts w:eastAsia="SimSun"/>
              </w:rPr>
            </w:pPr>
            <w:r w:rsidRPr="00AC3044">
              <w:rPr>
                <w:rFonts w:eastAsia="SimSun"/>
              </w:rPr>
              <w:t>3 мг/кг</w:t>
            </w:r>
          </w:p>
        </w:tc>
        <w:tc>
          <w:tcPr>
            <w:tcW w:w="1417" w:type="dxa"/>
            <w:vAlign w:val="center"/>
          </w:tcPr>
          <w:p w14:paraId="6D247CFE" w14:textId="77777777" w:rsidR="00BE7F89" w:rsidRPr="00AC3044" w:rsidRDefault="00BE7F89" w:rsidP="005A428D">
            <w:pPr>
              <w:rPr>
                <w:rFonts w:eastAsia="SimSun"/>
              </w:rPr>
            </w:pPr>
            <w:r w:rsidRPr="00AC3044">
              <w:rPr>
                <w:rFonts w:eastAsia="SimSun"/>
              </w:rPr>
              <w:t>–</w:t>
            </w:r>
          </w:p>
        </w:tc>
        <w:tc>
          <w:tcPr>
            <w:tcW w:w="1843" w:type="dxa"/>
            <w:vAlign w:val="center"/>
          </w:tcPr>
          <w:p w14:paraId="2BDBFC09" w14:textId="77777777" w:rsidR="00BE7F89" w:rsidRPr="00AC3044" w:rsidRDefault="00BE7F89" w:rsidP="005A428D">
            <w:pPr>
              <w:rPr>
                <w:rFonts w:eastAsia="SimSun"/>
              </w:rPr>
            </w:pPr>
            <w:r w:rsidRPr="00AC3044">
              <w:rPr>
                <w:rFonts w:eastAsia="SimSun"/>
              </w:rPr>
              <w:t>С +5 дня по +90 день затем постепенное снижение к +180 дню</w:t>
            </w:r>
          </w:p>
        </w:tc>
        <w:tc>
          <w:tcPr>
            <w:tcW w:w="2835" w:type="dxa"/>
            <w:vAlign w:val="center"/>
          </w:tcPr>
          <w:p w14:paraId="31609E24" w14:textId="77777777" w:rsidR="00BE7F89" w:rsidRPr="00AC3044" w:rsidRDefault="00BE7F89" w:rsidP="005A428D">
            <w:pPr>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72099">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BE7F89" w:rsidRPr="00AC3044" w14:paraId="12339DFE" w14:textId="77777777" w:rsidTr="005A428D">
        <w:trPr>
          <w:cantSplit/>
          <w:trHeight w:val="20"/>
        </w:trPr>
        <w:tc>
          <w:tcPr>
            <w:tcW w:w="709" w:type="dxa"/>
            <w:vMerge/>
            <w:textDirection w:val="btLr"/>
          </w:tcPr>
          <w:p w14:paraId="20C045F8" w14:textId="77777777" w:rsidR="00BE7F89" w:rsidRPr="00AC3044" w:rsidRDefault="00BE7F89" w:rsidP="005A428D">
            <w:pPr>
              <w:rPr>
                <w:rFonts w:eastAsia="SimSun"/>
              </w:rPr>
            </w:pPr>
          </w:p>
        </w:tc>
        <w:tc>
          <w:tcPr>
            <w:tcW w:w="1843" w:type="dxa"/>
            <w:vAlign w:val="center"/>
          </w:tcPr>
          <w:p w14:paraId="0B48FDEF" w14:textId="77777777" w:rsidR="00BE7F89" w:rsidRPr="00AC3044" w:rsidRDefault="00BE7F89" w:rsidP="005A428D">
            <w:pPr>
              <w:rPr>
                <w:rFonts w:eastAsia="SimSun"/>
              </w:rPr>
            </w:pPr>
            <w:r w:rsidRPr="00AC3044">
              <w:rPr>
                <w:rFonts w:eastAsia="SimSun"/>
              </w:rPr>
              <w:t>Микофенолата мофетил</w:t>
            </w:r>
          </w:p>
        </w:tc>
        <w:tc>
          <w:tcPr>
            <w:tcW w:w="1843" w:type="dxa"/>
            <w:vAlign w:val="center"/>
          </w:tcPr>
          <w:p w14:paraId="0A426E34" w14:textId="77777777" w:rsidR="00BE7F89" w:rsidRPr="00AC3044" w:rsidRDefault="00BE7F89" w:rsidP="005A428D">
            <w:pPr>
              <w:rPr>
                <w:rFonts w:eastAsia="SimSun"/>
              </w:rPr>
            </w:pPr>
            <w:r w:rsidRPr="00AC3044">
              <w:rPr>
                <w:rFonts w:eastAsia="SimSun"/>
              </w:rPr>
              <w:t>30 мг/кг</w:t>
            </w:r>
          </w:p>
        </w:tc>
        <w:tc>
          <w:tcPr>
            <w:tcW w:w="1417" w:type="dxa"/>
            <w:vAlign w:val="center"/>
          </w:tcPr>
          <w:p w14:paraId="318A7318" w14:textId="77777777" w:rsidR="00BE7F89" w:rsidRPr="00AC3044" w:rsidRDefault="00BE7F89" w:rsidP="005A428D">
            <w:pPr>
              <w:rPr>
                <w:rFonts w:eastAsia="SimSun"/>
              </w:rPr>
            </w:pPr>
            <w:r w:rsidRPr="00AC3044">
              <w:rPr>
                <w:rFonts w:eastAsia="SimSun"/>
              </w:rPr>
              <w:t>–</w:t>
            </w:r>
          </w:p>
        </w:tc>
        <w:tc>
          <w:tcPr>
            <w:tcW w:w="1843" w:type="dxa"/>
            <w:vAlign w:val="center"/>
          </w:tcPr>
          <w:p w14:paraId="276E2E05" w14:textId="77777777" w:rsidR="00BE7F89" w:rsidRPr="00AC3044" w:rsidRDefault="00BE7F89" w:rsidP="005A428D">
            <w:pPr>
              <w:rPr>
                <w:rFonts w:eastAsia="SimSun"/>
              </w:rPr>
            </w:pPr>
            <w:r w:rsidRPr="00AC3044">
              <w:rPr>
                <w:rFonts w:eastAsia="SimSun"/>
              </w:rPr>
              <w:t>С +5 по +90 день</w:t>
            </w:r>
          </w:p>
        </w:tc>
        <w:tc>
          <w:tcPr>
            <w:tcW w:w="2835" w:type="dxa"/>
            <w:vAlign w:val="center"/>
          </w:tcPr>
          <w:p w14:paraId="48E84889" w14:textId="77777777" w:rsidR="00BE7F89" w:rsidRPr="00AC3044" w:rsidRDefault="00BE7F89" w:rsidP="005A428D">
            <w:pPr>
              <w:rPr>
                <w:rFonts w:eastAsia="SimSun"/>
              </w:rPr>
            </w:pPr>
            <w:r w:rsidRPr="00AC3044">
              <w:rPr>
                <w:rFonts w:eastAsia="SimSun"/>
              </w:rPr>
              <w:t xml:space="preserve">Внутрь, суммарная суточная доза разделяется на 2- 4 приема (не более 3г/сут).  </w:t>
            </w:r>
          </w:p>
        </w:tc>
      </w:tr>
      <w:tr w:rsidR="00BE7F89" w:rsidRPr="00AC3044" w14:paraId="4A495649" w14:textId="77777777" w:rsidTr="005A428D">
        <w:trPr>
          <w:cantSplit/>
          <w:trHeight w:val="1797"/>
        </w:trPr>
        <w:tc>
          <w:tcPr>
            <w:tcW w:w="709" w:type="dxa"/>
            <w:textDirection w:val="btLr"/>
            <w:vAlign w:val="center"/>
          </w:tcPr>
          <w:p w14:paraId="6140D42A" w14:textId="77777777" w:rsidR="00BE7F89" w:rsidRPr="00AC3044" w:rsidRDefault="00BE7F89" w:rsidP="005A428D">
            <w:pPr>
              <w:rPr>
                <w:rFonts w:eastAsia="SimSun"/>
              </w:rPr>
            </w:pPr>
            <w:r w:rsidRPr="00AC3044">
              <w:rPr>
                <w:rFonts w:eastAsia="SimSun"/>
              </w:rPr>
              <w:t>Ex vivo манипуляция  с трансплантатом</w:t>
            </w:r>
          </w:p>
        </w:tc>
        <w:tc>
          <w:tcPr>
            <w:tcW w:w="1843" w:type="dxa"/>
            <w:vAlign w:val="center"/>
          </w:tcPr>
          <w:p w14:paraId="0F18469F" w14:textId="77777777" w:rsidR="00BE7F89" w:rsidRPr="00AC3044" w:rsidRDefault="00BE7F89" w:rsidP="005A428D">
            <w:pPr>
              <w:rPr>
                <w:rFonts w:eastAsia="SimSun"/>
              </w:rPr>
            </w:pPr>
            <w:r w:rsidRPr="00AC3044">
              <w:rPr>
                <w:rFonts w:eastAsia="SimSun"/>
              </w:rPr>
              <w:t>CD34+ селекция (A18.05.017.004)</w:t>
            </w:r>
          </w:p>
        </w:tc>
        <w:tc>
          <w:tcPr>
            <w:tcW w:w="1843" w:type="dxa"/>
            <w:vAlign w:val="center"/>
          </w:tcPr>
          <w:p w14:paraId="315A02CD" w14:textId="77777777" w:rsidR="00BE7F89" w:rsidRPr="00AC3044" w:rsidRDefault="00BE7F89" w:rsidP="005A428D">
            <w:pPr>
              <w:rPr>
                <w:rFonts w:eastAsia="SimSun"/>
              </w:rPr>
            </w:pPr>
            <w:r w:rsidRPr="00AC3044">
              <w:rPr>
                <w:rFonts w:eastAsia="SimSun"/>
              </w:rPr>
              <w:t>–</w:t>
            </w:r>
          </w:p>
        </w:tc>
        <w:tc>
          <w:tcPr>
            <w:tcW w:w="1417" w:type="dxa"/>
            <w:vAlign w:val="center"/>
          </w:tcPr>
          <w:p w14:paraId="652A3F6C" w14:textId="77777777" w:rsidR="00BE7F89" w:rsidRPr="00AC3044" w:rsidRDefault="00BE7F89" w:rsidP="005A428D">
            <w:pPr>
              <w:rPr>
                <w:rFonts w:eastAsia="SimSun"/>
              </w:rPr>
            </w:pPr>
            <w:r w:rsidRPr="00AC3044">
              <w:rPr>
                <w:rFonts w:eastAsia="SimSun"/>
              </w:rPr>
              <w:t>–</w:t>
            </w:r>
          </w:p>
        </w:tc>
        <w:tc>
          <w:tcPr>
            <w:tcW w:w="1843" w:type="dxa"/>
            <w:vAlign w:val="center"/>
          </w:tcPr>
          <w:p w14:paraId="20D000FB" w14:textId="77777777" w:rsidR="00BE7F89" w:rsidRPr="00AC3044" w:rsidRDefault="00BE7F89" w:rsidP="005A428D">
            <w:pPr>
              <w:rPr>
                <w:rFonts w:eastAsia="SimSun"/>
              </w:rPr>
            </w:pPr>
            <w:r w:rsidRPr="00AC3044">
              <w:rPr>
                <w:rFonts w:eastAsia="SimSun"/>
              </w:rPr>
              <w:t>0</w:t>
            </w:r>
          </w:p>
        </w:tc>
        <w:tc>
          <w:tcPr>
            <w:tcW w:w="2835" w:type="dxa"/>
            <w:vAlign w:val="center"/>
          </w:tcPr>
          <w:p w14:paraId="66C2627D" w14:textId="77777777" w:rsidR="00BE7F89" w:rsidRPr="00AC3044" w:rsidRDefault="00BE7F89" w:rsidP="005A428D">
            <w:pPr>
              <w:rPr>
                <w:rFonts w:eastAsia="SimSun"/>
              </w:rPr>
            </w:pPr>
            <w:r w:rsidRPr="00AC3044">
              <w:rPr>
                <w:rFonts w:eastAsia="SimSun"/>
              </w:rPr>
              <w:t>–</w:t>
            </w:r>
          </w:p>
        </w:tc>
      </w:tr>
      <w:tr w:rsidR="00BE7F89" w:rsidRPr="00AC3044" w14:paraId="37AE6955" w14:textId="77777777" w:rsidTr="005A428D">
        <w:trPr>
          <w:cantSplit/>
          <w:trHeight w:val="1420"/>
        </w:trPr>
        <w:tc>
          <w:tcPr>
            <w:tcW w:w="709" w:type="dxa"/>
            <w:textDirection w:val="btLr"/>
            <w:vAlign w:val="center"/>
          </w:tcPr>
          <w:p w14:paraId="7A80188A" w14:textId="77777777" w:rsidR="00BE7F89" w:rsidRPr="00AC3044" w:rsidRDefault="00BE7F89" w:rsidP="005A428D">
            <w:pPr>
              <w:rPr>
                <w:rFonts w:eastAsia="SimSun"/>
              </w:rPr>
            </w:pPr>
            <w:r w:rsidRPr="00AC3044">
              <w:rPr>
                <w:rFonts w:eastAsia="SimSun"/>
              </w:rPr>
              <w:t>Сопроводительная терапия</w:t>
            </w:r>
          </w:p>
        </w:tc>
        <w:tc>
          <w:tcPr>
            <w:tcW w:w="1843" w:type="dxa"/>
            <w:vAlign w:val="center"/>
          </w:tcPr>
          <w:p w14:paraId="1F3A6729" w14:textId="77777777" w:rsidR="00BE7F89" w:rsidRPr="00AC3044" w:rsidRDefault="00BE7F89" w:rsidP="005A428D">
            <w:pPr>
              <w:rPr>
                <w:rFonts w:eastAsia="SimSun"/>
              </w:rPr>
            </w:pPr>
            <w:r w:rsidRPr="00AC3044">
              <w:rPr>
                <w:rFonts w:eastAsia="SimSun"/>
              </w:rPr>
              <w:t>Урсодезоксихолевая кислота</w:t>
            </w:r>
          </w:p>
        </w:tc>
        <w:tc>
          <w:tcPr>
            <w:tcW w:w="1843" w:type="dxa"/>
            <w:vAlign w:val="center"/>
          </w:tcPr>
          <w:p w14:paraId="1E9461A5" w14:textId="77777777" w:rsidR="00BE7F89" w:rsidRPr="00AC3044" w:rsidRDefault="00BE7F89" w:rsidP="005A428D">
            <w:pPr>
              <w:rPr>
                <w:rFonts w:eastAsia="SimSun"/>
              </w:rPr>
            </w:pPr>
            <w:r w:rsidRPr="00AC3044">
              <w:rPr>
                <w:rFonts w:eastAsia="SimSun"/>
              </w:rPr>
              <w:t>12 мг/кг</w:t>
            </w:r>
          </w:p>
        </w:tc>
        <w:tc>
          <w:tcPr>
            <w:tcW w:w="1417" w:type="dxa"/>
            <w:vAlign w:val="center"/>
          </w:tcPr>
          <w:p w14:paraId="3D72B0F0" w14:textId="77777777" w:rsidR="00BE7F89" w:rsidRPr="00AC3044" w:rsidRDefault="00BE7F89" w:rsidP="005A428D">
            <w:pPr>
              <w:rPr>
                <w:rFonts w:eastAsia="SimSun"/>
              </w:rPr>
            </w:pPr>
            <w:r w:rsidRPr="00AC3044">
              <w:rPr>
                <w:rFonts w:eastAsia="SimSun"/>
              </w:rPr>
              <w:t>–</w:t>
            </w:r>
          </w:p>
        </w:tc>
        <w:tc>
          <w:tcPr>
            <w:tcW w:w="1843" w:type="dxa"/>
            <w:vAlign w:val="center"/>
          </w:tcPr>
          <w:p w14:paraId="73FAB14A" w14:textId="77777777" w:rsidR="00BE7F89" w:rsidRPr="00AC3044" w:rsidRDefault="00BE7F89" w:rsidP="005A428D">
            <w:pPr>
              <w:rPr>
                <w:rFonts w:eastAsia="SimSun"/>
              </w:rPr>
            </w:pPr>
            <w:r w:rsidRPr="00AC3044">
              <w:rPr>
                <w:rFonts w:eastAsia="SimSun"/>
              </w:rPr>
              <w:t>С 0 по +180 день</w:t>
            </w:r>
          </w:p>
        </w:tc>
        <w:tc>
          <w:tcPr>
            <w:tcW w:w="2835" w:type="dxa"/>
            <w:vAlign w:val="center"/>
          </w:tcPr>
          <w:p w14:paraId="7370565F" w14:textId="77777777" w:rsidR="00BE7F89" w:rsidRPr="00AC3044" w:rsidRDefault="00BE7F89" w:rsidP="005A428D">
            <w:pPr>
              <w:rPr>
                <w:rFonts w:eastAsia="SimSun"/>
              </w:rPr>
            </w:pPr>
            <w:r w:rsidRPr="00AC3044">
              <w:rPr>
                <w:rFonts w:eastAsia="SimSun"/>
              </w:rPr>
              <w:t>Внутрь, суточная доза разделяется на 1–2 приема (вечер или день и вечер)</w:t>
            </w:r>
          </w:p>
        </w:tc>
      </w:tr>
    </w:tbl>
    <w:p w14:paraId="390BAE3B" w14:textId="77777777" w:rsidR="00BE7F89" w:rsidRPr="00C07B2E" w:rsidRDefault="00BE7F89" w:rsidP="00BE7F89">
      <w:pPr>
        <w:rPr>
          <w:rFonts w:eastAsia="SimSun"/>
        </w:rPr>
        <w:sectPr w:rsidR="00BE7F89" w:rsidRPr="00C07B2E" w:rsidSect="00980822">
          <w:type w:val="continuous"/>
          <w:pgSz w:w="11907" w:h="16839" w:code="9"/>
          <w:pgMar w:top="1134" w:right="850" w:bottom="1134" w:left="1701" w:header="709" w:footer="567" w:gutter="0"/>
          <w:cols w:space="708"/>
          <w:docGrid w:linePitch="360"/>
        </w:sectPr>
      </w:pPr>
    </w:p>
    <w:p w14:paraId="1027EACC" w14:textId="77777777" w:rsidR="00BE7F89" w:rsidRDefault="00BE7F89" w:rsidP="00BE7F89">
      <w:pPr>
        <w:rPr>
          <w:rFonts w:eastAsia="SimSun"/>
        </w:rPr>
      </w:pPr>
      <w:bookmarkStart w:id="231" w:name="_Toc44401247"/>
    </w:p>
    <w:p w14:paraId="66675405" w14:textId="77777777" w:rsidR="00BE7F89" w:rsidRPr="000F445E" w:rsidRDefault="00BE7F89" w:rsidP="00BE7F89">
      <w:pPr>
        <w:rPr>
          <w:rFonts w:eastAsia="SimSun"/>
          <w:b/>
        </w:rPr>
      </w:pPr>
      <w:r>
        <w:rPr>
          <w:rFonts w:eastAsia="SimSun"/>
          <w:b/>
        </w:rPr>
        <w:t>6</w:t>
      </w:r>
      <w:r w:rsidRPr="000F445E">
        <w:rPr>
          <w:rFonts w:eastAsia="SimSun"/>
          <w:b/>
        </w:rPr>
        <w:t>.  Сопроводительная терапия</w:t>
      </w:r>
      <w:bookmarkEnd w:id="231"/>
    </w:p>
    <w:p w14:paraId="250F41B3" w14:textId="77777777" w:rsidR="00BE7F89" w:rsidRDefault="00BE7F89" w:rsidP="00BE7F89">
      <w:pPr>
        <w:rPr>
          <w:rFonts w:eastAsia="SimSun"/>
        </w:rPr>
      </w:pPr>
      <w:bookmarkStart w:id="232" w:name="_Toc44401249"/>
    </w:p>
    <w:bookmarkEnd w:id="232"/>
    <w:p w14:paraId="5558297F" w14:textId="77777777" w:rsidR="00BE7F89" w:rsidRPr="00C07B2E" w:rsidRDefault="00BE7F89" w:rsidP="00BE7F89">
      <w:pPr>
        <w:rPr>
          <w:rFonts w:eastAsia="SimSun"/>
        </w:rPr>
      </w:pPr>
      <w:r w:rsidRPr="00C07B2E">
        <w:rPr>
          <w:rFonts w:eastAsia="SimSun"/>
        </w:rPr>
        <w:t xml:space="preserve">Основные препараты для сопроводительной терапии и их варианты применения указаны в </w:t>
      </w:r>
      <w:r>
        <w:rPr>
          <w:rFonts w:eastAsia="SimSun"/>
        </w:rPr>
        <w:t>Таблице</w:t>
      </w:r>
      <w:r w:rsidRPr="00C07B2E">
        <w:rPr>
          <w:rFonts w:eastAsia="SimSun"/>
        </w:rPr>
        <w:t xml:space="preserve"> </w:t>
      </w:r>
      <w:r>
        <w:rPr>
          <w:rFonts w:eastAsia="SimSun"/>
        </w:rPr>
        <w:t>6</w:t>
      </w:r>
      <w:r w:rsidRPr="00C07B2E">
        <w:rPr>
          <w:rFonts w:eastAsia="SimSun"/>
        </w:rPr>
        <w:t>.1. Допускается использование как отдельных вариантнов так и их комбинаций.</w:t>
      </w:r>
    </w:p>
    <w:p w14:paraId="323CD331" w14:textId="77777777" w:rsidR="00BE7F89" w:rsidRPr="00C07B2E" w:rsidRDefault="00BE7F89" w:rsidP="00BE7F89">
      <w:pPr>
        <w:rPr>
          <w:rFonts w:eastAsia="SimSun"/>
        </w:rPr>
      </w:pPr>
    </w:p>
    <w:p w14:paraId="627EC169" w14:textId="77777777" w:rsidR="00BE7F89" w:rsidRPr="000F445E" w:rsidRDefault="00BE7F89" w:rsidP="00BE7F89">
      <w:pPr>
        <w:rPr>
          <w:rFonts w:eastAsia="SimSun"/>
        </w:rPr>
      </w:pPr>
      <w:bookmarkStart w:id="233" w:name="_Toc44401250"/>
      <w:r w:rsidRPr="000F445E">
        <w:rPr>
          <w:rFonts w:eastAsia="SimSun"/>
        </w:rPr>
        <w:t xml:space="preserve">Таблица </w:t>
      </w:r>
      <w:r>
        <w:rPr>
          <w:rFonts w:eastAsia="SimSun"/>
        </w:rPr>
        <w:t>6</w:t>
      </w:r>
      <w:r w:rsidRPr="000F445E">
        <w:rPr>
          <w:rFonts w:eastAsia="SimSun"/>
        </w:rPr>
        <w:t>.1 Основные препараты для сопроводительной терапии и их варианты применения</w:t>
      </w:r>
      <w:bookmarkEnd w:id="233"/>
    </w:p>
    <w:p w14:paraId="33CEC558" w14:textId="77777777" w:rsidR="00BE7F89" w:rsidRPr="00C07B2E" w:rsidRDefault="00BE7F89" w:rsidP="00BE7F89">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1952"/>
        <w:gridCol w:w="1350"/>
        <w:gridCol w:w="1002"/>
        <w:gridCol w:w="2427"/>
        <w:gridCol w:w="1697"/>
      </w:tblGrid>
      <w:tr w:rsidR="00BE7F89" w:rsidRPr="00AC3044" w14:paraId="1323FE1D" w14:textId="77777777" w:rsidTr="005A428D">
        <w:trPr>
          <w:cantSplit/>
          <w:trHeight w:val="464"/>
        </w:trPr>
        <w:tc>
          <w:tcPr>
            <w:tcW w:w="168" w:type="pct"/>
            <w:tcBorders>
              <w:top w:val="single" w:sz="4" w:space="0" w:color="auto"/>
              <w:left w:val="single" w:sz="4" w:space="0" w:color="auto"/>
              <w:bottom w:val="single" w:sz="4" w:space="0" w:color="auto"/>
              <w:right w:val="single" w:sz="4" w:space="0" w:color="auto"/>
            </w:tcBorders>
            <w:vAlign w:val="center"/>
          </w:tcPr>
          <w:p w14:paraId="1E757F89" w14:textId="77777777" w:rsidR="00BE7F89" w:rsidRPr="00AC3044" w:rsidRDefault="00BE7F89" w:rsidP="005A428D">
            <w:pPr>
              <w:rPr>
                <w:rFonts w:eastAsia="SimSun"/>
              </w:rPr>
            </w:pPr>
            <w:r w:rsidRPr="00AC3044">
              <w:rPr>
                <w:rFonts w:eastAsia="SimSun"/>
              </w:rPr>
              <w:t>Вариант</w:t>
            </w:r>
          </w:p>
        </w:tc>
        <w:tc>
          <w:tcPr>
            <w:tcW w:w="1133" w:type="pct"/>
            <w:tcBorders>
              <w:top w:val="single" w:sz="4" w:space="0" w:color="auto"/>
              <w:left w:val="single" w:sz="4" w:space="0" w:color="auto"/>
              <w:bottom w:val="single" w:sz="4" w:space="0" w:color="auto"/>
              <w:right w:val="single" w:sz="4" w:space="0" w:color="auto"/>
            </w:tcBorders>
            <w:vAlign w:val="center"/>
          </w:tcPr>
          <w:p w14:paraId="1CAA77F3" w14:textId="77777777" w:rsidR="00BE7F89" w:rsidRPr="00AC3044" w:rsidRDefault="00BE7F89" w:rsidP="005A428D">
            <w:pPr>
              <w:rPr>
                <w:rFonts w:eastAsia="SimSun"/>
              </w:rPr>
            </w:pPr>
            <w:r w:rsidRPr="00AC3044">
              <w:rPr>
                <w:rFonts w:eastAsia="SimSun"/>
              </w:rPr>
              <w:t>Препарат</w:t>
            </w:r>
          </w:p>
        </w:tc>
        <w:tc>
          <w:tcPr>
            <w:tcW w:w="614" w:type="pct"/>
            <w:tcBorders>
              <w:top w:val="single" w:sz="4" w:space="0" w:color="auto"/>
              <w:left w:val="single" w:sz="4" w:space="0" w:color="auto"/>
              <w:bottom w:val="single" w:sz="4" w:space="0" w:color="auto"/>
              <w:right w:val="single" w:sz="4" w:space="0" w:color="auto"/>
            </w:tcBorders>
            <w:vAlign w:val="center"/>
          </w:tcPr>
          <w:p w14:paraId="52C85C33" w14:textId="77777777" w:rsidR="00BE7F89" w:rsidRPr="00AC3044" w:rsidRDefault="00BE7F89" w:rsidP="005A428D">
            <w:pPr>
              <w:rPr>
                <w:rFonts w:eastAsia="SimSun"/>
              </w:rPr>
            </w:pPr>
            <w:r w:rsidRPr="00AC3044">
              <w:rPr>
                <w:rFonts w:eastAsia="SimSun"/>
              </w:rPr>
              <w:t>Суточная доза</w:t>
            </w:r>
          </w:p>
        </w:tc>
        <w:tc>
          <w:tcPr>
            <w:tcW w:w="486" w:type="pct"/>
            <w:tcBorders>
              <w:top w:val="single" w:sz="4" w:space="0" w:color="auto"/>
              <w:left w:val="single" w:sz="4" w:space="0" w:color="auto"/>
              <w:bottom w:val="single" w:sz="4" w:space="0" w:color="auto"/>
              <w:right w:val="single" w:sz="4" w:space="0" w:color="auto"/>
            </w:tcBorders>
            <w:vAlign w:val="center"/>
          </w:tcPr>
          <w:p w14:paraId="6B85EFD5" w14:textId="77777777" w:rsidR="00BE7F89" w:rsidRPr="00AC3044" w:rsidRDefault="00BE7F89" w:rsidP="005A428D">
            <w:pPr>
              <w:rPr>
                <w:rFonts w:eastAsia="SimSun"/>
              </w:rPr>
            </w:pPr>
            <w:r w:rsidRPr="00AC3044">
              <w:rPr>
                <w:rFonts w:eastAsia="SimSun"/>
              </w:rPr>
              <w:t>Курсовая доза</w:t>
            </w:r>
          </w:p>
        </w:tc>
        <w:tc>
          <w:tcPr>
            <w:tcW w:w="1370" w:type="pct"/>
            <w:tcBorders>
              <w:top w:val="single" w:sz="4" w:space="0" w:color="auto"/>
              <w:left w:val="single" w:sz="4" w:space="0" w:color="auto"/>
              <w:bottom w:val="single" w:sz="4" w:space="0" w:color="auto"/>
              <w:right w:val="single" w:sz="4" w:space="0" w:color="auto"/>
            </w:tcBorders>
            <w:vAlign w:val="center"/>
          </w:tcPr>
          <w:p w14:paraId="0C4EC062" w14:textId="77777777" w:rsidR="00BE7F89" w:rsidRPr="00AC3044" w:rsidRDefault="00BE7F89" w:rsidP="005A428D">
            <w:pPr>
              <w:rPr>
                <w:rFonts w:eastAsia="SimSun"/>
              </w:rPr>
            </w:pPr>
            <w:r w:rsidRPr="00AC3044">
              <w:rPr>
                <w:rFonts w:eastAsia="SimSun"/>
              </w:rPr>
              <w:t>Дни введения</w:t>
            </w:r>
          </w:p>
        </w:tc>
        <w:tc>
          <w:tcPr>
            <w:tcW w:w="1229" w:type="pct"/>
            <w:tcBorders>
              <w:top w:val="single" w:sz="4" w:space="0" w:color="auto"/>
              <w:left w:val="single" w:sz="4" w:space="0" w:color="auto"/>
              <w:bottom w:val="single" w:sz="4" w:space="0" w:color="auto"/>
              <w:right w:val="single" w:sz="4" w:space="0" w:color="auto"/>
            </w:tcBorders>
            <w:vAlign w:val="center"/>
          </w:tcPr>
          <w:p w14:paraId="443728C6" w14:textId="77777777" w:rsidR="00BE7F89" w:rsidRPr="00AC3044" w:rsidRDefault="00BE7F89" w:rsidP="005A428D">
            <w:pPr>
              <w:rPr>
                <w:rFonts w:eastAsia="SimSun"/>
              </w:rPr>
            </w:pPr>
            <w:r w:rsidRPr="00AC3044">
              <w:rPr>
                <w:rFonts w:eastAsia="SimSun"/>
              </w:rPr>
              <w:t>Порядок введения</w:t>
            </w:r>
          </w:p>
        </w:tc>
      </w:tr>
      <w:tr w:rsidR="00BE7F89" w:rsidRPr="00AC3044" w14:paraId="12CC5A67" w14:textId="77777777" w:rsidTr="005A428D">
        <w:trPr>
          <w:cantSplit/>
          <w:trHeight w:val="464"/>
        </w:trPr>
        <w:tc>
          <w:tcPr>
            <w:tcW w:w="5000" w:type="pct"/>
            <w:gridSpan w:val="6"/>
          </w:tcPr>
          <w:p w14:paraId="66D84B44" w14:textId="77777777" w:rsidR="00BE7F89" w:rsidRPr="00AC3044" w:rsidRDefault="00BE7F89" w:rsidP="005A428D">
            <w:pPr>
              <w:rPr>
                <w:rFonts w:eastAsia="SimSun"/>
              </w:rPr>
            </w:pPr>
            <w:r w:rsidRPr="00AC3044">
              <w:rPr>
                <w:rFonts w:eastAsia="SimSun"/>
              </w:rPr>
              <w:t>Инфузионная терапия</w:t>
            </w:r>
          </w:p>
        </w:tc>
      </w:tr>
      <w:tr w:rsidR="00BE7F89" w:rsidRPr="00AC3044" w14:paraId="73F766B5" w14:textId="77777777" w:rsidTr="005A428D">
        <w:trPr>
          <w:cantSplit/>
          <w:trHeight w:val="464"/>
        </w:trPr>
        <w:tc>
          <w:tcPr>
            <w:tcW w:w="168" w:type="pct"/>
          </w:tcPr>
          <w:p w14:paraId="44B4EE12" w14:textId="77777777" w:rsidR="00BE7F89" w:rsidRPr="00AC3044" w:rsidRDefault="00BE7F89" w:rsidP="005A428D">
            <w:pPr>
              <w:rPr>
                <w:rFonts w:eastAsia="SimSun"/>
              </w:rPr>
            </w:pPr>
            <w:r w:rsidRPr="00AC3044">
              <w:rPr>
                <w:rFonts w:eastAsia="SimSun"/>
              </w:rPr>
              <w:t>1</w:t>
            </w:r>
          </w:p>
        </w:tc>
        <w:tc>
          <w:tcPr>
            <w:tcW w:w="1133" w:type="pct"/>
            <w:vAlign w:val="center"/>
          </w:tcPr>
          <w:p w14:paraId="6C1DFB68" w14:textId="77777777" w:rsidR="00BE7F89" w:rsidRPr="00AC3044" w:rsidRDefault="00BE7F89" w:rsidP="005A428D">
            <w:pPr>
              <w:rPr>
                <w:rFonts w:eastAsia="SimSun"/>
              </w:rPr>
            </w:pPr>
            <w:r w:rsidRPr="00AC3044">
              <w:rPr>
                <w:rFonts w:eastAsia="SimSun"/>
              </w:rPr>
              <w:t xml:space="preserve">Натрия бикарбонат </w:t>
            </w:r>
          </w:p>
        </w:tc>
        <w:tc>
          <w:tcPr>
            <w:tcW w:w="614" w:type="pct"/>
            <w:vAlign w:val="center"/>
          </w:tcPr>
          <w:p w14:paraId="5542C0F0" w14:textId="77777777" w:rsidR="00BE7F89" w:rsidRPr="00AC3044" w:rsidRDefault="00BE7F89" w:rsidP="005A428D">
            <w:pPr>
              <w:rPr>
                <w:rFonts w:eastAsia="SimSun"/>
              </w:rPr>
            </w:pPr>
            <w:r w:rsidRPr="00AC3044">
              <w:rPr>
                <w:rFonts w:eastAsia="SimSun"/>
              </w:rPr>
              <w:t>1200 мг/литр инфузионной терапии</w:t>
            </w:r>
          </w:p>
        </w:tc>
        <w:tc>
          <w:tcPr>
            <w:tcW w:w="486" w:type="pct"/>
            <w:vAlign w:val="center"/>
          </w:tcPr>
          <w:p w14:paraId="7CF09046" w14:textId="77777777" w:rsidR="00BE7F89" w:rsidRPr="00AC3044" w:rsidRDefault="00BE7F89" w:rsidP="005A428D">
            <w:pPr>
              <w:rPr>
                <w:rFonts w:eastAsia="SimSun"/>
              </w:rPr>
            </w:pPr>
            <w:r w:rsidRPr="00AC3044">
              <w:rPr>
                <w:rFonts w:eastAsia="SimSun"/>
              </w:rPr>
              <w:t>–</w:t>
            </w:r>
          </w:p>
        </w:tc>
        <w:tc>
          <w:tcPr>
            <w:tcW w:w="1370" w:type="pct"/>
            <w:vAlign w:val="center"/>
          </w:tcPr>
          <w:p w14:paraId="33DBCC82" w14:textId="77777777" w:rsidR="00BE7F89" w:rsidRPr="00AC3044" w:rsidRDefault="00BE7F89" w:rsidP="005A428D">
            <w:pPr>
              <w:rPr>
                <w:rFonts w:eastAsia="SimSun"/>
              </w:rPr>
            </w:pPr>
            <w:r w:rsidRPr="00AC3044">
              <w:rPr>
                <w:rFonts w:eastAsia="SimSun"/>
              </w:rPr>
              <w:t xml:space="preserve">С дня -7 по -2 день </w:t>
            </w:r>
          </w:p>
        </w:tc>
        <w:tc>
          <w:tcPr>
            <w:tcW w:w="1229" w:type="pct"/>
            <w:vAlign w:val="center"/>
          </w:tcPr>
          <w:p w14:paraId="12417377" w14:textId="77777777" w:rsidR="00BE7F89" w:rsidRPr="00AC3044" w:rsidRDefault="00BE7F89" w:rsidP="005A428D">
            <w:pPr>
              <w:rPr>
                <w:rFonts w:eastAsia="SimSun"/>
              </w:rPr>
            </w:pPr>
            <w:r w:rsidRPr="00AC3044">
              <w:rPr>
                <w:rFonts w:eastAsia="SimSun"/>
              </w:rPr>
              <w:t>В/в инфузия в течение 3 часов, 30 мл 4% р-ра натрия бикарбоната на 1 литр инфузионной терапии сразу после внутривенного введения химиопрепаратов</w:t>
            </w:r>
          </w:p>
        </w:tc>
      </w:tr>
      <w:tr w:rsidR="00BE7F89" w:rsidRPr="00AC3044" w14:paraId="3E14A1F1" w14:textId="77777777" w:rsidTr="005A428D">
        <w:trPr>
          <w:cantSplit/>
          <w:trHeight w:val="464"/>
        </w:trPr>
        <w:tc>
          <w:tcPr>
            <w:tcW w:w="168" w:type="pct"/>
          </w:tcPr>
          <w:p w14:paraId="752C1CB8" w14:textId="77777777" w:rsidR="00BE7F89" w:rsidRPr="00AC3044" w:rsidRDefault="00BE7F89" w:rsidP="005A428D">
            <w:pPr>
              <w:rPr>
                <w:rFonts w:eastAsia="SimSun"/>
              </w:rPr>
            </w:pPr>
            <w:r w:rsidRPr="00AC3044">
              <w:rPr>
                <w:rFonts w:eastAsia="SimSun"/>
              </w:rPr>
              <w:t>2</w:t>
            </w:r>
          </w:p>
        </w:tc>
        <w:tc>
          <w:tcPr>
            <w:tcW w:w="1133" w:type="pct"/>
            <w:vAlign w:val="center"/>
          </w:tcPr>
          <w:p w14:paraId="3856BF7F" w14:textId="77777777" w:rsidR="00BE7F89" w:rsidRPr="00AC3044" w:rsidRDefault="00BE7F89" w:rsidP="005A428D">
            <w:pPr>
              <w:rPr>
                <w:rFonts w:eastAsia="SimSun"/>
              </w:rPr>
            </w:pPr>
            <w:r w:rsidRPr="00AC3044">
              <w:rPr>
                <w:rFonts w:eastAsia="SimSun"/>
              </w:rPr>
              <w:t xml:space="preserve">Раствор 5% глюкозы </w:t>
            </w:r>
          </w:p>
        </w:tc>
        <w:tc>
          <w:tcPr>
            <w:tcW w:w="2470" w:type="pct"/>
            <w:gridSpan w:val="3"/>
            <w:vAlign w:val="center"/>
          </w:tcPr>
          <w:p w14:paraId="72FD4054" w14:textId="77777777" w:rsidR="00BE7F89" w:rsidRPr="00AC3044" w:rsidRDefault="00BE7F89" w:rsidP="005A428D">
            <w:pPr>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7899C482" w14:textId="77777777" w:rsidR="00BE7F89" w:rsidRPr="00AC3044" w:rsidRDefault="00BE7F89" w:rsidP="005A428D">
            <w:pPr>
              <w:rPr>
                <w:rFonts w:eastAsia="SimSun"/>
              </w:rPr>
            </w:pPr>
            <w:r w:rsidRPr="00AC3044">
              <w:rPr>
                <w:rFonts w:eastAsia="SimSun"/>
              </w:rPr>
              <w:t>В/в инфузия</w:t>
            </w:r>
          </w:p>
        </w:tc>
      </w:tr>
      <w:tr w:rsidR="00BE7F89" w:rsidRPr="00AC3044" w14:paraId="50D4F20D" w14:textId="77777777" w:rsidTr="005A428D">
        <w:trPr>
          <w:cantSplit/>
          <w:trHeight w:val="464"/>
        </w:trPr>
        <w:tc>
          <w:tcPr>
            <w:tcW w:w="168" w:type="pct"/>
          </w:tcPr>
          <w:p w14:paraId="389577FD" w14:textId="77777777" w:rsidR="00BE7F89" w:rsidRPr="00AC3044" w:rsidRDefault="00BE7F89" w:rsidP="005A428D">
            <w:pPr>
              <w:rPr>
                <w:rFonts w:eastAsia="SimSun"/>
              </w:rPr>
            </w:pPr>
            <w:r w:rsidRPr="00AC3044">
              <w:rPr>
                <w:rFonts w:eastAsia="SimSun"/>
              </w:rPr>
              <w:t>3</w:t>
            </w:r>
          </w:p>
        </w:tc>
        <w:tc>
          <w:tcPr>
            <w:tcW w:w="1133" w:type="pct"/>
            <w:vAlign w:val="center"/>
          </w:tcPr>
          <w:p w14:paraId="5928EBCB" w14:textId="77777777" w:rsidR="00BE7F89" w:rsidRPr="00AC3044" w:rsidRDefault="00BE7F89" w:rsidP="005A428D">
            <w:pPr>
              <w:rPr>
                <w:rFonts w:eastAsia="SimSun"/>
              </w:rPr>
            </w:pPr>
            <w:r w:rsidRPr="00AC3044">
              <w:rPr>
                <w:rFonts w:eastAsia="SimSun"/>
              </w:rPr>
              <w:t>Раствор хлорида натрия (0,9% NaCl)</w:t>
            </w:r>
          </w:p>
        </w:tc>
        <w:tc>
          <w:tcPr>
            <w:tcW w:w="2470" w:type="pct"/>
            <w:gridSpan w:val="3"/>
            <w:vAlign w:val="center"/>
          </w:tcPr>
          <w:p w14:paraId="11EA9E25" w14:textId="77777777" w:rsidR="00BE7F89" w:rsidRPr="00AC3044" w:rsidRDefault="00BE7F89" w:rsidP="005A428D">
            <w:pPr>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70C1AB49" w14:textId="77777777" w:rsidR="00BE7F89" w:rsidRPr="00AC3044" w:rsidRDefault="00BE7F89" w:rsidP="005A428D">
            <w:pPr>
              <w:rPr>
                <w:rFonts w:eastAsia="SimSun"/>
              </w:rPr>
            </w:pPr>
            <w:r w:rsidRPr="00AC3044">
              <w:rPr>
                <w:rFonts w:eastAsia="SimSun"/>
              </w:rPr>
              <w:t>В/в инфузия</w:t>
            </w:r>
          </w:p>
        </w:tc>
      </w:tr>
      <w:tr w:rsidR="00BE7F89" w:rsidRPr="00AC3044" w14:paraId="5B56B7B1" w14:textId="77777777" w:rsidTr="005A428D">
        <w:trPr>
          <w:cantSplit/>
          <w:trHeight w:val="464"/>
        </w:trPr>
        <w:tc>
          <w:tcPr>
            <w:tcW w:w="168" w:type="pct"/>
          </w:tcPr>
          <w:p w14:paraId="1456B12B" w14:textId="77777777" w:rsidR="00BE7F89" w:rsidRPr="00AC3044" w:rsidRDefault="00BE7F89" w:rsidP="005A428D">
            <w:pPr>
              <w:rPr>
                <w:rFonts w:eastAsia="SimSun"/>
              </w:rPr>
            </w:pPr>
            <w:r w:rsidRPr="00AC3044">
              <w:rPr>
                <w:rFonts w:eastAsia="SimSun"/>
              </w:rPr>
              <w:t>4</w:t>
            </w:r>
          </w:p>
        </w:tc>
        <w:tc>
          <w:tcPr>
            <w:tcW w:w="1133" w:type="pct"/>
            <w:vAlign w:val="center"/>
          </w:tcPr>
          <w:p w14:paraId="5CD78D4B" w14:textId="77777777" w:rsidR="00BE7F89" w:rsidRPr="00AC3044" w:rsidRDefault="00BE7F89" w:rsidP="005A428D">
            <w:pPr>
              <w:rPr>
                <w:rFonts w:eastAsia="SimSun"/>
              </w:rPr>
            </w:pPr>
            <w:r w:rsidRPr="00AC3044">
              <w:rPr>
                <w:rFonts w:eastAsia="SimSun"/>
              </w:rPr>
              <w:t>Раствор Рингера</w:t>
            </w:r>
          </w:p>
        </w:tc>
        <w:tc>
          <w:tcPr>
            <w:tcW w:w="2470" w:type="pct"/>
            <w:gridSpan w:val="3"/>
            <w:vAlign w:val="center"/>
          </w:tcPr>
          <w:p w14:paraId="54546BCF" w14:textId="77777777" w:rsidR="00BE7F89" w:rsidRPr="00AC3044" w:rsidRDefault="00BE7F89" w:rsidP="005A428D">
            <w:pPr>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45B8BDD0" w14:textId="77777777" w:rsidR="00BE7F89" w:rsidRPr="00AC3044" w:rsidRDefault="00BE7F89" w:rsidP="005A428D">
            <w:pPr>
              <w:rPr>
                <w:rFonts w:eastAsia="SimSun"/>
              </w:rPr>
            </w:pPr>
            <w:r w:rsidRPr="00AC3044">
              <w:rPr>
                <w:rFonts w:eastAsia="SimSun"/>
              </w:rPr>
              <w:t>В/в инфузия</w:t>
            </w:r>
          </w:p>
        </w:tc>
      </w:tr>
      <w:tr w:rsidR="00BE7F89" w:rsidRPr="00AC3044" w14:paraId="573976C3" w14:textId="77777777" w:rsidTr="005A428D">
        <w:trPr>
          <w:cantSplit/>
          <w:trHeight w:val="464"/>
        </w:trPr>
        <w:tc>
          <w:tcPr>
            <w:tcW w:w="168" w:type="pct"/>
          </w:tcPr>
          <w:p w14:paraId="28D1E70E" w14:textId="77777777" w:rsidR="00BE7F89" w:rsidRPr="00AC3044" w:rsidRDefault="00BE7F89" w:rsidP="005A428D">
            <w:pPr>
              <w:rPr>
                <w:rFonts w:eastAsia="SimSun"/>
              </w:rPr>
            </w:pPr>
            <w:r w:rsidRPr="00AC3044">
              <w:rPr>
                <w:rFonts w:eastAsia="SimSun"/>
              </w:rPr>
              <w:t>5</w:t>
            </w:r>
          </w:p>
        </w:tc>
        <w:tc>
          <w:tcPr>
            <w:tcW w:w="1133" w:type="pct"/>
            <w:vAlign w:val="center"/>
          </w:tcPr>
          <w:p w14:paraId="1799D131" w14:textId="77777777" w:rsidR="00BE7F89" w:rsidRPr="00AC3044" w:rsidRDefault="00BE7F89" w:rsidP="005A428D">
            <w:pPr>
              <w:rPr>
                <w:rFonts w:eastAsia="SimSun"/>
              </w:rPr>
            </w:pPr>
            <w:r w:rsidRPr="00AC3044">
              <w:rPr>
                <w:rFonts w:eastAsia="SimSun"/>
              </w:rPr>
              <w:t>Калия и магния аспарагинат</w:t>
            </w:r>
          </w:p>
        </w:tc>
        <w:tc>
          <w:tcPr>
            <w:tcW w:w="2470" w:type="pct"/>
            <w:gridSpan w:val="3"/>
            <w:vAlign w:val="center"/>
          </w:tcPr>
          <w:p w14:paraId="02FAF4C2" w14:textId="77777777" w:rsidR="00BE7F89" w:rsidRPr="00AC3044" w:rsidRDefault="00BE7F89" w:rsidP="005A428D">
            <w:pPr>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708C738A" w14:textId="77777777" w:rsidR="00BE7F89" w:rsidRPr="00AC3044" w:rsidRDefault="00BE7F89" w:rsidP="005A428D">
            <w:pPr>
              <w:rPr>
                <w:rFonts w:eastAsia="SimSun"/>
              </w:rPr>
            </w:pPr>
            <w:r w:rsidRPr="00AC3044">
              <w:rPr>
                <w:rFonts w:eastAsia="SimSun"/>
              </w:rPr>
              <w:t>В/в инфузия</w:t>
            </w:r>
          </w:p>
        </w:tc>
      </w:tr>
      <w:tr w:rsidR="00BE7F89" w:rsidRPr="00AC3044" w14:paraId="3F46D27F" w14:textId="77777777" w:rsidTr="005A428D">
        <w:trPr>
          <w:cantSplit/>
          <w:trHeight w:val="464"/>
        </w:trPr>
        <w:tc>
          <w:tcPr>
            <w:tcW w:w="168" w:type="pct"/>
          </w:tcPr>
          <w:p w14:paraId="528DEA89" w14:textId="77777777" w:rsidR="00BE7F89" w:rsidRPr="00AC3044" w:rsidRDefault="00BE7F89" w:rsidP="005A428D">
            <w:pPr>
              <w:rPr>
                <w:rFonts w:eastAsia="SimSun"/>
              </w:rPr>
            </w:pPr>
            <w:r w:rsidRPr="00AC3044">
              <w:rPr>
                <w:rFonts w:eastAsia="SimSun"/>
              </w:rPr>
              <w:t>6</w:t>
            </w:r>
          </w:p>
        </w:tc>
        <w:tc>
          <w:tcPr>
            <w:tcW w:w="1133" w:type="pct"/>
            <w:vAlign w:val="center"/>
          </w:tcPr>
          <w:p w14:paraId="296B5F7D" w14:textId="77777777" w:rsidR="00BE7F89" w:rsidRPr="00AC3044" w:rsidRDefault="00BE7F89" w:rsidP="005A428D">
            <w:pPr>
              <w:rPr>
                <w:rFonts w:eastAsia="SimSun"/>
              </w:rPr>
            </w:pPr>
            <w:r w:rsidRPr="00AC3044">
              <w:rPr>
                <w:rFonts w:eastAsia="SimSun"/>
              </w:rPr>
              <w:t>4% хлорида калия (KCl)</w:t>
            </w:r>
          </w:p>
        </w:tc>
        <w:tc>
          <w:tcPr>
            <w:tcW w:w="2470" w:type="pct"/>
            <w:gridSpan w:val="3"/>
            <w:vAlign w:val="center"/>
          </w:tcPr>
          <w:p w14:paraId="173B1076" w14:textId="77777777" w:rsidR="00BE7F89" w:rsidRPr="00AC3044" w:rsidRDefault="00BE7F89" w:rsidP="005A428D">
            <w:pPr>
              <w:rPr>
                <w:rFonts w:eastAsia="SimSun"/>
              </w:rPr>
            </w:pPr>
            <w:r w:rsidRPr="00AC3044">
              <w:rPr>
                <w:rFonts w:eastAsia="SimSun"/>
              </w:rPr>
              <w:t>В соответсвии с лабораторными показателями, в среднем 14-52 дня</w:t>
            </w:r>
          </w:p>
        </w:tc>
        <w:tc>
          <w:tcPr>
            <w:tcW w:w="1229" w:type="pct"/>
            <w:vAlign w:val="center"/>
          </w:tcPr>
          <w:p w14:paraId="4FF32E5F" w14:textId="77777777" w:rsidR="00BE7F89" w:rsidRPr="00AC3044" w:rsidRDefault="00BE7F89" w:rsidP="005A428D">
            <w:pPr>
              <w:rPr>
                <w:rFonts w:eastAsia="SimSun"/>
              </w:rPr>
            </w:pPr>
            <w:r w:rsidRPr="00AC3044">
              <w:rPr>
                <w:rFonts w:eastAsia="SimSun"/>
              </w:rPr>
              <w:t>В/в инфузия</w:t>
            </w:r>
          </w:p>
        </w:tc>
      </w:tr>
      <w:tr w:rsidR="00BE7F89" w:rsidRPr="00AC3044" w14:paraId="5FE6AAA7" w14:textId="77777777" w:rsidTr="005A428D">
        <w:trPr>
          <w:cantSplit/>
          <w:trHeight w:val="464"/>
        </w:trPr>
        <w:tc>
          <w:tcPr>
            <w:tcW w:w="168" w:type="pct"/>
          </w:tcPr>
          <w:p w14:paraId="1B061FC4" w14:textId="77777777" w:rsidR="00BE7F89" w:rsidRPr="00AC3044" w:rsidRDefault="00BE7F89" w:rsidP="005A428D">
            <w:pPr>
              <w:rPr>
                <w:rFonts w:eastAsia="SimSun"/>
              </w:rPr>
            </w:pPr>
            <w:r w:rsidRPr="00AC3044">
              <w:rPr>
                <w:rFonts w:eastAsia="SimSun"/>
              </w:rPr>
              <w:t>7</w:t>
            </w:r>
          </w:p>
        </w:tc>
        <w:tc>
          <w:tcPr>
            <w:tcW w:w="1133" w:type="pct"/>
            <w:vAlign w:val="center"/>
          </w:tcPr>
          <w:p w14:paraId="54FD5C92" w14:textId="77777777" w:rsidR="00BE7F89" w:rsidRPr="00AC3044" w:rsidRDefault="00BE7F89" w:rsidP="005A428D">
            <w:pPr>
              <w:rPr>
                <w:rFonts w:eastAsia="SimSun"/>
              </w:rPr>
            </w:pPr>
            <w:r w:rsidRPr="00AC3044">
              <w:rPr>
                <w:rFonts w:eastAsia="SimSun"/>
              </w:rPr>
              <w:t>25% сульфат магния (MgSO4)</w:t>
            </w:r>
          </w:p>
        </w:tc>
        <w:tc>
          <w:tcPr>
            <w:tcW w:w="2470" w:type="pct"/>
            <w:gridSpan w:val="3"/>
            <w:vAlign w:val="center"/>
          </w:tcPr>
          <w:p w14:paraId="16D539FD" w14:textId="77777777" w:rsidR="00BE7F89" w:rsidRPr="00AC3044" w:rsidRDefault="00BE7F89" w:rsidP="005A428D">
            <w:pPr>
              <w:rPr>
                <w:rFonts w:eastAsia="SimSun"/>
              </w:rPr>
            </w:pPr>
            <w:r w:rsidRPr="00AC3044">
              <w:rPr>
                <w:rFonts w:eastAsia="SimSun"/>
              </w:rPr>
              <w:t>В соответсвии с лабораторными показателями, в среднем 14-52 дня</w:t>
            </w:r>
          </w:p>
        </w:tc>
        <w:tc>
          <w:tcPr>
            <w:tcW w:w="1229" w:type="pct"/>
            <w:vAlign w:val="center"/>
          </w:tcPr>
          <w:p w14:paraId="0D1E566F" w14:textId="77777777" w:rsidR="00BE7F89" w:rsidRPr="00AC3044" w:rsidRDefault="00BE7F89" w:rsidP="005A428D">
            <w:pPr>
              <w:rPr>
                <w:rFonts w:eastAsia="SimSun"/>
              </w:rPr>
            </w:pPr>
            <w:r w:rsidRPr="00AC3044">
              <w:rPr>
                <w:rFonts w:eastAsia="SimSun"/>
              </w:rPr>
              <w:t>В/в инфузия</w:t>
            </w:r>
          </w:p>
        </w:tc>
      </w:tr>
      <w:tr w:rsidR="00BE7F89" w:rsidRPr="00AC3044" w14:paraId="05D41A7D" w14:textId="77777777" w:rsidTr="005A428D">
        <w:trPr>
          <w:cantSplit/>
          <w:trHeight w:val="464"/>
        </w:trPr>
        <w:tc>
          <w:tcPr>
            <w:tcW w:w="5000" w:type="pct"/>
            <w:gridSpan w:val="6"/>
          </w:tcPr>
          <w:p w14:paraId="2F2DA9B4" w14:textId="77777777" w:rsidR="00BE7F89" w:rsidRPr="00AC3044" w:rsidRDefault="00BE7F89" w:rsidP="005A428D">
            <w:pPr>
              <w:rPr>
                <w:rFonts w:eastAsia="SimSun"/>
              </w:rPr>
            </w:pPr>
            <w:r w:rsidRPr="00AC3044">
              <w:rPr>
                <w:rFonts w:eastAsia="SimSun"/>
              </w:rPr>
              <w:t>Антиэметическая терапия</w:t>
            </w:r>
          </w:p>
        </w:tc>
      </w:tr>
      <w:tr w:rsidR="00BE7F89" w:rsidRPr="00AC3044" w14:paraId="7AE3D4C5" w14:textId="77777777" w:rsidTr="005A428D">
        <w:trPr>
          <w:cantSplit/>
          <w:trHeight w:val="464"/>
        </w:trPr>
        <w:tc>
          <w:tcPr>
            <w:tcW w:w="168" w:type="pct"/>
          </w:tcPr>
          <w:p w14:paraId="3508D473" w14:textId="77777777" w:rsidR="00BE7F89" w:rsidRPr="00AC3044" w:rsidRDefault="00BE7F89" w:rsidP="005A428D">
            <w:pPr>
              <w:rPr>
                <w:rFonts w:eastAsia="SimSun"/>
              </w:rPr>
            </w:pPr>
            <w:r w:rsidRPr="00AC3044">
              <w:rPr>
                <w:rFonts w:eastAsia="SimSun"/>
              </w:rPr>
              <w:t>1</w:t>
            </w:r>
          </w:p>
        </w:tc>
        <w:tc>
          <w:tcPr>
            <w:tcW w:w="1133" w:type="pct"/>
            <w:vAlign w:val="center"/>
          </w:tcPr>
          <w:p w14:paraId="2ECB0B9B" w14:textId="77777777" w:rsidR="00BE7F89" w:rsidRPr="00AC3044" w:rsidRDefault="00BE7F89" w:rsidP="005A428D">
            <w:pPr>
              <w:rPr>
                <w:rFonts w:eastAsia="SimSun"/>
              </w:rPr>
            </w:pPr>
            <w:r w:rsidRPr="00AC3044">
              <w:rPr>
                <w:rFonts w:eastAsia="SimSun"/>
              </w:rPr>
              <w:t xml:space="preserve">Ондансетрон </w:t>
            </w:r>
          </w:p>
        </w:tc>
        <w:tc>
          <w:tcPr>
            <w:tcW w:w="614" w:type="pct"/>
            <w:vAlign w:val="center"/>
          </w:tcPr>
          <w:p w14:paraId="3E890C41" w14:textId="77777777" w:rsidR="00BE7F89" w:rsidRPr="00AC3044" w:rsidRDefault="00BE7F89" w:rsidP="005A428D">
            <w:pPr>
              <w:rPr>
                <w:rFonts w:eastAsia="SimSun"/>
              </w:rPr>
            </w:pPr>
            <w:r w:rsidRPr="00AC3044">
              <w:rPr>
                <w:rFonts w:eastAsia="SimSun"/>
              </w:rPr>
              <w:t>24 мг</w:t>
            </w:r>
          </w:p>
        </w:tc>
        <w:tc>
          <w:tcPr>
            <w:tcW w:w="486" w:type="pct"/>
            <w:vAlign w:val="center"/>
          </w:tcPr>
          <w:p w14:paraId="2AA7F660" w14:textId="77777777" w:rsidR="00BE7F89" w:rsidRPr="00AC3044" w:rsidRDefault="00BE7F89" w:rsidP="005A428D">
            <w:pPr>
              <w:rPr>
                <w:rFonts w:eastAsia="SimSun"/>
              </w:rPr>
            </w:pPr>
            <w:r w:rsidRPr="00AC3044">
              <w:rPr>
                <w:rFonts w:eastAsia="SimSun"/>
              </w:rPr>
              <w:t>–</w:t>
            </w:r>
          </w:p>
        </w:tc>
        <w:tc>
          <w:tcPr>
            <w:tcW w:w="1370" w:type="pct"/>
            <w:vAlign w:val="center"/>
          </w:tcPr>
          <w:p w14:paraId="08A395C6" w14:textId="77777777" w:rsidR="00BE7F89" w:rsidRPr="00AC3044" w:rsidRDefault="00BE7F89" w:rsidP="005A428D">
            <w:pPr>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06B578B1" w14:textId="77777777" w:rsidR="00BE7F89" w:rsidRPr="00AC3044" w:rsidRDefault="00BE7F89" w:rsidP="005A428D">
            <w:pPr>
              <w:rPr>
                <w:rFonts w:eastAsia="SimSun"/>
              </w:rPr>
            </w:pPr>
            <w:r w:rsidRPr="00AC3044">
              <w:rPr>
                <w:rFonts w:eastAsia="SimSun"/>
              </w:rPr>
              <w:t xml:space="preserve">В/в, 8 мг 3 раза/сут  </w:t>
            </w:r>
          </w:p>
        </w:tc>
      </w:tr>
      <w:tr w:rsidR="00BE7F89" w:rsidRPr="00AC3044" w14:paraId="3862C05C" w14:textId="77777777" w:rsidTr="005A428D">
        <w:trPr>
          <w:cantSplit/>
          <w:trHeight w:val="464"/>
        </w:trPr>
        <w:tc>
          <w:tcPr>
            <w:tcW w:w="168" w:type="pct"/>
          </w:tcPr>
          <w:p w14:paraId="11668BCC" w14:textId="77777777" w:rsidR="00BE7F89" w:rsidRPr="00AC3044" w:rsidRDefault="00BE7F89" w:rsidP="005A428D">
            <w:pPr>
              <w:rPr>
                <w:rFonts w:eastAsia="SimSun"/>
              </w:rPr>
            </w:pPr>
            <w:r w:rsidRPr="00AC3044">
              <w:rPr>
                <w:rFonts w:eastAsia="SimSun"/>
              </w:rPr>
              <w:t>2</w:t>
            </w:r>
          </w:p>
        </w:tc>
        <w:tc>
          <w:tcPr>
            <w:tcW w:w="1133" w:type="pct"/>
            <w:vAlign w:val="center"/>
          </w:tcPr>
          <w:p w14:paraId="260DB8E6" w14:textId="77777777" w:rsidR="00BE7F89" w:rsidRPr="00AC3044" w:rsidRDefault="00BE7F89" w:rsidP="005A428D">
            <w:pPr>
              <w:rPr>
                <w:rFonts w:eastAsia="SimSun"/>
              </w:rPr>
            </w:pPr>
            <w:r w:rsidRPr="00AC3044">
              <w:rPr>
                <w:rFonts w:eastAsia="SimSun"/>
              </w:rPr>
              <w:t>Гранисетрон</w:t>
            </w:r>
          </w:p>
        </w:tc>
        <w:tc>
          <w:tcPr>
            <w:tcW w:w="614" w:type="pct"/>
            <w:vAlign w:val="center"/>
          </w:tcPr>
          <w:p w14:paraId="777B1456" w14:textId="77777777" w:rsidR="00BE7F89" w:rsidRPr="00AC3044" w:rsidRDefault="00BE7F89" w:rsidP="005A428D">
            <w:pPr>
              <w:rPr>
                <w:rFonts w:eastAsia="SimSun"/>
              </w:rPr>
            </w:pPr>
            <w:r w:rsidRPr="00AC3044">
              <w:rPr>
                <w:rFonts w:eastAsia="SimSun"/>
              </w:rPr>
              <w:t>9 мг</w:t>
            </w:r>
          </w:p>
        </w:tc>
        <w:tc>
          <w:tcPr>
            <w:tcW w:w="486" w:type="pct"/>
            <w:vAlign w:val="center"/>
          </w:tcPr>
          <w:p w14:paraId="47C81DB4" w14:textId="77777777" w:rsidR="00BE7F89" w:rsidRPr="00AC3044" w:rsidRDefault="00BE7F89" w:rsidP="005A428D">
            <w:pPr>
              <w:rPr>
                <w:rFonts w:eastAsia="SimSun"/>
              </w:rPr>
            </w:pPr>
            <w:r w:rsidRPr="00AC3044">
              <w:rPr>
                <w:rFonts w:eastAsia="SimSun"/>
              </w:rPr>
              <w:t>–</w:t>
            </w:r>
          </w:p>
        </w:tc>
        <w:tc>
          <w:tcPr>
            <w:tcW w:w="1370" w:type="pct"/>
            <w:vAlign w:val="center"/>
          </w:tcPr>
          <w:p w14:paraId="632862F9" w14:textId="77777777" w:rsidR="00BE7F89" w:rsidRPr="00AC3044" w:rsidRDefault="00BE7F89" w:rsidP="005A428D">
            <w:pPr>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1F69C978" w14:textId="77777777" w:rsidR="00BE7F89" w:rsidRPr="00AC3044" w:rsidRDefault="00BE7F89" w:rsidP="005A428D">
            <w:pPr>
              <w:rPr>
                <w:rFonts w:eastAsia="SimSun"/>
              </w:rPr>
            </w:pPr>
            <w:r w:rsidRPr="00AC3044">
              <w:rPr>
                <w:rFonts w:eastAsia="SimSun"/>
              </w:rPr>
              <w:t xml:space="preserve">В/в, 3 мг 3 раза/сут  </w:t>
            </w:r>
          </w:p>
        </w:tc>
      </w:tr>
      <w:tr w:rsidR="00BE7F89" w:rsidRPr="00AC3044" w14:paraId="5EEBB229" w14:textId="77777777" w:rsidTr="005A428D">
        <w:trPr>
          <w:cantSplit/>
          <w:trHeight w:val="464"/>
        </w:trPr>
        <w:tc>
          <w:tcPr>
            <w:tcW w:w="168" w:type="pct"/>
          </w:tcPr>
          <w:p w14:paraId="3F7A5300" w14:textId="77777777" w:rsidR="00BE7F89" w:rsidRPr="00AC3044" w:rsidRDefault="00BE7F89" w:rsidP="005A428D">
            <w:pPr>
              <w:rPr>
                <w:rFonts w:eastAsia="SimSun"/>
              </w:rPr>
            </w:pPr>
            <w:r w:rsidRPr="00AC3044">
              <w:rPr>
                <w:rFonts w:eastAsia="SimSun"/>
              </w:rPr>
              <w:t>3</w:t>
            </w:r>
          </w:p>
        </w:tc>
        <w:tc>
          <w:tcPr>
            <w:tcW w:w="1133" w:type="pct"/>
            <w:vAlign w:val="center"/>
          </w:tcPr>
          <w:p w14:paraId="52CF0F13" w14:textId="77777777" w:rsidR="00BE7F89" w:rsidRPr="00AC3044" w:rsidRDefault="00BE7F89" w:rsidP="005A428D">
            <w:pPr>
              <w:rPr>
                <w:rFonts w:eastAsia="SimSun"/>
              </w:rPr>
            </w:pPr>
            <w:r w:rsidRPr="00AC3044">
              <w:rPr>
                <w:rFonts w:eastAsia="SimSun"/>
              </w:rPr>
              <w:t>Трописетрон</w:t>
            </w:r>
          </w:p>
        </w:tc>
        <w:tc>
          <w:tcPr>
            <w:tcW w:w="614" w:type="pct"/>
            <w:vAlign w:val="center"/>
          </w:tcPr>
          <w:p w14:paraId="6C823134" w14:textId="77777777" w:rsidR="00BE7F89" w:rsidRPr="00AC3044" w:rsidRDefault="00BE7F89" w:rsidP="005A428D">
            <w:pPr>
              <w:rPr>
                <w:rFonts w:eastAsia="SimSun"/>
              </w:rPr>
            </w:pPr>
            <w:r w:rsidRPr="00AC3044">
              <w:rPr>
                <w:rFonts w:eastAsia="SimSun"/>
              </w:rPr>
              <w:t>5 мг</w:t>
            </w:r>
          </w:p>
        </w:tc>
        <w:tc>
          <w:tcPr>
            <w:tcW w:w="486" w:type="pct"/>
            <w:vAlign w:val="center"/>
          </w:tcPr>
          <w:p w14:paraId="59A687E8" w14:textId="77777777" w:rsidR="00BE7F89" w:rsidRPr="00AC3044" w:rsidRDefault="00BE7F89" w:rsidP="005A428D">
            <w:pPr>
              <w:rPr>
                <w:rFonts w:eastAsia="SimSun"/>
              </w:rPr>
            </w:pPr>
            <w:r w:rsidRPr="00AC3044">
              <w:rPr>
                <w:rFonts w:eastAsia="SimSun"/>
              </w:rPr>
              <w:t>–</w:t>
            </w:r>
          </w:p>
        </w:tc>
        <w:tc>
          <w:tcPr>
            <w:tcW w:w="1370" w:type="pct"/>
            <w:vAlign w:val="center"/>
          </w:tcPr>
          <w:p w14:paraId="64B8BE66" w14:textId="77777777" w:rsidR="00BE7F89" w:rsidRPr="00AC3044" w:rsidRDefault="00BE7F89" w:rsidP="005A428D">
            <w:pPr>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1E6D3735" w14:textId="77777777" w:rsidR="00BE7F89" w:rsidRPr="00AC3044" w:rsidRDefault="00BE7F89" w:rsidP="005A428D">
            <w:pPr>
              <w:rPr>
                <w:rFonts w:eastAsia="SimSun"/>
              </w:rPr>
            </w:pPr>
            <w:r w:rsidRPr="00AC3044">
              <w:rPr>
                <w:rFonts w:eastAsia="SimSun"/>
              </w:rPr>
              <w:t>В/в, 5 мг 1 раз/сут</w:t>
            </w:r>
          </w:p>
        </w:tc>
      </w:tr>
      <w:tr w:rsidR="00BE7F89" w:rsidRPr="00AC3044" w14:paraId="4B1F27D4" w14:textId="77777777" w:rsidTr="005A428D">
        <w:trPr>
          <w:cantSplit/>
          <w:trHeight w:val="464"/>
        </w:trPr>
        <w:tc>
          <w:tcPr>
            <w:tcW w:w="168" w:type="pct"/>
          </w:tcPr>
          <w:p w14:paraId="131EBACB" w14:textId="77777777" w:rsidR="00BE7F89" w:rsidRPr="00AC3044" w:rsidRDefault="00BE7F89" w:rsidP="005A428D">
            <w:pPr>
              <w:rPr>
                <w:rFonts w:eastAsia="SimSun"/>
              </w:rPr>
            </w:pPr>
            <w:r w:rsidRPr="00AC3044">
              <w:rPr>
                <w:rFonts w:eastAsia="SimSun"/>
              </w:rPr>
              <w:t>4</w:t>
            </w:r>
          </w:p>
        </w:tc>
        <w:tc>
          <w:tcPr>
            <w:tcW w:w="1133" w:type="pct"/>
            <w:vAlign w:val="center"/>
          </w:tcPr>
          <w:p w14:paraId="1CF0C6CE" w14:textId="77777777" w:rsidR="00BE7F89" w:rsidRPr="00AC3044" w:rsidRDefault="00BE7F89" w:rsidP="005A428D">
            <w:pPr>
              <w:rPr>
                <w:rFonts w:eastAsia="SimSun"/>
              </w:rPr>
            </w:pPr>
            <w:r w:rsidRPr="00AC3044">
              <w:rPr>
                <w:rFonts w:eastAsia="SimSun"/>
              </w:rPr>
              <w:t>Палоносетрон</w:t>
            </w:r>
          </w:p>
        </w:tc>
        <w:tc>
          <w:tcPr>
            <w:tcW w:w="614" w:type="pct"/>
            <w:vAlign w:val="center"/>
          </w:tcPr>
          <w:p w14:paraId="5C078422" w14:textId="77777777" w:rsidR="00BE7F89" w:rsidRPr="00AC3044" w:rsidRDefault="00BE7F89" w:rsidP="005A428D">
            <w:pPr>
              <w:rPr>
                <w:rFonts w:eastAsia="SimSun"/>
              </w:rPr>
            </w:pPr>
            <w:r w:rsidRPr="00AC3044">
              <w:rPr>
                <w:rFonts w:eastAsia="SimSun"/>
              </w:rPr>
              <w:t>0,25 мг</w:t>
            </w:r>
          </w:p>
        </w:tc>
        <w:tc>
          <w:tcPr>
            <w:tcW w:w="486" w:type="pct"/>
            <w:vAlign w:val="center"/>
          </w:tcPr>
          <w:p w14:paraId="2764E824" w14:textId="77777777" w:rsidR="00BE7F89" w:rsidRPr="00AC3044" w:rsidRDefault="00BE7F89" w:rsidP="005A428D">
            <w:pPr>
              <w:rPr>
                <w:rFonts w:eastAsia="SimSun"/>
              </w:rPr>
            </w:pPr>
            <w:r w:rsidRPr="00AC3044">
              <w:rPr>
                <w:rFonts w:eastAsia="SimSun"/>
              </w:rPr>
              <w:t>–</w:t>
            </w:r>
          </w:p>
        </w:tc>
        <w:tc>
          <w:tcPr>
            <w:tcW w:w="1370" w:type="pct"/>
            <w:vAlign w:val="center"/>
          </w:tcPr>
          <w:p w14:paraId="652A741C" w14:textId="77777777" w:rsidR="00BE7F89" w:rsidRPr="00AC3044" w:rsidRDefault="00BE7F89" w:rsidP="005A428D">
            <w:pPr>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28B53781" w14:textId="77777777" w:rsidR="00BE7F89" w:rsidRPr="00AC3044" w:rsidRDefault="00BE7F89" w:rsidP="005A428D">
            <w:pPr>
              <w:rPr>
                <w:rFonts w:eastAsia="SimSun"/>
              </w:rPr>
            </w:pPr>
            <w:r w:rsidRPr="00AC3044">
              <w:rPr>
                <w:rFonts w:eastAsia="SimSun"/>
              </w:rPr>
              <w:t>В/в</w:t>
            </w:r>
          </w:p>
        </w:tc>
      </w:tr>
      <w:tr w:rsidR="00BE7F89" w:rsidRPr="00AC3044" w14:paraId="7AD54217" w14:textId="77777777" w:rsidTr="005A428D">
        <w:trPr>
          <w:cantSplit/>
          <w:trHeight w:val="464"/>
        </w:trPr>
        <w:tc>
          <w:tcPr>
            <w:tcW w:w="168" w:type="pct"/>
          </w:tcPr>
          <w:p w14:paraId="0547D34D" w14:textId="77777777" w:rsidR="00BE7F89" w:rsidRPr="00AC3044" w:rsidRDefault="00BE7F89" w:rsidP="005A428D">
            <w:pPr>
              <w:rPr>
                <w:rFonts w:eastAsia="SimSun"/>
              </w:rPr>
            </w:pPr>
            <w:r w:rsidRPr="00AC3044">
              <w:rPr>
                <w:rFonts w:eastAsia="SimSun"/>
              </w:rPr>
              <w:t>5</w:t>
            </w:r>
          </w:p>
        </w:tc>
        <w:tc>
          <w:tcPr>
            <w:tcW w:w="1133" w:type="pct"/>
            <w:vAlign w:val="center"/>
          </w:tcPr>
          <w:p w14:paraId="2F81D7F0" w14:textId="77777777" w:rsidR="00BE7F89" w:rsidRPr="00AC3044" w:rsidRDefault="00BE7F89" w:rsidP="005A428D">
            <w:pPr>
              <w:rPr>
                <w:rFonts w:eastAsia="SimSun"/>
              </w:rPr>
            </w:pPr>
            <w:r w:rsidRPr="00AC3044">
              <w:rPr>
                <w:rFonts w:eastAsia="SimSun"/>
              </w:rPr>
              <w:t>Апрепитант</w:t>
            </w:r>
          </w:p>
        </w:tc>
        <w:tc>
          <w:tcPr>
            <w:tcW w:w="614" w:type="pct"/>
            <w:vAlign w:val="center"/>
          </w:tcPr>
          <w:p w14:paraId="2345D70C" w14:textId="77777777" w:rsidR="00BE7F89" w:rsidRPr="00AC3044" w:rsidRDefault="00BE7F89" w:rsidP="005A428D">
            <w:pPr>
              <w:rPr>
                <w:rFonts w:eastAsia="SimSun"/>
              </w:rPr>
            </w:pPr>
            <w:r w:rsidRPr="00AC3044">
              <w:rPr>
                <w:rFonts w:eastAsia="SimSun"/>
              </w:rPr>
              <w:t>125, 80, 80 мг</w:t>
            </w:r>
          </w:p>
        </w:tc>
        <w:tc>
          <w:tcPr>
            <w:tcW w:w="486" w:type="pct"/>
            <w:vAlign w:val="center"/>
          </w:tcPr>
          <w:p w14:paraId="4957BE6D" w14:textId="77777777" w:rsidR="00BE7F89" w:rsidRPr="00AC3044" w:rsidRDefault="00BE7F89" w:rsidP="005A428D">
            <w:pPr>
              <w:rPr>
                <w:rFonts w:eastAsia="SimSun"/>
              </w:rPr>
            </w:pPr>
            <w:r w:rsidRPr="00AC3044">
              <w:rPr>
                <w:rFonts w:eastAsia="SimSun"/>
              </w:rPr>
              <w:t>–</w:t>
            </w:r>
          </w:p>
        </w:tc>
        <w:tc>
          <w:tcPr>
            <w:tcW w:w="1370" w:type="pct"/>
            <w:vAlign w:val="center"/>
          </w:tcPr>
          <w:p w14:paraId="463137FC" w14:textId="77777777" w:rsidR="00BE7F89" w:rsidRPr="00AC3044" w:rsidRDefault="00BE7F89" w:rsidP="005A428D">
            <w:pPr>
              <w:rPr>
                <w:rFonts w:eastAsia="SimSun"/>
              </w:rPr>
            </w:pPr>
            <w:r w:rsidRPr="00AC3044">
              <w:rPr>
                <w:rFonts w:eastAsia="SimSun"/>
              </w:rPr>
              <w:t>При проведении ТТО -3 по -1 дни</w:t>
            </w:r>
          </w:p>
        </w:tc>
        <w:tc>
          <w:tcPr>
            <w:tcW w:w="1229" w:type="pct"/>
            <w:vAlign w:val="center"/>
          </w:tcPr>
          <w:p w14:paraId="693D96F6" w14:textId="77777777" w:rsidR="00BE7F89" w:rsidRPr="00AC3044" w:rsidRDefault="00BE7F89" w:rsidP="005A428D">
            <w:pPr>
              <w:rPr>
                <w:rFonts w:eastAsia="SimSun"/>
              </w:rPr>
            </w:pPr>
            <w:r w:rsidRPr="00AC3044">
              <w:rPr>
                <w:rFonts w:eastAsia="SimSun"/>
              </w:rPr>
              <w:t>Внутрь, перед  утренней фракцией ТТО</w:t>
            </w:r>
          </w:p>
        </w:tc>
      </w:tr>
      <w:tr w:rsidR="00BE7F89" w:rsidRPr="00AC3044" w14:paraId="0E1E96ED" w14:textId="77777777" w:rsidTr="005A428D">
        <w:trPr>
          <w:cantSplit/>
          <w:trHeight w:val="464"/>
        </w:trPr>
        <w:tc>
          <w:tcPr>
            <w:tcW w:w="168" w:type="pct"/>
          </w:tcPr>
          <w:p w14:paraId="62556DAE" w14:textId="77777777" w:rsidR="00BE7F89" w:rsidRPr="00AC3044" w:rsidRDefault="00BE7F89" w:rsidP="005A428D">
            <w:pPr>
              <w:rPr>
                <w:rFonts w:eastAsia="SimSun"/>
              </w:rPr>
            </w:pPr>
            <w:r w:rsidRPr="00AC3044">
              <w:rPr>
                <w:rFonts w:eastAsia="SimSun"/>
              </w:rPr>
              <w:t>6</w:t>
            </w:r>
          </w:p>
        </w:tc>
        <w:tc>
          <w:tcPr>
            <w:tcW w:w="1133" w:type="pct"/>
            <w:vAlign w:val="center"/>
          </w:tcPr>
          <w:p w14:paraId="025D99D6" w14:textId="77777777" w:rsidR="00BE7F89" w:rsidRPr="00AC3044" w:rsidRDefault="00BE7F89" w:rsidP="005A428D">
            <w:pPr>
              <w:rPr>
                <w:rFonts w:eastAsia="SimSun"/>
              </w:rPr>
            </w:pPr>
            <w:r w:rsidRPr="00AC3044">
              <w:rPr>
                <w:rFonts w:eastAsia="SimSun"/>
              </w:rPr>
              <w:t>Фосапрепитант</w:t>
            </w:r>
            <w:r w:rsidRPr="00AC3044">
              <w:rPr>
                <w:rFonts w:eastAsia="SimSun"/>
              </w:rPr>
              <w:tab/>
            </w:r>
          </w:p>
        </w:tc>
        <w:tc>
          <w:tcPr>
            <w:tcW w:w="614" w:type="pct"/>
            <w:vAlign w:val="center"/>
          </w:tcPr>
          <w:p w14:paraId="5BE35040" w14:textId="77777777" w:rsidR="00BE7F89" w:rsidRPr="00AC3044" w:rsidRDefault="00BE7F89" w:rsidP="005A428D">
            <w:pPr>
              <w:rPr>
                <w:rFonts w:eastAsia="SimSun"/>
              </w:rPr>
            </w:pPr>
            <w:r w:rsidRPr="00AC3044">
              <w:rPr>
                <w:rFonts w:eastAsia="SimSun"/>
              </w:rPr>
              <w:t>150 мг</w:t>
            </w:r>
          </w:p>
        </w:tc>
        <w:tc>
          <w:tcPr>
            <w:tcW w:w="486" w:type="pct"/>
            <w:vAlign w:val="center"/>
          </w:tcPr>
          <w:p w14:paraId="3A8A9938" w14:textId="77777777" w:rsidR="00BE7F89" w:rsidRPr="00AC3044" w:rsidRDefault="00BE7F89" w:rsidP="005A428D">
            <w:pPr>
              <w:rPr>
                <w:rFonts w:eastAsia="SimSun"/>
              </w:rPr>
            </w:pPr>
            <w:r w:rsidRPr="00AC3044">
              <w:rPr>
                <w:rFonts w:eastAsia="SimSun"/>
              </w:rPr>
              <w:t>–</w:t>
            </w:r>
          </w:p>
        </w:tc>
        <w:tc>
          <w:tcPr>
            <w:tcW w:w="1370" w:type="pct"/>
            <w:vAlign w:val="center"/>
          </w:tcPr>
          <w:p w14:paraId="7224CE62" w14:textId="77777777" w:rsidR="00BE7F89" w:rsidRPr="00AC3044" w:rsidRDefault="00BE7F89" w:rsidP="005A428D">
            <w:pPr>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090E8C07" w14:textId="77777777" w:rsidR="00BE7F89" w:rsidRPr="00AC3044" w:rsidRDefault="00BE7F89" w:rsidP="005A428D">
            <w:pPr>
              <w:rPr>
                <w:rFonts w:eastAsia="SimSun"/>
              </w:rPr>
            </w:pPr>
            <w:r w:rsidRPr="00AC3044">
              <w:rPr>
                <w:rFonts w:eastAsia="SimSun"/>
              </w:rPr>
              <w:t>В/в, однократно</w:t>
            </w:r>
          </w:p>
        </w:tc>
      </w:tr>
      <w:tr w:rsidR="00BE7F89" w:rsidRPr="00AC3044" w14:paraId="3B139D3C" w14:textId="77777777" w:rsidTr="005A428D">
        <w:trPr>
          <w:cantSplit/>
          <w:trHeight w:val="464"/>
        </w:trPr>
        <w:tc>
          <w:tcPr>
            <w:tcW w:w="5000" w:type="pct"/>
            <w:gridSpan w:val="6"/>
          </w:tcPr>
          <w:p w14:paraId="4690C648" w14:textId="77777777" w:rsidR="00BE7F89" w:rsidRPr="00AC3044" w:rsidRDefault="00BE7F89" w:rsidP="005A428D">
            <w:pPr>
              <w:rPr>
                <w:rFonts w:eastAsia="SimSun"/>
              </w:rPr>
            </w:pPr>
            <w:r w:rsidRPr="00AC3044">
              <w:rPr>
                <w:rFonts w:eastAsia="SimSun"/>
              </w:rPr>
              <w:t>Антикоагулянтная терапия</w:t>
            </w:r>
          </w:p>
        </w:tc>
      </w:tr>
      <w:tr w:rsidR="00BE7F89" w:rsidRPr="00AC3044" w14:paraId="7175D5F0" w14:textId="77777777" w:rsidTr="005A428D">
        <w:trPr>
          <w:cantSplit/>
          <w:trHeight w:val="464"/>
        </w:trPr>
        <w:tc>
          <w:tcPr>
            <w:tcW w:w="168" w:type="pct"/>
          </w:tcPr>
          <w:p w14:paraId="7A83E1E8" w14:textId="77777777" w:rsidR="00BE7F89" w:rsidRPr="00AC3044" w:rsidRDefault="00BE7F89" w:rsidP="005A428D">
            <w:pPr>
              <w:rPr>
                <w:rFonts w:eastAsia="SimSun"/>
              </w:rPr>
            </w:pPr>
            <w:r w:rsidRPr="00AC3044">
              <w:rPr>
                <w:rFonts w:eastAsia="SimSun"/>
              </w:rPr>
              <w:t>1</w:t>
            </w:r>
          </w:p>
        </w:tc>
        <w:tc>
          <w:tcPr>
            <w:tcW w:w="1133" w:type="pct"/>
            <w:vAlign w:val="center"/>
          </w:tcPr>
          <w:p w14:paraId="307E7CB0" w14:textId="77777777" w:rsidR="00BE7F89" w:rsidRPr="00AC3044" w:rsidRDefault="00BE7F89" w:rsidP="005A428D">
            <w:pPr>
              <w:rPr>
                <w:rFonts w:eastAsia="SimSun"/>
              </w:rPr>
            </w:pPr>
            <w:r w:rsidRPr="00AC3044">
              <w:rPr>
                <w:rFonts w:eastAsia="SimSun"/>
              </w:rPr>
              <w:t>Гепарин</w:t>
            </w:r>
          </w:p>
        </w:tc>
        <w:tc>
          <w:tcPr>
            <w:tcW w:w="614" w:type="pct"/>
            <w:vAlign w:val="center"/>
          </w:tcPr>
          <w:p w14:paraId="7F824C11" w14:textId="77777777" w:rsidR="00BE7F89" w:rsidRPr="00AC3044" w:rsidRDefault="00BE7F89" w:rsidP="005A428D">
            <w:pPr>
              <w:rPr>
                <w:rFonts w:eastAsia="SimSun"/>
              </w:rPr>
            </w:pPr>
            <w:r w:rsidRPr="00AC3044">
              <w:rPr>
                <w:rFonts w:eastAsia="SimSun"/>
              </w:rPr>
              <w:t xml:space="preserve">12000 ЕД/сут </w:t>
            </w:r>
          </w:p>
        </w:tc>
        <w:tc>
          <w:tcPr>
            <w:tcW w:w="486" w:type="pct"/>
            <w:vAlign w:val="center"/>
          </w:tcPr>
          <w:p w14:paraId="44AD2A1A" w14:textId="77777777" w:rsidR="00BE7F89" w:rsidRPr="00AC3044" w:rsidRDefault="00BE7F89" w:rsidP="005A428D">
            <w:pPr>
              <w:rPr>
                <w:rFonts w:eastAsia="SimSun"/>
              </w:rPr>
            </w:pPr>
            <w:r w:rsidRPr="00AC3044">
              <w:rPr>
                <w:rFonts w:eastAsia="SimSun"/>
              </w:rPr>
              <w:t>–</w:t>
            </w:r>
          </w:p>
        </w:tc>
        <w:tc>
          <w:tcPr>
            <w:tcW w:w="1370" w:type="pct"/>
            <w:vAlign w:val="center"/>
          </w:tcPr>
          <w:p w14:paraId="42350016" w14:textId="77777777" w:rsidR="00BE7F89" w:rsidRPr="00AC3044" w:rsidRDefault="00BE7F89" w:rsidP="005A428D">
            <w:pPr>
              <w:rPr>
                <w:rFonts w:eastAsia="SimSun"/>
              </w:rPr>
            </w:pPr>
            <w:r w:rsidRPr="00AC3044">
              <w:rPr>
                <w:rFonts w:eastAsia="SimSun"/>
              </w:rPr>
              <w:t>За день до начала кондиционирования по +14 день (до +28 дня включительно при инфицировании гепатитом В, С и/или тромбозах в анамнезе)</w:t>
            </w:r>
          </w:p>
        </w:tc>
        <w:tc>
          <w:tcPr>
            <w:tcW w:w="1229" w:type="pct"/>
            <w:vAlign w:val="center"/>
          </w:tcPr>
          <w:p w14:paraId="06512144" w14:textId="77777777" w:rsidR="00BE7F89" w:rsidRPr="00AC3044" w:rsidRDefault="00BE7F89" w:rsidP="005A428D">
            <w:pPr>
              <w:rPr>
                <w:rFonts w:eastAsia="SimSun"/>
              </w:rPr>
            </w:pPr>
            <w:r w:rsidRPr="00AC3044">
              <w:rPr>
                <w:rFonts w:eastAsia="SimSun"/>
              </w:rPr>
              <w:t>В/в, инфузия в течение 24 ч</w:t>
            </w:r>
          </w:p>
        </w:tc>
      </w:tr>
      <w:tr w:rsidR="00BE7F89" w:rsidRPr="00AC3044" w14:paraId="712FEF9A" w14:textId="77777777" w:rsidTr="005A428D">
        <w:trPr>
          <w:cantSplit/>
          <w:trHeight w:val="464"/>
        </w:trPr>
        <w:tc>
          <w:tcPr>
            <w:tcW w:w="168" w:type="pct"/>
          </w:tcPr>
          <w:p w14:paraId="509D46C8" w14:textId="77777777" w:rsidR="00BE7F89" w:rsidRPr="00AC3044" w:rsidRDefault="00BE7F89" w:rsidP="005A428D">
            <w:pPr>
              <w:rPr>
                <w:rFonts w:eastAsia="SimSun"/>
              </w:rPr>
            </w:pPr>
            <w:r w:rsidRPr="00AC3044">
              <w:rPr>
                <w:rFonts w:eastAsia="SimSun"/>
              </w:rPr>
              <w:t>2</w:t>
            </w:r>
          </w:p>
        </w:tc>
        <w:tc>
          <w:tcPr>
            <w:tcW w:w="1133" w:type="pct"/>
            <w:vAlign w:val="center"/>
          </w:tcPr>
          <w:p w14:paraId="3CB14464" w14:textId="77777777" w:rsidR="00BE7F89" w:rsidRPr="00AC3044" w:rsidRDefault="00BE7F89" w:rsidP="005A428D">
            <w:pPr>
              <w:rPr>
                <w:rFonts w:eastAsia="SimSun"/>
              </w:rPr>
            </w:pPr>
            <w:r w:rsidRPr="00AC3044">
              <w:rPr>
                <w:rFonts w:eastAsia="SimSun"/>
              </w:rPr>
              <w:t>Гепарин</w:t>
            </w:r>
          </w:p>
        </w:tc>
        <w:tc>
          <w:tcPr>
            <w:tcW w:w="614" w:type="pct"/>
            <w:vAlign w:val="center"/>
          </w:tcPr>
          <w:p w14:paraId="77999315" w14:textId="77777777" w:rsidR="00BE7F89" w:rsidRPr="00AC3044" w:rsidRDefault="00BE7F89" w:rsidP="005A428D">
            <w:pPr>
              <w:rPr>
                <w:rFonts w:eastAsia="SimSun"/>
              </w:rPr>
            </w:pPr>
            <w:r w:rsidRPr="00AC3044">
              <w:rPr>
                <w:rFonts w:eastAsia="SimSun"/>
              </w:rPr>
              <w:t xml:space="preserve">100 ЕД/кг </w:t>
            </w:r>
          </w:p>
        </w:tc>
        <w:tc>
          <w:tcPr>
            <w:tcW w:w="486" w:type="pct"/>
            <w:vAlign w:val="center"/>
          </w:tcPr>
          <w:p w14:paraId="59AC75E7" w14:textId="77777777" w:rsidR="00BE7F89" w:rsidRPr="00AC3044" w:rsidRDefault="00BE7F89" w:rsidP="005A428D">
            <w:pPr>
              <w:rPr>
                <w:rFonts w:eastAsia="SimSun"/>
              </w:rPr>
            </w:pPr>
            <w:r w:rsidRPr="00AC3044">
              <w:rPr>
                <w:rFonts w:eastAsia="SimSun"/>
              </w:rPr>
              <w:t>–</w:t>
            </w:r>
          </w:p>
        </w:tc>
        <w:tc>
          <w:tcPr>
            <w:tcW w:w="1370" w:type="pct"/>
            <w:vAlign w:val="center"/>
          </w:tcPr>
          <w:p w14:paraId="483400B3" w14:textId="77777777" w:rsidR="00BE7F89" w:rsidRPr="00AC3044" w:rsidRDefault="00BE7F89" w:rsidP="005A428D">
            <w:pPr>
              <w:rPr>
                <w:rFonts w:eastAsia="SimSun"/>
              </w:rPr>
            </w:pPr>
            <w:r w:rsidRPr="00AC3044">
              <w:rPr>
                <w:rFonts w:eastAsia="SimSun"/>
              </w:rPr>
              <w:t>Весь период использования ЦВК</w:t>
            </w:r>
          </w:p>
        </w:tc>
        <w:tc>
          <w:tcPr>
            <w:tcW w:w="1229" w:type="pct"/>
            <w:vAlign w:val="center"/>
          </w:tcPr>
          <w:p w14:paraId="0E0BAE71" w14:textId="77777777" w:rsidR="00BE7F89" w:rsidRPr="00AC3044" w:rsidRDefault="00BE7F89" w:rsidP="005A428D">
            <w:pPr>
              <w:rPr>
                <w:rFonts w:eastAsia="SimSun"/>
              </w:rPr>
            </w:pPr>
            <w:r w:rsidRPr="00AC3044">
              <w:rPr>
                <w:rFonts w:eastAsia="SimSun"/>
              </w:rPr>
              <w:t>В/в, инфузия в течение 24 ч</w:t>
            </w:r>
          </w:p>
        </w:tc>
      </w:tr>
      <w:tr w:rsidR="00BE7F89" w:rsidRPr="00AC3044" w14:paraId="28D72B9C" w14:textId="77777777" w:rsidTr="005A428D">
        <w:trPr>
          <w:cantSplit/>
          <w:trHeight w:val="464"/>
        </w:trPr>
        <w:tc>
          <w:tcPr>
            <w:tcW w:w="168" w:type="pct"/>
          </w:tcPr>
          <w:p w14:paraId="5707DCE2" w14:textId="77777777" w:rsidR="00BE7F89" w:rsidRPr="00AC3044" w:rsidRDefault="00BE7F89" w:rsidP="005A428D">
            <w:pPr>
              <w:rPr>
                <w:rFonts w:eastAsia="SimSun"/>
              </w:rPr>
            </w:pPr>
            <w:r w:rsidRPr="00AC3044">
              <w:rPr>
                <w:rFonts w:eastAsia="SimSun"/>
              </w:rPr>
              <w:t>3</w:t>
            </w:r>
          </w:p>
        </w:tc>
        <w:tc>
          <w:tcPr>
            <w:tcW w:w="1133" w:type="pct"/>
            <w:vAlign w:val="center"/>
          </w:tcPr>
          <w:p w14:paraId="63B1A058" w14:textId="77777777" w:rsidR="00BE7F89" w:rsidRPr="00AC3044" w:rsidRDefault="00BE7F89" w:rsidP="005A428D">
            <w:pPr>
              <w:rPr>
                <w:rFonts w:eastAsia="SimSun"/>
              </w:rPr>
            </w:pPr>
            <w:r w:rsidRPr="00AC3044">
              <w:rPr>
                <w:rFonts w:eastAsia="SimSun"/>
              </w:rPr>
              <w:t>Гепарин</w:t>
            </w:r>
          </w:p>
        </w:tc>
        <w:tc>
          <w:tcPr>
            <w:tcW w:w="614" w:type="pct"/>
            <w:vAlign w:val="center"/>
          </w:tcPr>
          <w:p w14:paraId="30612C6E" w14:textId="77777777" w:rsidR="00BE7F89" w:rsidRPr="00AC3044" w:rsidRDefault="00BE7F89" w:rsidP="005A428D">
            <w:pPr>
              <w:rPr>
                <w:rFonts w:eastAsia="SimSun"/>
              </w:rPr>
            </w:pPr>
            <w:r w:rsidRPr="00AC3044">
              <w:rPr>
                <w:rFonts w:eastAsia="SimSun"/>
              </w:rPr>
              <w:t xml:space="preserve">100-500 ЕД/кг </w:t>
            </w:r>
          </w:p>
        </w:tc>
        <w:tc>
          <w:tcPr>
            <w:tcW w:w="486" w:type="pct"/>
            <w:vAlign w:val="center"/>
          </w:tcPr>
          <w:p w14:paraId="1AF25759" w14:textId="77777777" w:rsidR="00BE7F89" w:rsidRPr="00AC3044" w:rsidRDefault="00BE7F89" w:rsidP="005A428D">
            <w:pPr>
              <w:rPr>
                <w:rFonts w:eastAsia="SimSun"/>
              </w:rPr>
            </w:pPr>
            <w:r w:rsidRPr="00AC3044">
              <w:rPr>
                <w:rFonts w:eastAsia="SimSun"/>
              </w:rPr>
              <w:t>–</w:t>
            </w:r>
          </w:p>
        </w:tc>
        <w:tc>
          <w:tcPr>
            <w:tcW w:w="1370" w:type="pct"/>
            <w:vAlign w:val="center"/>
          </w:tcPr>
          <w:p w14:paraId="5E0DAD93" w14:textId="77777777" w:rsidR="00BE7F89" w:rsidRPr="00AC3044" w:rsidRDefault="00BE7F89" w:rsidP="005A428D">
            <w:pPr>
              <w:rPr>
                <w:rFonts w:eastAsia="SimSun"/>
              </w:rPr>
            </w:pPr>
            <w:r w:rsidRPr="00AC3044">
              <w:rPr>
                <w:rFonts w:eastAsia="SimSun"/>
              </w:rPr>
              <w:t>Под контролем АЧТВ, в среднем 14-42 дня</w:t>
            </w:r>
          </w:p>
        </w:tc>
        <w:tc>
          <w:tcPr>
            <w:tcW w:w="1229" w:type="pct"/>
            <w:vAlign w:val="center"/>
          </w:tcPr>
          <w:p w14:paraId="4DC8BBBD" w14:textId="77777777" w:rsidR="00BE7F89" w:rsidRPr="00AC3044" w:rsidRDefault="00BE7F89" w:rsidP="005A428D">
            <w:pPr>
              <w:rPr>
                <w:rFonts w:eastAsia="SimSun"/>
              </w:rPr>
            </w:pPr>
            <w:r w:rsidRPr="00AC3044">
              <w:rPr>
                <w:rFonts w:eastAsia="SimSun"/>
              </w:rPr>
              <w:t>В/в, инфузия в течение 24 ч</w:t>
            </w:r>
          </w:p>
        </w:tc>
      </w:tr>
      <w:tr w:rsidR="00BE7F89" w:rsidRPr="00AC3044" w14:paraId="45172288" w14:textId="77777777" w:rsidTr="005A428D">
        <w:trPr>
          <w:cantSplit/>
          <w:trHeight w:val="464"/>
        </w:trPr>
        <w:tc>
          <w:tcPr>
            <w:tcW w:w="168" w:type="pct"/>
          </w:tcPr>
          <w:p w14:paraId="61B0D35D" w14:textId="77777777" w:rsidR="00BE7F89" w:rsidRPr="00AC3044" w:rsidRDefault="00BE7F89" w:rsidP="005A428D">
            <w:pPr>
              <w:rPr>
                <w:rFonts w:eastAsia="SimSun"/>
              </w:rPr>
            </w:pPr>
            <w:r w:rsidRPr="00AC3044">
              <w:rPr>
                <w:rFonts w:eastAsia="SimSun"/>
              </w:rPr>
              <w:t>4</w:t>
            </w:r>
          </w:p>
        </w:tc>
        <w:tc>
          <w:tcPr>
            <w:tcW w:w="1133" w:type="pct"/>
            <w:vAlign w:val="center"/>
          </w:tcPr>
          <w:p w14:paraId="57A992DE" w14:textId="77777777" w:rsidR="00BE7F89" w:rsidRPr="00AC3044" w:rsidRDefault="00BE7F89" w:rsidP="005A428D">
            <w:pPr>
              <w:rPr>
                <w:rFonts w:eastAsia="SimSun"/>
              </w:rPr>
            </w:pPr>
            <w:r w:rsidRPr="00AC3044">
              <w:rPr>
                <w:rFonts w:eastAsia="SimSun"/>
              </w:rPr>
              <w:t>Низкомолекулряные гепарины</w:t>
            </w:r>
          </w:p>
        </w:tc>
        <w:tc>
          <w:tcPr>
            <w:tcW w:w="3699" w:type="pct"/>
            <w:gridSpan w:val="4"/>
            <w:vAlign w:val="center"/>
          </w:tcPr>
          <w:p w14:paraId="1F7420B2" w14:textId="77777777" w:rsidR="00BE7F89" w:rsidRPr="00AC3044" w:rsidRDefault="00BE7F89" w:rsidP="005A428D">
            <w:pPr>
              <w:rPr>
                <w:rFonts w:eastAsia="SimSun"/>
              </w:rPr>
            </w:pPr>
            <w:r w:rsidRPr="00AC3044">
              <w:rPr>
                <w:rFonts w:eastAsia="SimSun"/>
              </w:rPr>
              <w:t>В соответсвии с рекомендациями производителя и клинической ситуации, в среднем 14-42 дня.</w:t>
            </w:r>
          </w:p>
        </w:tc>
      </w:tr>
      <w:tr w:rsidR="00BE7F89" w:rsidRPr="00AC3044" w14:paraId="171A18F5" w14:textId="77777777" w:rsidTr="005A428D">
        <w:trPr>
          <w:cantSplit/>
          <w:trHeight w:val="464"/>
        </w:trPr>
        <w:tc>
          <w:tcPr>
            <w:tcW w:w="5000" w:type="pct"/>
            <w:gridSpan w:val="6"/>
          </w:tcPr>
          <w:p w14:paraId="23949B64" w14:textId="77777777" w:rsidR="00BE7F89" w:rsidRPr="00AC3044" w:rsidRDefault="00BE7F89" w:rsidP="005A428D">
            <w:pPr>
              <w:rPr>
                <w:rFonts w:eastAsia="SimSun"/>
              </w:rPr>
            </w:pPr>
            <w:r w:rsidRPr="00AC3044">
              <w:rPr>
                <w:rFonts w:eastAsia="SimSun"/>
              </w:rPr>
              <w:t>Противосудорожная терапия</w:t>
            </w:r>
          </w:p>
        </w:tc>
      </w:tr>
      <w:tr w:rsidR="00BE7F89" w:rsidRPr="00AC3044" w14:paraId="7E126477" w14:textId="77777777" w:rsidTr="005A428D">
        <w:trPr>
          <w:cantSplit/>
          <w:trHeight w:val="464"/>
        </w:trPr>
        <w:tc>
          <w:tcPr>
            <w:tcW w:w="168" w:type="pct"/>
          </w:tcPr>
          <w:p w14:paraId="5F3C295F" w14:textId="77777777" w:rsidR="00BE7F89" w:rsidRPr="00AC3044" w:rsidRDefault="00BE7F89" w:rsidP="005A428D">
            <w:pPr>
              <w:rPr>
                <w:rFonts w:eastAsia="SimSun"/>
              </w:rPr>
            </w:pPr>
            <w:r w:rsidRPr="00AC3044">
              <w:rPr>
                <w:rFonts w:eastAsia="SimSun"/>
              </w:rPr>
              <w:t>1</w:t>
            </w:r>
          </w:p>
        </w:tc>
        <w:tc>
          <w:tcPr>
            <w:tcW w:w="1133" w:type="pct"/>
            <w:vAlign w:val="center"/>
          </w:tcPr>
          <w:p w14:paraId="220C0E76" w14:textId="77777777" w:rsidR="00BE7F89" w:rsidRPr="00AC3044" w:rsidRDefault="00BE7F89" w:rsidP="005A428D">
            <w:pPr>
              <w:rPr>
                <w:rFonts w:eastAsia="SimSun"/>
              </w:rPr>
            </w:pPr>
            <w:r w:rsidRPr="00AC3044">
              <w:rPr>
                <w:rFonts w:eastAsia="SimSun"/>
              </w:rPr>
              <w:t>Карбамазепин</w:t>
            </w:r>
          </w:p>
        </w:tc>
        <w:tc>
          <w:tcPr>
            <w:tcW w:w="614" w:type="pct"/>
            <w:vAlign w:val="center"/>
          </w:tcPr>
          <w:p w14:paraId="43937C64" w14:textId="77777777" w:rsidR="00BE7F89" w:rsidRPr="00AC3044" w:rsidRDefault="00BE7F89" w:rsidP="005A428D">
            <w:pPr>
              <w:rPr>
                <w:rFonts w:eastAsia="SimSun"/>
              </w:rPr>
            </w:pPr>
            <w:r w:rsidRPr="00AC3044">
              <w:rPr>
                <w:rFonts w:eastAsia="SimSun"/>
              </w:rPr>
              <w:t>200 мг</w:t>
            </w:r>
          </w:p>
        </w:tc>
        <w:tc>
          <w:tcPr>
            <w:tcW w:w="486" w:type="pct"/>
            <w:vAlign w:val="center"/>
          </w:tcPr>
          <w:p w14:paraId="0C17D2A9" w14:textId="77777777" w:rsidR="00BE7F89" w:rsidRPr="00AC3044" w:rsidRDefault="00BE7F89" w:rsidP="005A428D">
            <w:pPr>
              <w:rPr>
                <w:rFonts w:eastAsia="SimSun"/>
              </w:rPr>
            </w:pPr>
            <w:r w:rsidRPr="00AC3044">
              <w:rPr>
                <w:rFonts w:eastAsia="SimSun"/>
              </w:rPr>
              <w:t>–</w:t>
            </w:r>
          </w:p>
        </w:tc>
        <w:tc>
          <w:tcPr>
            <w:tcW w:w="1370" w:type="pct"/>
            <w:vAlign w:val="center"/>
          </w:tcPr>
          <w:p w14:paraId="08F95811" w14:textId="77777777" w:rsidR="00BE7F89" w:rsidRPr="00AC3044" w:rsidRDefault="00BE7F89" w:rsidP="005A428D">
            <w:pPr>
              <w:rPr>
                <w:rFonts w:eastAsia="SimSun"/>
              </w:rPr>
            </w:pPr>
            <w:r w:rsidRPr="00AC3044">
              <w:rPr>
                <w:rFonts w:eastAsia="SimSun"/>
              </w:rPr>
              <w:t xml:space="preserve">За сутки до введения бусульфана, в дни приема бусульфана, день следующий после окончания приема бусульфана </w:t>
            </w:r>
          </w:p>
        </w:tc>
        <w:tc>
          <w:tcPr>
            <w:tcW w:w="1229" w:type="pct"/>
            <w:vAlign w:val="center"/>
          </w:tcPr>
          <w:p w14:paraId="60B44044" w14:textId="77777777" w:rsidR="00BE7F89" w:rsidRPr="00AC3044" w:rsidRDefault="00BE7F89" w:rsidP="005A428D">
            <w:pPr>
              <w:rPr>
                <w:rFonts w:eastAsia="SimSun"/>
              </w:rPr>
            </w:pPr>
            <w:r w:rsidRPr="00AC3044">
              <w:rPr>
                <w:rFonts w:eastAsia="SimSun"/>
              </w:rPr>
              <w:t>Внутрь, 100 мг 2 раза/сут</w:t>
            </w:r>
          </w:p>
        </w:tc>
      </w:tr>
      <w:tr w:rsidR="00BE7F89" w:rsidRPr="00AC3044" w14:paraId="53DB9349" w14:textId="77777777" w:rsidTr="005A428D">
        <w:trPr>
          <w:cantSplit/>
          <w:trHeight w:val="464"/>
        </w:trPr>
        <w:tc>
          <w:tcPr>
            <w:tcW w:w="168" w:type="pct"/>
          </w:tcPr>
          <w:p w14:paraId="22A51B6C" w14:textId="77777777" w:rsidR="00BE7F89" w:rsidRPr="00AC3044" w:rsidRDefault="00BE7F89" w:rsidP="005A428D">
            <w:pPr>
              <w:rPr>
                <w:rFonts w:eastAsia="SimSun"/>
              </w:rPr>
            </w:pPr>
            <w:r w:rsidRPr="00AC3044">
              <w:rPr>
                <w:rFonts w:eastAsia="SimSun"/>
              </w:rPr>
              <w:t>2</w:t>
            </w:r>
          </w:p>
        </w:tc>
        <w:tc>
          <w:tcPr>
            <w:tcW w:w="1133" w:type="pct"/>
            <w:vAlign w:val="center"/>
          </w:tcPr>
          <w:p w14:paraId="3319D12E" w14:textId="77777777" w:rsidR="00BE7F89" w:rsidRPr="00AC3044" w:rsidRDefault="00BE7F89" w:rsidP="005A428D">
            <w:pPr>
              <w:rPr>
                <w:rFonts w:eastAsia="SimSun"/>
              </w:rPr>
            </w:pPr>
            <w:r w:rsidRPr="00AC3044">
              <w:rPr>
                <w:rFonts w:eastAsia="SimSun"/>
              </w:rPr>
              <w:t>Диазепам (допускается, особенно при наличии судорожного синдрома в анамнезе)</w:t>
            </w:r>
          </w:p>
        </w:tc>
        <w:tc>
          <w:tcPr>
            <w:tcW w:w="614" w:type="pct"/>
            <w:vAlign w:val="center"/>
          </w:tcPr>
          <w:p w14:paraId="007AAE7A" w14:textId="77777777" w:rsidR="00BE7F89" w:rsidRPr="00AC3044" w:rsidRDefault="00BE7F89" w:rsidP="005A428D">
            <w:pPr>
              <w:rPr>
                <w:rFonts w:eastAsia="SimSun"/>
              </w:rPr>
            </w:pPr>
            <w:r w:rsidRPr="00AC3044">
              <w:rPr>
                <w:rFonts w:eastAsia="SimSun"/>
              </w:rPr>
              <w:t>10 мг</w:t>
            </w:r>
          </w:p>
        </w:tc>
        <w:tc>
          <w:tcPr>
            <w:tcW w:w="486" w:type="pct"/>
            <w:vAlign w:val="center"/>
          </w:tcPr>
          <w:p w14:paraId="7D842CD9" w14:textId="77777777" w:rsidR="00BE7F89" w:rsidRPr="00AC3044" w:rsidRDefault="00BE7F89" w:rsidP="005A428D">
            <w:pPr>
              <w:rPr>
                <w:rFonts w:eastAsia="SimSun"/>
              </w:rPr>
            </w:pPr>
            <w:r w:rsidRPr="00AC3044">
              <w:rPr>
                <w:rFonts w:eastAsia="SimSun"/>
              </w:rPr>
              <w:t>–</w:t>
            </w:r>
          </w:p>
        </w:tc>
        <w:tc>
          <w:tcPr>
            <w:tcW w:w="1370" w:type="pct"/>
            <w:vAlign w:val="center"/>
          </w:tcPr>
          <w:p w14:paraId="52B97951" w14:textId="77777777" w:rsidR="00BE7F89" w:rsidRPr="00AC3044" w:rsidRDefault="00BE7F89" w:rsidP="005A428D">
            <w:pPr>
              <w:rPr>
                <w:rFonts w:eastAsia="SimSun"/>
              </w:rPr>
            </w:pPr>
            <w:r w:rsidRPr="00AC3044">
              <w:rPr>
                <w:rFonts w:eastAsia="SimSun"/>
              </w:rPr>
              <w:t>В дни введения ЦФ</w:t>
            </w:r>
          </w:p>
        </w:tc>
        <w:tc>
          <w:tcPr>
            <w:tcW w:w="1229" w:type="pct"/>
            <w:vAlign w:val="center"/>
          </w:tcPr>
          <w:p w14:paraId="307000CD" w14:textId="77777777" w:rsidR="00BE7F89" w:rsidRPr="00AC3044" w:rsidRDefault="00BE7F89" w:rsidP="005A428D">
            <w:pPr>
              <w:rPr>
                <w:rFonts w:eastAsia="SimSun"/>
              </w:rPr>
            </w:pPr>
            <w:r w:rsidRPr="00AC3044">
              <w:rPr>
                <w:rFonts w:eastAsia="SimSun"/>
              </w:rPr>
              <w:t>В/в, на ночь</w:t>
            </w:r>
          </w:p>
        </w:tc>
      </w:tr>
      <w:tr w:rsidR="00BE7F89" w:rsidRPr="00AC3044" w14:paraId="44E5A5F8" w14:textId="77777777" w:rsidTr="005A428D">
        <w:trPr>
          <w:cantSplit/>
          <w:trHeight w:val="464"/>
        </w:trPr>
        <w:tc>
          <w:tcPr>
            <w:tcW w:w="168" w:type="pct"/>
          </w:tcPr>
          <w:p w14:paraId="29AE370E" w14:textId="77777777" w:rsidR="00BE7F89" w:rsidRPr="00AC3044" w:rsidRDefault="00BE7F89" w:rsidP="005A428D">
            <w:pPr>
              <w:rPr>
                <w:rFonts w:eastAsia="SimSun"/>
              </w:rPr>
            </w:pPr>
            <w:r w:rsidRPr="00AC3044">
              <w:rPr>
                <w:rFonts w:eastAsia="SimSun"/>
              </w:rPr>
              <w:t>3</w:t>
            </w:r>
          </w:p>
        </w:tc>
        <w:tc>
          <w:tcPr>
            <w:tcW w:w="1133" w:type="pct"/>
            <w:vAlign w:val="center"/>
          </w:tcPr>
          <w:p w14:paraId="1B82DE44" w14:textId="77777777" w:rsidR="00BE7F89" w:rsidRPr="00AC3044" w:rsidRDefault="00BE7F89" w:rsidP="005A428D">
            <w:pPr>
              <w:rPr>
                <w:rFonts w:eastAsia="SimSun"/>
              </w:rPr>
            </w:pPr>
            <w:r w:rsidRPr="00AC3044">
              <w:rPr>
                <w:rFonts w:eastAsia="SimSun"/>
              </w:rPr>
              <w:t>Левитирацетам</w:t>
            </w:r>
          </w:p>
        </w:tc>
        <w:tc>
          <w:tcPr>
            <w:tcW w:w="614" w:type="pct"/>
            <w:vAlign w:val="center"/>
          </w:tcPr>
          <w:p w14:paraId="0695A9CD" w14:textId="77777777" w:rsidR="00BE7F89" w:rsidRPr="00AC3044" w:rsidRDefault="00BE7F89" w:rsidP="005A428D">
            <w:pPr>
              <w:rPr>
                <w:rFonts w:eastAsia="SimSun"/>
              </w:rPr>
            </w:pPr>
            <w:r w:rsidRPr="00AC3044">
              <w:rPr>
                <w:rFonts w:eastAsia="SimSun"/>
              </w:rPr>
              <w:t>500 мг</w:t>
            </w:r>
          </w:p>
        </w:tc>
        <w:tc>
          <w:tcPr>
            <w:tcW w:w="486" w:type="pct"/>
            <w:vAlign w:val="center"/>
          </w:tcPr>
          <w:p w14:paraId="369FE1CF" w14:textId="77777777" w:rsidR="00BE7F89" w:rsidRPr="00AC3044" w:rsidRDefault="00BE7F89" w:rsidP="005A428D">
            <w:pPr>
              <w:rPr>
                <w:rFonts w:eastAsia="SimSun"/>
              </w:rPr>
            </w:pPr>
            <w:r w:rsidRPr="00AC3044">
              <w:rPr>
                <w:rFonts w:eastAsia="SimSun"/>
              </w:rPr>
              <w:t>–</w:t>
            </w:r>
          </w:p>
        </w:tc>
        <w:tc>
          <w:tcPr>
            <w:tcW w:w="1370" w:type="pct"/>
            <w:vAlign w:val="center"/>
          </w:tcPr>
          <w:p w14:paraId="2EA68EDA" w14:textId="77777777" w:rsidR="00BE7F89" w:rsidRPr="00AC3044" w:rsidRDefault="00BE7F89" w:rsidP="005A428D">
            <w:pPr>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14:paraId="46C31411" w14:textId="77777777" w:rsidR="00BE7F89" w:rsidRPr="00AC3044" w:rsidRDefault="00BE7F89" w:rsidP="005A428D">
            <w:pPr>
              <w:rPr>
                <w:rFonts w:eastAsia="SimSun"/>
              </w:rPr>
            </w:pPr>
            <w:r w:rsidRPr="00AC3044">
              <w:rPr>
                <w:rFonts w:eastAsia="SimSun"/>
              </w:rPr>
              <w:t>Внутрь, по 250 мг 2 раза/сут</w:t>
            </w:r>
          </w:p>
        </w:tc>
      </w:tr>
      <w:tr w:rsidR="00BE7F89" w:rsidRPr="00AC3044" w14:paraId="30EFE1E3" w14:textId="77777777" w:rsidTr="005A428D">
        <w:trPr>
          <w:cantSplit/>
          <w:trHeight w:val="464"/>
        </w:trPr>
        <w:tc>
          <w:tcPr>
            <w:tcW w:w="168" w:type="pct"/>
          </w:tcPr>
          <w:p w14:paraId="391CF41C" w14:textId="77777777" w:rsidR="00BE7F89" w:rsidRPr="00AC3044" w:rsidRDefault="00BE7F89" w:rsidP="005A428D">
            <w:pPr>
              <w:rPr>
                <w:rFonts w:eastAsia="SimSun"/>
              </w:rPr>
            </w:pPr>
            <w:r w:rsidRPr="00AC3044">
              <w:rPr>
                <w:rFonts w:eastAsia="SimSun"/>
              </w:rPr>
              <w:t>4</w:t>
            </w:r>
          </w:p>
        </w:tc>
        <w:tc>
          <w:tcPr>
            <w:tcW w:w="1133" w:type="pct"/>
            <w:vAlign w:val="center"/>
          </w:tcPr>
          <w:p w14:paraId="26CDA7EC" w14:textId="77777777" w:rsidR="00BE7F89" w:rsidRPr="00AC3044" w:rsidRDefault="00BE7F89" w:rsidP="005A428D">
            <w:pPr>
              <w:rPr>
                <w:rFonts w:eastAsia="SimSun"/>
              </w:rPr>
            </w:pPr>
            <w:r w:rsidRPr="00AC3044">
              <w:rPr>
                <w:rFonts w:eastAsia="SimSun"/>
              </w:rPr>
              <w:t>Левитирацетам</w:t>
            </w:r>
          </w:p>
        </w:tc>
        <w:tc>
          <w:tcPr>
            <w:tcW w:w="614" w:type="pct"/>
            <w:vAlign w:val="center"/>
          </w:tcPr>
          <w:p w14:paraId="3AAFC2BB" w14:textId="77777777" w:rsidR="00BE7F89" w:rsidRPr="00AC3044" w:rsidRDefault="00BE7F89" w:rsidP="005A428D">
            <w:pPr>
              <w:rPr>
                <w:rFonts w:eastAsia="SimSun"/>
              </w:rPr>
            </w:pPr>
            <w:r w:rsidRPr="00AC3044">
              <w:rPr>
                <w:rFonts w:eastAsia="SimSun"/>
              </w:rPr>
              <w:t>1000 мг</w:t>
            </w:r>
          </w:p>
        </w:tc>
        <w:tc>
          <w:tcPr>
            <w:tcW w:w="486" w:type="pct"/>
            <w:vAlign w:val="center"/>
          </w:tcPr>
          <w:p w14:paraId="03CE4A0B" w14:textId="77777777" w:rsidR="00BE7F89" w:rsidRPr="00AC3044" w:rsidRDefault="00BE7F89" w:rsidP="005A428D">
            <w:pPr>
              <w:rPr>
                <w:rFonts w:eastAsia="SimSun"/>
              </w:rPr>
            </w:pPr>
            <w:r w:rsidRPr="00AC3044">
              <w:rPr>
                <w:rFonts w:eastAsia="SimSun"/>
              </w:rPr>
              <w:t>–</w:t>
            </w:r>
          </w:p>
        </w:tc>
        <w:tc>
          <w:tcPr>
            <w:tcW w:w="1370" w:type="pct"/>
            <w:vAlign w:val="center"/>
          </w:tcPr>
          <w:p w14:paraId="1BFB2DC3" w14:textId="77777777" w:rsidR="00BE7F89" w:rsidRPr="00AC3044" w:rsidRDefault="00BE7F89" w:rsidP="005A428D">
            <w:pPr>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14:paraId="0E175A4D" w14:textId="77777777" w:rsidR="00BE7F89" w:rsidRPr="00AC3044" w:rsidRDefault="00BE7F89" w:rsidP="005A428D">
            <w:pPr>
              <w:rPr>
                <w:rFonts w:eastAsia="SimSun"/>
              </w:rPr>
            </w:pPr>
            <w:r w:rsidRPr="00AC3044">
              <w:rPr>
                <w:rFonts w:eastAsia="SimSun"/>
              </w:rPr>
              <w:t>Внутрь, по 1000 мг 2 раза/сут</w:t>
            </w:r>
          </w:p>
        </w:tc>
      </w:tr>
      <w:tr w:rsidR="00BE7F89" w:rsidRPr="00AC3044" w14:paraId="540396F5" w14:textId="77777777" w:rsidTr="005A428D">
        <w:trPr>
          <w:cantSplit/>
          <w:trHeight w:val="464"/>
        </w:trPr>
        <w:tc>
          <w:tcPr>
            <w:tcW w:w="5000" w:type="pct"/>
            <w:gridSpan w:val="6"/>
          </w:tcPr>
          <w:p w14:paraId="7DB997DB" w14:textId="77777777" w:rsidR="00BE7F89" w:rsidRPr="00AC3044" w:rsidRDefault="00BE7F89" w:rsidP="005A428D">
            <w:pPr>
              <w:rPr>
                <w:rFonts w:eastAsia="SimSun"/>
              </w:rPr>
            </w:pPr>
            <w:r w:rsidRPr="00AC3044">
              <w:rPr>
                <w:rFonts w:eastAsia="SimSun"/>
              </w:rPr>
              <w:t>Антисекреторная терапия</w:t>
            </w:r>
          </w:p>
        </w:tc>
      </w:tr>
      <w:tr w:rsidR="00BE7F89" w:rsidRPr="00AC3044" w14:paraId="479A05A7" w14:textId="77777777" w:rsidTr="005A428D">
        <w:trPr>
          <w:cantSplit/>
          <w:trHeight w:val="464"/>
        </w:trPr>
        <w:tc>
          <w:tcPr>
            <w:tcW w:w="168" w:type="pct"/>
          </w:tcPr>
          <w:p w14:paraId="28C30C26" w14:textId="77777777" w:rsidR="00BE7F89" w:rsidRPr="00AC3044" w:rsidRDefault="00BE7F89" w:rsidP="005A428D">
            <w:pPr>
              <w:rPr>
                <w:rFonts w:eastAsia="SimSun"/>
              </w:rPr>
            </w:pPr>
            <w:r w:rsidRPr="00AC3044">
              <w:rPr>
                <w:rFonts w:eastAsia="SimSun"/>
              </w:rPr>
              <w:t>1</w:t>
            </w:r>
          </w:p>
        </w:tc>
        <w:tc>
          <w:tcPr>
            <w:tcW w:w="1133" w:type="pct"/>
            <w:vAlign w:val="center"/>
          </w:tcPr>
          <w:p w14:paraId="5DB5CACB" w14:textId="77777777" w:rsidR="00BE7F89" w:rsidRPr="00AC3044" w:rsidRDefault="00BE7F89" w:rsidP="005A428D">
            <w:pPr>
              <w:rPr>
                <w:rFonts w:eastAsia="SimSun"/>
              </w:rPr>
            </w:pPr>
            <w:r w:rsidRPr="00AC3044">
              <w:rPr>
                <w:rFonts w:eastAsia="SimSun"/>
              </w:rPr>
              <w:t xml:space="preserve">Омепразол </w:t>
            </w:r>
          </w:p>
        </w:tc>
        <w:tc>
          <w:tcPr>
            <w:tcW w:w="614" w:type="pct"/>
            <w:vAlign w:val="center"/>
          </w:tcPr>
          <w:p w14:paraId="2231C868" w14:textId="77777777" w:rsidR="00BE7F89" w:rsidRPr="00AC3044" w:rsidRDefault="00BE7F89" w:rsidP="005A428D">
            <w:pPr>
              <w:rPr>
                <w:rFonts w:eastAsia="SimSun"/>
              </w:rPr>
            </w:pPr>
            <w:r w:rsidRPr="00AC3044">
              <w:rPr>
                <w:rFonts w:eastAsia="SimSun"/>
              </w:rPr>
              <w:t>20-40 мг</w:t>
            </w:r>
          </w:p>
        </w:tc>
        <w:tc>
          <w:tcPr>
            <w:tcW w:w="486" w:type="pct"/>
            <w:vAlign w:val="center"/>
          </w:tcPr>
          <w:p w14:paraId="6AE1FE84" w14:textId="77777777" w:rsidR="00BE7F89" w:rsidRPr="00AC3044" w:rsidRDefault="00BE7F89" w:rsidP="005A428D">
            <w:pPr>
              <w:rPr>
                <w:rFonts w:eastAsia="SimSun"/>
              </w:rPr>
            </w:pPr>
            <w:r w:rsidRPr="00AC3044">
              <w:rPr>
                <w:rFonts w:eastAsia="SimSun"/>
              </w:rPr>
              <w:t>–</w:t>
            </w:r>
          </w:p>
        </w:tc>
        <w:tc>
          <w:tcPr>
            <w:tcW w:w="1370" w:type="pct"/>
            <w:vAlign w:val="center"/>
          </w:tcPr>
          <w:p w14:paraId="7AEE0BC1" w14:textId="77777777" w:rsidR="00BE7F89" w:rsidRPr="00AC3044" w:rsidRDefault="00BE7F89" w:rsidP="005A428D">
            <w:pPr>
              <w:rPr>
                <w:rFonts w:eastAsia="SimSun"/>
              </w:rPr>
            </w:pPr>
            <w:r w:rsidRPr="00AC3044">
              <w:rPr>
                <w:rFonts w:eastAsia="SimSun"/>
              </w:rPr>
              <w:t>В соответсвии с клинической ситуацией, в среднем 14-42 дня</w:t>
            </w:r>
          </w:p>
        </w:tc>
        <w:tc>
          <w:tcPr>
            <w:tcW w:w="1229" w:type="pct"/>
          </w:tcPr>
          <w:p w14:paraId="1945EA6B" w14:textId="77777777" w:rsidR="00BE7F89" w:rsidRPr="00AC3044" w:rsidRDefault="00BE7F89" w:rsidP="005A428D">
            <w:pPr>
              <w:rPr>
                <w:rFonts w:eastAsia="SimSun"/>
              </w:rPr>
            </w:pPr>
            <w:r w:rsidRPr="00AC3044">
              <w:rPr>
                <w:rFonts w:eastAsia="SimSun"/>
              </w:rPr>
              <w:t>Внутрь, 1 раз в сутки;</w:t>
            </w:r>
          </w:p>
          <w:p w14:paraId="2A3ED5BA" w14:textId="77777777" w:rsidR="00BE7F89" w:rsidRPr="00AC3044" w:rsidRDefault="00BE7F89" w:rsidP="005A428D">
            <w:pPr>
              <w:rPr>
                <w:rFonts w:eastAsia="SimSun"/>
              </w:rPr>
            </w:pPr>
            <w:r w:rsidRPr="00AC3044">
              <w:rPr>
                <w:rFonts w:eastAsia="SimSun"/>
              </w:rPr>
              <w:t>в/в, 1 раз в сутки</w:t>
            </w:r>
          </w:p>
        </w:tc>
      </w:tr>
      <w:tr w:rsidR="00BE7F89" w:rsidRPr="00AC3044" w14:paraId="1544A353" w14:textId="77777777" w:rsidTr="005A428D">
        <w:trPr>
          <w:cantSplit/>
          <w:trHeight w:val="464"/>
        </w:trPr>
        <w:tc>
          <w:tcPr>
            <w:tcW w:w="168" w:type="pct"/>
          </w:tcPr>
          <w:p w14:paraId="7AD7C3A3" w14:textId="77777777" w:rsidR="00BE7F89" w:rsidRPr="00AC3044" w:rsidRDefault="00BE7F89" w:rsidP="005A428D">
            <w:pPr>
              <w:rPr>
                <w:rFonts w:eastAsia="SimSun"/>
              </w:rPr>
            </w:pPr>
            <w:r w:rsidRPr="00AC3044">
              <w:rPr>
                <w:rFonts w:eastAsia="SimSun"/>
              </w:rPr>
              <w:t>2</w:t>
            </w:r>
          </w:p>
        </w:tc>
        <w:tc>
          <w:tcPr>
            <w:tcW w:w="1133" w:type="pct"/>
          </w:tcPr>
          <w:p w14:paraId="42793A9A" w14:textId="77777777" w:rsidR="00BE7F89" w:rsidRPr="00AC3044" w:rsidRDefault="00BE7F89" w:rsidP="005A428D">
            <w:pPr>
              <w:rPr>
                <w:rFonts w:eastAsia="SimSun"/>
              </w:rPr>
            </w:pPr>
            <w:r w:rsidRPr="00AC3044">
              <w:rPr>
                <w:rFonts w:eastAsia="SimSun"/>
              </w:rPr>
              <w:t>Лансопразол</w:t>
            </w:r>
          </w:p>
        </w:tc>
        <w:tc>
          <w:tcPr>
            <w:tcW w:w="614" w:type="pct"/>
          </w:tcPr>
          <w:p w14:paraId="3FC9FF7C" w14:textId="77777777" w:rsidR="00BE7F89" w:rsidRPr="00AC3044" w:rsidRDefault="00BE7F89" w:rsidP="005A428D">
            <w:pPr>
              <w:rPr>
                <w:rFonts w:eastAsia="SimSun"/>
              </w:rPr>
            </w:pPr>
            <w:r w:rsidRPr="00AC3044">
              <w:rPr>
                <w:rFonts w:eastAsia="SimSun"/>
              </w:rPr>
              <w:t xml:space="preserve">30 </w:t>
            </w:r>
          </w:p>
        </w:tc>
        <w:tc>
          <w:tcPr>
            <w:tcW w:w="486" w:type="pct"/>
            <w:vAlign w:val="center"/>
          </w:tcPr>
          <w:p w14:paraId="435B1435" w14:textId="77777777" w:rsidR="00BE7F89" w:rsidRPr="00AC3044" w:rsidRDefault="00BE7F89" w:rsidP="005A428D">
            <w:pPr>
              <w:rPr>
                <w:rFonts w:eastAsia="SimSun"/>
              </w:rPr>
            </w:pPr>
            <w:r w:rsidRPr="00AC3044">
              <w:rPr>
                <w:rFonts w:eastAsia="SimSun"/>
              </w:rPr>
              <w:t>–</w:t>
            </w:r>
          </w:p>
        </w:tc>
        <w:tc>
          <w:tcPr>
            <w:tcW w:w="1370" w:type="pct"/>
            <w:vAlign w:val="center"/>
          </w:tcPr>
          <w:p w14:paraId="18231F21" w14:textId="77777777" w:rsidR="00BE7F89" w:rsidRPr="00AC3044" w:rsidRDefault="00BE7F89" w:rsidP="005A428D">
            <w:pPr>
              <w:rPr>
                <w:rFonts w:eastAsia="SimSun"/>
              </w:rPr>
            </w:pPr>
            <w:r w:rsidRPr="00AC3044">
              <w:rPr>
                <w:rFonts w:eastAsia="SimSun"/>
              </w:rPr>
              <w:t>В соответсвии с клинической ситуацией, в среднем 14-42 дня</w:t>
            </w:r>
          </w:p>
        </w:tc>
        <w:tc>
          <w:tcPr>
            <w:tcW w:w="1229" w:type="pct"/>
          </w:tcPr>
          <w:p w14:paraId="166E01B8" w14:textId="77777777" w:rsidR="00BE7F89" w:rsidRPr="00AC3044" w:rsidRDefault="00BE7F89" w:rsidP="005A428D">
            <w:pPr>
              <w:rPr>
                <w:rFonts w:eastAsia="SimSun"/>
              </w:rPr>
            </w:pPr>
            <w:r w:rsidRPr="00AC3044">
              <w:rPr>
                <w:rFonts w:eastAsia="SimSun"/>
              </w:rPr>
              <w:t>Внутрь, 1 раз в сутки</w:t>
            </w:r>
          </w:p>
        </w:tc>
      </w:tr>
      <w:tr w:rsidR="00BE7F89" w:rsidRPr="00AC3044" w14:paraId="11F7E123" w14:textId="77777777" w:rsidTr="005A428D">
        <w:trPr>
          <w:cantSplit/>
          <w:trHeight w:val="464"/>
        </w:trPr>
        <w:tc>
          <w:tcPr>
            <w:tcW w:w="168" w:type="pct"/>
          </w:tcPr>
          <w:p w14:paraId="053A5277" w14:textId="77777777" w:rsidR="00BE7F89" w:rsidRPr="00AC3044" w:rsidRDefault="00BE7F89" w:rsidP="005A428D">
            <w:pPr>
              <w:rPr>
                <w:rFonts w:eastAsia="SimSun"/>
              </w:rPr>
            </w:pPr>
            <w:r w:rsidRPr="00AC3044">
              <w:rPr>
                <w:rFonts w:eastAsia="SimSun"/>
              </w:rPr>
              <w:t>3</w:t>
            </w:r>
          </w:p>
        </w:tc>
        <w:tc>
          <w:tcPr>
            <w:tcW w:w="1133" w:type="pct"/>
          </w:tcPr>
          <w:p w14:paraId="297A5242" w14:textId="77777777" w:rsidR="00BE7F89" w:rsidRPr="00AC3044" w:rsidRDefault="00BE7F89" w:rsidP="005A428D">
            <w:pPr>
              <w:rPr>
                <w:rFonts w:eastAsia="SimSun"/>
              </w:rPr>
            </w:pPr>
            <w:r w:rsidRPr="00AC3044">
              <w:rPr>
                <w:rFonts w:eastAsia="SimSun"/>
              </w:rPr>
              <w:t>Пантопразол</w:t>
            </w:r>
          </w:p>
        </w:tc>
        <w:tc>
          <w:tcPr>
            <w:tcW w:w="614" w:type="pct"/>
          </w:tcPr>
          <w:p w14:paraId="54B27C33" w14:textId="77777777" w:rsidR="00BE7F89" w:rsidRPr="00AC3044" w:rsidRDefault="00BE7F89" w:rsidP="005A428D">
            <w:pPr>
              <w:rPr>
                <w:rFonts w:eastAsia="SimSun"/>
              </w:rPr>
            </w:pPr>
            <w:r w:rsidRPr="00AC3044">
              <w:rPr>
                <w:rFonts w:eastAsia="SimSun"/>
              </w:rPr>
              <w:t xml:space="preserve">40 </w:t>
            </w:r>
          </w:p>
        </w:tc>
        <w:tc>
          <w:tcPr>
            <w:tcW w:w="486" w:type="pct"/>
            <w:vAlign w:val="center"/>
          </w:tcPr>
          <w:p w14:paraId="5E53A2A4" w14:textId="77777777" w:rsidR="00BE7F89" w:rsidRPr="00AC3044" w:rsidRDefault="00BE7F89" w:rsidP="005A428D">
            <w:pPr>
              <w:rPr>
                <w:rFonts w:eastAsia="SimSun"/>
              </w:rPr>
            </w:pPr>
            <w:r w:rsidRPr="00AC3044">
              <w:rPr>
                <w:rFonts w:eastAsia="SimSun"/>
              </w:rPr>
              <w:t>–</w:t>
            </w:r>
          </w:p>
        </w:tc>
        <w:tc>
          <w:tcPr>
            <w:tcW w:w="1370" w:type="pct"/>
            <w:vAlign w:val="center"/>
          </w:tcPr>
          <w:p w14:paraId="49935FEB" w14:textId="77777777" w:rsidR="00BE7F89" w:rsidRPr="00AC3044" w:rsidRDefault="00BE7F89" w:rsidP="005A428D">
            <w:pPr>
              <w:rPr>
                <w:rFonts w:eastAsia="SimSun"/>
              </w:rPr>
            </w:pPr>
            <w:r w:rsidRPr="00AC3044">
              <w:rPr>
                <w:rFonts w:eastAsia="SimSun"/>
              </w:rPr>
              <w:t>В соответсвии с клинической ситуацией, в среднем 14-42 дня</w:t>
            </w:r>
          </w:p>
        </w:tc>
        <w:tc>
          <w:tcPr>
            <w:tcW w:w="1229" w:type="pct"/>
          </w:tcPr>
          <w:p w14:paraId="35D39B41" w14:textId="77777777" w:rsidR="00BE7F89" w:rsidRPr="00AC3044" w:rsidRDefault="00BE7F89" w:rsidP="005A428D">
            <w:pPr>
              <w:rPr>
                <w:rFonts w:eastAsia="SimSun"/>
              </w:rPr>
            </w:pPr>
            <w:r w:rsidRPr="00AC3044">
              <w:rPr>
                <w:rFonts w:eastAsia="SimSun"/>
              </w:rPr>
              <w:t>Внутрь, 1 раз в сутки</w:t>
            </w:r>
          </w:p>
        </w:tc>
      </w:tr>
      <w:tr w:rsidR="00BE7F89" w:rsidRPr="00AC3044" w14:paraId="5D4C9A1E" w14:textId="77777777" w:rsidTr="005A428D">
        <w:trPr>
          <w:cantSplit/>
          <w:trHeight w:val="464"/>
        </w:trPr>
        <w:tc>
          <w:tcPr>
            <w:tcW w:w="168" w:type="pct"/>
          </w:tcPr>
          <w:p w14:paraId="6D84AAFE" w14:textId="77777777" w:rsidR="00BE7F89" w:rsidRPr="00AC3044" w:rsidRDefault="00BE7F89" w:rsidP="005A428D">
            <w:pPr>
              <w:rPr>
                <w:rFonts w:eastAsia="SimSun"/>
              </w:rPr>
            </w:pPr>
            <w:r w:rsidRPr="00AC3044">
              <w:rPr>
                <w:rFonts w:eastAsia="SimSun"/>
              </w:rPr>
              <w:t>4</w:t>
            </w:r>
          </w:p>
        </w:tc>
        <w:tc>
          <w:tcPr>
            <w:tcW w:w="1133" w:type="pct"/>
          </w:tcPr>
          <w:p w14:paraId="15A0C3B8" w14:textId="77777777" w:rsidR="00BE7F89" w:rsidRPr="00AC3044" w:rsidRDefault="00BE7F89" w:rsidP="005A428D">
            <w:pPr>
              <w:rPr>
                <w:rFonts w:eastAsia="SimSun"/>
              </w:rPr>
            </w:pPr>
            <w:r w:rsidRPr="00AC3044">
              <w:rPr>
                <w:rFonts w:eastAsia="SimSun"/>
              </w:rPr>
              <w:t>Рабепразол</w:t>
            </w:r>
          </w:p>
        </w:tc>
        <w:tc>
          <w:tcPr>
            <w:tcW w:w="614" w:type="pct"/>
          </w:tcPr>
          <w:p w14:paraId="53811D9E" w14:textId="77777777" w:rsidR="00BE7F89" w:rsidRPr="00AC3044" w:rsidRDefault="00BE7F89" w:rsidP="005A428D">
            <w:pPr>
              <w:rPr>
                <w:rFonts w:eastAsia="SimSun"/>
              </w:rPr>
            </w:pPr>
            <w:r w:rsidRPr="00AC3044">
              <w:rPr>
                <w:rFonts w:eastAsia="SimSun"/>
              </w:rPr>
              <w:t>20</w:t>
            </w:r>
          </w:p>
        </w:tc>
        <w:tc>
          <w:tcPr>
            <w:tcW w:w="486" w:type="pct"/>
            <w:vAlign w:val="center"/>
          </w:tcPr>
          <w:p w14:paraId="1B5A23F2" w14:textId="77777777" w:rsidR="00BE7F89" w:rsidRPr="00AC3044" w:rsidRDefault="00BE7F89" w:rsidP="005A428D">
            <w:pPr>
              <w:rPr>
                <w:rFonts w:eastAsia="SimSun"/>
              </w:rPr>
            </w:pPr>
            <w:r w:rsidRPr="00AC3044">
              <w:rPr>
                <w:rFonts w:eastAsia="SimSun"/>
              </w:rPr>
              <w:t>–</w:t>
            </w:r>
          </w:p>
        </w:tc>
        <w:tc>
          <w:tcPr>
            <w:tcW w:w="1370" w:type="pct"/>
            <w:vAlign w:val="center"/>
          </w:tcPr>
          <w:p w14:paraId="6C21C3D1" w14:textId="77777777" w:rsidR="00BE7F89" w:rsidRPr="00AC3044" w:rsidRDefault="00BE7F89" w:rsidP="005A428D">
            <w:pPr>
              <w:rPr>
                <w:rFonts w:eastAsia="SimSun"/>
              </w:rPr>
            </w:pPr>
            <w:r w:rsidRPr="00AC3044">
              <w:rPr>
                <w:rFonts w:eastAsia="SimSun"/>
              </w:rPr>
              <w:t>В соответсвии с клинической ситуацией, в среднем 14-42 дня</w:t>
            </w:r>
          </w:p>
        </w:tc>
        <w:tc>
          <w:tcPr>
            <w:tcW w:w="1229" w:type="pct"/>
          </w:tcPr>
          <w:p w14:paraId="66621F03" w14:textId="77777777" w:rsidR="00BE7F89" w:rsidRPr="00AC3044" w:rsidRDefault="00BE7F89" w:rsidP="005A428D">
            <w:pPr>
              <w:rPr>
                <w:rFonts w:eastAsia="SimSun"/>
              </w:rPr>
            </w:pPr>
            <w:r w:rsidRPr="00AC3044">
              <w:rPr>
                <w:rFonts w:eastAsia="SimSun"/>
              </w:rPr>
              <w:t>Внутрь, 1 раз в сутки</w:t>
            </w:r>
          </w:p>
        </w:tc>
      </w:tr>
      <w:tr w:rsidR="00BE7F89" w:rsidRPr="00AC3044" w14:paraId="1A68C3C5" w14:textId="77777777" w:rsidTr="005A428D">
        <w:trPr>
          <w:cantSplit/>
          <w:trHeight w:val="464"/>
        </w:trPr>
        <w:tc>
          <w:tcPr>
            <w:tcW w:w="168" w:type="pct"/>
          </w:tcPr>
          <w:p w14:paraId="5EC15D8B" w14:textId="77777777" w:rsidR="00BE7F89" w:rsidRPr="00AC3044" w:rsidRDefault="00BE7F89" w:rsidP="005A428D">
            <w:pPr>
              <w:rPr>
                <w:rFonts w:eastAsia="SimSun"/>
              </w:rPr>
            </w:pPr>
            <w:r w:rsidRPr="00AC3044">
              <w:rPr>
                <w:rFonts w:eastAsia="SimSun"/>
              </w:rPr>
              <w:t>5</w:t>
            </w:r>
          </w:p>
        </w:tc>
        <w:tc>
          <w:tcPr>
            <w:tcW w:w="1133" w:type="pct"/>
          </w:tcPr>
          <w:p w14:paraId="3B2E85DF" w14:textId="77777777" w:rsidR="00BE7F89" w:rsidRPr="00AC3044" w:rsidRDefault="00BE7F89" w:rsidP="005A428D">
            <w:pPr>
              <w:rPr>
                <w:rFonts w:eastAsia="SimSun"/>
              </w:rPr>
            </w:pPr>
            <w:r w:rsidRPr="00AC3044">
              <w:rPr>
                <w:rFonts w:eastAsia="SimSun"/>
              </w:rPr>
              <w:t>Эзомепразол</w:t>
            </w:r>
          </w:p>
        </w:tc>
        <w:tc>
          <w:tcPr>
            <w:tcW w:w="614" w:type="pct"/>
          </w:tcPr>
          <w:p w14:paraId="02D296D4" w14:textId="77777777" w:rsidR="00BE7F89" w:rsidRPr="00AC3044" w:rsidRDefault="00BE7F89" w:rsidP="005A428D">
            <w:pPr>
              <w:rPr>
                <w:rFonts w:eastAsia="SimSun"/>
              </w:rPr>
            </w:pPr>
            <w:r w:rsidRPr="00AC3044">
              <w:rPr>
                <w:rFonts w:eastAsia="SimSun"/>
              </w:rPr>
              <w:t>20</w:t>
            </w:r>
          </w:p>
        </w:tc>
        <w:tc>
          <w:tcPr>
            <w:tcW w:w="486" w:type="pct"/>
            <w:vAlign w:val="center"/>
          </w:tcPr>
          <w:p w14:paraId="63F0FC2F" w14:textId="77777777" w:rsidR="00BE7F89" w:rsidRPr="00AC3044" w:rsidRDefault="00BE7F89" w:rsidP="005A428D">
            <w:pPr>
              <w:rPr>
                <w:rFonts w:eastAsia="SimSun"/>
              </w:rPr>
            </w:pPr>
            <w:r w:rsidRPr="00AC3044">
              <w:rPr>
                <w:rFonts w:eastAsia="SimSun"/>
              </w:rPr>
              <w:t>–</w:t>
            </w:r>
          </w:p>
        </w:tc>
        <w:tc>
          <w:tcPr>
            <w:tcW w:w="1370" w:type="pct"/>
            <w:vAlign w:val="center"/>
          </w:tcPr>
          <w:p w14:paraId="2F07879F" w14:textId="77777777" w:rsidR="00BE7F89" w:rsidRPr="00AC3044" w:rsidRDefault="00BE7F89" w:rsidP="005A428D">
            <w:pPr>
              <w:rPr>
                <w:rFonts w:eastAsia="SimSun"/>
              </w:rPr>
            </w:pPr>
            <w:r w:rsidRPr="00AC3044">
              <w:rPr>
                <w:rFonts w:eastAsia="SimSun"/>
              </w:rPr>
              <w:t>В соответсвии с клинической ситуацией, в среднем 14-42 дня</w:t>
            </w:r>
          </w:p>
        </w:tc>
        <w:tc>
          <w:tcPr>
            <w:tcW w:w="1229" w:type="pct"/>
          </w:tcPr>
          <w:p w14:paraId="4EEAA27F" w14:textId="77777777" w:rsidR="00BE7F89" w:rsidRPr="00AC3044" w:rsidRDefault="00BE7F89" w:rsidP="005A428D">
            <w:pPr>
              <w:rPr>
                <w:rFonts w:eastAsia="SimSun"/>
              </w:rPr>
            </w:pPr>
            <w:r w:rsidRPr="00AC3044">
              <w:rPr>
                <w:rFonts w:eastAsia="SimSun"/>
              </w:rPr>
              <w:t>Внутрь или в/в, 1 раз в сутки</w:t>
            </w:r>
          </w:p>
        </w:tc>
      </w:tr>
      <w:tr w:rsidR="00BE7F89" w:rsidRPr="00AC3044" w14:paraId="5BEDBEA8" w14:textId="77777777" w:rsidTr="005A428D">
        <w:trPr>
          <w:cantSplit/>
          <w:trHeight w:val="464"/>
        </w:trPr>
        <w:tc>
          <w:tcPr>
            <w:tcW w:w="168" w:type="pct"/>
          </w:tcPr>
          <w:p w14:paraId="402B2A0B" w14:textId="77777777" w:rsidR="00BE7F89" w:rsidRPr="00AC3044" w:rsidRDefault="00BE7F89" w:rsidP="005A428D">
            <w:pPr>
              <w:rPr>
                <w:rFonts w:eastAsia="SimSun"/>
              </w:rPr>
            </w:pPr>
            <w:r w:rsidRPr="00AC3044">
              <w:rPr>
                <w:rFonts w:eastAsia="SimSun"/>
              </w:rPr>
              <w:t>6</w:t>
            </w:r>
          </w:p>
        </w:tc>
        <w:tc>
          <w:tcPr>
            <w:tcW w:w="1133" w:type="pct"/>
          </w:tcPr>
          <w:p w14:paraId="52F8BACB" w14:textId="77777777" w:rsidR="00BE7F89" w:rsidRPr="00AC3044" w:rsidRDefault="00BE7F89" w:rsidP="005A428D">
            <w:pPr>
              <w:rPr>
                <w:rFonts w:eastAsia="SimSun"/>
              </w:rPr>
            </w:pPr>
            <w:r w:rsidRPr="00AC3044">
              <w:rPr>
                <w:rFonts w:eastAsia="SimSun"/>
              </w:rPr>
              <w:t>Ранитидин</w:t>
            </w:r>
          </w:p>
        </w:tc>
        <w:tc>
          <w:tcPr>
            <w:tcW w:w="614" w:type="pct"/>
          </w:tcPr>
          <w:p w14:paraId="2B22CC92" w14:textId="77777777" w:rsidR="00BE7F89" w:rsidRPr="00AC3044" w:rsidRDefault="00BE7F89" w:rsidP="005A428D">
            <w:pPr>
              <w:rPr>
                <w:rFonts w:eastAsia="SimSun"/>
              </w:rPr>
            </w:pPr>
            <w:r w:rsidRPr="00AC3044">
              <w:rPr>
                <w:rFonts w:eastAsia="SimSun"/>
              </w:rPr>
              <w:t>150</w:t>
            </w:r>
          </w:p>
        </w:tc>
        <w:tc>
          <w:tcPr>
            <w:tcW w:w="486" w:type="pct"/>
            <w:vAlign w:val="center"/>
          </w:tcPr>
          <w:p w14:paraId="710EDA2C" w14:textId="77777777" w:rsidR="00BE7F89" w:rsidRPr="00AC3044" w:rsidRDefault="00BE7F89" w:rsidP="005A428D">
            <w:pPr>
              <w:rPr>
                <w:rFonts w:eastAsia="SimSun"/>
              </w:rPr>
            </w:pPr>
            <w:r w:rsidRPr="00AC3044">
              <w:rPr>
                <w:rFonts w:eastAsia="SimSun"/>
              </w:rPr>
              <w:t>–</w:t>
            </w:r>
          </w:p>
        </w:tc>
        <w:tc>
          <w:tcPr>
            <w:tcW w:w="1370" w:type="pct"/>
            <w:vAlign w:val="center"/>
          </w:tcPr>
          <w:p w14:paraId="61D4C1B8" w14:textId="77777777" w:rsidR="00BE7F89" w:rsidRPr="00AC3044" w:rsidRDefault="00BE7F89" w:rsidP="005A428D">
            <w:pPr>
              <w:rPr>
                <w:rFonts w:eastAsia="SimSun"/>
              </w:rPr>
            </w:pPr>
            <w:r w:rsidRPr="00AC3044">
              <w:rPr>
                <w:rFonts w:eastAsia="SimSun"/>
              </w:rPr>
              <w:t>В соответсвии с клинической ситуацией, в среднем 14-42 дня</w:t>
            </w:r>
          </w:p>
        </w:tc>
        <w:tc>
          <w:tcPr>
            <w:tcW w:w="1229" w:type="pct"/>
          </w:tcPr>
          <w:p w14:paraId="3A1893E0" w14:textId="77777777" w:rsidR="00BE7F89" w:rsidRPr="00AC3044" w:rsidRDefault="00BE7F89" w:rsidP="005A428D">
            <w:pPr>
              <w:rPr>
                <w:rFonts w:eastAsia="SimSun"/>
              </w:rPr>
            </w:pPr>
            <w:r w:rsidRPr="00AC3044">
              <w:rPr>
                <w:rFonts w:eastAsia="SimSun"/>
              </w:rPr>
              <w:t>Внутрь, 1 раз в сутки, на ночь</w:t>
            </w:r>
          </w:p>
        </w:tc>
      </w:tr>
      <w:tr w:rsidR="00BE7F89" w:rsidRPr="00AC3044" w14:paraId="2BD617FD" w14:textId="77777777" w:rsidTr="005A428D">
        <w:trPr>
          <w:cantSplit/>
          <w:trHeight w:val="464"/>
        </w:trPr>
        <w:tc>
          <w:tcPr>
            <w:tcW w:w="168" w:type="pct"/>
          </w:tcPr>
          <w:p w14:paraId="4AB81B68" w14:textId="77777777" w:rsidR="00BE7F89" w:rsidRPr="00AC3044" w:rsidRDefault="00BE7F89" w:rsidP="005A428D">
            <w:pPr>
              <w:rPr>
                <w:rFonts w:eastAsia="SimSun"/>
              </w:rPr>
            </w:pPr>
            <w:r w:rsidRPr="00AC3044">
              <w:rPr>
                <w:rFonts w:eastAsia="SimSun"/>
              </w:rPr>
              <w:t>7</w:t>
            </w:r>
          </w:p>
        </w:tc>
        <w:tc>
          <w:tcPr>
            <w:tcW w:w="1133" w:type="pct"/>
          </w:tcPr>
          <w:p w14:paraId="14003F99" w14:textId="77777777" w:rsidR="00BE7F89" w:rsidRPr="00AC3044" w:rsidRDefault="00BE7F89" w:rsidP="005A428D">
            <w:pPr>
              <w:rPr>
                <w:rFonts w:eastAsia="SimSun"/>
              </w:rPr>
            </w:pPr>
            <w:r w:rsidRPr="00AC3044">
              <w:rPr>
                <w:rFonts w:eastAsia="SimSun"/>
              </w:rPr>
              <w:t>Фамотидин</w:t>
            </w:r>
          </w:p>
        </w:tc>
        <w:tc>
          <w:tcPr>
            <w:tcW w:w="614" w:type="pct"/>
          </w:tcPr>
          <w:p w14:paraId="689489C0" w14:textId="77777777" w:rsidR="00BE7F89" w:rsidRPr="00AC3044" w:rsidRDefault="00BE7F89" w:rsidP="005A428D">
            <w:pPr>
              <w:rPr>
                <w:rFonts w:eastAsia="SimSun"/>
              </w:rPr>
            </w:pPr>
            <w:r w:rsidRPr="00AC3044">
              <w:rPr>
                <w:rFonts w:eastAsia="SimSun"/>
              </w:rPr>
              <w:t xml:space="preserve">20 </w:t>
            </w:r>
          </w:p>
        </w:tc>
        <w:tc>
          <w:tcPr>
            <w:tcW w:w="486" w:type="pct"/>
            <w:vAlign w:val="center"/>
          </w:tcPr>
          <w:p w14:paraId="25757B4B" w14:textId="77777777" w:rsidR="00BE7F89" w:rsidRPr="00AC3044" w:rsidRDefault="00BE7F89" w:rsidP="005A428D">
            <w:pPr>
              <w:rPr>
                <w:rFonts w:eastAsia="SimSun"/>
              </w:rPr>
            </w:pPr>
            <w:r w:rsidRPr="00AC3044">
              <w:rPr>
                <w:rFonts w:eastAsia="SimSun"/>
              </w:rPr>
              <w:t>–</w:t>
            </w:r>
          </w:p>
        </w:tc>
        <w:tc>
          <w:tcPr>
            <w:tcW w:w="1370" w:type="pct"/>
            <w:vAlign w:val="center"/>
          </w:tcPr>
          <w:p w14:paraId="2707BF58" w14:textId="77777777" w:rsidR="00BE7F89" w:rsidRPr="00AC3044" w:rsidRDefault="00BE7F89" w:rsidP="005A428D">
            <w:pPr>
              <w:rPr>
                <w:rFonts w:eastAsia="SimSun"/>
              </w:rPr>
            </w:pPr>
            <w:r w:rsidRPr="00AC3044">
              <w:rPr>
                <w:rFonts w:eastAsia="SimSun"/>
              </w:rPr>
              <w:t>В соответсвии с клинической ситуацией, в среднем 14-42 дня</w:t>
            </w:r>
          </w:p>
        </w:tc>
        <w:tc>
          <w:tcPr>
            <w:tcW w:w="1229" w:type="pct"/>
          </w:tcPr>
          <w:p w14:paraId="6F44574D" w14:textId="77777777" w:rsidR="00BE7F89" w:rsidRPr="00AC3044" w:rsidRDefault="00BE7F89" w:rsidP="005A428D">
            <w:pPr>
              <w:rPr>
                <w:rFonts w:eastAsia="SimSun"/>
              </w:rPr>
            </w:pPr>
            <w:r w:rsidRPr="00AC3044">
              <w:rPr>
                <w:rFonts w:eastAsia="SimSun"/>
              </w:rPr>
              <w:t>Внутрь, 1 раз в сутки, на ночь</w:t>
            </w:r>
          </w:p>
        </w:tc>
      </w:tr>
      <w:tr w:rsidR="00BE7F89" w:rsidRPr="00AC3044" w14:paraId="27970952" w14:textId="77777777" w:rsidTr="005A428D">
        <w:trPr>
          <w:cantSplit/>
          <w:trHeight w:val="20"/>
        </w:trPr>
        <w:tc>
          <w:tcPr>
            <w:tcW w:w="5000" w:type="pct"/>
            <w:gridSpan w:val="6"/>
          </w:tcPr>
          <w:p w14:paraId="4F6317DB" w14:textId="77777777" w:rsidR="00BE7F89" w:rsidRPr="00AC3044" w:rsidRDefault="00BE7F89" w:rsidP="005A428D">
            <w:pPr>
              <w:rPr>
                <w:rFonts w:eastAsia="SimSun"/>
              </w:rPr>
            </w:pPr>
            <w:r w:rsidRPr="00AC3044">
              <w:rPr>
                <w:rFonts w:eastAsia="SimSun"/>
              </w:rPr>
              <w:t>Наркотическая обезболивающая терапия</w:t>
            </w:r>
          </w:p>
        </w:tc>
      </w:tr>
      <w:tr w:rsidR="00BE7F89" w:rsidRPr="00AC3044" w14:paraId="33CADAA8" w14:textId="77777777" w:rsidTr="005A428D">
        <w:trPr>
          <w:cantSplit/>
          <w:trHeight w:val="20"/>
        </w:trPr>
        <w:tc>
          <w:tcPr>
            <w:tcW w:w="168" w:type="pct"/>
          </w:tcPr>
          <w:p w14:paraId="684D63AE" w14:textId="77777777" w:rsidR="00BE7F89" w:rsidRPr="00AC3044" w:rsidRDefault="00BE7F89" w:rsidP="005A428D">
            <w:pPr>
              <w:rPr>
                <w:rFonts w:eastAsia="SimSun"/>
              </w:rPr>
            </w:pPr>
            <w:r w:rsidRPr="00AC3044">
              <w:rPr>
                <w:rFonts w:eastAsia="SimSun"/>
              </w:rPr>
              <w:t>1</w:t>
            </w:r>
          </w:p>
        </w:tc>
        <w:tc>
          <w:tcPr>
            <w:tcW w:w="1133" w:type="pct"/>
            <w:vAlign w:val="center"/>
          </w:tcPr>
          <w:p w14:paraId="7BF602B1" w14:textId="77777777" w:rsidR="00BE7F89" w:rsidRPr="00AC3044" w:rsidRDefault="00BE7F89" w:rsidP="005A428D">
            <w:pPr>
              <w:rPr>
                <w:rFonts w:eastAsia="SimSun"/>
              </w:rPr>
            </w:pPr>
            <w:r w:rsidRPr="00AC3044">
              <w:rPr>
                <w:rFonts w:eastAsia="SimSun"/>
              </w:rPr>
              <w:t xml:space="preserve">Промедол </w:t>
            </w:r>
          </w:p>
        </w:tc>
        <w:tc>
          <w:tcPr>
            <w:tcW w:w="2470" w:type="pct"/>
            <w:gridSpan w:val="3"/>
            <w:vAlign w:val="center"/>
          </w:tcPr>
          <w:p w14:paraId="27D24381" w14:textId="77777777" w:rsidR="00BE7F89" w:rsidRPr="00AC3044" w:rsidRDefault="00BE7F89" w:rsidP="005A428D">
            <w:pPr>
              <w:rPr>
                <w:rFonts w:eastAsia="SimSun"/>
              </w:rPr>
            </w:pPr>
            <w:r w:rsidRPr="00AC3044">
              <w:rPr>
                <w:rFonts w:eastAsia="SimSun"/>
              </w:rPr>
              <w:t>В соответсвии с клинической ситуацией</w:t>
            </w:r>
          </w:p>
        </w:tc>
        <w:tc>
          <w:tcPr>
            <w:tcW w:w="1229" w:type="pct"/>
            <w:vAlign w:val="center"/>
          </w:tcPr>
          <w:p w14:paraId="48746170" w14:textId="77777777" w:rsidR="00BE7F89" w:rsidRPr="00AC3044" w:rsidRDefault="00BE7F89" w:rsidP="005A428D">
            <w:pPr>
              <w:rPr>
                <w:rFonts w:eastAsia="SimSun"/>
              </w:rPr>
            </w:pPr>
            <w:r w:rsidRPr="00AC3044">
              <w:rPr>
                <w:rFonts w:eastAsia="SimSun"/>
              </w:rPr>
              <w:t>В/в</w:t>
            </w:r>
          </w:p>
        </w:tc>
      </w:tr>
      <w:tr w:rsidR="00BE7F89" w:rsidRPr="00AC3044" w14:paraId="1F1F0C12" w14:textId="77777777" w:rsidTr="005A428D">
        <w:trPr>
          <w:cantSplit/>
          <w:trHeight w:val="20"/>
        </w:trPr>
        <w:tc>
          <w:tcPr>
            <w:tcW w:w="168" w:type="pct"/>
          </w:tcPr>
          <w:p w14:paraId="08333820" w14:textId="77777777" w:rsidR="00BE7F89" w:rsidRPr="00AC3044" w:rsidRDefault="00BE7F89" w:rsidP="005A428D">
            <w:pPr>
              <w:rPr>
                <w:rFonts w:eastAsia="SimSun"/>
              </w:rPr>
            </w:pPr>
            <w:r w:rsidRPr="00AC3044">
              <w:rPr>
                <w:rFonts w:eastAsia="SimSun"/>
              </w:rPr>
              <w:t>2</w:t>
            </w:r>
          </w:p>
        </w:tc>
        <w:tc>
          <w:tcPr>
            <w:tcW w:w="1133" w:type="pct"/>
            <w:vAlign w:val="center"/>
          </w:tcPr>
          <w:p w14:paraId="2FFCD5FA" w14:textId="77777777" w:rsidR="00BE7F89" w:rsidRPr="00AC3044" w:rsidRDefault="00BE7F89" w:rsidP="005A428D">
            <w:pPr>
              <w:rPr>
                <w:rFonts w:eastAsia="SimSun"/>
              </w:rPr>
            </w:pPr>
            <w:r w:rsidRPr="00AC3044">
              <w:rPr>
                <w:rFonts w:eastAsia="SimSun"/>
              </w:rPr>
              <w:t>Трамадол</w:t>
            </w:r>
          </w:p>
        </w:tc>
        <w:tc>
          <w:tcPr>
            <w:tcW w:w="2470" w:type="pct"/>
            <w:gridSpan w:val="3"/>
            <w:vAlign w:val="center"/>
          </w:tcPr>
          <w:p w14:paraId="11A9B40F" w14:textId="77777777" w:rsidR="00BE7F89" w:rsidRPr="00AC3044" w:rsidRDefault="00BE7F89" w:rsidP="005A428D">
            <w:pPr>
              <w:rPr>
                <w:rFonts w:eastAsia="SimSun"/>
              </w:rPr>
            </w:pPr>
            <w:r w:rsidRPr="00AC3044">
              <w:rPr>
                <w:rFonts w:eastAsia="SimSun"/>
              </w:rPr>
              <w:t>В соответсвии с клинической ситуацией</w:t>
            </w:r>
          </w:p>
        </w:tc>
        <w:tc>
          <w:tcPr>
            <w:tcW w:w="1229" w:type="pct"/>
            <w:vAlign w:val="center"/>
          </w:tcPr>
          <w:p w14:paraId="366D6DEE" w14:textId="77777777" w:rsidR="00BE7F89" w:rsidRPr="00AC3044" w:rsidRDefault="00BE7F89" w:rsidP="005A428D">
            <w:pPr>
              <w:rPr>
                <w:rFonts w:eastAsia="SimSun"/>
              </w:rPr>
            </w:pPr>
            <w:r w:rsidRPr="00AC3044">
              <w:rPr>
                <w:rFonts w:eastAsia="SimSun"/>
              </w:rPr>
              <w:t>В/в</w:t>
            </w:r>
          </w:p>
        </w:tc>
      </w:tr>
      <w:tr w:rsidR="00BE7F89" w:rsidRPr="00AC3044" w14:paraId="722484CE" w14:textId="77777777" w:rsidTr="005A428D">
        <w:trPr>
          <w:cantSplit/>
          <w:trHeight w:val="20"/>
        </w:trPr>
        <w:tc>
          <w:tcPr>
            <w:tcW w:w="168" w:type="pct"/>
          </w:tcPr>
          <w:p w14:paraId="051EC265" w14:textId="77777777" w:rsidR="00BE7F89" w:rsidRPr="00AC3044" w:rsidRDefault="00BE7F89" w:rsidP="005A428D">
            <w:pPr>
              <w:rPr>
                <w:rFonts w:eastAsia="SimSun"/>
              </w:rPr>
            </w:pPr>
            <w:r w:rsidRPr="00AC3044">
              <w:rPr>
                <w:rFonts w:eastAsia="SimSun"/>
              </w:rPr>
              <w:t>3</w:t>
            </w:r>
          </w:p>
        </w:tc>
        <w:tc>
          <w:tcPr>
            <w:tcW w:w="1133" w:type="pct"/>
            <w:vAlign w:val="center"/>
          </w:tcPr>
          <w:p w14:paraId="0814447B" w14:textId="77777777" w:rsidR="00BE7F89" w:rsidRPr="00AC3044" w:rsidRDefault="00BE7F89" w:rsidP="005A428D">
            <w:pPr>
              <w:rPr>
                <w:rFonts w:eastAsia="SimSun"/>
              </w:rPr>
            </w:pPr>
            <w:r w:rsidRPr="00AC3044">
              <w:rPr>
                <w:rFonts w:eastAsia="SimSun"/>
              </w:rPr>
              <w:t>Фентанил</w:t>
            </w:r>
          </w:p>
        </w:tc>
        <w:tc>
          <w:tcPr>
            <w:tcW w:w="2470" w:type="pct"/>
            <w:gridSpan w:val="3"/>
            <w:vAlign w:val="center"/>
          </w:tcPr>
          <w:p w14:paraId="0C93E779" w14:textId="77777777" w:rsidR="00BE7F89" w:rsidRPr="00AC3044" w:rsidRDefault="00BE7F89" w:rsidP="005A428D">
            <w:pPr>
              <w:rPr>
                <w:rFonts w:eastAsia="SimSun"/>
              </w:rPr>
            </w:pPr>
            <w:r w:rsidRPr="00AC3044">
              <w:rPr>
                <w:rFonts w:eastAsia="SimSun"/>
              </w:rPr>
              <w:t>В соответсвии с клинической ситуацией</w:t>
            </w:r>
          </w:p>
        </w:tc>
        <w:tc>
          <w:tcPr>
            <w:tcW w:w="1229" w:type="pct"/>
            <w:vAlign w:val="center"/>
          </w:tcPr>
          <w:p w14:paraId="2123B6B2" w14:textId="77777777" w:rsidR="00BE7F89" w:rsidRPr="00AC3044" w:rsidRDefault="00BE7F89" w:rsidP="005A428D">
            <w:pPr>
              <w:rPr>
                <w:rFonts w:eastAsia="SimSun"/>
              </w:rPr>
            </w:pPr>
            <w:r w:rsidRPr="00AC3044">
              <w:rPr>
                <w:rFonts w:eastAsia="SimSun"/>
              </w:rPr>
              <w:t>Трансдермально</w:t>
            </w:r>
          </w:p>
        </w:tc>
      </w:tr>
      <w:tr w:rsidR="00BE7F89" w:rsidRPr="00AC3044" w14:paraId="535F2919" w14:textId="77777777" w:rsidTr="005A428D">
        <w:trPr>
          <w:cantSplit/>
          <w:trHeight w:val="20"/>
        </w:trPr>
        <w:tc>
          <w:tcPr>
            <w:tcW w:w="168" w:type="pct"/>
          </w:tcPr>
          <w:p w14:paraId="7E07D13D" w14:textId="77777777" w:rsidR="00BE7F89" w:rsidRPr="00AC3044" w:rsidRDefault="00BE7F89" w:rsidP="005A428D">
            <w:pPr>
              <w:rPr>
                <w:rFonts w:eastAsia="SimSun"/>
              </w:rPr>
            </w:pPr>
            <w:r w:rsidRPr="00AC3044">
              <w:rPr>
                <w:rFonts w:eastAsia="SimSun"/>
              </w:rPr>
              <w:t>4</w:t>
            </w:r>
          </w:p>
        </w:tc>
        <w:tc>
          <w:tcPr>
            <w:tcW w:w="1133" w:type="pct"/>
            <w:vAlign w:val="center"/>
          </w:tcPr>
          <w:p w14:paraId="0CF2FB7D" w14:textId="77777777" w:rsidR="00BE7F89" w:rsidRPr="00AC3044" w:rsidRDefault="00BE7F89" w:rsidP="005A428D">
            <w:pPr>
              <w:rPr>
                <w:rFonts w:eastAsia="SimSun"/>
              </w:rPr>
            </w:pPr>
            <w:r w:rsidRPr="00AC3044">
              <w:rPr>
                <w:rFonts w:eastAsia="SimSun"/>
              </w:rPr>
              <w:t>Морфин</w:t>
            </w:r>
          </w:p>
        </w:tc>
        <w:tc>
          <w:tcPr>
            <w:tcW w:w="2470" w:type="pct"/>
            <w:gridSpan w:val="3"/>
            <w:vAlign w:val="center"/>
          </w:tcPr>
          <w:p w14:paraId="60A6944B" w14:textId="77777777" w:rsidR="00BE7F89" w:rsidRPr="00AC3044" w:rsidRDefault="00BE7F89" w:rsidP="005A428D">
            <w:pPr>
              <w:rPr>
                <w:rFonts w:eastAsia="SimSun"/>
              </w:rPr>
            </w:pPr>
            <w:r w:rsidRPr="00AC3044">
              <w:rPr>
                <w:rFonts w:eastAsia="SimSun"/>
              </w:rPr>
              <w:t>В соответсвии с клинической ситуацией</w:t>
            </w:r>
          </w:p>
        </w:tc>
        <w:tc>
          <w:tcPr>
            <w:tcW w:w="1229" w:type="pct"/>
            <w:vAlign w:val="center"/>
          </w:tcPr>
          <w:p w14:paraId="7193EFB0" w14:textId="77777777" w:rsidR="00BE7F89" w:rsidRPr="00AC3044" w:rsidRDefault="00BE7F89" w:rsidP="005A428D">
            <w:pPr>
              <w:rPr>
                <w:rFonts w:eastAsia="SimSun"/>
              </w:rPr>
            </w:pPr>
            <w:r w:rsidRPr="00AC3044">
              <w:rPr>
                <w:rFonts w:eastAsia="SimSun"/>
              </w:rPr>
              <w:t>В/в</w:t>
            </w:r>
          </w:p>
        </w:tc>
      </w:tr>
      <w:tr w:rsidR="00BE7F89" w:rsidRPr="00AC3044" w14:paraId="3758BAAA" w14:textId="77777777" w:rsidTr="005A428D">
        <w:trPr>
          <w:cantSplit/>
          <w:trHeight w:val="20"/>
        </w:trPr>
        <w:tc>
          <w:tcPr>
            <w:tcW w:w="5000" w:type="pct"/>
            <w:gridSpan w:val="6"/>
          </w:tcPr>
          <w:p w14:paraId="04B88F29" w14:textId="77777777" w:rsidR="00BE7F89" w:rsidRPr="00AC3044" w:rsidRDefault="00BE7F89" w:rsidP="005A428D">
            <w:pPr>
              <w:rPr>
                <w:rFonts w:eastAsia="SimSun"/>
              </w:rPr>
            </w:pPr>
            <w:r w:rsidRPr="00AC3044">
              <w:rPr>
                <w:rFonts w:eastAsia="SimSun"/>
              </w:rPr>
              <w:t>Другое</w:t>
            </w:r>
          </w:p>
        </w:tc>
      </w:tr>
      <w:tr w:rsidR="00BE7F89" w:rsidRPr="00AC3044" w14:paraId="4ED38B59" w14:textId="77777777" w:rsidTr="005A428D">
        <w:trPr>
          <w:cantSplit/>
          <w:trHeight w:val="20"/>
        </w:trPr>
        <w:tc>
          <w:tcPr>
            <w:tcW w:w="168" w:type="pct"/>
          </w:tcPr>
          <w:p w14:paraId="61FDCA05" w14:textId="77777777" w:rsidR="00BE7F89" w:rsidRPr="00AC3044" w:rsidRDefault="00BE7F89" w:rsidP="005A428D">
            <w:pPr>
              <w:rPr>
                <w:rFonts w:eastAsia="SimSun"/>
              </w:rPr>
            </w:pPr>
            <w:r w:rsidRPr="00AC3044">
              <w:rPr>
                <w:rFonts w:eastAsia="SimSun"/>
              </w:rPr>
              <w:t>1</w:t>
            </w:r>
          </w:p>
        </w:tc>
        <w:tc>
          <w:tcPr>
            <w:tcW w:w="1133" w:type="pct"/>
            <w:vAlign w:val="center"/>
          </w:tcPr>
          <w:p w14:paraId="603C1FD8" w14:textId="77777777" w:rsidR="00BE7F89" w:rsidRPr="00AC3044" w:rsidRDefault="00BE7F89" w:rsidP="005A428D">
            <w:pPr>
              <w:rPr>
                <w:rFonts w:eastAsia="SimSun"/>
              </w:rPr>
            </w:pPr>
            <w:r w:rsidRPr="00AC3044">
              <w:rPr>
                <w:rFonts w:eastAsia="SimSun"/>
              </w:rPr>
              <w:t>Месна</w:t>
            </w:r>
          </w:p>
        </w:tc>
        <w:tc>
          <w:tcPr>
            <w:tcW w:w="614" w:type="pct"/>
            <w:vAlign w:val="center"/>
          </w:tcPr>
          <w:p w14:paraId="7D9E8F3C" w14:textId="77777777" w:rsidR="00BE7F89" w:rsidRPr="00AC3044" w:rsidRDefault="00BE7F89" w:rsidP="005A428D">
            <w:pPr>
              <w:rPr>
                <w:rFonts w:eastAsia="SimSun"/>
              </w:rPr>
            </w:pPr>
            <w:r w:rsidRPr="00AC3044">
              <w:rPr>
                <w:rFonts w:eastAsia="SimSun"/>
              </w:rPr>
              <w:t>120% от дозы ЦФ</w:t>
            </w:r>
          </w:p>
        </w:tc>
        <w:tc>
          <w:tcPr>
            <w:tcW w:w="486" w:type="pct"/>
            <w:vAlign w:val="center"/>
          </w:tcPr>
          <w:p w14:paraId="46E9F4F8" w14:textId="77777777" w:rsidR="00BE7F89" w:rsidRPr="00AC3044" w:rsidRDefault="00BE7F89" w:rsidP="005A428D">
            <w:pPr>
              <w:rPr>
                <w:rFonts w:eastAsia="SimSun"/>
              </w:rPr>
            </w:pPr>
            <w:r w:rsidRPr="00AC3044">
              <w:rPr>
                <w:rFonts w:eastAsia="SimSun"/>
              </w:rPr>
              <w:t>–</w:t>
            </w:r>
          </w:p>
        </w:tc>
        <w:tc>
          <w:tcPr>
            <w:tcW w:w="1370" w:type="pct"/>
            <w:vAlign w:val="center"/>
          </w:tcPr>
          <w:p w14:paraId="1867B7D2" w14:textId="77777777" w:rsidR="00BE7F89" w:rsidRPr="00AC3044" w:rsidRDefault="00BE7F89" w:rsidP="005A428D">
            <w:pPr>
              <w:rPr>
                <w:rFonts w:eastAsia="SimSun"/>
              </w:rPr>
            </w:pPr>
            <w:r w:rsidRPr="00AC3044">
              <w:rPr>
                <w:rFonts w:eastAsia="SimSun"/>
              </w:rPr>
              <w:t>В дни введения ЦФ</w:t>
            </w:r>
          </w:p>
        </w:tc>
        <w:tc>
          <w:tcPr>
            <w:tcW w:w="1229" w:type="pct"/>
            <w:vAlign w:val="center"/>
          </w:tcPr>
          <w:p w14:paraId="5E03B214" w14:textId="77777777" w:rsidR="00BE7F89" w:rsidRPr="00AC3044" w:rsidRDefault="00BE7F89" w:rsidP="005A428D">
            <w:pPr>
              <w:rPr>
                <w:rFonts w:eastAsia="SimSun"/>
              </w:rPr>
            </w:pPr>
            <w:r w:rsidRPr="00AC3044">
              <w:rPr>
                <w:rFonts w:eastAsia="SimSun"/>
              </w:rPr>
              <w:t xml:space="preserve">В/в, инфузия в течение 24 ч, начиная за 2 ч до введения ЦФ </w:t>
            </w:r>
          </w:p>
        </w:tc>
      </w:tr>
      <w:tr w:rsidR="00BE7F89" w:rsidRPr="00AC3044" w14:paraId="48FCBE2A" w14:textId="77777777" w:rsidTr="005A428D">
        <w:trPr>
          <w:cantSplit/>
          <w:trHeight w:val="20"/>
        </w:trPr>
        <w:tc>
          <w:tcPr>
            <w:tcW w:w="168" w:type="pct"/>
          </w:tcPr>
          <w:p w14:paraId="2495A642" w14:textId="77777777" w:rsidR="00BE7F89" w:rsidRPr="00AC3044" w:rsidRDefault="00BE7F89" w:rsidP="005A428D">
            <w:pPr>
              <w:rPr>
                <w:rFonts w:eastAsia="SimSun"/>
              </w:rPr>
            </w:pPr>
            <w:r w:rsidRPr="00AC3044">
              <w:rPr>
                <w:rFonts w:eastAsia="SimSun"/>
              </w:rPr>
              <w:t>2</w:t>
            </w:r>
          </w:p>
        </w:tc>
        <w:tc>
          <w:tcPr>
            <w:tcW w:w="1133" w:type="pct"/>
            <w:vAlign w:val="center"/>
          </w:tcPr>
          <w:p w14:paraId="1C17EC0C" w14:textId="77777777" w:rsidR="00BE7F89" w:rsidRPr="00AC3044" w:rsidRDefault="00BE7F89" w:rsidP="005A428D">
            <w:pPr>
              <w:rPr>
                <w:rFonts w:eastAsia="SimSun"/>
              </w:rPr>
            </w:pPr>
            <w:r w:rsidRPr="00AC3044">
              <w:rPr>
                <w:rFonts w:eastAsia="SimSun"/>
              </w:rPr>
              <w:t>Кальция фолинат</w:t>
            </w:r>
          </w:p>
        </w:tc>
        <w:tc>
          <w:tcPr>
            <w:tcW w:w="614" w:type="pct"/>
            <w:vAlign w:val="center"/>
          </w:tcPr>
          <w:p w14:paraId="5CC7596E" w14:textId="77777777" w:rsidR="00BE7F89" w:rsidRPr="00AC3044" w:rsidRDefault="00BE7F89" w:rsidP="005A428D">
            <w:pPr>
              <w:rPr>
                <w:rFonts w:eastAsia="SimSun"/>
              </w:rPr>
            </w:pPr>
            <w:r w:rsidRPr="00AC3044">
              <w:rPr>
                <w:rFonts w:eastAsia="SimSun"/>
              </w:rPr>
              <w:t>50 мг</w:t>
            </w:r>
          </w:p>
        </w:tc>
        <w:tc>
          <w:tcPr>
            <w:tcW w:w="486" w:type="pct"/>
            <w:vAlign w:val="center"/>
          </w:tcPr>
          <w:p w14:paraId="66BEBF54" w14:textId="77777777" w:rsidR="00BE7F89" w:rsidRPr="00AC3044" w:rsidRDefault="00BE7F89" w:rsidP="005A428D">
            <w:pPr>
              <w:rPr>
                <w:rFonts w:eastAsia="SimSun"/>
              </w:rPr>
            </w:pPr>
            <w:r w:rsidRPr="00AC3044">
              <w:rPr>
                <w:rFonts w:eastAsia="SimSun"/>
              </w:rPr>
              <w:t>–</w:t>
            </w:r>
          </w:p>
        </w:tc>
        <w:tc>
          <w:tcPr>
            <w:tcW w:w="1370" w:type="pct"/>
            <w:vAlign w:val="center"/>
          </w:tcPr>
          <w:p w14:paraId="3EBEE8B6" w14:textId="77777777" w:rsidR="00BE7F89" w:rsidRPr="00AC3044" w:rsidRDefault="00BE7F89" w:rsidP="005A428D">
            <w:pPr>
              <w:rPr>
                <w:rFonts w:eastAsia="SimSun"/>
              </w:rPr>
            </w:pPr>
            <w:r w:rsidRPr="00AC3044">
              <w:rPr>
                <w:rFonts w:eastAsia="SimSun"/>
              </w:rPr>
              <w:t>В случае применения метотрексата в качестве профилактики РТПХ</w:t>
            </w:r>
          </w:p>
          <w:p w14:paraId="3CF256E0" w14:textId="77777777" w:rsidR="00BE7F89" w:rsidRPr="00AC3044" w:rsidRDefault="00BE7F89" w:rsidP="005A428D">
            <w:pPr>
              <w:rPr>
                <w:rFonts w:eastAsia="SimSun"/>
              </w:rPr>
            </w:pPr>
            <w:r w:rsidRPr="00AC3044">
              <w:rPr>
                <w:rFonts w:eastAsia="SimSun"/>
              </w:rPr>
              <w:t xml:space="preserve">+2, +4, +7, +12 дни </w:t>
            </w:r>
          </w:p>
        </w:tc>
        <w:tc>
          <w:tcPr>
            <w:tcW w:w="1229" w:type="pct"/>
            <w:vAlign w:val="center"/>
          </w:tcPr>
          <w:p w14:paraId="37FB912A" w14:textId="77777777" w:rsidR="00BE7F89" w:rsidRPr="00AC3044" w:rsidRDefault="00BE7F89" w:rsidP="005A428D">
            <w:pPr>
              <w:rPr>
                <w:rFonts w:eastAsia="SimSun"/>
              </w:rPr>
            </w:pPr>
            <w:r w:rsidRPr="00AC3044">
              <w:rPr>
                <w:rFonts w:eastAsia="SimSun"/>
              </w:rPr>
              <w:t xml:space="preserve">В/в, в 20 мл физ. р-ра  </w:t>
            </w:r>
          </w:p>
        </w:tc>
      </w:tr>
      <w:tr w:rsidR="00BE7F89" w:rsidRPr="00AC3044" w14:paraId="71521350" w14:textId="77777777" w:rsidTr="005A428D">
        <w:trPr>
          <w:trHeight w:val="20"/>
        </w:trPr>
        <w:tc>
          <w:tcPr>
            <w:tcW w:w="168" w:type="pct"/>
          </w:tcPr>
          <w:p w14:paraId="23183D28" w14:textId="77777777" w:rsidR="00BE7F89" w:rsidRPr="00AC3044" w:rsidRDefault="00BE7F89" w:rsidP="005A428D">
            <w:pPr>
              <w:rPr>
                <w:rFonts w:eastAsia="SimSun"/>
              </w:rPr>
            </w:pPr>
            <w:r w:rsidRPr="00AC3044">
              <w:rPr>
                <w:rFonts w:eastAsia="SimSun"/>
              </w:rPr>
              <w:t>3</w:t>
            </w:r>
          </w:p>
        </w:tc>
        <w:tc>
          <w:tcPr>
            <w:tcW w:w="1133" w:type="pct"/>
            <w:vAlign w:val="center"/>
          </w:tcPr>
          <w:p w14:paraId="73EEF095" w14:textId="77777777" w:rsidR="00BE7F89" w:rsidRPr="00AC3044" w:rsidRDefault="00BE7F89" w:rsidP="005A428D">
            <w:pPr>
              <w:rPr>
                <w:rFonts w:eastAsia="SimSun"/>
              </w:rPr>
            </w:pPr>
            <w:r w:rsidRPr="00AC3044">
              <w:rPr>
                <w:rFonts w:eastAsia="SimSun"/>
              </w:rPr>
              <w:t xml:space="preserve">Аллопуринол </w:t>
            </w:r>
          </w:p>
        </w:tc>
        <w:tc>
          <w:tcPr>
            <w:tcW w:w="614" w:type="pct"/>
            <w:vAlign w:val="center"/>
          </w:tcPr>
          <w:p w14:paraId="30908827" w14:textId="77777777" w:rsidR="00BE7F89" w:rsidRPr="00AC3044" w:rsidRDefault="00BE7F89" w:rsidP="005A428D">
            <w:pPr>
              <w:rPr>
                <w:rFonts w:eastAsia="SimSun"/>
              </w:rPr>
            </w:pPr>
            <w:r w:rsidRPr="00AC3044">
              <w:rPr>
                <w:rFonts w:eastAsia="SimSun"/>
              </w:rPr>
              <w:t>200 мг/м</w:t>
            </w:r>
            <w:r w:rsidRPr="00271D11">
              <w:rPr>
                <w:rFonts w:eastAsia="SimSun"/>
                <w:vertAlign w:val="superscript"/>
              </w:rPr>
              <w:t>2</w:t>
            </w:r>
            <w:r w:rsidRPr="00AC3044">
              <w:rPr>
                <w:rFonts w:eastAsia="SimSun"/>
              </w:rPr>
              <w:t xml:space="preserve"> </w:t>
            </w:r>
          </w:p>
        </w:tc>
        <w:tc>
          <w:tcPr>
            <w:tcW w:w="486" w:type="pct"/>
            <w:vAlign w:val="center"/>
          </w:tcPr>
          <w:p w14:paraId="33C41C1B" w14:textId="77777777" w:rsidR="00BE7F89" w:rsidRPr="00AC3044" w:rsidRDefault="00BE7F89" w:rsidP="005A428D">
            <w:pPr>
              <w:rPr>
                <w:rFonts w:eastAsia="SimSun"/>
              </w:rPr>
            </w:pPr>
            <w:r w:rsidRPr="00AC3044">
              <w:rPr>
                <w:rFonts w:eastAsia="SimSun"/>
              </w:rPr>
              <w:t>–</w:t>
            </w:r>
          </w:p>
        </w:tc>
        <w:tc>
          <w:tcPr>
            <w:tcW w:w="1370" w:type="pct"/>
            <w:vAlign w:val="center"/>
          </w:tcPr>
          <w:p w14:paraId="05770CC8" w14:textId="77777777" w:rsidR="00BE7F89" w:rsidRPr="00AC3044" w:rsidRDefault="00BE7F89" w:rsidP="005A428D">
            <w:pPr>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14:paraId="43320762" w14:textId="77777777" w:rsidR="00BE7F89" w:rsidRPr="00AC3044" w:rsidRDefault="00BE7F89" w:rsidP="005A428D">
            <w:pPr>
              <w:rPr>
                <w:rFonts w:eastAsia="SimSun"/>
              </w:rPr>
            </w:pPr>
            <w:r w:rsidRPr="00AC3044">
              <w:rPr>
                <w:rFonts w:eastAsia="SimSun"/>
              </w:rPr>
              <w:t>Внутрь, однократно или доза разделяется на 2 приема</w:t>
            </w:r>
          </w:p>
        </w:tc>
      </w:tr>
      <w:tr w:rsidR="00BE7F89" w:rsidRPr="00AC3044" w14:paraId="3496B21B" w14:textId="77777777" w:rsidTr="005A428D">
        <w:trPr>
          <w:trHeight w:val="20"/>
        </w:trPr>
        <w:tc>
          <w:tcPr>
            <w:tcW w:w="168" w:type="pct"/>
          </w:tcPr>
          <w:p w14:paraId="74BBE6A9" w14:textId="77777777" w:rsidR="00BE7F89" w:rsidRPr="00AC3044" w:rsidRDefault="00BE7F89" w:rsidP="005A428D">
            <w:pPr>
              <w:rPr>
                <w:rFonts w:eastAsia="SimSun"/>
              </w:rPr>
            </w:pPr>
            <w:r w:rsidRPr="00AC3044">
              <w:rPr>
                <w:rFonts w:eastAsia="SimSun"/>
              </w:rPr>
              <w:t>4</w:t>
            </w:r>
          </w:p>
        </w:tc>
        <w:tc>
          <w:tcPr>
            <w:tcW w:w="1133" w:type="pct"/>
            <w:vAlign w:val="center"/>
          </w:tcPr>
          <w:p w14:paraId="678CD24F" w14:textId="77777777" w:rsidR="00BE7F89" w:rsidRPr="00AC3044" w:rsidRDefault="00BE7F89" w:rsidP="005A428D">
            <w:pPr>
              <w:rPr>
                <w:rFonts w:eastAsia="SimSun"/>
              </w:rPr>
            </w:pPr>
            <w:r w:rsidRPr="00AC3044">
              <w:rPr>
                <w:rFonts w:eastAsia="SimSun"/>
              </w:rPr>
              <w:t xml:space="preserve">Аллопуринол </w:t>
            </w:r>
          </w:p>
        </w:tc>
        <w:tc>
          <w:tcPr>
            <w:tcW w:w="614" w:type="pct"/>
            <w:vAlign w:val="center"/>
          </w:tcPr>
          <w:p w14:paraId="206D16B7" w14:textId="77777777" w:rsidR="00BE7F89" w:rsidRPr="00AC3044" w:rsidRDefault="00BE7F89" w:rsidP="005A428D">
            <w:pPr>
              <w:rPr>
                <w:rFonts w:eastAsia="SimSun"/>
              </w:rPr>
            </w:pPr>
            <w:r w:rsidRPr="00AC3044">
              <w:rPr>
                <w:rFonts w:eastAsia="SimSun"/>
              </w:rPr>
              <w:t xml:space="preserve">300мг </w:t>
            </w:r>
          </w:p>
        </w:tc>
        <w:tc>
          <w:tcPr>
            <w:tcW w:w="486" w:type="pct"/>
            <w:vAlign w:val="center"/>
          </w:tcPr>
          <w:p w14:paraId="140D212E" w14:textId="77777777" w:rsidR="00BE7F89" w:rsidRPr="00AC3044" w:rsidRDefault="00BE7F89" w:rsidP="005A428D">
            <w:pPr>
              <w:rPr>
                <w:rFonts w:eastAsia="SimSun"/>
              </w:rPr>
            </w:pPr>
            <w:r w:rsidRPr="00AC3044">
              <w:rPr>
                <w:rFonts w:eastAsia="SimSun"/>
              </w:rPr>
              <w:t>–</w:t>
            </w:r>
          </w:p>
        </w:tc>
        <w:tc>
          <w:tcPr>
            <w:tcW w:w="1370" w:type="pct"/>
            <w:vAlign w:val="center"/>
          </w:tcPr>
          <w:p w14:paraId="56BEAC1D" w14:textId="77777777" w:rsidR="00BE7F89" w:rsidRPr="00AC3044" w:rsidRDefault="00BE7F89" w:rsidP="005A428D">
            <w:pPr>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14:paraId="6BDDBC89" w14:textId="77777777" w:rsidR="00BE7F89" w:rsidRPr="00AC3044" w:rsidRDefault="00BE7F89" w:rsidP="005A428D">
            <w:pPr>
              <w:rPr>
                <w:rFonts w:eastAsia="SimSun"/>
              </w:rPr>
            </w:pPr>
            <w:r w:rsidRPr="00AC3044">
              <w:rPr>
                <w:rFonts w:eastAsia="SimSun"/>
              </w:rPr>
              <w:t>Внутрь, однократно или доза разделяется на 2 приема</w:t>
            </w:r>
          </w:p>
        </w:tc>
      </w:tr>
      <w:tr w:rsidR="00BE7F89" w:rsidRPr="00AC3044" w14:paraId="06A0D6BF" w14:textId="77777777" w:rsidTr="005A428D">
        <w:trPr>
          <w:trHeight w:val="20"/>
        </w:trPr>
        <w:tc>
          <w:tcPr>
            <w:tcW w:w="168" w:type="pct"/>
          </w:tcPr>
          <w:p w14:paraId="143B83A9" w14:textId="77777777" w:rsidR="00BE7F89" w:rsidRPr="00AC3044" w:rsidRDefault="00BE7F89" w:rsidP="005A428D">
            <w:pPr>
              <w:rPr>
                <w:rFonts w:eastAsia="SimSun"/>
              </w:rPr>
            </w:pPr>
            <w:r w:rsidRPr="00AC3044">
              <w:rPr>
                <w:rFonts w:eastAsia="SimSun"/>
              </w:rPr>
              <w:t>5</w:t>
            </w:r>
          </w:p>
        </w:tc>
        <w:tc>
          <w:tcPr>
            <w:tcW w:w="1133" w:type="pct"/>
            <w:vAlign w:val="center"/>
          </w:tcPr>
          <w:p w14:paraId="4A36B9AB" w14:textId="77777777" w:rsidR="00BE7F89" w:rsidRPr="00AC3044" w:rsidRDefault="00BE7F89" w:rsidP="005A428D">
            <w:pPr>
              <w:rPr>
                <w:rFonts w:eastAsia="SimSun"/>
              </w:rPr>
            </w:pPr>
            <w:r w:rsidRPr="00AC3044">
              <w:rPr>
                <w:rFonts w:eastAsia="SimSun"/>
              </w:rPr>
              <w:t>Урсодезоксихолевая кислота (рекомендуется)</w:t>
            </w:r>
          </w:p>
        </w:tc>
        <w:tc>
          <w:tcPr>
            <w:tcW w:w="614" w:type="pct"/>
            <w:vAlign w:val="center"/>
          </w:tcPr>
          <w:p w14:paraId="307DB5B4" w14:textId="77777777" w:rsidR="00BE7F89" w:rsidRPr="00AC3044" w:rsidRDefault="00BE7F89" w:rsidP="005A428D">
            <w:pPr>
              <w:rPr>
                <w:rFonts w:eastAsia="SimSun"/>
              </w:rPr>
            </w:pPr>
            <w:r w:rsidRPr="00AC3044">
              <w:rPr>
                <w:rFonts w:eastAsia="SimSun"/>
              </w:rPr>
              <w:t>12 мг/кг</w:t>
            </w:r>
          </w:p>
        </w:tc>
        <w:tc>
          <w:tcPr>
            <w:tcW w:w="486" w:type="pct"/>
            <w:vAlign w:val="center"/>
          </w:tcPr>
          <w:p w14:paraId="61B09966" w14:textId="77777777" w:rsidR="00BE7F89" w:rsidRPr="00AC3044" w:rsidRDefault="00BE7F89" w:rsidP="005A428D">
            <w:pPr>
              <w:rPr>
                <w:rFonts w:eastAsia="SimSun"/>
              </w:rPr>
            </w:pPr>
            <w:r w:rsidRPr="00AC3044">
              <w:rPr>
                <w:rFonts w:eastAsia="SimSun"/>
              </w:rPr>
              <w:t>–</w:t>
            </w:r>
          </w:p>
        </w:tc>
        <w:tc>
          <w:tcPr>
            <w:tcW w:w="1370" w:type="pct"/>
            <w:vAlign w:val="center"/>
          </w:tcPr>
          <w:p w14:paraId="4EF9C42E" w14:textId="77777777" w:rsidR="00BE7F89" w:rsidRPr="00AC3044" w:rsidRDefault="00BE7F89" w:rsidP="005A428D">
            <w:pPr>
              <w:rPr>
                <w:rFonts w:eastAsia="SimSun"/>
              </w:rPr>
            </w:pPr>
            <w:r w:rsidRPr="00AC3044">
              <w:rPr>
                <w:rFonts w:eastAsia="SimSun"/>
              </w:rPr>
              <w:t>C –6 по +180 день</w:t>
            </w:r>
          </w:p>
        </w:tc>
        <w:tc>
          <w:tcPr>
            <w:tcW w:w="1229" w:type="pct"/>
            <w:vAlign w:val="center"/>
          </w:tcPr>
          <w:p w14:paraId="5EE808A7" w14:textId="77777777" w:rsidR="00BE7F89" w:rsidRPr="00AC3044" w:rsidRDefault="00BE7F89" w:rsidP="005A428D">
            <w:pPr>
              <w:rPr>
                <w:rFonts w:eastAsia="SimSun"/>
              </w:rPr>
            </w:pPr>
            <w:r w:rsidRPr="00AC3044">
              <w:rPr>
                <w:rFonts w:eastAsia="SimSun"/>
              </w:rPr>
              <w:t>Внутрь, суточная доза разделяется на 1–2 приема (вечер или день и вечер)</w:t>
            </w:r>
          </w:p>
        </w:tc>
      </w:tr>
      <w:tr w:rsidR="00BE7F89" w:rsidRPr="00AC3044" w14:paraId="26E426F1" w14:textId="77777777" w:rsidTr="005A428D">
        <w:trPr>
          <w:trHeight w:val="20"/>
        </w:trPr>
        <w:tc>
          <w:tcPr>
            <w:tcW w:w="168" w:type="pct"/>
          </w:tcPr>
          <w:p w14:paraId="635B1C53" w14:textId="77777777" w:rsidR="00BE7F89" w:rsidRPr="00AC3044" w:rsidRDefault="00BE7F89" w:rsidP="005A428D">
            <w:pPr>
              <w:rPr>
                <w:rFonts w:eastAsia="SimSun"/>
              </w:rPr>
            </w:pPr>
            <w:r w:rsidRPr="00AC3044">
              <w:rPr>
                <w:rFonts w:eastAsia="SimSun"/>
              </w:rPr>
              <w:t>6</w:t>
            </w:r>
          </w:p>
        </w:tc>
        <w:tc>
          <w:tcPr>
            <w:tcW w:w="1133" w:type="pct"/>
            <w:vAlign w:val="center"/>
          </w:tcPr>
          <w:p w14:paraId="395A8C2C" w14:textId="77777777" w:rsidR="00BE7F89" w:rsidRPr="00AC3044" w:rsidRDefault="00BE7F89" w:rsidP="005A428D">
            <w:pPr>
              <w:rPr>
                <w:rFonts w:eastAsia="SimSun"/>
              </w:rPr>
            </w:pPr>
            <w:r w:rsidRPr="00AC3044">
              <w:rPr>
                <w:rFonts w:eastAsia="SimSun"/>
              </w:rPr>
              <w:t xml:space="preserve">Метилпреднизолон </w:t>
            </w:r>
          </w:p>
        </w:tc>
        <w:tc>
          <w:tcPr>
            <w:tcW w:w="3699" w:type="pct"/>
            <w:gridSpan w:val="4"/>
            <w:vAlign w:val="center"/>
          </w:tcPr>
          <w:p w14:paraId="61C03CAA" w14:textId="77777777" w:rsidR="00BE7F89" w:rsidRPr="00AC3044" w:rsidRDefault="00BE7F89" w:rsidP="005A428D">
            <w:pPr>
              <w:rPr>
                <w:rFonts w:eastAsia="SimSun"/>
              </w:rPr>
            </w:pPr>
            <w:r w:rsidRPr="00AC3044">
              <w:rPr>
                <w:rFonts w:eastAsia="SimSun"/>
              </w:rPr>
              <w:t>см. «Инфузия АТГ»</w:t>
            </w:r>
          </w:p>
        </w:tc>
      </w:tr>
      <w:tr w:rsidR="00BE7F89" w:rsidRPr="00AC3044" w14:paraId="4A7B1BC5" w14:textId="77777777" w:rsidTr="005A428D">
        <w:trPr>
          <w:trHeight w:val="20"/>
        </w:trPr>
        <w:tc>
          <w:tcPr>
            <w:tcW w:w="168" w:type="pct"/>
          </w:tcPr>
          <w:p w14:paraId="19B6B595" w14:textId="77777777" w:rsidR="00BE7F89" w:rsidRPr="00AC3044" w:rsidRDefault="00BE7F89" w:rsidP="005A428D">
            <w:pPr>
              <w:rPr>
                <w:rFonts w:eastAsia="SimSun"/>
              </w:rPr>
            </w:pPr>
            <w:r w:rsidRPr="00AC3044">
              <w:rPr>
                <w:rFonts w:eastAsia="SimSun"/>
              </w:rPr>
              <w:t>7</w:t>
            </w:r>
          </w:p>
        </w:tc>
        <w:tc>
          <w:tcPr>
            <w:tcW w:w="1133" w:type="pct"/>
            <w:vAlign w:val="center"/>
          </w:tcPr>
          <w:p w14:paraId="1160DA4A" w14:textId="77777777" w:rsidR="00BE7F89" w:rsidRPr="00AC3044" w:rsidRDefault="00BE7F89" w:rsidP="005A428D">
            <w:pPr>
              <w:rPr>
                <w:rFonts w:eastAsia="SimSun"/>
              </w:rPr>
            </w:pPr>
            <w:r w:rsidRPr="00AC3044">
              <w:rPr>
                <w:rFonts w:eastAsia="SimSun"/>
              </w:rPr>
              <w:t>Преднизолон</w:t>
            </w:r>
          </w:p>
        </w:tc>
        <w:tc>
          <w:tcPr>
            <w:tcW w:w="3699" w:type="pct"/>
            <w:gridSpan w:val="4"/>
            <w:vAlign w:val="center"/>
          </w:tcPr>
          <w:p w14:paraId="4BA31576" w14:textId="77777777" w:rsidR="00BE7F89" w:rsidRPr="00AC3044" w:rsidRDefault="00BE7F89" w:rsidP="005A428D">
            <w:pPr>
              <w:rPr>
                <w:rFonts w:eastAsia="SimSun"/>
              </w:rPr>
            </w:pPr>
            <w:r w:rsidRPr="00AC3044">
              <w:rPr>
                <w:rFonts w:eastAsia="SimSun"/>
              </w:rPr>
              <w:t>см. «Инфузия АТГ»</w:t>
            </w:r>
          </w:p>
        </w:tc>
      </w:tr>
    </w:tbl>
    <w:p w14:paraId="6FE52E7A" w14:textId="77777777" w:rsidR="00BE7F89" w:rsidRPr="00C07B2E" w:rsidRDefault="00BE7F89" w:rsidP="00BE7F89">
      <w:pPr>
        <w:rPr>
          <w:rFonts w:eastAsia="SimSun"/>
        </w:rPr>
      </w:pPr>
    </w:p>
    <w:p w14:paraId="4634FD53" w14:textId="77777777" w:rsidR="00BE7F89" w:rsidRPr="00AC3044" w:rsidRDefault="00BE7F89" w:rsidP="00BE7F89">
      <w:pPr>
        <w:rPr>
          <w:rFonts w:eastAsia="SimSun"/>
        </w:rPr>
      </w:pPr>
      <w:r w:rsidRPr="00AC3044">
        <w:rPr>
          <w:rFonts w:eastAsia="SimSun"/>
        </w:rPr>
        <w:t xml:space="preserve"> </w:t>
      </w:r>
    </w:p>
    <w:p w14:paraId="79E72E7E" w14:textId="77777777" w:rsidR="00BE7F89" w:rsidRPr="00AC3044" w:rsidRDefault="00BE7F89" w:rsidP="00BE7F89">
      <w:pPr>
        <w:rPr>
          <w:rFonts w:eastAsia="SimSun"/>
        </w:rPr>
      </w:pPr>
    </w:p>
    <w:p w14:paraId="43A68A2C" w14:textId="77777777" w:rsidR="003F45DB" w:rsidRPr="003F45DB" w:rsidRDefault="003F45DB" w:rsidP="003F45DB"/>
    <w:p w14:paraId="18500A97" w14:textId="77777777" w:rsidR="007829FC" w:rsidRPr="000078EC" w:rsidRDefault="007829FC" w:rsidP="005D3BBD"/>
    <w:p w14:paraId="04BDB1A9" w14:textId="77777777" w:rsidR="004D7374" w:rsidRPr="00DB46A1" w:rsidRDefault="004D7374" w:rsidP="005D3BBD">
      <w:pPr>
        <w:pStyle w:val="1"/>
        <w:spacing w:before="0" w:after="0"/>
        <w:rPr>
          <w:sz w:val="24"/>
          <w:szCs w:val="24"/>
        </w:rPr>
      </w:pPr>
      <w:bookmarkStart w:id="234" w:name="_Toc520213132"/>
      <w:bookmarkStart w:id="235" w:name="_Toc23601742"/>
      <w:bookmarkStart w:id="236" w:name="_Toc65068834"/>
      <w:r w:rsidRPr="00DB46A1">
        <w:rPr>
          <w:sz w:val="24"/>
          <w:szCs w:val="24"/>
        </w:rPr>
        <w:t xml:space="preserve">Приложение Б. Алгоритмы </w:t>
      </w:r>
      <w:bookmarkEnd w:id="234"/>
      <w:r w:rsidR="002448A6" w:rsidRPr="00DB46A1">
        <w:rPr>
          <w:sz w:val="24"/>
          <w:szCs w:val="24"/>
        </w:rPr>
        <w:t>действий врача</w:t>
      </w:r>
      <w:bookmarkEnd w:id="235"/>
      <w:bookmarkEnd w:id="236"/>
    </w:p>
    <w:p w14:paraId="7C554C4D" w14:textId="77777777" w:rsidR="004D7374" w:rsidRPr="00CA1B30" w:rsidRDefault="00D73887" w:rsidP="005D3BBD">
      <w:pPr>
        <w:pStyle w:val="2"/>
        <w:spacing w:before="0"/>
      </w:pPr>
      <w:bookmarkStart w:id="237" w:name="_Toc23601743"/>
      <w:bookmarkStart w:id="238" w:name="_Toc65068835"/>
      <w:r>
        <w:t xml:space="preserve">Приложение </w:t>
      </w:r>
      <w:r w:rsidR="00C87193">
        <w:t>Б1</w:t>
      </w:r>
      <w:r w:rsidR="00F07AA9">
        <w:t>.</w:t>
      </w:r>
      <w:r w:rsidR="00127E46">
        <w:t xml:space="preserve"> </w:t>
      </w:r>
      <w:r w:rsidR="004D7374" w:rsidRPr="0072780B">
        <w:t>Алгоритм выбора первой линии терапии пациента с ХЛЛ</w:t>
      </w:r>
      <w:r w:rsidR="00EB3C81" w:rsidRPr="0072780B">
        <w:t>/ЛМЛ</w:t>
      </w:r>
      <w:bookmarkEnd w:id="237"/>
      <w:bookmarkEnd w:id="238"/>
    </w:p>
    <w:p w14:paraId="60584314" w14:textId="3E4D83E3" w:rsidR="00437AD9" w:rsidRDefault="00B77F27" w:rsidP="004E3A70">
      <w:r>
        <w:rPr>
          <w:noProof/>
          <w:sz w:val="16"/>
          <w:szCs w:val="16"/>
          <w:lang w:eastAsia="ru-RU"/>
        </w:rPr>
        <w:drawing>
          <wp:inline distT="0" distB="0" distL="0" distR="0" wp14:anchorId="3EC975C1" wp14:editId="398481BE">
            <wp:extent cx="5940425" cy="34429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6">
                      <a:extLst>
                        <a:ext uri="{28A0092B-C50C-407E-A947-70E740481C1C}">
                          <a14:useLocalDpi xmlns:a14="http://schemas.microsoft.com/office/drawing/2010/main" val="0"/>
                        </a:ext>
                      </a:extLst>
                    </a:blip>
                    <a:stretch>
                      <a:fillRect/>
                    </a:stretch>
                  </pic:blipFill>
                  <pic:spPr>
                    <a:xfrm>
                      <a:off x="0" y="0"/>
                      <a:ext cx="5940425" cy="3442970"/>
                    </a:xfrm>
                    <a:prstGeom prst="rect">
                      <a:avLst/>
                    </a:prstGeom>
                  </pic:spPr>
                </pic:pic>
              </a:graphicData>
            </a:graphic>
          </wp:inline>
        </w:drawing>
      </w:r>
    </w:p>
    <w:p w14:paraId="3512526C" w14:textId="77777777" w:rsidR="00F07AA9" w:rsidRDefault="00F07AA9" w:rsidP="005D3BBD">
      <w:pPr>
        <w:pStyle w:val="2"/>
        <w:spacing w:before="0"/>
      </w:pPr>
      <w:r>
        <w:br w:type="page"/>
      </w:r>
    </w:p>
    <w:p w14:paraId="1AF0D240" w14:textId="77777777" w:rsidR="004D7374" w:rsidRPr="00CA1B30" w:rsidRDefault="00D73887" w:rsidP="005D3BBD">
      <w:pPr>
        <w:pStyle w:val="2"/>
        <w:spacing w:before="0"/>
      </w:pPr>
      <w:bookmarkStart w:id="239" w:name="_Toc23601744"/>
      <w:bookmarkStart w:id="240" w:name="_Toc65068836"/>
      <w:r>
        <w:t xml:space="preserve">Приложение </w:t>
      </w:r>
      <w:r w:rsidR="00C87193" w:rsidRPr="00D73887">
        <w:t>Б2</w:t>
      </w:r>
      <w:r w:rsidR="00127E46">
        <w:t>.</w:t>
      </w:r>
      <w:r w:rsidR="00AA4B03">
        <w:t xml:space="preserve"> </w:t>
      </w:r>
      <w:r w:rsidR="004D7374" w:rsidRPr="00C87193">
        <w:t>А</w:t>
      </w:r>
      <w:r w:rsidR="004D7374" w:rsidRPr="00CA1B30">
        <w:t>лгоритм выбора терапии рецидива ХЛЛ</w:t>
      </w:r>
      <w:r w:rsidR="00CA1B30" w:rsidRPr="00CA1B30">
        <w:t>/ЛМЛ</w:t>
      </w:r>
      <w:bookmarkEnd w:id="239"/>
      <w:bookmarkEnd w:id="240"/>
    </w:p>
    <w:p w14:paraId="23BEB300" w14:textId="326E38EF" w:rsidR="004D7374" w:rsidRDefault="004D7374" w:rsidP="004E3A70"/>
    <w:p w14:paraId="498B04D6" w14:textId="01C1252F" w:rsidR="00D3326D" w:rsidRDefault="00D3326D" w:rsidP="00830EF8">
      <w:r>
        <w:rPr>
          <w:noProof/>
          <w:lang w:eastAsia="ru-RU"/>
        </w:rPr>
        <w:drawing>
          <wp:inline distT="0" distB="0" distL="0" distR="0" wp14:anchorId="69BC2EF3" wp14:editId="23A31D4B">
            <wp:extent cx="4978400" cy="2540000"/>
            <wp:effectExtent l="0" t="0" r="0" b="0"/>
            <wp:docPr id="11" name="Рисунок 11"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Изображение выглядит как текст, карта&#10;&#10;Автоматически созданное описание"/>
                    <pic:cNvPicPr/>
                  </pic:nvPicPr>
                  <pic:blipFill>
                    <a:blip r:embed="rId17">
                      <a:extLst>
                        <a:ext uri="{28A0092B-C50C-407E-A947-70E740481C1C}">
                          <a14:useLocalDpi xmlns:a14="http://schemas.microsoft.com/office/drawing/2010/main" val="0"/>
                        </a:ext>
                      </a:extLst>
                    </a:blip>
                    <a:stretch>
                      <a:fillRect/>
                    </a:stretch>
                  </pic:blipFill>
                  <pic:spPr>
                    <a:xfrm>
                      <a:off x="0" y="0"/>
                      <a:ext cx="4978400" cy="2540000"/>
                    </a:xfrm>
                    <a:prstGeom prst="rect">
                      <a:avLst/>
                    </a:prstGeom>
                  </pic:spPr>
                </pic:pic>
              </a:graphicData>
            </a:graphic>
          </wp:inline>
        </w:drawing>
      </w:r>
    </w:p>
    <w:p w14:paraId="3A29C0BE" w14:textId="77777777" w:rsidR="00F07AA9" w:rsidRDefault="00F07AA9" w:rsidP="005D3BBD">
      <w:pPr>
        <w:pStyle w:val="1"/>
        <w:spacing w:before="0" w:after="0"/>
      </w:pPr>
      <w:bookmarkStart w:id="241" w:name="_Toc520213133"/>
      <w:r>
        <w:br w:type="page"/>
      </w:r>
    </w:p>
    <w:p w14:paraId="6ED40526" w14:textId="77777777" w:rsidR="005A463A" w:rsidRPr="00DB46A1" w:rsidRDefault="005A463A" w:rsidP="005D3BBD">
      <w:pPr>
        <w:pStyle w:val="1"/>
        <w:spacing w:before="0" w:after="0"/>
        <w:rPr>
          <w:sz w:val="24"/>
          <w:szCs w:val="24"/>
        </w:rPr>
      </w:pPr>
      <w:bookmarkStart w:id="242" w:name="_Toc65068837"/>
      <w:bookmarkStart w:id="243" w:name="_Toc23601746"/>
      <w:bookmarkEnd w:id="241"/>
      <w:r w:rsidRPr="00DB46A1">
        <w:rPr>
          <w:sz w:val="24"/>
          <w:szCs w:val="24"/>
        </w:rPr>
        <w:t>Приложение В. Информация для пациентов</w:t>
      </w:r>
      <w:bookmarkEnd w:id="242"/>
    </w:p>
    <w:p w14:paraId="56D6719F" w14:textId="77777777" w:rsidR="005A463A" w:rsidRPr="0072780B" w:rsidRDefault="005A463A" w:rsidP="004E3A70">
      <w:pPr>
        <w:ind w:firstLine="709"/>
      </w:pPr>
      <w:r>
        <w:t xml:space="preserve">Хронический лимфоцитарный лейкоз (ХЛЛ) представляет собой онкологическое заболевание, поражающее клетки крови и костного мозга. При хроническом ХЛЛ костный мозг вырабатывает патологически измененные, не способные выполнять свои функции лимфоциты. </w:t>
      </w:r>
      <w:r w:rsidRPr="0072780B">
        <w:t xml:space="preserve">Они накапливаются в крови и различных органах и вытесняют нормальные клетки крови. Слово </w:t>
      </w:r>
      <w:r>
        <w:t>«</w:t>
      </w:r>
      <w:r w:rsidRPr="0072780B">
        <w:t>хронический</w:t>
      </w:r>
      <w:r>
        <w:t>»</w:t>
      </w:r>
      <w:r w:rsidRPr="0072780B">
        <w:t xml:space="preserve"> в названии указывает, что это заболевание протекает доброкачественно.</w:t>
      </w:r>
    </w:p>
    <w:p w14:paraId="7BD1D379" w14:textId="77777777" w:rsidR="005A463A" w:rsidRDefault="005A463A" w:rsidP="00830EF8">
      <w:pPr>
        <w:ind w:firstLine="709"/>
      </w:pPr>
      <w:r w:rsidRPr="0072780B">
        <w:t xml:space="preserve">Лимфомой из малых лимфоцитов (ЛМЛ) называется особое проявление хронического ХЛЛ, при котором патологические лимфоциты накапливаются не в крови или костном мозге, а в </w:t>
      </w:r>
      <w:r>
        <w:rPr>
          <w:spacing w:val="-2"/>
        </w:rPr>
        <w:t xml:space="preserve">лимфатических </w:t>
      </w:r>
      <w:r w:rsidRPr="000F2499">
        <w:rPr>
          <w:spacing w:val="-2"/>
        </w:rPr>
        <w:t>узл</w:t>
      </w:r>
      <w:r>
        <w:rPr>
          <w:spacing w:val="-2"/>
        </w:rPr>
        <w:t>ах</w:t>
      </w:r>
      <w:r>
        <w:t>.</w:t>
      </w:r>
    </w:p>
    <w:p w14:paraId="3BAACCAE" w14:textId="77777777" w:rsidR="005A463A" w:rsidRDefault="005A463A" w:rsidP="00830EF8">
      <w:pPr>
        <w:ind w:firstLine="709"/>
      </w:pPr>
      <w:r>
        <w:t>Еще 10 лет назад считалось, что ХЛЛ/ЛМЛ заболевают в основном пожилые люди. Однако по мере улучшения диагностики оказалось, что это заболевание может возникать и у молодых людей (40–50 лет), причем в этом возрасте оно протекает менее благоприятно.</w:t>
      </w:r>
    </w:p>
    <w:p w14:paraId="227B15A4" w14:textId="77777777" w:rsidR="005A463A" w:rsidRDefault="005A463A" w:rsidP="00E92E00">
      <w:pPr>
        <w:ind w:firstLine="709"/>
      </w:pPr>
      <w:r>
        <w:t xml:space="preserve">Врач может заподозрить ХЛЛ/ЛМЛ, опираясь на Ваши жалобы и обнаружив соответствующие симптомы при осмотре. В этом случае будет необходимо пройти ряд обследований, включая анализ крови и костного мозга. При ХЛЛ самый важный анализ – это анализ крови, без него диагноз не ставится. В анализе крови выявляется увеличение числа лимфоцитов. Диагноз обязательно подтверждается специальным исследованием – иммунофенотипированием лимфоцитов. Могут понадобиться и другие уточняющие диагноз исследования. При ЛМЛ диагноз ставится по результатам гистологического и иммуногистохимического исследования пораженного </w:t>
      </w:r>
      <w:r>
        <w:rPr>
          <w:spacing w:val="-2"/>
        </w:rPr>
        <w:t xml:space="preserve">лимфатического </w:t>
      </w:r>
      <w:r w:rsidRPr="000F2499">
        <w:rPr>
          <w:spacing w:val="-2"/>
        </w:rPr>
        <w:t>узл</w:t>
      </w:r>
      <w:r>
        <w:rPr>
          <w:spacing w:val="-2"/>
        </w:rPr>
        <w:t>а</w:t>
      </w:r>
      <w:r>
        <w:t>.</w:t>
      </w:r>
    </w:p>
    <w:p w14:paraId="66F9F3AA" w14:textId="77777777" w:rsidR="005A463A" w:rsidRDefault="005A463A" w:rsidP="00E92E00">
      <w:pPr>
        <w:ind w:firstLine="709"/>
      </w:pPr>
      <w:r>
        <w:t>К сожалению, на сегодняшний день ХЛЛ/ЛМЛ неизлечим. Однако у некоторых пациентов необходимость в лечении не возникает никогда – ХЛЛ/ЛМЛ может оставаться в стабильном состоянии в течение многих лет и даже десятилетий. Было проведено много исследований, в которых сравнивалось выжидательное наблюдение и раннее начало терапии (сразу после установления диагноза). Оказалось, что лечение на ранних этапах никакого преимущества не дает, но вызывает токсические эффекты. Поэтому тактика ведения ХЛЛ/ЛМЛ выстраивается с учетом течения этой болезни – лечение применяют по мере необходимости, поскольку оно само по себе небезопасно, и тактика выжидательного наблюдения остается стандартом для многих пациентов.</w:t>
      </w:r>
    </w:p>
    <w:p w14:paraId="1E05BEB7" w14:textId="77777777" w:rsidR="005A463A" w:rsidRDefault="005A463A" w:rsidP="00B04401">
      <w:pPr>
        <w:ind w:firstLine="709"/>
      </w:pPr>
      <w:r>
        <w:t xml:space="preserve">Если имеются четкие признаки прогрессирования заболевания – устойчивый рост лимфоцитоза, увеличение </w:t>
      </w:r>
      <w:r>
        <w:rPr>
          <w:spacing w:val="-2"/>
        </w:rPr>
        <w:t xml:space="preserve">лимфатических </w:t>
      </w:r>
      <w:r w:rsidRPr="000F2499">
        <w:rPr>
          <w:spacing w:val="-2"/>
        </w:rPr>
        <w:t>узл</w:t>
      </w:r>
      <w:r>
        <w:rPr>
          <w:spacing w:val="-2"/>
        </w:rPr>
        <w:t>ов</w:t>
      </w:r>
      <w:r>
        <w:t>, селезенки, появление анемии и тромбоцитопении, врач предложит определенный курс лечения.</w:t>
      </w:r>
    </w:p>
    <w:p w14:paraId="5D7232EB" w14:textId="77777777" w:rsidR="005A463A" w:rsidRDefault="005A463A" w:rsidP="00B04401">
      <w:pPr>
        <w:ind w:firstLine="709"/>
      </w:pPr>
    </w:p>
    <w:p w14:paraId="0118434E" w14:textId="77777777" w:rsidR="005A463A" w:rsidRDefault="005A463A" w:rsidP="00B04401">
      <w:pPr>
        <w:ind w:firstLine="709"/>
      </w:pPr>
      <w:r>
        <w:t>Выбирая лечение, доктор учитывает:</w:t>
      </w:r>
    </w:p>
    <w:p w14:paraId="1ADACA53" w14:textId="77777777" w:rsidR="005A463A" w:rsidRDefault="005A463A" w:rsidP="00B04401">
      <w:pPr>
        <w:ind w:firstLine="709"/>
      </w:pPr>
      <w:r>
        <w:t>•</w:t>
      </w:r>
      <w:r>
        <w:tab/>
        <w:t>состояние болезни (клиническую картину и прогностические факторы);</w:t>
      </w:r>
    </w:p>
    <w:p w14:paraId="56909477" w14:textId="77777777" w:rsidR="005A463A" w:rsidRDefault="005A463A" w:rsidP="003F5F47">
      <w:pPr>
        <w:ind w:firstLine="709"/>
      </w:pPr>
      <w:r>
        <w:t>•</w:t>
      </w:r>
      <w:r>
        <w:tab/>
        <w:t>состояние пациента (возраст, сопутствующие заболевания);</w:t>
      </w:r>
    </w:p>
    <w:p w14:paraId="039C750F" w14:textId="77777777" w:rsidR="005A463A" w:rsidRDefault="005A463A" w:rsidP="003F5F47">
      <w:pPr>
        <w:ind w:firstLine="709"/>
      </w:pPr>
      <w:r>
        <w:t>•</w:t>
      </w:r>
      <w:r>
        <w:tab/>
        <w:t>какое лечение проводилось раньше и когда наступил рецидив.</w:t>
      </w:r>
    </w:p>
    <w:p w14:paraId="244377C0" w14:textId="77777777" w:rsidR="005A463A" w:rsidRDefault="005A463A" w:rsidP="003F5F47">
      <w:r>
        <w:t xml:space="preserve">В результате у большинства пациентов заболевание удается эффективно контролировать современными лекарствами. </w:t>
      </w:r>
    </w:p>
    <w:p w14:paraId="4B55B62C" w14:textId="77777777" w:rsidR="00457002" w:rsidRPr="00DB46A1" w:rsidRDefault="005A463A" w:rsidP="005D3BBD">
      <w:pPr>
        <w:pStyle w:val="aff0"/>
        <w:spacing w:before="0" w:after="0"/>
        <w:rPr>
          <w:rFonts w:ascii="Times New Roman" w:hAnsi="Times New Roman"/>
          <w:sz w:val="24"/>
          <w:szCs w:val="24"/>
        </w:rPr>
      </w:pPr>
      <w:r>
        <w:br w:type="page"/>
      </w:r>
      <w:bookmarkStart w:id="244" w:name="_Toc65068838"/>
      <w:r w:rsidR="00457002" w:rsidRPr="00DB46A1">
        <w:rPr>
          <w:rFonts w:ascii="Times New Roman" w:hAnsi="Times New Roman"/>
          <w:sz w:val="24"/>
          <w:szCs w:val="24"/>
        </w:rPr>
        <w:t xml:space="preserve">Приложение Г. Шкалы оценки, вопросники </w:t>
      </w:r>
      <w:r w:rsidR="00015858" w:rsidRPr="00DB46A1">
        <w:rPr>
          <w:rFonts w:ascii="Times New Roman" w:hAnsi="Times New Roman"/>
          <w:sz w:val="24"/>
          <w:szCs w:val="24"/>
        </w:rPr>
        <w:br/>
      </w:r>
      <w:r w:rsidR="00457002" w:rsidRPr="00DB46A1">
        <w:rPr>
          <w:rFonts w:ascii="Times New Roman" w:hAnsi="Times New Roman"/>
          <w:sz w:val="24"/>
          <w:szCs w:val="24"/>
        </w:rPr>
        <w:t>и другие оценочные инструменты состояния пациента, приведенные в клинических рекомендациях</w:t>
      </w:r>
      <w:bookmarkEnd w:id="243"/>
      <w:bookmarkEnd w:id="244"/>
    </w:p>
    <w:p w14:paraId="323AA361" w14:textId="77777777" w:rsidR="00457002" w:rsidRDefault="00457002" w:rsidP="005D3BBD">
      <w:pPr>
        <w:autoSpaceDE w:val="0"/>
        <w:autoSpaceDN w:val="0"/>
        <w:adjustRightInd w:val="0"/>
        <w:snapToGrid w:val="0"/>
        <w:jc w:val="left"/>
      </w:pPr>
    </w:p>
    <w:p w14:paraId="0E9AA193" w14:textId="77777777" w:rsidR="00B93BEE" w:rsidRPr="00D73887" w:rsidRDefault="00B93BEE" w:rsidP="005D3BBD">
      <w:pPr>
        <w:pStyle w:val="2"/>
        <w:spacing w:before="0"/>
      </w:pPr>
      <w:bookmarkStart w:id="245" w:name="_Toc65068839"/>
      <w:bookmarkStart w:id="246" w:name="_Toc23601747"/>
      <w:r>
        <w:t xml:space="preserve">Приложение </w:t>
      </w:r>
      <w:r w:rsidRPr="00D73887">
        <w:t>Г</w:t>
      </w:r>
      <w:r w:rsidR="00145A85">
        <w:t>1</w:t>
      </w:r>
      <w:r>
        <w:t>.</w:t>
      </w:r>
      <w:r w:rsidRPr="00D73887">
        <w:t xml:space="preserve"> Шкала оценки общего состояния пациента </w:t>
      </w:r>
      <w:r w:rsidRPr="00D73887">
        <w:rPr>
          <w:lang w:val="en-US"/>
        </w:rPr>
        <w:t>ECOG</w:t>
      </w:r>
      <w:bookmarkEnd w:id="245"/>
    </w:p>
    <w:p w14:paraId="5D353601" w14:textId="6DBA3606" w:rsidR="00B93BEE" w:rsidRPr="005A463A" w:rsidRDefault="00B93BEE" w:rsidP="004E3A70">
      <w:pPr>
        <w:ind w:firstLine="709"/>
      </w:pPr>
      <w:r>
        <w:t xml:space="preserve">Клиническая оценка общего состояния пациента с ХЛЛ/ЛМЛ проводится по шкале, разработанной Восточной объединенной онкологической группой (Eastern Cooperative Oncology Group) </w:t>
      </w:r>
      <w:r w:rsidR="000B0AC3">
        <w:fldChar w:fldCharType="begin" w:fldLock="1"/>
      </w:r>
      <w:r w:rsidR="00BE7F89">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[93]","plainTextFormattedCitation":"[93]","previouslyFormattedCitation":"[92]"},"properties":{"noteIndex":0},"schema":"https://github.com/citation-style-language/schema/raw/master/csl-citation.json"}</w:instrText>
      </w:r>
      <w:r w:rsidR="000B0AC3">
        <w:fldChar w:fldCharType="separate"/>
      </w:r>
      <w:r w:rsidR="00BE7F89" w:rsidRPr="00BE7F89">
        <w:rPr>
          <w:noProof/>
        </w:rPr>
        <w:t>[93]</w:t>
      </w:r>
      <w:r w:rsidR="000B0AC3">
        <w:fldChar w:fldCharType="end"/>
      </w:r>
      <w:bookmarkEnd w:id="246"/>
      <w:r w:rsidR="00953098" w:rsidRPr="005A463A">
        <w:t>.</w:t>
      </w:r>
    </w:p>
    <w:p w14:paraId="5D65A7A4" w14:textId="77777777" w:rsidR="00953098" w:rsidRDefault="00953098" w:rsidP="00830EF8">
      <w:pPr>
        <w:rPr>
          <w:lang w:val="en-US"/>
        </w:rPr>
      </w:pPr>
      <w:bookmarkStart w:id="247" w:name="_Toc16755716"/>
      <w:r>
        <w:t>Ори</w:t>
      </w:r>
      <w:r w:rsidR="00771091">
        <w:t>г</w:t>
      </w:r>
      <w:r>
        <w:t>инальное</w:t>
      </w:r>
      <w:r w:rsidRPr="00217C30">
        <w:rPr>
          <w:lang w:val="en-US"/>
        </w:rPr>
        <w:t xml:space="preserve"> </w:t>
      </w:r>
      <w:r>
        <w:t>название</w:t>
      </w:r>
      <w:r w:rsidRPr="00217C30">
        <w:rPr>
          <w:lang w:val="en-US"/>
        </w:rPr>
        <w:t xml:space="preserve">: </w:t>
      </w:r>
      <w:r>
        <w:rPr>
          <w:lang w:val="en-US"/>
        </w:rPr>
        <w:t>The ECOG Scale of Performance Status</w:t>
      </w:r>
    </w:p>
    <w:p w14:paraId="1FDD3245" w14:textId="298A3BBB" w:rsidR="00953098" w:rsidRPr="00771091" w:rsidRDefault="00953098" w:rsidP="00830EF8">
      <w:r>
        <w:t>Источник</w:t>
      </w:r>
      <w:r w:rsidRPr="00002E9D">
        <w:rPr>
          <w:lang w:val="en-US"/>
        </w:rPr>
        <w:t xml:space="preserve">: </w:t>
      </w:r>
      <w:r w:rsidRPr="00217C30">
        <w:rPr>
          <w:lang w:val="en-US"/>
        </w:rPr>
        <w:t xml:space="preserve">Oken M.M. et al. Toxicity and response criteria of the Eastern Cooperative Oncology Group // Am. J. Clin. </w:t>
      </w:r>
      <w:r w:rsidRPr="00002E9D">
        <w:rPr>
          <w:lang w:val="en-US"/>
        </w:rPr>
        <w:t>Oncol</w:t>
      </w:r>
      <w:r w:rsidR="000B0AC3" w:rsidRPr="009C096B">
        <w:t xml:space="preserve">. 1982. </w:t>
      </w:r>
      <w:r w:rsidRPr="00217C30">
        <w:t>Vol. 5, № 6. P. 649–65</w:t>
      </w:r>
      <w:r w:rsidRPr="00C47BAB">
        <w:t xml:space="preserve"> </w:t>
      </w:r>
      <w:bookmarkStart w:id="248" w:name="_Toc23601749"/>
      <w:r w:rsidR="000B0AC3">
        <w:fldChar w:fldCharType="begin" w:fldLock="1"/>
      </w:r>
      <w:r w:rsidR="00BE7F89">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[93]","plainTextFormattedCitation":"[93]","previouslyFormattedCitation":"[92]"},"properties":{"noteIndex":0},"schema":"https://github.com/citation-style-language/schema/raw/master/csl-citation.json"}</w:instrText>
      </w:r>
      <w:r w:rsidR="000B0AC3">
        <w:fldChar w:fldCharType="separate"/>
      </w:r>
      <w:r w:rsidR="00BE7F89" w:rsidRPr="00BE7F89">
        <w:rPr>
          <w:noProof/>
        </w:rPr>
        <w:t>[93]</w:t>
      </w:r>
      <w:r w:rsidR="000B0AC3">
        <w:fldChar w:fldCharType="end"/>
      </w:r>
    </w:p>
    <w:bookmarkEnd w:id="248"/>
    <w:p w14:paraId="03DE45EE" w14:textId="77777777" w:rsidR="00953098" w:rsidRDefault="00953098" w:rsidP="00E92E00">
      <w:r>
        <w:t>Тип: шкала оценки</w:t>
      </w:r>
    </w:p>
    <w:p w14:paraId="012D6C2B" w14:textId="77777777" w:rsidR="00953098" w:rsidRDefault="00953098" w:rsidP="00E92E00">
      <w:r>
        <w:t xml:space="preserve">Назначение: клиническая оценка общего состояния пациента </w:t>
      </w:r>
    </w:p>
    <w:p w14:paraId="469B63A5" w14:textId="77777777" w:rsidR="00953098" w:rsidRDefault="00953098" w:rsidP="00B04401">
      <w:r>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9"/>
        <w:gridCol w:w="7426"/>
      </w:tblGrid>
      <w:tr w:rsidR="00953098" w:rsidRPr="00265449" w14:paraId="40871C32" w14:textId="77777777" w:rsidTr="00C47BAB">
        <w:tc>
          <w:tcPr>
            <w:tcW w:w="1950" w:type="dxa"/>
          </w:tcPr>
          <w:p w14:paraId="524A895B" w14:textId="77777777" w:rsidR="00953098" w:rsidRPr="00B46C10" w:rsidRDefault="00953098" w:rsidP="00CF1FD8">
            <w:pPr>
              <w:pStyle w:val="aff2"/>
              <w:ind w:firstLine="0"/>
              <w:rPr>
                <w:rStyle w:val="aa"/>
                <w:b w:val="0"/>
              </w:rPr>
            </w:pPr>
            <w:r>
              <w:rPr>
                <w:rStyle w:val="aa"/>
                <w:b w:val="0"/>
              </w:rPr>
              <w:t>С</w:t>
            </w:r>
            <w:r>
              <w:rPr>
                <w:rStyle w:val="aa"/>
              </w:rPr>
              <w:t>татус (баллы)</w:t>
            </w:r>
          </w:p>
        </w:tc>
        <w:tc>
          <w:tcPr>
            <w:tcW w:w="7615" w:type="dxa"/>
          </w:tcPr>
          <w:p w14:paraId="10845A41" w14:textId="77777777" w:rsidR="00953098" w:rsidRPr="00265449" w:rsidRDefault="00953098" w:rsidP="00CF1FD8">
            <w:pPr>
              <w:pStyle w:val="aff2"/>
              <w:ind w:firstLine="36"/>
              <w:jc w:val="left"/>
              <w:rPr>
                <w:rStyle w:val="aa"/>
                <w:b w:val="0"/>
              </w:rPr>
            </w:pPr>
            <w:r>
              <w:rPr>
                <w:rStyle w:val="aa"/>
                <w:b w:val="0"/>
              </w:rPr>
              <w:t>О</w:t>
            </w:r>
            <w:r>
              <w:rPr>
                <w:rStyle w:val="aa"/>
              </w:rPr>
              <w:t>писание общего состояния пациента</w:t>
            </w:r>
          </w:p>
        </w:tc>
      </w:tr>
      <w:tr w:rsidR="00953098" w:rsidRPr="00265449" w14:paraId="7CC31064" w14:textId="77777777" w:rsidTr="00C47BAB">
        <w:tc>
          <w:tcPr>
            <w:tcW w:w="1950" w:type="dxa"/>
            <w:hideMark/>
          </w:tcPr>
          <w:p w14:paraId="1A5186EE" w14:textId="77777777" w:rsidR="00953098" w:rsidRPr="00265449" w:rsidRDefault="00953098" w:rsidP="00CF1FD8">
            <w:pPr>
              <w:pStyle w:val="aff2"/>
              <w:rPr>
                <w:rStyle w:val="aa"/>
                <w:b w:val="0"/>
                <w:lang w:val="en-US"/>
              </w:rPr>
            </w:pPr>
            <w:r w:rsidRPr="00265449">
              <w:rPr>
                <w:rStyle w:val="aa"/>
                <w:b w:val="0"/>
                <w:lang w:val="en-US"/>
              </w:rPr>
              <w:t>0</w:t>
            </w:r>
          </w:p>
        </w:tc>
        <w:tc>
          <w:tcPr>
            <w:tcW w:w="7615" w:type="dxa"/>
            <w:hideMark/>
          </w:tcPr>
          <w:p w14:paraId="44B206FE" w14:textId="77777777" w:rsidR="00953098" w:rsidRPr="00265449" w:rsidRDefault="00006FC5" w:rsidP="00CF1FD8">
            <w:pPr>
              <w:pStyle w:val="aff2"/>
              <w:ind w:firstLine="36"/>
              <w:jc w:val="left"/>
              <w:rPr>
                <w:rStyle w:val="aa"/>
                <w:b w:val="0"/>
              </w:rPr>
            </w:pPr>
            <w:r w:rsidRPr="00006FC5">
              <w:rPr>
                <w:rStyle w:val="aa"/>
                <w:b w:val="0"/>
              </w:rPr>
              <w:t>Па</w:t>
            </w:r>
            <w:r w:rsidRPr="00C47BAB">
              <w:rPr>
                <w:rStyle w:val="aa"/>
                <w:b w:val="0"/>
              </w:rPr>
              <w:t>циент</w:t>
            </w:r>
            <w:r w:rsidR="00953098" w:rsidRPr="00265449">
              <w:rPr>
                <w:rStyle w:val="aa"/>
                <w:b w:val="0"/>
              </w:rPr>
              <w:t xml:space="preserve"> полностью активен, способен выполнять все, как и до заболевания</w:t>
            </w:r>
          </w:p>
        </w:tc>
      </w:tr>
      <w:tr w:rsidR="00953098" w:rsidRPr="00265449" w14:paraId="1908F728" w14:textId="77777777" w:rsidTr="00C47BAB">
        <w:tc>
          <w:tcPr>
            <w:tcW w:w="1950" w:type="dxa"/>
            <w:hideMark/>
          </w:tcPr>
          <w:p w14:paraId="6258CF87" w14:textId="77777777" w:rsidR="00953098" w:rsidRPr="00265449" w:rsidRDefault="00953098" w:rsidP="00CF1FD8">
            <w:pPr>
              <w:pStyle w:val="aff2"/>
              <w:rPr>
                <w:rStyle w:val="aa"/>
                <w:b w:val="0"/>
              </w:rPr>
            </w:pPr>
            <w:r w:rsidRPr="00265449">
              <w:rPr>
                <w:rStyle w:val="aa"/>
                <w:b w:val="0"/>
              </w:rPr>
              <w:t>1</w:t>
            </w:r>
          </w:p>
        </w:tc>
        <w:tc>
          <w:tcPr>
            <w:tcW w:w="7615" w:type="dxa"/>
            <w:hideMark/>
          </w:tcPr>
          <w:p w14:paraId="041E49FC" w14:textId="77777777" w:rsidR="00953098" w:rsidRPr="00265449" w:rsidRDefault="00006FC5" w:rsidP="00CF1FD8">
            <w:pPr>
              <w:pStyle w:val="aff2"/>
              <w:ind w:firstLine="36"/>
              <w:jc w:val="left"/>
              <w:rPr>
                <w:rStyle w:val="aa"/>
                <w:b w:val="0"/>
              </w:rPr>
            </w:pPr>
            <w:r w:rsidRPr="00006FC5">
              <w:rPr>
                <w:rStyle w:val="aa"/>
                <w:b w:val="0"/>
              </w:rPr>
              <w:t>Па</w:t>
            </w:r>
            <w:r w:rsidRPr="00867125">
              <w:rPr>
                <w:rStyle w:val="aa"/>
                <w:b w:val="0"/>
              </w:rPr>
              <w:t>циент</w:t>
            </w:r>
            <w:r w:rsidR="00953098" w:rsidRPr="00265449">
              <w:rPr>
                <w:rStyle w:val="aa"/>
                <w:b w:val="0"/>
              </w:rPr>
              <w:t xml:space="preserve"> неспособен выполнять тяжелую, но может выполнять легкую или сидячую работу (например, легкую домашнюю или канцелярскую работу)</w:t>
            </w:r>
          </w:p>
        </w:tc>
      </w:tr>
      <w:tr w:rsidR="00953098" w:rsidRPr="00265449" w14:paraId="02D07A8B" w14:textId="77777777" w:rsidTr="00C47BAB">
        <w:tc>
          <w:tcPr>
            <w:tcW w:w="1950" w:type="dxa"/>
            <w:hideMark/>
          </w:tcPr>
          <w:p w14:paraId="07FE6C43" w14:textId="77777777" w:rsidR="00953098" w:rsidRPr="00265449" w:rsidRDefault="00953098" w:rsidP="00CF1FD8">
            <w:pPr>
              <w:pStyle w:val="aff2"/>
              <w:rPr>
                <w:rStyle w:val="aa"/>
                <w:b w:val="0"/>
              </w:rPr>
            </w:pPr>
            <w:r w:rsidRPr="00265449">
              <w:rPr>
                <w:rStyle w:val="aa"/>
                <w:b w:val="0"/>
              </w:rPr>
              <w:t>2</w:t>
            </w:r>
          </w:p>
        </w:tc>
        <w:tc>
          <w:tcPr>
            <w:tcW w:w="7615" w:type="dxa"/>
            <w:hideMark/>
          </w:tcPr>
          <w:p w14:paraId="468BF8B1" w14:textId="77777777" w:rsidR="00953098" w:rsidRPr="00265449" w:rsidRDefault="00006FC5" w:rsidP="00CF1FD8">
            <w:pPr>
              <w:pStyle w:val="aff2"/>
              <w:ind w:firstLine="36"/>
              <w:jc w:val="left"/>
              <w:rPr>
                <w:rStyle w:val="aa"/>
                <w:b w:val="0"/>
              </w:rPr>
            </w:pPr>
            <w:r w:rsidRPr="00006FC5">
              <w:rPr>
                <w:rStyle w:val="aa"/>
                <w:b w:val="0"/>
              </w:rPr>
              <w:t>Па</w:t>
            </w:r>
            <w:r w:rsidRPr="00867125">
              <w:rPr>
                <w:rStyle w:val="aa"/>
                <w:b w:val="0"/>
              </w:rPr>
              <w:t>циент</w:t>
            </w:r>
            <w:r w:rsidRPr="00265449">
              <w:rPr>
                <w:rStyle w:val="aa"/>
                <w:b w:val="0"/>
              </w:rPr>
              <w:t xml:space="preserve"> </w:t>
            </w:r>
            <w:r w:rsidR="00953098" w:rsidRPr="00265449">
              <w:rPr>
                <w:rStyle w:val="aa"/>
                <w:b w:val="0"/>
              </w:rPr>
              <w:t>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953098" w:rsidRPr="00265449" w14:paraId="6151D1CB" w14:textId="77777777" w:rsidTr="00C47BAB">
        <w:tc>
          <w:tcPr>
            <w:tcW w:w="1950" w:type="dxa"/>
            <w:hideMark/>
          </w:tcPr>
          <w:p w14:paraId="12F9CA9D" w14:textId="77777777" w:rsidR="00953098" w:rsidRPr="00265449" w:rsidRDefault="00953098" w:rsidP="00CF1FD8">
            <w:pPr>
              <w:pStyle w:val="aff2"/>
              <w:rPr>
                <w:rStyle w:val="aa"/>
                <w:b w:val="0"/>
              </w:rPr>
            </w:pPr>
            <w:r w:rsidRPr="00265449">
              <w:rPr>
                <w:rStyle w:val="aa"/>
                <w:b w:val="0"/>
              </w:rPr>
              <w:t>3</w:t>
            </w:r>
          </w:p>
        </w:tc>
        <w:tc>
          <w:tcPr>
            <w:tcW w:w="7615" w:type="dxa"/>
            <w:hideMark/>
          </w:tcPr>
          <w:p w14:paraId="13DEB1A5" w14:textId="77777777" w:rsidR="00953098" w:rsidRPr="00265449" w:rsidRDefault="00006FC5" w:rsidP="00CF1FD8">
            <w:pPr>
              <w:pStyle w:val="aff2"/>
              <w:ind w:firstLine="36"/>
              <w:jc w:val="left"/>
              <w:rPr>
                <w:rStyle w:val="aa"/>
                <w:b w:val="0"/>
              </w:rPr>
            </w:pPr>
            <w:r w:rsidRPr="00006FC5">
              <w:rPr>
                <w:rStyle w:val="aa"/>
                <w:b w:val="0"/>
              </w:rPr>
              <w:t>Па</w:t>
            </w:r>
            <w:r w:rsidRPr="00867125">
              <w:rPr>
                <w:rStyle w:val="aa"/>
                <w:b w:val="0"/>
              </w:rPr>
              <w:t>циент</w:t>
            </w:r>
            <w:r w:rsidR="00953098" w:rsidRPr="00265449">
              <w:rPr>
                <w:rStyle w:val="aa"/>
                <w:b w:val="0"/>
              </w:rPr>
              <w:t xml:space="preserve"> способен лишь к ограниченному самообслуживанию, проводит в кресле или постели более 50% времени бодрствования</w:t>
            </w:r>
          </w:p>
        </w:tc>
      </w:tr>
      <w:tr w:rsidR="00953098" w:rsidRPr="00265449" w14:paraId="459C36F4" w14:textId="77777777" w:rsidTr="00C47BAB">
        <w:tc>
          <w:tcPr>
            <w:tcW w:w="1950" w:type="dxa"/>
            <w:hideMark/>
          </w:tcPr>
          <w:p w14:paraId="1AEA4432" w14:textId="77777777" w:rsidR="00953098" w:rsidRPr="00265449" w:rsidRDefault="00953098" w:rsidP="00CF1FD8">
            <w:pPr>
              <w:pStyle w:val="aff2"/>
              <w:rPr>
                <w:rStyle w:val="aa"/>
                <w:b w:val="0"/>
              </w:rPr>
            </w:pPr>
            <w:r w:rsidRPr="00265449">
              <w:rPr>
                <w:rStyle w:val="aa"/>
                <w:b w:val="0"/>
              </w:rPr>
              <w:t>4</w:t>
            </w:r>
          </w:p>
        </w:tc>
        <w:tc>
          <w:tcPr>
            <w:tcW w:w="7615" w:type="dxa"/>
            <w:hideMark/>
          </w:tcPr>
          <w:p w14:paraId="2846F7C6" w14:textId="77777777" w:rsidR="00953098" w:rsidRPr="00265449" w:rsidRDefault="00953098" w:rsidP="00CF1FD8">
            <w:pPr>
              <w:pStyle w:val="aff2"/>
              <w:ind w:firstLine="36"/>
              <w:jc w:val="left"/>
              <w:rPr>
                <w:rStyle w:val="aa"/>
                <w:b w:val="0"/>
              </w:rPr>
            </w:pPr>
            <w:r w:rsidRPr="00265449">
              <w:rPr>
                <w:rStyle w:val="aa"/>
                <w:b w:val="0"/>
              </w:rPr>
              <w:t>Инвалид, совершенно не способен к самообслуживанию, прикован к креслу или постели</w:t>
            </w:r>
          </w:p>
        </w:tc>
      </w:tr>
      <w:tr w:rsidR="005A463A" w:rsidRPr="00265449" w14:paraId="33265CE3" w14:textId="77777777" w:rsidTr="00C47BAB">
        <w:tc>
          <w:tcPr>
            <w:tcW w:w="1950" w:type="dxa"/>
          </w:tcPr>
          <w:p w14:paraId="14F5082F" w14:textId="77777777" w:rsidR="005A463A" w:rsidRPr="00265449" w:rsidRDefault="005A463A" w:rsidP="00CF1FD8">
            <w:pPr>
              <w:pStyle w:val="aff2"/>
              <w:rPr>
                <w:rStyle w:val="aa"/>
                <w:b w:val="0"/>
              </w:rPr>
            </w:pPr>
            <w:r>
              <w:rPr>
                <w:rStyle w:val="aa"/>
                <w:b w:val="0"/>
              </w:rPr>
              <w:t>5</w:t>
            </w:r>
          </w:p>
        </w:tc>
        <w:tc>
          <w:tcPr>
            <w:tcW w:w="7615" w:type="dxa"/>
          </w:tcPr>
          <w:p w14:paraId="1747A8E0" w14:textId="77777777" w:rsidR="005A463A" w:rsidRPr="00265449" w:rsidRDefault="005A463A" w:rsidP="00CF1FD8">
            <w:pPr>
              <w:pStyle w:val="aff2"/>
              <w:ind w:firstLine="36"/>
              <w:jc w:val="left"/>
              <w:rPr>
                <w:rStyle w:val="aa"/>
                <w:b w:val="0"/>
              </w:rPr>
            </w:pPr>
            <w:r>
              <w:rPr>
                <w:rStyle w:val="aa"/>
                <w:b w:val="0"/>
              </w:rPr>
              <w:t>Смерть</w:t>
            </w:r>
          </w:p>
        </w:tc>
      </w:tr>
      <w:bookmarkEnd w:id="247"/>
    </w:tbl>
    <w:p w14:paraId="61C63D31" w14:textId="77777777" w:rsidR="00953098" w:rsidRDefault="00953098" w:rsidP="004E3A70">
      <w:pPr>
        <w:rPr>
          <w:lang w:eastAsia="ru-RU" w:bidi="ru-RU"/>
        </w:rPr>
      </w:pPr>
    </w:p>
    <w:p w14:paraId="0D265AA5" w14:textId="77777777" w:rsidR="008F1171" w:rsidRPr="00D73887" w:rsidRDefault="008F1171" w:rsidP="005D3BBD">
      <w:pPr>
        <w:pStyle w:val="2"/>
        <w:spacing w:before="0"/>
      </w:pPr>
      <w:bookmarkStart w:id="249" w:name="_Toc65068840"/>
      <w:r>
        <w:t xml:space="preserve">Приложение </w:t>
      </w:r>
      <w:r w:rsidRPr="00D73887">
        <w:t>Г</w:t>
      </w:r>
      <w:r>
        <w:t>2.</w:t>
      </w:r>
      <w:r w:rsidRPr="00D73887">
        <w:t xml:space="preserve"> Шкала оценки </w:t>
      </w:r>
      <w:r>
        <w:t xml:space="preserve">коморбидности </w:t>
      </w:r>
      <w:r>
        <w:rPr>
          <w:lang w:val="en-US"/>
        </w:rPr>
        <w:t>CIRS</w:t>
      </w:r>
      <w:bookmarkEnd w:id="249"/>
    </w:p>
    <w:p w14:paraId="13701741" w14:textId="7911EA1C" w:rsidR="008F1171" w:rsidRPr="005A463A" w:rsidRDefault="008F1171" w:rsidP="004E3A70">
      <w:pPr>
        <w:ind w:firstLine="709"/>
      </w:pPr>
      <w:r>
        <w:t xml:space="preserve">Клиническая оценка </w:t>
      </w:r>
      <w:r w:rsidR="00086CF8">
        <w:t xml:space="preserve">коморбидности </w:t>
      </w:r>
      <w:r>
        <w:t xml:space="preserve">пациента с ХЛЛ/ЛМЛ </w:t>
      </w:r>
      <w:r w:rsidR="00086CF8">
        <w:t xml:space="preserve">может проводиться по Кумуляционной шкале коморбидности </w:t>
      </w:r>
      <w:r w:rsidR="000B0AC3">
        <w:fldChar w:fldCharType="begin" w:fldLock="1"/>
      </w:r>
      <w:r w:rsidR="00BE7F89">
        <w:instrText>ADDIN CSL_CITATION {"citationItems":[{"id":"ITEM-1","itemData":{"DOI":"10.1111/j.1532-5415.1968.tb02103.x","ISSN":"15325415","PMID":"5646906","abstract":"Abstract: A Cumulative Illness Rating Scale, designed to meet the need for a brief, comprehensive and reliable instrument for assessing physical impairment, has been developed and tested. The scale format provides for 13 relatively independent areas grouped under body systems. Ratings are made on a 5???point ???degree of severity??? scale, ranging from ???none??? to ???extremely severe.??? Findings, in terms of reliability and validity, reflect statistical significance at the P &lt; .01 level. As a rapid assessment technique which is objective and easily quantified, the scale is well suited to a variety of research uses. 1968 The American Geriatrics Society","author":[{"dropping-particle":"","family":"Linn","given":"BERNARD S.","non-dropping-particle":"","parse-names":false,"suffix":""},{"dropping-particle":"","family":"Linn","given":"MARGARET W.","non-dropping-particle":"","parse-names":false,"suffix":""},{"dropping-particle":"","family":"Gurel","given":"LEE","non-dropping-particle":"","parse-names":false,"suffix":""}],"container-title":"Journal of the American Geriatrics Society","id":"ITEM-1","issue":"5","issued":{"date-parts":[["1968"]]},"page":"622-626","title":"Cumulative illness rating scale","type":"article-journal","volume":"16"},"uris":["http://www.mendeley.com/documents/?uuid=30a48a94-7263-364a-ac00-3343bc5cdec9"]}],"mendeley":{"formattedCitation":"[94]","plainTextFormattedCitation":"[94]","previouslyFormattedCitation":"[93]"},"properties":{"noteIndex":0},"schema":"https://github.com/citation-style-language/schema/raw/master/csl-citation.json"}</w:instrText>
      </w:r>
      <w:r w:rsidR="000B0AC3">
        <w:fldChar w:fldCharType="separate"/>
      </w:r>
      <w:r w:rsidR="00BE7F89" w:rsidRPr="00BE7F89">
        <w:rPr>
          <w:noProof/>
        </w:rPr>
        <w:t>[94]</w:t>
      </w:r>
      <w:r w:rsidR="000B0AC3">
        <w:fldChar w:fldCharType="end"/>
      </w:r>
      <w:r w:rsidRPr="005A463A">
        <w:t>.</w:t>
      </w:r>
    </w:p>
    <w:p w14:paraId="4E38CBA4" w14:textId="77777777" w:rsidR="008F1171" w:rsidRPr="00086CF8" w:rsidRDefault="008F1171" w:rsidP="00830EF8">
      <w:pPr>
        <w:rPr>
          <w:lang w:val="en-US"/>
        </w:rPr>
      </w:pPr>
      <w:r>
        <w:t>Оригинальное</w:t>
      </w:r>
      <w:r w:rsidRPr="00086CF8">
        <w:rPr>
          <w:lang w:val="en-US"/>
        </w:rPr>
        <w:t xml:space="preserve"> </w:t>
      </w:r>
      <w:r>
        <w:t>название</w:t>
      </w:r>
      <w:r w:rsidRPr="00086CF8">
        <w:rPr>
          <w:lang w:val="en-US"/>
        </w:rPr>
        <w:t xml:space="preserve">: </w:t>
      </w:r>
      <w:r w:rsidR="00086CF8">
        <w:rPr>
          <w:lang w:val="en-US"/>
        </w:rPr>
        <w:t>Cumulative</w:t>
      </w:r>
      <w:r w:rsidR="00086CF8" w:rsidRPr="00086CF8">
        <w:rPr>
          <w:lang w:val="en-US"/>
        </w:rPr>
        <w:t xml:space="preserve"> </w:t>
      </w:r>
      <w:r w:rsidR="00086CF8">
        <w:rPr>
          <w:lang w:val="en-US"/>
        </w:rPr>
        <w:t>Illness</w:t>
      </w:r>
      <w:r w:rsidR="00086CF8" w:rsidRPr="00086CF8">
        <w:rPr>
          <w:lang w:val="en-US"/>
        </w:rPr>
        <w:t xml:space="preserve"> </w:t>
      </w:r>
      <w:r w:rsidR="00086CF8">
        <w:rPr>
          <w:lang w:val="en-US"/>
        </w:rPr>
        <w:t>Rating Scale</w:t>
      </w:r>
    </w:p>
    <w:p w14:paraId="73E920CD" w14:textId="0EABE179" w:rsidR="008F1171" w:rsidRPr="0008146B" w:rsidRDefault="008F1171" w:rsidP="00830EF8">
      <w:pPr>
        <w:rPr>
          <w:lang w:val="en-US"/>
        </w:rPr>
      </w:pPr>
      <w:r>
        <w:t>Источник</w:t>
      </w:r>
      <w:r w:rsidR="000B0AC3" w:rsidRPr="0008146B">
        <w:t xml:space="preserve">: </w:t>
      </w:r>
      <w:r w:rsidR="00086CF8">
        <w:rPr>
          <w:lang w:val="en-US"/>
        </w:rPr>
        <w:t>Linn</w:t>
      </w:r>
      <w:r w:rsidR="000B0AC3" w:rsidRPr="0008146B">
        <w:t xml:space="preserve">, </w:t>
      </w:r>
      <w:r w:rsidR="00086CF8">
        <w:rPr>
          <w:lang w:val="en-US"/>
        </w:rPr>
        <w:t>B</w:t>
      </w:r>
      <w:r w:rsidR="000B0AC3" w:rsidRPr="0008146B">
        <w:t xml:space="preserve">. </w:t>
      </w:r>
      <w:r w:rsidRPr="00217C30">
        <w:rPr>
          <w:lang w:val="en-US"/>
        </w:rPr>
        <w:t>et</w:t>
      </w:r>
      <w:r w:rsidR="000B0AC3" w:rsidRPr="0008146B">
        <w:t xml:space="preserve"> </w:t>
      </w:r>
      <w:r w:rsidRPr="00217C30">
        <w:rPr>
          <w:lang w:val="en-US"/>
        </w:rPr>
        <w:t>al</w:t>
      </w:r>
      <w:r w:rsidR="000B0AC3" w:rsidRPr="0008146B">
        <w:t xml:space="preserve">. </w:t>
      </w:r>
      <w:r w:rsidR="00086CF8">
        <w:rPr>
          <w:lang w:val="en-US"/>
        </w:rPr>
        <w:t>Cumulative</w:t>
      </w:r>
      <w:r w:rsidR="00086CF8" w:rsidRPr="00086CF8">
        <w:rPr>
          <w:lang w:val="en-US"/>
        </w:rPr>
        <w:t xml:space="preserve"> </w:t>
      </w:r>
      <w:r w:rsidR="00086CF8">
        <w:rPr>
          <w:lang w:val="en-US"/>
        </w:rPr>
        <w:t>Illness</w:t>
      </w:r>
      <w:r w:rsidR="00086CF8" w:rsidRPr="00086CF8">
        <w:rPr>
          <w:lang w:val="en-US"/>
        </w:rPr>
        <w:t xml:space="preserve"> </w:t>
      </w:r>
      <w:r w:rsidR="00086CF8">
        <w:rPr>
          <w:lang w:val="en-US"/>
        </w:rPr>
        <w:t xml:space="preserve">Rating Scale. Journal of the American Geriatrics Society </w:t>
      </w:r>
      <w:r w:rsidR="000B0AC3">
        <w:fldChar w:fldCharType="begin" w:fldLock="1"/>
      </w:r>
      <w:r w:rsidR="00BE7F89">
        <w:rPr>
          <w:lang w:val="en-US"/>
        </w:rPr>
        <w:instrText>ADDIN CSL_CITATION {"citationItems":[{"id":"ITEM-1","itemData":{"DOI":"10.1111/j.1532-5415.1968.tb02103.x","ISSN":"15325415","PMID":"5646906","abstract":"Abstract: A Cumulative Illness Rating Scale, designed to meet the need for a brief, comprehensive and reliable instrument for assessing physical impairment, has been developed and tested. The scale format provides for 13 relatively independent areas grouped under body systems. Ratings are made on a 5???point ???degree of severity??? scale, ranging from ???none??? to ???extremely severe.??? Findings, in terms of reliability and validity, reflect statistical significance at the P &lt; .01 level. As a rapid assessment technique which is objective and easily quantified, the scale is well suited to a variety of research uses. 1968 The American Geriatrics Society","author":[{"dropping-particle":"","family":"Linn","given":"BERNARD S.","non-dropping-particle":"","parse-names":false,"suffix":""},{"dropping-particle":"","family":"Linn","given":"MARGARET W.","non-dropping-particle":"","parse-names":false,"suffix":""},{"dropping-particle":"","family":"Gurel","given":"LEE","non-dropping-particle":"","parse-names":false,"suffix":""}],"container-title":"Journal of the American Geriatrics Society","id":"ITEM-1","issue":"5","issued":{"date-parts":[["1968"]]},"page":"622-626","title":"Cumulative illness rating scale","type":"article-journal","volume":"16"},"uris":["http://www.mendeley.com/documents/?uuid=30a48a94-7263-364a-ac00-3343bc5cdec9"]}],"mendeley":{"formattedCitation":"[94]","plainTextFormattedCitation":"[94]","previouslyFormattedCitation":"[93]"},"properties":{"noteIndex":0},"schema":"https://github.com/citation-style-language/schema/raw/master/csl-citation.json"}</w:instrText>
      </w:r>
      <w:r w:rsidR="000B0AC3">
        <w:fldChar w:fldCharType="separate"/>
      </w:r>
      <w:r w:rsidR="00BE7F89" w:rsidRPr="00BE7F89">
        <w:rPr>
          <w:noProof/>
          <w:lang w:val="en-US"/>
        </w:rPr>
        <w:t>[94]</w:t>
      </w:r>
      <w:r w:rsidR="000B0AC3">
        <w:fldChar w:fldCharType="end"/>
      </w:r>
      <w:r w:rsidR="00086CF8">
        <w:rPr>
          <w:lang w:val="en-US"/>
        </w:rPr>
        <w:t>.</w:t>
      </w:r>
    </w:p>
    <w:p w14:paraId="519C4A96" w14:textId="77777777" w:rsidR="008F1171" w:rsidRPr="00086CF8" w:rsidRDefault="008F1171" w:rsidP="00830EF8">
      <w:r>
        <w:t>Тип</w:t>
      </w:r>
      <w:r w:rsidRPr="00086CF8">
        <w:t xml:space="preserve">: </w:t>
      </w:r>
      <w:r>
        <w:t>шкала</w:t>
      </w:r>
      <w:r w:rsidRPr="00086CF8">
        <w:t xml:space="preserve"> </w:t>
      </w:r>
      <w:r>
        <w:t>оценки</w:t>
      </w:r>
    </w:p>
    <w:p w14:paraId="73E64EE8" w14:textId="77777777" w:rsidR="008F1171" w:rsidRDefault="008F1171" w:rsidP="00E92E00">
      <w:r>
        <w:t>Назначение: клиническая оценка</w:t>
      </w:r>
      <w:r w:rsidR="00086CF8">
        <w:t xml:space="preserve"> коморбидности</w:t>
      </w:r>
      <w:r>
        <w:t xml:space="preserve"> </w:t>
      </w:r>
    </w:p>
    <w:p w14:paraId="656E0221" w14:textId="77777777" w:rsidR="008F1171" w:rsidRDefault="008F1171" w:rsidP="00E92E00">
      <w:r>
        <w:t xml:space="preserve">Содержание и интерпретация: </w:t>
      </w:r>
    </w:p>
    <w:p w14:paraId="4854A2E6" w14:textId="77777777" w:rsidR="00953098" w:rsidRDefault="00953098" w:rsidP="00B04401">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650"/>
        <w:gridCol w:w="651"/>
        <w:gridCol w:w="651"/>
        <w:gridCol w:w="651"/>
        <w:gridCol w:w="651"/>
      </w:tblGrid>
      <w:tr w:rsidR="00086CF8" w14:paraId="05C7077E" w14:textId="77777777" w:rsidTr="00A76E18">
        <w:tc>
          <w:tcPr>
            <w:tcW w:w="6091" w:type="dxa"/>
          </w:tcPr>
          <w:p w14:paraId="71FA3582" w14:textId="77777777" w:rsidR="00086CF8" w:rsidRDefault="00086CF8" w:rsidP="002F68E0"/>
        </w:tc>
        <w:tc>
          <w:tcPr>
            <w:tcW w:w="3254" w:type="dxa"/>
            <w:gridSpan w:val="5"/>
          </w:tcPr>
          <w:p w14:paraId="26E3A1E8" w14:textId="77777777" w:rsidR="00B078C3" w:rsidRDefault="00086CF8" w:rsidP="002F68E0">
            <w:r>
              <w:t>Баллы</w:t>
            </w:r>
          </w:p>
        </w:tc>
      </w:tr>
      <w:tr w:rsidR="00086CF8" w14:paraId="675F67FC" w14:textId="77777777" w:rsidTr="00A76E18">
        <w:tc>
          <w:tcPr>
            <w:tcW w:w="6091" w:type="dxa"/>
          </w:tcPr>
          <w:p w14:paraId="3F7727D1" w14:textId="77777777" w:rsidR="00086CF8" w:rsidRDefault="00086CF8" w:rsidP="002F68E0"/>
        </w:tc>
        <w:tc>
          <w:tcPr>
            <w:tcW w:w="650" w:type="dxa"/>
          </w:tcPr>
          <w:p w14:paraId="593F5BDC" w14:textId="77777777" w:rsidR="00B078C3" w:rsidRDefault="00F242FD" w:rsidP="002F68E0">
            <w:r>
              <w:t>0</w:t>
            </w:r>
          </w:p>
        </w:tc>
        <w:tc>
          <w:tcPr>
            <w:tcW w:w="651" w:type="dxa"/>
          </w:tcPr>
          <w:p w14:paraId="6EB3E614" w14:textId="77777777" w:rsidR="00B078C3" w:rsidRDefault="00F242FD" w:rsidP="002F68E0">
            <w:r>
              <w:t>1</w:t>
            </w:r>
          </w:p>
        </w:tc>
        <w:tc>
          <w:tcPr>
            <w:tcW w:w="651" w:type="dxa"/>
          </w:tcPr>
          <w:p w14:paraId="068E8155" w14:textId="77777777" w:rsidR="00B078C3" w:rsidRDefault="00F242FD" w:rsidP="002F68E0">
            <w:r>
              <w:t>2</w:t>
            </w:r>
          </w:p>
        </w:tc>
        <w:tc>
          <w:tcPr>
            <w:tcW w:w="651" w:type="dxa"/>
          </w:tcPr>
          <w:p w14:paraId="24045B4B" w14:textId="77777777" w:rsidR="00B078C3" w:rsidRDefault="00F242FD" w:rsidP="002F68E0">
            <w:r>
              <w:t>3</w:t>
            </w:r>
          </w:p>
        </w:tc>
        <w:tc>
          <w:tcPr>
            <w:tcW w:w="651" w:type="dxa"/>
          </w:tcPr>
          <w:p w14:paraId="562F15AD" w14:textId="77777777" w:rsidR="00B078C3" w:rsidRDefault="00F242FD" w:rsidP="002F68E0">
            <w:r>
              <w:t>4</w:t>
            </w:r>
          </w:p>
        </w:tc>
      </w:tr>
      <w:tr w:rsidR="00086CF8" w14:paraId="7A01B29C" w14:textId="77777777" w:rsidTr="00A76E18">
        <w:tc>
          <w:tcPr>
            <w:tcW w:w="6091" w:type="dxa"/>
          </w:tcPr>
          <w:p w14:paraId="52251C17" w14:textId="77777777" w:rsidR="00086CF8" w:rsidRDefault="00086CF8" w:rsidP="002F68E0">
            <w:r>
              <w:t>Болезни сердца</w:t>
            </w:r>
          </w:p>
        </w:tc>
        <w:tc>
          <w:tcPr>
            <w:tcW w:w="650" w:type="dxa"/>
          </w:tcPr>
          <w:p w14:paraId="74B38D9F" w14:textId="77777777" w:rsidR="00086CF8" w:rsidRDefault="00086CF8" w:rsidP="002F68E0"/>
        </w:tc>
        <w:tc>
          <w:tcPr>
            <w:tcW w:w="651" w:type="dxa"/>
          </w:tcPr>
          <w:p w14:paraId="274D02DA" w14:textId="77777777" w:rsidR="00086CF8" w:rsidRDefault="00086CF8" w:rsidP="002F68E0"/>
        </w:tc>
        <w:tc>
          <w:tcPr>
            <w:tcW w:w="651" w:type="dxa"/>
          </w:tcPr>
          <w:p w14:paraId="507322DC" w14:textId="77777777" w:rsidR="00086CF8" w:rsidRDefault="00086CF8" w:rsidP="002F68E0"/>
        </w:tc>
        <w:tc>
          <w:tcPr>
            <w:tcW w:w="651" w:type="dxa"/>
          </w:tcPr>
          <w:p w14:paraId="6C0D3E91" w14:textId="77777777" w:rsidR="00086CF8" w:rsidRDefault="00086CF8" w:rsidP="002F68E0"/>
        </w:tc>
        <w:tc>
          <w:tcPr>
            <w:tcW w:w="651" w:type="dxa"/>
          </w:tcPr>
          <w:p w14:paraId="5326290D" w14:textId="77777777" w:rsidR="00086CF8" w:rsidRDefault="00086CF8" w:rsidP="002F68E0"/>
        </w:tc>
      </w:tr>
      <w:tr w:rsidR="00086CF8" w14:paraId="54BAA324" w14:textId="77777777" w:rsidTr="00A76E18">
        <w:tc>
          <w:tcPr>
            <w:tcW w:w="6091" w:type="dxa"/>
          </w:tcPr>
          <w:p w14:paraId="2E2DF12D" w14:textId="77777777" w:rsidR="00086CF8" w:rsidRDefault="00086CF8" w:rsidP="002F68E0">
            <w:r>
              <w:t>Болезни сосудов (кровеносных и лимфатических)</w:t>
            </w:r>
          </w:p>
        </w:tc>
        <w:tc>
          <w:tcPr>
            <w:tcW w:w="650" w:type="dxa"/>
          </w:tcPr>
          <w:p w14:paraId="338A1168" w14:textId="77777777" w:rsidR="00086CF8" w:rsidRDefault="00086CF8" w:rsidP="002F68E0"/>
        </w:tc>
        <w:tc>
          <w:tcPr>
            <w:tcW w:w="651" w:type="dxa"/>
          </w:tcPr>
          <w:p w14:paraId="52CA9640" w14:textId="77777777" w:rsidR="00086CF8" w:rsidRDefault="00086CF8" w:rsidP="002F68E0"/>
        </w:tc>
        <w:tc>
          <w:tcPr>
            <w:tcW w:w="651" w:type="dxa"/>
          </w:tcPr>
          <w:p w14:paraId="40F2FC6D" w14:textId="77777777" w:rsidR="00086CF8" w:rsidRDefault="00086CF8" w:rsidP="002F68E0"/>
        </w:tc>
        <w:tc>
          <w:tcPr>
            <w:tcW w:w="651" w:type="dxa"/>
          </w:tcPr>
          <w:p w14:paraId="44CAC002" w14:textId="77777777" w:rsidR="00086CF8" w:rsidRDefault="00086CF8" w:rsidP="002F68E0"/>
        </w:tc>
        <w:tc>
          <w:tcPr>
            <w:tcW w:w="651" w:type="dxa"/>
          </w:tcPr>
          <w:p w14:paraId="3134E179" w14:textId="77777777" w:rsidR="00086CF8" w:rsidRDefault="00086CF8" w:rsidP="002F68E0"/>
        </w:tc>
      </w:tr>
      <w:tr w:rsidR="00086CF8" w14:paraId="4196135D" w14:textId="77777777" w:rsidTr="00A76E18">
        <w:tc>
          <w:tcPr>
            <w:tcW w:w="6091" w:type="dxa"/>
          </w:tcPr>
          <w:p w14:paraId="17118129" w14:textId="77777777" w:rsidR="00086CF8" w:rsidRDefault="00086CF8" w:rsidP="002F68E0">
            <w:r>
              <w:t>Болезни крови (костного мозга, селезенки и периферической крови</w:t>
            </w:r>
          </w:p>
        </w:tc>
        <w:tc>
          <w:tcPr>
            <w:tcW w:w="650" w:type="dxa"/>
          </w:tcPr>
          <w:p w14:paraId="1594B6A6" w14:textId="77777777" w:rsidR="00086CF8" w:rsidRDefault="00086CF8" w:rsidP="002F68E0"/>
        </w:tc>
        <w:tc>
          <w:tcPr>
            <w:tcW w:w="651" w:type="dxa"/>
          </w:tcPr>
          <w:p w14:paraId="052FACFD" w14:textId="77777777" w:rsidR="00086CF8" w:rsidRDefault="00086CF8" w:rsidP="002F68E0"/>
        </w:tc>
        <w:tc>
          <w:tcPr>
            <w:tcW w:w="651" w:type="dxa"/>
          </w:tcPr>
          <w:p w14:paraId="110C1F9C" w14:textId="77777777" w:rsidR="00086CF8" w:rsidRDefault="00086CF8" w:rsidP="002F68E0"/>
        </w:tc>
        <w:tc>
          <w:tcPr>
            <w:tcW w:w="651" w:type="dxa"/>
          </w:tcPr>
          <w:p w14:paraId="192551E8" w14:textId="77777777" w:rsidR="00086CF8" w:rsidRDefault="00086CF8" w:rsidP="002F68E0"/>
        </w:tc>
        <w:tc>
          <w:tcPr>
            <w:tcW w:w="651" w:type="dxa"/>
          </w:tcPr>
          <w:p w14:paraId="47C3E787" w14:textId="77777777" w:rsidR="00086CF8" w:rsidRDefault="00086CF8" w:rsidP="002F68E0"/>
        </w:tc>
      </w:tr>
      <w:tr w:rsidR="00086CF8" w14:paraId="642088F3" w14:textId="77777777" w:rsidTr="00A76E18">
        <w:tc>
          <w:tcPr>
            <w:tcW w:w="6091" w:type="dxa"/>
          </w:tcPr>
          <w:p w14:paraId="3571B126" w14:textId="77777777" w:rsidR="00086CF8" w:rsidRDefault="00086CF8" w:rsidP="002F68E0">
            <w:r>
              <w:t>Болезни органов дыхательной системы (трахеи, бронхов и легких)</w:t>
            </w:r>
          </w:p>
        </w:tc>
        <w:tc>
          <w:tcPr>
            <w:tcW w:w="650" w:type="dxa"/>
          </w:tcPr>
          <w:p w14:paraId="65A5DAE4" w14:textId="77777777" w:rsidR="00086CF8" w:rsidRDefault="00086CF8" w:rsidP="002F68E0"/>
        </w:tc>
        <w:tc>
          <w:tcPr>
            <w:tcW w:w="651" w:type="dxa"/>
          </w:tcPr>
          <w:p w14:paraId="26CB3FBC" w14:textId="77777777" w:rsidR="00086CF8" w:rsidRDefault="00086CF8" w:rsidP="002F68E0"/>
        </w:tc>
        <w:tc>
          <w:tcPr>
            <w:tcW w:w="651" w:type="dxa"/>
          </w:tcPr>
          <w:p w14:paraId="5E58E025" w14:textId="77777777" w:rsidR="00086CF8" w:rsidRDefault="00086CF8" w:rsidP="002F68E0"/>
        </w:tc>
        <w:tc>
          <w:tcPr>
            <w:tcW w:w="651" w:type="dxa"/>
          </w:tcPr>
          <w:p w14:paraId="129BC4E9" w14:textId="77777777" w:rsidR="00086CF8" w:rsidRDefault="00086CF8" w:rsidP="002F68E0"/>
        </w:tc>
        <w:tc>
          <w:tcPr>
            <w:tcW w:w="651" w:type="dxa"/>
          </w:tcPr>
          <w:p w14:paraId="7CDDCD79" w14:textId="77777777" w:rsidR="00086CF8" w:rsidRDefault="00086CF8" w:rsidP="002F68E0"/>
        </w:tc>
      </w:tr>
      <w:tr w:rsidR="00086CF8" w14:paraId="061D6A75" w14:textId="77777777" w:rsidTr="00A76E18">
        <w:tc>
          <w:tcPr>
            <w:tcW w:w="6091" w:type="dxa"/>
          </w:tcPr>
          <w:p w14:paraId="4F32C4FE" w14:textId="77777777" w:rsidR="00086CF8" w:rsidRDefault="00086CF8" w:rsidP="002F68E0">
            <w:r>
              <w:t>Болезни органов чувств (глаз, носа, ушей, глотки и гортани)</w:t>
            </w:r>
          </w:p>
        </w:tc>
        <w:tc>
          <w:tcPr>
            <w:tcW w:w="650" w:type="dxa"/>
          </w:tcPr>
          <w:p w14:paraId="69BC21A2" w14:textId="77777777" w:rsidR="00086CF8" w:rsidRDefault="00086CF8" w:rsidP="002F68E0"/>
        </w:tc>
        <w:tc>
          <w:tcPr>
            <w:tcW w:w="651" w:type="dxa"/>
          </w:tcPr>
          <w:p w14:paraId="71632A20" w14:textId="77777777" w:rsidR="00086CF8" w:rsidRDefault="00086CF8" w:rsidP="002F68E0"/>
        </w:tc>
        <w:tc>
          <w:tcPr>
            <w:tcW w:w="651" w:type="dxa"/>
          </w:tcPr>
          <w:p w14:paraId="04540B82" w14:textId="77777777" w:rsidR="00086CF8" w:rsidRDefault="00086CF8" w:rsidP="002F68E0"/>
        </w:tc>
        <w:tc>
          <w:tcPr>
            <w:tcW w:w="651" w:type="dxa"/>
          </w:tcPr>
          <w:p w14:paraId="274A33B3" w14:textId="77777777" w:rsidR="00086CF8" w:rsidRDefault="00086CF8" w:rsidP="002F68E0"/>
        </w:tc>
        <w:tc>
          <w:tcPr>
            <w:tcW w:w="651" w:type="dxa"/>
          </w:tcPr>
          <w:p w14:paraId="64AE19B7" w14:textId="77777777" w:rsidR="00086CF8" w:rsidRDefault="00086CF8" w:rsidP="002F68E0"/>
        </w:tc>
      </w:tr>
      <w:tr w:rsidR="00086CF8" w14:paraId="6EE56B99" w14:textId="77777777" w:rsidTr="00A76E18">
        <w:tc>
          <w:tcPr>
            <w:tcW w:w="6091" w:type="dxa"/>
          </w:tcPr>
          <w:p w14:paraId="3189D057" w14:textId="77777777" w:rsidR="00086CF8" w:rsidRDefault="00086CF8" w:rsidP="002F68E0">
            <w:r>
              <w:t>Болезни органов верхних отделов пищеварительной системы (пищевода, желудка, двенадцатиперстной кишки, поджелудочной железы (не включая СД) и желчного пузыря)</w:t>
            </w:r>
          </w:p>
        </w:tc>
        <w:tc>
          <w:tcPr>
            <w:tcW w:w="650" w:type="dxa"/>
          </w:tcPr>
          <w:p w14:paraId="0F0A582D" w14:textId="77777777" w:rsidR="00086CF8" w:rsidRDefault="00086CF8" w:rsidP="002F68E0"/>
        </w:tc>
        <w:tc>
          <w:tcPr>
            <w:tcW w:w="651" w:type="dxa"/>
          </w:tcPr>
          <w:p w14:paraId="1AE55D2A" w14:textId="77777777" w:rsidR="00086CF8" w:rsidRDefault="00086CF8" w:rsidP="002F68E0"/>
        </w:tc>
        <w:tc>
          <w:tcPr>
            <w:tcW w:w="651" w:type="dxa"/>
          </w:tcPr>
          <w:p w14:paraId="6C33CB2E" w14:textId="77777777" w:rsidR="00086CF8" w:rsidRDefault="00086CF8" w:rsidP="002F68E0"/>
        </w:tc>
        <w:tc>
          <w:tcPr>
            <w:tcW w:w="651" w:type="dxa"/>
          </w:tcPr>
          <w:p w14:paraId="1A068306" w14:textId="77777777" w:rsidR="00086CF8" w:rsidRDefault="00086CF8" w:rsidP="002F68E0"/>
        </w:tc>
        <w:tc>
          <w:tcPr>
            <w:tcW w:w="651" w:type="dxa"/>
          </w:tcPr>
          <w:p w14:paraId="06DD3275" w14:textId="77777777" w:rsidR="00086CF8" w:rsidRDefault="00086CF8" w:rsidP="002F68E0"/>
        </w:tc>
      </w:tr>
      <w:tr w:rsidR="00086CF8" w14:paraId="3C11FFA7" w14:textId="77777777" w:rsidTr="00A76E18">
        <w:tc>
          <w:tcPr>
            <w:tcW w:w="6091" w:type="dxa"/>
          </w:tcPr>
          <w:p w14:paraId="725DB627" w14:textId="77777777" w:rsidR="00086CF8" w:rsidRDefault="00086CF8" w:rsidP="002F68E0">
            <w:r>
              <w:t>Болезни органов нижних отделов пищеварительной системы (тонкого и толстого кишечника)</w:t>
            </w:r>
          </w:p>
        </w:tc>
        <w:tc>
          <w:tcPr>
            <w:tcW w:w="650" w:type="dxa"/>
          </w:tcPr>
          <w:p w14:paraId="1021F3D3" w14:textId="77777777" w:rsidR="00086CF8" w:rsidRDefault="00086CF8" w:rsidP="002F68E0"/>
        </w:tc>
        <w:tc>
          <w:tcPr>
            <w:tcW w:w="651" w:type="dxa"/>
          </w:tcPr>
          <w:p w14:paraId="0193B0A9" w14:textId="77777777" w:rsidR="00086CF8" w:rsidRDefault="00086CF8" w:rsidP="002F68E0"/>
        </w:tc>
        <w:tc>
          <w:tcPr>
            <w:tcW w:w="651" w:type="dxa"/>
          </w:tcPr>
          <w:p w14:paraId="19ECF00E" w14:textId="77777777" w:rsidR="00086CF8" w:rsidRDefault="00086CF8" w:rsidP="002F68E0"/>
        </w:tc>
        <w:tc>
          <w:tcPr>
            <w:tcW w:w="651" w:type="dxa"/>
          </w:tcPr>
          <w:p w14:paraId="31C20674" w14:textId="77777777" w:rsidR="00086CF8" w:rsidRDefault="00086CF8" w:rsidP="002F68E0"/>
        </w:tc>
        <w:tc>
          <w:tcPr>
            <w:tcW w:w="651" w:type="dxa"/>
          </w:tcPr>
          <w:p w14:paraId="7B7E6C69" w14:textId="77777777" w:rsidR="00086CF8" w:rsidRDefault="00086CF8" w:rsidP="002F68E0"/>
        </w:tc>
      </w:tr>
      <w:tr w:rsidR="00086CF8" w14:paraId="4FA47FF1" w14:textId="77777777" w:rsidTr="00A76E18">
        <w:tc>
          <w:tcPr>
            <w:tcW w:w="6091" w:type="dxa"/>
          </w:tcPr>
          <w:p w14:paraId="19898382" w14:textId="77777777" w:rsidR="00086CF8" w:rsidRDefault="00F242FD" w:rsidP="002F68E0">
            <w:r>
              <w:t>Болезни печени</w:t>
            </w:r>
          </w:p>
        </w:tc>
        <w:tc>
          <w:tcPr>
            <w:tcW w:w="650" w:type="dxa"/>
          </w:tcPr>
          <w:p w14:paraId="4B86E3E6" w14:textId="77777777" w:rsidR="00086CF8" w:rsidRDefault="00086CF8" w:rsidP="002F68E0"/>
        </w:tc>
        <w:tc>
          <w:tcPr>
            <w:tcW w:w="651" w:type="dxa"/>
          </w:tcPr>
          <w:p w14:paraId="10E1C7F3" w14:textId="77777777" w:rsidR="00086CF8" w:rsidRDefault="00086CF8" w:rsidP="002F68E0"/>
        </w:tc>
        <w:tc>
          <w:tcPr>
            <w:tcW w:w="651" w:type="dxa"/>
          </w:tcPr>
          <w:p w14:paraId="40C05D24" w14:textId="77777777" w:rsidR="00086CF8" w:rsidRDefault="00086CF8" w:rsidP="002F68E0"/>
        </w:tc>
        <w:tc>
          <w:tcPr>
            <w:tcW w:w="651" w:type="dxa"/>
          </w:tcPr>
          <w:p w14:paraId="2EC1F9D5" w14:textId="77777777" w:rsidR="00086CF8" w:rsidRDefault="00086CF8" w:rsidP="002F68E0"/>
        </w:tc>
        <w:tc>
          <w:tcPr>
            <w:tcW w:w="651" w:type="dxa"/>
          </w:tcPr>
          <w:p w14:paraId="629A2C5B" w14:textId="77777777" w:rsidR="00086CF8" w:rsidRDefault="00086CF8" w:rsidP="002F68E0"/>
        </w:tc>
      </w:tr>
      <w:tr w:rsidR="00086CF8" w14:paraId="066BB8B2" w14:textId="77777777" w:rsidTr="00A76E18">
        <w:tc>
          <w:tcPr>
            <w:tcW w:w="6091" w:type="dxa"/>
          </w:tcPr>
          <w:p w14:paraId="74CD1511" w14:textId="77777777" w:rsidR="00086CF8" w:rsidRDefault="00F242FD" w:rsidP="002F68E0">
            <w:r>
              <w:t>Болезни почек</w:t>
            </w:r>
          </w:p>
        </w:tc>
        <w:tc>
          <w:tcPr>
            <w:tcW w:w="650" w:type="dxa"/>
          </w:tcPr>
          <w:p w14:paraId="7AAE292E" w14:textId="77777777" w:rsidR="00086CF8" w:rsidRDefault="00086CF8" w:rsidP="002F68E0"/>
        </w:tc>
        <w:tc>
          <w:tcPr>
            <w:tcW w:w="651" w:type="dxa"/>
          </w:tcPr>
          <w:p w14:paraId="066EBB3B" w14:textId="77777777" w:rsidR="00086CF8" w:rsidRDefault="00086CF8" w:rsidP="002F68E0"/>
        </w:tc>
        <w:tc>
          <w:tcPr>
            <w:tcW w:w="651" w:type="dxa"/>
          </w:tcPr>
          <w:p w14:paraId="6111811A" w14:textId="77777777" w:rsidR="00086CF8" w:rsidRDefault="00086CF8" w:rsidP="002F68E0"/>
        </w:tc>
        <w:tc>
          <w:tcPr>
            <w:tcW w:w="651" w:type="dxa"/>
          </w:tcPr>
          <w:p w14:paraId="7792A4E6" w14:textId="77777777" w:rsidR="00086CF8" w:rsidRDefault="00086CF8" w:rsidP="002F68E0"/>
        </w:tc>
        <w:tc>
          <w:tcPr>
            <w:tcW w:w="651" w:type="dxa"/>
          </w:tcPr>
          <w:p w14:paraId="4FCCFF51" w14:textId="77777777" w:rsidR="00086CF8" w:rsidRDefault="00086CF8" w:rsidP="002F68E0"/>
        </w:tc>
      </w:tr>
      <w:tr w:rsidR="00086CF8" w14:paraId="39D05B49" w14:textId="77777777" w:rsidTr="00A76E18">
        <w:tc>
          <w:tcPr>
            <w:tcW w:w="6091" w:type="dxa"/>
          </w:tcPr>
          <w:p w14:paraId="6D993836" w14:textId="77777777" w:rsidR="00086CF8" w:rsidRDefault="00F242FD" w:rsidP="002F68E0">
            <w:r>
              <w:t>Болезни органов мочеполовой системы (мочеточников, мочевого пузыря, мочеиспускательного канала, предстательной железы и половых органов)</w:t>
            </w:r>
          </w:p>
        </w:tc>
        <w:tc>
          <w:tcPr>
            <w:tcW w:w="650" w:type="dxa"/>
          </w:tcPr>
          <w:p w14:paraId="2A0E6E9F" w14:textId="77777777" w:rsidR="00086CF8" w:rsidRDefault="00086CF8" w:rsidP="002F68E0"/>
        </w:tc>
        <w:tc>
          <w:tcPr>
            <w:tcW w:w="651" w:type="dxa"/>
          </w:tcPr>
          <w:p w14:paraId="06B69F1C" w14:textId="77777777" w:rsidR="00086CF8" w:rsidRDefault="00086CF8" w:rsidP="002F68E0"/>
        </w:tc>
        <w:tc>
          <w:tcPr>
            <w:tcW w:w="651" w:type="dxa"/>
          </w:tcPr>
          <w:p w14:paraId="2702A461" w14:textId="77777777" w:rsidR="00086CF8" w:rsidRDefault="00086CF8" w:rsidP="002F68E0"/>
        </w:tc>
        <w:tc>
          <w:tcPr>
            <w:tcW w:w="651" w:type="dxa"/>
          </w:tcPr>
          <w:p w14:paraId="2B68E15A" w14:textId="77777777" w:rsidR="00086CF8" w:rsidRDefault="00086CF8" w:rsidP="002F68E0"/>
        </w:tc>
        <w:tc>
          <w:tcPr>
            <w:tcW w:w="651" w:type="dxa"/>
          </w:tcPr>
          <w:p w14:paraId="7199F170" w14:textId="77777777" w:rsidR="00086CF8" w:rsidRDefault="00086CF8" w:rsidP="002F68E0"/>
        </w:tc>
      </w:tr>
      <w:tr w:rsidR="00086CF8" w14:paraId="7005F7B9" w14:textId="77777777" w:rsidTr="00A76E18">
        <w:tc>
          <w:tcPr>
            <w:tcW w:w="6091" w:type="dxa"/>
          </w:tcPr>
          <w:p w14:paraId="094AD444" w14:textId="77777777" w:rsidR="00086CF8" w:rsidRDefault="00F242FD" w:rsidP="002F68E0">
            <w:r>
              <w:t>Болезни органов опорно-двигательной системы (мышц, суставов, костей) и кожных покровов</w:t>
            </w:r>
          </w:p>
        </w:tc>
        <w:tc>
          <w:tcPr>
            <w:tcW w:w="650" w:type="dxa"/>
          </w:tcPr>
          <w:p w14:paraId="16BDF8E4" w14:textId="77777777" w:rsidR="00086CF8" w:rsidRDefault="00086CF8" w:rsidP="002F68E0"/>
        </w:tc>
        <w:tc>
          <w:tcPr>
            <w:tcW w:w="651" w:type="dxa"/>
          </w:tcPr>
          <w:p w14:paraId="1102018C" w14:textId="77777777" w:rsidR="00086CF8" w:rsidRDefault="00086CF8" w:rsidP="002F68E0"/>
        </w:tc>
        <w:tc>
          <w:tcPr>
            <w:tcW w:w="651" w:type="dxa"/>
          </w:tcPr>
          <w:p w14:paraId="15020C9D" w14:textId="77777777" w:rsidR="00086CF8" w:rsidRDefault="00086CF8" w:rsidP="002F68E0"/>
        </w:tc>
        <w:tc>
          <w:tcPr>
            <w:tcW w:w="651" w:type="dxa"/>
          </w:tcPr>
          <w:p w14:paraId="0AAA91B8" w14:textId="77777777" w:rsidR="00086CF8" w:rsidRDefault="00086CF8" w:rsidP="002F68E0"/>
        </w:tc>
        <w:tc>
          <w:tcPr>
            <w:tcW w:w="651" w:type="dxa"/>
          </w:tcPr>
          <w:p w14:paraId="4CA4F98A" w14:textId="77777777" w:rsidR="00086CF8" w:rsidRDefault="00086CF8" w:rsidP="002F68E0"/>
        </w:tc>
      </w:tr>
      <w:tr w:rsidR="00F242FD" w14:paraId="28FBE61B" w14:textId="77777777" w:rsidTr="00A76E18">
        <w:tc>
          <w:tcPr>
            <w:tcW w:w="6091" w:type="dxa"/>
          </w:tcPr>
          <w:p w14:paraId="2FFD772F" w14:textId="77777777" w:rsidR="00F242FD" w:rsidRDefault="00F242FD" w:rsidP="002F68E0">
            <w:r>
              <w:t>Болезни органов центральной и периферической нервной системы (головного мозга, спинного мозга и нервов)</w:t>
            </w:r>
          </w:p>
        </w:tc>
        <w:tc>
          <w:tcPr>
            <w:tcW w:w="650" w:type="dxa"/>
          </w:tcPr>
          <w:p w14:paraId="29D20D08" w14:textId="77777777" w:rsidR="00F242FD" w:rsidRDefault="00F242FD" w:rsidP="002F68E0"/>
        </w:tc>
        <w:tc>
          <w:tcPr>
            <w:tcW w:w="651" w:type="dxa"/>
          </w:tcPr>
          <w:p w14:paraId="7A4AC644" w14:textId="77777777" w:rsidR="00F242FD" w:rsidRDefault="00F242FD" w:rsidP="002F68E0"/>
        </w:tc>
        <w:tc>
          <w:tcPr>
            <w:tcW w:w="651" w:type="dxa"/>
          </w:tcPr>
          <w:p w14:paraId="21A52128" w14:textId="77777777" w:rsidR="00F242FD" w:rsidRDefault="00F242FD" w:rsidP="002F68E0"/>
        </w:tc>
        <w:tc>
          <w:tcPr>
            <w:tcW w:w="651" w:type="dxa"/>
          </w:tcPr>
          <w:p w14:paraId="56F5B826" w14:textId="77777777" w:rsidR="00F242FD" w:rsidRDefault="00F242FD" w:rsidP="002F68E0"/>
        </w:tc>
        <w:tc>
          <w:tcPr>
            <w:tcW w:w="651" w:type="dxa"/>
          </w:tcPr>
          <w:p w14:paraId="2BA6619F" w14:textId="77777777" w:rsidR="00F242FD" w:rsidRDefault="00F242FD" w:rsidP="002F68E0"/>
        </w:tc>
      </w:tr>
      <w:tr w:rsidR="00F242FD" w14:paraId="53592A65" w14:textId="77777777" w:rsidTr="00A76E18">
        <w:tc>
          <w:tcPr>
            <w:tcW w:w="6091" w:type="dxa"/>
          </w:tcPr>
          <w:p w14:paraId="62B76F60" w14:textId="77777777" w:rsidR="00F242FD" w:rsidRDefault="00F242FD" w:rsidP="002F68E0">
            <w:r>
              <w:t>Болезни органов эндокринной системы и нарушения метаболизма (включая сахарный диабет)</w:t>
            </w:r>
          </w:p>
        </w:tc>
        <w:tc>
          <w:tcPr>
            <w:tcW w:w="650" w:type="dxa"/>
          </w:tcPr>
          <w:p w14:paraId="3238A059" w14:textId="77777777" w:rsidR="00F242FD" w:rsidRDefault="00F242FD" w:rsidP="002F68E0"/>
        </w:tc>
        <w:tc>
          <w:tcPr>
            <w:tcW w:w="651" w:type="dxa"/>
          </w:tcPr>
          <w:p w14:paraId="416C5471" w14:textId="77777777" w:rsidR="00F242FD" w:rsidRDefault="00F242FD" w:rsidP="002F68E0"/>
        </w:tc>
        <w:tc>
          <w:tcPr>
            <w:tcW w:w="651" w:type="dxa"/>
          </w:tcPr>
          <w:p w14:paraId="73F05248" w14:textId="77777777" w:rsidR="00F242FD" w:rsidRDefault="00F242FD" w:rsidP="002F68E0"/>
        </w:tc>
        <w:tc>
          <w:tcPr>
            <w:tcW w:w="651" w:type="dxa"/>
          </w:tcPr>
          <w:p w14:paraId="65918F30" w14:textId="77777777" w:rsidR="00F242FD" w:rsidRDefault="00F242FD" w:rsidP="002F68E0"/>
        </w:tc>
        <w:tc>
          <w:tcPr>
            <w:tcW w:w="651" w:type="dxa"/>
          </w:tcPr>
          <w:p w14:paraId="1C2F082B" w14:textId="77777777" w:rsidR="00F242FD" w:rsidRDefault="00F242FD" w:rsidP="002F68E0"/>
        </w:tc>
      </w:tr>
      <w:tr w:rsidR="00F242FD" w14:paraId="5DBA1463" w14:textId="77777777" w:rsidTr="00A76E18">
        <w:tc>
          <w:tcPr>
            <w:tcW w:w="6091" w:type="dxa"/>
          </w:tcPr>
          <w:p w14:paraId="1EBC3731" w14:textId="77777777" w:rsidR="00F242FD" w:rsidRDefault="00F242FD" w:rsidP="002F68E0">
            <w:r>
              <w:t>Психические нарушения</w:t>
            </w:r>
          </w:p>
        </w:tc>
        <w:tc>
          <w:tcPr>
            <w:tcW w:w="650" w:type="dxa"/>
          </w:tcPr>
          <w:p w14:paraId="359E05C1" w14:textId="77777777" w:rsidR="00F242FD" w:rsidRDefault="00F242FD" w:rsidP="002F68E0"/>
        </w:tc>
        <w:tc>
          <w:tcPr>
            <w:tcW w:w="651" w:type="dxa"/>
          </w:tcPr>
          <w:p w14:paraId="0A4F8460" w14:textId="77777777" w:rsidR="00F242FD" w:rsidRDefault="00F242FD" w:rsidP="002F68E0"/>
        </w:tc>
        <w:tc>
          <w:tcPr>
            <w:tcW w:w="651" w:type="dxa"/>
          </w:tcPr>
          <w:p w14:paraId="27960063" w14:textId="77777777" w:rsidR="00F242FD" w:rsidRDefault="00F242FD" w:rsidP="002F68E0"/>
        </w:tc>
        <w:tc>
          <w:tcPr>
            <w:tcW w:w="651" w:type="dxa"/>
          </w:tcPr>
          <w:p w14:paraId="4099A191" w14:textId="77777777" w:rsidR="00F242FD" w:rsidRDefault="00F242FD" w:rsidP="002F68E0"/>
        </w:tc>
        <w:tc>
          <w:tcPr>
            <w:tcW w:w="651" w:type="dxa"/>
          </w:tcPr>
          <w:p w14:paraId="60D81C14" w14:textId="77777777" w:rsidR="00F242FD" w:rsidRDefault="00F242FD" w:rsidP="002F68E0"/>
        </w:tc>
      </w:tr>
      <w:tr w:rsidR="00F242FD" w14:paraId="18DD567F" w14:textId="77777777" w:rsidTr="00A76E18">
        <w:tc>
          <w:tcPr>
            <w:tcW w:w="6091" w:type="dxa"/>
          </w:tcPr>
          <w:p w14:paraId="46AD1419" w14:textId="77777777" w:rsidR="00F242FD" w:rsidRDefault="00F242FD" w:rsidP="002F68E0">
            <w:r>
              <w:t>Сумма баллов</w:t>
            </w:r>
          </w:p>
        </w:tc>
        <w:tc>
          <w:tcPr>
            <w:tcW w:w="3254" w:type="dxa"/>
            <w:gridSpan w:val="5"/>
          </w:tcPr>
          <w:p w14:paraId="78E8DFC4" w14:textId="77777777" w:rsidR="00F242FD" w:rsidRDefault="00F242FD" w:rsidP="002F68E0"/>
        </w:tc>
      </w:tr>
    </w:tbl>
    <w:p w14:paraId="0106DFAD" w14:textId="77777777" w:rsidR="002F68E0" w:rsidRDefault="002F68E0" w:rsidP="002F68E0">
      <w:pPr>
        <w:rPr>
          <w:u w:val="single"/>
        </w:rPr>
      </w:pPr>
    </w:p>
    <w:p w14:paraId="7E4BF603" w14:textId="03AC38AC" w:rsidR="00B078C3" w:rsidRPr="0008146B" w:rsidRDefault="000B0AC3" w:rsidP="002F68E0">
      <w:pPr>
        <w:rPr>
          <w:u w:val="single"/>
        </w:rPr>
      </w:pPr>
      <w:r w:rsidRPr="0008146B">
        <w:rPr>
          <w:u w:val="single"/>
        </w:rPr>
        <w:t>Оценка органов и систем:</w:t>
      </w:r>
    </w:p>
    <w:p w14:paraId="4329D3EA" w14:textId="77777777" w:rsidR="00B078C3" w:rsidRDefault="00F242FD" w:rsidP="002F68E0">
      <w:r w:rsidRPr="00F242FD">
        <w:t>0 баллов</w:t>
      </w:r>
      <w:r>
        <w:t xml:space="preserve">: </w:t>
      </w:r>
      <w:r w:rsidRPr="00F242FD">
        <w:t>отсутстви</w:t>
      </w:r>
      <w:r>
        <w:t>е</w:t>
      </w:r>
      <w:r w:rsidRPr="00F242FD">
        <w:t xml:space="preserve"> заболеваний в этой системе органов или </w:t>
      </w:r>
      <w:r>
        <w:t xml:space="preserve">наличие </w:t>
      </w:r>
      <w:r w:rsidRPr="00F242FD">
        <w:t>патологи</w:t>
      </w:r>
      <w:r>
        <w:t>и</w:t>
      </w:r>
      <w:r w:rsidRPr="00F242FD">
        <w:t>, которая не мешает нормальной жизнедеятельности, не влияет на прогноз и не требует лечения</w:t>
      </w:r>
      <w:r>
        <w:t>.</w:t>
      </w:r>
      <w:r w:rsidRPr="00F242FD">
        <w:t xml:space="preserve"> </w:t>
      </w:r>
    </w:p>
    <w:p w14:paraId="36B3978B" w14:textId="77777777" w:rsidR="00F242FD" w:rsidRDefault="00F242FD" w:rsidP="002F68E0">
      <w:r w:rsidRPr="00F242FD">
        <w:t>1</w:t>
      </w:r>
      <w:r>
        <w:t xml:space="preserve"> балл: </w:t>
      </w:r>
      <w:r w:rsidRPr="00F242FD">
        <w:t>лёгкие отклонения от нормы или перенесенные в прошлом заболевания</w:t>
      </w:r>
      <w:r>
        <w:t>.</w:t>
      </w:r>
      <w:r w:rsidRPr="00F242FD">
        <w:t xml:space="preserve"> </w:t>
      </w:r>
    </w:p>
    <w:p w14:paraId="22C979AD" w14:textId="77777777" w:rsidR="00F242FD" w:rsidRDefault="00F242FD" w:rsidP="002F68E0">
      <w:r w:rsidRPr="00F242FD">
        <w:t>2</w:t>
      </w:r>
      <w:r>
        <w:t xml:space="preserve"> балла: </w:t>
      </w:r>
      <w:r w:rsidRPr="00F242FD">
        <w:t>заболевани</w:t>
      </w:r>
      <w:r>
        <w:t>е</w:t>
      </w:r>
      <w:r w:rsidRPr="00F242FD">
        <w:t>, при котором необходимо назначение медикаментозной терапии</w:t>
      </w:r>
      <w:r>
        <w:t>.</w:t>
      </w:r>
      <w:r w:rsidRPr="00F242FD">
        <w:t xml:space="preserve"> </w:t>
      </w:r>
    </w:p>
    <w:p w14:paraId="264DB4F2" w14:textId="77777777" w:rsidR="00F242FD" w:rsidRDefault="00F242FD" w:rsidP="002F68E0">
      <w:r w:rsidRPr="00F242FD">
        <w:t>3 балла</w:t>
      </w:r>
      <w:r>
        <w:t>:</w:t>
      </w:r>
      <w:r w:rsidRPr="00F242FD">
        <w:t xml:space="preserve"> заболевани</w:t>
      </w:r>
      <w:r>
        <w:t>е</w:t>
      </w:r>
      <w:r w:rsidRPr="00F242FD">
        <w:t>, ставше</w:t>
      </w:r>
      <w:r>
        <w:t>е</w:t>
      </w:r>
      <w:r w:rsidRPr="00F242FD">
        <w:t xml:space="preserve"> причиной инвалидности</w:t>
      </w:r>
      <w:r>
        <w:t>.</w:t>
      </w:r>
      <w:r w:rsidRPr="00F242FD">
        <w:t xml:space="preserve"> </w:t>
      </w:r>
    </w:p>
    <w:p w14:paraId="0E236C41" w14:textId="77777777" w:rsidR="00F242FD" w:rsidRDefault="00F242FD" w:rsidP="002F68E0">
      <w:r w:rsidRPr="00F242FD">
        <w:t>4</w:t>
      </w:r>
      <w:r>
        <w:t xml:space="preserve"> балла: жизнеугрожающее </w:t>
      </w:r>
      <w:r w:rsidRPr="00F242FD">
        <w:t>заболевани</w:t>
      </w:r>
      <w:r>
        <w:t xml:space="preserve">е, </w:t>
      </w:r>
      <w:r w:rsidRPr="00F242FD">
        <w:t>требующее проведения неотложной терапии</w:t>
      </w:r>
      <w:r>
        <w:t>.</w:t>
      </w:r>
    </w:p>
    <w:p w14:paraId="79168862" w14:textId="25E2A3CB" w:rsidR="00A32A1D" w:rsidRDefault="00A32A1D" w:rsidP="002F68E0"/>
    <w:p w14:paraId="5D37C82C" w14:textId="0DDD64DA" w:rsidR="00A36D51" w:rsidRPr="00A36D51" w:rsidRDefault="008209A8" w:rsidP="00A36D51">
      <w:pPr>
        <w:pStyle w:val="2"/>
        <w:spacing w:before="0"/>
      </w:pPr>
      <w:bookmarkStart w:id="250" w:name="_Toc65068841"/>
      <w:r>
        <w:t xml:space="preserve">Приложение </w:t>
      </w:r>
      <w:r w:rsidRPr="00D73887">
        <w:t>Г</w:t>
      </w:r>
      <w:r w:rsidR="00FC57F5">
        <w:t>3</w:t>
      </w:r>
      <w:r>
        <w:t>.</w:t>
      </w:r>
      <w:r w:rsidRPr="00D73887">
        <w:t xml:space="preserve"> </w:t>
      </w:r>
      <w:bookmarkStart w:id="251" w:name="_Toc44401120"/>
      <w:r w:rsidR="00A36D51" w:rsidRPr="00777124">
        <w:rPr>
          <w:rFonts w:eastAsia="SimSun"/>
        </w:rPr>
        <w:t>Расчет трансплантационного риска по шкале EBMT</w:t>
      </w:r>
      <w:bookmarkEnd w:id="250"/>
      <w:bookmarkEnd w:id="251"/>
    </w:p>
    <w:p w14:paraId="40072A62" w14:textId="77777777" w:rsidR="00A36D51" w:rsidRPr="00777124" w:rsidRDefault="00A36D51" w:rsidP="00A36D51">
      <w:pPr>
        <w:rPr>
          <w:rFonts w:eastAsia="SimSun"/>
          <w:szCs w:val="24"/>
        </w:rPr>
      </w:pPr>
    </w:p>
    <w:p w14:paraId="6DF1C8BE" w14:textId="4FDC858D" w:rsidR="00A36D51" w:rsidRPr="00777124" w:rsidRDefault="00A36D51" w:rsidP="00FC57F5">
      <w:pPr>
        <w:ind w:firstLine="709"/>
        <w:rPr>
          <w:rFonts w:eastAsia="SimSun"/>
          <w:szCs w:val="24"/>
        </w:rPr>
      </w:pPr>
      <w:r w:rsidRPr="00777124">
        <w:rPr>
          <w:rFonts w:eastAsia="SimSun"/>
          <w:szCs w:val="24"/>
        </w:rPr>
        <w:t xml:space="preserve">Оценка трансплантационного риска проводится не более чем за 10 дней до начала предтрансплантационного кондиционирования </w:t>
      </w:r>
      <w:r w:rsidRPr="00777124">
        <w:rPr>
          <w:rFonts w:eastAsia="SimSun"/>
          <w:szCs w:val="24"/>
        </w:rPr>
        <w:fldChar w:fldCharType="begin" w:fldLock="1"/>
      </w:r>
      <w:r w:rsidR="00BE7F89">
        <w:rPr>
          <w:rFonts w:eastAsia="SimSun"/>
          <w:szCs w:val="24"/>
        </w:rPr>
        <w:instrText>ADDIN CSL_CITATION {"citationItems":[{"id":"ITEM-1","itemData":{"DOI":"10.1038/bmt.2011.110","ISSN":"02683369","PMID":"21643021","abstract":"The European Group for Blood and Marrow Transplantation (EBMT) risk score provides a simple tool to assess instantly chances and risks of hematopoietic SCT(HSCT) for an individual patient pre-transplant. Five factors, age of the patient, stage of the disease, time from diagnosis, donor type and donor recipient gender combination augment risk for an individual patient with increasing score from 0 as best to 7 as worst in an additive way. The score holds for all acquired hematological disorders, for allogeneic and autologous HSCT (score 0-5), is independent of the HSCT technology and is valid for standard or reduced intensity conditioning. Survival is uniformly worse for older patients, transplanted in advanced disease stage after a long-time interval and with a mismatched donor than for younger patients, transplanted soon in early stage with a well matched donor. Additional risk factors such as performance score, CMV serostatus or cytokine polymorphisms improve prediction but to different extents for low or high-risk patients. Comparative assessment of disease risk and global pre-transplant risk should guide decisions for each patient with his/her specific disease between HSCT and a non-transplant approach and replace the traditional 'donor vs no donor' with such a risk-adapted individualized strategy. © 2012 Macmillan Publishers Limited All rights reserved.","author":[{"dropping-particle":"","family":"Gratwohl","given":"A.","non-dropping-particle":"","parse-names":false,"suffix":""}],"container-title":"Bone Marrow Transplantation","id":"ITEM-1","issue":"6","issued":{"date-parts":[["2012","6","6"]]},"page":"749-756","publisher":"Nature Publishing Group","title":"The EBMT risk score","type":"article","volume":"47"},"uris":["http://www.mendeley.com/documents/?uuid=0e80be56-8f6f-3249-9016-dc0bcc819af7"]}],"mendeley":{"formattedCitation":"[95]","plainTextFormattedCitation":"[95]","previouslyFormattedCitation":"[94]"},"properties":{"noteIndex":0},"schema":"https://github.com/citation-style-language/schema/raw/master/csl-citation.json"}</w:instrText>
      </w:r>
      <w:r w:rsidRPr="00777124">
        <w:rPr>
          <w:rFonts w:eastAsia="SimSun"/>
          <w:szCs w:val="24"/>
        </w:rPr>
        <w:fldChar w:fldCharType="separate"/>
      </w:r>
      <w:r w:rsidR="00BE7F89" w:rsidRPr="00BE7F89">
        <w:rPr>
          <w:rFonts w:eastAsia="SimSun"/>
          <w:noProof/>
          <w:szCs w:val="24"/>
        </w:rPr>
        <w:t>[95]</w:t>
      </w:r>
      <w:r w:rsidRPr="00777124">
        <w:rPr>
          <w:rFonts w:eastAsia="SimSun"/>
          <w:szCs w:val="24"/>
        </w:rPr>
        <w:fldChar w:fldCharType="end"/>
      </w:r>
      <w:r w:rsidRPr="00777124">
        <w:rPr>
          <w:rFonts w:eastAsia="SimSun"/>
          <w:szCs w:val="24"/>
        </w:rPr>
        <w:t>.</w:t>
      </w:r>
    </w:p>
    <w:p w14:paraId="6FAF0460" w14:textId="77777777" w:rsidR="00A36D51" w:rsidRPr="00777124" w:rsidRDefault="00A36D51" w:rsidP="00A36D51">
      <w:pPr>
        <w:tabs>
          <w:tab w:val="left" w:pos="567"/>
        </w:tabs>
        <w:spacing w:line="240" w:lineRule="auto"/>
        <w:rPr>
          <w:rFonts w:eastAsia="SimSun"/>
          <w:b/>
          <w:szCs w:val="24"/>
        </w:rPr>
      </w:pPr>
    </w:p>
    <w:tbl>
      <w:tblPr>
        <w:tblW w:w="1070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20"/>
        <w:gridCol w:w="4060"/>
        <w:gridCol w:w="1829"/>
      </w:tblGrid>
      <w:tr w:rsidR="00A36D51" w:rsidRPr="00777124" w14:paraId="75E7EA47" w14:textId="77777777" w:rsidTr="00FC57F5">
        <w:trPr>
          <w:trHeight w:val="374"/>
        </w:trPr>
        <w:tc>
          <w:tcPr>
            <w:tcW w:w="4820" w:type="dxa"/>
          </w:tcPr>
          <w:p w14:paraId="2847D1AF" w14:textId="77777777" w:rsidR="00A36D51" w:rsidRPr="00777124" w:rsidRDefault="00A36D51" w:rsidP="00F678DA">
            <w:pPr>
              <w:pStyle w:val="table-head-left"/>
              <w:rPr>
                <w:kern w:val="2"/>
                <w:szCs w:val="24"/>
                <w:lang w:eastAsia="zh-CN" w:bidi="hi-IN"/>
              </w:rPr>
            </w:pPr>
            <w:r w:rsidRPr="00777124">
              <w:rPr>
                <w:kern w:val="2"/>
                <w:szCs w:val="24"/>
                <w:lang w:eastAsia="zh-CN" w:bidi="hi-IN"/>
              </w:rPr>
              <w:t>Факторы риска</w:t>
            </w:r>
          </w:p>
        </w:tc>
        <w:tc>
          <w:tcPr>
            <w:tcW w:w="4060" w:type="dxa"/>
          </w:tcPr>
          <w:p w14:paraId="6643F552" w14:textId="77777777" w:rsidR="00A36D51" w:rsidRPr="00777124" w:rsidRDefault="00A36D51" w:rsidP="00F678DA">
            <w:pPr>
              <w:pStyle w:val="table-head-left"/>
              <w:rPr>
                <w:kern w:val="2"/>
                <w:szCs w:val="24"/>
                <w:lang w:eastAsia="zh-CN" w:bidi="hi-IN"/>
              </w:rPr>
            </w:pPr>
            <w:r w:rsidRPr="00777124">
              <w:rPr>
                <w:bCs/>
                <w:kern w:val="2"/>
                <w:szCs w:val="24"/>
                <w:lang w:eastAsia="zh-CN" w:bidi="hi-IN"/>
              </w:rPr>
              <w:t>Характеристика факторов риска</w:t>
            </w:r>
          </w:p>
        </w:tc>
        <w:tc>
          <w:tcPr>
            <w:tcW w:w="1829" w:type="dxa"/>
          </w:tcPr>
          <w:p w14:paraId="58274752" w14:textId="77777777" w:rsidR="00A36D51" w:rsidRPr="00777124" w:rsidRDefault="00A36D51" w:rsidP="00F678DA">
            <w:pPr>
              <w:pStyle w:val="table-head-left"/>
              <w:rPr>
                <w:kern w:val="2"/>
                <w:szCs w:val="24"/>
                <w:lang w:eastAsia="zh-CN" w:bidi="hi-IN"/>
              </w:rPr>
            </w:pPr>
            <w:r w:rsidRPr="00777124">
              <w:rPr>
                <w:bCs/>
                <w:kern w:val="2"/>
                <w:szCs w:val="24"/>
                <w:lang w:eastAsia="zh-CN" w:bidi="hi-IN"/>
              </w:rPr>
              <w:t>Баллы</w:t>
            </w:r>
          </w:p>
        </w:tc>
      </w:tr>
      <w:tr w:rsidR="00A36D51" w:rsidRPr="00777124" w14:paraId="6FE01BBC" w14:textId="77777777" w:rsidTr="00FC57F5">
        <w:trPr>
          <w:trHeight w:val="258"/>
        </w:trPr>
        <w:tc>
          <w:tcPr>
            <w:tcW w:w="4820" w:type="dxa"/>
            <w:vMerge w:val="restart"/>
          </w:tcPr>
          <w:p w14:paraId="5D13AFA9"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Возраст</w:t>
            </w:r>
          </w:p>
        </w:tc>
        <w:tc>
          <w:tcPr>
            <w:tcW w:w="4060" w:type="dxa"/>
          </w:tcPr>
          <w:p w14:paraId="5746C8A0"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 xml:space="preserve">&lt; 20 лет </w:t>
            </w:r>
          </w:p>
        </w:tc>
        <w:tc>
          <w:tcPr>
            <w:tcW w:w="1829" w:type="dxa"/>
          </w:tcPr>
          <w:p w14:paraId="518B80FC"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0</w:t>
            </w:r>
          </w:p>
        </w:tc>
      </w:tr>
      <w:tr w:rsidR="00A36D51" w:rsidRPr="00777124" w14:paraId="362C9F68" w14:textId="77777777" w:rsidTr="00FC57F5">
        <w:trPr>
          <w:trHeight w:val="107"/>
        </w:trPr>
        <w:tc>
          <w:tcPr>
            <w:tcW w:w="4820" w:type="dxa"/>
            <w:vMerge/>
          </w:tcPr>
          <w:p w14:paraId="0394F37C" w14:textId="77777777" w:rsidR="00A36D51" w:rsidRPr="00777124" w:rsidRDefault="00A36D51" w:rsidP="00F678DA">
            <w:pPr>
              <w:pStyle w:val="table-text-0"/>
              <w:rPr>
                <w:kern w:val="2"/>
                <w:sz w:val="24"/>
                <w:szCs w:val="24"/>
                <w:lang w:eastAsia="zh-CN" w:bidi="hi-IN"/>
              </w:rPr>
            </w:pPr>
          </w:p>
        </w:tc>
        <w:tc>
          <w:tcPr>
            <w:tcW w:w="4060" w:type="dxa"/>
          </w:tcPr>
          <w:p w14:paraId="044D9D04"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20–40 лет</w:t>
            </w:r>
          </w:p>
        </w:tc>
        <w:tc>
          <w:tcPr>
            <w:tcW w:w="1829" w:type="dxa"/>
          </w:tcPr>
          <w:p w14:paraId="308D4213"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1</w:t>
            </w:r>
          </w:p>
        </w:tc>
      </w:tr>
      <w:tr w:rsidR="00A36D51" w:rsidRPr="00777124" w14:paraId="7F380821" w14:textId="77777777" w:rsidTr="00FC57F5">
        <w:trPr>
          <w:trHeight w:val="107"/>
        </w:trPr>
        <w:tc>
          <w:tcPr>
            <w:tcW w:w="4820" w:type="dxa"/>
            <w:vMerge/>
          </w:tcPr>
          <w:p w14:paraId="68EC1DB7" w14:textId="77777777" w:rsidR="00A36D51" w:rsidRPr="00777124" w:rsidRDefault="00A36D51" w:rsidP="00F678DA">
            <w:pPr>
              <w:pStyle w:val="table-text-0"/>
              <w:rPr>
                <w:kern w:val="2"/>
                <w:sz w:val="24"/>
                <w:szCs w:val="24"/>
                <w:lang w:eastAsia="zh-CN" w:bidi="hi-IN"/>
              </w:rPr>
            </w:pPr>
          </w:p>
        </w:tc>
        <w:tc>
          <w:tcPr>
            <w:tcW w:w="4060" w:type="dxa"/>
          </w:tcPr>
          <w:p w14:paraId="453CD384"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&gt; 40 лет</w:t>
            </w:r>
          </w:p>
        </w:tc>
        <w:tc>
          <w:tcPr>
            <w:tcW w:w="1829" w:type="dxa"/>
          </w:tcPr>
          <w:p w14:paraId="498B4738"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2</w:t>
            </w:r>
          </w:p>
        </w:tc>
      </w:tr>
      <w:tr w:rsidR="00A36D51" w:rsidRPr="00777124" w14:paraId="5159EFE7" w14:textId="77777777" w:rsidTr="00FC57F5">
        <w:trPr>
          <w:trHeight w:val="258"/>
        </w:trPr>
        <w:tc>
          <w:tcPr>
            <w:tcW w:w="4820" w:type="dxa"/>
            <w:vMerge w:val="restart"/>
          </w:tcPr>
          <w:p w14:paraId="239CE38F"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Статус заболевания</w:t>
            </w:r>
            <w:r w:rsidRPr="00777124">
              <w:rPr>
                <w:kern w:val="2"/>
                <w:sz w:val="24"/>
                <w:szCs w:val="24"/>
                <w:vertAlign w:val="superscript"/>
                <w:lang w:eastAsia="zh-CN" w:bidi="hi-IN"/>
              </w:rPr>
              <w:t>1</w:t>
            </w:r>
          </w:p>
        </w:tc>
        <w:tc>
          <w:tcPr>
            <w:tcW w:w="4060" w:type="dxa"/>
          </w:tcPr>
          <w:p w14:paraId="54D2AB4E"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Ранний</w:t>
            </w:r>
          </w:p>
        </w:tc>
        <w:tc>
          <w:tcPr>
            <w:tcW w:w="1829" w:type="dxa"/>
          </w:tcPr>
          <w:p w14:paraId="3102BEAE"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0</w:t>
            </w:r>
          </w:p>
        </w:tc>
      </w:tr>
      <w:tr w:rsidR="00A36D51" w:rsidRPr="00777124" w14:paraId="454AB8D1" w14:textId="77777777" w:rsidTr="00FC57F5">
        <w:trPr>
          <w:trHeight w:val="107"/>
        </w:trPr>
        <w:tc>
          <w:tcPr>
            <w:tcW w:w="4820" w:type="dxa"/>
            <w:vMerge/>
          </w:tcPr>
          <w:p w14:paraId="025550D5" w14:textId="77777777" w:rsidR="00A36D51" w:rsidRPr="00777124" w:rsidRDefault="00A36D51" w:rsidP="00F678DA">
            <w:pPr>
              <w:pStyle w:val="table-text-0"/>
              <w:rPr>
                <w:kern w:val="2"/>
                <w:sz w:val="24"/>
                <w:szCs w:val="24"/>
                <w:lang w:eastAsia="zh-CN" w:bidi="hi-IN"/>
              </w:rPr>
            </w:pPr>
          </w:p>
        </w:tc>
        <w:tc>
          <w:tcPr>
            <w:tcW w:w="4060" w:type="dxa"/>
          </w:tcPr>
          <w:p w14:paraId="1E0A9BAD"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Промежуточный</w:t>
            </w:r>
          </w:p>
        </w:tc>
        <w:tc>
          <w:tcPr>
            <w:tcW w:w="1829" w:type="dxa"/>
          </w:tcPr>
          <w:p w14:paraId="1802FA58"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1</w:t>
            </w:r>
          </w:p>
        </w:tc>
      </w:tr>
      <w:tr w:rsidR="00A36D51" w:rsidRPr="00777124" w14:paraId="02D92A61" w14:textId="77777777" w:rsidTr="00FC57F5">
        <w:trPr>
          <w:trHeight w:val="107"/>
        </w:trPr>
        <w:tc>
          <w:tcPr>
            <w:tcW w:w="4820" w:type="dxa"/>
            <w:vMerge/>
          </w:tcPr>
          <w:p w14:paraId="5EA10244" w14:textId="77777777" w:rsidR="00A36D51" w:rsidRPr="00777124" w:rsidRDefault="00A36D51" w:rsidP="00F678DA">
            <w:pPr>
              <w:pStyle w:val="table-text-0"/>
              <w:rPr>
                <w:kern w:val="2"/>
                <w:sz w:val="24"/>
                <w:szCs w:val="24"/>
                <w:lang w:eastAsia="zh-CN" w:bidi="hi-IN"/>
              </w:rPr>
            </w:pPr>
          </w:p>
        </w:tc>
        <w:tc>
          <w:tcPr>
            <w:tcW w:w="4060" w:type="dxa"/>
          </w:tcPr>
          <w:p w14:paraId="61E0CA76"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Развернутый</w:t>
            </w:r>
          </w:p>
        </w:tc>
        <w:tc>
          <w:tcPr>
            <w:tcW w:w="1829" w:type="dxa"/>
          </w:tcPr>
          <w:p w14:paraId="07C3EFF4"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2</w:t>
            </w:r>
          </w:p>
        </w:tc>
      </w:tr>
      <w:tr w:rsidR="00A36D51" w:rsidRPr="00777124" w14:paraId="3987EE52" w14:textId="77777777" w:rsidTr="00FC57F5">
        <w:trPr>
          <w:trHeight w:val="258"/>
        </w:trPr>
        <w:tc>
          <w:tcPr>
            <w:tcW w:w="4820" w:type="dxa"/>
            <w:vMerge w:val="restart"/>
          </w:tcPr>
          <w:p w14:paraId="603B6A55"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Время от постановки диагноза до ТГСК</w:t>
            </w:r>
            <w:r w:rsidRPr="00777124">
              <w:rPr>
                <w:kern w:val="2"/>
                <w:sz w:val="24"/>
                <w:szCs w:val="24"/>
                <w:vertAlign w:val="superscript"/>
                <w:lang w:eastAsia="zh-CN" w:bidi="hi-IN"/>
              </w:rPr>
              <w:t>2</w:t>
            </w:r>
          </w:p>
        </w:tc>
        <w:tc>
          <w:tcPr>
            <w:tcW w:w="4060" w:type="dxa"/>
          </w:tcPr>
          <w:p w14:paraId="626B2754"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&lt; 12 мес</w:t>
            </w:r>
          </w:p>
        </w:tc>
        <w:tc>
          <w:tcPr>
            <w:tcW w:w="1829" w:type="dxa"/>
          </w:tcPr>
          <w:p w14:paraId="43D0BA4D"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0</w:t>
            </w:r>
          </w:p>
        </w:tc>
      </w:tr>
      <w:tr w:rsidR="00A36D51" w:rsidRPr="00777124" w14:paraId="57668C9C" w14:textId="77777777" w:rsidTr="00FC57F5">
        <w:trPr>
          <w:trHeight w:val="107"/>
        </w:trPr>
        <w:tc>
          <w:tcPr>
            <w:tcW w:w="4820" w:type="dxa"/>
            <w:vMerge/>
          </w:tcPr>
          <w:p w14:paraId="2ECE8B2B" w14:textId="77777777" w:rsidR="00A36D51" w:rsidRPr="00777124" w:rsidRDefault="00A36D51" w:rsidP="00F678DA">
            <w:pPr>
              <w:pStyle w:val="table-text-0"/>
              <w:rPr>
                <w:kern w:val="2"/>
                <w:sz w:val="24"/>
                <w:szCs w:val="24"/>
                <w:lang w:eastAsia="zh-CN" w:bidi="hi-IN"/>
              </w:rPr>
            </w:pPr>
          </w:p>
        </w:tc>
        <w:tc>
          <w:tcPr>
            <w:tcW w:w="4060" w:type="dxa"/>
          </w:tcPr>
          <w:p w14:paraId="44BDC01F" w14:textId="77777777" w:rsidR="00A36D51" w:rsidRPr="00777124" w:rsidRDefault="00A36D51" w:rsidP="00F678DA">
            <w:pPr>
              <w:pStyle w:val="table-text-0"/>
              <w:rPr>
                <w:kern w:val="2"/>
                <w:sz w:val="24"/>
                <w:szCs w:val="24"/>
                <w:lang w:eastAsia="zh-CN" w:bidi="hi-IN"/>
              </w:rPr>
            </w:pPr>
            <w:r w:rsidRPr="00777124">
              <w:rPr>
                <w:color w:val="222222"/>
                <w:kern w:val="2"/>
                <w:sz w:val="24"/>
                <w:szCs w:val="24"/>
                <w:lang w:eastAsia="zh-CN" w:bidi="hi-IN"/>
              </w:rPr>
              <w:t>≥ 12 мес</w:t>
            </w:r>
          </w:p>
        </w:tc>
        <w:tc>
          <w:tcPr>
            <w:tcW w:w="1829" w:type="dxa"/>
          </w:tcPr>
          <w:p w14:paraId="3E803463"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1</w:t>
            </w:r>
          </w:p>
        </w:tc>
      </w:tr>
      <w:tr w:rsidR="00A36D51" w:rsidRPr="00777124" w14:paraId="74FA1873" w14:textId="77777777" w:rsidTr="00FC57F5">
        <w:trPr>
          <w:trHeight w:val="232"/>
        </w:trPr>
        <w:tc>
          <w:tcPr>
            <w:tcW w:w="4820" w:type="dxa"/>
            <w:vMerge w:val="restart"/>
          </w:tcPr>
          <w:p w14:paraId="142D23ED"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Донор</w:t>
            </w:r>
          </w:p>
        </w:tc>
        <w:tc>
          <w:tcPr>
            <w:tcW w:w="4060" w:type="dxa"/>
          </w:tcPr>
          <w:p w14:paraId="22C7FA1D"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HLA-идентичный сиблинг</w:t>
            </w:r>
          </w:p>
        </w:tc>
        <w:tc>
          <w:tcPr>
            <w:tcW w:w="1829" w:type="dxa"/>
          </w:tcPr>
          <w:p w14:paraId="6CD2FB28"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0</w:t>
            </w:r>
          </w:p>
        </w:tc>
      </w:tr>
      <w:tr w:rsidR="00A36D51" w:rsidRPr="00777124" w14:paraId="159E167C" w14:textId="77777777" w:rsidTr="00FC57F5">
        <w:trPr>
          <w:trHeight w:val="107"/>
        </w:trPr>
        <w:tc>
          <w:tcPr>
            <w:tcW w:w="4820" w:type="dxa"/>
            <w:vMerge/>
          </w:tcPr>
          <w:p w14:paraId="3988FBC6" w14:textId="77777777" w:rsidR="00A36D51" w:rsidRPr="00777124" w:rsidRDefault="00A36D51" w:rsidP="00F678DA">
            <w:pPr>
              <w:pStyle w:val="table-text-0"/>
              <w:rPr>
                <w:kern w:val="2"/>
                <w:sz w:val="24"/>
                <w:szCs w:val="24"/>
                <w:lang w:eastAsia="zh-CN" w:bidi="hi-IN"/>
              </w:rPr>
            </w:pPr>
          </w:p>
        </w:tc>
        <w:tc>
          <w:tcPr>
            <w:tcW w:w="4060" w:type="dxa"/>
          </w:tcPr>
          <w:p w14:paraId="572FA87B"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Неродственный донор</w:t>
            </w:r>
          </w:p>
        </w:tc>
        <w:tc>
          <w:tcPr>
            <w:tcW w:w="1829" w:type="dxa"/>
          </w:tcPr>
          <w:p w14:paraId="5A5F5072"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1</w:t>
            </w:r>
          </w:p>
        </w:tc>
      </w:tr>
      <w:tr w:rsidR="00A36D51" w:rsidRPr="00777124" w14:paraId="7F6C8605" w14:textId="77777777" w:rsidTr="00FC57F5">
        <w:trPr>
          <w:trHeight w:val="242"/>
        </w:trPr>
        <w:tc>
          <w:tcPr>
            <w:tcW w:w="4820" w:type="dxa"/>
            <w:vMerge w:val="restart"/>
          </w:tcPr>
          <w:p w14:paraId="6CD14A31"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Пол донора и реципиента</w:t>
            </w:r>
          </w:p>
        </w:tc>
        <w:tc>
          <w:tcPr>
            <w:tcW w:w="4060" w:type="dxa"/>
          </w:tcPr>
          <w:p w14:paraId="34182E04"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Донор — женщина,</w:t>
            </w:r>
            <w:r w:rsidRPr="00777124">
              <w:rPr>
                <w:kern w:val="2"/>
                <w:sz w:val="24"/>
                <w:szCs w:val="24"/>
                <w:lang w:val="en-US" w:eastAsia="zh-CN" w:bidi="hi-IN"/>
              </w:rPr>
              <w:t xml:space="preserve"> </w:t>
            </w:r>
            <w:r w:rsidRPr="00777124">
              <w:rPr>
                <w:kern w:val="2"/>
                <w:sz w:val="24"/>
                <w:szCs w:val="24"/>
                <w:lang w:eastAsia="zh-CN" w:bidi="hi-IN"/>
              </w:rPr>
              <w:t>реципиент —мужчина</w:t>
            </w:r>
          </w:p>
        </w:tc>
        <w:tc>
          <w:tcPr>
            <w:tcW w:w="1829" w:type="dxa"/>
          </w:tcPr>
          <w:p w14:paraId="1EAA1ECE"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1</w:t>
            </w:r>
          </w:p>
        </w:tc>
      </w:tr>
      <w:tr w:rsidR="00A36D51" w:rsidRPr="00777124" w14:paraId="298B21EE" w14:textId="77777777" w:rsidTr="00FC57F5">
        <w:trPr>
          <w:trHeight w:val="107"/>
        </w:trPr>
        <w:tc>
          <w:tcPr>
            <w:tcW w:w="4820" w:type="dxa"/>
            <w:vMerge/>
          </w:tcPr>
          <w:p w14:paraId="015E6F12" w14:textId="77777777" w:rsidR="00A36D51" w:rsidRPr="00777124" w:rsidRDefault="00A36D51" w:rsidP="00F678DA">
            <w:pPr>
              <w:pStyle w:val="table-text-0"/>
              <w:rPr>
                <w:kern w:val="2"/>
                <w:sz w:val="24"/>
                <w:szCs w:val="24"/>
                <w:lang w:eastAsia="zh-CN" w:bidi="hi-IN"/>
              </w:rPr>
            </w:pPr>
          </w:p>
        </w:tc>
        <w:tc>
          <w:tcPr>
            <w:tcW w:w="4060" w:type="dxa"/>
          </w:tcPr>
          <w:p w14:paraId="1ED7C5C1"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Другие сочетания</w:t>
            </w:r>
          </w:p>
        </w:tc>
        <w:tc>
          <w:tcPr>
            <w:tcW w:w="1829" w:type="dxa"/>
          </w:tcPr>
          <w:p w14:paraId="56CA4A24"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0</w:t>
            </w:r>
          </w:p>
        </w:tc>
      </w:tr>
      <w:tr w:rsidR="00A36D51" w:rsidRPr="00777124" w14:paraId="450A72BC" w14:textId="77777777" w:rsidTr="00FC57F5">
        <w:trPr>
          <w:trHeight w:val="107"/>
        </w:trPr>
        <w:tc>
          <w:tcPr>
            <w:tcW w:w="10709" w:type="dxa"/>
            <w:gridSpan w:val="3"/>
          </w:tcPr>
          <w:p w14:paraId="59A17755" w14:textId="77777777" w:rsidR="00A36D51" w:rsidRPr="00777124" w:rsidRDefault="00A36D51" w:rsidP="00F678DA">
            <w:pPr>
              <w:pStyle w:val="table-ref"/>
              <w:rPr>
                <w:rFonts w:eastAsia="SimSun"/>
                <w:sz w:val="24"/>
                <w:szCs w:val="24"/>
              </w:rPr>
            </w:pPr>
            <w:r w:rsidRPr="00777124">
              <w:rPr>
                <w:rFonts w:eastAsia="SimSun"/>
                <w:sz w:val="24"/>
                <w:szCs w:val="24"/>
                <w:vertAlign w:val="superscript"/>
              </w:rPr>
              <w:t>1</w:t>
            </w:r>
            <w:r w:rsidRPr="00777124">
              <w:rPr>
                <w:rFonts w:eastAsia="SimSun"/>
                <w:sz w:val="24"/>
                <w:szCs w:val="24"/>
              </w:rPr>
              <w:t xml:space="preserve"> Не применяется у пациентов с АА. </w:t>
            </w:r>
          </w:p>
          <w:p w14:paraId="226BE9D9" w14:textId="77777777" w:rsidR="00A36D51" w:rsidRPr="00777124" w:rsidRDefault="00A36D51" w:rsidP="00F678DA">
            <w:pPr>
              <w:pStyle w:val="table-ref"/>
              <w:rPr>
                <w:rFonts w:eastAsia="SimSun"/>
                <w:sz w:val="24"/>
                <w:szCs w:val="24"/>
              </w:rPr>
            </w:pPr>
            <w:r w:rsidRPr="00777124">
              <w:rPr>
                <w:rFonts w:eastAsia="SimSun"/>
                <w:sz w:val="24"/>
                <w:szCs w:val="24"/>
              </w:rPr>
              <w:t>Ранний — острый лейкоз в ПР1; МДС в ПР1 или без предшествующего лечения; ХМЛ в 1 хронической фазе; НХЛ нелеченная или в ПР1; ММ нелеченная или в ПР1.</w:t>
            </w:r>
          </w:p>
          <w:p w14:paraId="20F6E7E0" w14:textId="77777777" w:rsidR="00A36D51" w:rsidRPr="00777124" w:rsidRDefault="00A36D51" w:rsidP="00F678DA">
            <w:pPr>
              <w:pStyle w:val="table-ref"/>
              <w:rPr>
                <w:rFonts w:eastAsia="SimSun"/>
                <w:sz w:val="24"/>
                <w:szCs w:val="24"/>
              </w:rPr>
            </w:pPr>
            <w:r w:rsidRPr="00777124">
              <w:rPr>
                <w:rFonts w:eastAsia="SimSun"/>
                <w:sz w:val="24"/>
                <w:szCs w:val="24"/>
              </w:rPr>
              <w:t>Промежуточный — острый лейкоз в ПР2; ХМЛ за исключением хронической фазы 1 и БК; МДС в ПР2 или ЧР; НХЛ в ПР2, ЧР или стабилизация заболевания; ММ в ПР2, ЧР или стабилизация заболевания.</w:t>
            </w:r>
          </w:p>
          <w:p w14:paraId="3B2A3F23" w14:textId="77777777" w:rsidR="00A36D51" w:rsidRPr="00777124" w:rsidRDefault="00A36D51" w:rsidP="00F678DA">
            <w:pPr>
              <w:pStyle w:val="table-ref"/>
              <w:rPr>
                <w:rFonts w:eastAsia="SimSun"/>
                <w:sz w:val="24"/>
                <w:szCs w:val="24"/>
              </w:rPr>
            </w:pPr>
            <w:r w:rsidRPr="00777124">
              <w:rPr>
                <w:rFonts w:eastAsia="SimSun"/>
                <w:sz w:val="24"/>
                <w:szCs w:val="24"/>
              </w:rPr>
              <w:t>Развернутый — острый лейкоз в других стадиях кроме ПР1 и ПР2; ХМЛ в БК; МДС во всех других стадиях; НХЛ во всех других стадиях; ММ во всех других стадиях.</w:t>
            </w:r>
          </w:p>
          <w:p w14:paraId="5EC4F57C" w14:textId="77777777" w:rsidR="00A36D51" w:rsidRPr="00777124" w:rsidRDefault="00A36D51" w:rsidP="00F678DA">
            <w:pPr>
              <w:pStyle w:val="table-ref"/>
              <w:rPr>
                <w:rFonts w:eastAsia="SimSun"/>
                <w:sz w:val="24"/>
                <w:szCs w:val="24"/>
              </w:rPr>
            </w:pPr>
            <w:r w:rsidRPr="00777124">
              <w:rPr>
                <w:rFonts w:eastAsia="SimSun"/>
                <w:sz w:val="24"/>
                <w:szCs w:val="24"/>
                <w:vertAlign w:val="superscript"/>
              </w:rPr>
              <w:t>2</w:t>
            </w:r>
            <w:r w:rsidRPr="00777124">
              <w:rPr>
                <w:rFonts w:eastAsia="SimSun"/>
                <w:sz w:val="24"/>
                <w:szCs w:val="24"/>
              </w:rPr>
              <w:t xml:space="preserve"> Не применяется у пациентов в ПР1.</w:t>
            </w:r>
          </w:p>
        </w:tc>
      </w:tr>
    </w:tbl>
    <w:p w14:paraId="3CE06439" w14:textId="77777777" w:rsidR="00A36D51" w:rsidRPr="00777124" w:rsidRDefault="00A36D51" w:rsidP="00A36D51">
      <w:pPr>
        <w:spacing w:line="240" w:lineRule="auto"/>
        <w:rPr>
          <w:rFonts w:eastAsia="SimSun"/>
          <w:szCs w:val="24"/>
        </w:rPr>
      </w:pPr>
    </w:p>
    <w:p w14:paraId="0771B4F4" w14:textId="77777777" w:rsidR="00A36D51" w:rsidRPr="00777124" w:rsidRDefault="00A36D51" w:rsidP="00A36D51">
      <w:pPr>
        <w:pStyle w:val="table-name"/>
        <w:rPr>
          <w:rFonts w:eastAsia="SimSun"/>
          <w:sz w:val="24"/>
          <w:szCs w:val="24"/>
          <w:lang w:val="ru-RU"/>
        </w:rPr>
      </w:pPr>
      <w:r w:rsidRPr="00777124">
        <w:rPr>
          <w:rFonts w:eastAsia="SimSun"/>
          <w:sz w:val="24"/>
          <w:szCs w:val="24"/>
          <w:lang w:val="ru-RU"/>
        </w:rPr>
        <w:t xml:space="preserve">Пятилетняя летальность (%), связанная с трансплантацией, согласно шкале риска </w:t>
      </w:r>
      <w:r w:rsidRPr="00777124">
        <w:rPr>
          <w:rFonts w:eastAsia="SimSun"/>
          <w:sz w:val="24"/>
          <w:szCs w:val="24"/>
        </w:rPr>
        <w:t>EBMT</w:t>
      </w:r>
    </w:p>
    <w:tbl>
      <w:tblPr>
        <w:tblW w:w="107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314"/>
        <w:gridCol w:w="1314"/>
        <w:gridCol w:w="1314"/>
        <w:gridCol w:w="1314"/>
        <w:gridCol w:w="1314"/>
        <w:gridCol w:w="1314"/>
        <w:gridCol w:w="1314"/>
      </w:tblGrid>
      <w:tr w:rsidR="00A36D51" w:rsidRPr="00777124" w14:paraId="20063A38" w14:textId="77777777" w:rsidTr="00FC57F5">
        <w:trPr>
          <w:trHeight w:val="360"/>
        </w:trPr>
        <w:tc>
          <w:tcPr>
            <w:tcW w:w="1531" w:type="dxa"/>
          </w:tcPr>
          <w:p w14:paraId="3037AABD" w14:textId="77777777" w:rsidR="00A36D51" w:rsidRPr="00777124" w:rsidRDefault="00A36D51" w:rsidP="00F678DA">
            <w:pPr>
              <w:pStyle w:val="table-head-left"/>
              <w:rPr>
                <w:kern w:val="2"/>
                <w:szCs w:val="24"/>
                <w:lang w:eastAsia="zh-CN" w:bidi="hi-IN"/>
              </w:rPr>
            </w:pPr>
            <w:r w:rsidRPr="00777124">
              <w:rPr>
                <w:kern w:val="2"/>
                <w:szCs w:val="24"/>
                <w:lang w:eastAsia="zh-CN" w:bidi="hi-IN"/>
              </w:rPr>
              <w:t>Баллы</w:t>
            </w:r>
          </w:p>
        </w:tc>
        <w:tc>
          <w:tcPr>
            <w:tcW w:w="1314" w:type="dxa"/>
          </w:tcPr>
          <w:p w14:paraId="629DF40B" w14:textId="77777777" w:rsidR="00A36D51" w:rsidRPr="00777124" w:rsidRDefault="00A36D51" w:rsidP="00F678DA">
            <w:pPr>
              <w:pStyle w:val="table-head-left"/>
              <w:rPr>
                <w:kern w:val="2"/>
                <w:szCs w:val="24"/>
                <w:lang w:eastAsia="zh-CN" w:bidi="hi-IN"/>
              </w:rPr>
            </w:pPr>
            <w:r w:rsidRPr="00777124">
              <w:rPr>
                <w:kern w:val="2"/>
                <w:szCs w:val="24"/>
                <w:lang w:eastAsia="zh-CN" w:bidi="hi-IN"/>
              </w:rPr>
              <w:t>0</w:t>
            </w:r>
          </w:p>
        </w:tc>
        <w:tc>
          <w:tcPr>
            <w:tcW w:w="1314" w:type="dxa"/>
          </w:tcPr>
          <w:p w14:paraId="60A82C9A" w14:textId="77777777" w:rsidR="00A36D51" w:rsidRPr="00777124" w:rsidRDefault="00A36D51" w:rsidP="00F678DA">
            <w:pPr>
              <w:pStyle w:val="table-head-left"/>
              <w:rPr>
                <w:kern w:val="2"/>
                <w:szCs w:val="24"/>
                <w:lang w:eastAsia="zh-CN" w:bidi="hi-IN"/>
              </w:rPr>
            </w:pPr>
            <w:r w:rsidRPr="00777124">
              <w:rPr>
                <w:kern w:val="2"/>
                <w:szCs w:val="24"/>
                <w:lang w:eastAsia="zh-CN" w:bidi="hi-IN"/>
              </w:rPr>
              <w:t>1</w:t>
            </w:r>
          </w:p>
        </w:tc>
        <w:tc>
          <w:tcPr>
            <w:tcW w:w="1314" w:type="dxa"/>
          </w:tcPr>
          <w:p w14:paraId="2EC3EB49" w14:textId="77777777" w:rsidR="00A36D51" w:rsidRPr="00777124" w:rsidRDefault="00A36D51" w:rsidP="00F678DA">
            <w:pPr>
              <w:pStyle w:val="table-head-left"/>
              <w:rPr>
                <w:kern w:val="2"/>
                <w:szCs w:val="24"/>
                <w:lang w:eastAsia="zh-CN" w:bidi="hi-IN"/>
              </w:rPr>
            </w:pPr>
            <w:r w:rsidRPr="00777124">
              <w:rPr>
                <w:kern w:val="2"/>
                <w:szCs w:val="24"/>
                <w:lang w:eastAsia="zh-CN" w:bidi="hi-IN"/>
              </w:rPr>
              <w:t>2</w:t>
            </w:r>
          </w:p>
        </w:tc>
        <w:tc>
          <w:tcPr>
            <w:tcW w:w="1314" w:type="dxa"/>
          </w:tcPr>
          <w:p w14:paraId="2D26131B" w14:textId="77777777" w:rsidR="00A36D51" w:rsidRPr="00777124" w:rsidRDefault="00A36D51" w:rsidP="00F678DA">
            <w:pPr>
              <w:pStyle w:val="table-head-left"/>
              <w:rPr>
                <w:kern w:val="2"/>
                <w:szCs w:val="24"/>
                <w:lang w:eastAsia="zh-CN" w:bidi="hi-IN"/>
              </w:rPr>
            </w:pPr>
            <w:r w:rsidRPr="00777124">
              <w:rPr>
                <w:kern w:val="2"/>
                <w:szCs w:val="24"/>
                <w:lang w:eastAsia="zh-CN" w:bidi="hi-IN"/>
              </w:rPr>
              <w:t>3</w:t>
            </w:r>
          </w:p>
        </w:tc>
        <w:tc>
          <w:tcPr>
            <w:tcW w:w="1314" w:type="dxa"/>
          </w:tcPr>
          <w:p w14:paraId="28B7C681" w14:textId="77777777" w:rsidR="00A36D51" w:rsidRPr="00777124" w:rsidRDefault="00A36D51" w:rsidP="00F678DA">
            <w:pPr>
              <w:pStyle w:val="table-head-left"/>
              <w:rPr>
                <w:kern w:val="2"/>
                <w:szCs w:val="24"/>
                <w:lang w:eastAsia="zh-CN" w:bidi="hi-IN"/>
              </w:rPr>
            </w:pPr>
            <w:r w:rsidRPr="00777124">
              <w:rPr>
                <w:kern w:val="2"/>
                <w:szCs w:val="24"/>
                <w:lang w:eastAsia="zh-CN" w:bidi="hi-IN"/>
              </w:rPr>
              <w:t>4</w:t>
            </w:r>
          </w:p>
        </w:tc>
        <w:tc>
          <w:tcPr>
            <w:tcW w:w="1314" w:type="dxa"/>
          </w:tcPr>
          <w:p w14:paraId="2D471895" w14:textId="77777777" w:rsidR="00A36D51" w:rsidRPr="00777124" w:rsidRDefault="00A36D51" w:rsidP="00F678DA">
            <w:pPr>
              <w:pStyle w:val="table-head-left"/>
              <w:rPr>
                <w:kern w:val="2"/>
                <w:szCs w:val="24"/>
                <w:lang w:eastAsia="zh-CN" w:bidi="hi-IN"/>
              </w:rPr>
            </w:pPr>
            <w:r w:rsidRPr="00777124">
              <w:rPr>
                <w:kern w:val="2"/>
                <w:szCs w:val="24"/>
                <w:lang w:eastAsia="zh-CN" w:bidi="hi-IN"/>
              </w:rPr>
              <w:t>5</w:t>
            </w:r>
          </w:p>
        </w:tc>
        <w:tc>
          <w:tcPr>
            <w:tcW w:w="1314" w:type="dxa"/>
          </w:tcPr>
          <w:p w14:paraId="1B86DE2E" w14:textId="77777777" w:rsidR="00A36D51" w:rsidRPr="00777124" w:rsidRDefault="00A36D51" w:rsidP="00F678DA">
            <w:pPr>
              <w:pStyle w:val="table-head-left"/>
              <w:rPr>
                <w:kern w:val="2"/>
                <w:szCs w:val="24"/>
                <w:lang w:eastAsia="zh-CN" w:bidi="hi-IN"/>
              </w:rPr>
            </w:pPr>
            <w:r w:rsidRPr="00777124">
              <w:rPr>
                <w:kern w:val="2"/>
                <w:szCs w:val="24"/>
                <w:lang w:eastAsia="zh-CN" w:bidi="hi-IN"/>
              </w:rPr>
              <w:t>6–7</w:t>
            </w:r>
          </w:p>
        </w:tc>
      </w:tr>
      <w:tr w:rsidR="00A36D51" w:rsidRPr="00777124" w14:paraId="19A8BCCA" w14:textId="77777777" w:rsidTr="00FC57F5">
        <w:trPr>
          <w:trHeight w:val="360"/>
        </w:trPr>
        <w:tc>
          <w:tcPr>
            <w:tcW w:w="1531" w:type="dxa"/>
          </w:tcPr>
          <w:p w14:paraId="29F42FF7"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ОМЛ</w:t>
            </w:r>
          </w:p>
        </w:tc>
        <w:tc>
          <w:tcPr>
            <w:tcW w:w="1314" w:type="dxa"/>
          </w:tcPr>
          <w:p w14:paraId="17E0E45C"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14</w:t>
            </w:r>
          </w:p>
        </w:tc>
        <w:tc>
          <w:tcPr>
            <w:tcW w:w="1314" w:type="dxa"/>
          </w:tcPr>
          <w:p w14:paraId="29A557CB"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20</w:t>
            </w:r>
          </w:p>
        </w:tc>
        <w:tc>
          <w:tcPr>
            <w:tcW w:w="1314" w:type="dxa"/>
          </w:tcPr>
          <w:p w14:paraId="4725CD54"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25</w:t>
            </w:r>
          </w:p>
        </w:tc>
        <w:tc>
          <w:tcPr>
            <w:tcW w:w="1314" w:type="dxa"/>
          </w:tcPr>
          <w:p w14:paraId="1042ED67"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729A52BE"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36</w:t>
            </w:r>
          </w:p>
        </w:tc>
        <w:tc>
          <w:tcPr>
            <w:tcW w:w="1314" w:type="dxa"/>
          </w:tcPr>
          <w:p w14:paraId="25654A6C"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39E4CD67"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41</w:t>
            </w:r>
          </w:p>
        </w:tc>
      </w:tr>
      <w:tr w:rsidR="00A36D51" w:rsidRPr="00777124" w14:paraId="78C6BEEF" w14:textId="77777777" w:rsidTr="00FC57F5">
        <w:trPr>
          <w:trHeight w:val="360"/>
        </w:trPr>
        <w:tc>
          <w:tcPr>
            <w:tcW w:w="1531" w:type="dxa"/>
          </w:tcPr>
          <w:p w14:paraId="795F5916"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ОЛЛ</w:t>
            </w:r>
          </w:p>
        </w:tc>
        <w:tc>
          <w:tcPr>
            <w:tcW w:w="1314" w:type="dxa"/>
          </w:tcPr>
          <w:p w14:paraId="59E99AAD"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15</w:t>
            </w:r>
          </w:p>
        </w:tc>
        <w:tc>
          <w:tcPr>
            <w:tcW w:w="1314" w:type="dxa"/>
          </w:tcPr>
          <w:p w14:paraId="71DFB816"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23</w:t>
            </w:r>
          </w:p>
        </w:tc>
        <w:tc>
          <w:tcPr>
            <w:tcW w:w="1314" w:type="dxa"/>
          </w:tcPr>
          <w:p w14:paraId="2EA60AA5"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24</w:t>
            </w:r>
          </w:p>
        </w:tc>
        <w:tc>
          <w:tcPr>
            <w:tcW w:w="1314" w:type="dxa"/>
          </w:tcPr>
          <w:p w14:paraId="32F33016"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36889528"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30CEFF37"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47</w:t>
            </w:r>
          </w:p>
        </w:tc>
        <w:tc>
          <w:tcPr>
            <w:tcW w:w="1314" w:type="dxa"/>
          </w:tcPr>
          <w:p w14:paraId="1021B919"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53</w:t>
            </w:r>
          </w:p>
        </w:tc>
      </w:tr>
      <w:tr w:rsidR="00A36D51" w:rsidRPr="00777124" w14:paraId="15183BB4" w14:textId="77777777" w:rsidTr="00FC57F5">
        <w:trPr>
          <w:trHeight w:val="360"/>
        </w:trPr>
        <w:tc>
          <w:tcPr>
            <w:tcW w:w="1531" w:type="dxa"/>
          </w:tcPr>
          <w:p w14:paraId="7B97C245"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ХМЛ</w:t>
            </w:r>
          </w:p>
        </w:tc>
        <w:tc>
          <w:tcPr>
            <w:tcW w:w="1314" w:type="dxa"/>
          </w:tcPr>
          <w:p w14:paraId="0804BD31"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15</w:t>
            </w:r>
          </w:p>
        </w:tc>
        <w:tc>
          <w:tcPr>
            <w:tcW w:w="1314" w:type="dxa"/>
          </w:tcPr>
          <w:p w14:paraId="38DAB879"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22</w:t>
            </w:r>
          </w:p>
        </w:tc>
        <w:tc>
          <w:tcPr>
            <w:tcW w:w="1314" w:type="dxa"/>
          </w:tcPr>
          <w:p w14:paraId="39E3D239"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7404AD7F"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38</w:t>
            </w:r>
          </w:p>
        </w:tc>
        <w:tc>
          <w:tcPr>
            <w:tcW w:w="1314" w:type="dxa"/>
          </w:tcPr>
          <w:p w14:paraId="7280C457"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45</w:t>
            </w:r>
          </w:p>
        </w:tc>
        <w:tc>
          <w:tcPr>
            <w:tcW w:w="1314" w:type="dxa"/>
          </w:tcPr>
          <w:p w14:paraId="50F92A53"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52</w:t>
            </w:r>
          </w:p>
        </w:tc>
        <w:tc>
          <w:tcPr>
            <w:tcW w:w="1314" w:type="dxa"/>
          </w:tcPr>
          <w:p w14:paraId="01D9A193"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55</w:t>
            </w:r>
          </w:p>
        </w:tc>
      </w:tr>
      <w:tr w:rsidR="00A36D51" w:rsidRPr="00777124" w14:paraId="73C1288B" w14:textId="77777777" w:rsidTr="00FC57F5">
        <w:trPr>
          <w:trHeight w:val="360"/>
        </w:trPr>
        <w:tc>
          <w:tcPr>
            <w:tcW w:w="1531" w:type="dxa"/>
          </w:tcPr>
          <w:p w14:paraId="5DB71DD1"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АА</w:t>
            </w:r>
          </w:p>
        </w:tc>
        <w:tc>
          <w:tcPr>
            <w:tcW w:w="1314" w:type="dxa"/>
          </w:tcPr>
          <w:p w14:paraId="54FFB8F6"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18</w:t>
            </w:r>
          </w:p>
        </w:tc>
        <w:tc>
          <w:tcPr>
            <w:tcW w:w="1314" w:type="dxa"/>
          </w:tcPr>
          <w:p w14:paraId="71678DA1"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26</w:t>
            </w:r>
          </w:p>
        </w:tc>
        <w:tc>
          <w:tcPr>
            <w:tcW w:w="1314" w:type="dxa"/>
          </w:tcPr>
          <w:p w14:paraId="2CB158A5"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2AA26EDC"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49</w:t>
            </w:r>
          </w:p>
        </w:tc>
        <w:tc>
          <w:tcPr>
            <w:tcW w:w="1314" w:type="dxa"/>
          </w:tcPr>
          <w:p w14:paraId="3483BB40"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52</w:t>
            </w:r>
          </w:p>
        </w:tc>
        <w:tc>
          <w:tcPr>
            <w:tcW w:w="1314" w:type="dxa"/>
          </w:tcPr>
          <w:p w14:paraId="3CB34B1C"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w:t>
            </w:r>
          </w:p>
        </w:tc>
        <w:tc>
          <w:tcPr>
            <w:tcW w:w="1314" w:type="dxa"/>
          </w:tcPr>
          <w:p w14:paraId="4555483D"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w:t>
            </w:r>
          </w:p>
        </w:tc>
      </w:tr>
      <w:tr w:rsidR="00A36D51" w:rsidRPr="00777124" w14:paraId="4734CAA8" w14:textId="77777777" w:rsidTr="00FC57F5">
        <w:trPr>
          <w:trHeight w:val="360"/>
        </w:trPr>
        <w:tc>
          <w:tcPr>
            <w:tcW w:w="1531" w:type="dxa"/>
          </w:tcPr>
          <w:p w14:paraId="543D5B46"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МДС</w:t>
            </w:r>
          </w:p>
        </w:tc>
        <w:tc>
          <w:tcPr>
            <w:tcW w:w="1314" w:type="dxa"/>
          </w:tcPr>
          <w:p w14:paraId="50E37328"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25</w:t>
            </w:r>
          </w:p>
        </w:tc>
        <w:tc>
          <w:tcPr>
            <w:tcW w:w="1314" w:type="dxa"/>
          </w:tcPr>
          <w:p w14:paraId="40C5A07F"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28</w:t>
            </w:r>
          </w:p>
        </w:tc>
        <w:tc>
          <w:tcPr>
            <w:tcW w:w="1314" w:type="dxa"/>
          </w:tcPr>
          <w:p w14:paraId="78AAEF3E"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50A905D3"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35</w:t>
            </w:r>
          </w:p>
        </w:tc>
        <w:tc>
          <w:tcPr>
            <w:tcW w:w="1314" w:type="dxa"/>
          </w:tcPr>
          <w:p w14:paraId="7F51437E"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38</w:t>
            </w:r>
          </w:p>
        </w:tc>
        <w:tc>
          <w:tcPr>
            <w:tcW w:w="1314" w:type="dxa"/>
          </w:tcPr>
          <w:p w14:paraId="6B9742CA"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46</w:t>
            </w:r>
          </w:p>
        </w:tc>
        <w:tc>
          <w:tcPr>
            <w:tcW w:w="1314" w:type="dxa"/>
          </w:tcPr>
          <w:p w14:paraId="24EA2FB4"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50</w:t>
            </w:r>
          </w:p>
        </w:tc>
      </w:tr>
      <w:tr w:rsidR="00A36D51" w:rsidRPr="00777124" w14:paraId="0A1178F1" w14:textId="77777777" w:rsidTr="00FC57F5">
        <w:trPr>
          <w:trHeight w:val="360"/>
        </w:trPr>
        <w:tc>
          <w:tcPr>
            <w:tcW w:w="1531" w:type="dxa"/>
          </w:tcPr>
          <w:p w14:paraId="4F4F66B2"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ММ</w:t>
            </w:r>
          </w:p>
        </w:tc>
        <w:tc>
          <w:tcPr>
            <w:tcW w:w="1314" w:type="dxa"/>
          </w:tcPr>
          <w:p w14:paraId="3423A86F"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w:t>
            </w:r>
          </w:p>
        </w:tc>
        <w:tc>
          <w:tcPr>
            <w:tcW w:w="1314" w:type="dxa"/>
          </w:tcPr>
          <w:p w14:paraId="57018822"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w:t>
            </w:r>
          </w:p>
        </w:tc>
        <w:tc>
          <w:tcPr>
            <w:tcW w:w="1314" w:type="dxa"/>
          </w:tcPr>
          <w:p w14:paraId="70D06A13"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29</w:t>
            </w:r>
          </w:p>
        </w:tc>
        <w:tc>
          <w:tcPr>
            <w:tcW w:w="1314" w:type="dxa"/>
          </w:tcPr>
          <w:p w14:paraId="0682400F"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35</w:t>
            </w:r>
          </w:p>
        </w:tc>
        <w:tc>
          <w:tcPr>
            <w:tcW w:w="1314" w:type="dxa"/>
          </w:tcPr>
          <w:p w14:paraId="4DE03B51"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2E507149"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42</w:t>
            </w:r>
          </w:p>
        </w:tc>
        <w:tc>
          <w:tcPr>
            <w:tcW w:w="1314" w:type="dxa"/>
          </w:tcPr>
          <w:p w14:paraId="5F16D5B5"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52</w:t>
            </w:r>
          </w:p>
        </w:tc>
      </w:tr>
      <w:tr w:rsidR="00A36D51" w:rsidRPr="00777124" w14:paraId="4FA44D6F" w14:textId="77777777" w:rsidTr="00FC57F5">
        <w:trPr>
          <w:trHeight w:val="360"/>
        </w:trPr>
        <w:tc>
          <w:tcPr>
            <w:tcW w:w="1531" w:type="dxa"/>
          </w:tcPr>
          <w:p w14:paraId="5B597683" w14:textId="77777777" w:rsidR="00A36D51" w:rsidRPr="00777124" w:rsidRDefault="00A36D51" w:rsidP="00F678DA">
            <w:pPr>
              <w:pStyle w:val="table-text-0"/>
              <w:rPr>
                <w:kern w:val="2"/>
                <w:sz w:val="24"/>
                <w:szCs w:val="24"/>
                <w:lang w:eastAsia="zh-CN" w:bidi="hi-IN"/>
              </w:rPr>
            </w:pPr>
            <w:r w:rsidRPr="00777124">
              <w:rPr>
                <w:kern w:val="2"/>
                <w:sz w:val="24"/>
                <w:szCs w:val="24"/>
                <w:lang w:eastAsia="zh-CN" w:bidi="hi-IN"/>
              </w:rPr>
              <w:t>НХЛ</w:t>
            </w:r>
          </w:p>
        </w:tc>
        <w:tc>
          <w:tcPr>
            <w:tcW w:w="1314" w:type="dxa"/>
          </w:tcPr>
          <w:p w14:paraId="12246BF0"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15</w:t>
            </w:r>
          </w:p>
        </w:tc>
        <w:tc>
          <w:tcPr>
            <w:tcW w:w="1314" w:type="dxa"/>
          </w:tcPr>
          <w:p w14:paraId="1A4DA2B1"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24</w:t>
            </w:r>
          </w:p>
        </w:tc>
        <w:tc>
          <w:tcPr>
            <w:tcW w:w="1314" w:type="dxa"/>
          </w:tcPr>
          <w:p w14:paraId="2F67253C"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28</w:t>
            </w:r>
          </w:p>
        </w:tc>
        <w:tc>
          <w:tcPr>
            <w:tcW w:w="1314" w:type="dxa"/>
          </w:tcPr>
          <w:p w14:paraId="230C4CD5"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29EC5FA5"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34</w:t>
            </w:r>
          </w:p>
        </w:tc>
        <w:tc>
          <w:tcPr>
            <w:tcW w:w="1314" w:type="dxa"/>
          </w:tcPr>
          <w:p w14:paraId="6C1E15BB"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36</w:t>
            </w:r>
          </w:p>
        </w:tc>
        <w:tc>
          <w:tcPr>
            <w:tcW w:w="1314" w:type="dxa"/>
          </w:tcPr>
          <w:p w14:paraId="59348A23" w14:textId="77777777" w:rsidR="00A36D51" w:rsidRPr="00777124" w:rsidRDefault="00A36D51" w:rsidP="00F678DA">
            <w:pPr>
              <w:pStyle w:val="table-text-0"/>
              <w:rPr>
                <w:kern w:val="2"/>
                <w:sz w:val="24"/>
                <w:szCs w:val="24"/>
                <w:lang w:eastAsia="zh-CN" w:bidi="hi-IN"/>
              </w:rPr>
            </w:pPr>
            <w:r w:rsidRPr="00777124">
              <w:rPr>
                <w:kern w:val="2"/>
                <w:sz w:val="24"/>
                <w:szCs w:val="24"/>
                <w:lang w:val="x-none" w:eastAsia="zh-CN" w:bidi="hi-IN"/>
              </w:rPr>
              <w:t>38</w:t>
            </w:r>
          </w:p>
        </w:tc>
      </w:tr>
    </w:tbl>
    <w:p w14:paraId="6D3B8AAA" w14:textId="77777777" w:rsidR="00A36D51" w:rsidRPr="00777124" w:rsidRDefault="00A36D51" w:rsidP="00A36D51">
      <w:pPr>
        <w:pStyle w:val="2"/>
        <w:rPr>
          <w:rFonts w:eastAsia="SimSun"/>
          <w:szCs w:val="24"/>
        </w:rPr>
      </w:pPr>
    </w:p>
    <w:p w14:paraId="6623A0F2" w14:textId="30B5AEB2" w:rsidR="007866EE" w:rsidRPr="00B27097" w:rsidRDefault="00752177" w:rsidP="007866EE">
      <w:pPr>
        <w:pStyle w:val="2"/>
        <w:spacing w:before="0"/>
      </w:pPr>
      <w:bookmarkStart w:id="252" w:name="_Toc65068842"/>
      <w:r>
        <w:t xml:space="preserve">Приложение </w:t>
      </w:r>
      <w:r w:rsidRPr="00D73887">
        <w:t>Г</w:t>
      </w:r>
      <w:r w:rsidRPr="00B27097">
        <w:t xml:space="preserve">4. </w:t>
      </w:r>
      <w:bookmarkStart w:id="253" w:name="_Toc44401121"/>
      <w:r w:rsidR="007866EE" w:rsidRPr="00C04462">
        <w:rPr>
          <w:rFonts w:eastAsia="SimSun"/>
        </w:rPr>
        <w:t>Расчет трансплантационного риска по шкале HCT-CI</w:t>
      </w:r>
      <w:bookmarkEnd w:id="252"/>
      <w:bookmarkEnd w:id="253"/>
    </w:p>
    <w:p w14:paraId="7FE24AF0" w14:textId="7AA36C90" w:rsidR="007866EE" w:rsidRPr="00A74B56" w:rsidRDefault="007866EE" w:rsidP="007866EE">
      <w:pPr>
        <w:ind w:firstLine="709"/>
        <w:rPr>
          <w:rFonts w:eastAsia="SimSun"/>
          <w:szCs w:val="24"/>
        </w:rPr>
      </w:pPr>
      <w:r w:rsidRPr="00A74B56">
        <w:rPr>
          <w:rFonts w:eastAsia="SimSun"/>
          <w:szCs w:val="24"/>
        </w:rPr>
        <w:t xml:space="preserve">Оценка трансплантационного риска проводится при первичном рассмотрении пациента в качестве кандидата на проведение алло-ТГСК и повторно не более чем за 10 дней до начала предтрансплантационного кондиционирования </w:t>
      </w:r>
      <w:r w:rsidRPr="00A74B56">
        <w:rPr>
          <w:rFonts w:eastAsia="SimSun"/>
          <w:szCs w:val="24"/>
        </w:rPr>
        <w:fldChar w:fldCharType="begin" w:fldLock="1"/>
      </w:r>
      <w:r w:rsidR="00BE7F89">
        <w:rPr>
          <w:rFonts w:eastAsia="SimSun"/>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publisher":"The American Society of Hematology","title":"Hematopoietic cell transplantation (HCT)-specific comorbidity index: a new tool for risk assessment before allogeneic HCT.","type":"article-journal","volume":"106"},"uris":["http://www.mendeley.com/documents/?uuid=93f8ea95-5d4b-450a-a6fa-9a8772dd6e52"]},{"id":"ITEM-2","itemData":{"DOI":"10.1016/j.bbmt.2015.04.004","ISSN":"15236536","PMID":"25862591","abstract":"Prospective validation of the hematopoietic cell transplantation-comorbidity index (HCT-CI) using contemporary patients treated with hematopoietic cell transplantation (HCT) across the Unites States is necessary to confirm its widespread applicability. We performed a prospective observational study including all patients (8115 recipients of allogeneic and 11,652 recipients of autologous HCT) who underwent a first HCT that was reported to the Center for International Blood and Marrow Transplant Research between 2007 and 2009. In proportional hazards models, increased HCT-CI scores were independent</w:instrText>
      </w:r>
      <w:r w:rsidR="00BE7F89">
        <w:rPr>
          <w:rFonts w:eastAsia="SimSun" w:hint="eastAsia"/>
          <w:szCs w:val="24"/>
        </w:rPr>
        <w:instrText xml:space="preserve">ly associated with increases in hazard ratios for nonrelapse mortality (NRM) (P &lt;.0001) and overall mortality (P &lt;.0001) among recipients of allogeneic HCT. HCT-CI scores of </w:instrText>
      </w:r>
      <w:r w:rsidR="00BE7F89">
        <w:rPr>
          <w:rFonts w:eastAsia="SimSun" w:hint="eastAsia"/>
          <w:szCs w:val="24"/>
        </w:rPr>
        <w:instrText>≥</w:instrText>
      </w:r>
      <w:r w:rsidR="00BE7F89">
        <w:rPr>
          <w:rFonts w:eastAsia="SimSun" w:hint="eastAsia"/>
          <w:szCs w:val="24"/>
        </w:rPr>
        <w:instrText>3 were uniformly associated with higher risks for outcomes in both allogeneic an</w:instrText>
      </w:r>
      <w:r w:rsidR="00BE7F89">
        <w:rPr>
          <w:rFonts w:eastAsia="SimSun"/>
          <w:szCs w:val="24"/>
        </w:rPr>
        <w:instrText>d autologous HCT and in all subgroups, regardless of diagnoses, age, and conditioning intensity. Recipients of allogeneic HCT with scores of 1 and 2 who were ages &lt; 18 years or were treated with lower intensity conditioning regimens had similar outcomes compared with those with a score of 0. Higher risks for overall mortality, but not for NRM, were observed among recipients of autologous HCT with scores of 1 and 2 versus 0. Our results confirm the validity the HCT-CI in both allogeneic and autologous HCT. The index should be used as a valid standard-of-care health measure in counseling patients for HCT, in clinical trial design, and in adjusting outcome analyses.","author":[{"dropping-particle":"","family":"Sorror","given":"Mohamed L.","non-dropping-particle":"","parse-names":false,"suffix":""},{"dropping-particle":"","family":"Logan","given":"Brent R.","non-dropping-particle":"","parse-names":false,"suffix":""},{"dropping-particle":"","family":"Zhu","given":"Xiaochun","non-dropping-particle":"","parse-names":false,"suffix":""},{"dropping-particle":"","family":"Rizzo","given":"J. Douglas","non-dropping-particle":"","parse-names":false,"suffix":""},{"dropping-particle":"","family":"Cooke","given":"Kenneth R.","non-dropping-particle":"","parse-names":false,"suffix":""},{"dropping-particle":"","family":"McCarthy","given":"Philip L.","non-dropping-particle":"","parse-names":false,"suffix":""},{"dropping-particle":"","family":"Ho","given":"Vincent T.","non-dropping-particle":"","parse-names":false,"suffix":""},{"dropping-particle":"","family":"Horowitz","given":"Mary M.","non-dropping-particle":"","parse-names":false,"suffix":""},{"dropping-particle":"","family":"Pasquini","given":"Marcelo C.","non-dropping-particle":"","parse-names":false,"suffix":""}],"container-title":"Biology of Blood and Marrow Transplantation","id":"ITEM-2","issue":"8","issued":{"date-parts":[["2015","8","1"]]},"page":"1479-1487","publisher":"Elsevier Inc.","title":"Prospective Validation of the Predictive Power of the Hematopoietic Cell Transplantation Comorbidity Index: A Center for International Blood and Marrow Transplant Research Study","type":"article-journal","volume":"21"},"uris":["http://www.mendeley.com/documents/?uuid=1496af32-057f-32b7-b663-4fa3a7769799"]}],"mendeley":{"formattedCitation":"[96,97]","plainTextFormattedCitation":"[96,97]","previouslyFormattedCitation":"[95,96]"},"properties":{"noteIndex":0},"schema":"https://github.com/citation-style-language/schema/raw/master/csl-citation.json"}</w:instrText>
      </w:r>
      <w:r w:rsidRPr="00A74B56">
        <w:rPr>
          <w:rFonts w:eastAsia="SimSun"/>
          <w:szCs w:val="24"/>
        </w:rPr>
        <w:fldChar w:fldCharType="separate"/>
      </w:r>
      <w:r w:rsidR="00BE7F89" w:rsidRPr="00BE7F89">
        <w:rPr>
          <w:rFonts w:eastAsia="SimSun"/>
          <w:noProof/>
          <w:szCs w:val="24"/>
        </w:rPr>
        <w:t>[96,97]</w:t>
      </w:r>
      <w:r w:rsidRPr="00A74B56">
        <w:rPr>
          <w:rFonts w:eastAsia="SimSun"/>
          <w:szCs w:val="24"/>
        </w:rPr>
        <w:fldChar w:fldCharType="end"/>
      </w:r>
      <w:r w:rsidRPr="00A74B56">
        <w:rPr>
          <w:rFonts w:eastAsia="SimSun"/>
          <w:szCs w:val="24"/>
        </w:rPr>
        <w:t>.</w:t>
      </w:r>
    </w:p>
    <w:p w14:paraId="2AA24524" w14:textId="249F3ECF" w:rsidR="007866EE" w:rsidRPr="00A74B56" w:rsidRDefault="007866EE" w:rsidP="007866EE">
      <w:pPr>
        <w:rPr>
          <w:rFonts w:eastAsia="SimSun"/>
          <w:szCs w:val="24"/>
        </w:rPr>
      </w:pPr>
    </w:p>
    <w:tbl>
      <w:tblPr>
        <w:tblW w:w="100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0"/>
        <w:gridCol w:w="1195"/>
      </w:tblGrid>
      <w:tr w:rsidR="007866EE" w:rsidRPr="00C07B2E" w14:paraId="2439D5ED" w14:textId="77777777" w:rsidTr="00552BE6">
        <w:tc>
          <w:tcPr>
            <w:tcW w:w="8900" w:type="dxa"/>
            <w:vAlign w:val="center"/>
          </w:tcPr>
          <w:p w14:paraId="2E433C5D" w14:textId="77777777" w:rsidR="007866EE" w:rsidRPr="008025C0" w:rsidRDefault="007866EE" w:rsidP="005A428D">
            <w:pPr>
              <w:pStyle w:val="table-name"/>
              <w:rPr>
                <w:rFonts w:eastAsia="SimSun"/>
                <w:sz w:val="24"/>
                <w:szCs w:val="24"/>
              </w:rPr>
            </w:pPr>
            <w:r w:rsidRPr="008025C0">
              <w:rPr>
                <w:rFonts w:eastAsia="SimSun"/>
                <w:sz w:val="24"/>
                <w:szCs w:val="24"/>
              </w:rPr>
              <w:t>Статус</w:t>
            </w:r>
          </w:p>
        </w:tc>
        <w:tc>
          <w:tcPr>
            <w:tcW w:w="1195" w:type="dxa"/>
            <w:vAlign w:val="center"/>
          </w:tcPr>
          <w:p w14:paraId="646F7DCC" w14:textId="77777777" w:rsidR="007866EE" w:rsidRPr="008025C0" w:rsidRDefault="007866EE" w:rsidP="005A428D">
            <w:pPr>
              <w:pStyle w:val="table-name"/>
              <w:rPr>
                <w:rFonts w:eastAsia="SimSun"/>
                <w:sz w:val="24"/>
                <w:szCs w:val="24"/>
              </w:rPr>
            </w:pPr>
            <w:r w:rsidRPr="008025C0">
              <w:rPr>
                <w:rFonts w:eastAsia="SimSun"/>
                <w:sz w:val="24"/>
                <w:szCs w:val="24"/>
              </w:rPr>
              <w:t>Баллы</w:t>
            </w:r>
          </w:p>
        </w:tc>
      </w:tr>
      <w:tr w:rsidR="007866EE" w:rsidRPr="00C07B2E" w14:paraId="4CD54EFB" w14:textId="77777777" w:rsidTr="00552BE6">
        <w:tc>
          <w:tcPr>
            <w:tcW w:w="8900" w:type="dxa"/>
            <w:vAlign w:val="center"/>
          </w:tcPr>
          <w:p w14:paraId="59D09E44" w14:textId="77777777" w:rsidR="007866EE" w:rsidRPr="008025C0" w:rsidRDefault="007866EE" w:rsidP="005A428D">
            <w:pPr>
              <w:pStyle w:val="table-head-left"/>
              <w:rPr>
                <w:rFonts w:eastAsia="SimSun"/>
                <w:szCs w:val="24"/>
              </w:rPr>
            </w:pPr>
            <w:r w:rsidRPr="008025C0">
              <w:rPr>
                <w:rFonts w:eastAsia="SimSun"/>
                <w:szCs w:val="24"/>
              </w:rPr>
              <w:t>Дыхательная система</w:t>
            </w:r>
          </w:p>
        </w:tc>
        <w:tc>
          <w:tcPr>
            <w:tcW w:w="1195" w:type="dxa"/>
            <w:vAlign w:val="center"/>
          </w:tcPr>
          <w:p w14:paraId="3354873F" w14:textId="77777777" w:rsidR="007866EE" w:rsidRPr="008025C0" w:rsidRDefault="007866EE" w:rsidP="005A428D">
            <w:pPr>
              <w:pStyle w:val="table-head-left"/>
              <w:rPr>
                <w:rFonts w:eastAsia="SimSun"/>
                <w:szCs w:val="24"/>
              </w:rPr>
            </w:pPr>
          </w:p>
        </w:tc>
      </w:tr>
      <w:tr w:rsidR="007866EE" w:rsidRPr="00C07B2E" w14:paraId="38CB05FC" w14:textId="77777777" w:rsidTr="00552BE6">
        <w:tc>
          <w:tcPr>
            <w:tcW w:w="8900" w:type="dxa"/>
            <w:vAlign w:val="center"/>
          </w:tcPr>
          <w:p w14:paraId="2E43DDE2" w14:textId="77777777" w:rsidR="007866EE" w:rsidRPr="008025C0" w:rsidRDefault="007866EE" w:rsidP="005A428D">
            <w:pPr>
              <w:pStyle w:val="table-text-0"/>
              <w:rPr>
                <w:rFonts w:eastAsia="SimSun"/>
                <w:sz w:val="24"/>
                <w:szCs w:val="24"/>
              </w:rPr>
            </w:pPr>
            <w:r w:rsidRPr="008025C0">
              <w:rPr>
                <w:sz w:val="24"/>
                <w:szCs w:val="24"/>
              </w:rPr>
              <w:t>ОФВ1 66–80% или одышка при небольшой физической нагрузке</w:t>
            </w:r>
          </w:p>
        </w:tc>
        <w:tc>
          <w:tcPr>
            <w:tcW w:w="1195" w:type="dxa"/>
            <w:vAlign w:val="center"/>
          </w:tcPr>
          <w:p w14:paraId="7CA3F3C0" w14:textId="77777777" w:rsidR="007866EE" w:rsidRPr="008025C0" w:rsidRDefault="007866EE" w:rsidP="005A428D">
            <w:pPr>
              <w:pStyle w:val="table-text-0"/>
              <w:rPr>
                <w:rFonts w:eastAsia="SimSun"/>
                <w:sz w:val="24"/>
                <w:szCs w:val="24"/>
              </w:rPr>
            </w:pPr>
            <w:r w:rsidRPr="008025C0">
              <w:rPr>
                <w:rFonts w:eastAsia="SimSun"/>
                <w:sz w:val="24"/>
                <w:szCs w:val="24"/>
              </w:rPr>
              <w:t>2</w:t>
            </w:r>
          </w:p>
        </w:tc>
      </w:tr>
      <w:tr w:rsidR="007866EE" w:rsidRPr="00C07B2E" w14:paraId="5B32CD4A" w14:textId="77777777" w:rsidTr="00552BE6">
        <w:tc>
          <w:tcPr>
            <w:tcW w:w="8900" w:type="dxa"/>
            <w:vAlign w:val="center"/>
          </w:tcPr>
          <w:p w14:paraId="5FB16A7D" w14:textId="77777777" w:rsidR="007866EE" w:rsidRPr="008025C0" w:rsidRDefault="007866EE" w:rsidP="005A428D">
            <w:pPr>
              <w:pStyle w:val="table-text-0"/>
              <w:rPr>
                <w:sz w:val="24"/>
                <w:szCs w:val="24"/>
              </w:rPr>
            </w:pPr>
            <w:r w:rsidRPr="008025C0">
              <w:rPr>
                <w:sz w:val="24"/>
                <w:szCs w:val="24"/>
              </w:rPr>
              <w:t xml:space="preserve">ОФВ1 </w:t>
            </w:r>
            <w:r w:rsidRPr="008025C0">
              <w:rPr>
                <w:rFonts w:eastAsia="SimSun"/>
                <w:sz w:val="24"/>
                <w:szCs w:val="24"/>
              </w:rPr>
              <w:t>≤</w:t>
            </w:r>
            <w:r w:rsidRPr="008025C0">
              <w:rPr>
                <w:sz w:val="24"/>
                <w:szCs w:val="24"/>
              </w:rPr>
              <w:t xml:space="preserve"> 65% или одышка в покое или потребность в кислородной поддержке</w:t>
            </w:r>
          </w:p>
        </w:tc>
        <w:tc>
          <w:tcPr>
            <w:tcW w:w="1195" w:type="dxa"/>
            <w:vAlign w:val="center"/>
          </w:tcPr>
          <w:p w14:paraId="344F245D" w14:textId="77777777" w:rsidR="007866EE" w:rsidRPr="008025C0" w:rsidRDefault="007866EE" w:rsidP="005A428D">
            <w:pPr>
              <w:pStyle w:val="table-text-0"/>
              <w:rPr>
                <w:rFonts w:eastAsia="SimSun"/>
                <w:sz w:val="24"/>
                <w:szCs w:val="24"/>
              </w:rPr>
            </w:pPr>
            <w:r w:rsidRPr="008025C0">
              <w:rPr>
                <w:rFonts w:eastAsia="SimSun"/>
                <w:sz w:val="24"/>
                <w:szCs w:val="24"/>
              </w:rPr>
              <w:t>3</w:t>
            </w:r>
          </w:p>
        </w:tc>
      </w:tr>
      <w:tr w:rsidR="007866EE" w:rsidRPr="00C07B2E" w14:paraId="37344386" w14:textId="77777777" w:rsidTr="00552BE6">
        <w:tc>
          <w:tcPr>
            <w:tcW w:w="8900" w:type="dxa"/>
            <w:vAlign w:val="center"/>
          </w:tcPr>
          <w:p w14:paraId="46FA70FD" w14:textId="77777777" w:rsidR="007866EE" w:rsidRPr="008025C0" w:rsidRDefault="007866EE" w:rsidP="005A428D">
            <w:pPr>
              <w:pStyle w:val="table-head-left"/>
              <w:rPr>
                <w:rFonts w:eastAsia="SimSun"/>
                <w:szCs w:val="24"/>
              </w:rPr>
            </w:pPr>
            <w:r w:rsidRPr="008025C0">
              <w:rPr>
                <w:rFonts w:eastAsia="SimSun"/>
                <w:szCs w:val="24"/>
              </w:rPr>
              <w:t>Сердечно-сосудистая система</w:t>
            </w:r>
          </w:p>
        </w:tc>
        <w:tc>
          <w:tcPr>
            <w:tcW w:w="1195" w:type="dxa"/>
            <w:vAlign w:val="center"/>
          </w:tcPr>
          <w:p w14:paraId="10CD8356" w14:textId="77777777" w:rsidR="007866EE" w:rsidRPr="008025C0" w:rsidRDefault="007866EE" w:rsidP="005A428D">
            <w:pPr>
              <w:tabs>
                <w:tab w:val="left" w:pos="567"/>
              </w:tabs>
              <w:spacing w:line="240" w:lineRule="auto"/>
              <w:jc w:val="center"/>
              <w:rPr>
                <w:rFonts w:eastAsia="SimSun"/>
                <w:szCs w:val="24"/>
              </w:rPr>
            </w:pPr>
          </w:p>
        </w:tc>
      </w:tr>
      <w:tr w:rsidR="007866EE" w:rsidRPr="00C07B2E" w14:paraId="3C510B33" w14:textId="77777777" w:rsidTr="00552BE6">
        <w:tc>
          <w:tcPr>
            <w:tcW w:w="8900" w:type="dxa"/>
            <w:vAlign w:val="center"/>
          </w:tcPr>
          <w:p w14:paraId="6B0F37E1" w14:textId="77777777" w:rsidR="007866EE" w:rsidRPr="008025C0" w:rsidRDefault="007866EE" w:rsidP="005A428D">
            <w:pPr>
              <w:pStyle w:val="table-text-0"/>
              <w:rPr>
                <w:rFonts w:eastAsia="SimSun"/>
                <w:sz w:val="24"/>
                <w:szCs w:val="24"/>
              </w:rPr>
            </w:pPr>
            <w:r w:rsidRPr="008025C0">
              <w:rPr>
                <w:sz w:val="24"/>
                <w:szCs w:val="24"/>
              </w:rPr>
              <w:t>Мерцательная аритмия или трепетание предсердий, синдром слабости синусового узла или желудочковые аритмии</w:t>
            </w:r>
          </w:p>
        </w:tc>
        <w:tc>
          <w:tcPr>
            <w:tcW w:w="1195" w:type="dxa"/>
            <w:vAlign w:val="center"/>
          </w:tcPr>
          <w:p w14:paraId="41DFA887" w14:textId="77777777" w:rsidR="007866EE" w:rsidRPr="008025C0" w:rsidRDefault="007866EE" w:rsidP="005A428D">
            <w:pPr>
              <w:pStyle w:val="table-text-0"/>
              <w:rPr>
                <w:rFonts w:eastAsia="SimSun"/>
                <w:sz w:val="24"/>
                <w:szCs w:val="24"/>
              </w:rPr>
            </w:pPr>
            <w:r w:rsidRPr="008025C0">
              <w:rPr>
                <w:rFonts w:eastAsia="SimSun"/>
                <w:sz w:val="24"/>
                <w:szCs w:val="24"/>
              </w:rPr>
              <w:t>1</w:t>
            </w:r>
          </w:p>
        </w:tc>
      </w:tr>
      <w:tr w:rsidR="007866EE" w:rsidRPr="00C07B2E" w14:paraId="3E3F6C29" w14:textId="77777777" w:rsidTr="00552BE6">
        <w:tc>
          <w:tcPr>
            <w:tcW w:w="8900" w:type="dxa"/>
            <w:vAlign w:val="center"/>
          </w:tcPr>
          <w:p w14:paraId="0C277A4C" w14:textId="77777777" w:rsidR="007866EE" w:rsidRPr="008025C0" w:rsidRDefault="007866EE" w:rsidP="005A428D">
            <w:pPr>
              <w:pStyle w:val="table-text-0"/>
              <w:rPr>
                <w:rFonts w:eastAsia="SimSun"/>
                <w:sz w:val="24"/>
                <w:szCs w:val="24"/>
              </w:rPr>
            </w:pPr>
            <w:r w:rsidRPr="008025C0">
              <w:rPr>
                <w:sz w:val="24"/>
                <w:szCs w:val="24"/>
              </w:rPr>
              <w:t>Ишемическая болезнь сердца, застойная сердечная недостаточность, инфаркт миокарда или фракция выброса менее 50%</w:t>
            </w:r>
          </w:p>
        </w:tc>
        <w:tc>
          <w:tcPr>
            <w:tcW w:w="1195" w:type="dxa"/>
            <w:vAlign w:val="center"/>
          </w:tcPr>
          <w:p w14:paraId="618B761F" w14:textId="77777777" w:rsidR="007866EE" w:rsidRPr="008025C0" w:rsidRDefault="007866EE" w:rsidP="005A428D">
            <w:pPr>
              <w:pStyle w:val="table-text-0"/>
              <w:rPr>
                <w:rFonts w:eastAsia="SimSun"/>
                <w:sz w:val="24"/>
                <w:szCs w:val="24"/>
              </w:rPr>
            </w:pPr>
            <w:r w:rsidRPr="008025C0">
              <w:rPr>
                <w:rFonts w:eastAsia="SimSun"/>
                <w:sz w:val="24"/>
                <w:szCs w:val="24"/>
              </w:rPr>
              <w:t>1</w:t>
            </w:r>
          </w:p>
        </w:tc>
      </w:tr>
      <w:tr w:rsidR="007866EE" w:rsidRPr="00C07B2E" w14:paraId="197F55DE" w14:textId="77777777" w:rsidTr="00552BE6">
        <w:tc>
          <w:tcPr>
            <w:tcW w:w="8900" w:type="dxa"/>
            <w:vAlign w:val="center"/>
          </w:tcPr>
          <w:p w14:paraId="22254620" w14:textId="77777777" w:rsidR="007866EE" w:rsidRPr="008025C0" w:rsidRDefault="007866EE" w:rsidP="005A428D">
            <w:pPr>
              <w:pStyle w:val="table-text-0"/>
              <w:rPr>
                <w:rFonts w:eastAsia="SimSun"/>
                <w:sz w:val="24"/>
                <w:szCs w:val="24"/>
              </w:rPr>
            </w:pPr>
            <w:r w:rsidRPr="008025C0">
              <w:rPr>
                <w:sz w:val="24"/>
                <w:szCs w:val="24"/>
              </w:rPr>
              <w:t>Пороки сердца за исключением пролапса митрального клапана</w:t>
            </w:r>
          </w:p>
        </w:tc>
        <w:tc>
          <w:tcPr>
            <w:tcW w:w="1195" w:type="dxa"/>
            <w:vAlign w:val="center"/>
          </w:tcPr>
          <w:p w14:paraId="0AFFFC51" w14:textId="77777777" w:rsidR="007866EE" w:rsidRPr="008025C0" w:rsidRDefault="007866EE" w:rsidP="005A428D">
            <w:pPr>
              <w:pStyle w:val="table-text-0"/>
              <w:rPr>
                <w:rFonts w:eastAsia="SimSun"/>
                <w:sz w:val="24"/>
                <w:szCs w:val="24"/>
              </w:rPr>
            </w:pPr>
            <w:r w:rsidRPr="008025C0">
              <w:rPr>
                <w:rFonts w:eastAsia="SimSun"/>
                <w:sz w:val="24"/>
                <w:szCs w:val="24"/>
              </w:rPr>
              <w:t>1</w:t>
            </w:r>
          </w:p>
        </w:tc>
      </w:tr>
      <w:tr w:rsidR="007866EE" w:rsidRPr="00C07B2E" w14:paraId="75751ED4" w14:textId="77777777" w:rsidTr="00552BE6">
        <w:tc>
          <w:tcPr>
            <w:tcW w:w="8900" w:type="dxa"/>
            <w:vAlign w:val="center"/>
          </w:tcPr>
          <w:p w14:paraId="450DE018" w14:textId="77777777" w:rsidR="007866EE" w:rsidRPr="008025C0" w:rsidRDefault="007866EE" w:rsidP="005A428D">
            <w:pPr>
              <w:pStyle w:val="table-head-left"/>
              <w:rPr>
                <w:rFonts w:eastAsia="SimSun"/>
                <w:szCs w:val="24"/>
              </w:rPr>
            </w:pPr>
            <w:r w:rsidRPr="008025C0">
              <w:rPr>
                <w:rFonts w:eastAsia="SimSun"/>
                <w:szCs w:val="24"/>
              </w:rPr>
              <w:t>ЖКТ</w:t>
            </w:r>
          </w:p>
        </w:tc>
        <w:tc>
          <w:tcPr>
            <w:tcW w:w="1195" w:type="dxa"/>
            <w:vAlign w:val="center"/>
          </w:tcPr>
          <w:p w14:paraId="405AC645" w14:textId="77777777" w:rsidR="007866EE" w:rsidRPr="008025C0" w:rsidRDefault="007866EE" w:rsidP="005A428D">
            <w:pPr>
              <w:pStyle w:val="table-head-left"/>
              <w:rPr>
                <w:rFonts w:eastAsia="SimSun"/>
                <w:szCs w:val="24"/>
              </w:rPr>
            </w:pPr>
          </w:p>
        </w:tc>
      </w:tr>
      <w:tr w:rsidR="007866EE" w:rsidRPr="00C07B2E" w14:paraId="778AA5CC" w14:textId="77777777" w:rsidTr="00552BE6">
        <w:tc>
          <w:tcPr>
            <w:tcW w:w="8900" w:type="dxa"/>
            <w:vAlign w:val="center"/>
          </w:tcPr>
          <w:p w14:paraId="292C9C16" w14:textId="77777777" w:rsidR="007866EE" w:rsidRPr="008025C0" w:rsidRDefault="007866EE" w:rsidP="005A428D">
            <w:pPr>
              <w:pStyle w:val="table-text-0"/>
              <w:rPr>
                <w:rFonts w:eastAsia="SimSun"/>
                <w:sz w:val="24"/>
                <w:szCs w:val="24"/>
              </w:rPr>
            </w:pPr>
            <w:r w:rsidRPr="008025C0">
              <w:rPr>
                <w:sz w:val="24"/>
                <w:szCs w:val="24"/>
              </w:rPr>
              <w:t>Хронический гепатит, билирубин до 1,5 норм или АЛТ либо АСТ до 2,5 норм</w:t>
            </w:r>
          </w:p>
        </w:tc>
        <w:tc>
          <w:tcPr>
            <w:tcW w:w="1195" w:type="dxa"/>
            <w:vAlign w:val="center"/>
          </w:tcPr>
          <w:p w14:paraId="2F6CAF37" w14:textId="77777777" w:rsidR="007866EE" w:rsidRPr="008025C0" w:rsidRDefault="007866EE" w:rsidP="005A428D">
            <w:pPr>
              <w:pStyle w:val="table-text-0"/>
              <w:rPr>
                <w:rFonts w:eastAsia="SimSun"/>
                <w:sz w:val="24"/>
                <w:szCs w:val="24"/>
              </w:rPr>
            </w:pPr>
            <w:r w:rsidRPr="008025C0">
              <w:rPr>
                <w:rFonts w:eastAsia="SimSun"/>
                <w:sz w:val="24"/>
                <w:szCs w:val="24"/>
              </w:rPr>
              <w:t>1</w:t>
            </w:r>
          </w:p>
        </w:tc>
      </w:tr>
      <w:tr w:rsidR="007866EE" w:rsidRPr="00C07B2E" w14:paraId="477683FD" w14:textId="77777777" w:rsidTr="00552BE6">
        <w:tc>
          <w:tcPr>
            <w:tcW w:w="8900" w:type="dxa"/>
            <w:vAlign w:val="center"/>
          </w:tcPr>
          <w:p w14:paraId="1D0774A1" w14:textId="77777777" w:rsidR="007866EE" w:rsidRPr="008025C0" w:rsidRDefault="007866EE" w:rsidP="005A428D">
            <w:pPr>
              <w:pStyle w:val="table-text-0"/>
              <w:rPr>
                <w:rFonts w:eastAsia="SimSun"/>
                <w:sz w:val="24"/>
                <w:szCs w:val="24"/>
              </w:rPr>
            </w:pPr>
            <w:r w:rsidRPr="008025C0">
              <w:rPr>
                <w:sz w:val="24"/>
                <w:szCs w:val="24"/>
              </w:rPr>
              <w:t>Цирроз, билирубин более 1,5 норм или АЛТ либо АСТ более 2,5 норм</w:t>
            </w:r>
          </w:p>
        </w:tc>
        <w:tc>
          <w:tcPr>
            <w:tcW w:w="1195" w:type="dxa"/>
            <w:vAlign w:val="center"/>
          </w:tcPr>
          <w:p w14:paraId="4211FF28" w14:textId="77777777" w:rsidR="007866EE" w:rsidRPr="008025C0" w:rsidRDefault="007866EE" w:rsidP="005A428D">
            <w:pPr>
              <w:pStyle w:val="table-text-0"/>
              <w:rPr>
                <w:rFonts w:eastAsia="SimSun"/>
                <w:sz w:val="24"/>
                <w:szCs w:val="24"/>
              </w:rPr>
            </w:pPr>
            <w:r w:rsidRPr="008025C0">
              <w:rPr>
                <w:rFonts w:eastAsia="SimSun"/>
                <w:sz w:val="24"/>
                <w:szCs w:val="24"/>
              </w:rPr>
              <w:t>3</w:t>
            </w:r>
          </w:p>
        </w:tc>
      </w:tr>
      <w:tr w:rsidR="007866EE" w:rsidRPr="00C07B2E" w14:paraId="6A74E3C5" w14:textId="77777777" w:rsidTr="00552BE6">
        <w:tc>
          <w:tcPr>
            <w:tcW w:w="8900" w:type="dxa"/>
            <w:vAlign w:val="center"/>
          </w:tcPr>
          <w:p w14:paraId="28B24E50" w14:textId="77777777" w:rsidR="007866EE" w:rsidRPr="008025C0" w:rsidRDefault="007866EE" w:rsidP="005A428D">
            <w:pPr>
              <w:pStyle w:val="table-text-0"/>
              <w:rPr>
                <w:sz w:val="24"/>
                <w:szCs w:val="24"/>
              </w:rPr>
            </w:pPr>
            <w:r w:rsidRPr="008025C0">
              <w:rPr>
                <w:sz w:val="24"/>
                <w:szCs w:val="24"/>
              </w:rPr>
              <w:t>Болезнь Крона или язвенный колит</w:t>
            </w:r>
          </w:p>
        </w:tc>
        <w:tc>
          <w:tcPr>
            <w:tcW w:w="1195" w:type="dxa"/>
            <w:vAlign w:val="center"/>
          </w:tcPr>
          <w:p w14:paraId="5B731EE3" w14:textId="77777777" w:rsidR="007866EE" w:rsidRPr="008025C0" w:rsidRDefault="007866EE" w:rsidP="005A428D">
            <w:pPr>
              <w:pStyle w:val="table-text-0"/>
              <w:rPr>
                <w:rFonts w:eastAsia="SimSun"/>
                <w:sz w:val="24"/>
                <w:szCs w:val="24"/>
              </w:rPr>
            </w:pPr>
            <w:r w:rsidRPr="008025C0">
              <w:rPr>
                <w:rFonts w:eastAsia="SimSun"/>
                <w:sz w:val="24"/>
                <w:szCs w:val="24"/>
              </w:rPr>
              <w:t>1</w:t>
            </w:r>
          </w:p>
        </w:tc>
      </w:tr>
      <w:tr w:rsidR="007866EE" w:rsidRPr="00C07B2E" w14:paraId="014F964A" w14:textId="77777777" w:rsidTr="00552BE6">
        <w:tc>
          <w:tcPr>
            <w:tcW w:w="8900" w:type="dxa"/>
          </w:tcPr>
          <w:p w14:paraId="2152FFB1" w14:textId="77777777" w:rsidR="007866EE" w:rsidRPr="008025C0" w:rsidRDefault="007866EE" w:rsidP="005A428D">
            <w:pPr>
              <w:pStyle w:val="table-text-0"/>
              <w:rPr>
                <w:sz w:val="24"/>
                <w:szCs w:val="24"/>
              </w:rPr>
            </w:pPr>
            <w:r w:rsidRPr="008025C0">
              <w:rPr>
                <w:sz w:val="24"/>
                <w:szCs w:val="24"/>
              </w:rPr>
              <w:t>Язвенная болезнь, требующая лечения</w:t>
            </w:r>
          </w:p>
        </w:tc>
        <w:tc>
          <w:tcPr>
            <w:tcW w:w="1195" w:type="dxa"/>
          </w:tcPr>
          <w:p w14:paraId="0827FE33" w14:textId="77777777" w:rsidR="007866EE" w:rsidRPr="008025C0" w:rsidRDefault="007866EE" w:rsidP="005A428D">
            <w:pPr>
              <w:pStyle w:val="table-text-0"/>
              <w:rPr>
                <w:rFonts w:eastAsia="SimSun"/>
                <w:sz w:val="24"/>
                <w:szCs w:val="24"/>
              </w:rPr>
            </w:pPr>
            <w:r w:rsidRPr="008025C0">
              <w:rPr>
                <w:rFonts w:eastAsia="SimSun"/>
                <w:sz w:val="24"/>
                <w:szCs w:val="24"/>
              </w:rPr>
              <w:t>2</w:t>
            </w:r>
          </w:p>
        </w:tc>
      </w:tr>
      <w:tr w:rsidR="007866EE" w:rsidRPr="00C07B2E" w14:paraId="034AE034" w14:textId="77777777" w:rsidTr="00552BE6">
        <w:tc>
          <w:tcPr>
            <w:tcW w:w="8900" w:type="dxa"/>
          </w:tcPr>
          <w:p w14:paraId="65454B5B" w14:textId="77777777" w:rsidR="007866EE" w:rsidRPr="008025C0" w:rsidRDefault="007866EE" w:rsidP="005A428D">
            <w:pPr>
              <w:pStyle w:val="table-head-left"/>
              <w:rPr>
                <w:szCs w:val="24"/>
              </w:rPr>
            </w:pPr>
            <w:r w:rsidRPr="008025C0">
              <w:rPr>
                <w:szCs w:val="24"/>
              </w:rPr>
              <w:t>Нарушение обмена</w:t>
            </w:r>
          </w:p>
        </w:tc>
        <w:tc>
          <w:tcPr>
            <w:tcW w:w="1195" w:type="dxa"/>
          </w:tcPr>
          <w:p w14:paraId="2E68BDEC" w14:textId="77777777" w:rsidR="007866EE" w:rsidRPr="008025C0" w:rsidRDefault="007866EE" w:rsidP="005A428D">
            <w:pPr>
              <w:pStyle w:val="table-head-left"/>
              <w:rPr>
                <w:rFonts w:eastAsia="SimSun"/>
                <w:szCs w:val="24"/>
              </w:rPr>
            </w:pPr>
          </w:p>
        </w:tc>
      </w:tr>
      <w:tr w:rsidR="007866EE" w:rsidRPr="00C07B2E" w14:paraId="52C1FC76" w14:textId="77777777" w:rsidTr="00552BE6">
        <w:tc>
          <w:tcPr>
            <w:tcW w:w="8900" w:type="dxa"/>
          </w:tcPr>
          <w:p w14:paraId="6A87D9B8" w14:textId="77777777" w:rsidR="007866EE" w:rsidRPr="008025C0" w:rsidRDefault="007866EE" w:rsidP="005A428D">
            <w:pPr>
              <w:pStyle w:val="table-text-0"/>
              <w:rPr>
                <w:sz w:val="24"/>
                <w:szCs w:val="24"/>
              </w:rPr>
            </w:pPr>
            <w:r w:rsidRPr="008025C0">
              <w:rPr>
                <w:sz w:val="24"/>
                <w:szCs w:val="24"/>
              </w:rPr>
              <w:t>Сахарный диабет, требующий лечения</w:t>
            </w:r>
          </w:p>
        </w:tc>
        <w:tc>
          <w:tcPr>
            <w:tcW w:w="1195" w:type="dxa"/>
          </w:tcPr>
          <w:p w14:paraId="78B855D6" w14:textId="77777777" w:rsidR="007866EE" w:rsidRPr="008025C0" w:rsidRDefault="007866EE" w:rsidP="005A428D">
            <w:pPr>
              <w:pStyle w:val="table-text-0"/>
              <w:rPr>
                <w:rFonts w:eastAsia="SimSun"/>
                <w:sz w:val="24"/>
                <w:szCs w:val="24"/>
              </w:rPr>
            </w:pPr>
            <w:r w:rsidRPr="008025C0">
              <w:rPr>
                <w:rFonts w:eastAsia="SimSun"/>
                <w:sz w:val="24"/>
                <w:szCs w:val="24"/>
              </w:rPr>
              <w:t>1</w:t>
            </w:r>
          </w:p>
        </w:tc>
      </w:tr>
      <w:tr w:rsidR="007866EE" w:rsidRPr="00C07B2E" w14:paraId="0EA2A803" w14:textId="77777777" w:rsidTr="00552BE6">
        <w:tc>
          <w:tcPr>
            <w:tcW w:w="8900" w:type="dxa"/>
          </w:tcPr>
          <w:p w14:paraId="76FF0F4F" w14:textId="77777777" w:rsidR="007866EE" w:rsidRPr="008025C0" w:rsidRDefault="007866EE" w:rsidP="005A428D">
            <w:pPr>
              <w:pStyle w:val="table-text-0"/>
              <w:rPr>
                <w:sz w:val="24"/>
                <w:szCs w:val="24"/>
              </w:rPr>
            </w:pPr>
            <w:r w:rsidRPr="008025C0">
              <w:rPr>
                <w:sz w:val="24"/>
                <w:szCs w:val="24"/>
              </w:rPr>
              <w:t>Индекс массы тела &gt; 35 кг/м</w:t>
            </w:r>
            <w:r w:rsidRPr="008025C0">
              <w:rPr>
                <w:sz w:val="24"/>
                <w:szCs w:val="24"/>
                <w:vertAlign w:val="superscript"/>
              </w:rPr>
              <w:t>2</w:t>
            </w:r>
          </w:p>
        </w:tc>
        <w:tc>
          <w:tcPr>
            <w:tcW w:w="1195" w:type="dxa"/>
          </w:tcPr>
          <w:p w14:paraId="31FB3EBD" w14:textId="77777777" w:rsidR="007866EE" w:rsidRPr="008025C0" w:rsidRDefault="007866EE" w:rsidP="005A428D">
            <w:pPr>
              <w:pStyle w:val="table-text-0"/>
              <w:rPr>
                <w:rFonts w:eastAsia="SimSun"/>
                <w:sz w:val="24"/>
                <w:szCs w:val="24"/>
              </w:rPr>
            </w:pPr>
            <w:r w:rsidRPr="008025C0">
              <w:rPr>
                <w:rFonts w:eastAsia="SimSun"/>
                <w:sz w:val="24"/>
                <w:szCs w:val="24"/>
              </w:rPr>
              <w:t>1</w:t>
            </w:r>
          </w:p>
        </w:tc>
      </w:tr>
      <w:tr w:rsidR="007866EE" w:rsidRPr="00C07B2E" w14:paraId="0C92DBB7" w14:textId="77777777" w:rsidTr="00552BE6">
        <w:tc>
          <w:tcPr>
            <w:tcW w:w="8900" w:type="dxa"/>
          </w:tcPr>
          <w:p w14:paraId="11143C48" w14:textId="77777777" w:rsidR="007866EE" w:rsidRPr="008025C0" w:rsidRDefault="007866EE" w:rsidP="005A428D">
            <w:pPr>
              <w:pStyle w:val="table-head-left"/>
              <w:rPr>
                <w:szCs w:val="24"/>
              </w:rPr>
            </w:pPr>
            <w:r w:rsidRPr="008025C0">
              <w:rPr>
                <w:szCs w:val="24"/>
              </w:rPr>
              <w:t>Неврологический статус</w:t>
            </w:r>
          </w:p>
        </w:tc>
        <w:tc>
          <w:tcPr>
            <w:tcW w:w="1195" w:type="dxa"/>
          </w:tcPr>
          <w:p w14:paraId="50594AAE" w14:textId="77777777" w:rsidR="007866EE" w:rsidRPr="008025C0" w:rsidRDefault="007866EE" w:rsidP="005A428D">
            <w:pPr>
              <w:pStyle w:val="table-head-left"/>
              <w:rPr>
                <w:rFonts w:eastAsia="SimSun"/>
                <w:szCs w:val="24"/>
              </w:rPr>
            </w:pPr>
          </w:p>
        </w:tc>
      </w:tr>
      <w:tr w:rsidR="007866EE" w:rsidRPr="00C07B2E" w14:paraId="37E56146" w14:textId="77777777" w:rsidTr="00552BE6">
        <w:tc>
          <w:tcPr>
            <w:tcW w:w="8900" w:type="dxa"/>
          </w:tcPr>
          <w:p w14:paraId="7903C189" w14:textId="77777777" w:rsidR="007866EE" w:rsidRPr="008025C0" w:rsidRDefault="007866EE" w:rsidP="005A428D">
            <w:pPr>
              <w:pStyle w:val="table-text-0"/>
              <w:rPr>
                <w:sz w:val="24"/>
                <w:szCs w:val="24"/>
              </w:rPr>
            </w:pPr>
            <w:r w:rsidRPr="008025C0">
              <w:rPr>
                <w:sz w:val="24"/>
                <w:szCs w:val="24"/>
              </w:rPr>
              <w:t>Транзиторная ишемическая атака или острое нарушение мозгового кровообращения в анамнезе</w:t>
            </w:r>
          </w:p>
        </w:tc>
        <w:tc>
          <w:tcPr>
            <w:tcW w:w="1195" w:type="dxa"/>
          </w:tcPr>
          <w:p w14:paraId="20249E9B" w14:textId="77777777" w:rsidR="007866EE" w:rsidRPr="008025C0" w:rsidRDefault="007866EE" w:rsidP="005A428D">
            <w:pPr>
              <w:pStyle w:val="table-text-0"/>
              <w:rPr>
                <w:rFonts w:eastAsia="SimSun"/>
                <w:sz w:val="24"/>
                <w:szCs w:val="24"/>
              </w:rPr>
            </w:pPr>
            <w:r w:rsidRPr="008025C0">
              <w:rPr>
                <w:rFonts w:eastAsia="SimSun"/>
                <w:sz w:val="24"/>
                <w:szCs w:val="24"/>
              </w:rPr>
              <w:t>1</w:t>
            </w:r>
          </w:p>
        </w:tc>
      </w:tr>
      <w:tr w:rsidR="007866EE" w:rsidRPr="00C07B2E" w14:paraId="63704B19" w14:textId="77777777" w:rsidTr="00552BE6">
        <w:tc>
          <w:tcPr>
            <w:tcW w:w="8900" w:type="dxa"/>
          </w:tcPr>
          <w:p w14:paraId="75D18069" w14:textId="77777777" w:rsidR="007866EE" w:rsidRPr="008025C0" w:rsidRDefault="007866EE" w:rsidP="005A428D">
            <w:pPr>
              <w:pStyle w:val="table-head-left"/>
              <w:rPr>
                <w:szCs w:val="24"/>
              </w:rPr>
            </w:pPr>
            <w:r w:rsidRPr="008025C0">
              <w:rPr>
                <w:szCs w:val="24"/>
              </w:rPr>
              <w:t>Психический статус</w:t>
            </w:r>
          </w:p>
        </w:tc>
        <w:tc>
          <w:tcPr>
            <w:tcW w:w="1195" w:type="dxa"/>
          </w:tcPr>
          <w:p w14:paraId="01382F04" w14:textId="77777777" w:rsidR="007866EE" w:rsidRPr="008025C0" w:rsidRDefault="007866EE" w:rsidP="005A428D">
            <w:pPr>
              <w:pStyle w:val="table-head-left"/>
              <w:rPr>
                <w:rFonts w:eastAsia="SimSun"/>
                <w:szCs w:val="24"/>
              </w:rPr>
            </w:pPr>
          </w:p>
        </w:tc>
      </w:tr>
      <w:tr w:rsidR="007866EE" w:rsidRPr="00C07B2E" w14:paraId="3853BF18" w14:textId="77777777" w:rsidTr="00552BE6">
        <w:tc>
          <w:tcPr>
            <w:tcW w:w="8900" w:type="dxa"/>
          </w:tcPr>
          <w:p w14:paraId="65FDE316" w14:textId="77777777" w:rsidR="007866EE" w:rsidRPr="008025C0" w:rsidRDefault="007866EE" w:rsidP="005A428D">
            <w:pPr>
              <w:pStyle w:val="table-text-0"/>
              <w:rPr>
                <w:sz w:val="24"/>
                <w:szCs w:val="24"/>
              </w:rPr>
            </w:pPr>
            <w:r w:rsidRPr="008025C0">
              <w:rPr>
                <w:sz w:val="24"/>
                <w:szCs w:val="24"/>
              </w:rPr>
              <w:t>Депрессия или тревога, требующие консультации психиатра или лечения</w:t>
            </w:r>
          </w:p>
        </w:tc>
        <w:tc>
          <w:tcPr>
            <w:tcW w:w="1195" w:type="dxa"/>
          </w:tcPr>
          <w:p w14:paraId="57FDA299" w14:textId="77777777" w:rsidR="007866EE" w:rsidRPr="008025C0" w:rsidRDefault="007866EE" w:rsidP="005A428D">
            <w:pPr>
              <w:pStyle w:val="table-text-0"/>
              <w:rPr>
                <w:rFonts w:eastAsia="SimSun"/>
                <w:sz w:val="24"/>
                <w:szCs w:val="24"/>
              </w:rPr>
            </w:pPr>
            <w:r w:rsidRPr="008025C0">
              <w:rPr>
                <w:rFonts w:eastAsia="SimSun"/>
                <w:sz w:val="24"/>
                <w:szCs w:val="24"/>
              </w:rPr>
              <w:t>1</w:t>
            </w:r>
          </w:p>
        </w:tc>
      </w:tr>
      <w:tr w:rsidR="007866EE" w:rsidRPr="00C07B2E" w14:paraId="7BFBD314" w14:textId="77777777" w:rsidTr="00552BE6">
        <w:tc>
          <w:tcPr>
            <w:tcW w:w="8900" w:type="dxa"/>
          </w:tcPr>
          <w:p w14:paraId="7FD6CAB1" w14:textId="77777777" w:rsidR="007866EE" w:rsidRPr="008025C0" w:rsidRDefault="007866EE" w:rsidP="005A428D">
            <w:pPr>
              <w:pStyle w:val="table-head-left"/>
              <w:rPr>
                <w:szCs w:val="24"/>
              </w:rPr>
            </w:pPr>
            <w:r w:rsidRPr="008025C0">
              <w:rPr>
                <w:szCs w:val="24"/>
              </w:rPr>
              <w:t>Мочевыделительная система</w:t>
            </w:r>
          </w:p>
        </w:tc>
        <w:tc>
          <w:tcPr>
            <w:tcW w:w="1195" w:type="dxa"/>
          </w:tcPr>
          <w:p w14:paraId="6E2AD35F" w14:textId="77777777" w:rsidR="007866EE" w:rsidRPr="008025C0" w:rsidRDefault="007866EE" w:rsidP="005A428D">
            <w:pPr>
              <w:pStyle w:val="table-head-left"/>
              <w:rPr>
                <w:rFonts w:eastAsia="SimSun"/>
                <w:szCs w:val="24"/>
              </w:rPr>
            </w:pPr>
          </w:p>
        </w:tc>
      </w:tr>
      <w:tr w:rsidR="007866EE" w:rsidRPr="00C07B2E" w14:paraId="61F062EB" w14:textId="77777777" w:rsidTr="00552BE6">
        <w:trPr>
          <w:trHeight w:val="370"/>
        </w:trPr>
        <w:tc>
          <w:tcPr>
            <w:tcW w:w="8900" w:type="dxa"/>
          </w:tcPr>
          <w:p w14:paraId="06DD91F1" w14:textId="77777777" w:rsidR="007866EE" w:rsidRPr="008025C0" w:rsidRDefault="007866EE" w:rsidP="005A428D">
            <w:pPr>
              <w:pStyle w:val="table-text-0"/>
              <w:rPr>
                <w:sz w:val="24"/>
                <w:szCs w:val="24"/>
              </w:rPr>
            </w:pPr>
            <w:r w:rsidRPr="008025C0">
              <w:rPr>
                <w:sz w:val="24"/>
                <w:szCs w:val="24"/>
              </w:rPr>
              <w:t>Концентрация креатинина сыворотки &gt; 176 мкмоль/л, диализ или почечный трансплантат</w:t>
            </w:r>
          </w:p>
        </w:tc>
        <w:tc>
          <w:tcPr>
            <w:tcW w:w="1195" w:type="dxa"/>
          </w:tcPr>
          <w:p w14:paraId="7D347EC6" w14:textId="77777777" w:rsidR="007866EE" w:rsidRPr="008025C0" w:rsidRDefault="007866EE" w:rsidP="005A428D">
            <w:pPr>
              <w:pStyle w:val="table-text-0"/>
              <w:rPr>
                <w:rFonts w:eastAsia="SimSun"/>
                <w:sz w:val="24"/>
                <w:szCs w:val="24"/>
              </w:rPr>
            </w:pPr>
            <w:r w:rsidRPr="008025C0">
              <w:rPr>
                <w:sz w:val="24"/>
                <w:szCs w:val="24"/>
              </w:rPr>
              <w:t>2</w:t>
            </w:r>
          </w:p>
        </w:tc>
      </w:tr>
      <w:tr w:rsidR="007866EE" w:rsidRPr="00C07B2E" w14:paraId="258C6D1B" w14:textId="77777777" w:rsidTr="00552BE6">
        <w:tc>
          <w:tcPr>
            <w:tcW w:w="8900" w:type="dxa"/>
          </w:tcPr>
          <w:p w14:paraId="5E0FCE46" w14:textId="77777777" w:rsidR="007866EE" w:rsidRPr="008025C0" w:rsidRDefault="007866EE" w:rsidP="005A428D">
            <w:pPr>
              <w:pStyle w:val="table-head-left"/>
              <w:rPr>
                <w:szCs w:val="24"/>
              </w:rPr>
            </w:pPr>
            <w:r w:rsidRPr="008025C0">
              <w:rPr>
                <w:szCs w:val="24"/>
              </w:rPr>
              <w:t>Системные заболевания</w:t>
            </w:r>
          </w:p>
        </w:tc>
        <w:tc>
          <w:tcPr>
            <w:tcW w:w="1195" w:type="dxa"/>
          </w:tcPr>
          <w:p w14:paraId="1F694BC4" w14:textId="77777777" w:rsidR="007866EE" w:rsidRPr="008025C0" w:rsidRDefault="007866EE" w:rsidP="005A428D">
            <w:pPr>
              <w:pStyle w:val="table-head-left"/>
              <w:rPr>
                <w:rFonts w:eastAsia="SimSun"/>
                <w:szCs w:val="24"/>
              </w:rPr>
            </w:pPr>
          </w:p>
        </w:tc>
      </w:tr>
      <w:tr w:rsidR="007866EE" w:rsidRPr="00C07B2E" w14:paraId="633F6E36" w14:textId="77777777" w:rsidTr="00552BE6">
        <w:tc>
          <w:tcPr>
            <w:tcW w:w="8900" w:type="dxa"/>
          </w:tcPr>
          <w:p w14:paraId="1742628D" w14:textId="77777777" w:rsidR="007866EE" w:rsidRPr="008025C0" w:rsidRDefault="007866EE" w:rsidP="005A428D">
            <w:pPr>
              <w:pStyle w:val="table-text-0"/>
              <w:rPr>
                <w:sz w:val="24"/>
                <w:szCs w:val="24"/>
              </w:rPr>
            </w:pPr>
            <w:r w:rsidRPr="008025C0">
              <w:rPr>
                <w:sz w:val="24"/>
                <w:szCs w:val="24"/>
              </w:rPr>
              <w:t>Системная красная волчанка, ревматоидный артрит, полимиозит и другие болезни соединительной ткани, требующие лечения</w:t>
            </w:r>
          </w:p>
        </w:tc>
        <w:tc>
          <w:tcPr>
            <w:tcW w:w="1195" w:type="dxa"/>
          </w:tcPr>
          <w:p w14:paraId="68CB8879" w14:textId="77777777" w:rsidR="007866EE" w:rsidRPr="008025C0" w:rsidRDefault="007866EE" w:rsidP="005A428D">
            <w:pPr>
              <w:pStyle w:val="table-text-0"/>
              <w:rPr>
                <w:rFonts w:eastAsia="SimSun"/>
                <w:sz w:val="24"/>
                <w:szCs w:val="24"/>
              </w:rPr>
            </w:pPr>
            <w:r w:rsidRPr="008025C0">
              <w:rPr>
                <w:rFonts w:eastAsia="SimSun"/>
                <w:sz w:val="24"/>
                <w:szCs w:val="24"/>
              </w:rPr>
              <w:t>2</w:t>
            </w:r>
          </w:p>
        </w:tc>
      </w:tr>
      <w:tr w:rsidR="007866EE" w:rsidRPr="00C07B2E" w14:paraId="67F51AC4" w14:textId="77777777" w:rsidTr="00552BE6">
        <w:tc>
          <w:tcPr>
            <w:tcW w:w="8900" w:type="dxa"/>
          </w:tcPr>
          <w:p w14:paraId="1373E8CF" w14:textId="77777777" w:rsidR="007866EE" w:rsidRPr="008025C0" w:rsidRDefault="007866EE" w:rsidP="005A428D">
            <w:pPr>
              <w:pStyle w:val="table-head-left"/>
              <w:rPr>
                <w:szCs w:val="24"/>
              </w:rPr>
            </w:pPr>
            <w:r w:rsidRPr="008025C0">
              <w:rPr>
                <w:szCs w:val="24"/>
              </w:rPr>
              <w:t>Инфекции</w:t>
            </w:r>
          </w:p>
        </w:tc>
        <w:tc>
          <w:tcPr>
            <w:tcW w:w="1195" w:type="dxa"/>
          </w:tcPr>
          <w:p w14:paraId="60B702D9" w14:textId="77777777" w:rsidR="007866EE" w:rsidRPr="008025C0" w:rsidRDefault="007866EE" w:rsidP="005A428D">
            <w:pPr>
              <w:pStyle w:val="table-head-left"/>
              <w:rPr>
                <w:rFonts w:eastAsia="SimSun"/>
                <w:szCs w:val="24"/>
              </w:rPr>
            </w:pPr>
          </w:p>
        </w:tc>
      </w:tr>
      <w:tr w:rsidR="007866EE" w:rsidRPr="00C07B2E" w14:paraId="1B59DCA4" w14:textId="77777777" w:rsidTr="00552BE6">
        <w:tc>
          <w:tcPr>
            <w:tcW w:w="8900" w:type="dxa"/>
          </w:tcPr>
          <w:p w14:paraId="4110CC89" w14:textId="77777777" w:rsidR="007866EE" w:rsidRPr="008025C0" w:rsidRDefault="007866EE" w:rsidP="005A428D">
            <w:pPr>
              <w:pStyle w:val="table-text-0"/>
              <w:rPr>
                <w:sz w:val="24"/>
                <w:szCs w:val="24"/>
              </w:rPr>
            </w:pPr>
            <w:r w:rsidRPr="008025C0">
              <w:rPr>
                <w:sz w:val="24"/>
                <w:szCs w:val="24"/>
              </w:rPr>
              <w:t>Инфекционные осложнения, требующие терапии до и после трансплантации</w:t>
            </w:r>
          </w:p>
        </w:tc>
        <w:tc>
          <w:tcPr>
            <w:tcW w:w="1195" w:type="dxa"/>
          </w:tcPr>
          <w:p w14:paraId="3C837CDC" w14:textId="77777777" w:rsidR="007866EE" w:rsidRPr="008025C0" w:rsidRDefault="007866EE" w:rsidP="005A428D">
            <w:pPr>
              <w:pStyle w:val="table-text-0"/>
              <w:rPr>
                <w:rFonts w:eastAsia="SimSun"/>
                <w:sz w:val="24"/>
                <w:szCs w:val="24"/>
              </w:rPr>
            </w:pPr>
            <w:r w:rsidRPr="008025C0">
              <w:rPr>
                <w:rFonts w:eastAsia="SimSun"/>
                <w:sz w:val="24"/>
                <w:szCs w:val="24"/>
              </w:rPr>
              <w:t>1</w:t>
            </w:r>
          </w:p>
        </w:tc>
      </w:tr>
      <w:tr w:rsidR="007866EE" w:rsidRPr="00C07B2E" w14:paraId="4E6F355E" w14:textId="77777777" w:rsidTr="00552BE6">
        <w:tc>
          <w:tcPr>
            <w:tcW w:w="8900" w:type="dxa"/>
          </w:tcPr>
          <w:p w14:paraId="61723573" w14:textId="77777777" w:rsidR="007866EE" w:rsidRPr="008025C0" w:rsidRDefault="007866EE" w:rsidP="005A428D">
            <w:pPr>
              <w:pStyle w:val="table-head-left"/>
              <w:rPr>
                <w:szCs w:val="24"/>
              </w:rPr>
            </w:pPr>
            <w:r w:rsidRPr="008025C0">
              <w:rPr>
                <w:szCs w:val="24"/>
              </w:rPr>
              <w:t>Онкологические заболевания</w:t>
            </w:r>
          </w:p>
        </w:tc>
        <w:tc>
          <w:tcPr>
            <w:tcW w:w="1195" w:type="dxa"/>
          </w:tcPr>
          <w:p w14:paraId="75796D9E" w14:textId="77777777" w:rsidR="007866EE" w:rsidRPr="008025C0" w:rsidRDefault="007866EE" w:rsidP="005A428D">
            <w:pPr>
              <w:pStyle w:val="table-head-left"/>
              <w:rPr>
                <w:rFonts w:eastAsia="SimSun"/>
                <w:szCs w:val="24"/>
              </w:rPr>
            </w:pPr>
          </w:p>
        </w:tc>
      </w:tr>
      <w:tr w:rsidR="007866EE" w:rsidRPr="00C07B2E" w14:paraId="2E2647DD" w14:textId="77777777" w:rsidTr="00552BE6">
        <w:tc>
          <w:tcPr>
            <w:tcW w:w="8900" w:type="dxa"/>
          </w:tcPr>
          <w:p w14:paraId="1B5F3171" w14:textId="77777777" w:rsidR="007866EE" w:rsidRPr="008025C0" w:rsidRDefault="007866EE" w:rsidP="005A428D">
            <w:pPr>
              <w:pStyle w:val="table-text-0"/>
              <w:rPr>
                <w:sz w:val="24"/>
                <w:szCs w:val="24"/>
              </w:rPr>
            </w:pPr>
            <w:r w:rsidRPr="008025C0">
              <w:rPr>
                <w:sz w:val="24"/>
                <w:szCs w:val="24"/>
              </w:rPr>
              <w:t>Любые опухоли в анамнезе, кроме рака кожи (исключая меланому)</w:t>
            </w:r>
          </w:p>
        </w:tc>
        <w:tc>
          <w:tcPr>
            <w:tcW w:w="1195" w:type="dxa"/>
          </w:tcPr>
          <w:p w14:paraId="2DF86ACF" w14:textId="77777777" w:rsidR="007866EE" w:rsidRPr="008025C0" w:rsidRDefault="007866EE" w:rsidP="005A428D">
            <w:pPr>
              <w:pStyle w:val="table-text-0"/>
              <w:rPr>
                <w:rFonts w:eastAsia="SimSun"/>
                <w:sz w:val="24"/>
                <w:szCs w:val="24"/>
              </w:rPr>
            </w:pPr>
            <w:r w:rsidRPr="008025C0">
              <w:rPr>
                <w:rFonts w:eastAsia="SimSun"/>
                <w:sz w:val="24"/>
                <w:szCs w:val="24"/>
              </w:rPr>
              <w:t>3</w:t>
            </w:r>
          </w:p>
        </w:tc>
      </w:tr>
    </w:tbl>
    <w:p w14:paraId="0D9FB9C3" w14:textId="77777777" w:rsidR="007866EE" w:rsidRPr="00C07B2E" w:rsidRDefault="007866EE" w:rsidP="007866EE">
      <w:pPr>
        <w:rPr>
          <w:sz w:val="28"/>
          <w:szCs w:val="28"/>
          <w:lang w:val="en-US"/>
        </w:rPr>
      </w:pPr>
    </w:p>
    <w:p w14:paraId="0C3952FC" w14:textId="77777777" w:rsidR="00552BE6" w:rsidRPr="00A74B56" w:rsidRDefault="00552BE6" w:rsidP="00552BE6">
      <w:pPr>
        <w:rPr>
          <w:rFonts w:eastAsia="SimSun"/>
          <w:szCs w:val="24"/>
        </w:rPr>
      </w:pPr>
      <w:r w:rsidRPr="00A74B56">
        <w:rPr>
          <w:rFonts w:eastAsia="SimSun"/>
          <w:szCs w:val="24"/>
        </w:rPr>
        <w:t>Низкий риск — 0 баллов.</w:t>
      </w:r>
    </w:p>
    <w:p w14:paraId="0E31417A" w14:textId="77777777" w:rsidR="00552BE6" w:rsidRPr="00A74B56" w:rsidRDefault="00552BE6" w:rsidP="00552BE6">
      <w:pPr>
        <w:rPr>
          <w:rFonts w:eastAsia="SimSun"/>
          <w:szCs w:val="24"/>
        </w:rPr>
      </w:pPr>
      <w:r w:rsidRPr="00A74B56">
        <w:rPr>
          <w:rFonts w:eastAsia="SimSun"/>
          <w:szCs w:val="24"/>
        </w:rPr>
        <w:t>Промежуточный риск — 1–2 балла.</w:t>
      </w:r>
    </w:p>
    <w:p w14:paraId="12A99414" w14:textId="77777777" w:rsidR="00552BE6" w:rsidRPr="00A74B56" w:rsidRDefault="00552BE6" w:rsidP="00552BE6">
      <w:pPr>
        <w:rPr>
          <w:rFonts w:eastAsia="SimSun"/>
          <w:szCs w:val="24"/>
        </w:rPr>
      </w:pPr>
      <w:r w:rsidRPr="00A74B56">
        <w:rPr>
          <w:rFonts w:eastAsia="SimSun"/>
          <w:szCs w:val="24"/>
        </w:rPr>
        <w:t>Высокий риск — 3–4 балла.</w:t>
      </w:r>
    </w:p>
    <w:p w14:paraId="6C1B15E3" w14:textId="0EA283EF" w:rsidR="007866EE" w:rsidRPr="00552BE6" w:rsidRDefault="00552BE6" w:rsidP="00552BE6">
      <w:r w:rsidRPr="00A74B56">
        <w:rPr>
          <w:rFonts w:eastAsia="SimSun"/>
          <w:szCs w:val="24"/>
        </w:rPr>
        <w:t>Крайне высокий — 5 и более баллов.</w:t>
      </w:r>
    </w:p>
    <w:p w14:paraId="204398D1" w14:textId="77777777" w:rsidR="00A36D51" w:rsidRPr="00552BE6" w:rsidRDefault="00A36D51" w:rsidP="00A36D51">
      <w:pPr>
        <w:rPr>
          <w:b/>
          <w:bCs/>
          <w:szCs w:val="24"/>
        </w:rPr>
      </w:pPr>
    </w:p>
    <w:p w14:paraId="02B25F71" w14:textId="77777777" w:rsidR="008209A8" w:rsidRPr="00071A33" w:rsidRDefault="008209A8" w:rsidP="002F68E0"/>
    <w:sectPr w:rsidR="008209A8" w:rsidRPr="00071A33" w:rsidSect="00383556">
      <w:headerReference w:type="default" r:id="rId1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77C28" w14:textId="77777777" w:rsidR="00D55F0D" w:rsidRDefault="00D55F0D" w:rsidP="00383556">
      <w:pPr>
        <w:spacing w:line="240" w:lineRule="auto"/>
      </w:pPr>
      <w:r>
        <w:separator/>
      </w:r>
    </w:p>
  </w:endnote>
  <w:endnote w:type="continuationSeparator" w:id="0">
    <w:p w14:paraId="5921CD8C" w14:textId="77777777" w:rsidR="00D55F0D" w:rsidRDefault="00D55F0D" w:rsidP="00383556">
      <w:pPr>
        <w:spacing w:line="240" w:lineRule="auto"/>
      </w:pPr>
      <w:r>
        <w:continuationSeparator/>
      </w:r>
    </w:p>
  </w:endnote>
  <w:endnote w:type="continuationNotice" w:id="1">
    <w:p w14:paraId="60566BFB" w14:textId="77777777" w:rsidR="00D55F0D" w:rsidRDefault="00D55F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ItalicMT">
    <w:altName w:val="Times New Roman"/>
    <w:panose1 w:val="00000000000000000000"/>
    <w:charset w:val="00"/>
    <w:family w:val="roman"/>
    <w:notTrueType/>
    <w:pitch w:val="default"/>
  </w:font>
  <w:font w:name="GalsLightC">
    <w:altName w:val="MS Mincho"/>
    <w:charset w:val="80"/>
    <w:family w:val="auto"/>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9090" w14:textId="77777777" w:rsidR="00BE7F89" w:rsidRDefault="00BE7F8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98F98" w14:textId="77777777" w:rsidR="00BE7F89" w:rsidRDefault="00BE7F8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ACA3D" w14:textId="77777777" w:rsidR="00BE7F89" w:rsidRDefault="00BE7F8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CCC83" w14:textId="77777777" w:rsidR="00BE7F89" w:rsidRDefault="00BE7F89">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D8F7E" w14:textId="77777777" w:rsidR="00BE7F89" w:rsidRDefault="00BE7F89">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E6421" w14:textId="77777777" w:rsidR="00BE7F89" w:rsidRDefault="00BE7F89">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8545E" w14:textId="1483B1FF" w:rsidR="00574AC0" w:rsidRDefault="00574AC0">
    <w:pPr>
      <w:pStyle w:val="a8"/>
      <w:jc w:val="center"/>
    </w:pPr>
    <w:r>
      <w:fldChar w:fldCharType="begin"/>
    </w:r>
    <w:r w:rsidRPr="00383556">
      <w:instrText>PAGE   \* MERGEFORMAT</w:instrText>
    </w:r>
    <w:r>
      <w:fldChar w:fldCharType="separate"/>
    </w:r>
    <w:r>
      <w:rPr>
        <w:noProof/>
      </w:rPr>
      <w:t>38</w:t>
    </w:r>
    <w:r>
      <w:fldChar w:fldCharType="end"/>
    </w:r>
  </w:p>
  <w:p w14:paraId="79E95497" w14:textId="77777777" w:rsidR="00574AC0" w:rsidRDefault="00574A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A6548" w14:textId="77777777" w:rsidR="00D55F0D" w:rsidRDefault="00D55F0D" w:rsidP="00383556">
      <w:pPr>
        <w:spacing w:line="240" w:lineRule="auto"/>
      </w:pPr>
      <w:r>
        <w:separator/>
      </w:r>
    </w:p>
  </w:footnote>
  <w:footnote w:type="continuationSeparator" w:id="0">
    <w:p w14:paraId="6E525B91" w14:textId="77777777" w:rsidR="00D55F0D" w:rsidRDefault="00D55F0D" w:rsidP="00383556">
      <w:pPr>
        <w:spacing w:line="240" w:lineRule="auto"/>
      </w:pPr>
      <w:r>
        <w:continuationSeparator/>
      </w:r>
    </w:p>
  </w:footnote>
  <w:footnote w:type="continuationNotice" w:id="1">
    <w:p w14:paraId="6D5224BA" w14:textId="77777777" w:rsidR="00D55F0D" w:rsidRDefault="00D55F0D">
      <w:pPr>
        <w:spacing w:line="240" w:lineRule="auto"/>
      </w:pPr>
    </w:p>
  </w:footnote>
  <w:footnote w:id="2">
    <w:p w14:paraId="29FCC274" w14:textId="7E7015F5" w:rsidR="00574AC0" w:rsidRPr="00797DFF" w:rsidRDefault="00574AC0" w:rsidP="00145A85">
      <w:pPr>
        <w:pStyle w:val="afd"/>
        <w:rPr>
          <w:rFonts w:ascii="Times New Roman" w:hAnsi="Times New Roman"/>
          <w:color w:val="FF0000"/>
        </w:rPr>
      </w:pPr>
      <w:r w:rsidRPr="003A51FD">
        <w:rPr>
          <w:rStyle w:val="aff"/>
        </w:rPr>
        <w:footnoteRef/>
      </w:r>
      <w:r w:rsidRPr="00015858">
        <w:rPr>
          <w:rFonts w:ascii="Times New Roman" w:hAnsi="Times New Roman"/>
        </w:rPr>
        <w:t xml:space="preserve"> К лимфатическим структурам относят лимфатические узлы, селезенку, вилочковую железу, кольцо Вальдейера, червеобразный отросток, пейеровы бляшки.</w:t>
      </w:r>
      <w:r>
        <w:rPr>
          <w:rFonts w:ascii="Times New Roman" w:hAnsi="Times New Roman"/>
        </w:rPr>
        <w:t xml:space="preserve"> </w:t>
      </w:r>
    </w:p>
    <w:p w14:paraId="5CB2C399" w14:textId="3DC92C35" w:rsidR="00574AC0" w:rsidRPr="00015858" w:rsidRDefault="00574AC0" w:rsidP="00145A85">
      <w:pPr>
        <w:pStyle w:val="afd"/>
        <w:rPr>
          <w:rFonts w:ascii="Times New Roman" w:hAnsi="Times New Roman"/>
        </w:rPr>
      </w:pPr>
    </w:p>
  </w:footnote>
  <w:footnote w:id="3">
    <w:p w14:paraId="34EF93B5" w14:textId="77777777" w:rsidR="00BE7F89" w:rsidRPr="00611832"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r>
        <w:rPr>
          <w:rFonts w:eastAsia="SimSun"/>
          <w:szCs w:val="24"/>
        </w:rPr>
        <w:t xml:space="preserve"> </w:t>
      </w:r>
    </w:p>
  </w:footnote>
  <w:footnote w:id="4">
    <w:p w14:paraId="66024B03" w14:textId="77777777" w:rsidR="00BE7F89" w:rsidRPr="00F2645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5">
    <w:p w14:paraId="01049E24" w14:textId="77777777" w:rsidR="00BE7F89" w:rsidRPr="00F2645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6">
    <w:p w14:paraId="29337BB5" w14:textId="77777777" w:rsidR="00BE7F89" w:rsidRPr="00F2645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7">
    <w:p w14:paraId="371DA42D" w14:textId="77777777" w:rsidR="00BE7F89" w:rsidRPr="00611832"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8">
    <w:p w14:paraId="07301407" w14:textId="77777777" w:rsidR="00BE7F89" w:rsidRPr="006155F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9">
    <w:p w14:paraId="5A7CF8DA" w14:textId="77777777" w:rsidR="00BE7F89" w:rsidRPr="006155F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0">
    <w:p w14:paraId="0763B8C3" w14:textId="77777777" w:rsidR="00BE7F89" w:rsidRPr="00F2645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11">
    <w:p w14:paraId="17B3C418" w14:textId="77777777" w:rsidR="00BE7F89" w:rsidRPr="006155F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2">
    <w:p w14:paraId="6676897C" w14:textId="77777777" w:rsidR="00BE7F89" w:rsidRPr="006155F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3">
    <w:p w14:paraId="6C853FCC" w14:textId="77777777" w:rsidR="00BE7F89" w:rsidRPr="006155F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4">
    <w:p w14:paraId="4EED6893" w14:textId="77777777" w:rsidR="00BE7F89" w:rsidRPr="006155F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5">
    <w:p w14:paraId="04D1A5CC" w14:textId="77777777" w:rsidR="00BE7F89" w:rsidRPr="006155F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6">
    <w:p w14:paraId="79D24724" w14:textId="77777777" w:rsidR="00BE7F89" w:rsidRPr="00DE2136"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17">
    <w:p w14:paraId="13002D96" w14:textId="77777777" w:rsidR="00BE7F89" w:rsidRPr="00F2645D" w:rsidRDefault="00BE7F89" w:rsidP="00BE7F89">
      <w:pPr>
        <w:pStyle w:val="afd"/>
      </w:pPr>
      <w:r w:rsidRPr="003A51FD">
        <w:rPr>
          <w:rStyle w:val="aff"/>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F667" w14:textId="77777777" w:rsidR="00BE7F89" w:rsidRPr="00A97CBF" w:rsidRDefault="00BE7F89" w:rsidP="008066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9BE5B" w14:textId="77777777" w:rsidR="00BE7F89" w:rsidRDefault="00BE7F8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92792" w14:textId="77777777" w:rsidR="00802346" w:rsidRDefault="0080234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AFD"/>
    <w:multiLevelType w:val="hybridMultilevel"/>
    <w:tmpl w:val="9A2AB6D6"/>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07F352B"/>
    <w:multiLevelType w:val="hybridMultilevel"/>
    <w:tmpl w:val="F63E5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8C28B3"/>
    <w:multiLevelType w:val="hybridMultilevel"/>
    <w:tmpl w:val="0C2C75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7A59DD"/>
    <w:multiLevelType w:val="hybridMultilevel"/>
    <w:tmpl w:val="F63E5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15864"/>
    <w:multiLevelType w:val="hybridMultilevel"/>
    <w:tmpl w:val="8230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B41D55"/>
    <w:multiLevelType w:val="hybridMultilevel"/>
    <w:tmpl w:val="F2CC2F5C"/>
    <w:lvl w:ilvl="0" w:tplc="04190001">
      <w:start w:val="1"/>
      <w:numFmt w:val="bullet"/>
      <w:lvlText w:val=""/>
      <w:lvlJc w:val="left"/>
      <w:pPr>
        <w:ind w:left="723"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917BA"/>
    <w:multiLevelType w:val="hybridMultilevel"/>
    <w:tmpl w:val="E2AC9F0E"/>
    <w:lvl w:ilvl="0" w:tplc="04190003">
      <w:start w:val="1"/>
      <w:numFmt w:val="bullet"/>
      <w:lvlText w:val="o"/>
      <w:lvlJc w:val="left"/>
      <w:pPr>
        <w:ind w:left="1413" w:hanging="705"/>
      </w:pPr>
      <w:rPr>
        <w:rFonts w:ascii="Courier New" w:hAnsi="Courier New" w:cs="Courier New" w:hint="default"/>
      </w:rPr>
    </w:lvl>
    <w:lvl w:ilvl="1" w:tplc="04190003">
      <w:start w:val="1"/>
      <w:numFmt w:val="bullet"/>
      <w:lvlText w:val="o"/>
      <w:lvlJc w:val="left"/>
      <w:pPr>
        <w:ind w:left="1784" w:hanging="705"/>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8" w15:restartNumberingAfterBreak="0">
    <w:nsid w:val="0EB60142"/>
    <w:multiLevelType w:val="hybridMultilevel"/>
    <w:tmpl w:val="EBB29E38"/>
    <w:lvl w:ilvl="0" w:tplc="04190003">
      <w:start w:val="1"/>
      <w:numFmt w:val="bullet"/>
      <w:lvlText w:val="o"/>
      <w:lvlJc w:val="left"/>
      <w:pPr>
        <w:ind w:left="1413" w:hanging="705"/>
      </w:pPr>
      <w:rPr>
        <w:rFonts w:ascii="Courier New" w:hAnsi="Courier New" w:cs="Courier New" w:hint="default"/>
      </w:rPr>
    </w:lvl>
    <w:lvl w:ilvl="1" w:tplc="04190003">
      <w:start w:val="1"/>
      <w:numFmt w:val="bullet"/>
      <w:lvlText w:val="o"/>
      <w:lvlJc w:val="left"/>
      <w:pPr>
        <w:ind w:left="1784" w:hanging="705"/>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9" w15:restartNumberingAfterBreak="0">
    <w:nsid w:val="0FD92B03"/>
    <w:multiLevelType w:val="hybridMultilevel"/>
    <w:tmpl w:val="BE6A865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121851F2"/>
    <w:multiLevelType w:val="hybridMultilevel"/>
    <w:tmpl w:val="6A2C7940"/>
    <w:lvl w:ilvl="0" w:tplc="4B660A52">
      <w:start w:val="1"/>
      <w:numFmt w:val="decimal"/>
      <w:lvlText w:val="%1."/>
      <w:lvlJc w:val="left"/>
      <w:pPr>
        <w:ind w:left="420" w:hanging="360"/>
      </w:pPr>
      <w:rPr>
        <w:rFonts w:hint="default"/>
      </w:rPr>
    </w:lvl>
    <w:lvl w:ilvl="1" w:tplc="1A2A1930">
      <w:numFmt w:val="bullet"/>
      <w:lvlText w:val="•"/>
      <w:lvlJc w:val="left"/>
      <w:pPr>
        <w:ind w:left="1140" w:hanging="360"/>
      </w:pPr>
      <w:rPr>
        <w:rFonts w:ascii="Times New Roman" w:eastAsia="Calibri" w:hAnsi="Times New Roman" w:cs="Times New Roman"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2992565"/>
    <w:multiLevelType w:val="hybridMultilevel"/>
    <w:tmpl w:val="279CD3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868006F"/>
    <w:multiLevelType w:val="hybridMultilevel"/>
    <w:tmpl w:val="8D465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C1682E"/>
    <w:multiLevelType w:val="hybridMultilevel"/>
    <w:tmpl w:val="D3167040"/>
    <w:lvl w:ilvl="0" w:tplc="04190003">
      <w:start w:val="1"/>
      <w:numFmt w:val="bullet"/>
      <w:lvlText w:val="o"/>
      <w:lvlJc w:val="left"/>
      <w:pPr>
        <w:ind w:left="1776" w:hanging="360"/>
      </w:pPr>
      <w:rPr>
        <w:rFonts w:ascii="Courier New" w:hAnsi="Courier New" w:cs="Courier New"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6" w15:restartNumberingAfterBreak="0">
    <w:nsid w:val="1FDF6C66"/>
    <w:multiLevelType w:val="hybridMultilevel"/>
    <w:tmpl w:val="B6BA9AB4"/>
    <w:lvl w:ilvl="0" w:tplc="4B660A52">
      <w:start w:val="1"/>
      <w:numFmt w:val="decimal"/>
      <w:lvlText w:val="%1."/>
      <w:lvlJc w:val="left"/>
      <w:pPr>
        <w:ind w:left="420" w:hanging="360"/>
      </w:pPr>
      <w:rPr>
        <w:rFonts w:hint="default"/>
      </w:rPr>
    </w:lvl>
    <w:lvl w:ilvl="1" w:tplc="04190001">
      <w:start w:val="1"/>
      <w:numFmt w:val="bullet"/>
      <w:lvlText w:val=""/>
      <w:lvlJc w:val="left"/>
      <w:pPr>
        <w:ind w:left="723" w:hanging="360"/>
      </w:pPr>
      <w:rPr>
        <w:rFonts w:ascii="Symbol" w:hAnsi="Symbol"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20C60378"/>
    <w:multiLevelType w:val="hybridMultilevel"/>
    <w:tmpl w:val="EDF8C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3D6439"/>
    <w:multiLevelType w:val="hybridMultilevel"/>
    <w:tmpl w:val="67FA6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56973B5"/>
    <w:multiLevelType w:val="hybridMultilevel"/>
    <w:tmpl w:val="64CEB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274518"/>
    <w:multiLevelType w:val="hybridMultilevel"/>
    <w:tmpl w:val="B75CE4EE"/>
    <w:lvl w:ilvl="0" w:tplc="04190011">
      <w:start w:val="1"/>
      <w:numFmt w:val="bullet"/>
      <w:lvlText w:val=""/>
      <w:lvlJc w:val="left"/>
      <w:pPr>
        <w:ind w:left="360" w:hanging="360"/>
      </w:pPr>
      <w:rPr>
        <w:rFonts w:ascii="Symbol" w:hAnsi="Symbol" w:hint="default"/>
      </w:rPr>
    </w:lvl>
    <w:lvl w:ilvl="1" w:tplc="04190019" w:tentative="1">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21" w15:restartNumberingAfterBreak="0">
    <w:nsid w:val="2B230778"/>
    <w:multiLevelType w:val="hybridMultilevel"/>
    <w:tmpl w:val="7D10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F1A334D"/>
    <w:multiLevelType w:val="hybridMultilevel"/>
    <w:tmpl w:val="84B81764"/>
    <w:lvl w:ilvl="0" w:tplc="179AE4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766C59"/>
    <w:multiLevelType w:val="hybridMultilevel"/>
    <w:tmpl w:val="A192E7A4"/>
    <w:lvl w:ilvl="0" w:tplc="04190003">
      <w:start w:val="1"/>
      <w:numFmt w:val="bullet"/>
      <w:lvlText w:val="o"/>
      <w:lvlJc w:val="left"/>
      <w:pPr>
        <w:ind w:left="1414" w:hanging="705"/>
      </w:pPr>
      <w:rPr>
        <w:rFonts w:ascii="Courier New" w:hAnsi="Courier New" w:cs="Courier New" w:hint="default"/>
      </w:rPr>
    </w:lvl>
    <w:lvl w:ilvl="1" w:tplc="04190001">
      <w:start w:val="1"/>
      <w:numFmt w:val="bullet"/>
      <w:lvlText w:val=""/>
      <w:lvlJc w:val="left"/>
      <w:pPr>
        <w:ind w:left="2134" w:hanging="705"/>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30015A8D"/>
    <w:multiLevelType w:val="hybridMultilevel"/>
    <w:tmpl w:val="142E744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15:restartNumberingAfterBreak="0">
    <w:nsid w:val="307F2DBF"/>
    <w:multiLevelType w:val="hybridMultilevel"/>
    <w:tmpl w:val="45C4F3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6"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362E36A5"/>
    <w:multiLevelType w:val="hybridMultilevel"/>
    <w:tmpl w:val="CD3C2112"/>
    <w:lvl w:ilvl="0" w:tplc="0419000F">
      <w:start w:val="1"/>
      <w:numFmt w:val="bullet"/>
      <w:lvlText w:val=""/>
      <w:lvlJc w:val="left"/>
      <w:pPr>
        <w:ind w:left="360" w:hanging="360"/>
      </w:pPr>
      <w:rPr>
        <w:rFonts w:ascii="Symbol" w:hAnsi="Symbol" w:hint="default"/>
      </w:rPr>
    </w:lvl>
    <w:lvl w:ilvl="1" w:tplc="EB60626C" w:tentative="1">
      <w:start w:val="1"/>
      <w:numFmt w:val="bullet"/>
      <w:lvlText w:val="o"/>
      <w:lvlJc w:val="left"/>
      <w:pPr>
        <w:ind w:left="1080" w:hanging="360"/>
      </w:pPr>
      <w:rPr>
        <w:rFonts w:ascii="Courier New" w:hAnsi="Courier New" w:hint="default"/>
      </w:rPr>
    </w:lvl>
    <w:lvl w:ilvl="2" w:tplc="EB60626C"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79D3DF9"/>
    <w:multiLevelType w:val="hybridMultilevel"/>
    <w:tmpl w:val="7C6CB12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3A29092D"/>
    <w:multiLevelType w:val="hybridMultilevel"/>
    <w:tmpl w:val="4E06AC02"/>
    <w:lvl w:ilvl="0" w:tplc="04190001">
      <w:start w:val="1"/>
      <w:numFmt w:val="bullet"/>
      <w:lvlText w:val=""/>
      <w:lvlJc w:val="left"/>
      <w:pPr>
        <w:ind w:left="720" w:hanging="360"/>
      </w:pPr>
      <w:rPr>
        <w:rFonts w:ascii="Symbol" w:hAnsi="Symbol" w:hint="default"/>
      </w:rPr>
    </w:lvl>
    <w:lvl w:ilvl="1" w:tplc="F7143DF4"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CA300F4"/>
    <w:multiLevelType w:val="hybridMultilevel"/>
    <w:tmpl w:val="8220932C"/>
    <w:lvl w:ilvl="0" w:tplc="E62A876E">
      <w:start w:val="3"/>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BB5F12"/>
    <w:multiLevelType w:val="hybridMultilevel"/>
    <w:tmpl w:val="F86E5E7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2"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3" w15:restartNumberingAfterBreak="0">
    <w:nsid w:val="3F7D6042"/>
    <w:multiLevelType w:val="hybridMultilevel"/>
    <w:tmpl w:val="FF4234C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15:restartNumberingAfterBreak="0">
    <w:nsid w:val="3FC34FF2"/>
    <w:multiLevelType w:val="hybridMultilevel"/>
    <w:tmpl w:val="8752C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4A4315"/>
    <w:multiLevelType w:val="hybridMultilevel"/>
    <w:tmpl w:val="884E90B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33D3BB2"/>
    <w:multiLevelType w:val="hybridMultilevel"/>
    <w:tmpl w:val="9EEEB7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BCD29E8"/>
    <w:multiLevelType w:val="hybridMultilevel"/>
    <w:tmpl w:val="7180A0AC"/>
    <w:lvl w:ilvl="0" w:tplc="04190001">
      <w:start w:val="1"/>
      <w:numFmt w:val="bullet"/>
      <w:lvlText w:val=""/>
      <w:lvlJc w:val="left"/>
      <w:pPr>
        <w:ind w:left="723"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40" w15:restartNumberingAfterBreak="0">
    <w:nsid w:val="4C216438"/>
    <w:multiLevelType w:val="hybridMultilevel"/>
    <w:tmpl w:val="1C100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FF82FB0"/>
    <w:multiLevelType w:val="hybridMultilevel"/>
    <w:tmpl w:val="E488F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2D4474E"/>
    <w:multiLevelType w:val="hybridMultilevel"/>
    <w:tmpl w:val="23DAA5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E90484"/>
    <w:multiLevelType w:val="hybridMultilevel"/>
    <w:tmpl w:val="55180548"/>
    <w:lvl w:ilvl="0" w:tplc="0419000F">
      <w:start w:val="1"/>
      <w:numFmt w:val="decimal"/>
      <w:lvlText w:val="%1."/>
      <w:lvlJc w:val="left"/>
      <w:pPr>
        <w:ind w:left="720" w:hanging="360"/>
      </w:pPr>
      <w:rPr>
        <w:rFonts w:hint="default"/>
      </w:rPr>
    </w:lvl>
    <w:lvl w:ilvl="1" w:tplc="04190003">
      <w:start w:val="1"/>
      <w:numFmt w:val="lowerLetter"/>
      <w:lvlText w:val="%2."/>
      <w:lvlJc w:val="left"/>
      <w:pPr>
        <w:ind w:left="1788" w:hanging="360"/>
      </w:pPr>
    </w:lvl>
    <w:lvl w:ilvl="2" w:tplc="E3526D9A">
      <w:start w:val="1"/>
      <w:numFmt w:val="decimal"/>
      <w:lvlText w:val="%3)"/>
      <w:lvlJc w:val="left"/>
      <w:pPr>
        <w:ind w:left="3036" w:hanging="708"/>
      </w:pPr>
      <w:rPr>
        <w:rFonts w:hint="default"/>
      </w:rPr>
    </w:lvl>
    <w:lvl w:ilvl="3" w:tplc="338849D2">
      <w:start w:val="1"/>
      <w:numFmt w:val="decimal"/>
      <w:lvlText w:val="%4."/>
      <w:lvlJc w:val="left"/>
      <w:pPr>
        <w:ind w:left="3576" w:hanging="708"/>
      </w:pPr>
      <w:rPr>
        <w:rFonts w:hint="default"/>
      </w:r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45"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90B4210"/>
    <w:multiLevelType w:val="hybridMultilevel"/>
    <w:tmpl w:val="C75A7B30"/>
    <w:lvl w:ilvl="0" w:tplc="04190001">
      <w:start w:val="1"/>
      <w:numFmt w:val="decimal"/>
      <w:lvlText w:val="%1."/>
      <w:lvlJc w:val="left"/>
      <w:pPr>
        <w:tabs>
          <w:tab w:val="num" w:pos="360"/>
        </w:tabs>
        <w:ind w:left="360" w:hanging="360"/>
      </w:pPr>
      <w:rPr>
        <w:rFonts w:hint="default"/>
      </w:rPr>
    </w:lvl>
    <w:lvl w:ilvl="1" w:tplc="04190003">
      <w:start w:val="1"/>
      <w:numFmt w:val="lowerLetter"/>
      <w:lvlText w:val="%2."/>
      <w:lvlJc w:val="left"/>
      <w:pPr>
        <w:ind w:left="1080" w:hanging="360"/>
      </w:pPr>
    </w:lvl>
    <w:lvl w:ilvl="2" w:tplc="04190005">
      <w:start w:val="1"/>
      <w:numFmt w:val="lowerRoman"/>
      <w:lvlText w:val="%3."/>
      <w:lvlJc w:val="right"/>
      <w:pPr>
        <w:ind w:left="1800" w:hanging="180"/>
      </w:pPr>
    </w:lvl>
    <w:lvl w:ilvl="3" w:tplc="04190001">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47" w15:restartNumberingAfterBreak="0">
    <w:nsid w:val="5C7C5815"/>
    <w:multiLevelType w:val="hybridMultilevel"/>
    <w:tmpl w:val="CB7040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D0F5891"/>
    <w:multiLevelType w:val="hybridMultilevel"/>
    <w:tmpl w:val="0B7046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9" w15:restartNumberingAfterBreak="0">
    <w:nsid w:val="5DD5115F"/>
    <w:multiLevelType w:val="hybridMultilevel"/>
    <w:tmpl w:val="2F08B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122328E"/>
    <w:multiLevelType w:val="hybridMultilevel"/>
    <w:tmpl w:val="7F320E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2" w15:restartNumberingAfterBreak="0">
    <w:nsid w:val="653F5E3C"/>
    <w:multiLevelType w:val="hybridMultilevel"/>
    <w:tmpl w:val="C0588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66982CAB"/>
    <w:multiLevelType w:val="hybridMultilevel"/>
    <w:tmpl w:val="984AC4A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5"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56" w15:restartNumberingAfterBreak="0">
    <w:nsid w:val="69CF7F77"/>
    <w:multiLevelType w:val="hybridMultilevel"/>
    <w:tmpl w:val="9CFC0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AF3310A"/>
    <w:multiLevelType w:val="hybridMultilevel"/>
    <w:tmpl w:val="23108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E212806"/>
    <w:multiLevelType w:val="hybridMultilevel"/>
    <w:tmpl w:val="5C6033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6E35428B"/>
    <w:multiLevelType w:val="hybridMultilevel"/>
    <w:tmpl w:val="111816BA"/>
    <w:lvl w:ilvl="0" w:tplc="0419000F">
      <w:start w:val="1"/>
      <w:numFmt w:val="decimal"/>
      <w:lvlText w:val="%1."/>
      <w:lvlJc w:val="left"/>
      <w:pPr>
        <w:ind w:left="1414" w:hanging="705"/>
      </w:pPr>
      <w:rPr>
        <w:rFonts w:hint="default"/>
      </w:rPr>
    </w:lvl>
    <w:lvl w:ilvl="1" w:tplc="04190003">
      <w:start w:val="1"/>
      <w:numFmt w:val="bullet"/>
      <w:lvlText w:val="o"/>
      <w:lvlJc w:val="left"/>
      <w:pPr>
        <w:ind w:left="2134" w:hanging="705"/>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0" w15:restartNumberingAfterBreak="0">
    <w:nsid w:val="700A7B43"/>
    <w:multiLevelType w:val="hybridMultilevel"/>
    <w:tmpl w:val="32F2F2D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1" w15:restartNumberingAfterBreak="0">
    <w:nsid w:val="70750981"/>
    <w:multiLevelType w:val="hybridMultilevel"/>
    <w:tmpl w:val="388496DE"/>
    <w:lvl w:ilvl="0" w:tplc="C6F414D0">
      <w:start w:val="1"/>
      <w:numFmt w:val="bullet"/>
      <w:lvlText w:val=""/>
      <w:lvlJc w:val="left"/>
      <w:pPr>
        <w:ind w:left="360" w:hanging="360"/>
      </w:pPr>
      <w:rPr>
        <w:rFonts w:ascii="Symbol" w:hAnsi="Symbol" w:hint="default"/>
      </w:rPr>
    </w:lvl>
    <w:lvl w:ilvl="1" w:tplc="C0E6D234" w:tentative="1">
      <w:start w:val="1"/>
      <w:numFmt w:val="bullet"/>
      <w:lvlText w:val="o"/>
      <w:lvlJc w:val="left"/>
      <w:pPr>
        <w:ind w:left="1080" w:hanging="360"/>
      </w:pPr>
      <w:rPr>
        <w:rFonts w:ascii="Courier New" w:hAnsi="Courier New" w:hint="default"/>
      </w:rPr>
    </w:lvl>
    <w:lvl w:ilvl="2" w:tplc="C076F468" w:tentative="1">
      <w:start w:val="1"/>
      <w:numFmt w:val="bullet"/>
      <w:lvlText w:val=""/>
      <w:lvlJc w:val="left"/>
      <w:pPr>
        <w:ind w:left="1800" w:hanging="360"/>
      </w:pPr>
      <w:rPr>
        <w:rFonts w:ascii="Wingdings" w:hAnsi="Wingdings" w:hint="default"/>
      </w:rPr>
    </w:lvl>
    <w:lvl w:ilvl="3" w:tplc="E3BC4980" w:tentative="1">
      <w:start w:val="1"/>
      <w:numFmt w:val="bullet"/>
      <w:lvlText w:val=""/>
      <w:lvlJc w:val="left"/>
      <w:pPr>
        <w:ind w:left="2520" w:hanging="360"/>
      </w:pPr>
      <w:rPr>
        <w:rFonts w:ascii="Symbol" w:hAnsi="Symbol" w:hint="default"/>
      </w:rPr>
    </w:lvl>
    <w:lvl w:ilvl="4" w:tplc="277E88FE" w:tentative="1">
      <w:start w:val="1"/>
      <w:numFmt w:val="bullet"/>
      <w:lvlText w:val="o"/>
      <w:lvlJc w:val="left"/>
      <w:pPr>
        <w:ind w:left="3240" w:hanging="360"/>
      </w:pPr>
      <w:rPr>
        <w:rFonts w:ascii="Courier New" w:hAnsi="Courier New" w:hint="default"/>
      </w:rPr>
    </w:lvl>
    <w:lvl w:ilvl="5" w:tplc="0A7A623E" w:tentative="1">
      <w:start w:val="1"/>
      <w:numFmt w:val="bullet"/>
      <w:lvlText w:val=""/>
      <w:lvlJc w:val="left"/>
      <w:pPr>
        <w:ind w:left="3960" w:hanging="360"/>
      </w:pPr>
      <w:rPr>
        <w:rFonts w:ascii="Wingdings" w:hAnsi="Wingdings" w:hint="default"/>
      </w:rPr>
    </w:lvl>
    <w:lvl w:ilvl="6" w:tplc="4A7272AC" w:tentative="1">
      <w:start w:val="1"/>
      <w:numFmt w:val="bullet"/>
      <w:lvlText w:val=""/>
      <w:lvlJc w:val="left"/>
      <w:pPr>
        <w:ind w:left="4680" w:hanging="360"/>
      </w:pPr>
      <w:rPr>
        <w:rFonts w:ascii="Symbol" w:hAnsi="Symbol" w:hint="default"/>
      </w:rPr>
    </w:lvl>
    <w:lvl w:ilvl="7" w:tplc="C5B0A0DA" w:tentative="1">
      <w:start w:val="1"/>
      <w:numFmt w:val="bullet"/>
      <w:lvlText w:val="o"/>
      <w:lvlJc w:val="left"/>
      <w:pPr>
        <w:ind w:left="5400" w:hanging="360"/>
      </w:pPr>
      <w:rPr>
        <w:rFonts w:ascii="Courier New" w:hAnsi="Courier New" w:hint="default"/>
      </w:rPr>
    </w:lvl>
    <w:lvl w:ilvl="8" w:tplc="54465664" w:tentative="1">
      <w:start w:val="1"/>
      <w:numFmt w:val="bullet"/>
      <w:lvlText w:val=""/>
      <w:lvlJc w:val="left"/>
      <w:pPr>
        <w:ind w:left="6120" w:hanging="360"/>
      </w:pPr>
      <w:rPr>
        <w:rFonts w:ascii="Wingdings" w:hAnsi="Wingdings" w:hint="default"/>
      </w:rPr>
    </w:lvl>
  </w:abstractNum>
  <w:abstractNum w:abstractNumId="62" w15:restartNumberingAfterBreak="0">
    <w:nsid w:val="75D82873"/>
    <w:multiLevelType w:val="hybridMultilevel"/>
    <w:tmpl w:val="EFDA39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67A098F"/>
    <w:multiLevelType w:val="hybridMultilevel"/>
    <w:tmpl w:val="CD04CE36"/>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4" w15:restartNumberingAfterBreak="0">
    <w:nsid w:val="76E4605F"/>
    <w:multiLevelType w:val="hybridMultilevel"/>
    <w:tmpl w:val="D99A68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5" w15:restartNumberingAfterBreak="0">
    <w:nsid w:val="774D269A"/>
    <w:multiLevelType w:val="hybridMultilevel"/>
    <w:tmpl w:val="38CA103A"/>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494" w:hanging="705"/>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77C101A"/>
    <w:multiLevelType w:val="hybridMultilevel"/>
    <w:tmpl w:val="D3E8F6D8"/>
    <w:lvl w:ilvl="0" w:tplc="0419000F">
      <w:start w:val="1"/>
      <w:numFmt w:val="decimal"/>
      <w:lvlText w:val="%1."/>
      <w:lvlJc w:val="left"/>
      <w:pPr>
        <w:ind w:left="1414" w:hanging="705"/>
      </w:pPr>
      <w:rPr>
        <w:rFonts w:hint="default"/>
      </w:rPr>
    </w:lvl>
    <w:lvl w:ilvl="1" w:tplc="04190003">
      <w:start w:val="1"/>
      <w:numFmt w:val="bullet"/>
      <w:lvlText w:val="o"/>
      <w:lvlJc w:val="left"/>
      <w:pPr>
        <w:ind w:left="2134" w:hanging="705"/>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7" w15:restartNumberingAfterBreak="0">
    <w:nsid w:val="78F23F89"/>
    <w:multiLevelType w:val="hybridMultilevel"/>
    <w:tmpl w:val="6D20048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46"/>
  </w:num>
  <w:num w:numId="2">
    <w:abstractNumId w:val="17"/>
  </w:num>
  <w:num w:numId="3">
    <w:abstractNumId w:val="62"/>
  </w:num>
  <w:num w:numId="4">
    <w:abstractNumId w:val="43"/>
  </w:num>
  <w:num w:numId="5">
    <w:abstractNumId w:val="22"/>
  </w:num>
  <w:num w:numId="6">
    <w:abstractNumId w:val="56"/>
  </w:num>
  <w:num w:numId="7">
    <w:abstractNumId w:val="29"/>
  </w:num>
  <w:num w:numId="8">
    <w:abstractNumId w:val="19"/>
  </w:num>
  <w:num w:numId="9">
    <w:abstractNumId w:val="14"/>
  </w:num>
  <w:num w:numId="10">
    <w:abstractNumId w:val="58"/>
  </w:num>
  <w:num w:numId="11">
    <w:abstractNumId w:val="20"/>
  </w:num>
  <w:num w:numId="12">
    <w:abstractNumId w:val="27"/>
  </w:num>
  <w:num w:numId="13">
    <w:abstractNumId w:val="61"/>
  </w:num>
  <w:num w:numId="14">
    <w:abstractNumId w:val="11"/>
  </w:num>
  <w:num w:numId="15">
    <w:abstractNumId w:val="28"/>
  </w:num>
  <w:num w:numId="16">
    <w:abstractNumId w:val="23"/>
  </w:num>
  <w:num w:numId="17">
    <w:abstractNumId w:val="24"/>
  </w:num>
  <w:num w:numId="18">
    <w:abstractNumId w:val="2"/>
  </w:num>
  <w:num w:numId="19">
    <w:abstractNumId w:val="44"/>
  </w:num>
  <w:num w:numId="20">
    <w:abstractNumId w:val="35"/>
  </w:num>
  <w:num w:numId="21">
    <w:abstractNumId w:val="8"/>
  </w:num>
  <w:num w:numId="22">
    <w:abstractNumId w:val="65"/>
  </w:num>
  <w:num w:numId="23">
    <w:abstractNumId w:val="7"/>
  </w:num>
  <w:num w:numId="24">
    <w:abstractNumId w:val="59"/>
  </w:num>
  <w:num w:numId="25">
    <w:abstractNumId w:val="66"/>
  </w:num>
  <w:num w:numId="26">
    <w:abstractNumId w:val="26"/>
  </w:num>
  <w:num w:numId="27">
    <w:abstractNumId w:val="36"/>
  </w:num>
  <w:num w:numId="28">
    <w:abstractNumId w:val="47"/>
  </w:num>
  <w:num w:numId="29">
    <w:abstractNumId w:val="40"/>
  </w:num>
  <w:num w:numId="30">
    <w:abstractNumId w:val="30"/>
  </w:num>
  <w:num w:numId="31">
    <w:abstractNumId w:val="15"/>
  </w:num>
  <w:num w:numId="32">
    <w:abstractNumId w:val="37"/>
  </w:num>
  <w:num w:numId="33">
    <w:abstractNumId w:val="50"/>
  </w:num>
  <w:num w:numId="34">
    <w:abstractNumId w:val="45"/>
  </w:num>
  <w:num w:numId="35">
    <w:abstractNumId w:val="13"/>
  </w:num>
  <w:num w:numId="36">
    <w:abstractNumId w:val="32"/>
  </w:num>
  <w:num w:numId="37">
    <w:abstractNumId w:val="5"/>
  </w:num>
  <w:num w:numId="38">
    <w:abstractNumId w:val="38"/>
  </w:num>
  <w:num w:numId="39">
    <w:abstractNumId w:val="55"/>
  </w:num>
  <w:num w:numId="40">
    <w:abstractNumId w:val="42"/>
  </w:num>
  <w:num w:numId="41">
    <w:abstractNumId w:val="53"/>
  </w:num>
  <w:num w:numId="42">
    <w:abstractNumId w:val="12"/>
  </w:num>
  <w:num w:numId="43">
    <w:abstractNumId w:val="18"/>
  </w:num>
  <w:num w:numId="44">
    <w:abstractNumId w:val="21"/>
  </w:num>
  <w:num w:numId="45">
    <w:abstractNumId w:val="34"/>
  </w:num>
  <w:num w:numId="46">
    <w:abstractNumId w:val="41"/>
  </w:num>
  <w:num w:numId="47">
    <w:abstractNumId w:val="39"/>
  </w:num>
  <w:num w:numId="48">
    <w:abstractNumId w:val="10"/>
  </w:num>
  <w:num w:numId="49">
    <w:abstractNumId w:val="57"/>
  </w:num>
  <w:num w:numId="50">
    <w:abstractNumId w:val="0"/>
  </w:num>
  <w:num w:numId="51">
    <w:abstractNumId w:val="4"/>
  </w:num>
  <w:num w:numId="52">
    <w:abstractNumId w:val="3"/>
  </w:num>
  <w:num w:numId="53">
    <w:abstractNumId w:val="54"/>
  </w:num>
  <w:num w:numId="54">
    <w:abstractNumId w:val="49"/>
  </w:num>
  <w:num w:numId="55">
    <w:abstractNumId w:val="6"/>
  </w:num>
  <w:num w:numId="56">
    <w:abstractNumId w:val="16"/>
  </w:num>
  <w:num w:numId="57">
    <w:abstractNumId w:val="1"/>
  </w:num>
  <w:num w:numId="58">
    <w:abstractNumId w:val="52"/>
  </w:num>
  <w:num w:numId="59">
    <w:abstractNumId w:val="31"/>
  </w:num>
  <w:num w:numId="60">
    <w:abstractNumId w:val="63"/>
  </w:num>
  <w:num w:numId="61">
    <w:abstractNumId w:val="33"/>
  </w:num>
  <w:num w:numId="62">
    <w:abstractNumId w:val="51"/>
  </w:num>
  <w:num w:numId="63">
    <w:abstractNumId w:val="25"/>
  </w:num>
  <w:num w:numId="64">
    <w:abstractNumId w:val="67"/>
  </w:num>
  <w:num w:numId="65">
    <w:abstractNumId w:val="9"/>
  </w:num>
  <w:num w:numId="66">
    <w:abstractNumId w:val="60"/>
  </w:num>
  <w:num w:numId="67">
    <w:abstractNumId w:val="64"/>
  </w:num>
  <w:num w:numId="68">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5E"/>
    <w:rsid w:val="00005C38"/>
    <w:rsid w:val="00006FC5"/>
    <w:rsid w:val="00007106"/>
    <w:rsid w:val="000071FE"/>
    <w:rsid w:val="000078EC"/>
    <w:rsid w:val="00011845"/>
    <w:rsid w:val="000137B7"/>
    <w:rsid w:val="00015814"/>
    <w:rsid w:val="00015858"/>
    <w:rsid w:val="00015C5E"/>
    <w:rsid w:val="00017496"/>
    <w:rsid w:val="00020931"/>
    <w:rsid w:val="000216A8"/>
    <w:rsid w:val="0002391B"/>
    <w:rsid w:val="00024036"/>
    <w:rsid w:val="00024B9C"/>
    <w:rsid w:val="00025CCB"/>
    <w:rsid w:val="00030520"/>
    <w:rsid w:val="000316F5"/>
    <w:rsid w:val="00031D45"/>
    <w:rsid w:val="00032009"/>
    <w:rsid w:val="00032969"/>
    <w:rsid w:val="00032FC0"/>
    <w:rsid w:val="0004059D"/>
    <w:rsid w:val="00040674"/>
    <w:rsid w:val="00041B5B"/>
    <w:rsid w:val="00041FF6"/>
    <w:rsid w:val="00042DD2"/>
    <w:rsid w:val="00043EAD"/>
    <w:rsid w:val="000453B0"/>
    <w:rsid w:val="0004732A"/>
    <w:rsid w:val="00052BBF"/>
    <w:rsid w:val="00052F2E"/>
    <w:rsid w:val="000535BB"/>
    <w:rsid w:val="000535C7"/>
    <w:rsid w:val="000536CB"/>
    <w:rsid w:val="000552FF"/>
    <w:rsid w:val="00055701"/>
    <w:rsid w:val="000565F5"/>
    <w:rsid w:val="00063E91"/>
    <w:rsid w:val="000648CB"/>
    <w:rsid w:val="00066F0E"/>
    <w:rsid w:val="00067D08"/>
    <w:rsid w:val="00071A33"/>
    <w:rsid w:val="00074257"/>
    <w:rsid w:val="00076434"/>
    <w:rsid w:val="000772E3"/>
    <w:rsid w:val="0007733C"/>
    <w:rsid w:val="0008146B"/>
    <w:rsid w:val="00081FA5"/>
    <w:rsid w:val="00082D71"/>
    <w:rsid w:val="0008327D"/>
    <w:rsid w:val="000833C3"/>
    <w:rsid w:val="00084B8B"/>
    <w:rsid w:val="000865D5"/>
    <w:rsid w:val="00086CF8"/>
    <w:rsid w:val="0009076E"/>
    <w:rsid w:val="00092FB2"/>
    <w:rsid w:val="00093475"/>
    <w:rsid w:val="000973F9"/>
    <w:rsid w:val="000A139D"/>
    <w:rsid w:val="000A2B89"/>
    <w:rsid w:val="000A442F"/>
    <w:rsid w:val="000A56B3"/>
    <w:rsid w:val="000A6C90"/>
    <w:rsid w:val="000B0144"/>
    <w:rsid w:val="000B037A"/>
    <w:rsid w:val="000B0AC3"/>
    <w:rsid w:val="000B1751"/>
    <w:rsid w:val="000B196B"/>
    <w:rsid w:val="000B2A21"/>
    <w:rsid w:val="000B309A"/>
    <w:rsid w:val="000B3F2E"/>
    <w:rsid w:val="000B4290"/>
    <w:rsid w:val="000B6073"/>
    <w:rsid w:val="000B6DD6"/>
    <w:rsid w:val="000C05AF"/>
    <w:rsid w:val="000C11C4"/>
    <w:rsid w:val="000C4050"/>
    <w:rsid w:val="000C5D87"/>
    <w:rsid w:val="000D115E"/>
    <w:rsid w:val="000D26FE"/>
    <w:rsid w:val="000D3AE8"/>
    <w:rsid w:val="000D479B"/>
    <w:rsid w:val="000D4986"/>
    <w:rsid w:val="000D5099"/>
    <w:rsid w:val="000E06DC"/>
    <w:rsid w:val="000E1D74"/>
    <w:rsid w:val="000E32C0"/>
    <w:rsid w:val="000E3963"/>
    <w:rsid w:val="000E3DE6"/>
    <w:rsid w:val="000E4A49"/>
    <w:rsid w:val="000E4B68"/>
    <w:rsid w:val="000F0FD9"/>
    <w:rsid w:val="000F2499"/>
    <w:rsid w:val="000F2A44"/>
    <w:rsid w:val="000F6931"/>
    <w:rsid w:val="001018E4"/>
    <w:rsid w:val="0010432A"/>
    <w:rsid w:val="001053F1"/>
    <w:rsid w:val="00110390"/>
    <w:rsid w:val="00111C80"/>
    <w:rsid w:val="00114922"/>
    <w:rsid w:val="00122E4B"/>
    <w:rsid w:val="0012405A"/>
    <w:rsid w:val="00124E49"/>
    <w:rsid w:val="00127120"/>
    <w:rsid w:val="00127E46"/>
    <w:rsid w:val="00132B9F"/>
    <w:rsid w:val="00136052"/>
    <w:rsid w:val="0013631D"/>
    <w:rsid w:val="00140135"/>
    <w:rsid w:val="00141F87"/>
    <w:rsid w:val="00142726"/>
    <w:rsid w:val="00142938"/>
    <w:rsid w:val="0014361E"/>
    <w:rsid w:val="00144984"/>
    <w:rsid w:val="00144E38"/>
    <w:rsid w:val="00145646"/>
    <w:rsid w:val="00145A85"/>
    <w:rsid w:val="0015009B"/>
    <w:rsid w:val="0015137D"/>
    <w:rsid w:val="00151710"/>
    <w:rsid w:val="00155A0C"/>
    <w:rsid w:val="00155FD9"/>
    <w:rsid w:val="001565DE"/>
    <w:rsid w:val="00157FC4"/>
    <w:rsid w:val="00160354"/>
    <w:rsid w:val="0016133E"/>
    <w:rsid w:val="001614D4"/>
    <w:rsid w:val="00161F79"/>
    <w:rsid w:val="00163166"/>
    <w:rsid w:val="001638A4"/>
    <w:rsid w:val="00165B9C"/>
    <w:rsid w:val="00165FD3"/>
    <w:rsid w:val="0016638B"/>
    <w:rsid w:val="00171AA7"/>
    <w:rsid w:val="001722D3"/>
    <w:rsid w:val="001724E0"/>
    <w:rsid w:val="00172FA6"/>
    <w:rsid w:val="001732E9"/>
    <w:rsid w:val="00173C4C"/>
    <w:rsid w:val="001761DC"/>
    <w:rsid w:val="00177EFD"/>
    <w:rsid w:val="001811D1"/>
    <w:rsid w:val="00181217"/>
    <w:rsid w:val="001838D7"/>
    <w:rsid w:val="001844AD"/>
    <w:rsid w:val="00186DD7"/>
    <w:rsid w:val="001872CA"/>
    <w:rsid w:val="001916BA"/>
    <w:rsid w:val="001925DA"/>
    <w:rsid w:val="00194677"/>
    <w:rsid w:val="00195353"/>
    <w:rsid w:val="00195396"/>
    <w:rsid w:val="00197D8B"/>
    <w:rsid w:val="001A512C"/>
    <w:rsid w:val="001A5F7C"/>
    <w:rsid w:val="001A7456"/>
    <w:rsid w:val="001A7FF4"/>
    <w:rsid w:val="001B105B"/>
    <w:rsid w:val="001B28D3"/>
    <w:rsid w:val="001C168A"/>
    <w:rsid w:val="001C2A64"/>
    <w:rsid w:val="001C367B"/>
    <w:rsid w:val="001C52DA"/>
    <w:rsid w:val="001C6F06"/>
    <w:rsid w:val="001C74D8"/>
    <w:rsid w:val="001D21C5"/>
    <w:rsid w:val="001D2CBE"/>
    <w:rsid w:val="001D3873"/>
    <w:rsid w:val="001D54F2"/>
    <w:rsid w:val="001D55A6"/>
    <w:rsid w:val="001D75FE"/>
    <w:rsid w:val="001E2B88"/>
    <w:rsid w:val="001E3D61"/>
    <w:rsid w:val="001E4BB1"/>
    <w:rsid w:val="001E5373"/>
    <w:rsid w:val="001F4A9B"/>
    <w:rsid w:val="001F5994"/>
    <w:rsid w:val="001F6DE6"/>
    <w:rsid w:val="001F7596"/>
    <w:rsid w:val="0020365D"/>
    <w:rsid w:val="0020651F"/>
    <w:rsid w:val="002072AF"/>
    <w:rsid w:val="00211CEE"/>
    <w:rsid w:val="00213502"/>
    <w:rsid w:val="00217639"/>
    <w:rsid w:val="00222B3F"/>
    <w:rsid w:val="00222C22"/>
    <w:rsid w:val="00222D49"/>
    <w:rsid w:val="00225430"/>
    <w:rsid w:val="00225D7F"/>
    <w:rsid w:val="00227997"/>
    <w:rsid w:val="00227CA3"/>
    <w:rsid w:val="00230E59"/>
    <w:rsid w:val="00231C54"/>
    <w:rsid w:val="0023210E"/>
    <w:rsid w:val="002358A9"/>
    <w:rsid w:val="00235F8B"/>
    <w:rsid w:val="00237C55"/>
    <w:rsid w:val="00237E10"/>
    <w:rsid w:val="00240C64"/>
    <w:rsid w:val="00241FDA"/>
    <w:rsid w:val="00242EB0"/>
    <w:rsid w:val="00244421"/>
    <w:rsid w:val="002448A6"/>
    <w:rsid w:val="00246733"/>
    <w:rsid w:val="00247FDA"/>
    <w:rsid w:val="00253083"/>
    <w:rsid w:val="0025616A"/>
    <w:rsid w:val="00256713"/>
    <w:rsid w:val="00261023"/>
    <w:rsid w:val="00261C15"/>
    <w:rsid w:val="0026358C"/>
    <w:rsid w:val="002660D0"/>
    <w:rsid w:val="002728BA"/>
    <w:rsid w:val="00272B28"/>
    <w:rsid w:val="002735CB"/>
    <w:rsid w:val="002777C4"/>
    <w:rsid w:val="00280391"/>
    <w:rsid w:val="0028354C"/>
    <w:rsid w:val="00290124"/>
    <w:rsid w:val="00291C04"/>
    <w:rsid w:val="00293679"/>
    <w:rsid w:val="00294FDF"/>
    <w:rsid w:val="002A1E82"/>
    <w:rsid w:val="002A4EE5"/>
    <w:rsid w:val="002B0466"/>
    <w:rsid w:val="002B1C5B"/>
    <w:rsid w:val="002C0898"/>
    <w:rsid w:val="002C2384"/>
    <w:rsid w:val="002C3D83"/>
    <w:rsid w:val="002D3EB9"/>
    <w:rsid w:val="002D4BBD"/>
    <w:rsid w:val="002E17F4"/>
    <w:rsid w:val="002E1C6A"/>
    <w:rsid w:val="002E1CB9"/>
    <w:rsid w:val="002E3794"/>
    <w:rsid w:val="002E4F84"/>
    <w:rsid w:val="002F0C58"/>
    <w:rsid w:val="002F1F80"/>
    <w:rsid w:val="002F2148"/>
    <w:rsid w:val="002F2298"/>
    <w:rsid w:val="002F6861"/>
    <w:rsid w:val="002F68E0"/>
    <w:rsid w:val="00300CE8"/>
    <w:rsid w:val="003010EA"/>
    <w:rsid w:val="003019FD"/>
    <w:rsid w:val="003024C3"/>
    <w:rsid w:val="003028FA"/>
    <w:rsid w:val="00302AA4"/>
    <w:rsid w:val="00303C4D"/>
    <w:rsid w:val="00303E7D"/>
    <w:rsid w:val="0030568B"/>
    <w:rsid w:val="00305DDD"/>
    <w:rsid w:val="003064EA"/>
    <w:rsid w:val="00312132"/>
    <w:rsid w:val="003134D5"/>
    <w:rsid w:val="0031455F"/>
    <w:rsid w:val="003147A2"/>
    <w:rsid w:val="00314A85"/>
    <w:rsid w:val="0031704D"/>
    <w:rsid w:val="0032282D"/>
    <w:rsid w:val="003240E8"/>
    <w:rsid w:val="0033039D"/>
    <w:rsid w:val="00331696"/>
    <w:rsid w:val="003322AC"/>
    <w:rsid w:val="003379AE"/>
    <w:rsid w:val="003444D4"/>
    <w:rsid w:val="00345B05"/>
    <w:rsid w:val="00346F4C"/>
    <w:rsid w:val="00347F09"/>
    <w:rsid w:val="0035179C"/>
    <w:rsid w:val="003518E9"/>
    <w:rsid w:val="00351D7B"/>
    <w:rsid w:val="00355F0B"/>
    <w:rsid w:val="00357B92"/>
    <w:rsid w:val="00360B5D"/>
    <w:rsid w:val="003616F2"/>
    <w:rsid w:val="00362BA7"/>
    <w:rsid w:val="00362D90"/>
    <w:rsid w:val="003647C6"/>
    <w:rsid w:val="00367667"/>
    <w:rsid w:val="00371847"/>
    <w:rsid w:val="00371E34"/>
    <w:rsid w:val="00373AA3"/>
    <w:rsid w:val="00376125"/>
    <w:rsid w:val="00376133"/>
    <w:rsid w:val="00376EBE"/>
    <w:rsid w:val="00376EFB"/>
    <w:rsid w:val="00383556"/>
    <w:rsid w:val="00386423"/>
    <w:rsid w:val="00387410"/>
    <w:rsid w:val="0039171D"/>
    <w:rsid w:val="003939BB"/>
    <w:rsid w:val="00393E55"/>
    <w:rsid w:val="0039477B"/>
    <w:rsid w:val="00397360"/>
    <w:rsid w:val="00397894"/>
    <w:rsid w:val="003A13D2"/>
    <w:rsid w:val="003A1E47"/>
    <w:rsid w:val="003A4F83"/>
    <w:rsid w:val="003A51FD"/>
    <w:rsid w:val="003A6990"/>
    <w:rsid w:val="003A6C60"/>
    <w:rsid w:val="003B00B5"/>
    <w:rsid w:val="003B0273"/>
    <w:rsid w:val="003B230C"/>
    <w:rsid w:val="003B302E"/>
    <w:rsid w:val="003B329A"/>
    <w:rsid w:val="003B3C73"/>
    <w:rsid w:val="003B4377"/>
    <w:rsid w:val="003B6638"/>
    <w:rsid w:val="003C165C"/>
    <w:rsid w:val="003D069A"/>
    <w:rsid w:val="003D1C3C"/>
    <w:rsid w:val="003D1F22"/>
    <w:rsid w:val="003D2BFF"/>
    <w:rsid w:val="003D3798"/>
    <w:rsid w:val="003E1316"/>
    <w:rsid w:val="003E1C75"/>
    <w:rsid w:val="003E2F52"/>
    <w:rsid w:val="003E3C13"/>
    <w:rsid w:val="003F08C1"/>
    <w:rsid w:val="003F18B5"/>
    <w:rsid w:val="003F45DB"/>
    <w:rsid w:val="003F5F47"/>
    <w:rsid w:val="003F71E8"/>
    <w:rsid w:val="00402C42"/>
    <w:rsid w:val="00405913"/>
    <w:rsid w:val="00405BB6"/>
    <w:rsid w:val="0040662F"/>
    <w:rsid w:val="00406D38"/>
    <w:rsid w:val="00406E7E"/>
    <w:rsid w:val="00410821"/>
    <w:rsid w:val="0041352B"/>
    <w:rsid w:val="00416F68"/>
    <w:rsid w:val="004222D8"/>
    <w:rsid w:val="004242E3"/>
    <w:rsid w:val="004263B1"/>
    <w:rsid w:val="004267F5"/>
    <w:rsid w:val="004306A3"/>
    <w:rsid w:val="0043640E"/>
    <w:rsid w:val="0043716B"/>
    <w:rsid w:val="004375FA"/>
    <w:rsid w:val="00437AD9"/>
    <w:rsid w:val="004423D7"/>
    <w:rsid w:val="00443167"/>
    <w:rsid w:val="00443B36"/>
    <w:rsid w:val="00444B93"/>
    <w:rsid w:val="00444E42"/>
    <w:rsid w:val="00445350"/>
    <w:rsid w:val="00451C55"/>
    <w:rsid w:val="00456340"/>
    <w:rsid w:val="00457002"/>
    <w:rsid w:val="0046101B"/>
    <w:rsid w:val="0046174B"/>
    <w:rsid w:val="00461C98"/>
    <w:rsid w:val="0046343D"/>
    <w:rsid w:val="0046587A"/>
    <w:rsid w:val="00467947"/>
    <w:rsid w:val="00471AC6"/>
    <w:rsid w:val="00473776"/>
    <w:rsid w:val="004753EB"/>
    <w:rsid w:val="00475D61"/>
    <w:rsid w:val="0048027B"/>
    <w:rsid w:val="00484F00"/>
    <w:rsid w:val="00487250"/>
    <w:rsid w:val="004876B6"/>
    <w:rsid w:val="0049013F"/>
    <w:rsid w:val="0049285B"/>
    <w:rsid w:val="00492BAB"/>
    <w:rsid w:val="00492BEA"/>
    <w:rsid w:val="0049340F"/>
    <w:rsid w:val="00493992"/>
    <w:rsid w:val="0049410E"/>
    <w:rsid w:val="004A0625"/>
    <w:rsid w:val="004A0932"/>
    <w:rsid w:val="004A1FA5"/>
    <w:rsid w:val="004A2656"/>
    <w:rsid w:val="004A4D30"/>
    <w:rsid w:val="004B0584"/>
    <w:rsid w:val="004B19FE"/>
    <w:rsid w:val="004B247C"/>
    <w:rsid w:val="004B284E"/>
    <w:rsid w:val="004B2C00"/>
    <w:rsid w:val="004B53D6"/>
    <w:rsid w:val="004B5937"/>
    <w:rsid w:val="004B5BAB"/>
    <w:rsid w:val="004B6318"/>
    <w:rsid w:val="004C011F"/>
    <w:rsid w:val="004C0497"/>
    <w:rsid w:val="004C0A84"/>
    <w:rsid w:val="004C2479"/>
    <w:rsid w:val="004C2EE0"/>
    <w:rsid w:val="004C35FE"/>
    <w:rsid w:val="004D0709"/>
    <w:rsid w:val="004D637C"/>
    <w:rsid w:val="004D639D"/>
    <w:rsid w:val="004D6541"/>
    <w:rsid w:val="004D7283"/>
    <w:rsid w:val="004D7374"/>
    <w:rsid w:val="004D75CA"/>
    <w:rsid w:val="004E268D"/>
    <w:rsid w:val="004E3769"/>
    <w:rsid w:val="004E3A70"/>
    <w:rsid w:val="004E40A4"/>
    <w:rsid w:val="004E5EEF"/>
    <w:rsid w:val="004E6BF1"/>
    <w:rsid w:val="004F3187"/>
    <w:rsid w:val="004F4212"/>
    <w:rsid w:val="004F517E"/>
    <w:rsid w:val="004F629D"/>
    <w:rsid w:val="004F6C5C"/>
    <w:rsid w:val="004F78E0"/>
    <w:rsid w:val="004F7D80"/>
    <w:rsid w:val="005033F1"/>
    <w:rsid w:val="00504D96"/>
    <w:rsid w:val="00510F3E"/>
    <w:rsid w:val="0051376C"/>
    <w:rsid w:val="005163D3"/>
    <w:rsid w:val="00517A9E"/>
    <w:rsid w:val="0052021D"/>
    <w:rsid w:val="00520553"/>
    <w:rsid w:val="005208EC"/>
    <w:rsid w:val="0052213B"/>
    <w:rsid w:val="00527D8A"/>
    <w:rsid w:val="005300D6"/>
    <w:rsid w:val="00534BB0"/>
    <w:rsid w:val="00542928"/>
    <w:rsid w:val="005433D9"/>
    <w:rsid w:val="005438C8"/>
    <w:rsid w:val="00544312"/>
    <w:rsid w:val="00545D5A"/>
    <w:rsid w:val="00545FA8"/>
    <w:rsid w:val="00551BED"/>
    <w:rsid w:val="00552687"/>
    <w:rsid w:val="00552BE6"/>
    <w:rsid w:val="00553794"/>
    <w:rsid w:val="00554484"/>
    <w:rsid w:val="005547BC"/>
    <w:rsid w:val="00555233"/>
    <w:rsid w:val="005554E5"/>
    <w:rsid w:val="005601BB"/>
    <w:rsid w:val="00560CBA"/>
    <w:rsid w:val="00562AB9"/>
    <w:rsid w:val="00567BB4"/>
    <w:rsid w:val="005720E9"/>
    <w:rsid w:val="00572422"/>
    <w:rsid w:val="00572797"/>
    <w:rsid w:val="005727F3"/>
    <w:rsid w:val="00572E8D"/>
    <w:rsid w:val="00573250"/>
    <w:rsid w:val="005734CC"/>
    <w:rsid w:val="00573998"/>
    <w:rsid w:val="00574AC0"/>
    <w:rsid w:val="00575E55"/>
    <w:rsid w:val="00577F69"/>
    <w:rsid w:val="005802F3"/>
    <w:rsid w:val="005845EE"/>
    <w:rsid w:val="0058595A"/>
    <w:rsid w:val="00586AC9"/>
    <w:rsid w:val="00590CE7"/>
    <w:rsid w:val="00591E66"/>
    <w:rsid w:val="00594588"/>
    <w:rsid w:val="00594D35"/>
    <w:rsid w:val="005971E1"/>
    <w:rsid w:val="005A0BFC"/>
    <w:rsid w:val="005A277A"/>
    <w:rsid w:val="005A2BA9"/>
    <w:rsid w:val="005A463A"/>
    <w:rsid w:val="005A5605"/>
    <w:rsid w:val="005A6B77"/>
    <w:rsid w:val="005B002C"/>
    <w:rsid w:val="005B033F"/>
    <w:rsid w:val="005B27A1"/>
    <w:rsid w:val="005B4044"/>
    <w:rsid w:val="005B4606"/>
    <w:rsid w:val="005B46D4"/>
    <w:rsid w:val="005B4D96"/>
    <w:rsid w:val="005C1A8A"/>
    <w:rsid w:val="005C5E8F"/>
    <w:rsid w:val="005C6207"/>
    <w:rsid w:val="005C667A"/>
    <w:rsid w:val="005C7FBA"/>
    <w:rsid w:val="005D0694"/>
    <w:rsid w:val="005D3BBD"/>
    <w:rsid w:val="005D523C"/>
    <w:rsid w:val="005D6AC4"/>
    <w:rsid w:val="005E0F21"/>
    <w:rsid w:val="005E336A"/>
    <w:rsid w:val="005E5406"/>
    <w:rsid w:val="005F42E0"/>
    <w:rsid w:val="005F5C64"/>
    <w:rsid w:val="005F5D15"/>
    <w:rsid w:val="005F63DF"/>
    <w:rsid w:val="005F68A5"/>
    <w:rsid w:val="005F74E8"/>
    <w:rsid w:val="006009B5"/>
    <w:rsid w:val="0060109E"/>
    <w:rsid w:val="00602B3B"/>
    <w:rsid w:val="0060540E"/>
    <w:rsid w:val="00606068"/>
    <w:rsid w:val="00607358"/>
    <w:rsid w:val="00610C1C"/>
    <w:rsid w:val="0061187F"/>
    <w:rsid w:val="00612DD7"/>
    <w:rsid w:val="0061352E"/>
    <w:rsid w:val="00613B0E"/>
    <w:rsid w:val="00615859"/>
    <w:rsid w:val="006172FC"/>
    <w:rsid w:val="006211BD"/>
    <w:rsid w:val="00624019"/>
    <w:rsid w:val="00631591"/>
    <w:rsid w:val="006322EB"/>
    <w:rsid w:val="00633330"/>
    <w:rsid w:val="00633F5C"/>
    <w:rsid w:val="00634703"/>
    <w:rsid w:val="00635FA8"/>
    <w:rsid w:val="00636656"/>
    <w:rsid w:val="00637B99"/>
    <w:rsid w:val="00640800"/>
    <w:rsid w:val="00641F84"/>
    <w:rsid w:val="006422C1"/>
    <w:rsid w:val="00646FFF"/>
    <w:rsid w:val="00650012"/>
    <w:rsid w:val="006600A3"/>
    <w:rsid w:val="00660DEE"/>
    <w:rsid w:val="00660E17"/>
    <w:rsid w:val="006615EB"/>
    <w:rsid w:val="00662AF1"/>
    <w:rsid w:val="00662D94"/>
    <w:rsid w:val="00667887"/>
    <w:rsid w:val="006710A2"/>
    <w:rsid w:val="0067127E"/>
    <w:rsid w:val="0067152D"/>
    <w:rsid w:val="0067498E"/>
    <w:rsid w:val="00674EB1"/>
    <w:rsid w:val="00676246"/>
    <w:rsid w:val="00680AE5"/>
    <w:rsid w:val="00683CB0"/>
    <w:rsid w:val="00684640"/>
    <w:rsid w:val="00684BE9"/>
    <w:rsid w:val="00686393"/>
    <w:rsid w:val="006864B8"/>
    <w:rsid w:val="00686506"/>
    <w:rsid w:val="0068690B"/>
    <w:rsid w:val="006919DC"/>
    <w:rsid w:val="00691D0D"/>
    <w:rsid w:val="00693699"/>
    <w:rsid w:val="00694154"/>
    <w:rsid w:val="006948CC"/>
    <w:rsid w:val="00696CC2"/>
    <w:rsid w:val="0069767A"/>
    <w:rsid w:val="006A4A6A"/>
    <w:rsid w:val="006A63C1"/>
    <w:rsid w:val="006B1011"/>
    <w:rsid w:val="006B1126"/>
    <w:rsid w:val="006B35E5"/>
    <w:rsid w:val="006B39C6"/>
    <w:rsid w:val="006B3E67"/>
    <w:rsid w:val="006B609E"/>
    <w:rsid w:val="006B6A74"/>
    <w:rsid w:val="006B70DB"/>
    <w:rsid w:val="006B7A3E"/>
    <w:rsid w:val="006C1B1B"/>
    <w:rsid w:val="006C2054"/>
    <w:rsid w:val="006C2557"/>
    <w:rsid w:val="006C4B86"/>
    <w:rsid w:val="006D00D7"/>
    <w:rsid w:val="006D0598"/>
    <w:rsid w:val="006D166E"/>
    <w:rsid w:val="006D1E7B"/>
    <w:rsid w:val="006D2F04"/>
    <w:rsid w:val="006D3EA6"/>
    <w:rsid w:val="006D4884"/>
    <w:rsid w:val="006D567B"/>
    <w:rsid w:val="006D58D5"/>
    <w:rsid w:val="006E031E"/>
    <w:rsid w:val="006F0405"/>
    <w:rsid w:val="006F07FF"/>
    <w:rsid w:val="006F4507"/>
    <w:rsid w:val="006F4703"/>
    <w:rsid w:val="006F547D"/>
    <w:rsid w:val="00700759"/>
    <w:rsid w:val="00700C74"/>
    <w:rsid w:val="00701D11"/>
    <w:rsid w:val="00703387"/>
    <w:rsid w:val="00703BF6"/>
    <w:rsid w:val="007042DE"/>
    <w:rsid w:val="00704341"/>
    <w:rsid w:val="00706542"/>
    <w:rsid w:val="00710C88"/>
    <w:rsid w:val="0071450A"/>
    <w:rsid w:val="00714673"/>
    <w:rsid w:val="007148E9"/>
    <w:rsid w:val="00714F21"/>
    <w:rsid w:val="00716BBE"/>
    <w:rsid w:val="0071737F"/>
    <w:rsid w:val="00717FA6"/>
    <w:rsid w:val="00720884"/>
    <w:rsid w:val="00722FC5"/>
    <w:rsid w:val="00722FD2"/>
    <w:rsid w:val="00723FE4"/>
    <w:rsid w:val="00725EA1"/>
    <w:rsid w:val="007274B3"/>
    <w:rsid w:val="0072780B"/>
    <w:rsid w:val="007342AB"/>
    <w:rsid w:val="007368FB"/>
    <w:rsid w:val="00741B6B"/>
    <w:rsid w:val="00741BEA"/>
    <w:rsid w:val="0074489F"/>
    <w:rsid w:val="00744A5F"/>
    <w:rsid w:val="0075001D"/>
    <w:rsid w:val="00752177"/>
    <w:rsid w:val="00752513"/>
    <w:rsid w:val="00755147"/>
    <w:rsid w:val="00760103"/>
    <w:rsid w:val="00760E82"/>
    <w:rsid w:val="007629D4"/>
    <w:rsid w:val="00764C3F"/>
    <w:rsid w:val="00766C8A"/>
    <w:rsid w:val="00771091"/>
    <w:rsid w:val="007756ED"/>
    <w:rsid w:val="00777862"/>
    <w:rsid w:val="00780AF6"/>
    <w:rsid w:val="00780F52"/>
    <w:rsid w:val="007829FC"/>
    <w:rsid w:val="00783B3B"/>
    <w:rsid w:val="007858A0"/>
    <w:rsid w:val="00786352"/>
    <w:rsid w:val="007866EE"/>
    <w:rsid w:val="00791A83"/>
    <w:rsid w:val="007923C6"/>
    <w:rsid w:val="00797DFF"/>
    <w:rsid w:val="007A35FB"/>
    <w:rsid w:val="007A4849"/>
    <w:rsid w:val="007A57F9"/>
    <w:rsid w:val="007A778D"/>
    <w:rsid w:val="007A7B1F"/>
    <w:rsid w:val="007B0221"/>
    <w:rsid w:val="007B378F"/>
    <w:rsid w:val="007B532E"/>
    <w:rsid w:val="007B55D5"/>
    <w:rsid w:val="007B5AE5"/>
    <w:rsid w:val="007B72E8"/>
    <w:rsid w:val="007C035D"/>
    <w:rsid w:val="007C0380"/>
    <w:rsid w:val="007C1EA1"/>
    <w:rsid w:val="007C26CE"/>
    <w:rsid w:val="007C4C3E"/>
    <w:rsid w:val="007C602C"/>
    <w:rsid w:val="007D0783"/>
    <w:rsid w:val="007D1103"/>
    <w:rsid w:val="007D3326"/>
    <w:rsid w:val="007D6B93"/>
    <w:rsid w:val="007E1CDD"/>
    <w:rsid w:val="007E288D"/>
    <w:rsid w:val="007E2C1B"/>
    <w:rsid w:val="007F15BE"/>
    <w:rsid w:val="007F2736"/>
    <w:rsid w:val="007F2F09"/>
    <w:rsid w:val="007F43CF"/>
    <w:rsid w:val="007F5246"/>
    <w:rsid w:val="0080011C"/>
    <w:rsid w:val="00800DA9"/>
    <w:rsid w:val="00801638"/>
    <w:rsid w:val="00801EC7"/>
    <w:rsid w:val="00802346"/>
    <w:rsid w:val="008027D5"/>
    <w:rsid w:val="00804814"/>
    <w:rsid w:val="008077E8"/>
    <w:rsid w:val="008135E7"/>
    <w:rsid w:val="00814F0D"/>
    <w:rsid w:val="00815F8E"/>
    <w:rsid w:val="00816EB8"/>
    <w:rsid w:val="008209A8"/>
    <w:rsid w:val="00822273"/>
    <w:rsid w:val="008240EC"/>
    <w:rsid w:val="00824F7E"/>
    <w:rsid w:val="008253CD"/>
    <w:rsid w:val="00826575"/>
    <w:rsid w:val="00830499"/>
    <w:rsid w:val="00830EF8"/>
    <w:rsid w:val="008311A0"/>
    <w:rsid w:val="00831818"/>
    <w:rsid w:val="00837251"/>
    <w:rsid w:val="008474D4"/>
    <w:rsid w:val="008502F5"/>
    <w:rsid w:val="00851664"/>
    <w:rsid w:val="0085183A"/>
    <w:rsid w:val="00851861"/>
    <w:rsid w:val="00855342"/>
    <w:rsid w:val="008569ED"/>
    <w:rsid w:val="008572A7"/>
    <w:rsid w:val="008602F0"/>
    <w:rsid w:val="00861DE3"/>
    <w:rsid w:val="008620F1"/>
    <w:rsid w:val="0086213E"/>
    <w:rsid w:val="0086332D"/>
    <w:rsid w:val="00864364"/>
    <w:rsid w:val="008668E6"/>
    <w:rsid w:val="00866C68"/>
    <w:rsid w:val="00873DA3"/>
    <w:rsid w:val="0087672A"/>
    <w:rsid w:val="00877443"/>
    <w:rsid w:val="00881EA8"/>
    <w:rsid w:val="00883FF1"/>
    <w:rsid w:val="00884D69"/>
    <w:rsid w:val="0088552E"/>
    <w:rsid w:val="00886663"/>
    <w:rsid w:val="008869B0"/>
    <w:rsid w:val="008906CF"/>
    <w:rsid w:val="0089271E"/>
    <w:rsid w:val="0089332F"/>
    <w:rsid w:val="0089510D"/>
    <w:rsid w:val="008965AE"/>
    <w:rsid w:val="008A183B"/>
    <w:rsid w:val="008A2C98"/>
    <w:rsid w:val="008A3D3B"/>
    <w:rsid w:val="008A4B4B"/>
    <w:rsid w:val="008A5579"/>
    <w:rsid w:val="008A5D2D"/>
    <w:rsid w:val="008A641C"/>
    <w:rsid w:val="008B02FF"/>
    <w:rsid w:val="008B08DC"/>
    <w:rsid w:val="008B3AF3"/>
    <w:rsid w:val="008B4141"/>
    <w:rsid w:val="008B64A3"/>
    <w:rsid w:val="008C2C51"/>
    <w:rsid w:val="008C3A74"/>
    <w:rsid w:val="008C576B"/>
    <w:rsid w:val="008D26D4"/>
    <w:rsid w:val="008D4121"/>
    <w:rsid w:val="008D44A6"/>
    <w:rsid w:val="008D7D9E"/>
    <w:rsid w:val="008E011C"/>
    <w:rsid w:val="008E03EC"/>
    <w:rsid w:val="008E17D4"/>
    <w:rsid w:val="008E2B2C"/>
    <w:rsid w:val="008E393B"/>
    <w:rsid w:val="008E3AC0"/>
    <w:rsid w:val="008E45D6"/>
    <w:rsid w:val="008E5B75"/>
    <w:rsid w:val="008E5E58"/>
    <w:rsid w:val="008F1171"/>
    <w:rsid w:val="008F1902"/>
    <w:rsid w:val="008F3621"/>
    <w:rsid w:val="008F42D8"/>
    <w:rsid w:val="008F51ED"/>
    <w:rsid w:val="008F5268"/>
    <w:rsid w:val="008F5956"/>
    <w:rsid w:val="008F62A5"/>
    <w:rsid w:val="008F7D04"/>
    <w:rsid w:val="00900404"/>
    <w:rsid w:val="00901F3F"/>
    <w:rsid w:val="00902551"/>
    <w:rsid w:val="00904167"/>
    <w:rsid w:val="009055DE"/>
    <w:rsid w:val="00905D08"/>
    <w:rsid w:val="00906D3E"/>
    <w:rsid w:val="00907D07"/>
    <w:rsid w:val="00912FAC"/>
    <w:rsid w:val="00914D5A"/>
    <w:rsid w:val="009209D5"/>
    <w:rsid w:val="009213CB"/>
    <w:rsid w:val="009214C9"/>
    <w:rsid w:val="00924BCE"/>
    <w:rsid w:val="00926A3F"/>
    <w:rsid w:val="00927936"/>
    <w:rsid w:val="00930B4C"/>
    <w:rsid w:val="00931A0F"/>
    <w:rsid w:val="00931A60"/>
    <w:rsid w:val="009334F3"/>
    <w:rsid w:val="00934BAD"/>
    <w:rsid w:val="00943737"/>
    <w:rsid w:val="00943A3B"/>
    <w:rsid w:val="00944271"/>
    <w:rsid w:val="009514ED"/>
    <w:rsid w:val="00951834"/>
    <w:rsid w:val="009520E9"/>
    <w:rsid w:val="0095233F"/>
    <w:rsid w:val="00953066"/>
    <w:rsid w:val="00953098"/>
    <w:rsid w:val="0095309F"/>
    <w:rsid w:val="00953E36"/>
    <w:rsid w:val="00955DB9"/>
    <w:rsid w:val="00960289"/>
    <w:rsid w:val="0096373C"/>
    <w:rsid w:val="00964C0B"/>
    <w:rsid w:val="009666FC"/>
    <w:rsid w:val="00971147"/>
    <w:rsid w:val="00973B8F"/>
    <w:rsid w:val="009813FB"/>
    <w:rsid w:val="009820B9"/>
    <w:rsid w:val="00984A81"/>
    <w:rsid w:val="009856BB"/>
    <w:rsid w:val="00986B62"/>
    <w:rsid w:val="00991730"/>
    <w:rsid w:val="00994323"/>
    <w:rsid w:val="00994EFD"/>
    <w:rsid w:val="0099679A"/>
    <w:rsid w:val="009A0687"/>
    <w:rsid w:val="009A205F"/>
    <w:rsid w:val="009B0208"/>
    <w:rsid w:val="009B0864"/>
    <w:rsid w:val="009B2535"/>
    <w:rsid w:val="009B27D2"/>
    <w:rsid w:val="009B309C"/>
    <w:rsid w:val="009B5EC6"/>
    <w:rsid w:val="009B642F"/>
    <w:rsid w:val="009B7DF7"/>
    <w:rsid w:val="009C096B"/>
    <w:rsid w:val="009C21AC"/>
    <w:rsid w:val="009C27EA"/>
    <w:rsid w:val="009C374B"/>
    <w:rsid w:val="009C76E5"/>
    <w:rsid w:val="009C770D"/>
    <w:rsid w:val="009D0A81"/>
    <w:rsid w:val="009D406D"/>
    <w:rsid w:val="009D502B"/>
    <w:rsid w:val="009D6444"/>
    <w:rsid w:val="009D6AF4"/>
    <w:rsid w:val="009D794C"/>
    <w:rsid w:val="009E3191"/>
    <w:rsid w:val="009E4C3D"/>
    <w:rsid w:val="009E5D19"/>
    <w:rsid w:val="009F1EBE"/>
    <w:rsid w:val="009F2603"/>
    <w:rsid w:val="009F638D"/>
    <w:rsid w:val="00A021F1"/>
    <w:rsid w:val="00A02AA4"/>
    <w:rsid w:val="00A02B4F"/>
    <w:rsid w:val="00A0306F"/>
    <w:rsid w:val="00A032CF"/>
    <w:rsid w:val="00A032F4"/>
    <w:rsid w:val="00A04E7F"/>
    <w:rsid w:val="00A069B1"/>
    <w:rsid w:val="00A102BC"/>
    <w:rsid w:val="00A10E2A"/>
    <w:rsid w:val="00A16F3E"/>
    <w:rsid w:val="00A172FA"/>
    <w:rsid w:val="00A22366"/>
    <w:rsid w:val="00A223BC"/>
    <w:rsid w:val="00A23292"/>
    <w:rsid w:val="00A24E62"/>
    <w:rsid w:val="00A25D74"/>
    <w:rsid w:val="00A32A1D"/>
    <w:rsid w:val="00A335EA"/>
    <w:rsid w:val="00A33FC0"/>
    <w:rsid w:val="00A3423A"/>
    <w:rsid w:val="00A34245"/>
    <w:rsid w:val="00A35934"/>
    <w:rsid w:val="00A36D51"/>
    <w:rsid w:val="00A406F1"/>
    <w:rsid w:val="00A43693"/>
    <w:rsid w:val="00A4386F"/>
    <w:rsid w:val="00A4430E"/>
    <w:rsid w:val="00A44DC3"/>
    <w:rsid w:val="00A46563"/>
    <w:rsid w:val="00A64CE5"/>
    <w:rsid w:val="00A65FA3"/>
    <w:rsid w:val="00A6614E"/>
    <w:rsid w:val="00A679BB"/>
    <w:rsid w:val="00A7235D"/>
    <w:rsid w:val="00A750EC"/>
    <w:rsid w:val="00A75A11"/>
    <w:rsid w:val="00A75A30"/>
    <w:rsid w:val="00A76E18"/>
    <w:rsid w:val="00A77001"/>
    <w:rsid w:val="00A81638"/>
    <w:rsid w:val="00A840A1"/>
    <w:rsid w:val="00A86629"/>
    <w:rsid w:val="00A878C3"/>
    <w:rsid w:val="00A91174"/>
    <w:rsid w:val="00A91EED"/>
    <w:rsid w:val="00A93900"/>
    <w:rsid w:val="00AA0E3B"/>
    <w:rsid w:val="00AA43CB"/>
    <w:rsid w:val="00AA4634"/>
    <w:rsid w:val="00AA4B03"/>
    <w:rsid w:val="00AA7F1F"/>
    <w:rsid w:val="00AB254A"/>
    <w:rsid w:val="00AB3D75"/>
    <w:rsid w:val="00AB48FE"/>
    <w:rsid w:val="00AB56FA"/>
    <w:rsid w:val="00AB5DE3"/>
    <w:rsid w:val="00AB6CFD"/>
    <w:rsid w:val="00AC0E00"/>
    <w:rsid w:val="00AC39FB"/>
    <w:rsid w:val="00AC3B0C"/>
    <w:rsid w:val="00AC4AA6"/>
    <w:rsid w:val="00AD2535"/>
    <w:rsid w:val="00AD4D8E"/>
    <w:rsid w:val="00AD6066"/>
    <w:rsid w:val="00AD6AE8"/>
    <w:rsid w:val="00AD7318"/>
    <w:rsid w:val="00AE0FB0"/>
    <w:rsid w:val="00AE2A88"/>
    <w:rsid w:val="00AE2EE4"/>
    <w:rsid w:val="00AE69C4"/>
    <w:rsid w:val="00AE6C08"/>
    <w:rsid w:val="00AF086E"/>
    <w:rsid w:val="00AF08E3"/>
    <w:rsid w:val="00B0145E"/>
    <w:rsid w:val="00B033C3"/>
    <w:rsid w:val="00B04401"/>
    <w:rsid w:val="00B04B70"/>
    <w:rsid w:val="00B078C3"/>
    <w:rsid w:val="00B07BAB"/>
    <w:rsid w:val="00B108D9"/>
    <w:rsid w:val="00B11FF3"/>
    <w:rsid w:val="00B12F40"/>
    <w:rsid w:val="00B139B1"/>
    <w:rsid w:val="00B14A82"/>
    <w:rsid w:val="00B14B4F"/>
    <w:rsid w:val="00B21719"/>
    <w:rsid w:val="00B2204A"/>
    <w:rsid w:val="00B27097"/>
    <w:rsid w:val="00B33175"/>
    <w:rsid w:val="00B334B7"/>
    <w:rsid w:val="00B33976"/>
    <w:rsid w:val="00B33BD2"/>
    <w:rsid w:val="00B3535C"/>
    <w:rsid w:val="00B378F0"/>
    <w:rsid w:val="00B41E37"/>
    <w:rsid w:val="00B42DDA"/>
    <w:rsid w:val="00B441F4"/>
    <w:rsid w:val="00B4558B"/>
    <w:rsid w:val="00B458B6"/>
    <w:rsid w:val="00B458D2"/>
    <w:rsid w:val="00B46658"/>
    <w:rsid w:val="00B466BF"/>
    <w:rsid w:val="00B473E5"/>
    <w:rsid w:val="00B50A12"/>
    <w:rsid w:val="00B5142F"/>
    <w:rsid w:val="00B51E09"/>
    <w:rsid w:val="00B549A0"/>
    <w:rsid w:val="00B57859"/>
    <w:rsid w:val="00B6054C"/>
    <w:rsid w:val="00B60FE9"/>
    <w:rsid w:val="00B63021"/>
    <w:rsid w:val="00B63BF6"/>
    <w:rsid w:val="00B64C45"/>
    <w:rsid w:val="00B65D6D"/>
    <w:rsid w:val="00B6655F"/>
    <w:rsid w:val="00B71F61"/>
    <w:rsid w:val="00B723DC"/>
    <w:rsid w:val="00B74F42"/>
    <w:rsid w:val="00B7531C"/>
    <w:rsid w:val="00B76E9B"/>
    <w:rsid w:val="00B77F27"/>
    <w:rsid w:val="00B806B8"/>
    <w:rsid w:val="00B8212A"/>
    <w:rsid w:val="00B84EFE"/>
    <w:rsid w:val="00B87A3D"/>
    <w:rsid w:val="00B87AA6"/>
    <w:rsid w:val="00B90AB1"/>
    <w:rsid w:val="00B91BC4"/>
    <w:rsid w:val="00B93B9E"/>
    <w:rsid w:val="00B93BEE"/>
    <w:rsid w:val="00B9695E"/>
    <w:rsid w:val="00BA248A"/>
    <w:rsid w:val="00BA284D"/>
    <w:rsid w:val="00BA2FBD"/>
    <w:rsid w:val="00BA36AE"/>
    <w:rsid w:val="00BA3B8F"/>
    <w:rsid w:val="00BA4C49"/>
    <w:rsid w:val="00BA5245"/>
    <w:rsid w:val="00BA62E4"/>
    <w:rsid w:val="00BA7FFC"/>
    <w:rsid w:val="00BB44F9"/>
    <w:rsid w:val="00BB58D0"/>
    <w:rsid w:val="00BB7621"/>
    <w:rsid w:val="00BC258D"/>
    <w:rsid w:val="00BC2C4A"/>
    <w:rsid w:val="00BC524F"/>
    <w:rsid w:val="00BC77DD"/>
    <w:rsid w:val="00BD0784"/>
    <w:rsid w:val="00BD38B2"/>
    <w:rsid w:val="00BD38D8"/>
    <w:rsid w:val="00BD4F28"/>
    <w:rsid w:val="00BE00CA"/>
    <w:rsid w:val="00BE1024"/>
    <w:rsid w:val="00BE1214"/>
    <w:rsid w:val="00BE2FF0"/>
    <w:rsid w:val="00BE4C96"/>
    <w:rsid w:val="00BE4F49"/>
    <w:rsid w:val="00BE5258"/>
    <w:rsid w:val="00BE54EA"/>
    <w:rsid w:val="00BE5B4C"/>
    <w:rsid w:val="00BE6A1C"/>
    <w:rsid w:val="00BE6F76"/>
    <w:rsid w:val="00BE7488"/>
    <w:rsid w:val="00BE78B0"/>
    <w:rsid w:val="00BE7F89"/>
    <w:rsid w:val="00BF0125"/>
    <w:rsid w:val="00BF0941"/>
    <w:rsid w:val="00BF14FC"/>
    <w:rsid w:val="00BF22C9"/>
    <w:rsid w:val="00BF44B8"/>
    <w:rsid w:val="00BF586B"/>
    <w:rsid w:val="00BF5882"/>
    <w:rsid w:val="00C01013"/>
    <w:rsid w:val="00C01401"/>
    <w:rsid w:val="00C039F0"/>
    <w:rsid w:val="00C0589B"/>
    <w:rsid w:val="00C07831"/>
    <w:rsid w:val="00C079D2"/>
    <w:rsid w:val="00C103E3"/>
    <w:rsid w:val="00C20509"/>
    <w:rsid w:val="00C2196E"/>
    <w:rsid w:val="00C2302D"/>
    <w:rsid w:val="00C24CAA"/>
    <w:rsid w:val="00C26D56"/>
    <w:rsid w:val="00C271C2"/>
    <w:rsid w:val="00C27C78"/>
    <w:rsid w:val="00C27E51"/>
    <w:rsid w:val="00C3384D"/>
    <w:rsid w:val="00C33E95"/>
    <w:rsid w:val="00C348F4"/>
    <w:rsid w:val="00C37C69"/>
    <w:rsid w:val="00C403C8"/>
    <w:rsid w:val="00C41A30"/>
    <w:rsid w:val="00C41ABC"/>
    <w:rsid w:val="00C41AD2"/>
    <w:rsid w:val="00C466A6"/>
    <w:rsid w:val="00C47B87"/>
    <w:rsid w:val="00C47BAB"/>
    <w:rsid w:val="00C50DF4"/>
    <w:rsid w:val="00C512DE"/>
    <w:rsid w:val="00C51AAF"/>
    <w:rsid w:val="00C51C25"/>
    <w:rsid w:val="00C51D31"/>
    <w:rsid w:val="00C52C85"/>
    <w:rsid w:val="00C53ABD"/>
    <w:rsid w:val="00C553B6"/>
    <w:rsid w:val="00C606B8"/>
    <w:rsid w:val="00C612AF"/>
    <w:rsid w:val="00C61327"/>
    <w:rsid w:val="00C62230"/>
    <w:rsid w:val="00C62FE1"/>
    <w:rsid w:val="00C63F42"/>
    <w:rsid w:val="00C64406"/>
    <w:rsid w:val="00C65F5B"/>
    <w:rsid w:val="00C679B1"/>
    <w:rsid w:val="00C73BC7"/>
    <w:rsid w:val="00C740F1"/>
    <w:rsid w:val="00C74629"/>
    <w:rsid w:val="00C75BCD"/>
    <w:rsid w:val="00C7670B"/>
    <w:rsid w:val="00C8130E"/>
    <w:rsid w:val="00C848DD"/>
    <w:rsid w:val="00C861EF"/>
    <w:rsid w:val="00C87193"/>
    <w:rsid w:val="00C872CD"/>
    <w:rsid w:val="00C873C3"/>
    <w:rsid w:val="00C95468"/>
    <w:rsid w:val="00C95B12"/>
    <w:rsid w:val="00C97509"/>
    <w:rsid w:val="00CA1A56"/>
    <w:rsid w:val="00CA1B30"/>
    <w:rsid w:val="00CA33E6"/>
    <w:rsid w:val="00CA4B94"/>
    <w:rsid w:val="00CA605A"/>
    <w:rsid w:val="00CA6A6D"/>
    <w:rsid w:val="00CB1E71"/>
    <w:rsid w:val="00CB201E"/>
    <w:rsid w:val="00CB2DF7"/>
    <w:rsid w:val="00CB730B"/>
    <w:rsid w:val="00CB7689"/>
    <w:rsid w:val="00CC14B0"/>
    <w:rsid w:val="00CC2A3D"/>
    <w:rsid w:val="00CD0D99"/>
    <w:rsid w:val="00CD1592"/>
    <w:rsid w:val="00CD364D"/>
    <w:rsid w:val="00CD4079"/>
    <w:rsid w:val="00CD4CDC"/>
    <w:rsid w:val="00CD5B95"/>
    <w:rsid w:val="00CE0696"/>
    <w:rsid w:val="00CE223B"/>
    <w:rsid w:val="00CE2A4E"/>
    <w:rsid w:val="00CE48DA"/>
    <w:rsid w:val="00CE6AE9"/>
    <w:rsid w:val="00CF0415"/>
    <w:rsid w:val="00CF1FD8"/>
    <w:rsid w:val="00CF20D8"/>
    <w:rsid w:val="00CF303C"/>
    <w:rsid w:val="00CF39E4"/>
    <w:rsid w:val="00CF7503"/>
    <w:rsid w:val="00CF7D57"/>
    <w:rsid w:val="00D012C9"/>
    <w:rsid w:val="00D016A7"/>
    <w:rsid w:val="00D03872"/>
    <w:rsid w:val="00D03D94"/>
    <w:rsid w:val="00D06487"/>
    <w:rsid w:val="00D100E6"/>
    <w:rsid w:val="00D1497C"/>
    <w:rsid w:val="00D153DC"/>
    <w:rsid w:val="00D207E2"/>
    <w:rsid w:val="00D21F46"/>
    <w:rsid w:val="00D226CD"/>
    <w:rsid w:val="00D24B1F"/>
    <w:rsid w:val="00D25605"/>
    <w:rsid w:val="00D273B8"/>
    <w:rsid w:val="00D3326D"/>
    <w:rsid w:val="00D33EF1"/>
    <w:rsid w:val="00D346FF"/>
    <w:rsid w:val="00D40529"/>
    <w:rsid w:val="00D4168D"/>
    <w:rsid w:val="00D449BB"/>
    <w:rsid w:val="00D44A1A"/>
    <w:rsid w:val="00D4525C"/>
    <w:rsid w:val="00D4533A"/>
    <w:rsid w:val="00D459FA"/>
    <w:rsid w:val="00D460B9"/>
    <w:rsid w:val="00D47667"/>
    <w:rsid w:val="00D47F0A"/>
    <w:rsid w:val="00D55F0D"/>
    <w:rsid w:val="00D55FB6"/>
    <w:rsid w:val="00D57E05"/>
    <w:rsid w:val="00D61785"/>
    <w:rsid w:val="00D61AB5"/>
    <w:rsid w:val="00D620D3"/>
    <w:rsid w:val="00D65491"/>
    <w:rsid w:val="00D65D05"/>
    <w:rsid w:val="00D67BFF"/>
    <w:rsid w:val="00D702C2"/>
    <w:rsid w:val="00D71797"/>
    <w:rsid w:val="00D72B26"/>
    <w:rsid w:val="00D72B88"/>
    <w:rsid w:val="00D7383B"/>
    <w:rsid w:val="00D73887"/>
    <w:rsid w:val="00D73C8B"/>
    <w:rsid w:val="00D82507"/>
    <w:rsid w:val="00D83814"/>
    <w:rsid w:val="00D852E2"/>
    <w:rsid w:val="00D8685D"/>
    <w:rsid w:val="00D86CB7"/>
    <w:rsid w:val="00D90C34"/>
    <w:rsid w:val="00D92294"/>
    <w:rsid w:val="00D92564"/>
    <w:rsid w:val="00D94B05"/>
    <w:rsid w:val="00D961CE"/>
    <w:rsid w:val="00D96A5C"/>
    <w:rsid w:val="00D977A3"/>
    <w:rsid w:val="00D97F30"/>
    <w:rsid w:val="00D97FC7"/>
    <w:rsid w:val="00DA3654"/>
    <w:rsid w:val="00DA412A"/>
    <w:rsid w:val="00DA5232"/>
    <w:rsid w:val="00DA6D77"/>
    <w:rsid w:val="00DB1247"/>
    <w:rsid w:val="00DB1C70"/>
    <w:rsid w:val="00DB3D2B"/>
    <w:rsid w:val="00DB46A1"/>
    <w:rsid w:val="00DB689F"/>
    <w:rsid w:val="00DB6C41"/>
    <w:rsid w:val="00DB70B8"/>
    <w:rsid w:val="00DC3895"/>
    <w:rsid w:val="00DC7440"/>
    <w:rsid w:val="00DD3991"/>
    <w:rsid w:val="00DD3D1E"/>
    <w:rsid w:val="00DD5F69"/>
    <w:rsid w:val="00DD7EA6"/>
    <w:rsid w:val="00DE4BB9"/>
    <w:rsid w:val="00DE5B93"/>
    <w:rsid w:val="00DE62FF"/>
    <w:rsid w:val="00DE7500"/>
    <w:rsid w:val="00DF01BE"/>
    <w:rsid w:val="00DF6A3A"/>
    <w:rsid w:val="00DF6F54"/>
    <w:rsid w:val="00DF7A39"/>
    <w:rsid w:val="00E0050E"/>
    <w:rsid w:val="00E005AA"/>
    <w:rsid w:val="00E01784"/>
    <w:rsid w:val="00E01809"/>
    <w:rsid w:val="00E01E1F"/>
    <w:rsid w:val="00E02ECB"/>
    <w:rsid w:val="00E03ACF"/>
    <w:rsid w:val="00E0632F"/>
    <w:rsid w:val="00E14FC2"/>
    <w:rsid w:val="00E17610"/>
    <w:rsid w:val="00E20B90"/>
    <w:rsid w:val="00E22D32"/>
    <w:rsid w:val="00E23C59"/>
    <w:rsid w:val="00E308AD"/>
    <w:rsid w:val="00E30AF3"/>
    <w:rsid w:val="00E31726"/>
    <w:rsid w:val="00E332B4"/>
    <w:rsid w:val="00E34981"/>
    <w:rsid w:val="00E36621"/>
    <w:rsid w:val="00E37C35"/>
    <w:rsid w:val="00E4260E"/>
    <w:rsid w:val="00E44215"/>
    <w:rsid w:val="00E45A5B"/>
    <w:rsid w:val="00E53066"/>
    <w:rsid w:val="00E5333E"/>
    <w:rsid w:val="00E56107"/>
    <w:rsid w:val="00E574FF"/>
    <w:rsid w:val="00E603F4"/>
    <w:rsid w:val="00E60AEF"/>
    <w:rsid w:val="00E7452B"/>
    <w:rsid w:val="00E77977"/>
    <w:rsid w:val="00E80103"/>
    <w:rsid w:val="00E80717"/>
    <w:rsid w:val="00E851E6"/>
    <w:rsid w:val="00E85D5F"/>
    <w:rsid w:val="00E8707C"/>
    <w:rsid w:val="00E9054B"/>
    <w:rsid w:val="00E90B7E"/>
    <w:rsid w:val="00E90EAC"/>
    <w:rsid w:val="00E91A5E"/>
    <w:rsid w:val="00E92E00"/>
    <w:rsid w:val="00E9471C"/>
    <w:rsid w:val="00E94B98"/>
    <w:rsid w:val="00E9771A"/>
    <w:rsid w:val="00E97E28"/>
    <w:rsid w:val="00EA0910"/>
    <w:rsid w:val="00EA156E"/>
    <w:rsid w:val="00EA1C0D"/>
    <w:rsid w:val="00EA1D36"/>
    <w:rsid w:val="00EA3851"/>
    <w:rsid w:val="00EA65A4"/>
    <w:rsid w:val="00EA78A8"/>
    <w:rsid w:val="00EB069B"/>
    <w:rsid w:val="00EB3571"/>
    <w:rsid w:val="00EB3C81"/>
    <w:rsid w:val="00EB622B"/>
    <w:rsid w:val="00EB79C7"/>
    <w:rsid w:val="00EC320E"/>
    <w:rsid w:val="00EC3642"/>
    <w:rsid w:val="00EC560F"/>
    <w:rsid w:val="00EC57B9"/>
    <w:rsid w:val="00EC5A18"/>
    <w:rsid w:val="00EC5F15"/>
    <w:rsid w:val="00EC626C"/>
    <w:rsid w:val="00EC7B91"/>
    <w:rsid w:val="00ED272E"/>
    <w:rsid w:val="00ED3E82"/>
    <w:rsid w:val="00ED5506"/>
    <w:rsid w:val="00ED5B4B"/>
    <w:rsid w:val="00ED7522"/>
    <w:rsid w:val="00EE002B"/>
    <w:rsid w:val="00EE1493"/>
    <w:rsid w:val="00EE2A4C"/>
    <w:rsid w:val="00EE2F28"/>
    <w:rsid w:val="00EF07C7"/>
    <w:rsid w:val="00EF17E7"/>
    <w:rsid w:val="00EF27D9"/>
    <w:rsid w:val="00EF2F6F"/>
    <w:rsid w:val="00EF5FA4"/>
    <w:rsid w:val="00EF640F"/>
    <w:rsid w:val="00EF739D"/>
    <w:rsid w:val="00EF7BAE"/>
    <w:rsid w:val="00F01AF7"/>
    <w:rsid w:val="00F02312"/>
    <w:rsid w:val="00F03AC9"/>
    <w:rsid w:val="00F0422A"/>
    <w:rsid w:val="00F05220"/>
    <w:rsid w:val="00F05FF1"/>
    <w:rsid w:val="00F070A4"/>
    <w:rsid w:val="00F075CA"/>
    <w:rsid w:val="00F07AA9"/>
    <w:rsid w:val="00F07AFC"/>
    <w:rsid w:val="00F07F6F"/>
    <w:rsid w:val="00F109CD"/>
    <w:rsid w:val="00F12C20"/>
    <w:rsid w:val="00F144CD"/>
    <w:rsid w:val="00F158CF"/>
    <w:rsid w:val="00F168B2"/>
    <w:rsid w:val="00F16D99"/>
    <w:rsid w:val="00F21519"/>
    <w:rsid w:val="00F21A6F"/>
    <w:rsid w:val="00F242FD"/>
    <w:rsid w:val="00F2630F"/>
    <w:rsid w:val="00F30B3C"/>
    <w:rsid w:val="00F32B96"/>
    <w:rsid w:val="00F3313A"/>
    <w:rsid w:val="00F337EB"/>
    <w:rsid w:val="00F354B5"/>
    <w:rsid w:val="00F36C1B"/>
    <w:rsid w:val="00F37BD0"/>
    <w:rsid w:val="00F37C80"/>
    <w:rsid w:val="00F406A8"/>
    <w:rsid w:val="00F41E58"/>
    <w:rsid w:val="00F4378F"/>
    <w:rsid w:val="00F45C8C"/>
    <w:rsid w:val="00F46609"/>
    <w:rsid w:val="00F5085D"/>
    <w:rsid w:val="00F53B1D"/>
    <w:rsid w:val="00F56C96"/>
    <w:rsid w:val="00F610C3"/>
    <w:rsid w:val="00F616B7"/>
    <w:rsid w:val="00F63CEF"/>
    <w:rsid w:val="00F66BB8"/>
    <w:rsid w:val="00F6725A"/>
    <w:rsid w:val="00F674EC"/>
    <w:rsid w:val="00F7168D"/>
    <w:rsid w:val="00F747E7"/>
    <w:rsid w:val="00F748FB"/>
    <w:rsid w:val="00F760FF"/>
    <w:rsid w:val="00F80837"/>
    <w:rsid w:val="00F80934"/>
    <w:rsid w:val="00F842BB"/>
    <w:rsid w:val="00F855A0"/>
    <w:rsid w:val="00F87280"/>
    <w:rsid w:val="00F874A6"/>
    <w:rsid w:val="00F90E5B"/>
    <w:rsid w:val="00F94109"/>
    <w:rsid w:val="00F95327"/>
    <w:rsid w:val="00FA1589"/>
    <w:rsid w:val="00FA61D5"/>
    <w:rsid w:val="00FB256D"/>
    <w:rsid w:val="00FB441E"/>
    <w:rsid w:val="00FC2956"/>
    <w:rsid w:val="00FC43B1"/>
    <w:rsid w:val="00FC57F5"/>
    <w:rsid w:val="00FC663A"/>
    <w:rsid w:val="00FC6AB7"/>
    <w:rsid w:val="00FD0C0E"/>
    <w:rsid w:val="00FD132B"/>
    <w:rsid w:val="00FD2083"/>
    <w:rsid w:val="00FD2B3B"/>
    <w:rsid w:val="00FD3D2B"/>
    <w:rsid w:val="00FD5E2A"/>
    <w:rsid w:val="00FD691F"/>
    <w:rsid w:val="00FD6F83"/>
    <w:rsid w:val="00FD7632"/>
    <w:rsid w:val="00FD76F2"/>
    <w:rsid w:val="00FE3B47"/>
    <w:rsid w:val="00FE758C"/>
    <w:rsid w:val="00FF043E"/>
    <w:rsid w:val="00FF0DF6"/>
    <w:rsid w:val="00FF3F7D"/>
    <w:rsid w:val="00FF55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8274"/>
  <w15:docId w15:val="{DCEDDC02-B481-9F45-B736-5907250B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346"/>
    <w:pPr>
      <w:spacing w:line="360" w:lineRule="auto"/>
      <w:jc w:val="both"/>
    </w:pPr>
    <w:rPr>
      <w:rFonts w:ascii="Times New Roman" w:hAnsi="Times New Roman"/>
      <w:sz w:val="24"/>
      <w:szCs w:val="22"/>
      <w:lang w:eastAsia="en-US"/>
    </w:rPr>
  </w:style>
  <w:style w:type="paragraph" w:styleId="1">
    <w:name w:val="heading 1"/>
    <w:basedOn w:val="a"/>
    <w:next w:val="a"/>
    <w:link w:val="10"/>
    <w:qFormat/>
    <w:rsid w:val="00AA4B03"/>
    <w:pPr>
      <w:keepNext/>
      <w:keepLines/>
      <w:spacing w:before="360" w:after="240"/>
      <w:jc w:val="center"/>
      <w:outlineLvl w:val="0"/>
    </w:pPr>
    <w:rPr>
      <w:rFonts w:ascii="Times New Roman CYR" w:eastAsia="Times New Roman" w:hAnsi="Times New Roman CYR" w:cs="Times New Roman CYR"/>
      <w:b/>
      <w:color w:val="000000"/>
      <w:sz w:val="28"/>
      <w:szCs w:val="28"/>
    </w:rPr>
  </w:style>
  <w:style w:type="paragraph" w:styleId="2">
    <w:name w:val="heading 2"/>
    <w:basedOn w:val="a"/>
    <w:next w:val="a"/>
    <w:link w:val="20"/>
    <w:unhideWhenUsed/>
    <w:qFormat/>
    <w:rsid w:val="00BE6A1C"/>
    <w:pPr>
      <w:keepNext/>
      <w:keepLines/>
      <w:spacing w:before="240"/>
      <w:outlineLvl w:val="1"/>
    </w:pPr>
    <w:rPr>
      <w:rFonts w:eastAsia="Times New Roman"/>
      <w:b/>
      <w:szCs w:val="26"/>
      <w:u w:val="single"/>
    </w:rPr>
  </w:style>
  <w:style w:type="paragraph" w:styleId="3">
    <w:name w:val="heading 3"/>
    <w:basedOn w:val="a"/>
    <w:next w:val="a"/>
    <w:link w:val="30"/>
    <w:unhideWhenUsed/>
    <w:qFormat/>
    <w:rsid w:val="00371E34"/>
    <w:pPr>
      <w:keepNext/>
      <w:keepLines/>
      <w:spacing w:before="240"/>
      <w:jc w:val="left"/>
      <w:outlineLvl w:val="2"/>
    </w:pPr>
    <w:rPr>
      <w:rFonts w:eastAsia="Times New Roman"/>
      <w:b/>
      <w:szCs w:val="24"/>
    </w:rPr>
  </w:style>
  <w:style w:type="paragraph" w:styleId="4">
    <w:name w:val="heading 4"/>
    <w:basedOn w:val="a"/>
    <w:next w:val="a"/>
    <w:link w:val="40"/>
    <w:qFormat/>
    <w:rsid w:val="00BE7F89"/>
    <w:pPr>
      <w:shd w:val="clear" w:color="auto" w:fill="FFFFFF"/>
      <w:tabs>
        <w:tab w:val="left" w:pos="394"/>
      </w:tabs>
      <w:overflowPunct w:val="0"/>
      <w:autoSpaceDE w:val="0"/>
      <w:autoSpaceDN w:val="0"/>
      <w:adjustRightInd w:val="0"/>
      <w:spacing w:before="240" w:after="60" w:line="264" w:lineRule="auto"/>
      <w:ind w:firstLine="284"/>
      <w:jc w:val="left"/>
      <w:textAlignment w:val="baseline"/>
      <w:outlineLvl w:val="3"/>
    </w:pPr>
    <w:rPr>
      <w:rFonts w:ascii="Arial" w:eastAsia="Times New Roman" w:hAnsi="Arial"/>
      <w:b/>
      <w:spacing w:val="10"/>
      <w:sz w:val="28"/>
      <w:szCs w:val="20"/>
      <w:lang w:eastAsia="ru-RU"/>
    </w:rPr>
  </w:style>
  <w:style w:type="paragraph" w:styleId="5">
    <w:name w:val="heading 5"/>
    <w:basedOn w:val="a"/>
    <w:next w:val="a"/>
    <w:link w:val="50"/>
    <w:qFormat/>
    <w:rsid w:val="00BE7F89"/>
    <w:pPr>
      <w:widowControl w:val="0"/>
      <w:shd w:val="clear" w:color="auto" w:fill="FFFFFF"/>
      <w:tabs>
        <w:tab w:val="left" w:pos="394"/>
      </w:tabs>
      <w:overflowPunct w:val="0"/>
      <w:autoSpaceDE w:val="0"/>
      <w:autoSpaceDN w:val="0"/>
      <w:adjustRightInd w:val="0"/>
      <w:spacing w:before="240" w:after="60" w:line="264" w:lineRule="auto"/>
      <w:ind w:left="10" w:firstLine="284"/>
      <w:jc w:val="left"/>
      <w:textAlignment w:val="baseline"/>
      <w:outlineLvl w:val="4"/>
    </w:pPr>
    <w:rPr>
      <w:rFonts w:eastAsia="Times New Roman"/>
      <w:b/>
      <w:color w:val="0000FF"/>
      <w:spacing w:val="10"/>
      <w:sz w:val="20"/>
      <w:szCs w:val="20"/>
      <w:lang w:val="en-US" w:eastAsia="ru-RU"/>
    </w:rPr>
  </w:style>
  <w:style w:type="paragraph" w:styleId="6">
    <w:name w:val="heading 6"/>
    <w:basedOn w:val="a"/>
    <w:next w:val="a"/>
    <w:link w:val="60"/>
    <w:qFormat/>
    <w:rsid w:val="00BE7F89"/>
    <w:pPr>
      <w:overflowPunct w:val="0"/>
      <w:autoSpaceDE w:val="0"/>
      <w:autoSpaceDN w:val="0"/>
      <w:adjustRightInd w:val="0"/>
      <w:spacing w:line="264" w:lineRule="auto"/>
      <w:ind w:firstLine="284"/>
      <w:jc w:val="left"/>
      <w:textAlignment w:val="baseline"/>
      <w:outlineLvl w:val="5"/>
    </w:pPr>
    <w:rPr>
      <w:rFonts w:ascii="Arial" w:eastAsia="Times New Roman" w:hAnsi="Arial"/>
      <w:b/>
      <w:sz w:val="20"/>
      <w:szCs w:val="20"/>
      <w:lang w:eastAsia="ru-RU"/>
    </w:rPr>
  </w:style>
  <w:style w:type="paragraph" w:styleId="7">
    <w:name w:val="heading 7"/>
    <w:basedOn w:val="a"/>
    <w:next w:val="a"/>
    <w:link w:val="70"/>
    <w:qFormat/>
    <w:rsid w:val="00BE7F89"/>
    <w:pPr>
      <w:keepNext/>
      <w:keepLines/>
      <w:spacing w:line="240" w:lineRule="auto"/>
      <w:jc w:val="left"/>
      <w:outlineLvl w:val="6"/>
    </w:pPr>
    <w:rPr>
      <w:rFonts w:ascii="Calibri" w:eastAsia="SimSun" w:hAnsi="Calibri"/>
      <w:i/>
      <w:iCs/>
      <w:color w:val="404040"/>
      <w:sz w:val="20"/>
      <w:szCs w:val="20"/>
      <w:lang w:eastAsia="ru-RU"/>
    </w:rPr>
  </w:style>
  <w:style w:type="paragraph" w:styleId="8">
    <w:name w:val="heading 8"/>
    <w:basedOn w:val="a"/>
    <w:next w:val="a"/>
    <w:link w:val="80"/>
    <w:qFormat/>
    <w:rsid w:val="00BE7F89"/>
    <w:pPr>
      <w:keepNext/>
      <w:keepLines/>
      <w:spacing w:before="200" w:line="240" w:lineRule="auto"/>
      <w:jc w:val="left"/>
      <w:outlineLvl w:val="7"/>
    </w:pPr>
    <w:rPr>
      <w:rFonts w:ascii="Calibri" w:eastAsia="SimSun" w:hAnsi="Calibri"/>
      <w:color w:val="6F6F74"/>
      <w:sz w:val="20"/>
      <w:szCs w:val="20"/>
      <w:lang w:eastAsia="ru-RU"/>
    </w:rPr>
  </w:style>
  <w:style w:type="paragraph" w:styleId="9">
    <w:name w:val="heading 9"/>
    <w:basedOn w:val="a"/>
    <w:next w:val="a"/>
    <w:link w:val="90"/>
    <w:qFormat/>
    <w:rsid w:val="00BE7F89"/>
    <w:pPr>
      <w:keepNext/>
      <w:keepLines/>
      <w:spacing w:before="200" w:line="240" w:lineRule="auto"/>
      <w:jc w:val="left"/>
      <w:outlineLvl w:val="8"/>
    </w:pPr>
    <w:rPr>
      <w:rFonts w:ascii="Calibri" w:eastAsia="SimSun" w:hAnsi="Calibri"/>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A4B03"/>
    <w:rPr>
      <w:rFonts w:ascii="Times New Roman CYR" w:eastAsia="Times New Roman" w:hAnsi="Times New Roman CYR" w:cs="Times New Roman CYR"/>
      <w:b/>
      <w:color w:val="000000"/>
      <w:sz w:val="28"/>
      <w:szCs w:val="28"/>
      <w:lang w:eastAsia="en-US"/>
    </w:rPr>
  </w:style>
  <w:style w:type="character" w:customStyle="1" w:styleId="20">
    <w:name w:val="Заголовок 2 Знак"/>
    <w:link w:val="2"/>
    <w:rsid w:val="00BE6A1C"/>
    <w:rPr>
      <w:rFonts w:ascii="Times New Roman" w:eastAsia="Times New Roman" w:hAnsi="Times New Roman"/>
      <w:b/>
      <w:sz w:val="24"/>
      <w:szCs w:val="26"/>
      <w:u w:val="single"/>
      <w:lang w:eastAsia="en-US"/>
    </w:rPr>
  </w:style>
  <w:style w:type="character" w:customStyle="1" w:styleId="30">
    <w:name w:val="Заголовок 3 Знак"/>
    <w:link w:val="3"/>
    <w:rsid w:val="00371E34"/>
    <w:rPr>
      <w:rFonts w:ascii="Times New Roman" w:eastAsia="Times New Roman" w:hAnsi="Times New Roman"/>
      <w:b/>
      <w:sz w:val="24"/>
      <w:szCs w:val="24"/>
      <w:lang w:eastAsia="en-US"/>
    </w:rPr>
  </w:style>
  <w:style w:type="paragraph" w:customStyle="1" w:styleId="11">
    <w:name w:val="Обычный (веб)1"/>
    <w:basedOn w:val="a"/>
    <w:uiPriority w:val="99"/>
    <w:unhideWhenUsed/>
    <w:qFormat/>
    <w:rsid w:val="00B11FF3"/>
    <w:pPr>
      <w:spacing w:beforeAutospacing="1" w:afterAutospacing="1" w:line="288" w:lineRule="auto"/>
      <w:jc w:val="left"/>
    </w:pPr>
    <w:rPr>
      <w:rFonts w:eastAsia="Times New Roman"/>
      <w:szCs w:val="24"/>
      <w:lang w:eastAsia="ru-RU"/>
    </w:rPr>
  </w:style>
  <w:style w:type="character" w:styleId="a3">
    <w:name w:val="Emphasis"/>
    <w:uiPriority w:val="20"/>
    <w:qFormat/>
    <w:rsid w:val="00B11FF3"/>
    <w:rPr>
      <w:i/>
      <w:iCs/>
    </w:rPr>
  </w:style>
  <w:style w:type="paragraph" w:styleId="a4">
    <w:name w:val="List Paragraph"/>
    <w:basedOn w:val="a"/>
    <w:link w:val="a5"/>
    <w:uiPriority w:val="34"/>
    <w:qFormat/>
    <w:rsid w:val="00BE6A1C"/>
    <w:pPr>
      <w:spacing w:before="240"/>
      <w:ind w:hanging="284"/>
    </w:pPr>
  </w:style>
  <w:style w:type="character" w:customStyle="1" w:styleId="a5">
    <w:name w:val="Абзац списка Знак"/>
    <w:link w:val="a4"/>
    <w:uiPriority w:val="34"/>
    <w:rsid w:val="00BE6A1C"/>
    <w:rPr>
      <w:rFonts w:ascii="Times New Roman" w:hAnsi="Times New Roman"/>
      <w:sz w:val="24"/>
      <w:szCs w:val="22"/>
      <w:lang w:eastAsia="en-US"/>
    </w:rPr>
  </w:style>
  <w:style w:type="paragraph" w:styleId="a6">
    <w:name w:val="header"/>
    <w:basedOn w:val="a"/>
    <w:link w:val="a7"/>
    <w:unhideWhenUsed/>
    <w:rsid w:val="00383556"/>
    <w:pPr>
      <w:tabs>
        <w:tab w:val="center" w:pos="4677"/>
        <w:tab w:val="right" w:pos="9355"/>
      </w:tabs>
      <w:spacing w:line="240" w:lineRule="auto"/>
    </w:pPr>
  </w:style>
  <w:style w:type="character" w:customStyle="1" w:styleId="a7">
    <w:name w:val="Верхний колонтитул Знак"/>
    <w:link w:val="a6"/>
    <w:rsid w:val="00383556"/>
    <w:rPr>
      <w:rFonts w:ascii="Times New Roman" w:hAnsi="Times New Roman"/>
      <w:sz w:val="24"/>
    </w:rPr>
  </w:style>
  <w:style w:type="paragraph" w:styleId="a8">
    <w:name w:val="footer"/>
    <w:basedOn w:val="a"/>
    <w:link w:val="a9"/>
    <w:unhideWhenUsed/>
    <w:rsid w:val="00383556"/>
    <w:pPr>
      <w:tabs>
        <w:tab w:val="center" w:pos="4677"/>
        <w:tab w:val="right" w:pos="9355"/>
      </w:tabs>
      <w:spacing w:line="240" w:lineRule="auto"/>
    </w:pPr>
  </w:style>
  <w:style w:type="character" w:customStyle="1" w:styleId="a9">
    <w:name w:val="Нижний колонтитул Знак"/>
    <w:link w:val="a8"/>
    <w:rsid w:val="00383556"/>
    <w:rPr>
      <w:rFonts w:ascii="Times New Roman" w:hAnsi="Times New Roman"/>
      <w:sz w:val="24"/>
    </w:rPr>
  </w:style>
  <w:style w:type="character" w:styleId="aa">
    <w:name w:val="Strong"/>
    <w:uiPriority w:val="22"/>
    <w:qFormat/>
    <w:rsid w:val="00C512DE"/>
    <w:rPr>
      <w:b/>
      <w:bCs/>
    </w:rPr>
  </w:style>
  <w:style w:type="table" w:customStyle="1" w:styleId="-131">
    <w:name w:val="Список-таблица 1 светлая — акцент 31"/>
    <w:basedOn w:val="a1"/>
    <w:uiPriority w:val="46"/>
    <w:rsid w:val="00562AB9"/>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
    <w:rsid w:val="008F3621"/>
    <w:pPr>
      <w:widowControl w:val="0"/>
      <w:spacing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b">
    <w:name w:val="Содержимое врезки"/>
    <w:basedOn w:val="a"/>
    <w:uiPriority w:val="99"/>
    <w:qFormat/>
    <w:rsid w:val="008F3621"/>
    <w:pPr>
      <w:jc w:val="left"/>
    </w:pPr>
  </w:style>
  <w:style w:type="table" w:styleId="ac">
    <w:name w:val="Table Grid"/>
    <w:basedOn w:val="a1"/>
    <w:rsid w:val="008F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uiPriority w:val="99"/>
    <w:semiHidden/>
    <w:qFormat/>
    <w:rsid w:val="008F3621"/>
    <w:rPr>
      <w:rFonts w:ascii="Times New Roman" w:hAnsi="Times New Roman"/>
      <w:sz w:val="20"/>
      <w:szCs w:val="20"/>
    </w:rPr>
  </w:style>
  <w:style w:type="paragraph" w:styleId="ae">
    <w:name w:val="No Spacing"/>
    <w:uiPriority w:val="1"/>
    <w:qFormat/>
    <w:rsid w:val="008F3621"/>
    <w:pPr>
      <w:jc w:val="both"/>
    </w:pPr>
    <w:rPr>
      <w:rFonts w:ascii="Times New Roman" w:hAnsi="Times New Roman"/>
      <w:sz w:val="24"/>
      <w:szCs w:val="22"/>
      <w:lang w:eastAsia="en-US"/>
    </w:rPr>
  </w:style>
  <w:style w:type="paragraph" w:styleId="af">
    <w:name w:val="TOC Heading"/>
    <w:basedOn w:val="1"/>
    <w:next w:val="a"/>
    <w:uiPriority w:val="39"/>
    <w:unhideWhenUsed/>
    <w:qFormat/>
    <w:rsid w:val="008F3621"/>
    <w:pPr>
      <w:spacing w:after="0" w:line="259" w:lineRule="auto"/>
      <w:jc w:val="left"/>
      <w:outlineLvl w:val="9"/>
    </w:pPr>
    <w:rPr>
      <w:rFonts w:ascii="Calibri Light" w:hAnsi="Calibri Light"/>
      <w:b w:val="0"/>
      <w:color w:val="2F5496"/>
      <w:sz w:val="32"/>
      <w:lang w:eastAsia="ru-RU"/>
    </w:rPr>
  </w:style>
  <w:style w:type="paragraph" w:styleId="12">
    <w:name w:val="toc 1"/>
    <w:basedOn w:val="a"/>
    <w:next w:val="a"/>
    <w:autoRedefine/>
    <w:uiPriority w:val="39"/>
    <w:unhideWhenUsed/>
    <w:rsid w:val="008F3621"/>
    <w:pPr>
      <w:spacing w:after="100"/>
    </w:pPr>
  </w:style>
  <w:style w:type="paragraph" w:styleId="21">
    <w:name w:val="toc 2"/>
    <w:basedOn w:val="a"/>
    <w:next w:val="a"/>
    <w:autoRedefine/>
    <w:uiPriority w:val="39"/>
    <w:unhideWhenUsed/>
    <w:rsid w:val="008F3621"/>
    <w:pPr>
      <w:spacing w:after="100"/>
      <w:ind w:left="240"/>
    </w:pPr>
  </w:style>
  <w:style w:type="character" w:styleId="af0">
    <w:name w:val="Hyperlink"/>
    <w:uiPriority w:val="99"/>
    <w:unhideWhenUsed/>
    <w:rsid w:val="008F3621"/>
    <w:rPr>
      <w:color w:val="0563C1"/>
      <w:u w:val="single"/>
    </w:rPr>
  </w:style>
  <w:style w:type="character" w:styleId="af1">
    <w:name w:val="annotation reference"/>
    <w:semiHidden/>
    <w:unhideWhenUsed/>
    <w:qFormat/>
    <w:rsid w:val="00EF27D9"/>
    <w:rPr>
      <w:sz w:val="16"/>
      <w:szCs w:val="16"/>
    </w:rPr>
  </w:style>
  <w:style w:type="paragraph" w:styleId="af2">
    <w:name w:val="annotation text"/>
    <w:basedOn w:val="a"/>
    <w:link w:val="13"/>
    <w:unhideWhenUsed/>
    <w:qFormat/>
    <w:rsid w:val="00EF27D9"/>
    <w:pPr>
      <w:spacing w:line="240" w:lineRule="auto"/>
    </w:pPr>
    <w:rPr>
      <w:sz w:val="20"/>
      <w:szCs w:val="20"/>
    </w:rPr>
  </w:style>
  <w:style w:type="character" w:customStyle="1" w:styleId="13">
    <w:name w:val="Текст примечания Знак1"/>
    <w:link w:val="af2"/>
    <w:uiPriority w:val="99"/>
    <w:rsid w:val="00367667"/>
    <w:rPr>
      <w:rFonts w:ascii="Times New Roman" w:hAnsi="Times New Roman"/>
      <w:lang w:eastAsia="en-US"/>
    </w:rPr>
  </w:style>
  <w:style w:type="paragraph" w:styleId="af3">
    <w:name w:val="annotation subject"/>
    <w:basedOn w:val="af2"/>
    <w:next w:val="af2"/>
    <w:link w:val="af4"/>
    <w:semiHidden/>
    <w:unhideWhenUsed/>
    <w:rsid w:val="00367667"/>
    <w:rPr>
      <w:b/>
      <w:bCs/>
    </w:rPr>
  </w:style>
  <w:style w:type="character" w:customStyle="1" w:styleId="af4">
    <w:name w:val="Тема примечания Знак"/>
    <w:link w:val="af3"/>
    <w:uiPriority w:val="99"/>
    <w:semiHidden/>
    <w:rsid w:val="00367667"/>
    <w:rPr>
      <w:rFonts w:ascii="Times New Roman" w:hAnsi="Times New Roman"/>
      <w:b/>
      <w:bCs/>
      <w:sz w:val="20"/>
      <w:szCs w:val="20"/>
    </w:rPr>
  </w:style>
  <w:style w:type="paragraph" w:styleId="af5">
    <w:name w:val="Balloon Text"/>
    <w:basedOn w:val="a"/>
    <w:link w:val="af6"/>
    <w:semiHidden/>
    <w:unhideWhenUsed/>
    <w:rsid w:val="00367667"/>
    <w:pPr>
      <w:spacing w:line="240" w:lineRule="auto"/>
    </w:pPr>
    <w:rPr>
      <w:rFonts w:ascii="Segoe UI" w:hAnsi="Segoe UI" w:cs="Segoe UI"/>
      <w:sz w:val="18"/>
      <w:szCs w:val="18"/>
    </w:rPr>
  </w:style>
  <w:style w:type="character" w:customStyle="1" w:styleId="af6">
    <w:name w:val="Текст выноски Знак"/>
    <w:link w:val="af5"/>
    <w:uiPriority w:val="99"/>
    <w:semiHidden/>
    <w:rsid w:val="00367667"/>
    <w:rPr>
      <w:rFonts w:ascii="Segoe UI" w:hAnsi="Segoe UI" w:cs="Segoe UI"/>
      <w:sz w:val="18"/>
      <w:szCs w:val="18"/>
    </w:rPr>
  </w:style>
  <w:style w:type="character" w:customStyle="1" w:styleId="af7">
    <w:name w:val="Памятки Знак"/>
    <w:link w:val="af8"/>
    <w:uiPriority w:val="99"/>
    <w:locked/>
    <w:rsid w:val="00020931"/>
    <w:rPr>
      <w:i/>
      <w:iCs/>
      <w:color w:val="FF0000"/>
    </w:rPr>
  </w:style>
  <w:style w:type="paragraph" w:customStyle="1" w:styleId="af8">
    <w:name w:val="Памятки"/>
    <w:basedOn w:val="a"/>
    <w:link w:val="af7"/>
    <w:uiPriority w:val="99"/>
    <w:qFormat/>
    <w:rsid w:val="00020931"/>
    <w:pPr>
      <w:ind w:firstLine="709"/>
    </w:pPr>
    <w:rPr>
      <w:rFonts w:ascii="Calibri" w:hAnsi="Calibri"/>
      <w:i/>
      <w:iCs/>
      <w:color w:val="FF0000"/>
      <w:sz w:val="22"/>
    </w:rPr>
  </w:style>
  <w:style w:type="paragraph" w:customStyle="1" w:styleId="14">
    <w:name w:val="Оглавление 1 Знак"/>
    <w:basedOn w:val="a"/>
    <w:qFormat/>
    <w:rsid w:val="0025616A"/>
    <w:pPr>
      <w:widowControl w:val="0"/>
      <w:ind w:left="709" w:hanging="283"/>
    </w:pPr>
    <w:rPr>
      <w:rFonts w:eastAsia="Times New Roman"/>
      <w:szCs w:val="24"/>
      <w:lang w:eastAsia="ru-RU"/>
    </w:rPr>
  </w:style>
  <w:style w:type="paragraph" w:customStyle="1" w:styleId="af9">
    <w:name w:val="Наим. раздела"/>
    <w:basedOn w:val="a"/>
    <w:link w:val="afa"/>
    <w:qFormat/>
    <w:rsid w:val="0025616A"/>
    <w:pPr>
      <w:keepNext/>
      <w:keepLines/>
      <w:spacing w:before="240"/>
      <w:contextualSpacing/>
      <w:jc w:val="center"/>
      <w:outlineLvl w:val="0"/>
    </w:pPr>
    <w:rPr>
      <w:rFonts w:eastAsia="Sans"/>
      <w:b/>
      <w:sz w:val="28"/>
    </w:rPr>
  </w:style>
  <w:style w:type="character" w:customStyle="1" w:styleId="afa">
    <w:name w:val="Наим. раздела Знак"/>
    <w:link w:val="af9"/>
    <w:rsid w:val="0025616A"/>
    <w:rPr>
      <w:rFonts w:ascii="Times New Roman" w:eastAsia="Sans" w:hAnsi="Times New Roman"/>
      <w:b/>
      <w:sz w:val="28"/>
    </w:rPr>
  </w:style>
  <w:style w:type="paragraph" w:customStyle="1" w:styleId="15">
    <w:name w:val="Название1"/>
    <w:aliases w:val="Заголовок мой"/>
    <w:basedOn w:val="a"/>
    <w:next w:val="a"/>
    <w:link w:val="afb"/>
    <w:qFormat/>
    <w:rsid w:val="00D226CD"/>
    <w:pPr>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15"/>
    <w:rsid w:val="00D226CD"/>
    <w:rPr>
      <w:rFonts w:ascii="Times New Roman" w:eastAsia="Times New Roman" w:hAnsi="Times New Roman" w:cs="Times New Roman"/>
      <w:spacing w:val="-10"/>
      <w:kern w:val="28"/>
      <w:sz w:val="28"/>
      <w:szCs w:val="56"/>
      <w:u w:val="single"/>
    </w:rPr>
  </w:style>
  <w:style w:type="character" w:customStyle="1" w:styleId="jrnl">
    <w:name w:val="jrnl"/>
    <w:basedOn w:val="a0"/>
    <w:rsid w:val="00553794"/>
  </w:style>
  <w:style w:type="character" w:customStyle="1" w:styleId="highlight1">
    <w:name w:val="highlight1"/>
    <w:basedOn w:val="a0"/>
    <w:rsid w:val="00127E46"/>
  </w:style>
  <w:style w:type="table" w:customStyle="1" w:styleId="16">
    <w:name w:val="Сетка таблицы1"/>
    <w:basedOn w:val="a1"/>
    <w:next w:val="ac"/>
    <w:uiPriority w:val="59"/>
    <w:rsid w:val="000A44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a0"/>
    <w:rsid w:val="00025CCB"/>
  </w:style>
  <w:style w:type="character" w:customStyle="1" w:styleId="ref-journal">
    <w:name w:val="ref-journal"/>
    <w:basedOn w:val="a0"/>
    <w:rsid w:val="00025CCB"/>
  </w:style>
  <w:style w:type="character" w:customStyle="1" w:styleId="ref-vol">
    <w:name w:val="ref-vol"/>
    <w:basedOn w:val="a0"/>
    <w:rsid w:val="00025CCB"/>
  </w:style>
  <w:style w:type="character" w:customStyle="1" w:styleId="nowrap">
    <w:name w:val="nowrap"/>
    <w:basedOn w:val="a0"/>
    <w:rsid w:val="00025CCB"/>
  </w:style>
  <w:style w:type="paragraph" w:styleId="afc">
    <w:name w:val="Revision"/>
    <w:hidden/>
    <w:uiPriority w:val="99"/>
    <w:semiHidden/>
    <w:rsid w:val="00D207E2"/>
    <w:rPr>
      <w:rFonts w:ascii="Times New Roman" w:hAnsi="Times New Roman"/>
      <w:sz w:val="24"/>
      <w:szCs w:val="22"/>
      <w:lang w:eastAsia="en-US"/>
    </w:rPr>
  </w:style>
  <w:style w:type="paragraph" w:styleId="afd">
    <w:name w:val="footnote text"/>
    <w:basedOn w:val="a"/>
    <w:link w:val="afe"/>
    <w:qFormat/>
    <w:rsid w:val="00DE62FF"/>
    <w:pPr>
      <w:spacing w:line="240" w:lineRule="auto"/>
      <w:jc w:val="left"/>
    </w:pPr>
    <w:rPr>
      <w:rFonts w:ascii="Calibri" w:hAnsi="Calibri"/>
      <w:sz w:val="20"/>
      <w:szCs w:val="20"/>
    </w:rPr>
  </w:style>
  <w:style w:type="character" w:customStyle="1" w:styleId="afe">
    <w:name w:val="Текст сноски Знак"/>
    <w:link w:val="afd"/>
    <w:rsid w:val="00DE62FF"/>
    <w:rPr>
      <w:lang w:eastAsia="en-US"/>
    </w:rPr>
  </w:style>
  <w:style w:type="character" w:styleId="aff">
    <w:name w:val="footnote reference"/>
    <w:rsid w:val="00DE62FF"/>
    <w:rPr>
      <w:rFonts w:cs="Times New Roman"/>
      <w:vertAlign w:val="superscript"/>
    </w:rPr>
  </w:style>
  <w:style w:type="paragraph" w:styleId="aff0">
    <w:name w:val="Title"/>
    <w:basedOn w:val="a"/>
    <w:next w:val="a"/>
    <w:link w:val="17"/>
    <w:qFormat/>
    <w:rsid w:val="00D4168D"/>
    <w:pPr>
      <w:spacing w:before="240" w:after="60"/>
      <w:jc w:val="center"/>
      <w:outlineLvl w:val="0"/>
    </w:pPr>
    <w:rPr>
      <w:rFonts w:ascii="Calibri Light" w:eastAsia="Times New Roman" w:hAnsi="Calibri Light"/>
      <w:b/>
      <w:bCs/>
      <w:kern w:val="28"/>
      <w:sz w:val="32"/>
      <w:szCs w:val="32"/>
    </w:rPr>
  </w:style>
  <w:style w:type="character" w:customStyle="1" w:styleId="17">
    <w:name w:val="Название Знак1"/>
    <w:link w:val="aff0"/>
    <w:rsid w:val="00D4168D"/>
    <w:rPr>
      <w:rFonts w:ascii="Calibri Light" w:eastAsia="Times New Roman" w:hAnsi="Calibri Light" w:cs="Times New Roman"/>
      <w:b/>
      <w:bCs/>
      <w:kern w:val="28"/>
      <w:sz w:val="32"/>
      <w:szCs w:val="32"/>
      <w:lang w:eastAsia="en-US"/>
    </w:rPr>
  </w:style>
  <w:style w:type="paragraph" w:customStyle="1" w:styleId="Default">
    <w:name w:val="Default"/>
    <w:rsid w:val="0030568B"/>
    <w:pPr>
      <w:autoSpaceDE w:val="0"/>
      <w:autoSpaceDN w:val="0"/>
      <w:adjustRightInd w:val="0"/>
    </w:pPr>
    <w:rPr>
      <w:rFonts w:ascii="Times New Roman" w:hAnsi="Times New Roman"/>
      <w:color w:val="000000"/>
      <w:sz w:val="24"/>
      <w:szCs w:val="24"/>
      <w:lang w:eastAsia="en-US"/>
    </w:rPr>
  </w:style>
  <w:style w:type="character" w:customStyle="1" w:styleId="aff1">
    <w:name w:val="Без интервала Знак"/>
    <w:uiPriority w:val="1"/>
    <w:rsid w:val="00953098"/>
    <w:rPr>
      <w:rFonts w:ascii="Times New Roman" w:hAnsi="Times New Roman" w:cs="Times New Roman"/>
      <w:sz w:val="24"/>
      <w:szCs w:val="24"/>
    </w:rPr>
  </w:style>
  <w:style w:type="character" w:customStyle="1" w:styleId="apple-converted-space">
    <w:name w:val="apple-converted-space"/>
    <w:basedOn w:val="a0"/>
    <w:rsid w:val="00953098"/>
  </w:style>
  <w:style w:type="paragraph" w:customStyle="1" w:styleId="aff2">
    <w:basedOn w:val="a"/>
    <w:next w:val="aff3"/>
    <w:link w:val="aff4"/>
    <w:uiPriority w:val="99"/>
    <w:unhideWhenUsed/>
    <w:qFormat/>
    <w:rsid w:val="00953098"/>
    <w:pPr>
      <w:ind w:firstLine="709"/>
    </w:pPr>
    <w:rPr>
      <w:rFonts w:eastAsia="Times New Roman"/>
      <w:szCs w:val="24"/>
      <w:lang w:eastAsia="ru-RU"/>
    </w:rPr>
  </w:style>
  <w:style w:type="paragraph" w:styleId="aff3">
    <w:name w:val="Normal (Web)"/>
    <w:basedOn w:val="a"/>
    <w:uiPriority w:val="99"/>
    <w:unhideWhenUsed/>
    <w:qFormat/>
    <w:rsid w:val="00953098"/>
    <w:rPr>
      <w:szCs w:val="24"/>
    </w:rPr>
  </w:style>
  <w:style w:type="character" w:customStyle="1" w:styleId="aff4">
    <w:name w:val="Обычный (веб) Знак"/>
    <w:link w:val="aff2"/>
    <w:rsid w:val="00953098"/>
    <w:rPr>
      <w:rFonts w:ascii="Times New Roman" w:eastAsia="Times New Roman" w:hAnsi="Times New Roman"/>
      <w:sz w:val="24"/>
      <w:szCs w:val="24"/>
    </w:rPr>
  </w:style>
  <w:style w:type="paragraph" w:customStyle="1" w:styleId="18">
    <w:name w:val="Заголовок оглавления1"/>
    <w:basedOn w:val="1"/>
    <w:rsid w:val="00FD2083"/>
    <w:pPr>
      <w:keepNext w:val="0"/>
      <w:keepLines w:val="0"/>
      <w:spacing w:before="240" w:after="120" w:line="276" w:lineRule="auto"/>
    </w:pPr>
    <w:rPr>
      <w:rFonts w:ascii="Times New Roman" w:hAnsi="Times New Roman" w:cs="Times New Roman"/>
      <w:color w:val="auto"/>
      <w:sz w:val="22"/>
      <w:szCs w:val="20"/>
    </w:rPr>
  </w:style>
  <w:style w:type="paragraph" w:customStyle="1" w:styleId="31">
    <w:name w:val="3"/>
    <w:basedOn w:val="a"/>
    <w:link w:val="32"/>
    <w:qFormat/>
    <w:rsid w:val="00555233"/>
    <w:pPr>
      <w:ind w:left="142"/>
      <w:contextualSpacing/>
    </w:pPr>
  </w:style>
  <w:style w:type="character" w:customStyle="1" w:styleId="32">
    <w:name w:val="3 Знак"/>
    <w:basedOn w:val="a0"/>
    <w:link w:val="31"/>
    <w:rsid w:val="00555233"/>
    <w:rPr>
      <w:rFonts w:ascii="Times New Roman" w:hAnsi="Times New Roman"/>
      <w:sz w:val="24"/>
      <w:szCs w:val="22"/>
      <w:lang w:eastAsia="en-US"/>
    </w:rPr>
  </w:style>
  <w:style w:type="character" w:styleId="aff5">
    <w:name w:val="endnote reference"/>
    <w:basedOn w:val="a0"/>
    <w:unhideWhenUsed/>
    <w:rsid w:val="000536CB"/>
    <w:rPr>
      <w:vertAlign w:val="superscript"/>
    </w:rPr>
  </w:style>
  <w:style w:type="character" w:customStyle="1" w:styleId="19">
    <w:name w:val="Абзац списка Знак1"/>
    <w:basedOn w:val="a0"/>
    <w:uiPriority w:val="34"/>
    <w:rsid w:val="00ED5B4B"/>
    <w:rPr>
      <w:rFonts w:ascii="Times New Roman" w:hAnsi="Times New Roman"/>
      <w:sz w:val="24"/>
    </w:rPr>
  </w:style>
  <w:style w:type="character" w:customStyle="1" w:styleId="al-author-delim">
    <w:name w:val="al-author-delim"/>
    <w:basedOn w:val="a0"/>
    <w:rsid w:val="00944271"/>
  </w:style>
  <w:style w:type="character" w:styleId="aff6">
    <w:name w:val="FollowedHyperlink"/>
    <w:basedOn w:val="a0"/>
    <w:uiPriority w:val="99"/>
    <w:unhideWhenUsed/>
    <w:rsid w:val="00D4525C"/>
    <w:rPr>
      <w:color w:val="954F72" w:themeColor="followedHyperlink"/>
      <w:u w:val="single"/>
    </w:rPr>
  </w:style>
  <w:style w:type="character" w:styleId="aff7">
    <w:name w:val="page number"/>
    <w:basedOn w:val="a0"/>
    <w:uiPriority w:val="99"/>
    <w:semiHidden/>
    <w:unhideWhenUsed/>
    <w:rsid w:val="006615EB"/>
  </w:style>
  <w:style w:type="paragraph" w:customStyle="1" w:styleId="Normal1">
    <w:name w:val="Normal 1"/>
    <w:rsid w:val="00E01784"/>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character" w:customStyle="1" w:styleId="sokr">
    <w:name w:val="sokr"/>
    <w:basedOn w:val="a0"/>
    <w:rsid w:val="00E01784"/>
  </w:style>
  <w:style w:type="paragraph" w:customStyle="1" w:styleId="opisdvfld">
    <w:name w:val="opis_dvfld"/>
    <w:basedOn w:val="a"/>
    <w:rsid w:val="00E22D32"/>
    <w:pPr>
      <w:spacing w:before="100" w:beforeAutospacing="1" w:after="100" w:afterAutospacing="1" w:line="240" w:lineRule="auto"/>
      <w:jc w:val="left"/>
    </w:pPr>
    <w:rPr>
      <w:rFonts w:eastAsia="Times New Roman"/>
      <w:szCs w:val="24"/>
      <w:lang w:eastAsia="ru-RU"/>
    </w:rPr>
  </w:style>
  <w:style w:type="character" w:customStyle="1" w:styleId="author-sup-separator">
    <w:name w:val="author-sup-separator"/>
    <w:rsid w:val="00E22D32"/>
  </w:style>
  <w:style w:type="character" w:customStyle="1" w:styleId="comma">
    <w:name w:val="comma"/>
    <w:rsid w:val="00E22D32"/>
  </w:style>
  <w:style w:type="character" w:customStyle="1" w:styleId="cit">
    <w:name w:val="cit"/>
    <w:rsid w:val="00E22D32"/>
  </w:style>
  <w:style w:type="character" w:customStyle="1" w:styleId="citation-doi">
    <w:name w:val="citation-doi"/>
    <w:rsid w:val="00E22D32"/>
  </w:style>
  <w:style w:type="character" w:customStyle="1" w:styleId="st">
    <w:name w:val="st"/>
    <w:rsid w:val="00E22D32"/>
  </w:style>
  <w:style w:type="character" w:customStyle="1" w:styleId="1a">
    <w:name w:val="Строгий1"/>
    <w:rsid w:val="00E22D32"/>
  </w:style>
  <w:style w:type="paragraph" w:customStyle="1" w:styleId="table-name">
    <w:name w:val="table-name"/>
    <w:basedOn w:val="a"/>
    <w:rsid w:val="00A36D51"/>
    <w:pPr>
      <w:shd w:val="clear" w:color="auto" w:fill="FFFFFF"/>
      <w:tabs>
        <w:tab w:val="left" w:pos="394"/>
      </w:tabs>
      <w:overflowPunct w:val="0"/>
      <w:autoSpaceDE w:val="0"/>
      <w:autoSpaceDN w:val="0"/>
      <w:adjustRightInd w:val="0"/>
      <w:spacing w:before="60" w:line="264" w:lineRule="auto"/>
      <w:ind w:left="10" w:firstLine="284"/>
      <w:jc w:val="left"/>
      <w:textAlignment w:val="baseline"/>
    </w:pPr>
    <w:rPr>
      <w:rFonts w:eastAsia="Times New Roman"/>
      <w:color w:val="000000"/>
      <w:spacing w:val="-5"/>
      <w:sz w:val="26"/>
      <w:szCs w:val="20"/>
      <w:lang w:val="en-US" w:eastAsia="ru-RU"/>
    </w:rPr>
  </w:style>
  <w:style w:type="paragraph" w:customStyle="1" w:styleId="table-head-left">
    <w:name w:val="table-head-left"/>
    <w:basedOn w:val="a"/>
    <w:rsid w:val="00A36D51"/>
    <w:pPr>
      <w:shd w:val="clear" w:color="auto" w:fill="FFFFFF"/>
      <w:tabs>
        <w:tab w:val="left" w:pos="394"/>
      </w:tabs>
      <w:overflowPunct w:val="0"/>
      <w:autoSpaceDE w:val="0"/>
      <w:autoSpaceDN w:val="0"/>
      <w:adjustRightInd w:val="0"/>
      <w:spacing w:before="40" w:after="40" w:line="264" w:lineRule="auto"/>
      <w:ind w:left="57" w:hanging="57"/>
      <w:textAlignment w:val="baseline"/>
    </w:pPr>
    <w:rPr>
      <w:rFonts w:eastAsia="Times New Roman"/>
      <w:b/>
      <w:color w:val="000000"/>
      <w:spacing w:val="-5"/>
      <w:szCs w:val="20"/>
      <w:lang w:eastAsia="ru-RU"/>
    </w:rPr>
  </w:style>
  <w:style w:type="paragraph" w:customStyle="1" w:styleId="table-text-0">
    <w:name w:val="table-text-0"/>
    <w:basedOn w:val="a"/>
    <w:rsid w:val="00A36D51"/>
    <w:pPr>
      <w:shd w:val="clear" w:color="auto" w:fill="FFFFFF"/>
      <w:tabs>
        <w:tab w:val="left" w:pos="394"/>
      </w:tabs>
      <w:overflowPunct w:val="0"/>
      <w:autoSpaceDE w:val="0"/>
      <w:autoSpaceDN w:val="0"/>
      <w:adjustRightInd w:val="0"/>
      <w:spacing w:before="40" w:after="40" w:line="264" w:lineRule="auto"/>
      <w:ind w:left="10" w:hanging="10"/>
      <w:jc w:val="left"/>
      <w:textAlignment w:val="baseline"/>
    </w:pPr>
    <w:rPr>
      <w:rFonts w:eastAsia="Times New Roman"/>
      <w:color w:val="000000"/>
      <w:spacing w:val="-5"/>
      <w:sz w:val="20"/>
      <w:szCs w:val="20"/>
      <w:lang w:eastAsia="ru-RU"/>
    </w:rPr>
  </w:style>
  <w:style w:type="paragraph" w:customStyle="1" w:styleId="table-ref">
    <w:name w:val="table-ref"/>
    <w:basedOn w:val="a"/>
    <w:rsid w:val="00A36D51"/>
    <w:pPr>
      <w:shd w:val="clear" w:color="auto" w:fill="FFFFFF"/>
      <w:tabs>
        <w:tab w:val="left" w:pos="394"/>
      </w:tabs>
      <w:overflowPunct w:val="0"/>
      <w:autoSpaceDE w:val="0"/>
      <w:autoSpaceDN w:val="0"/>
      <w:adjustRightInd w:val="0"/>
      <w:spacing w:before="40" w:after="40" w:line="264" w:lineRule="auto"/>
      <w:ind w:left="10" w:firstLine="284"/>
      <w:jc w:val="left"/>
      <w:textAlignment w:val="baseline"/>
    </w:pPr>
    <w:rPr>
      <w:rFonts w:eastAsia="Times New Roman"/>
      <w:color w:val="000000"/>
      <w:spacing w:val="-5"/>
      <w:sz w:val="18"/>
      <w:szCs w:val="20"/>
      <w:lang w:eastAsia="ru-RU"/>
    </w:rPr>
  </w:style>
  <w:style w:type="character" w:customStyle="1" w:styleId="40">
    <w:name w:val="Заголовок 4 Знак"/>
    <w:basedOn w:val="a0"/>
    <w:link w:val="4"/>
    <w:rsid w:val="00BE7F89"/>
    <w:rPr>
      <w:rFonts w:ascii="Arial" w:eastAsia="Times New Roman" w:hAnsi="Arial"/>
      <w:b/>
      <w:spacing w:val="10"/>
      <w:sz w:val="28"/>
      <w:shd w:val="clear" w:color="auto" w:fill="FFFFFF"/>
    </w:rPr>
  </w:style>
  <w:style w:type="character" w:customStyle="1" w:styleId="50">
    <w:name w:val="Заголовок 5 Знак"/>
    <w:basedOn w:val="a0"/>
    <w:link w:val="5"/>
    <w:rsid w:val="00BE7F89"/>
    <w:rPr>
      <w:rFonts w:ascii="Times New Roman" w:eastAsia="Times New Roman" w:hAnsi="Times New Roman"/>
      <w:b/>
      <w:color w:val="0000FF"/>
      <w:spacing w:val="10"/>
      <w:shd w:val="clear" w:color="auto" w:fill="FFFFFF"/>
      <w:lang w:val="en-US"/>
    </w:rPr>
  </w:style>
  <w:style w:type="character" w:customStyle="1" w:styleId="60">
    <w:name w:val="Заголовок 6 Знак"/>
    <w:basedOn w:val="a0"/>
    <w:link w:val="6"/>
    <w:rsid w:val="00BE7F89"/>
    <w:rPr>
      <w:rFonts w:ascii="Arial" w:eastAsia="Times New Roman" w:hAnsi="Arial"/>
      <w:b/>
    </w:rPr>
  </w:style>
  <w:style w:type="character" w:customStyle="1" w:styleId="70">
    <w:name w:val="Заголовок 7 Знак"/>
    <w:basedOn w:val="a0"/>
    <w:link w:val="7"/>
    <w:rsid w:val="00BE7F89"/>
    <w:rPr>
      <w:rFonts w:eastAsia="SimSun"/>
      <w:i/>
      <w:iCs/>
      <w:color w:val="404040"/>
    </w:rPr>
  </w:style>
  <w:style w:type="character" w:customStyle="1" w:styleId="80">
    <w:name w:val="Заголовок 8 Знак"/>
    <w:basedOn w:val="a0"/>
    <w:link w:val="8"/>
    <w:rsid w:val="00BE7F89"/>
    <w:rPr>
      <w:rFonts w:eastAsia="SimSun"/>
      <w:color w:val="6F6F74"/>
    </w:rPr>
  </w:style>
  <w:style w:type="character" w:customStyle="1" w:styleId="90">
    <w:name w:val="Заголовок 9 Знак"/>
    <w:basedOn w:val="a0"/>
    <w:link w:val="9"/>
    <w:rsid w:val="00BE7F89"/>
    <w:rPr>
      <w:rFonts w:eastAsia="SimSun"/>
      <w:i/>
      <w:iCs/>
      <w:color w:val="404040"/>
    </w:rPr>
  </w:style>
  <w:style w:type="paragraph" w:customStyle="1" w:styleId="Insert">
    <w:name w:val="Insert"/>
    <w:basedOn w:val="a"/>
    <w:autoRedefine/>
    <w:rsid w:val="00BE7F89"/>
    <w:pPr>
      <w:widowControl w:val="0"/>
      <w:overflowPunct w:val="0"/>
      <w:autoSpaceDE w:val="0"/>
      <w:autoSpaceDN w:val="0"/>
      <w:adjustRightInd w:val="0"/>
      <w:spacing w:line="264" w:lineRule="auto"/>
      <w:ind w:left="397" w:firstLine="425"/>
      <w:jc w:val="left"/>
      <w:textAlignment w:val="baseline"/>
    </w:pPr>
    <w:rPr>
      <w:rFonts w:eastAsia="Times New Roman"/>
      <w:color w:val="000000"/>
      <w:szCs w:val="20"/>
      <w:lang w:val="en-US" w:eastAsia="ru-RU"/>
    </w:rPr>
  </w:style>
  <w:style w:type="paragraph" w:customStyle="1" w:styleId="Number1">
    <w:name w:val="Number1"/>
    <w:basedOn w:val="a"/>
    <w:rsid w:val="00BE7F89"/>
    <w:pPr>
      <w:shd w:val="clear" w:color="auto" w:fill="FFFFFF"/>
      <w:tabs>
        <w:tab w:val="left" w:pos="394"/>
      </w:tabs>
      <w:overflowPunct w:val="0"/>
      <w:autoSpaceDE w:val="0"/>
      <w:autoSpaceDN w:val="0"/>
      <w:adjustRightInd w:val="0"/>
      <w:spacing w:before="5" w:line="264" w:lineRule="auto"/>
      <w:ind w:left="284" w:hanging="284"/>
      <w:jc w:val="left"/>
      <w:textAlignment w:val="baseline"/>
    </w:pPr>
    <w:rPr>
      <w:rFonts w:eastAsia="Times New Roman"/>
      <w:color w:val="000000"/>
      <w:spacing w:val="-1"/>
      <w:szCs w:val="20"/>
      <w:lang w:eastAsia="ru-RU"/>
    </w:rPr>
  </w:style>
  <w:style w:type="paragraph" w:customStyle="1" w:styleId="Number2">
    <w:name w:val="Number2"/>
    <w:basedOn w:val="Number1"/>
    <w:rsid w:val="00BE7F89"/>
    <w:pPr>
      <w:ind w:left="426" w:hanging="142"/>
    </w:pPr>
  </w:style>
  <w:style w:type="paragraph" w:customStyle="1" w:styleId="table-text-1">
    <w:name w:val="table-text-1"/>
    <w:basedOn w:val="a"/>
    <w:rsid w:val="00BE7F89"/>
    <w:pPr>
      <w:overflowPunct w:val="0"/>
      <w:autoSpaceDE w:val="0"/>
      <w:autoSpaceDN w:val="0"/>
      <w:adjustRightInd w:val="0"/>
      <w:spacing w:before="40" w:after="40" w:line="264" w:lineRule="auto"/>
      <w:ind w:left="340" w:hanging="170"/>
      <w:jc w:val="left"/>
      <w:textAlignment w:val="baseline"/>
    </w:pPr>
    <w:rPr>
      <w:rFonts w:eastAsia="Times New Roman"/>
      <w:color w:val="000000"/>
      <w:sz w:val="17"/>
      <w:szCs w:val="20"/>
      <w:lang w:eastAsia="ru-RU"/>
    </w:rPr>
  </w:style>
  <w:style w:type="paragraph" w:customStyle="1" w:styleId="Author">
    <w:name w:val="Author"/>
    <w:basedOn w:val="a"/>
    <w:rsid w:val="00BE7F89"/>
    <w:pPr>
      <w:overflowPunct w:val="0"/>
      <w:autoSpaceDE w:val="0"/>
      <w:autoSpaceDN w:val="0"/>
      <w:adjustRightInd w:val="0"/>
      <w:spacing w:line="264" w:lineRule="auto"/>
      <w:ind w:firstLine="284"/>
      <w:jc w:val="right"/>
      <w:textAlignment w:val="baseline"/>
    </w:pPr>
    <w:rPr>
      <w:rFonts w:eastAsia="Times New Roman"/>
      <w:b/>
      <w:szCs w:val="20"/>
      <w:lang w:eastAsia="ru-RU"/>
    </w:rPr>
  </w:style>
  <w:style w:type="paragraph" w:customStyle="1" w:styleId="Literature">
    <w:name w:val="Literature"/>
    <w:basedOn w:val="a"/>
    <w:rsid w:val="00BE7F89"/>
    <w:pPr>
      <w:shd w:val="clear" w:color="auto" w:fill="FFFFFF"/>
      <w:tabs>
        <w:tab w:val="left" w:pos="0"/>
        <w:tab w:val="left" w:pos="1068"/>
      </w:tabs>
      <w:overflowPunct w:val="0"/>
      <w:autoSpaceDE w:val="0"/>
      <w:autoSpaceDN w:val="0"/>
      <w:adjustRightInd w:val="0"/>
      <w:spacing w:before="5" w:line="264" w:lineRule="auto"/>
      <w:ind w:left="720" w:hanging="360"/>
      <w:jc w:val="left"/>
      <w:textAlignment w:val="baseline"/>
    </w:pPr>
    <w:rPr>
      <w:rFonts w:eastAsia="Times New Roman"/>
      <w:color w:val="000000"/>
      <w:spacing w:val="-1"/>
      <w:szCs w:val="20"/>
      <w:lang w:eastAsia="ru-RU"/>
    </w:rPr>
  </w:style>
  <w:style w:type="paragraph" w:customStyle="1" w:styleId="formula">
    <w:name w:val="formula"/>
    <w:basedOn w:val="a"/>
    <w:rsid w:val="00BE7F89"/>
    <w:pPr>
      <w:shd w:val="clear" w:color="auto" w:fill="FFFFFF"/>
      <w:tabs>
        <w:tab w:val="left" w:pos="394"/>
      </w:tabs>
      <w:overflowPunct w:val="0"/>
      <w:autoSpaceDE w:val="0"/>
      <w:autoSpaceDN w:val="0"/>
      <w:adjustRightInd w:val="0"/>
      <w:spacing w:before="60" w:after="60" w:line="264" w:lineRule="auto"/>
      <w:ind w:firstLine="227"/>
      <w:jc w:val="left"/>
      <w:textAlignment w:val="baseline"/>
    </w:pPr>
    <w:rPr>
      <w:rFonts w:eastAsia="Times New Roman"/>
      <w:sz w:val="20"/>
      <w:szCs w:val="20"/>
      <w:lang w:eastAsia="ru-RU"/>
    </w:rPr>
  </w:style>
  <w:style w:type="paragraph" w:customStyle="1" w:styleId="figure">
    <w:name w:val="figure"/>
    <w:basedOn w:val="a"/>
    <w:rsid w:val="00BE7F89"/>
    <w:pPr>
      <w:overflowPunct w:val="0"/>
      <w:autoSpaceDE w:val="0"/>
      <w:autoSpaceDN w:val="0"/>
      <w:adjustRightInd w:val="0"/>
      <w:spacing w:before="240" w:after="40" w:line="264" w:lineRule="auto"/>
      <w:ind w:firstLine="425"/>
      <w:jc w:val="left"/>
      <w:textAlignment w:val="baseline"/>
    </w:pPr>
    <w:rPr>
      <w:rFonts w:eastAsia="Times New Roman"/>
      <w:szCs w:val="20"/>
      <w:lang w:eastAsia="ru-RU"/>
    </w:rPr>
  </w:style>
  <w:style w:type="paragraph" w:customStyle="1" w:styleId="bullet">
    <w:name w:val="bullet"/>
    <w:basedOn w:val="a"/>
    <w:rsid w:val="00BE7F89"/>
    <w:pPr>
      <w:shd w:val="clear" w:color="auto" w:fill="FFFFFF"/>
      <w:tabs>
        <w:tab w:val="left" w:pos="360"/>
        <w:tab w:val="left" w:pos="394"/>
      </w:tabs>
      <w:overflowPunct w:val="0"/>
      <w:autoSpaceDE w:val="0"/>
      <w:autoSpaceDN w:val="0"/>
      <w:adjustRightInd w:val="0"/>
      <w:spacing w:line="264" w:lineRule="auto"/>
      <w:ind w:left="397" w:hanging="227"/>
      <w:jc w:val="left"/>
      <w:textAlignment w:val="baseline"/>
    </w:pPr>
    <w:rPr>
      <w:rFonts w:eastAsia="Times New Roman"/>
      <w:color w:val="000000"/>
      <w:spacing w:val="-7"/>
      <w:szCs w:val="20"/>
      <w:lang w:eastAsia="ru-RU"/>
    </w:rPr>
  </w:style>
  <w:style w:type="paragraph" w:customStyle="1" w:styleId="author-1">
    <w:name w:val="author-1"/>
    <w:basedOn w:val="Author"/>
    <w:rsid w:val="00BE7F89"/>
    <w:pPr>
      <w:keepNext/>
      <w:keepLines/>
      <w:overflowPunct/>
      <w:spacing w:before="60" w:after="120"/>
      <w:ind w:firstLine="425"/>
      <w:textAlignment w:val="auto"/>
    </w:pPr>
    <w:rPr>
      <w:i/>
      <w:iCs/>
      <w:noProof/>
      <w:color w:val="000000"/>
      <w:sz w:val="20"/>
      <w:lang w:val="en-US"/>
    </w:rPr>
  </w:style>
  <w:style w:type="paragraph" w:customStyle="1" w:styleId="Insert1">
    <w:name w:val="Insert 1"/>
    <w:basedOn w:val="Insert"/>
    <w:rsid w:val="00BE7F89"/>
    <w:pPr>
      <w:ind w:left="0"/>
    </w:pPr>
    <w:rPr>
      <w:sz w:val="20"/>
      <w:lang w:val="ru-RU"/>
    </w:rPr>
  </w:style>
  <w:style w:type="paragraph" w:customStyle="1" w:styleId="Bullit-2">
    <w:name w:val="Bullit-2"/>
    <w:basedOn w:val="a"/>
    <w:rsid w:val="00BE7F89"/>
    <w:pPr>
      <w:tabs>
        <w:tab w:val="left" w:pos="0"/>
        <w:tab w:val="left" w:pos="1160"/>
      </w:tabs>
      <w:autoSpaceDE w:val="0"/>
      <w:autoSpaceDN w:val="0"/>
      <w:adjustRightInd w:val="0"/>
      <w:spacing w:line="264" w:lineRule="auto"/>
      <w:ind w:left="754" w:hanging="357"/>
      <w:jc w:val="left"/>
    </w:pPr>
    <w:rPr>
      <w:rFonts w:eastAsia="MS Mincho"/>
      <w:color w:val="000000"/>
      <w:lang w:val="en-US" w:eastAsia="ja-JP"/>
    </w:rPr>
  </w:style>
  <w:style w:type="character" w:customStyle="1" w:styleId="extended-textshort">
    <w:name w:val="extended-text__short"/>
    <w:basedOn w:val="a0"/>
    <w:rsid w:val="00BE7F89"/>
  </w:style>
  <w:style w:type="paragraph" w:customStyle="1" w:styleId="Normalfirst">
    <w:name w:val="Normalfirst"/>
    <w:basedOn w:val="a"/>
    <w:rsid w:val="00BE7F89"/>
    <w:pPr>
      <w:autoSpaceDE w:val="0"/>
      <w:autoSpaceDN w:val="0"/>
      <w:adjustRightInd w:val="0"/>
      <w:spacing w:line="240" w:lineRule="auto"/>
      <w:jc w:val="left"/>
    </w:pPr>
    <w:rPr>
      <w:rFonts w:eastAsia="MS Mincho"/>
      <w:szCs w:val="24"/>
      <w:lang w:eastAsia="ja-JP"/>
    </w:rPr>
  </w:style>
  <w:style w:type="paragraph" w:customStyle="1" w:styleId="xl68">
    <w:name w:val="xl68"/>
    <w:basedOn w:val="a"/>
    <w:rsid w:val="00BE7F89"/>
    <w:pPr>
      <w:spacing w:before="100" w:beforeAutospacing="1" w:after="100" w:afterAutospacing="1" w:line="240" w:lineRule="auto"/>
      <w:jc w:val="left"/>
    </w:pPr>
    <w:rPr>
      <w:rFonts w:eastAsia="Times New Roman"/>
      <w:szCs w:val="24"/>
      <w:lang w:eastAsia="ru-RU"/>
    </w:rPr>
  </w:style>
  <w:style w:type="paragraph" w:customStyle="1" w:styleId="xl69">
    <w:name w:val="xl69"/>
    <w:basedOn w:val="a"/>
    <w:rsid w:val="00BE7F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0">
    <w:name w:val="xl70"/>
    <w:basedOn w:val="a"/>
    <w:rsid w:val="00BE7F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0"/>
      <w:szCs w:val="20"/>
      <w:lang w:eastAsia="ru-RU"/>
    </w:rPr>
  </w:style>
  <w:style w:type="paragraph" w:customStyle="1" w:styleId="xl71">
    <w:name w:val="xl71"/>
    <w:basedOn w:val="a"/>
    <w:rsid w:val="00BE7F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0"/>
      <w:szCs w:val="20"/>
      <w:lang w:eastAsia="ru-RU"/>
    </w:rPr>
  </w:style>
  <w:style w:type="paragraph" w:customStyle="1" w:styleId="msonormal0">
    <w:name w:val="msonormal"/>
    <w:basedOn w:val="a"/>
    <w:rsid w:val="00BE7F89"/>
    <w:pPr>
      <w:spacing w:before="100" w:beforeAutospacing="1" w:after="100" w:afterAutospacing="1" w:line="240" w:lineRule="auto"/>
      <w:jc w:val="left"/>
    </w:pPr>
    <w:rPr>
      <w:rFonts w:eastAsia="Times New Roman"/>
      <w:szCs w:val="24"/>
      <w:lang w:eastAsia="ru-RU"/>
    </w:rPr>
  </w:style>
  <w:style w:type="paragraph" w:customStyle="1" w:styleId="xl65">
    <w:name w:val="xl65"/>
    <w:basedOn w:val="a"/>
    <w:rsid w:val="00BE7F89"/>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w:eastAsia="Times New Roman" w:hAnsi="Arial" w:cs="Arial"/>
      <w:color w:val="000000"/>
      <w:sz w:val="20"/>
      <w:szCs w:val="20"/>
      <w:lang w:eastAsia="ru-RU"/>
    </w:rPr>
  </w:style>
  <w:style w:type="paragraph" w:customStyle="1" w:styleId="xl66">
    <w:name w:val="xl66"/>
    <w:basedOn w:val="a"/>
    <w:rsid w:val="00BE7F89"/>
    <w:pPr>
      <w:pBdr>
        <w:bottom w:val="single" w:sz="8" w:space="0" w:color="auto"/>
        <w:right w:val="single" w:sz="8" w:space="0" w:color="auto"/>
      </w:pBdr>
      <w:spacing w:before="100" w:beforeAutospacing="1" w:after="100" w:afterAutospacing="1" w:line="240" w:lineRule="auto"/>
      <w:jc w:val="left"/>
      <w:textAlignment w:val="center"/>
    </w:pPr>
    <w:rPr>
      <w:rFonts w:ascii="Arial" w:eastAsia="Times New Roman" w:hAnsi="Arial" w:cs="Arial"/>
      <w:color w:val="000000"/>
      <w:sz w:val="20"/>
      <w:szCs w:val="20"/>
      <w:lang w:eastAsia="ru-RU"/>
    </w:rPr>
  </w:style>
  <w:style w:type="paragraph" w:customStyle="1" w:styleId="xl67">
    <w:name w:val="xl67"/>
    <w:basedOn w:val="a"/>
    <w:rsid w:val="00BE7F8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ru-RU"/>
    </w:rPr>
  </w:style>
  <w:style w:type="paragraph" w:customStyle="1" w:styleId="aff8">
    <w:basedOn w:val="a"/>
    <w:next w:val="aff3"/>
    <w:uiPriority w:val="99"/>
    <w:unhideWhenUsed/>
    <w:rsid w:val="00BE7F89"/>
    <w:pPr>
      <w:spacing w:before="100" w:beforeAutospacing="1" w:after="100" w:afterAutospacing="1" w:line="240" w:lineRule="auto"/>
      <w:jc w:val="left"/>
    </w:pPr>
    <w:rPr>
      <w:rFonts w:eastAsia="Times New Roman"/>
      <w:szCs w:val="24"/>
      <w:lang w:eastAsia="ru-RU"/>
    </w:rPr>
  </w:style>
  <w:style w:type="paragraph" w:customStyle="1" w:styleId="Standard">
    <w:name w:val="Standard"/>
    <w:rsid w:val="00BE7F89"/>
    <w:pPr>
      <w:suppressAutoHyphens/>
      <w:autoSpaceDN w:val="0"/>
      <w:spacing w:line="264" w:lineRule="auto"/>
      <w:ind w:firstLine="425"/>
      <w:textAlignment w:val="baseline"/>
    </w:pPr>
    <w:rPr>
      <w:rFonts w:ascii="Times New Roman" w:eastAsia="Times New Roman" w:hAnsi="Times New Roman"/>
      <w:kern w:val="3"/>
      <w:sz w:val="24"/>
      <w:lang w:val="en-GB"/>
    </w:rPr>
  </w:style>
  <w:style w:type="character" w:customStyle="1" w:styleId="fontstyle01">
    <w:name w:val="fontstyle01"/>
    <w:rsid w:val="00BE7F89"/>
    <w:rPr>
      <w:rFonts w:ascii="TimesNewRomanPS-ItalicMT" w:hAnsi="TimesNewRomanPS-ItalicMT" w:hint="default"/>
      <w:b w:val="0"/>
      <w:bCs w:val="0"/>
      <w:i/>
      <w:iCs/>
      <w:color w:val="FFFFFF"/>
      <w:sz w:val="32"/>
      <w:szCs w:val="32"/>
    </w:rPr>
  </w:style>
  <w:style w:type="paragraph" w:styleId="33">
    <w:name w:val="toc 3"/>
    <w:basedOn w:val="a"/>
    <w:next w:val="a"/>
    <w:autoRedefine/>
    <w:uiPriority w:val="39"/>
    <w:rsid w:val="00BE7F89"/>
    <w:pPr>
      <w:overflowPunct w:val="0"/>
      <w:autoSpaceDE w:val="0"/>
      <w:autoSpaceDN w:val="0"/>
      <w:adjustRightInd w:val="0"/>
      <w:spacing w:line="264" w:lineRule="auto"/>
      <w:ind w:left="480" w:firstLine="425"/>
      <w:jc w:val="left"/>
      <w:textAlignment w:val="baseline"/>
    </w:pPr>
    <w:rPr>
      <w:rFonts w:eastAsia="Times New Roman"/>
      <w:szCs w:val="20"/>
      <w:lang w:val="en-GB" w:eastAsia="ru-RU"/>
    </w:rPr>
  </w:style>
  <w:style w:type="paragraph" w:styleId="41">
    <w:name w:val="toc 4"/>
    <w:basedOn w:val="a"/>
    <w:next w:val="a"/>
    <w:autoRedefine/>
    <w:uiPriority w:val="39"/>
    <w:unhideWhenUsed/>
    <w:rsid w:val="00BE7F89"/>
    <w:pPr>
      <w:spacing w:after="100" w:line="276" w:lineRule="auto"/>
      <w:ind w:left="660"/>
      <w:jc w:val="left"/>
    </w:pPr>
    <w:rPr>
      <w:rFonts w:ascii="Calibri" w:eastAsia="Times New Roman" w:hAnsi="Calibri"/>
      <w:sz w:val="22"/>
      <w:lang w:eastAsia="ru-RU"/>
    </w:rPr>
  </w:style>
  <w:style w:type="paragraph" w:styleId="51">
    <w:name w:val="toc 5"/>
    <w:basedOn w:val="a"/>
    <w:next w:val="a"/>
    <w:autoRedefine/>
    <w:uiPriority w:val="39"/>
    <w:unhideWhenUsed/>
    <w:rsid w:val="00BE7F89"/>
    <w:pPr>
      <w:spacing w:after="100" w:line="276" w:lineRule="auto"/>
      <w:ind w:left="880"/>
      <w:jc w:val="left"/>
    </w:pPr>
    <w:rPr>
      <w:rFonts w:ascii="Calibri" w:eastAsia="Times New Roman" w:hAnsi="Calibri"/>
      <w:sz w:val="22"/>
      <w:lang w:eastAsia="ru-RU"/>
    </w:rPr>
  </w:style>
  <w:style w:type="paragraph" w:styleId="61">
    <w:name w:val="toc 6"/>
    <w:basedOn w:val="a"/>
    <w:next w:val="a"/>
    <w:autoRedefine/>
    <w:uiPriority w:val="39"/>
    <w:unhideWhenUsed/>
    <w:rsid w:val="00BE7F89"/>
    <w:pPr>
      <w:spacing w:after="100" w:line="276" w:lineRule="auto"/>
      <w:ind w:left="1100"/>
      <w:jc w:val="left"/>
    </w:pPr>
    <w:rPr>
      <w:rFonts w:ascii="Calibri" w:eastAsia="Times New Roman" w:hAnsi="Calibri"/>
      <w:sz w:val="22"/>
      <w:lang w:eastAsia="ru-RU"/>
    </w:rPr>
  </w:style>
  <w:style w:type="paragraph" w:styleId="71">
    <w:name w:val="toc 7"/>
    <w:basedOn w:val="a"/>
    <w:next w:val="a"/>
    <w:autoRedefine/>
    <w:uiPriority w:val="39"/>
    <w:unhideWhenUsed/>
    <w:rsid w:val="00BE7F89"/>
    <w:pPr>
      <w:spacing w:after="100" w:line="276" w:lineRule="auto"/>
      <w:ind w:left="1320"/>
      <w:jc w:val="left"/>
    </w:pPr>
    <w:rPr>
      <w:rFonts w:ascii="Calibri" w:eastAsia="Times New Roman" w:hAnsi="Calibri"/>
      <w:sz w:val="22"/>
      <w:lang w:eastAsia="ru-RU"/>
    </w:rPr>
  </w:style>
  <w:style w:type="paragraph" w:styleId="81">
    <w:name w:val="toc 8"/>
    <w:basedOn w:val="a"/>
    <w:next w:val="a"/>
    <w:autoRedefine/>
    <w:uiPriority w:val="39"/>
    <w:unhideWhenUsed/>
    <w:rsid w:val="00BE7F89"/>
    <w:pPr>
      <w:spacing w:after="100" w:line="276" w:lineRule="auto"/>
      <w:ind w:left="1540"/>
      <w:jc w:val="left"/>
    </w:pPr>
    <w:rPr>
      <w:rFonts w:ascii="Calibri" w:eastAsia="Times New Roman" w:hAnsi="Calibri"/>
      <w:sz w:val="22"/>
      <w:lang w:eastAsia="ru-RU"/>
    </w:rPr>
  </w:style>
  <w:style w:type="paragraph" w:styleId="91">
    <w:name w:val="toc 9"/>
    <w:basedOn w:val="a"/>
    <w:next w:val="a"/>
    <w:autoRedefine/>
    <w:uiPriority w:val="39"/>
    <w:unhideWhenUsed/>
    <w:rsid w:val="00BE7F89"/>
    <w:pPr>
      <w:spacing w:after="100" w:line="276" w:lineRule="auto"/>
      <w:ind w:left="1760"/>
      <w:jc w:val="left"/>
    </w:pPr>
    <w:rPr>
      <w:rFonts w:ascii="Calibri" w:eastAsia="Times New Roman" w:hAnsi="Calibri"/>
      <w:sz w:val="22"/>
      <w:lang w:eastAsia="ru-RU"/>
    </w:rPr>
  </w:style>
  <w:style w:type="character" w:customStyle="1" w:styleId="UnresolvedMention">
    <w:name w:val="Unresolved Mention"/>
    <w:uiPriority w:val="99"/>
    <w:semiHidden/>
    <w:unhideWhenUsed/>
    <w:rsid w:val="00BE7F89"/>
    <w:rPr>
      <w:color w:val="605E5C"/>
      <w:shd w:val="clear" w:color="auto" w:fill="E1DFDD"/>
    </w:rPr>
  </w:style>
  <w:style w:type="paragraph" w:customStyle="1" w:styleId="ConsPlusNormal">
    <w:name w:val="ConsPlusNormal"/>
    <w:qFormat/>
    <w:rsid w:val="00BE7F89"/>
    <w:pPr>
      <w:widowControl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8369">
      <w:bodyDiv w:val="1"/>
      <w:marLeft w:val="0"/>
      <w:marRight w:val="0"/>
      <w:marTop w:val="0"/>
      <w:marBottom w:val="0"/>
      <w:divBdr>
        <w:top w:val="none" w:sz="0" w:space="0" w:color="auto"/>
        <w:left w:val="none" w:sz="0" w:space="0" w:color="auto"/>
        <w:bottom w:val="none" w:sz="0" w:space="0" w:color="auto"/>
        <w:right w:val="none" w:sz="0" w:space="0" w:color="auto"/>
      </w:divBdr>
    </w:div>
    <w:div w:id="84347295">
      <w:bodyDiv w:val="1"/>
      <w:marLeft w:val="0"/>
      <w:marRight w:val="0"/>
      <w:marTop w:val="0"/>
      <w:marBottom w:val="0"/>
      <w:divBdr>
        <w:top w:val="none" w:sz="0" w:space="0" w:color="auto"/>
        <w:left w:val="none" w:sz="0" w:space="0" w:color="auto"/>
        <w:bottom w:val="none" w:sz="0" w:space="0" w:color="auto"/>
        <w:right w:val="none" w:sz="0" w:space="0" w:color="auto"/>
      </w:divBdr>
    </w:div>
    <w:div w:id="164243731">
      <w:bodyDiv w:val="1"/>
      <w:marLeft w:val="0"/>
      <w:marRight w:val="0"/>
      <w:marTop w:val="0"/>
      <w:marBottom w:val="0"/>
      <w:divBdr>
        <w:top w:val="none" w:sz="0" w:space="0" w:color="auto"/>
        <w:left w:val="none" w:sz="0" w:space="0" w:color="auto"/>
        <w:bottom w:val="none" w:sz="0" w:space="0" w:color="auto"/>
        <w:right w:val="none" w:sz="0" w:space="0" w:color="auto"/>
      </w:divBdr>
    </w:div>
    <w:div w:id="347874348">
      <w:bodyDiv w:val="1"/>
      <w:marLeft w:val="0"/>
      <w:marRight w:val="0"/>
      <w:marTop w:val="0"/>
      <w:marBottom w:val="0"/>
      <w:divBdr>
        <w:top w:val="none" w:sz="0" w:space="0" w:color="auto"/>
        <w:left w:val="none" w:sz="0" w:space="0" w:color="auto"/>
        <w:bottom w:val="none" w:sz="0" w:space="0" w:color="auto"/>
        <w:right w:val="none" w:sz="0" w:space="0" w:color="auto"/>
      </w:divBdr>
    </w:div>
    <w:div w:id="524564487">
      <w:bodyDiv w:val="1"/>
      <w:marLeft w:val="0"/>
      <w:marRight w:val="0"/>
      <w:marTop w:val="0"/>
      <w:marBottom w:val="0"/>
      <w:divBdr>
        <w:top w:val="none" w:sz="0" w:space="0" w:color="auto"/>
        <w:left w:val="none" w:sz="0" w:space="0" w:color="auto"/>
        <w:bottom w:val="none" w:sz="0" w:space="0" w:color="auto"/>
        <w:right w:val="none" w:sz="0" w:space="0" w:color="auto"/>
      </w:divBdr>
      <w:divsChild>
        <w:div w:id="557084860">
          <w:marLeft w:val="360"/>
          <w:marRight w:val="0"/>
          <w:marTop w:val="240"/>
          <w:marBottom w:val="0"/>
          <w:divBdr>
            <w:top w:val="none" w:sz="0" w:space="0" w:color="auto"/>
            <w:left w:val="none" w:sz="0" w:space="0" w:color="auto"/>
            <w:bottom w:val="none" w:sz="0" w:space="0" w:color="auto"/>
            <w:right w:val="none" w:sz="0" w:space="0" w:color="auto"/>
          </w:divBdr>
        </w:div>
        <w:div w:id="13388364">
          <w:marLeft w:val="720"/>
          <w:marRight w:val="0"/>
          <w:marTop w:val="160"/>
          <w:marBottom w:val="0"/>
          <w:divBdr>
            <w:top w:val="none" w:sz="0" w:space="0" w:color="auto"/>
            <w:left w:val="none" w:sz="0" w:space="0" w:color="auto"/>
            <w:bottom w:val="none" w:sz="0" w:space="0" w:color="auto"/>
            <w:right w:val="none" w:sz="0" w:space="0" w:color="auto"/>
          </w:divBdr>
        </w:div>
        <w:div w:id="1336221858">
          <w:marLeft w:val="360"/>
          <w:marRight w:val="0"/>
          <w:marTop w:val="240"/>
          <w:marBottom w:val="0"/>
          <w:divBdr>
            <w:top w:val="none" w:sz="0" w:space="0" w:color="auto"/>
            <w:left w:val="none" w:sz="0" w:space="0" w:color="auto"/>
            <w:bottom w:val="none" w:sz="0" w:space="0" w:color="auto"/>
            <w:right w:val="none" w:sz="0" w:space="0" w:color="auto"/>
          </w:divBdr>
        </w:div>
        <w:div w:id="1724939216">
          <w:marLeft w:val="259"/>
          <w:marRight w:val="0"/>
          <w:marTop w:val="240"/>
          <w:marBottom w:val="0"/>
          <w:divBdr>
            <w:top w:val="none" w:sz="0" w:space="0" w:color="auto"/>
            <w:left w:val="none" w:sz="0" w:space="0" w:color="auto"/>
            <w:bottom w:val="none" w:sz="0" w:space="0" w:color="auto"/>
            <w:right w:val="none" w:sz="0" w:space="0" w:color="auto"/>
          </w:divBdr>
        </w:div>
        <w:div w:id="1387560391">
          <w:marLeft w:val="720"/>
          <w:marRight w:val="0"/>
          <w:marTop w:val="160"/>
          <w:marBottom w:val="0"/>
          <w:divBdr>
            <w:top w:val="none" w:sz="0" w:space="0" w:color="auto"/>
            <w:left w:val="none" w:sz="0" w:space="0" w:color="auto"/>
            <w:bottom w:val="none" w:sz="0" w:space="0" w:color="auto"/>
            <w:right w:val="none" w:sz="0" w:space="0" w:color="auto"/>
          </w:divBdr>
        </w:div>
        <w:div w:id="764309092">
          <w:marLeft w:val="720"/>
          <w:marRight w:val="0"/>
          <w:marTop w:val="160"/>
          <w:marBottom w:val="0"/>
          <w:divBdr>
            <w:top w:val="none" w:sz="0" w:space="0" w:color="auto"/>
            <w:left w:val="none" w:sz="0" w:space="0" w:color="auto"/>
            <w:bottom w:val="none" w:sz="0" w:space="0" w:color="auto"/>
            <w:right w:val="none" w:sz="0" w:space="0" w:color="auto"/>
          </w:divBdr>
        </w:div>
      </w:divsChild>
    </w:div>
    <w:div w:id="644972396">
      <w:bodyDiv w:val="1"/>
      <w:marLeft w:val="0"/>
      <w:marRight w:val="0"/>
      <w:marTop w:val="0"/>
      <w:marBottom w:val="0"/>
      <w:divBdr>
        <w:top w:val="none" w:sz="0" w:space="0" w:color="auto"/>
        <w:left w:val="none" w:sz="0" w:space="0" w:color="auto"/>
        <w:bottom w:val="none" w:sz="0" w:space="0" w:color="auto"/>
        <w:right w:val="none" w:sz="0" w:space="0" w:color="auto"/>
      </w:divBdr>
    </w:div>
    <w:div w:id="729423566">
      <w:bodyDiv w:val="1"/>
      <w:marLeft w:val="0"/>
      <w:marRight w:val="0"/>
      <w:marTop w:val="0"/>
      <w:marBottom w:val="0"/>
      <w:divBdr>
        <w:top w:val="none" w:sz="0" w:space="0" w:color="auto"/>
        <w:left w:val="none" w:sz="0" w:space="0" w:color="auto"/>
        <w:bottom w:val="none" w:sz="0" w:space="0" w:color="auto"/>
        <w:right w:val="none" w:sz="0" w:space="0" w:color="auto"/>
      </w:divBdr>
    </w:div>
    <w:div w:id="1241057316">
      <w:bodyDiv w:val="1"/>
      <w:marLeft w:val="0"/>
      <w:marRight w:val="0"/>
      <w:marTop w:val="0"/>
      <w:marBottom w:val="0"/>
      <w:divBdr>
        <w:top w:val="none" w:sz="0" w:space="0" w:color="auto"/>
        <w:left w:val="none" w:sz="0" w:space="0" w:color="auto"/>
        <w:bottom w:val="none" w:sz="0" w:space="0" w:color="auto"/>
        <w:right w:val="none" w:sz="0" w:space="0" w:color="auto"/>
      </w:divBdr>
    </w:div>
    <w:div w:id="1735855255">
      <w:bodyDiv w:val="1"/>
      <w:marLeft w:val="0"/>
      <w:marRight w:val="0"/>
      <w:marTop w:val="0"/>
      <w:marBottom w:val="0"/>
      <w:divBdr>
        <w:top w:val="none" w:sz="0" w:space="0" w:color="auto"/>
        <w:left w:val="none" w:sz="0" w:space="0" w:color="auto"/>
        <w:bottom w:val="none" w:sz="0" w:space="0" w:color="auto"/>
        <w:right w:val="none" w:sz="0" w:space="0" w:color="auto"/>
      </w:divBdr>
      <w:divsChild>
        <w:div w:id="325255621">
          <w:marLeft w:val="0"/>
          <w:marRight w:val="0"/>
          <w:marTop w:val="0"/>
          <w:marBottom w:val="0"/>
          <w:divBdr>
            <w:top w:val="none" w:sz="0" w:space="0" w:color="auto"/>
            <w:left w:val="none" w:sz="0" w:space="0" w:color="auto"/>
            <w:bottom w:val="none" w:sz="0" w:space="0" w:color="auto"/>
            <w:right w:val="none" w:sz="0" w:space="0" w:color="auto"/>
          </w:divBdr>
          <w:divsChild>
            <w:div w:id="540753618">
              <w:marLeft w:val="0"/>
              <w:marRight w:val="0"/>
              <w:marTop w:val="0"/>
              <w:marBottom w:val="0"/>
              <w:divBdr>
                <w:top w:val="none" w:sz="0" w:space="0" w:color="auto"/>
                <w:left w:val="none" w:sz="0" w:space="0" w:color="auto"/>
                <w:bottom w:val="none" w:sz="0" w:space="0" w:color="auto"/>
                <w:right w:val="none" w:sz="0" w:space="0" w:color="auto"/>
              </w:divBdr>
            </w:div>
            <w:div w:id="2266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9513">
      <w:bodyDiv w:val="1"/>
      <w:marLeft w:val="0"/>
      <w:marRight w:val="0"/>
      <w:marTop w:val="0"/>
      <w:marBottom w:val="0"/>
      <w:divBdr>
        <w:top w:val="none" w:sz="0" w:space="0" w:color="auto"/>
        <w:left w:val="none" w:sz="0" w:space="0" w:color="auto"/>
        <w:bottom w:val="none" w:sz="0" w:space="0" w:color="auto"/>
        <w:right w:val="none" w:sz="0" w:space="0" w:color="auto"/>
      </w:divBdr>
    </w:div>
    <w:div w:id="2021660190">
      <w:bodyDiv w:val="1"/>
      <w:marLeft w:val="0"/>
      <w:marRight w:val="0"/>
      <w:marTop w:val="0"/>
      <w:marBottom w:val="0"/>
      <w:divBdr>
        <w:top w:val="none" w:sz="0" w:space="0" w:color="auto"/>
        <w:left w:val="none" w:sz="0" w:space="0" w:color="auto"/>
        <w:bottom w:val="none" w:sz="0" w:space="0" w:color="auto"/>
        <w:right w:val="none" w:sz="0" w:space="0" w:color="auto"/>
      </w:divBdr>
    </w:div>
    <w:div w:id="2043439954">
      <w:bodyDiv w:val="1"/>
      <w:marLeft w:val="0"/>
      <w:marRight w:val="0"/>
      <w:marTop w:val="0"/>
      <w:marBottom w:val="0"/>
      <w:divBdr>
        <w:top w:val="none" w:sz="0" w:space="0" w:color="auto"/>
        <w:left w:val="none" w:sz="0" w:space="0" w:color="auto"/>
        <w:bottom w:val="none" w:sz="0" w:space="0" w:color="auto"/>
        <w:right w:val="none" w:sz="0" w:space="0" w:color="auto"/>
      </w:divBdr>
    </w:div>
    <w:div w:id="2097676779">
      <w:bodyDiv w:val="1"/>
      <w:marLeft w:val="0"/>
      <w:marRight w:val="0"/>
      <w:marTop w:val="0"/>
      <w:marBottom w:val="0"/>
      <w:divBdr>
        <w:top w:val="none" w:sz="0" w:space="0" w:color="auto"/>
        <w:left w:val="none" w:sz="0" w:space="0" w:color="auto"/>
        <w:bottom w:val="none" w:sz="0" w:space="0" w:color="auto"/>
        <w:right w:val="none" w:sz="0" w:space="0" w:color="auto"/>
      </w:divBdr>
      <w:divsChild>
        <w:div w:id="897939364">
          <w:marLeft w:val="0"/>
          <w:marRight w:val="0"/>
          <w:marTop w:val="166"/>
          <w:marBottom w:val="166"/>
          <w:divBdr>
            <w:top w:val="none" w:sz="0" w:space="0" w:color="auto"/>
            <w:left w:val="none" w:sz="0" w:space="0" w:color="auto"/>
            <w:bottom w:val="none" w:sz="0" w:space="0" w:color="auto"/>
            <w:right w:val="none" w:sz="0" w:space="0" w:color="auto"/>
          </w:divBdr>
        </w:div>
        <w:div w:id="1173295904">
          <w:marLeft w:val="0"/>
          <w:marRight w:val="0"/>
          <w:marTop w:val="166"/>
          <w:marBottom w:val="16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0E0F6-40DF-4778-9A63-549C8F3C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173997</Words>
  <Characters>991788</Characters>
  <Application>Microsoft Office Word</Application>
  <DocSecurity>0</DocSecurity>
  <Lines>8264</Lines>
  <Paragraphs>2326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1163459</CharactersWithSpaces>
  <SharedDoc>false</SharedDoc>
  <HLinks>
    <vt:vector size="246" baseType="variant">
      <vt:variant>
        <vt:i4>1245244</vt:i4>
      </vt:variant>
      <vt:variant>
        <vt:i4>242</vt:i4>
      </vt:variant>
      <vt:variant>
        <vt:i4>0</vt:i4>
      </vt:variant>
      <vt:variant>
        <vt:i4>5</vt:i4>
      </vt:variant>
      <vt:variant>
        <vt:lpwstr/>
      </vt:variant>
      <vt:variant>
        <vt:lpwstr>_Toc19629629</vt:lpwstr>
      </vt:variant>
      <vt:variant>
        <vt:i4>1179708</vt:i4>
      </vt:variant>
      <vt:variant>
        <vt:i4>236</vt:i4>
      </vt:variant>
      <vt:variant>
        <vt:i4>0</vt:i4>
      </vt:variant>
      <vt:variant>
        <vt:i4>5</vt:i4>
      </vt:variant>
      <vt:variant>
        <vt:lpwstr/>
      </vt:variant>
      <vt:variant>
        <vt:lpwstr>_Toc19629628</vt:lpwstr>
      </vt:variant>
      <vt:variant>
        <vt:i4>1900604</vt:i4>
      </vt:variant>
      <vt:variant>
        <vt:i4>230</vt:i4>
      </vt:variant>
      <vt:variant>
        <vt:i4>0</vt:i4>
      </vt:variant>
      <vt:variant>
        <vt:i4>5</vt:i4>
      </vt:variant>
      <vt:variant>
        <vt:lpwstr/>
      </vt:variant>
      <vt:variant>
        <vt:lpwstr>_Toc19629627</vt:lpwstr>
      </vt:variant>
      <vt:variant>
        <vt:i4>1835068</vt:i4>
      </vt:variant>
      <vt:variant>
        <vt:i4>224</vt:i4>
      </vt:variant>
      <vt:variant>
        <vt:i4>0</vt:i4>
      </vt:variant>
      <vt:variant>
        <vt:i4>5</vt:i4>
      </vt:variant>
      <vt:variant>
        <vt:lpwstr/>
      </vt:variant>
      <vt:variant>
        <vt:lpwstr>_Toc19629626</vt:lpwstr>
      </vt:variant>
      <vt:variant>
        <vt:i4>2031676</vt:i4>
      </vt:variant>
      <vt:variant>
        <vt:i4>218</vt:i4>
      </vt:variant>
      <vt:variant>
        <vt:i4>0</vt:i4>
      </vt:variant>
      <vt:variant>
        <vt:i4>5</vt:i4>
      </vt:variant>
      <vt:variant>
        <vt:lpwstr/>
      </vt:variant>
      <vt:variant>
        <vt:lpwstr>_Toc19629625</vt:lpwstr>
      </vt:variant>
      <vt:variant>
        <vt:i4>1966140</vt:i4>
      </vt:variant>
      <vt:variant>
        <vt:i4>212</vt:i4>
      </vt:variant>
      <vt:variant>
        <vt:i4>0</vt:i4>
      </vt:variant>
      <vt:variant>
        <vt:i4>5</vt:i4>
      </vt:variant>
      <vt:variant>
        <vt:lpwstr/>
      </vt:variant>
      <vt:variant>
        <vt:lpwstr>_Toc19629624</vt:lpwstr>
      </vt:variant>
      <vt:variant>
        <vt:i4>1638460</vt:i4>
      </vt:variant>
      <vt:variant>
        <vt:i4>206</vt:i4>
      </vt:variant>
      <vt:variant>
        <vt:i4>0</vt:i4>
      </vt:variant>
      <vt:variant>
        <vt:i4>5</vt:i4>
      </vt:variant>
      <vt:variant>
        <vt:lpwstr/>
      </vt:variant>
      <vt:variant>
        <vt:lpwstr>_Toc19629623</vt:lpwstr>
      </vt:variant>
      <vt:variant>
        <vt:i4>1572924</vt:i4>
      </vt:variant>
      <vt:variant>
        <vt:i4>200</vt:i4>
      </vt:variant>
      <vt:variant>
        <vt:i4>0</vt:i4>
      </vt:variant>
      <vt:variant>
        <vt:i4>5</vt:i4>
      </vt:variant>
      <vt:variant>
        <vt:lpwstr/>
      </vt:variant>
      <vt:variant>
        <vt:lpwstr>_Toc19629622</vt:lpwstr>
      </vt:variant>
      <vt:variant>
        <vt:i4>1769532</vt:i4>
      </vt:variant>
      <vt:variant>
        <vt:i4>194</vt:i4>
      </vt:variant>
      <vt:variant>
        <vt:i4>0</vt:i4>
      </vt:variant>
      <vt:variant>
        <vt:i4>5</vt:i4>
      </vt:variant>
      <vt:variant>
        <vt:lpwstr/>
      </vt:variant>
      <vt:variant>
        <vt:lpwstr>_Toc19629621</vt:lpwstr>
      </vt:variant>
      <vt:variant>
        <vt:i4>1703996</vt:i4>
      </vt:variant>
      <vt:variant>
        <vt:i4>188</vt:i4>
      </vt:variant>
      <vt:variant>
        <vt:i4>0</vt:i4>
      </vt:variant>
      <vt:variant>
        <vt:i4>5</vt:i4>
      </vt:variant>
      <vt:variant>
        <vt:lpwstr/>
      </vt:variant>
      <vt:variant>
        <vt:lpwstr>_Toc19629620</vt:lpwstr>
      </vt:variant>
      <vt:variant>
        <vt:i4>1245247</vt:i4>
      </vt:variant>
      <vt:variant>
        <vt:i4>182</vt:i4>
      </vt:variant>
      <vt:variant>
        <vt:i4>0</vt:i4>
      </vt:variant>
      <vt:variant>
        <vt:i4>5</vt:i4>
      </vt:variant>
      <vt:variant>
        <vt:lpwstr/>
      </vt:variant>
      <vt:variant>
        <vt:lpwstr>_Toc19629619</vt:lpwstr>
      </vt:variant>
      <vt:variant>
        <vt:i4>1179711</vt:i4>
      </vt:variant>
      <vt:variant>
        <vt:i4>176</vt:i4>
      </vt:variant>
      <vt:variant>
        <vt:i4>0</vt:i4>
      </vt:variant>
      <vt:variant>
        <vt:i4>5</vt:i4>
      </vt:variant>
      <vt:variant>
        <vt:lpwstr/>
      </vt:variant>
      <vt:variant>
        <vt:lpwstr>_Toc19629618</vt:lpwstr>
      </vt:variant>
      <vt:variant>
        <vt:i4>1900607</vt:i4>
      </vt:variant>
      <vt:variant>
        <vt:i4>170</vt:i4>
      </vt:variant>
      <vt:variant>
        <vt:i4>0</vt:i4>
      </vt:variant>
      <vt:variant>
        <vt:i4>5</vt:i4>
      </vt:variant>
      <vt:variant>
        <vt:lpwstr/>
      </vt:variant>
      <vt:variant>
        <vt:lpwstr>_Toc19629617</vt:lpwstr>
      </vt:variant>
      <vt:variant>
        <vt:i4>1835071</vt:i4>
      </vt:variant>
      <vt:variant>
        <vt:i4>164</vt:i4>
      </vt:variant>
      <vt:variant>
        <vt:i4>0</vt:i4>
      </vt:variant>
      <vt:variant>
        <vt:i4>5</vt:i4>
      </vt:variant>
      <vt:variant>
        <vt:lpwstr/>
      </vt:variant>
      <vt:variant>
        <vt:lpwstr>_Toc19629616</vt:lpwstr>
      </vt:variant>
      <vt:variant>
        <vt:i4>2031679</vt:i4>
      </vt:variant>
      <vt:variant>
        <vt:i4>158</vt:i4>
      </vt:variant>
      <vt:variant>
        <vt:i4>0</vt:i4>
      </vt:variant>
      <vt:variant>
        <vt:i4>5</vt:i4>
      </vt:variant>
      <vt:variant>
        <vt:lpwstr/>
      </vt:variant>
      <vt:variant>
        <vt:lpwstr>_Toc19629615</vt:lpwstr>
      </vt:variant>
      <vt:variant>
        <vt:i4>1966143</vt:i4>
      </vt:variant>
      <vt:variant>
        <vt:i4>152</vt:i4>
      </vt:variant>
      <vt:variant>
        <vt:i4>0</vt:i4>
      </vt:variant>
      <vt:variant>
        <vt:i4>5</vt:i4>
      </vt:variant>
      <vt:variant>
        <vt:lpwstr/>
      </vt:variant>
      <vt:variant>
        <vt:lpwstr>_Toc19629614</vt:lpwstr>
      </vt:variant>
      <vt:variant>
        <vt:i4>1638463</vt:i4>
      </vt:variant>
      <vt:variant>
        <vt:i4>146</vt:i4>
      </vt:variant>
      <vt:variant>
        <vt:i4>0</vt:i4>
      </vt:variant>
      <vt:variant>
        <vt:i4>5</vt:i4>
      </vt:variant>
      <vt:variant>
        <vt:lpwstr/>
      </vt:variant>
      <vt:variant>
        <vt:lpwstr>_Toc19629613</vt:lpwstr>
      </vt:variant>
      <vt:variant>
        <vt:i4>1572927</vt:i4>
      </vt:variant>
      <vt:variant>
        <vt:i4>140</vt:i4>
      </vt:variant>
      <vt:variant>
        <vt:i4>0</vt:i4>
      </vt:variant>
      <vt:variant>
        <vt:i4>5</vt:i4>
      </vt:variant>
      <vt:variant>
        <vt:lpwstr/>
      </vt:variant>
      <vt:variant>
        <vt:lpwstr>_Toc19629612</vt:lpwstr>
      </vt:variant>
      <vt:variant>
        <vt:i4>1769535</vt:i4>
      </vt:variant>
      <vt:variant>
        <vt:i4>134</vt:i4>
      </vt:variant>
      <vt:variant>
        <vt:i4>0</vt:i4>
      </vt:variant>
      <vt:variant>
        <vt:i4>5</vt:i4>
      </vt:variant>
      <vt:variant>
        <vt:lpwstr/>
      </vt:variant>
      <vt:variant>
        <vt:lpwstr>_Toc19629611</vt:lpwstr>
      </vt:variant>
      <vt:variant>
        <vt:i4>1703999</vt:i4>
      </vt:variant>
      <vt:variant>
        <vt:i4>128</vt:i4>
      </vt:variant>
      <vt:variant>
        <vt:i4>0</vt:i4>
      </vt:variant>
      <vt:variant>
        <vt:i4>5</vt:i4>
      </vt:variant>
      <vt:variant>
        <vt:lpwstr/>
      </vt:variant>
      <vt:variant>
        <vt:lpwstr>_Toc19629610</vt:lpwstr>
      </vt:variant>
      <vt:variant>
        <vt:i4>1245246</vt:i4>
      </vt:variant>
      <vt:variant>
        <vt:i4>122</vt:i4>
      </vt:variant>
      <vt:variant>
        <vt:i4>0</vt:i4>
      </vt:variant>
      <vt:variant>
        <vt:i4>5</vt:i4>
      </vt:variant>
      <vt:variant>
        <vt:lpwstr/>
      </vt:variant>
      <vt:variant>
        <vt:lpwstr>_Toc19629609</vt:lpwstr>
      </vt:variant>
      <vt:variant>
        <vt:i4>1179710</vt:i4>
      </vt:variant>
      <vt:variant>
        <vt:i4>116</vt:i4>
      </vt:variant>
      <vt:variant>
        <vt:i4>0</vt:i4>
      </vt:variant>
      <vt:variant>
        <vt:i4>5</vt:i4>
      </vt:variant>
      <vt:variant>
        <vt:lpwstr/>
      </vt:variant>
      <vt:variant>
        <vt:lpwstr>_Toc19629608</vt:lpwstr>
      </vt:variant>
      <vt:variant>
        <vt:i4>1900606</vt:i4>
      </vt:variant>
      <vt:variant>
        <vt:i4>110</vt:i4>
      </vt:variant>
      <vt:variant>
        <vt:i4>0</vt:i4>
      </vt:variant>
      <vt:variant>
        <vt:i4>5</vt:i4>
      </vt:variant>
      <vt:variant>
        <vt:lpwstr/>
      </vt:variant>
      <vt:variant>
        <vt:lpwstr>_Toc19629607</vt:lpwstr>
      </vt:variant>
      <vt:variant>
        <vt:i4>1835070</vt:i4>
      </vt:variant>
      <vt:variant>
        <vt:i4>104</vt:i4>
      </vt:variant>
      <vt:variant>
        <vt:i4>0</vt:i4>
      </vt:variant>
      <vt:variant>
        <vt:i4>5</vt:i4>
      </vt:variant>
      <vt:variant>
        <vt:lpwstr/>
      </vt:variant>
      <vt:variant>
        <vt:lpwstr>_Toc19629606</vt:lpwstr>
      </vt:variant>
      <vt:variant>
        <vt:i4>2031678</vt:i4>
      </vt:variant>
      <vt:variant>
        <vt:i4>98</vt:i4>
      </vt:variant>
      <vt:variant>
        <vt:i4>0</vt:i4>
      </vt:variant>
      <vt:variant>
        <vt:i4>5</vt:i4>
      </vt:variant>
      <vt:variant>
        <vt:lpwstr/>
      </vt:variant>
      <vt:variant>
        <vt:lpwstr>_Toc19629605</vt:lpwstr>
      </vt:variant>
      <vt:variant>
        <vt:i4>1966142</vt:i4>
      </vt:variant>
      <vt:variant>
        <vt:i4>92</vt:i4>
      </vt:variant>
      <vt:variant>
        <vt:i4>0</vt:i4>
      </vt:variant>
      <vt:variant>
        <vt:i4>5</vt:i4>
      </vt:variant>
      <vt:variant>
        <vt:lpwstr/>
      </vt:variant>
      <vt:variant>
        <vt:lpwstr>_Toc19629604</vt:lpwstr>
      </vt:variant>
      <vt:variant>
        <vt:i4>1638462</vt:i4>
      </vt:variant>
      <vt:variant>
        <vt:i4>86</vt:i4>
      </vt:variant>
      <vt:variant>
        <vt:i4>0</vt:i4>
      </vt:variant>
      <vt:variant>
        <vt:i4>5</vt:i4>
      </vt:variant>
      <vt:variant>
        <vt:lpwstr/>
      </vt:variant>
      <vt:variant>
        <vt:lpwstr>_Toc19629603</vt:lpwstr>
      </vt:variant>
      <vt:variant>
        <vt:i4>1572926</vt:i4>
      </vt:variant>
      <vt:variant>
        <vt:i4>80</vt:i4>
      </vt:variant>
      <vt:variant>
        <vt:i4>0</vt:i4>
      </vt:variant>
      <vt:variant>
        <vt:i4>5</vt:i4>
      </vt:variant>
      <vt:variant>
        <vt:lpwstr/>
      </vt:variant>
      <vt:variant>
        <vt:lpwstr>_Toc19629602</vt:lpwstr>
      </vt:variant>
      <vt:variant>
        <vt:i4>1769534</vt:i4>
      </vt:variant>
      <vt:variant>
        <vt:i4>74</vt:i4>
      </vt:variant>
      <vt:variant>
        <vt:i4>0</vt:i4>
      </vt:variant>
      <vt:variant>
        <vt:i4>5</vt:i4>
      </vt:variant>
      <vt:variant>
        <vt:lpwstr/>
      </vt:variant>
      <vt:variant>
        <vt:lpwstr>_Toc19629601</vt:lpwstr>
      </vt:variant>
      <vt:variant>
        <vt:i4>1703998</vt:i4>
      </vt:variant>
      <vt:variant>
        <vt:i4>68</vt:i4>
      </vt:variant>
      <vt:variant>
        <vt:i4>0</vt:i4>
      </vt:variant>
      <vt:variant>
        <vt:i4>5</vt:i4>
      </vt:variant>
      <vt:variant>
        <vt:lpwstr/>
      </vt:variant>
      <vt:variant>
        <vt:lpwstr>_Toc19629600</vt:lpwstr>
      </vt:variant>
      <vt:variant>
        <vt:i4>1048631</vt:i4>
      </vt:variant>
      <vt:variant>
        <vt:i4>62</vt:i4>
      </vt:variant>
      <vt:variant>
        <vt:i4>0</vt:i4>
      </vt:variant>
      <vt:variant>
        <vt:i4>5</vt:i4>
      </vt:variant>
      <vt:variant>
        <vt:lpwstr/>
      </vt:variant>
      <vt:variant>
        <vt:lpwstr>_Toc19629599</vt:lpwstr>
      </vt:variant>
      <vt:variant>
        <vt:i4>1114167</vt:i4>
      </vt:variant>
      <vt:variant>
        <vt:i4>56</vt:i4>
      </vt:variant>
      <vt:variant>
        <vt:i4>0</vt:i4>
      </vt:variant>
      <vt:variant>
        <vt:i4>5</vt:i4>
      </vt:variant>
      <vt:variant>
        <vt:lpwstr/>
      </vt:variant>
      <vt:variant>
        <vt:lpwstr>_Toc19629598</vt:lpwstr>
      </vt:variant>
      <vt:variant>
        <vt:i4>1966135</vt:i4>
      </vt:variant>
      <vt:variant>
        <vt:i4>50</vt:i4>
      </vt:variant>
      <vt:variant>
        <vt:i4>0</vt:i4>
      </vt:variant>
      <vt:variant>
        <vt:i4>5</vt:i4>
      </vt:variant>
      <vt:variant>
        <vt:lpwstr/>
      </vt:variant>
      <vt:variant>
        <vt:lpwstr>_Toc19629597</vt:lpwstr>
      </vt:variant>
      <vt:variant>
        <vt:i4>2031671</vt:i4>
      </vt:variant>
      <vt:variant>
        <vt:i4>44</vt:i4>
      </vt:variant>
      <vt:variant>
        <vt:i4>0</vt:i4>
      </vt:variant>
      <vt:variant>
        <vt:i4>5</vt:i4>
      </vt:variant>
      <vt:variant>
        <vt:lpwstr/>
      </vt:variant>
      <vt:variant>
        <vt:lpwstr>_Toc19629596</vt:lpwstr>
      </vt:variant>
      <vt:variant>
        <vt:i4>1835063</vt:i4>
      </vt:variant>
      <vt:variant>
        <vt:i4>38</vt:i4>
      </vt:variant>
      <vt:variant>
        <vt:i4>0</vt:i4>
      </vt:variant>
      <vt:variant>
        <vt:i4>5</vt:i4>
      </vt:variant>
      <vt:variant>
        <vt:lpwstr/>
      </vt:variant>
      <vt:variant>
        <vt:lpwstr>_Toc19629595</vt:lpwstr>
      </vt:variant>
      <vt:variant>
        <vt:i4>1900599</vt:i4>
      </vt:variant>
      <vt:variant>
        <vt:i4>32</vt:i4>
      </vt:variant>
      <vt:variant>
        <vt:i4>0</vt:i4>
      </vt:variant>
      <vt:variant>
        <vt:i4>5</vt:i4>
      </vt:variant>
      <vt:variant>
        <vt:lpwstr/>
      </vt:variant>
      <vt:variant>
        <vt:lpwstr>_Toc19629594</vt:lpwstr>
      </vt:variant>
      <vt:variant>
        <vt:i4>1703991</vt:i4>
      </vt:variant>
      <vt:variant>
        <vt:i4>26</vt:i4>
      </vt:variant>
      <vt:variant>
        <vt:i4>0</vt:i4>
      </vt:variant>
      <vt:variant>
        <vt:i4>5</vt:i4>
      </vt:variant>
      <vt:variant>
        <vt:lpwstr/>
      </vt:variant>
      <vt:variant>
        <vt:lpwstr>_Toc19629593</vt:lpwstr>
      </vt:variant>
      <vt:variant>
        <vt:i4>1769527</vt:i4>
      </vt:variant>
      <vt:variant>
        <vt:i4>20</vt:i4>
      </vt:variant>
      <vt:variant>
        <vt:i4>0</vt:i4>
      </vt:variant>
      <vt:variant>
        <vt:i4>5</vt:i4>
      </vt:variant>
      <vt:variant>
        <vt:lpwstr/>
      </vt:variant>
      <vt:variant>
        <vt:lpwstr>_Toc19629592</vt:lpwstr>
      </vt:variant>
      <vt:variant>
        <vt:i4>1572919</vt:i4>
      </vt:variant>
      <vt:variant>
        <vt:i4>14</vt:i4>
      </vt:variant>
      <vt:variant>
        <vt:i4>0</vt:i4>
      </vt:variant>
      <vt:variant>
        <vt:i4>5</vt:i4>
      </vt:variant>
      <vt:variant>
        <vt:lpwstr/>
      </vt:variant>
      <vt:variant>
        <vt:lpwstr>_Toc19629591</vt:lpwstr>
      </vt:variant>
      <vt:variant>
        <vt:i4>1638455</vt:i4>
      </vt:variant>
      <vt:variant>
        <vt:i4>8</vt:i4>
      </vt:variant>
      <vt:variant>
        <vt:i4>0</vt:i4>
      </vt:variant>
      <vt:variant>
        <vt:i4>5</vt:i4>
      </vt:variant>
      <vt:variant>
        <vt:lpwstr/>
      </vt:variant>
      <vt:variant>
        <vt:lpwstr>_Toc19629590</vt:lpwstr>
      </vt:variant>
      <vt:variant>
        <vt:i4>1048630</vt:i4>
      </vt:variant>
      <vt:variant>
        <vt:i4>2</vt:i4>
      </vt:variant>
      <vt:variant>
        <vt:i4>0</vt:i4>
      </vt:variant>
      <vt:variant>
        <vt:i4>5</vt:i4>
      </vt:variant>
      <vt:variant>
        <vt:lpwstr/>
      </vt:variant>
      <vt:variant>
        <vt:lpwstr>_Toc19629589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Аль-Ради Любовь Саттаровна</cp:lastModifiedBy>
  <cp:revision>2</cp:revision>
  <cp:lastPrinted>2019-09-20T07:23:00Z</cp:lastPrinted>
  <dcterms:created xsi:type="dcterms:W3CDTF">2021-02-25T06:50:00Z</dcterms:created>
  <dcterms:modified xsi:type="dcterms:W3CDTF">2021-02-25T06:50:00Z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http://csl.mendeley.com/styles/466348871/elsevier-vancouver</vt:lpwstr>
  </property>
  <property fmtid="{D5CDD505-2E9C-101B-9397-08002B2CF9AE}" pid="13" name="Mendeley Recent Style Name 5_1">
    <vt:lpwstr>Elsevier - Vancouver - Vitaly Latyshev</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