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0145B4" w:rsidP="00EE59C2">
      <w:pPr>
        <w:pStyle w:val="aff7"/>
      </w:pPr>
      <w:r>
        <w:rPr>
          <w:noProof/>
          <w:lang w:eastAsia="ru-RU"/>
        </w:rPr>
        <w:pict>
          <v:rect id="_x0000_s1026" style="position:absolute;left:0;text-align:left;margin-left:-64.8pt;margin-top:-38.7pt;width:551.25pt;height:665.25pt;z-index:-251643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fillcolor="white [3212]" stroked="f">
            <v:path arrowok="t"/>
            <v:textbox>
              <w:txbxContent>
                <w:p w:rsidR="0000099A" w:rsidRDefault="0000099A" w:rsidP="00F8226D">
                  <w:pPr>
                    <w:jc w:val="center"/>
                  </w:pPr>
                  <w:r>
                    <w:t>\9</w:t>
                  </w:r>
                </w:p>
              </w:txbxContent>
            </v:textbox>
          </v:rect>
        </w:pict>
      </w:r>
      <w:r>
        <w:rPr>
          <w:noProof/>
          <w:lang w:eastAsia="ru-RU"/>
        </w:rPr>
        <w:pict>
          <v:rect id="Прямоугольник 3" o:spid="_x0000_s1027" style="position:absolute;left:0;text-align:left;margin-left:-2.8pt;margin-top:-87.7pt;width:598.55pt;height:867.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" fillcolor="#0b595d" stroked="f" strokeweight="1pt">
            <v:fill opacity="6682f"/>
            <w10:wrap anchorx="page"/>
          </v:rect>
        </w:pict>
      </w:r>
    </w:p>
    <w:p w:rsidR="00EE59C2" w:rsidRDefault="00EE59C2" w:rsidP="00EE59C2">
      <w:pPr>
        <w:pStyle w:val="aff7"/>
      </w:pPr>
    </w:p>
    <w:tbl>
      <w:tblPr>
        <w:tblStyle w:val="aff8"/>
        <w:tblpPr w:leftFromText="180" w:rightFromText="180" w:vertAnchor="page" w:horzAnchor="margin" w:tblpY="2385"/>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5839"/>
      </w:tblGrid>
      <w:tr w:rsidR="00925360" w:rsidTr="00925360">
        <w:tc>
          <w:tcPr>
            <w:tcW w:w="9525" w:type="dxa"/>
            <w:gridSpan w:val="2"/>
          </w:tcPr>
          <w:p w:rsidR="00925360" w:rsidRDefault="00925360" w:rsidP="00925360">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925360" w:rsidTr="00925360">
        <w:trPr>
          <w:trHeight w:val="1907"/>
        </w:trPr>
        <w:tc>
          <w:tcPr>
            <w:tcW w:w="9525" w:type="dxa"/>
            <w:gridSpan w:val="2"/>
          </w:tcPr>
          <w:p w:rsidR="00925360" w:rsidRDefault="00925360" w:rsidP="00925360">
            <w:pPr>
              <w:tabs>
                <w:tab w:val="left" w:pos="6135"/>
              </w:tabs>
              <w:ind w:left="742" w:hanging="33"/>
              <w:jc w:val="left"/>
              <w:rPr>
                <w:sz w:val="28"/>
                <w:szCs w:val="28"/>
              </w:rPr>
            </w:pPr>
            <w:r w:rsidRPr="003A1CDB">
              <w:rPr>
                <w:b/>
                <w:color w:val="000000"/>
                <w:sz w:val="44"/>
                <w:szCs w:val="44"/>
              </w:rPr>
              <w:t>Анеми</w:t>
            </w:r>
            <w:r>
              <w:rPr>
                <w:b/>
                <w:color w:val="000000"/>
                <w:sz w:val="44"/>
                <w:szCs w:val="44"/>
              </w:rPr>
              <w:t>я</w:t>
            </w:r>
            <w:r w:rsidRPr="003A1CDB">
              <w:rPr>
                <w:b/>
                <w:color w:val="000000"/>
                <w:sz w:val="44"/>
                <w:szCs w:val="44"/>
              </w:rPr>
              <w:t xml:space="preserve"> при злокачественныхновообразованиях</w:t>
            </w:r>
          </w:p>
        </w:tc>
      </w:tr>
      <w:tr w:rsidR="00925360" w:rsidTr="00925360">
        <w:trPr>
          <w:trHeight w:val="815"/>
        </w:trPr>
        <w:tc>
          <w:tcPr>
            <w:tcW w:w="3686" w:type="dxa"/>
          </w:tcPr>
          <w:p w:rsidR="00925360" w:rsidRPr="002758A4" w:rsidRDefault="00925360" w:rsidP="00925360">
            <w:pPr>
              <w:tabs>
                <w:tab w:val="left" w:pos="6135"/>
              </w:tabs>
              <w:spacing w:line="276" w:lineRule="auto"/>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rsidR="00925360" w:rsidRPr="002758A4" w:rsidRDefault="00925360" w:rsidP="00925360">
            <w:pPr>
              <w:pStyle w:val="aff3"/>
              <w:spacing w:line="276" w:lineRule="auto"/>
              <w:ind w:firstLine="0"/>
              <w:jc w:val="right"/>
              <w:rPr>
                <w:sz w:val="24"/>
                <w:szCs w:val="28"/>
              </w:rPr>
            </w:pPr>
          </w:p>
        </w:tc>
        <w:tc>
          <w:tcPr>
            <w:tcW w:w="5839" w:type="dxa"/>
          </w:tcPr>
          <w:p w:rsidR="00925360" w:rsidRPr="002758A4" w:rsidRDefault="00925360" w:rsidP="00925360">
            <w:pPr>
              <w:tabs>
                <w:tab w:val="left" w:pos="6135"/>
              </w:tabs>
              <w:spacing w:line="276" w:lineRule="auto"/>
              <w:ind w:firstLine="0"/>
              <w:jc w:val="left"/>
              <w:rPr>
                <w:szCs w:val="28"/>
              </w:rPr>
            </w:pPr>
            <w:r w:rsidRPr="003A1CDB">
              <w:rPr>
                <w:szCs w:val="28"/>
              </w:rPr>
              <w:t>D63.0</w:t>
            </w:r>
          </w:p>
        </w:tc>
      </w:tr>
      <w:tr w:rsidR="00925360" w:rsidTr="00925360">
        <w:trPr>
          <w:trHeight w:val="815"/>
        </w:trPr>
        <w:tc>
          <w:tcPr>
            <w:tcW w:w="3686" w:type="dxa"/>
          </w:tcPr>
          <w:p w:rsidR="00925360" w:rsidRPr="00221384" w:rsidRDefault="00925360" w:rsidP="00925360">
            <w:pPr>
              <w:tabs>
                <w:tab w:val="left" w:pos="6135"/>
              </w:tabs>
              <w:spacing w:line="276" w:lineRule="auto"/>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p>
        </w:tc>
        <w:tc>
          <w:tcPr>
            <w:tcW w:w="5839" w:type="dxa"/>
            <w:shd w:val="clear" w:color="auto" w:fill="auto"/>
          </w:tcPr>
          <w:p w:rsidR="00925360" w:rsidRPr="00221384" w:rsidRDefault="00925360" w:rsidP="00925360">
            <w:pPr>
              <w:tabs>
                <w:tab w:val="left" w:pos="6135"/>
              </w:tabs>
              <w:spacing w:line="276" w:lineRule="auto"/>
              <w:ind w:firstLine="0"/>
              <w:jc w:val="left"/>
              <w:rPr>
                <w:color w:val="808080" w:themeColor="background1" w:themeShade="80"/>
                <w:szCs w:val="28"/>
              </w:rPr>
            </w:pPr>
            <w:r>
              <w:rPr>
                <w:color w:val="000000" w:themeColor="text1"/>
                <w:szCs w:val="28"/>
              </w:rPr>
              <w:t>Взрослые/д</w:t>
            </w:r>
            <w:r w:rsidRPr="00161C62">
              <w:rPr>
                <w:color w:val="000000" w:themeColor="text1"/>
                <w:szCs w:val="28"/>
              </w:rPr>
              <w:t>ети</w:t>
            </w:r>
          </w:p>
        </w:tc>
      </w:tr>
      <w:tr w:rsidR="00925360" w:rsidTr="00925360">
        <w:trPr>
          <w:trHeight w:val="815"/>
        </w:trPr>
        <w:tc>
          <w:tcPr>
            <w:tcW w:w="3686" w:type="dxa"/>
          </w:tcPr>
          <w:p w:rsidR="00925360" w:rsidRPr="00221384" w:rsidRDefault="00925360" w:rsidP="00925360">
            <w:pPr>
              <w:tabs>
                <w:tab w:val="left" w:pos="6135"/>
              </w:tabs>
              <w:spacing w:line="276" w:lineRule="auto"/>
              <w:ind w:firstLine="0"/>
              <w:jc w:val="right"/>
              <w:rPr>
                <w:color w:val="808080" w:themeColor="background1" w:themeShade="80"/>
                <w:szCs w:val="28"/>
              </w:rPr>
            </w:pPr>
            <w:r>
              <w:rPr>
                <w:color w:val="808080" w:themeColor="background1" w:themeShade="80"/>
              </w:rPr>
              <w:t>Год утверждения:</w:t>
            </w:r>
          </w:p>
        </w:tc>
        <w:tc>
          <w:tcPr>
            <w:tcW w:w="5839" w:type="dxa"/>
          </w:tcPr>
          <w:p w:rsidR="00925360" w:rsidRPr="00221384" w:rsidRDefault="00925360" w:rsidP="00925360">
            <w:pPr>
              <w:tabs>
                <w:tab w:val="left" w:pos="6135"/>
              </w:tabs>
              <w:spacing w:line="276" w:lineRule="auto"/>
              <w:ind w:firstLine="0"/>
              <w:jc w:val="left"/>
              <w:rPr>
                <w:b/>
              </w:rPr>
            </w:pPr>
          </w:p>
        </w:tc>
      </w:tr>
      <w:tr w:rsidR="00925360" w:rsidTr="00925360">
        <w:tc>
          <w:tcPr>
            <w:tcW w:w="9525" w:type="dxa"/>
            <w:gridSpan w:val="2"/>
          </w:tcPr>
          <w:p w:rsidR="00925360" w:rsidRPr="002758A4" w:rsidRDefault="00925360" w:rsidP="00925360">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p>
        </w:tc>
      </w:tr>
      <w:tr w:rsidR="00925360" w:rsidTr="00925360">
        <w:trPr>
          <w:trHeight w:val="4170"/>
        </w:trPr>
        <w:tc>
          <w:tcPr>
            <w:tcW w:w="9525" w:type="dxa"/>
            <w:gridSpan w:val="2"/>
          </w:tcPr>
          <w:p w:rsidR="00925360" w:rsidRPr="001E3E62" w:rsidRDefault="00925360" w:rsidP="00925360">
            <w:pPr>
              <w:pStyle w:val="aff7"/>
              <w:numPr>
                <w:ilvl w:val="0"/>
                <w:numId w:val="2"/>
              </w:numPr>
              <w:rPr>
                <w:b/>
                <w:sz w:val="28"/>
              </w:rPr>
            </w:pPr>
            <w:r>
              <w:t>Национальное общество детских гематологов и онкологов</w:t>
            </w:r>
          </w:p>
          <w:p w:rsidR="00925360" w:rsidRPr="001E3E62" w:rsidRDefault="00925360" w:rsidP="00925360">
            <w:pPr>
              <w:pStyle w:val="aff7"/>
              <w:numPr>
                <w:ilvl w:val="0"/>
                <w:numId w:val="2"/>
              </w:numPr>
            </w:pPr>
            <w:r w:rsidRPr="001E3E62">
              <w:t>Национальное гематологическое общество</w:t>
            </w:r>
          </w:p>
          <w:p w:rsidR="00925360" w:rsidRPr="00EE59C2" w:rsidRDefault="00925360" w:rsidP="00925360">
            <w:pPr>
              <w:pStyle w:val="aff7"/>
              <w:rPr>
                <w:b/>
                <w:sz w:val="28"/>
              </w:rPr>
            </w:pPr>
          </w:p>
          <w:p w:rsidR="00925360" w:rsidRPr="005F668D" w:rsidRDefault="00925360" w:rsidP="00925360">
            <w:pPr>
              <w:pStyle w:val="aff7"/>
              <w:ind w:firstLine="0"/>
              <w:rPr>
                <w:b/>
                <w:sz w:val="28"/>
              </w:rPr>
            </w:pPr>
          </w:p>
        </w:tc>
      </w:tr>
    </w:tbl>
    <w:p w:rsidR="002145F1" w:rsidRDefault="002145F1" w:rsidP="002145F1"/>
    <w:p w:rsidR="002145F1" w:rsidRDefault="002145F1" w:rsidP="002145F1"/>
    <w:p w:rsidR="002145F1" w:rsidRDefault="002145F1" w:rsidP="002145F1"/>
    <w:p w:rsidR="002145F1" w:rsidRDefault="002145F1" w:rsidP="002145F1"/>
    <w:bookmarkStart w:id="0"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rsidR="00094ED6" w:rsidRDefault="00094ED6" w:rsidP="00172112">
          <w:pPr>
            <w:pStyle w:val="afe"/>
            <w:jc w:val="center"/>
            <w:rPr>
              <w:rFonts w:cstheme="minorBidi"/>
              <w:b w:val="0"/>
              <w:szCs w:val="22"/>
              <w:u w:val="none"/>
            </w:rPr>
          </w:pPr>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57983671"/>
          <w:r w:rsidRPr="00172112">
            <w:rPr>
              <w:sz w:val="28"/>
              <w:u w:val="none"/>
            </w:rPr>
            <w:lastRenderedPageBreak/>
            <w:t>Оглавление</w:t>
          </w:r>
          <w:bookmarkEnd w:id="0"/>
          <w:bookmarkEnd w:id="1"/>
        </w:p>
        <w:p w:rsidR="0000099A" w:rsidRDefault="000145B4">
          <w:pPr>
            <w:pStyle w:val="15"/>
            <w:rPr>
              <w:rFonts w:asciiTheme="minorHAnsi" w:eastAsiaTheme="minorEastAsia" w:hAnsiTheme="minorHAnsi"/>
              <w:noProof/>
              <w:sz w:val="22"/>
              <w:lang w:eastAsia="ru-RU"/>
            </w:rPr>
          </w:pPr>
          <w:r w:rsidRPr="000145B4">
            <w:rPr>
              <w:rFonts w:cs="Times New Roman"/>
              <w:szCs w:val="24"/>
            </w:rPr>
            <w:fldChar w:fldCharType="begin"/>
          </w:r>
          <w:r w:rsidR="00172112" w:rsidRPr="00877EF5">
            <w:rPr>
              <w:rFonts w:cs="Times New Roman"/>
              <w:szCs w:val="24"/>
            </w:rPr>
            <w:instrText xml:space="preserve"> TOC \o "1-3" \h \z \u </w:instrText>
          </w:r>
          <w:r w:rsidRPr="000145B4">
            <w:rPr>
              <w:rFonts w:cs="Times New Roman"/>
              <w:szCs w:val="24"/>
            </w:rPr>
            <w:fldChar w:fldCharType="separate"/>
          </w:r>
          <w:hyperlink w:anchor="_Toc57983671" w:history="1">
            <w:r w:rsidR="0000099A" w:rsidRPr="007634A0">
              <w:rPr>
                <w:rStyle w:val="affc"/>
                <w:noProof/>
              </w:rPr>
              <w:t>Оглавление</w:t>
            </w:r>
            <w:r w:rsidR="0000099A">
              <w:rPr>
                <w:noProof/>
                <w:webHidden/>
              </w:rPr>
              <w:tab/>
            </w:r>
            <w:r>
              <w:rPr>
                <w:noProof/>
                <w:webHidden/>
              </w:rPr>
              <w:fldChar w:fldCharType="begin"/>
            </w:r>
            <w:r w:rsidR="0000099A">
              <w:rPr>
                <w:noProof/>
                <w:webHidden/>
              </w:rPr>
              <w:instrText xml:space="preserve"> PAGEREF _Toc57983671 \h </w:instrText>
            </w:r>
            <w:r>
              <w:rPr>
                <w:noProof/>
                <w:webHidden/>
              </w:rPr>
            </w:r>
            <w:r>
              <w:rPr>
                <w:noProof/>
                <w:webHidden/>
              </w:rPr>
              <w:fldChar w:fldCharType="separate"/>
            </w:r>
            <w:r w:rsidR="0000099A">
              <w:rPr>
                <w:noProof/>
                <w:webHidden/>
              </w:rPr>
              <w:t>2</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72" w:history="1">
            <w:r w:rsidR="0000099A" w:rsidRPr="007634A0">
              <w:rPr>
                <w:rStyle w:val="affc"/>
                <w:noProof/>
              </w:rPr>
              <w:t>Список сокращений</w:t>
            </w:r>
            <w:r w:rsidR="0000099A">
              <w:rPr>
                <w:noProof/>
                <w:webHidden/>
              </w:rPr>
              <w:tab/>
            </w:r>
            <w:r>
              <w:rPr>
                <w:noProof/>
                <w:webHidden/>
              </w:rPr>
              <w:fldChar w:fldCharType="begin"/>
            </w:r>
            <w:r w:rsidR="0000099A">
              <w:rPr>
                <w:noProof/>
                <w:webHidden/>
              </w:rPr>
              <w:instrText xml:space="preserve"> PAGEREF _Toc57983672 \h </w:instrText>
            </w:r>
            <w:r>
              <w:rPr>
                <w:noProof/>
                <w:webHidden/>
              </w:rPr>
            </w:r>
            <w:r>
              <w:rPr>
                <w:noProof/>
                <w:webHidden/>
              </w:rPr>
              <w:fldChar w:fldCharType="separate"/>
            </w:r>
            <w:r w:rsidR="0000099A">
              <w:rPr>
                <w:noProof/>
                <w:webHidden/>
              </w:rPr>
              <w:t>4</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73" w:history="1">
            <w:r w:rsidR="0000099A" w:rsidRPr="007634A0">
              <w:rPr>
                <w:rStyle w:val="affc"/>
                <w:noProof/>
              </w:rPr>
              <w:t>Термины и определения</w:t>
            </w:r>
            <w:r w:rsidR="0000099A">
              <w:rPr>
                <w:noProof/>
                <w:webHidden/>
              </w:rPr>
              <w:tab/>
            </w:r>
            <w:r>
              <w:rPr>
                <w:noProof/>
                <w:webHidden/>
              </w:rPr>
              <w:fldChar w:fldCharType="begin"/>
            </w:r>
            <w:r w:rsidR="0000099A">
              <w:rPr>
                <w:noProof/>
                <w:webHidden/>
              </w:rPr>
              <w:instrText xml:space="preserve"> PAGEREF _Toc57983673 \h </w:instrText>
            </w:r>
            <w:r>
              <w:rPr>
                <w:noProof/>
                <w:webHidden/>
              </w:rPr>
            </w:r>
            <w:r>
              <w:rPr>
                <w:noProof/>
                <w:webHidden/>
              </w:rPr>
              <w:fldChar w:fldCharType="separate"/>
            </w:r>
            <w:r w:rsidR="0000099A">
              <w:rPr>
                <w:noProof/>
                <w:webHidden/>
              </w:rPr>
              <w:t>5</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74" w:history="1">
            <w:r w:rsidR="0000099A" w:rsidRPr="007634A0">
              <w:rPr>
                <w:rStyle w:val="affc"/>
                <w:noProof/>
              </w:rPr>
              <w:t>1. Краткая информация по заболеванию или состоянию (группе заболеваний или состояний)</w:t>
            </w:r>
            <w:r w:rsidR="0000099A">
              <w:rPr>
                <w:noProof/>
                <w:webHidden/>
              </w:rPr>
              <w:tab/>
            </w:r>
            <w:r>
              <w:rPr>
                <w:noProof/>
                <w:webHidden/>
              </w:rPr>
              <w:fldChar w:fldCharType="begin"/>
            </w:r>
            <w:r w:rsidR="0000099A">
              <w:rPr>
                <w:noProof/>
                <w:webHidden/>
              </w:rPr>
              <w:instrText xml:space="preserve"> PAGEREF _Toc57983674 \h </w:instrText>
            </w:r>
            <w:r>
              <w:rPr>
                <w:noProof/>
                <w:webHidden/>
              </w:rPr>
            </w:r>
            <w:r>
              <w:rPr>
                <w:noProof/>
                <w:webHidden/>
              </w:rPr>
              <w:fldChar w:fldCharType="separate"/>
            </w:r>
            <w:r w:rsidR="0000099A">
              <w:rPr>
                <w:noProof/>
                <w:webHidden/>
              </w:rPr>
              <w:t>6</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75" w:history="1">
            <w:r w:rsidR="0000099A" w:rsidRPr="007634A0">
              <w:rPr>
                <w:rStyle w:val="affc"/>
                <w:noProof/>
              </w:rPr>
              <w:t>1.1 Определение заболевания или состояния (группы заболеваний или состояний)</w:t>
            </w:r>
            <w:r w:rsidR="0000099A">
              <w:rPr>
                <w:noProof/>
                <w:webHidden/>
              </w:rPr>
              <w:tab/>
            </w:r>
            <w:r>
              <w:rPr>
                <w:noProof/>
                <w:webHidden/>
              </w:rPr>
              <w:fldChar w:fldCharType="begin"/>
            </w:r>
            <w:r w:rsidR="0000099A">
              <w:rPr>
                <w:noProof/>
                <w:webHidden/>
              </w:rPr>
              <w:instrText xml:space="preserve"> PAGEREF _Toc57983675 \h </w:instrText>
            </w:r>
            <w:r>
              <w:rPr>
                <w:noProof/>
                <w:webHidden/>
              </w:rPr>
            </w:r>
            <w:r>
              <w:rPr>
                <w:noProof/>
                <w:webHidden/>
              </w:rPr>
              <w:fldChar w:fldCharType="separate"/>
            </w:r>
            <w:r w:rsidR="0000099A">
              <w:rPr>
                <w:noProof/>
                <w:webHidden/>
              </w:rPr>
              <w:t>6</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76" w:history="1">
            <w:r w:rsidR="0000099A" w:rsidRPr="007634A0">
              <w:rPr>
                <w:rStyle w:val="affc"/>
                <w:noProof/>
              </w:rPr>
              <w:t>1.2 Этиология и патогенез заболевания или состояния (группы заболеваний или состояний)</w:t>
            </w:r>
            <w:r w:rsidR="0000099A">
              <w:rPr>
                <w:noProof/>
                <w:webHidden/>
              </w:rPr>
              <w:tab/>
            </w:r>
            <w:r>
              <w:rPr>
                <w:noProof/>
                <w:webHidden/>
              </w:rPr>
              <w:fldChar w:fldCharType="begin"/>
            </w:r>
            <w:r w:rsidR="0000099A">
              <w:rPr>
                <w:noProof/>
                <w:webHidden/>
              </w:rPr>
              <w:instrText xml:space="preserve"> PAGEREF _Toc57983676 \h </w:instrText>
            </w:r>
            <w:r>
              <w:rPr>
                <w:noProof/>
                <w:webHidden/>
              </w:rPr>
            </w:r>
            <w:r>
              <w:rPr>
                <w:noProof/>
                <w:webHidden/>
              </w:rPr>
              <w:fldChar w:fldCharType="separate"/>
            </w:r>
            <w:r w:rsidR="0000099A">
              <w:rPr>
                <w:noProof/>
                <w:webHidden/>
              </w:rPr>
              <w:t>6</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77" w:history="1">
            <w:r w:rsidR="0000099A" w:rsidRPr="007634A0">
              <w:rPr>
                <w:rStyle w:val="affc"/>
                <w:noProof/>
              </w:rPr>
              <w:t>1.3 Эпидемиология заболевания или состояния (группы заболеваний или состояний)</w:t>
            </w:r>
            <w:r w:rsidR="0000099A">
              <w:rPr>
                <w:noProof/>
                <w:webHidden/>
              </w:rPr>
              <w:tab/>
            </w:r>
            <w:r>
              <w:rPr>
                <w:noProof/>
                <w:webHidden/>
              </w:rPr>
              <w:fldChar w:fldCharType="begin"/>
            </w:r>
            <w:r w:rsidR="0000099A">
              <w:rPr>
                <w:noProof/>
                <w:webHidden/>
              </w:rPr>
              <w:instrText xml:space="preserve"> PAGEREF _Toc57983677 \h </w:instrText>
            </w:r>
            <w:r>
              <w:rPr>
                <w:noProof/>
                <w:webHidden/>
              </w:rPr>
            </w:r>
            <w:r>
              <w:rPr>
                <w:noProof/>
                <w:webHidden/>
              </w:rPr>
              <w:fldChar w:fldCharType="separate"/>
            </w:r>
            <w:r w:rsidR="0000099A">
              <w:rPr>
                <w:noProof/>
                <w:webHidden/>
              </w:rPr>
              <w:t>7</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78" w:history="1">
            <w:r w:rsidR="0000099A" w:rsidRPr="007634A0">
              <w:rPr>
                <w:rStyle w:val="affc"/>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00099A">
              <w:rPr>
                <w:noProof/>
                <w:webHidden/>
              </w:rPr>
              <w:tab/>
            </w:r>
            <w:r>
              <w:rPr>
                <w:noProof/>
                <w:webHidden/>
              </w:rPr>
              <w:fldChar w:fldCharType="begin"/>
            </w:r>
            <w:r w:rsidR="0000099A">
              <w:rPr>
                <w:noProof/>
                <w:webHidden/>
              </w:rPr>
              <w:instrText xml:space="preserve"> PAGEREF _Toc57983678 \h </w:instrText>
            </w:r>
            <w:r>
              <w:rPr>
                <w:noProof/>
                <w:webHidden/>
              </w:rPr>
            </w:r>
            <w:r>
              <w:rPr>
                <w:noProof/>
                <w:webHidden/>
              </w:rPr>
              <w:fldChar w:fldCharType="separate"/>
            </w:r>
            <w:r w:rsidR="0000099A">
              <w:rPr>
                <w:noProof/>
                <w:webHidden/>
              </w:rPr>
              <w:t>8</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79" w:history="1">
            <w:r w:rsidR="0000099A" w:rsidRPr="007634A0">
              <w:rPr>
                <w:rStyle w:val="affc"/>
                <w:noProof/>
              </w:rPr>
              <w:t>1.5 Классификация заболевания или состояния (группы заболеваний или состояний)</w:t>
            </w:r>
            <w:r w:rsidR="0000099A">
              <w:rPr>
                <w:noProof/>
                <w:webHidden/>
              </w:rPr>
              <w:tab/>
            </w:r>
            <w:r>
              <w:rPr>
                <w:noProof/>
                <w:webHidden/>
              </w:rPr>
              <w:fldChar w:fldCharType="begin"/>
            </w:r>
            <w:r w:rsidR="0000099A">
              <w:rPr>
                <w:noProof/>
                <w:webHidden/>
              </w:rPr>
              <w:instrText xml:space="preserve"> PAGEREF _Toc57983679 \h </w:instrText>
            </w:r>
            <w:r>
              <w:rPr>
                <w:noProof/>
                <w:webHidden/>
              </w:rPr>
            </w:r>
            <w:r>
              <w:rPr>
                <w:noProof/>
                <w:webHidden/>
              </w:rPr>
              <w:fldChar w:fldCharType="separate"/>
            </w:r>
            <w:r w:rsidR="0000099A">
              <w:rPr>
                <w:noProof/>
                <w:webHidden/>
              </w:rPr>
              <w:t>8</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0" w:history="1">
            <w:r w:rsidR="0000099A" w:rsidRPr="007634A0">
              <w:rPr>
                <w:rStyle w:val="affc"/>
                <w:noProof/>
              </w:rPr>
              <w:t>1.6 Клиническая картина заболевания или состояния (группы заболеваний или состояний)</w:t>
            </w:r>
            <w:r w:rsidR="0000099A">
              <w:rPr>
                <w:noProof/>
                <w:webHidden/>
              </w:rPr>
              <w:tab/>
            </w:r>
            <w:r>
              <w:rPr>
                <w:noProof/>
                <w:webHidden/>
              </w:rPr>
              <w:fldChar w:fldCharType="begin"/>
            </w:r>
            <w:r w:rsidR="0000099A">
              <w:rPr>
                <w:noProof/>
                <w:webHidden/>
              </w:rPr>
              <w:instrText xml:space="preserve"> PAGEREF _Toc57983680 \h </w:instrText>
            </w:r>
            <w:r>
              <w:rPr>
                <w:noProof/>
                <w:webHidden/>
              </w:rPr>
            </w:r>
            <w:r>
              <w:rPr>
                <w:noProof/>
                <w:webHidden/>
              </w:rPr>
              <w:fldChar w:fldCharType="separate"/>
            </w:r>
            <w:r w:rsidR="0000099A">
              <w:rPr>
                <w:noProof/>
                <w:webHidden/>
              </w:rPr>
              <w:t>8</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81" w:history="1">
            <w:r w:rsidR="0000099A" w:rsidRPr="007634A0">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00099A">
              <w:rPr>
                <w:noProof/>
                <w:webHidden/>
              </w:rPr>
              <w:tab/>
            </w:r>
            <w:r>
              <w:rPr>
                <w:noProof/>
                <w:webHidden/>
              </w:rPr>
              <w:fldChar w:fldCharType="begin"/>
            </w:r>
            <w:r w:rsidR="0000099A">
              <w:rPr>
                <w:noProof/>
                <w:webHidden/>
              </w:rPr>
              <w:instrText xml:space="preserve"> PAGEREF _Toc57983681 \h </w:instrText>
            </w:r>
            <w:r>
              <w:rPr>
                <w:noProof/>
                <w:webHidden/>
              </w:rPr>
            </w:r>
            <w:r>
              <w:rPr>
                <w:noProof/>
                <w:webHidden/>
              </w:rPr>
              <w:fldChar w:fldCharType="separate"/>
            </w:r>
            <w:r w:rsidR="0000099A">
              <w:rPr>
                <w:noProof/>
                <w:webHidden/>
              </w:rPr>
              <w:t>8</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2" w:history="1">
            <w:r w:rsidR="0000099A" w:rsidRPr="007634A0">
              <w:rPr>
                <w:rStyle w:val="affc"/>
                <w:noProof/>
              </w:rPr>
              <w:t>2.1 Жалобы и анамнез</w:t>
            </w:r>
            <w:r w:rsidR="0000099A">
              <w:rPr>
                <w:noProof/>
                <w:webHidden/>
              </w:rPr>
              <w:tab/>
            </w:r>
            <w:r>
              <w:rPr>
                <w:noProof/>
                <w:webHidden/>
              </w:rPr>
              <w:fldChar w:fldCharType="begin"/>
            </w:r>
            <w:r w:rsidR="0000099A">
              <w:rPr>
                <w:noProof/>
                <w:webHidden/>
              </w:rPr>
              <w:instrText xml:space="preserve"> PAGEREF _Toc57983682 \h </w:instrText>
            </w:r>
            <w:r>
              <w:rPr>
                <w:noProof/>
                <w:webHidden/>
              </w:rPr>
            </w:r>
            <w:r>
              <w:rPr>
                <w:noProof/>
                <w:webHidden/>
              </w:rPr>
              <w:fldChar w:fldCharType="separate"/>
            </w:r>
            <w:r w:rsidR="0000099A">
              <w:rPr>
                <w:noProof/>
                <w:webHidden/>
              </w:rPr>
              <w:t>8</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3" w:history="1">
            <w:r w:rsidR="0000099A" w:rsidRPr="007634A0">
              <w:rPr>
                <w:rStyle w:val="affc"/>
                <w:noProof/>
              </w:rPr>
              <w:t>2.2 Физикальное обследование</w:t>
            </w:r>
            <w:r w:rsidR="0000099A">
              <w:rPr>
                <w:noProof/>
                <w:webHidden/>
              </w:rPr>
              <w:tab/>
            </w:r>
            <w:r>
              <w:rPr>
                <w:noProof/>
                <w:webHidden/>
              </w:rPr>
              <w:fldChar w:fldCharType="begin"/>
            </w:r>
            <w:r w:rsidR="0000099A">
              <w:rPr>
                <w:noProof/>
                <w:webHidden/>
              </w:rPr>
              <w:instrText xml:space="preserve"> PAGEREF _Toc57983683 \h </w:instrText>
            </w:r>
            <w:r>
              <w:rPr>
                <w:noProof/>
                <w:webHidden/>
              </w:rPr>
            </w:r>
            <w:r>
              <w:rPr>
                <w:noProof/>
                <w:webHidden/>
              </w:rPr>
              <w:fldChar w:fldCharType="separate"/>
            </w:r>
            <w:r w:rsidR="0000099A">
              <w:rPr>
                <w:noProof/>
                <w:webHidden/>
              </w:rPr>
              <w:t>9</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4" w:history="1">
            <w:r w:rsidR="0000099A" w:rsidRPr="007634A0">
              <w:rPr>
                <w:rStyle w:val="affc"/>
                <w:noProof/>
              </w:rPr>
              <w:t>2.3 Лабораторные диагностические исследования</w:t>
            </w:r>
            <w:r w:rsidR="0000099A">
              <w:rPr>
                <w:noProof/>
                <w:webHidden/>
              </w:rPr>
              <w:tab/>
            </w:r>
            <w:r>
              <w:rPr>
                <w:noProof/>
                <w:webHidden/>
              </w:rPr>
              <w:fldChar w:fldCharType="begin"/>
            </w:r>
            <w:r w:rsidR="0000099A">
              <w:rPr>
                <w:noProof/>
                <w:webHidden/>
              </w:rPr>
              <w:instrText xml:space="preserve"> PAGEREF _Toc57983684 \h </w:instrText>
            </w:r>
            <w:r>
              <w:rPr>
                <w:noProof/>
                <w:webHidden/>
              </w:rPr>
            </w:r>
            <w:r>
              <w:rPr>
                <w:noProof/>
                <w:webHidden/>
              </w:rPr>
              <w:fldChar w:fldCharType="separate"/>
            </w:r>
            <w:r w:rsidR="0000099A">
              <w:rPr>
                <w:noProof/>
                <w:webHidden/>
              </w:rPr>
              <w:t>11</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5" w:history="1">
            <w:r w:rsidR="0000099A" w:rsidRPr="007634A0">
              <w:rPr>
                <w:rStyle w:val="affc"/>
                <w:noProof/>
              </w:rPr>
              <w:t>2.4 Инструментальные диагностические исследования</w:t>
            </w:r>
            <w:r w:rsidR="0000099A">
              <w:rPr>
                <w:noProof/>
                <w:webHidden/>
              </w:rPr>
              <w:tab/>
            </w:r>
            <w:r>
              <w:rPr>
                <w:noProof/>
                <w:webHidden/>
              </w:rPr>
              <w:fldChar w:fldCharType="begin"/>
            </w:r>
            <w:r w:rsidR="0000099A">
              <w:rPr>
                <w:noProof/>
                <w:webHidden/>
              </w:rPr>
              <w:instrText xml:space="preserve"> PAGEREF _Toc57983685 \h </w:instrText>
            </w:r>
            <w:r>
              <w:rPr>
                <w:noProof/>
                <w:webHidden/>
              </w:rPr>
            </w:r>
            <w:r>
              <w:rPr>
                <w:noProof/>
                <w:webHidden/>
              </w:rPr>
              <w:fldChar w:fldCharType="separate"/>
            </w:r>
            <w:r w:rsidR="0000099A">
              <w:rPr>
                <w:noProof/>
                <w:webHidden/>
              </w:rPr>
              <w:t>12</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6" w:history="1">
            <w:r w:rsidR="0000099A" w:rsidRPr="007634A0">
              <w:rPr>
                <w:rStyle w:val="affc"/>
                <w:noProof/>
              </w:rPr>
              <w:t>2.5 Иные диагностические исследования</w:t>
            </w:r>
            <w:r w:rsidR="0000099A">
              <w:rPr>
                <w:noProof/>
                <w:webHidden/>
              </w:rPr>
              <w:tab/>
            </w:r>
            <w:r>
              <w:rPr>
                <w:noProof/>
                <w:webHidden/>
              </w:rPr>
              <w:fldChar w:fldCharType="begin"/>
            </w:r>
            <w:r w:rsidR="0000099A">
              <w:rPr>
                <w:noProof/>
                <w:webHidden/>
              </w:rPr>
              <w:instrText xml:space="preserve"> PAGEREF _Toc57983686 \h </w:instrText>
            </w:r>
            <w:r>
              <w:rPr>
                <w:noProof/>
                <w:webHidden/>
              </w:rPr>
            </w:r>
            <w:r>
              <w:rPr>
                <w:noProof/>
                <w:webHidden/>
              </w:rPr>
              <w:fldChar w:fldCharType="separate"/>
            </w:r>
            <w:r w:rsidR="0000099A">
              <w:rPr>
                <w:noProof/>
                <w:webHidden/>
              </w:rPr>
              <w:t>13</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87" w:history="1">
            <w:r w:rsidR="0000099A" w:rsidRPr="007634A0">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00099A">
              <w:rPr>
                <w:noProof/>
                <w:webHidden/>
              </w:rPr>
              <w:tab/>
            </w:r>
            <w:r>
              <w:rPr>
                <w:noProof/>
                <w:webHidden/>
              </w:rPr>
              <w:fldChar w:fldCharType="begin"/>
            </w:r>
            <w:r w:rsidR="0000099A">
              <w:rPr>
                <w:noProof/>
                <w:webHidden/>
              </w:rPr>
              <w:instrText xml:space="preserve"> PAGEREF _Toc57983687 \h </w:instrText>
            </w:r>
            <w:r>
              <w:rPr>
                <w:noProof/>
                <w:webHidden/>
              </w:rPr>
            </w:r>
            <w:r>
              <w:rPr>
                <w:noProof/>
                <w:webHidden/>
              </w:rPr>
              <w:fldChar w:fldCharType="separate"/>
            </w:r>
            <w:r w:rsidR="0000099A">
              <w:rPr>
                <w:noProof/>
                <w:webHidden/>
              </w:rPr>
              <w:t>13</w:t>
            </w:r>
            <w:r>
              <w:rPr>
                <w:noProof/>
                <w:webHidden/>
              </w:rPr>
              <w:fldChar w:fldCharType="end"/>
            </w:r>
          </w:hyperlink>
        </w:p>
        <w:p w:rsidR="0000099A" w:rsidRDefault="000145B4">
          <w:pPr>
            <w:pStyle w:val="21"/>
            <w:rPr>
              <w:rFonts w:asciiTheme="minorHAnsi" w:eastAsiaTheme="minorEastAsia" w:hAnsiTheme="minorHAnsi" w:cstheme="minorBidi"/>
              <w:noProof/>
              <w:lang w:eastAsia="ru-RU"/>
            </w:rPr>
          </w:pPr>
          <w:hyperlink w:anchor="_Toc57983688" w:history="1">
            <w:r w:rsidR="0000099A" w:rsidRPr="007634A0">
              <w:rPr>
                <w:rStyle w:val="affc"/>
                <w:rFonts w:eastAsia="Times New Roman"/>
                <w:noProof/>
              </w:rPr>
              <w:t>3.1 Консервативное лечение</w:t>
            </w:r>
            <w:r w:rsidR="0000099A">
              <w:rPr>
                <w:noProof/>
                <w:webHidden/>
              </w:rPr>
              <w:tab/>
            </w:r>
            <w:r>
              <w:rPr>
                <w:noProof/>
                <w:webHidden/>
              </w:rPr>
              <w:fldChar w:fldCharType="begin"/>
            </w:r>
            <w:r w:rsidR="0000099A">
              <w:rPr>
                <w:noProof/>
                <w:webHidden/>
              </w:rPr>
              <w:instrText xml:space="preserve"> PAGEREF _Toc57983688 \h </w:instrText>
            </w:r>
            <w:r>
              <w:rPr>
                <w:noProof/>
                <w:webHidden/>
              </w:rPr>
            </w:r>
            <w:r>
              <w:rPr>
                <w:noProof/>
                <w:webHidden/>
              </w:rPr>
              <w:fldChar w:fldCharType="separate"/>
            </w:r>
            <w:r w:rsidR="0000099A">
              <w:rPr>
                <w:noProof/>
                <w:webHidden/>
              </w:rPr>
              <w:t>13</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89" w:history="1">
            <w:r w:rsidR="0000099A" w:rsidRPr="007634A0">
              <w:rPr>
                <w:rStyle w:val="affc"/>
                <w:noProof/>
              </w:rPr>
              <w:t>4. Медицинская реабилитация, медицинские показания и противопоказания к применению методов реабилитации</w:t>
            </w:r>
            <w:r w:rsidR="0000099A">
              <w:rPr>
                <w:noProof/>
                <w:webHidden/>
              </w:rPr>
              <w:tab/>
            </w:r>
            <w:r>
              <w:rPr>
                <w:noProof/>
                <w:webHidden/>
              </w:rPr>
              <w:fldChar w:fldCharType="begin"/>
            </w:r>
            <w:r w:rsidR="0000099A">
              <w:rPr>
                <w:noProof/>
                <w:webHidden/>
              </w:rPr>
              <w:instrText xml:space="preserve"> PAGEREF _Toc57983689 \h </w:instrText>
            </w:r>
            <w:r>
              <w:rPr>
                <w:noProof/>
                <w:webHidden/>
              </w:rPr>
            </w:r>
            <w:r>
              <w:rPr>
                <w:noProof/>
                <w:webHidden/>
              </w:rPr>
              <w:fldChar w:fldCharType="separate"/>
            </w:r>
            <w:r w:rsidR="0000099A">
              <w:rPr>
                <w:noProof/>
                <w:webHidden/>
              </w:rPr>
              <w:t>19</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0" w:history="1">
            <w:r w:rsidR="0000099A" w:rsidRPr="007634A0">
              <w:rPr>
                <w:rStyle w:val="affc"/>
                <w:noProof/>
              </w:rPr>
              <w:t>5. Профилактика и диспансерное наблюдение, медицинские показания и противопоказания к применению методов профилактики</w:t>
            </w:r>
            <w:r w:rsidR="0000099A">
              <w:rPr>
                <w:noProof/>
                <w:webHidden/>
              </w:rPr>
              <w:tab/>
            </w:r>
            <w:r>
              <w:rPr>
                <w:noProof/>
                <w:webHidden/>
              </w:rPr>
              <w:fldChar w:fldCharType="begin"/>
            </w:r>
            <w:r w:rsidR="0000099A">
              <w:rPr>
                <w:noProof/>
                <w:webHidden/>
              </w:rPr>
              <w:instrText xml:space="preserve"> PAGEREF _Toc57983690 \h </w:instrText>
            </w:r>
            <w:r>
              <w:rPr>
                <w:noProof/>
                <w:webHidden/>
              </w:rPr>
            </w:r>
            <w:r>
              <w:rPr>
                <w:noProof/>
                <w:webHidden/>
              </w:rPr>
              <w:fldChar w:fldCharType="separate"/>
            </w:r>
            <w:r w:rsidR="0000099A">
              <w:rPr>
                <w:noProof/>
                <w:webHidden/>
              </w:rPr>
              <w:t>19</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1" w:history="1">
            <w:r w:rsidR="0000099A" w:rsidRPr="007634A0">
              <w:rPr>
                <w:rStyle w:val="affc"/>
                <w:noProof/>
              </w:rPr>
              <w:t>6. Организация медицинской помощи</w:t>
            </w:r>
            <w:r w:rsidR="0000099A">
              <w:rPr>
                <w:noProof/>
                <w:webHidden/>
              </w:rPr>
              <w:tab/>
            </w:r>
            <w:r>
              <w:rPr>
                <w:noProof/>
                <w:webHidden/>
              </w:rPr>
              <w:fldChar w:fldCharType="begin"/>
            </w:r>
            <w:r w:rsidR="0000099A">
              <w:rPr>
                <w:noProof/>
                <w:webHidden/>
              </w:rPr>
              <w:instrText xml:space="preserve"> PAGEREF _Toc57983691 \h </w:instrText>
            </w:r>
            <w:r>
              <w:rPr>
                <w:noProof/>
                <w:webHidden/>
              </w:rPr>
            </w:r>
            <w:r>
              <w:rPr>
                <w:noProof/>
                <w:webHidden/>
              </w:rPr>
              <w:fldChar w:fldCharType="separate"/>
            </w:r>
            <w:r w:rsidR="0000099A">
              <w:rPr>
                <w:noProof/>
                <w:webHidden/>
              </w:rPr>
              <w:t>20</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2" w:history="1">
            <w:r w:rsidR="0000099A" w:rsidRPr="007634A0">
              <w:rPr>
                <w:rStyle w:val="affc"/>
                <w:noProof/>
              </w:rPr>
              <w:t>7. Дополнительная информация (в том числе факторы, влияющие на исход заболевания или состояния)</w:t>
            </w:r>
            <w:r w:rsidR="0000099A">
              <w:rPr>
                <w:noProof/>
                <w:webHidden/>
              </w:rPr>
              <w:tab/>
            </w:r>
            <w:r>
              <w:rPr>
                <w:noProof/>
                <w:webHidden/>
              </w:rPr>
              <w:fldChar w:fldCharType="begin"/>
            </w:r>
            <w:r w:rsidR="0000099A">
              <w:rPr>
                <w:noProof/>
                <w:webHidden/>
              </w:rPr>
              <w:instrText xml:space="preserve"> PAGEREF _Toc57983692 \h </w:instrText>
            </w:r>
            <w:r>
              <w:rPr>
                <w:noProof/>
                <w:webHidden/>
              </w:rPr>
            </w:r>
            <w:r>
              <w:rPr>
                <w:noProof/>
                <w:webHidden/>
              </w:rPr>
              <w:fldChar w:fldCharType="separate"/>
            </w:r>
            <w:r w:rsidR="0000099A">
              <w:rPr>
                <w:noProof/>
                <w:webHidden/>
              </w:rPr>
              <w:t>20</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3" w:history="1">
            <w:r w:rsidR="0000099A" w:rsidRPr="007634A0">
              <w:rPr>
                <w:rStyle w:val="affc"/>
                <w:noProof/>
              </w:rPr>
              <w:t>Критерии оценки качества медицинской помощи</w:t>
            </w:r>
            <w:r w:rsidR="0000099A">
              <w:rPr>
                <w:noProof/>
                <w:webHidden/>
              </w:rPr>
              <w:tab/>
            </w:r>
            <w:r>
              <w:rPr>
                <w:noProof/>
                <w:webHidden/>
              </w:rPr>
              <w:fldChar w:fldCharType="begin"/>
            </w:r>
            <w:r w:rsidR="0000099A">
              <w:rPr>
                <w:noProof/>
                <w:webHidden/>
              </w:rPr>
              <w:instrText xml:space="preserve"> PAGEREF _Toc57983693 \h </w:instrText>
            </w:r>
            <w:r>
              <w:rPr>
                <w:noProof/>
                <w:webHidden/>
              </w:rPr>
            </w:r>
            <w:r>
              <w:rPr>
                <w:noProof/>
                <w:webHidden/>
              </w:rPr>
              <w:fldChar w:fldCharType="separate"/>
            </w:r>
            <w:r w:rsidR="0000099A">
              <w:rPr>
                <w:noProof/>
                <w:webHidden/>
              </w:rPr>
              <w:t>20</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4" w:history="1">
            <w:r w:rsidR="0000099A" w:rsidRPr="007634A0">
              <w:rPr>
                <w:rStyle w:val="affc"/>
                <w:noProof/>
              </w:rPr>
              <w:t>Список литературы</w:t>
            </w:r>
            <w:r w:rsidR="0000099A">
              <w:rPr>
                <w:noProof/>
                <w:webHidden/>
              </w:rPr>
              <w:tab/>
            </w:r>
            <w:r>
              <w:rPr>
                <w:noProof/>
                <w:webHidden/>
              </w:rPr>
              <w:fldChar w:fldCharType="begin"/>
            </w:r>
            <w:r w:rsidR="0000099A">
              <w:rPr>
                <w:noProof/>
                <w:webHidden/>
              </w:rPr>
              <w:instrText xml:space="preserve"> PAGEREF _Toc57983694 \h </w:instrText>
            </w:r>
            <w:r>
              <w:rPr>
                <w:noProof/>
                <w:webHidden/>
              </w:rPr>
            </w:r>
            <w:r>
              <w:rPr>
                <w:noProof/>
                <w:webHidden/>
              </w:rPr>
              <w:fldChar w:fldCharType="separate"/>
            </w:r>
            <w:r w:rsidR="0000099A">
              <w:rPr>
                <w:noProof/>
                <w:webHidden/>
              </w:rPr>
              <w:t>22</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5" w:history="1">
            <w:r w:rsidR="0000099A" w:rsidRPr="007634A0">
              <w:rPr>
                <w:rStyle w:val="affc"/>
                <w:noProof/>
              </w:rPr>
              <w:t>Приложение А2. Методология разработки клинических рекомендаций</w:t>
            </w:r>
            <w:r w:rsidR="0000099A">
              <w:rPr>
                <w:noProof/>
                <w:webHidden/>
              </w:rPr>
              <w:tab/>
            </w:r>
            <w:r>
              <w:rPr>
                <w:noProof/>
                <w:webHidden/>
              </w:rPr>
              <w:fldChar w:fldCharType="begin"/>
            </w:r>
            <w:r w:rsidR="0000099A">
              <w:rPr>
                <w:noProof/>
                <w:webHidden/>
              </w:rPr>
              <w:instrText xml:space="preserve"> PAGEREF _Toc57983695 \h </w:instrText>
            </w:r>
            <w:r>
              <w:rPr>
                <w:noProof/>
                <w:webHidden/>
              </w:rPr>
            </w:r>
            <w:r>
              <w:rPr>
                <w:noProof/>
                <w:webHidden/>
              </w:rPr>
              <w:fldChar w:fldCharType="separate"/>
            </w:r>
            <w:r w:rsidR="0000099A">
              <w:rPr>
                <w:noProof/>
                <w:webHidden/>
              </w:rPr>
              <w:t>29</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6" w:history="1">
            <w:r w:rsidR="0000099A" w:rsidRPr="007634A0">
              <w:rPr>
                <w:rStyle w:val="affc"/>
                <w:noProof/>
              </w:rPr>
              <w:t>Приложение Б. Алгоритмы действий врача</w:t>
            </w:r>
            <w:r w:rsidR="0000099A">
              <w:rPr>
                <w:noProof/>
                <w:webHidden/>
              </w:rPr>
              <w:tab/>
            </w:r>
            <w:r>
              <w:rPr>
                <w:noProof/>
                <w:webHidden/>
              </w:rPr>
              <w:fldChar w:fldCharType="begin"/>
            </w:r>
            <w:r w:rsidR="0000099A">
              <w:rPr>
                <w:noProof/>
                <w:webHidden/>
              </w:rPr>
              <w:instrText xml:space="preserve"> PAGEREF _Toc57983696 \h </w:instrText>
            </w:r>
            <w:r>
              <w:rPr>
                <w:noProof/>
                <w:webHidden/>
              </w:rPr>
            </w:r>
            <w:r>
              <w:rPr>
                <w:noProof/>
                <w:webHidden/>
              </w:rPr>
              <w:fldChar w:fldCharType="separate"/>
            </w:r>
            <w:r w:rsidR="0000099A">
              <w:rPr>
                <w:noProof/>
                <w:webHidden/>
              </w:rPr>
              <w:t>31</w:t>
            </w:r>
            <w:r>
              <w:rPr>
                <w:noProof/>
                <w:webHidden/>
              </w:rPr>
              <w:fldChar w:fldCharType="end"/>
            </w:r>
          </w:hyperlink>
        </w:p>
        <w:p w:rsidR="0000099A" w:rsidRDefault="000145B4">
          <w:pPr>
            <w:pStyle w:val="15"/>
            <w:rPr>
              <w:rFonts w:asciiTheme="minorHAnsi" w:eastAsiaTheme="minorEastAsia" w:hAnsiTheme="minorHAnsi"/>
              <w:noProof/>
              <w:sz w:val="22"/>
              <w:lang w:eastAsia="ru-RU"/>
            </w:rPr>
          </w:pPr>
          <w:hyperlink w:anchor="_Toc57983697" w:history="1">
            <w:r w:rsidR="0000099A" w:rsidRPr="007634A0">
              <w:rPr>
                <w:rStyle w:val="affc"/>
                <w:noProof/>
              </w:rPr>
              <w:t>Приложение В. Информация для пациента</w:t>
            </w:r>
            <w:r w:rsidR="0000099A">
              <w:rPr>
                <w:noProof/>
                <w:webHidden/>
              </w:rPr>
              <w:tab/>
            </w:r>
            <w:r>
              <w:rPr>
                <w:noProof/>
                <w:webHidden/>
              </w:rPr>
              <w:fldChar w:fldCharType="begin"/>
            </w:r>
            <w:r w:rsidR="0000099A">
              <w:rPr>
                <w:noProof/>
                <w:webHidden/>
              </w:rPr>
              <w:instrText xml:space="preserve"> PAGEREF _Toc57983697 \h </w:instrText>
            </w:r>
            <w:r>
              <w:rPr>
                <w:noProof/>
                <w:webHidden/>
              </w:rPr>
            </w:r>
            <w:r>
              <w:rPr>
                <w:noProof/>
                <w:webHidden/>
              </w:rPr>
              <w:fldChar w:fldCharType="separate"/>
            </w:r>
            <w:r w:rsidR="0000099A">
              <w:rPr>
                <w:noProof/>
                <w:webHidden/>
              </w:rPr>
              <w:t>31</w:t>
            </w:r>
            <w:r>
              <w:rPr>
                <w:noProof/>
                <w:webHidden/>
              </w:rPr>
              <w:fldChar w:fldCharType="end"/>
            </w:r>
          </w:hyperlink>
        </w:p>
        <w:p w:rsidR="00172112" w:rsidRDefault="000145B4" w:rsidP="00A86E5F">
          <w:r w:rsidRPr="00877EF5">
            <w:rPr>
              <w:rFonts w:cs="Times New Roman"/>
              <w:b/>
              <w:bCs/>
              <w:szCs w:val="24"/>
            </w:rPr>
            <w:fldChar w:fldCharType="end"/>
          </w:r>
        </w:p>
      </w:sdtContent>
    </w:sdt>
    <w:p w:rsidR="00172112" w:rsidRDefault="00172112" w:rsidP="00172112"/>
    <w:p w:rsidR="00172112" w:rsidRDefault="00172112" w:rsidP="00F756F0">
      <w:pPr>
        <w:rPr>
          <w:sz w:val="28"/>
        </w:rPr>
      </w:pPr>
      <w:r>
        <w:br w:type="page"/>
      </w:r>
    </w:p>
    <w:p w:rsidR="000414F6" w:rsidRDefault="00CB71DA" w:rsidP="00F60D62">
      <w:pPr>
        <w:pStyle w:val="afff1"/>
      </w:pPr>
      <w:bookmarkStart w:id="2" w:name="__RefHeading___doc_abbreviation"/>
      <w:bookmarkStart w:id="3" w:name="_Toc57983672"/>
      <w:r>
        <w:lastRenderedPageBreak/>
        <w:t xml:space="preserve">Список </w:t>
      </w:r>
      <w:r w:rsidRPr="00F60D62">
        <w:t>сокращений</w:t>
      </w:r>
      <w:bookmarkEnd w:id="2"/>
      <w:bookmarkEnd w:id="3"/>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АЗН – анемии при злокачественных новообразованиях</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АХЗ – анемии хронических заболеваний</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ДЖ – дефицит железа</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ЖС – концентрация железа сыворотки</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ЗН – злокачественные новообразования</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КМ – костный мозг</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НТЖ – коэффициент насыщения трансферрина железом</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ОЖСС – общая железосвязывающая способность сыворотки</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РНК – рибонуклеиновая кислота</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рчЭПО – рекомбинантный человеческий эритропоэтин</w:t>
      </w:r>
      <w:r w:rsidR="006F7AB7">
        <w:rPr>
          <w:rFonts w:eastAsia="Calibri" w:cs="Times New Roman"/>
          <w:szCs w:val="24"/>
          <w:lang w:eastAsia="ru-RU"/>
        </w:rPr>
        <w:t xml:space="preserve"> (препараты группы «В03ХА01 Эритропоэтин» по классификации АТХ)</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СФ – сывороточный ферритин</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ФДЖ – функциональный дефицит железа</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ХТ – химиотерапия</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ЦНС – центральная нервная система</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ЭПО – эритропоэтин</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ЭПОр – рецепторы к эритропоэтину</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ЭСП – эритропоэзстимулирующие препараты</w:t>
      </w:r>
      <w:r w:rsidR="007800E2">
        <w:rPr>
          <w:rFonts w:eastAsia="Calibri" w:cs="Times New Roman"/>
          <w:szCs w:val="24"/>
          <w:lang w:eastAsia="ru-RU"/>
        </w:rPr>
        <w:t xml:space="preserve"> (препараты группы «В03Х Другие антианемические препараты» по классификации АТХ)</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IFN-ɣ – интерферон гамма</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IL-1 – интерлeйкин 1</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IL-6 – интерлeйкин 6</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Hb – гемоглобин</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Ht – гематокрит</w:t>
      </w:r>
    </w:p>
    <w:p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TNF-α – фактор некроза опухоли альфа</w:t>
      </w:r>
    </w:p>
    <w:p w:rsidR="000414F6" w:rsidRDefault="00CB71DA" w:rsidP="00F60D62">
      <w:pPr>
        <w:pStyle w:val="afff1"/>
      </w:pPr>
      <w:r>
        <w:br w:type="page"/>
      </w:r>
      <w:bookmarkStart w:id="4" w:name="__RefHeading___doc_terms"/>
      <w:bookmarkStart w:id="5" w:name="_Toc57983673"/>
      <w:r>
        <w:lastRenderedPageBreak/>
        <w:t>Термины и определения</w:t>
      </w:r>
      <w:bookmarkEnd w:id="4"/>
      <w:bookmarkEnd w:id="5"/>
    </w:p>
    <w:p w:rsidR="006C3439" w:rsidRPr="006C3439" w:rsidRDefault="006C3439" w:rsidP="00F60D62">
      <w:pPr>
        <w:pStyle w:val="afb"/>
        <w:rPr>
          <w:rFonts w:eastAsia="Calibri"/>
        </w:rPr>
      </w:pPr>
      <w:r w:rsidRPr="006C3439">
        <w:rPr>
          <w:rFonts w:eastAsia="Calibri"/>
        </w:rPr>
        <w:t>Анемия при злокачественных новообразованиях (АЗН) – это один из вариантов анемии хронических заболеваний, в основе развития которой лежит многофакторный процесс, запускаемый взаимодействием между популяцией опухолевых клеток и иммунной системой с образованием ряда цитокинов, ответственных за относительную недостаточность эритропоэза</w:t>
      </w:r>
    </w:p>
    <w:p w:rsidR="006C3439" w:rsidRPr="006C3439" w:rsidRDefault="006C3439" w:rsidP="00F60D62">
      <w:pPr>
        <w:pStyle w:val="afb"/>
        <w:rPr>
          <w:rFonts w:eastAsia="Calibri"/>
        </w:rPr>
      </w:pPr>
      <w:r w:rsidRPr="006C3439">
        <w:rPr>
          <w:rFonts w:eastAsia="Calibri"/>
        </w:rPr>
        <w:t>Эритропоэзстимулирующие препараты (ЭСП) – группа лекарственных средств, стимулирующих процесс образования эритроцитов в костном мозге, которые применяются для лечения анемий</w:t>
      </w:r>
      <w:r w:rsidR="007800E2">
        <w:rPr>
          <w:rFonts w:eastAsia="Calibri"/>
        </w:rPr>
        <w:t xml:space="preserve"> (группа «В03Х Другие антианемические препараты» по классификации АТХ)</w:t>
      </w:r>
      <w:r w:rsidRPr="006C3439">
        <w:rPr>
          <w:rFonts w:eastAsia="Calibri"/>
        </w:rPr>
        <w:t>.</w:t>
      </w:r>
    </w:p>
    <w:p w:rsidR="001D40F8" w:rsidRPr="001D40F8" w:rsidRDefault="001D40F8" w:rsidP="00924161">
      <w:pPr>
        <w:rPr>
          <w:szCs w:val="24"/>
        </w:rPr>
      </w:pPr>
    </w:p>
    <w:p w:rsidR="00275A41" w:rsidRDefault="00CB71DA" w:rsidP="00924161">
      <w:pPr>
        <w:pStyle w:val="afb"/>
        <w:divId w:val="576134796"/>
      </w:pPr>
      <w:r>
        <w:t>                                   </w:t>
      </w:r>
    </w:p>
    <w:p w:rsidR="00B8195D" w:rsidRDefault="00CB71DA" w:rsidP="00F81854">
      <w:pPr>
        <w:pStyle w:val="afff1"/>
      </w:pPr>
      <w:r>
        <w:br w:type="page"/>
      </w:r>
      <w:bookmarkStart w:id="6" w:name="__RefHeading___doc_1"/>
    </w:p>
    <w:p w:rsidR="000414F6" w:rsidRDefault="00CB71DA" w:rsidP="00C4630C">
      <w:pPr>
        <w:pStyle w:val="afff1"/>
      </w:pPr>
      <w:bookmarkStart w:id="7" w:name="_Toc57983674"/>
      <w:r>
        <w:lastRenderedPageBreak/>
        <w:t>1. Краткая информация</w:t>
      </w:r>
      <w:bookmarkEnd w:id="6"/>
      <w:r w:rsidR="00384B6A">
        <w:t xml:space="preserve"> по заболеванию или состоянию (группе заболеваний или состояний)</w:t>
      </w:r>
      <w:bookmarkEnd w:id="7"/>
    </w:p>
    <w:p w:rsidR="00B46390" w:rsidRPr="00F60D62" w:rsidRDefault="00B46390" w:rsidP="00F60D62">
      <w:pPr>
        <w:pStyle w:val="2"/>
      </w:pPr>
      <w:bookmarkStart w:id="8" w:name="_Toc469402330"/>
      <w:bookmarkStart w:id="9" w:name="_Toc468273527"/>
      <w:bookmarkStart w:id="10" w:name="_Toc468273445"/>
      <w:bookmarkStart w:id="11" w:name="_Toc57983675"/>
      <w:bookmarkStart w:id="12" w:name="__RefHeading___doc_2"/>
      <w:bookmarkEnd w:id="8"/>
      <w:bookmarkEnd w:id="9"/>
      <w:bookmarkEnd w:id="10"/>
      <w:r w:rsidRPr="00F60D62">
        <w:t>1.1 Определение</w:t>
      </w:r>
      <w:r w:rsidR="00311757" w:rsidRPr="00F60D62">
        <w:t xml:space="preserve"> заболевания или состояния (группы заболеваний или состояний)</w:t>
      </w:r>
      <w:bookmarkEnd w:id="11"/>
    </w:p>
    <w:p w:rsidR="006C3439" w:rsidRPr="00C3632B" w:rsidRDefault="006C3439" w:rsidP="00C3632B">
      <w:pPr>
        <w:pStyle w:val="afb"/>
      </w:pPr>
      <w:r w:rsidRPr="00C3632B">
        <w:t>Анемия при злокачественных новообразованиях представляет собой один из вариантов анемии хронических заболеваний (АХЗ). В основе ее развития лежит многофакторный процесс, запускаемый взаимодействием между популяцией опухолевых клеток и иммунной системой с образованием ряда цитокинов, ответственных за относительную недостаточность эритропоэза</w:t>
      </w:r>
      <w:r w:rsidR="000145B4">
        <w:fldChar w:fldCharType="begin" w:fldLock="1"/>
      </w:r>
      <w:r w:rsidR="00802CA4">
        <w:instrText>ADDIN CSL_CITATION {"citationItems":[{"id":"ITEM-1","itemData":{"author":[{"dropping-particle":"","family":"Лунякова","given":"М.А.","non-dropping-particle":"","parse-names":false,"suffix":""},{"dropping-particle":"","family":"Демихов","given":"В.Г.","non-dropping-particle":"","parse-names":false,"suffix":""},{"dropping-particle":"","family":"Морщакова","given":"Е.Ф.","non-dropping-particle":"","parse-names":false,"suffix":""},{"dropping-particle":"","family":"Румянцев","given":"А.Г.","non-dropping-particle":"","parse-names":false,"suffix":""}],"container-title":"Вопросы гематологии, онкологии и иммунопатологии в педиатрии","id":"ITEM-1","issue":"2","issued":{"date-parts":[["2013"]]},"page":"5-16","title":"Патогенез и возможности терапии анемии у детей с острым лимфобластным лейкозом","type":"article-journal","volume":"12"},"uris":["http://www.mendeley.com/documents/?uuid=273aa460-05ff-49cc-aa1c-c262bada3eb4"]}],"mendeley":{"formattedCitation":"[1]","plainTextFormattedCitation":"[1]","previouslyFormattedCitation":"[1]"},"properties":{"noteIndex":0},"schema":"https://github.com/citation-style-language/schema/raw/master/csl-citation.json"}</w:instrText>
      </w:r>
      <w:r w:rsidR="000145B4">
        <w:fldChar w:fldCharType="separate"/>
      </w:r>
      <w:r w:rsidR="00C7421E" w:rsidRPr="00C7421E">
        <w:rPr>
          <w:noProof/>
        </w:rPr>
        <w:t>[1]</w:t>
      </w:r>
      <w:r w:rsidR="000145B4">
        <w:fldChar w:fldCharType="end"/>
      </w:r>
      <w:r w:rsidRPr="00C3632B">
        <w:t>.</w:t>
      </w:r>
    </w:p>
    <w:p w:rsidR="00B46390" w:rsidRPr="00C7421E" w:rsidRDefault="00B46390" w:rsidP="00C7421E">
      <w:pPr>
        <w:pStyle w:val="2"/>
      </w:pPr>
      <w:bookmarkStart w:id="13" w:name="_Toc57983676"/>
      <w:r w:rsidRPr="00C7421E">
        <w:t>1.2 Этиология и патогенез</w:t>
      </w:r>
      <w:r w:rsidR="00311757" w:rsidRPr="00C7421E">
        <w:t xml:space="preserve"> заболевания или состояния (группы заболеваний или состояний)</w:t>
      </w:r>
      <w:bookmarkEnd w:id="13"/>
    </w:p>
    <w:p w:rsidR="000C05A6" w:rsidRPr="000C05A6" w:rsidRDefault="000C05A6" w:rsidP="00C7421E">
      <w:pPr>
        <w:pStyle w:val="afb"/>
        <w:rPr>
          <w:rFonts w:eastAsia="Calibri"/>
        </w:rPr>
      </w:pPr>
      <w:r w:rsidRPr="000C05A6">
        <w:rPr>
          <w:rFonts w:eastAsia="Calibri"/>
        </w:rPr>
        <w:t xml:space="preserve">Патогенез анемии </w:t>
      </w:r>
      <w:r w:rsidRPr="00345AC3">
        <w:rPr>
          <w:rFonts w:eastAsia="Calibri"/>
          <w:color w:val="000000" w:themeColor="text1"/>
        </w:rPr>
        <w:t xml:space="preserve">у </w:t>
      </w:r>
      <w:r w:rsidR="00EA6E3C" w:rsidRPr="00345AC3">
        <w:rPr>
          <w:rFonts w:eastAsia="Calibri"/>
          <w:color w:val="000000" w:themeColor="text1"/>
        </w:rPr>
        <w:t>пациентов</w:t>
      </w:r>
      <w:r w:rsidRPr="00345AC3">
        <w:rPr>
          <w:rFonts w:eastAsia="Calibri"/>
          <w:color w:val="000000" w:themeColor="text1"/>
        </w:rPr>
        <w:t xml:space="preserve"> со злокачественными </w:t>
      </w:r>
      <w:r w:rsidRPr="000C05A6">
        <w:rPr>
          <w:rFonts w:eastAsia="Calibri"/>
        </w:rPr>
        <w:t>новообразованиями (ЗН) достаточно сложен и связан как с прямыми, так и с опосредованными эффектами опухолевого процесса на организм.  К ним относятся: кровотечения, инфильтрация костного мозга (КМ) опухолевыми клетками, миелотоксические эффекты химиотерапии (ХТ), избыточная продукция провоспалительных цитокинов и связанные с ними нарушения метаболизма железа и эритропоэза. Совокупность указанных патофизиологических реакций, выраженных в той или иной мере, приводит к нарушению процессов пролиферации,  дифференцировки и созревания костномозговых эритроидных коммитированных предшественников</w:t>
      </w:r>
      <w:r w:rsidR="000145B4">
        <w:rPr>
          <w:rFonts w:eastAsia="Calibri"/>
        </w:rPr>
        <w:fldChar w:fldCharType="begin" w:fldLock="1"/>
      </w:r>
      <w:r w:rsidR="00475ED5">
        <w:rPr>
          <w:rFonts w:eastAsia="Calibri"/>
        </w:rPr>
        <w:instrText>ADDIN CSL_CITATION {"citationItems":[{"id":"ITEM-1","itemData":{"author":[{"dropping-particle":"","family":"Павлов","given":"А.Д.","non-dropping-particle":"","parse-names":false,"suffix":""},{"dropping-particle":"","family":"Морщакова","given":"Е.Ф.","non-dropping-particle":"","parse-names":false,"suffix":""},{"dropping-particle":"","family":"Румянцев","given":"А.Г.","non-dropping-particle":"","parse-names":false,"suffix":""}],"id":"ITEM-1","issued":{"date-parts":[["2011"]]},"number-of-pages":"304","publisher":"М.: ГЭОТАР-Медиа","title":"Эритропоэз, эритропоэтин, железо","type":"book"},"uris":["http://www.mendeley.com/documents/?uuid=7d13ba1f-fecc-40d1-893f-f58544f00bb8"]}],"mendeley":{"formattedCitation":"[2]","plainTextFormattedCitation":"[2]","previouslyFormattedCitation":"[2]"},"properties":{"noteIndex":0},"schema":"https://github.com/citation-style-language/schema/raw/master/csl-citation.json"}</w:instrText>
      </w:r>
      <w:r w:rsidR="000145B4">
        <w:rPr>
          <w:rFonts w:eastAsia="Calibri"/>
        </w:rPr>
        <w:fldChar w:fldCharType="separate"/>
      </w:r>
      <w:r w:rsidR="00802CA4" w:rsidRPr="00802CA4">
        <w:rPr>
          <w:rFonts w:eastAsia="Calibri"/>
          <w:noProof/>
        </w:rPr>
        <w:t>[2]</w:t>
      </w:r>
      <w:r w:rsidR="000145B4">
        <w:rPr>
          <w:rFonts w:eastAsia="Calibri"/>
        </w:rPr>
        <w:fldChar w:fldCharType="end"/>
      </w:r>
      <w:r w:rsidRPr="000C05A6">
        <w:rPr>
          <w:rFonts w:eastAsia="Calibri"/>
        </w:rPr>
        <w:t>.</w:t>
      </w:r>
    </w:p>
    <w:p w:rsidR="000C05A6" w:rsidRPr="000C05A6" w:rsidRDefault="000C05A6" w:rsidP="00C7421E">
      <w:pPr>
        <w:pStyle w:val="afb"/>
        <w:rPr>
          <w:rFonts w:eastAsia="Calibri"/>
        </w:rPr>
      </w:pPr>
      <w:r w:rsidRPr="000C05A6">
        <w:rPr>
          <w:rFonts w:eastAsia="Calibri"/>
        </w:rPr>
        <w:t xml:space="preserve">В патогенезе </w:t>
      </w:r>
      <w:r w:rsidRPr="00345AC3">
        <w:rPr>
          <w:rFonts w:eastAsia="Calibri"/>
          <w:color w:val="000000" w:themeColor="text1"/>
        </w:rPr>
        <w:t xml:space="preserve">анемии у </w:t>
      </w:r>
      <w:r w:rsidR="00EA6E3C" w:rsidRPr="00345AC3">
        <w:rPr>
          <w:rFonts w:eastAsia="Calibri"/>
          <w:color w:val="000000" w:themeColor="text1"/>
        </w:rPr>
        <w:t xml:space="preserve">пациентов </w:t>
      </w:r>
      <w:r w:rsidRPr="00345AC3">
        <w:rPr>
          <w:rFonts w:eastAsia="Calibri"/>
          <w:color w:val="000000" w:themeColor="text1"/>
        </w:rPr>
        <w:t xml:space="preserve">со ЗН </w:t>
      </w:r>
      <w:r w:rsidRPr="000C05A6">
        <w:rPr>
          <w:rFonts w:eastAsia="Calibri"/>
        </w:rPr>
        <w:t>можно выделить 3 основных аспекта:</w:t>
      </w:r>
    </w:p>
    <w:p w:rsidR="000C05A6" w:rsidRPr="000C05A6" w:rsidRDefault="000C05A6" w:rsidP="00802CA4">
      <w:pPr>
        <w:pStyle w:val="afb"/>
        <w:numPr>
          <w:ilvl w:val="0"/>
          <w:numId w:val="2"/>
        </w:numPr>
        <w:rPr>
          <w:rFonts w:eastAsia="Calibri"/>
        </w:rPr>
      </w:pPr>
      <w:r w:rsidRPr="000C05A6">
        <w:rPr>
          <w:rFonts w:eastAsia="Calibri"/>
        </w:rPr>
        <w:t>анемия, как проявление паранеопластического процесса;</w:t>
      </w:r>
    </w:p>
    <w:p w:rsidR="000C05A6" w:rsidRPr="000C05A6" w:rsidRDefault="000C05A6" w:rsidP="00802CA4">
      <w:pPr>
        <w:pStyle w:val="afb"/>
        <w:numPr>
          <w:ilvl w:val="0"/>
          <w:numId w:val="2"/>
        </w:numPr>
        <w:rPr>
          <w:rFonts w:eastAsia="Calibri"/>
        </w:rPr>
      </w:pPr>
      <w:r w:rsidRPr="000C05A6">
        <w:rPr>
          <w:rFonts w:eastAsia="Calibri"/>
        </w:rPr>
        <w:t>анемия, индуцированная ХТ;</w:t>
      </w:r>
    </w:p>
    <w:p w:rsidR="000C05A6" w:rsidRPr="000C05A6" w:rsidRDefault="000C05A6" w:rsidP="00802CA4">
      <w:pPr>
        <w:pStyle w:val="afb"/>
        <w:numPr>
          <w:ilvl w:val="0"/>
          <w:numId w:val="2"/>
        </w:numPr>
        <w:rPr>
          <w:rFonts w:eastAsia="Calibri"/>
        </w:rPr>
      </w:pPr>
      <w:r w:rsidRPr="000C05A6">
        <w:rPr>
          <w:rFonts w:eastAsia="Calibri"/>
        </w:rPr>
        <w:t>анемия, вызванная другими причинами</w:t>
      </w:r>
      <w:r w:rsidR="000145B4">
        <w:rPr>
          <w:rFonts w:eastAsia="Calibri"/>
        </w:rPr>
        <w:fldChar w:fldCharType="begin" w:fldLock="1"/>
      </w:r>
      <w:r w:rsidR="0083096C">
        <w:rPr>
          <w:rFonts w:eastAsia="Calibri"/>
        </w:rPr>
        <w:instrText>ADDIN CSL_CITATION {"citationItems":[{"id":"ITEM-1","itemData":{"author":[{"dropping-particle":"","family":"Безнощенко","given":"А.Г.","non-dropping-particle":"","parse-names":false,"suffix":""},{"dropping-particle":"","family":"Лунякова","given":"М.А.","non-dropping-particle":"","parse-names":false,"suffix":""},{"dropping-particle":"","family":"Морщакова","given":"Е.Ф.","non-dropping-particle":"","parse-names":false,"suffix":""},{"dropping-particle":"","family":"Павлов","given":"А.Д.","non-dropping-particle":"","parse-names":false,"suffix":""},{"dropping-particle":"","family":"Дронова","given":"С.Н.","non-dropping-particle":"","parse-names":false,"suffix":""},{"dropping-particle":"","family":"Кукушкина","given":"И.П.","non-dropping-particle":"","parse-names":false,"suffix":""}],"container-title":"Детская онкология","id":"ITEM-1","issued":{"date-parts":[["2008"]]},"page":"11-15","title":"Эритропоэтин в лечение анемии у детей и подростков с острым лимфобластным лейкозом","type":"article-journal","volume":"3"},"uris":["http://www.mendeley.com/documents/?uuid=3944de38-b092-4a9a-8351-129aeb48e5f8"]}],"mendeley":{"formattedCitation":"[3]","plainTextFormattedCitation":"[3]","previouslyFormattedCitation":"[3]"},"properties":{"noteIndex":0},"schema":"https://github.com/citation-style-language/schema/raw/master/csl-citation.json"}</w:instrText>
      </w:r>
      <w:r w:rsidR="000145B4">
        <w:rPr>
          <w:rFonts w:eastAsia="Calibri"/>
        </w:rPr>
        <w:fldChar w:fldCharType="separate"/>
      </w:r>
      <w:r w:rsidR="00475ED5" w:rsidRPr="00475ED5">
        <w:rPr>
          <w:rFonts w:eastAsia="Calibri"/>
          <w:noProof/>
        </w:rPr>
        <w:t>[3]</w:t>
      </w:r>
      <w:r w:rsidR="000145B4">
        <w:rPr>
          <w:rFonts w:eastAsia="Calibri"/>
        </w:rPr>
        <w:fldChar w:fldCharType="end"/>
      </w:r>
      <w:r w:rsidRPr="000C05A6">
        <w:rPr>
          <w:rFonts w:eastAsia="Calibri"/>
        </w:rPr>
        <w:t>.</w:t>
      </w:r>
    </w:p>
    <w:p w:rsidR="000C05A6" w:rsidRPr="000C05A6" w:rsidRDefault="000C05A6" w:rsidP="00C7421E">
      <w:pPr>
        <w:pStyle w:val="afb"/>
        <w:rPr>
          <w:rFonts w:eastAsia="Calibri"/>
        </w:rPr>
      </w:pPr>
      <w:r w:rsidRPr="000C05A6">
        <w:rPr>
          <w:rFonts w:eastAsia="Calibri"/>
        </w:rPr>
        <w:t>Паранеопластический процесс характеризуется повышенной продукцией ряда провоспалительных цитокинов, таких как фактор некроза опухоли альфа (TNF-α), интерлeйкины (IL-1, IL-6), интерфероны (IFN-ɣ), которые ответственны за развитие анемии на фоне злокачественного опухолевого процесса</w:t>
      </w:r>
      <w:r w:rsidR="000145B4">
        <w:rPr>
          <w:rFonts w:eastAsia="Calibri"/>
        </w:rPr>
        <w:fldChar w:fldCharType="begin" w:fldLock="1"/>
      </w:r>
      <w:r w:rsidR="0083096C">
        <w:rPr>
          <w:rFonts w:eastAsia="Calibri"/>
        </w:rPr>
        <w:instrText>ADDIN CSL_CITATION {"citationItems":[{"id":"ITEM-1","itemData":{"DOI":"10.1634/theoncologist.8-suppl_1-19","ISSN":"1083-7159","abstract":"More than 30% of cancer patients experience anemia and its side effect, fatigue. Its causes can be numerous, but anemia is usually secondary to an imbalance of cytokines. Among these, tumor necrosis factor-alpha seems to be the major culprit, creating anemia by blunting the physiological effect of erythropoietin. Pharmacologically increasing the erythropoietin level corrects the anemia in about half the treated patients. Several studies have shown that quality of life is substantially improved through such therapy","author":[{"dropping-particle":"","family":"Dicato","given":"Mario","non-dropping-particle":"","parse-names":false,"suffix":""}],"container-title":"The Oncologist","id":"ITEM-1","issue":"S1","issued":{"date-parts":[["2003","2"]]},"page":"19-21","publisher":"Alphamed Press","title":"Anemia in Cancer: Some Pathophysiological Aspects","type":"article-journal","volume":"8"},"uris":["http://www.mendeley.com/documents/?uuid=5c0392fc-6308-309f-a4fb-4dd1bd135a5a"]}],"mendeley":{"formattedCitation":"[4]","plainTextFormattedCitation":"[4]","previouslyFormattedCitation":"[4]"},"properties":{"noteIndex":0},"schema":"https://github.com/citation-style-language/schema/raw/master/csl-citation.json"}</w:instrText>
      </w:r>
      <w:r w:rsidR="000145B4">
        <w:rPr>
          <w:rFonts w:eastAsia="Calibri"/>
        </w:rPr>
        <w:fldChar w:fldCharType="separate"/>
      </w:r>
      <w:r w:rsidR="0083096C" w:rsidRPr="0083096C">
        <w:rPr>
          <w:rFonts w:eastAsia="Calibri"/>
          <w:noProof/>
        </w:rPr>
        <w:t>[4]</w:t>
      </w:r>
      <w:r w:rsidR="000145B4">
        <w:rPr>
          <w:rFonts w:eastAsia="Calibri"/>
        </w:rPr>
        <w:fldChar w:fldCharType="end"/>
      </w:r>
      <w:r w:rsidRPr="000C05A6">
        <w:rPr>
          <w:rFonts w:eastAsia="Calibri"/>
        </w:rPr>
        <w:t>. Характерными патофизиологическими чертами АЗН являются:</w:t>
      </w:r>
    </w:p>
    <w:p w:rsidR="000C05A6" w:rsidRPr="000C05A6" w:rsidRDefault="000C05A6" w:rsidP="00475ED5">
      <w:pPr>
        <w:pStyle w:val="afb"/>
        <w:numPr>
          <w:ilvl w:val="0"/>
          <w:numId w:val="19"/>
        </w:numPr>
        <w:rPr>
          <w:rFonts w:eastAsia="Calibri"/>
        </w:rPr>
      </w:pPr>
      <w:r w:rsidRPr="000C05A6">
        <w:rPr>
          <w:rFonts w:eastAsia="Calibri"/>
        </w:rPr>
        <w:t>укорочение продолжительности жизни эритроцитов, связанное с опосредованным действием TNF-α и IL-1</w:t>
      </w:r>
      <w:r w:rsidR="000145B4">
        <w:rPr>
          <w:rFonts w:eastAsia="Calibri"/>
        </w:rPr>
        <w:fldChar w:fldCharType="begin" w:fldLock="1"/>
      </w:r>
      <w:r w:rsidR="00377A20">
        <w:rPr>
          <w:rFonts w:eastAsia="Calibri"/>
        </w:rPr>
        <w:instrText>ADDIN CSL_CITATION {"citationItems":[{"id":"ITEM-1","itemData":{"author":[{"dropping-particle":"","family":"Павлов","given":"А.Д.","non-dropping-particle":"","parse-names":false,"suffix":""},{"dropping-particle":"","family":"Морщакова","given":"Е.Ф.","non-dropping-particle":"","parse-names":false,"suffix":""},{"dropping-particle":"","family":"Румянцев","given":"А.Г.","non-dropping-particle":"","parse-names":false,"suffix":""}],"id":"ITEM-1","issued":{"date-parts":[["2011"]]},"number-of-pages":"304","publisher":"М.: ГЭОТАР-Медиа","title":"Эритропоэз, эритропоэтин, железо","type":"book"},"uris":["http://www.mendeley.com/documents/?uuid=7d13ba1f-fecc-40d1-893f-f58544f00bb8"]},{"id":"ITEM-2","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Oncology","id":"ITEM-2","issue":"Supp. 7","issued":{"date-parts":[["2010"]]},"page":"167-172","title":"Anemia in Cancer","type":"article-journal","volume":"21"},"uris":["http://www.mendeley.com/documents/?uuid=e742db3e-ad84-44fc-b675-f836c903110b"]}],"mendeley":{"formattedCitation":"[2,5]","plainTextFormattedCitation":"[2,5]","previouslyFormattedCitation":"[2,5]"},"properties":{"noteIndex":0},"schema":"https://github.com/citation-style-language/schema/raw/master/csl-citation.json"}</w:instrText>
      </w:r>
      <w:r w:rsidR="000145B4">
        <w:rPr>
          <w:rFonts w:eastAsia="Calibri"/>
        </w:rPr>
        <w:fldChar w:fldCharType="separate"/>
      </w:r>
      <w:r w:rsidR="0083096C" w:rsidRPr="0083096C">
        <w:rPr>
          <w:rFonts w:eastAsia="Calibri"/>
          <w:noProof/>
        </w:rPr>
        <w:t>[2,5]</w:t>
      </w:r>
      <w:r w:rsidR="000145B4">
        <w:rPr>
          <w:rFonts w:eastAsia="Calibri"/>
        </w:rPr>
        <w:fldChar w:fldCharType="end"/>
      </w:r>
      <w:r w:rsidRPr="000C05A6">
        <w:rPr>
          <w:rFonts w:eastAsia="Calibri"/>
        </w:rPr>
        <w:t>;</w:t>
      </w:r>
    </w:p>
    <w:p w:rsidR="000C05A6" w:rsidRPr="000C05A6" w:rsidRDefault="000C05A6" w:rsidP="00475ED5">
      <w:pPr>
        <w:pStyle w:val="afb"/>
        <w:numPr>
          <w:ilvl w:val="0"/>
          <w:numId w:val="19"/>
        </w:numPr>
        <w:rPr>
          <w:rFonts w:eastAsia="Calibri"/>
        </w:rPr>
      </w:pPr>
      <w:r w:rsidRPr="000C05A6">
        <w:rPr>
          <w:rFonts w:eastAsia="Calibri"/>
        </w:rPr>
        <w:t xml:space="preserve">нарушение </w:t>
      </w:r>
      <w:r w:rsidRPr="00345AC3">
        <w:rPr>
          <w:rFonts w:eastAsia="Calibri"/>
          <w:color w:val="000000" w:themeColor="text1"/>
        </w:rPr>
        <w:t>метаболизма железа вследствие повышенной продукции геп</w:t>
      </w:r>
      <w:r w:rsidR="00EA6E3C" w:rsidRPr="00345AC3">
        <w:rPr>
          <w:rFonts w:eastAsia="Calibri"/>
          <w:color w:val="000000" w:themeColor="text1"/>
        </w:rPr>
        <w:t>с</w:t>
      </w:r>
      <w:r w:rsidRPr="00345AC3">
        <w:rPr>
          <w:rFonts w:eastAsia="Calibri"/>
          <w:color w:val="000000" w:themeColor="text1"/>
        </w:rPr>
        <w:t>идина, ко</w:t>
      </w:r>
      <w:r w:rsidRPr="000C05A6">
        <w:rPr>
          <w:rFonts w:eastAsia="Calibri"/>
        </w:rPr>
        <w:t xml:space="preserve">торый уменьшает всасывание железа в желудочно-кишечном </w:t>
      </w:r>
      <w:r w:rsidRPr="000C05A6">
        <w:rPr>
          <w:rFonts w:eastAsia="Calibri"/>
        </w:rPr>
        <w:lastRenderedPageBreak/>
        <w:t>тракте и нарушает его реутилизацию из клеток моноцитарно-макрофагальной системы</w:t>
      </w:r>
      <w:r w:rsidR="000145B4">
        <w:rPr>
          <w:rFonts w:eastAsia="Calibri"/>
        </w:rPr>
        <w:fldChar w:fldCharType="begin" w:fldLock="1"/>
      </w:r>
      <w:r w:rsidR="003D5770">
        <w:rPr>
          <w:rFonts w:eastAsia="Calibri"/>
        </w:rPr>
        <w:instrText>ADDIN CSL_CITATION {"citationItems":[{"id":"ITEM-1","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Oncology","id":"ITEM-1","issue":"Supp. 7","issued":{"date-parts":[["2010"]]},"page":"167-172","title":"Anemia in Cancer","type":"article-journal","volume":"21"},"uris":["http://www.mendeley.com/documents/?uuid=e742db3e-ad84-44fc-b675-f836c903110b"]},{"id":"ITEM-2","itemData":{"DOI":"10.1182/blood-2005-07-2854","ISSN":"00064971","PMID":"16332970","abstract":"The anemia of chronic disease (ACD) results from 3 major processes: slightly shortened red cell survival, impaired reticuloendothelial system iron mobilization, and impaired erythropoiesis. Hepcidin is an acute-phase protein with specific iron regulatory properties, which, along with the anemia seen with increased hepcidin expression, have led many to consider it the major mediator of ACD. However, if hepcidin is the major factor responsible for ACD, then it should also contribute to the impaired erythropoiesis observed in this syndrome. Erythroid colony formation in vitro was inhibited by hepcidin at erythropoietin (Epo) concentrations less than or equal to 0.5 U/mL but not at Epo 1.0 U/mL. At Epo concentrations of 0.3 U/mL, HCD57 erythroleukemia cells exposed to hepcidin exhibit decreased expression of the antiapoptotic protein pBad compared with controls. These studies suggest that hepcidin may contribute to anemia in ACD not only through effects on iron metabolism, but also through inhibition of erythroid progenitor proliferation and survival. © 2006 by The American Society of Hematology.","author":[{"dropping-particle":"","family":"Dallalio","given":"Gail","non-dropping-particle":"","parse-names":false,"suffix":""},{"dropping-particle":"","family":"Law","given":"Erin","non-dropping-particle":"","parse-names":false,"suffix":""},{"dropping-particle":"","family":"Means","given":"Robert T.","non-dropping-particle":"","parse-names":false,"suffix":""}],"container-title":"Blood","id":"ITEM-2","issue":"7","issued":{"date-parts":[["2006","4","1"]]},"page":"2702-2704","publisher":"Blood","title":"Hepcidin inhibits in vitro erythroid colony formation at reduced erythropoietin concentrations","type":"article-journal","volume":"107"},"uris":["http://www.mendeley.com/documents/?uuid=69e0be49-210e-3250-b349-53485a936ef1"]}],"mendeley":{"formattedCitation":"[5,6]","plainTextFormattedCitation":"[5,6]","previouslyFormattedCitation":"[5,6]"},"properties":{"noteIndex":0},"schema":"https://github.com/citation-style-language/schema/raw/master/csl-citation.json"}</w:instrText>
      </w:r>
      <w:r w:rsidR="000145B4">
        <w:rPr>
          <w:rFonts w:eastAsia="Calibri"/>
        </w:rPr>
        <w:fldChar w:fldCharType="separate"/>
      </w:r>
      <w:r w:rsidR="00377A20" w:rsidRPr="00377A20">
        <w:rPr>
          <w:rFonts w:eastAsia="Calibri"/>
          <w:noProof/>
        </w:rPr>
        <w:t>[5,6]</w:t>
      </w:r>
      <w:r w:rsidR="000145B4">
        <w:rPr>
          <w:rFonts w:eastAsia="Calibri"/>
        </w:rPr>
        <w:fldChar w:fldCharType="end"/>
      </w:r>
      <w:r w:rsidRPr="000C05A6">
        <w:rPr>
          <w:rFonts w:eastAsia="Calibri"/>
        </w:rPr>
        <w:t>;</w:t>
      </w:r>
    </w:p>
    <w:p w:rsidR="000C05A6" w:rsidRPr="000C05A6" w:rsidRDefault="000C05A6" w:rsidP="00475ED5">
      <w:pPr>
        <w:pStyle w:val="afb"/>
        <w:numPr>
          <w:ilvl w:val="0"/>
          <w:numId w:val="19"/>
        </w:numPr>
        <w:rPr>
          <w:rFonts w:eastAsia="Calibri"/>
        </w:rPr>
      </w:pPr>
      <w:r w:rsidRPr="000C05A6">
        <w:rPr>
          <w:rFonts w:eastAsia="Calibri"/>
        </w:rPr>
        <w:t>супрессия эритроидных предшественников, вызванная действием  IL-1, TNF-α, IFN-ɣ</w:t>
      </w:r>
      <w:r w:rsidR="000145B4">
        <w:rPr>
          <w:rFonts w:eastAsia="Calibri"/>
        </w:rPr>
        <w:fldChar w:fldCharType="begin" w:fldLock="1"/>
      </w:r>
      <w:r w:rsidR="00DF4352">
        <w:rPr>
          <w:rFonts w:eastAsia="Calibri"/>
        </w:rPr>
        <w:instrText>ADDIN CSL_CITATION {"citationItems":[{"id":"ITEM-1","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Oncology","id":"ITEM-1","issue":"Supp. 7","issued":{"date-parts":[["2010"]]},"page":"167-172","title":"Anemia in Cancer","type":"article-journal","volume":"21"},"uris":["http://www.mendeley.com/documents/?uuid=e742db3e-ad84-44fc-b675-f836c903110b"]},{"id":"ITEM-2","itemData":{"author":[{"dropping-particle":"","family":"Wang","given":"Wen","non-dropping-particle":"","parse-names":false,"suffix":""},{"dropping-particle":"","family":"Zhang","given":"Mao-Hong","non-dropping-particle":"","parse-names":false,"suffix":""},{"dropping-particle":"","family":"Yu","given":"Yuan","non-dropping-particle":"","parse-names":false,"suffix":""},{"dropping-particle":"","family":"Xu","given":"Cong-gao","non-dropping-particle":"","parse-names":false,"suffix":""}],"container-title":"Zhonghua Xue Ye Xue Za Zhi","id":"ITEM-2","issue":"10","issued":{"date-parts":[["2007"]]},"page":"681-684","title":"Influence of Tumor Necrosis Factor-Alpha and Interferon-Gamma on Erythropoietin Production and Erythropoiesis in Cancer Patients With Anemia","type":"article-journal","volume":"28"},"uris":["http://www.mendeley.com/documents/?uuid=a8d27b13-0756-353b-b493-daa2850ebc06"]}],"mendeley":{"formattedCitation":"[5,7]","plainTextFormattedCitation":"[5,7]","previouslyFormattedCitation":"[5,7]"},"properties":{"noteIndex":0},"schema":"https://github.com/citation-style-language/schema/raw/master/csl-citation.json"}</w:instrText>
      </w:r>
      <w:r w:rsidR="000145B4">
        <w:rPr>
          <w:rFonts w:eastAsia="Calibri"/>
        </w:rPr>
        <w:fldChar w:fldCharType="separate"/>
      </w:r>
      <w:r w:rsidR="003D5770" w:rsidRPr="003D5770">
        <w:rPr>
          <w:rFonts w:eastAsia="Calibri"/>
          <w:noProof/>
        </w:rPr>
        <w:t>[5,7]</w:t>
      </w:r>
      <w:r w:rsidR="000145B4">
        <w:rPr>
          <w:rFonts w:eastAsia="Calibri"/>
        </w:rPr>
        <w:fldChar w:fldCharType="end"/>
      </w:r>
      <w:r w:rsidRPr="000C05A6">
        <w:rPr>
          <w:rFonts w:eastAsia="Calibri"/>
        </w:rPr>
        <w:t>;</w:t>
      </w:r>
    </w:p>
    <w:p w:rsidR="000C05A6" w:rsidRPr="000C05A6" w:rsidRDefault="000C05A6" w:rsidP="00475ED5">
      <w:pPr>
        <w:pStyle w:val="afb"/>
        <w:numPr>
          <w:ilvl w:val="0"/>
          <w:numId w:val="19"/>
        </w:numPr>
        <w:rPr>
          <w:rFonts w:eastAsia="Calibri"/>
        </w:rPr>
      </w:pPr>
      <w:r w:rsidRPr="000C05A6">
        <w:rPr>
          <w:rFonts w:eastAsia="Calibri"/>
        </w:rPr>
        <w:t>снижение продукции эритропоэтина (ЭПО) в почках из-за прямого ингибирующего действия TNF-α и IL-1</w:t>
      </w:r>
      <w:r w:rsidR="000145B4">
        <w:rPr>
          <w:rFonts w:eastAsia="Calibri"/>
        </w:rPr>
        <w:fldChar w:fldCharType="begin" w:fldLock="1"/>
      </w:r>
      <w:r w:rsidR="00AF4C82">
        <w:rPr>
          <w:rFonts w:eastAsia="Calibri"/>
        </w:rPr>
        <w:instrText>ADDIN CSL_CITATION {"citationItems":[{"id":"ITEM-1","itemData":{"author":[{"dropping-particle":"","family":"Wang","given":"Wen","non-dropping-particle":"","parse-names":false,"suffix":""},{"dropping-particle":"","family":"Zhang","given":"Mao-Hong","non-dropping-particle":"","parse-names":false,"suffix":""},{"dropping-particle":"","family":"Yu","given":"Yuan","non-dropping-particle":"","parse-names":false,"suffix":""},{"dropping-particle":"","family":"Xu","given":"Cong-gao","non-dropping-particle":"","parse-names":false,"suffix":""}],"container-title":"Zhonghua Xue Ye Xue Za Zhi","id":"ITEM-1","issue":"10","issued":{"date-parts":[["2007"]]},"page":"681-684","title":"Influence of Tumor Necrosis Factor-Alpha and Interferon-Gamma on Erythropoietin Production and Erythropoiesis in Cancer Patients With Anemia","type":"article-journal","volume":"28"},"uris":["http://www.mendeley.com/documents/?uuid=a8d27b13-0756-353b-b493-daa2850ebc06"]},{"id":"ITEM-2","itemData":{"DOI":"10.1182/blood-2005-07-2854","ISSN":"00064971","PMID":"16332970","abstract":"The anemia of chronic disease (ACD) results from 3 major processes: slightly shortened red cell survival, impaired reticuloendothelial system iron mobilization, and impaired erythropoiesis. Hepcidin is an acute-phase protein with specific iron regulatory properties, which, along with the anemia seen with increased hepcidin expression, have led many to consider it the major mediator of ACD. However, if hepcidin is the major factor responsible for ACD, then it should also contribute to the impaired erythropoiesis observed in this syndrome. Erythroid colony formation in vitro was inhibited by hepcidin at erythropoietin (Epo) concentrations less than or equal to 0.5 U/mL but not at Epo 1.0 U/mL. At Epo concentrations of 0.3 U/mL, HCD57 erythroleukemia cells exposed to hepcidin exhibit decreased expression of the antiapoptotic protein pBad compared with controls. These studies suggest that hepcidin may contribute to anemia in ACD not only through effects on iron metabolism, but also through inhibition of erythroid progenitor proliferation and survival. © 2006 by The American Society of Hematology.","author":[{"dropping-particle":"","family":"Dallalio","given":"Gail","non-dropping-particle":"","parse-names":false,"suffix":""},{"dropping-particle":"","family":"Law","given":"Erin","non-dropping-particle":"","parse-names":false,"suffix":""},{"dropping-particle":"","family":"Means","given":"Robert T.","non-dropping-particle":"","parse-names":false,"suffix":""}],"container-title":"Blood","id":"ITEM-2","issue":"7","issued":{"date-parts":[["2006","4","1"]]},"page":"2702-2704","publisher":"Blood","title":"Hepcidin inhibits in vitro erythroid colony formation at reduced erythropoietin concentrations","type":"article-journal","volume":"107"},"uris":["http://www.mendeley.com/documents/?uuid=69e0be49-210e-3250-b349-53485a936ef1"]}],"mendeley":{"formattedCitation":"[6,7]","plainTextFormattedCitation":"[6,7]","previouslyFormattedCitation":"[6,7]"},"properties":{"noteIndex":0},"schema":"https://github.com/citation-style-language/schema/raw/master/csl-citation.json"}</w:instrText>
      </w:r>
      <w:r w:rsidR="000145B4">
        <w:rPr>
          <w:rFonts w:eastAsia="Calibri"/>
        </w:rPr>
        <w:fldChar w:fldCharType="separate"/>
      </w:r>
      <w:r w:rsidR="00DF4352" w:rsidRPr="00DF4352">
        <w:rPr>
          <w:rFonts w:eastAsia="Calibri"/>
          <w:noProof/>
        </w:rPr>
        <w:t>[6,7]</w:t>
      </w:r>
      <w:r w:rsidR="000145B4">
        <w:rPr>
          <w:rFonts w:eastAsia="Calibri"/>
        </w:rPr>
        <w:fldChar w:fldCharType="end"/>
      </w:r>
      <w:r w:rsidRPr="000C05A6">
        <w:rPr>
          <w:rFonts w:eastAsia="Calibri"/>
        </w:rPr>
        <w:t>.</w:t>
      </w:r>
    </w:p>
    <w:p w:rsidR="000C05A6" w:rsidRPr="000C05A6" w:rsidRDefault="000C05A6" w:rsidP="00C7421E">
      <w:pPr>
        <w:pStyle w:val="afb"/>
        <w:rPr>
          <w:rFonts w:eastAsia="Calibri"/>
        </w:rPr>
      </w:pPr>
      <w:r w:rsidRPr="000C05A6">
        <w:rPr>
          <w:rFonts w:eastAsia="Calibri"/>
        </w:rPr>
        <w:t xml:space="preserve">Результаты </w:t>
      </w:r>
      <w:r w:rsidRPr="00505412">
        <w:rPr>
          <w:rFonts w:eastAsia="Calibri"/>
          <w:color w:val="000000" w:themeColor="text1"/>
        </w:rPr>
        <w:t xml:space="preserve">проведенных исследований постулируют дефектный эритропоэз, как главную причину анемии у </w:t>
      </w:r>
      <w:r w:rsidR="00480F4A" w:rsidRPr="00505412">
        <w:rPr>
          <w:rFonts w:eastAsia="Calibri"/>
          <w:color w:val="000000" w:themeColor="text1"/>
        </w:rPr>
        <w:t>пациентов</w:t>
      </w:r>
      <w:r w:rsidRPr="00505412">
        <w:rPr>
          <w:rFonts w:eastAsia="Calibri"/>
          <w:color w:val="000000" w:themeColor="text1"/>
        </w:rPr>
        <w:t xml:space="preserve"> с </w:t>
      </w:r>
      <w:r w:rsidRPr="000C05A6">
        <w:rPr>
          <w:rFonts w:eastAsia="Calibri"/>
        </w:rPr>
        <w:t>онкологическими заболеваниями</w:t>
      </w:r>
      <w:r w:rsidR="000145B4">
        <w:rPr>
          <w:rFonts w:eastAsia="Calibri"/>
        </w:rPr>
        <w:fldChar w:fldCharType="begin" w:fldLock="1"/>
      </w:r>
      <w:r w:rsidR="00345AC3">
        <w:rPr>
          <w:rFonts w:eastAsia="Calibri"/>
        </w:rPr>
        <w:instrText>ADDIN CSL_CITATION {"citationItems":[{"id":"ITEM-1","itemData":{"author":[{"dropping-particle":"","family":"Corazza","given":"F.","non-dropping-particle":"","parse-names":false,"suffix":""},{"dropping-particle":"","family":"Beguin","given":"Y.","non-dropping-particle":"","parse-names":false,"suffix":""},{"dropping-particle":"","family":"Bergmann","given":"P.","non-dropping-particle":"","parse-names":false,"suffix":""},{"dropping-particle":"","family":"André","given":"M.","non-dropping-particle":"","parse-names":false,"suffix":""},{"dropping-particle":"","family":"Ferster","given":"A.","non-dropping-particle":"","parse-names":false,"suffix":""},{"dropping-particle":"","family":"Devalck","given":"C.","non-dropping-particle":"","parse-names":false,"suffix":""},{"dropping-particle":"","family":"Fondu","given":"P.","non-dropping-particle":"","parse-names":false,"suffix":""},{"dropping-particle":"","family":"Buyse","given":"M.","non-dropping-particle":"","parse-names":false,"suffix":""},{"dropping-particle":"","family":"Sariban E.","given":"","non-dropping-particle":"","parse-names":false,"suffix":""}],"container-title":"Blood","id":"ITEM-1","issue":"5","issued":{"date-parts":[["1998","9","1"]]},"page":"1793-1798","title":"Anemia in Children With Cancer Is Associated With Decreased Erythropoietic Activity and Not With Inadequate Erythropoietin Production","type":"article-journal","volume":"92"},"uris":["http://www.mendeley.com/documents/?uuid=1b5d0737-7b6f-367e-a707-6e16240b9857"]},{"id":"ITEM-2","itemData":{"DOI":"10.3346/jkms.2002.17.3.337","ISSN":"10118934","PMID":"12068136","abstract":"Evaluation of the mechanism of anemia in cancer patients might help to select patients for the more efficient use of erythropoietin (EPO, a growth factor for erythroid precursor cells). For this, we investigated whether the production of EPO responds to anemia and the bone marrow responds to EPO appropriately, and whether chronic inflammation is inhibitory to erythropoiesis in anemic cancer children. Serum levels of EPO, soluble transferrin receptor (sTfR), tumor necrosis factor (TNF)-alpha, and erythrocyte sedimentation rate (ESR) in anemic cancer children were measured by enzyme-linked immunosorbent assay and then the correlation coefficients between those parameters and hemoglobin (Hb) were determined. Both in leukemia and in solid tumor patients, there were significant inverse correlations between Hb and EPO (leukemia: tau=-0.547, p&lt;0.0001; solid tumor: tau=-0.591, p&lt;0.0001), and between sTfR and EPO (leukemia: tau=-0.223, p&lt;0.05; solid tumor: tau=-0.401, p&lt;0.05). In contrast, sTfR showed a correlation with Hb in leukemia (tau=0.216, p&lt;0.05) but not in solid tumor patients. sTfR was suppressed in 53% of anemic episodes of leukemia and 78% of those of solid tumor patients. Our results suggest that in cancer children, the EPO production is not defective and chronic inflammation is not inhibitory to erythropoiesis. Rather, the defective erythropoiesis itself is thought to be responsible for the anemia.","author":[{"dropping-particle":"","family":"Kim","given":"Mun Hee","non-dropping-particle":"","parse-names":false,"suffix":""},{"dropping-particle":"","family":"Lee","given":"Jung Hwa","non-dropping-particle":"","parse-names":false,"suffix":""},{"dropping-particle":"","family":"Wu","given":"Chan Wuk","non-dropping-particle":"","parse-names":false,"suffix":""},{"dropping-particle":"","family":"Cho","given":"Sung Won","non-dropping-particle":"","parse-names":false,"suffix":""},{"dropping-particle":"","family":"Lee","given":"Kwang Chul","non-dropping-particle":"","parse-names":false,"suffix":""}],"container-title":"Journal of Korean medical science","id":"ITEM-2","issue":"3","issued":{"date-parts":[["2002"]]},"page":"337-340","publisher":"J Korean Med Sci","title":"Defective erythropoiesis in bone marrow is a mechanism of anemia in children with cancer.","type":"article-journal","volume":"17"},"uris":["http://www.mendeley.com/documents/?uuid=f3b7cd74-443b-3f45-86e8-89b507d1a932"]},{"id":"ITEM-3","itemData":{"DOI":"10.1634/theoncologist.8-suppl_1-19","ISSN":"1083-7159","abstract":"More than 30% of cancer patients experience anemia and its side effect, fatigue. Its causes can be numerous, but anemia is usually secondary to an imbalance of cytokines. Among these, tumor necrosis factor-alpha seems to be the major culprit, creating anemia by blunting the physiological effect of erythropoietin. Pharmacologically increasing the erythropoietin level corrects the anemia in about half the treated patients. Several studies have shown that quality of life is substantially improved through such therapy","author":[{"dropping-particle":"","family":"Dicato","given":"Mario","non-dropping-particle":"","parse-names":false,"suffix":""}],"container-title":"The Oncologist","id":"ITEM-3","issue":"S1","issued":{"date-parts":[["2003","2"]]},"page":"19-21","publisher":"Alphamed Press","title":"Anemia in Cancer: Some Pathophysiological Aspects","type":"article-journal","volume":"8"},"uris":["http://www.mendeley.com/documents/?uuid=5c0392fc-6308-309f-a4fb-4dd1bd135a5a"]},{"id":"ITEM-4","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Oncology","id":"ITEM-4","issue":"Supp. 7","issued":{"date-parts":[["2010"]]},"page":"167-172","title":"Anemia in Cancer","type":"article-journal","volume":"21"},"uris":["http://www.mendeley.com/documents/?uuid=e742db3e-ad84-44fc-b675-f836c903110b"]}],"mendeley":{"formattedCitation":"[4,5,8,9]","plainTextFormattedCitation":"[4,5,8,9]","previouslyFormattedCitation":"[4,5,8,9]"},"properties":{"noteIndex":0},"schema":"https://github.com/citation-style-language/schema/raw/master/csl-citation.json"}</w:instrText>
      </w:r>
      <w:r w:rsidR="000145B4">
        <w:rPr>
          <w:rFonts w:eastAsia="Calibri"/>
        </w:rPr>
        <w:fldChar w:fldCharType="separate"/>
      </w:r>
      <w:r w:rsidR="00345AC3" w:rsidRPr="00345AC3">
        <w:rPr>
          <w:rFonts w:eastAsia="Calibri"/>
          <w:noProof/>
        </w:rPr>
        <w:t>[4,5,8,9]</w:t>
      </w:r>
      <w:r w:rsidR="000145B4">
        <w:rPr>
          <w:rFonts w:eastAsia="Calibri"/>
        </w:rPr>
        <w:fldChar w:fldCharType="end"/>
      </w:r>
      <w:r w:rsidRPr="000C05A6">
        <w:rPr>
          <w:rFonts w:eastAsia="Calibri"/>
        </w:rPr>
        <w:t>. У детей с острыми лейкозами результаты исследований демонстрируют сохраненную адекватную продукцию ЭПО степени тяжести анемии</w:t>
      </w:r>
      <w:r w:rsidR="000145B4">
        <w:rPr>
          <w:rFonts w:eastAsia="Calibri"/>
        </w:rPr>
        <w:fldChar w:fldCharType="begin" w:fldLock="1"/>
      </w:r>
      <w:r w:rsidR="00617339">
        <w:rPr>
          <w:rFonts w:eastAsia="Calibri"/>
        </w:rPr>
        <w:instrText>ADDIN CSL_CITATION {"citationItems":[{"id":"ITEM-1","itemData":{"DOI":"10.1016/0145-2126(94)90162-7","ISSN":"01452126","abstract":"Thirty-five children with acute lymphoblastic leukemia were monitored weekly during the first 12 weeks of chemotherapy. The transferrin receptor (TfR) concentration was 2.8 ± 0.2 mg/I (mean ± S.E.M.) at diagnosis, decreased up to 3 weeks, and then increased reaching a maximal level at 8 weeks. The mean values for reticulocyte counts followed a similar pattern. In contrast, serum erythropoietin and ferritin levels were generally high. Those patients whose erythropoiesis was more accelerated had higher serum TfR concentrations. We conclude that among these patients the TfR level reflected the rate of erythropoiesis and was independent of the level of erythropoietin. © 1994.","author":[{"dropping-particle":"","family":"Kivivuori","given":"Sanna M.","non-dropping-particle":"","parse-names":false,"suffix":""},{"dropping-particle":"","family":"Viinikka","given":"Lasse","non-dropping-particle":"","parse-names":false,"suffix":""},{"dropping-particle":"","family":"Teppo","given":"Anna Maija","non-dropping-particle":"","parse-names":false,"suffix":""},{"dropping-particle":"","family":"Siimes","given":"Martti A.","non-dropping-particle":"","parse-names":false,"suffix":""}],"container-title":"Leukemia Research","id":"ITEM-1","issue":"11","issued":{"date-parts":[["1994"]]},"page":"823-828","publisher":"Leuk Res","title":"Serum transferrin receptor and erythropoiesis in children with newly diagnosed acute lymphoblastic leukemia","type":"article-journal","volume":"18"},"uris":["http://www.mendeley.com/documents/?uuid=580e89a0-df71-30af-b24f-7a3d82e39a7a"]},{"id":"ITEM-2","itemData":{"DOI":"10.1111/j.1600-0609.1990.tb00370.x","ISSN":"16000609","abstract":"Abstract: Most children with leukaemia are anaemic at diagnosis and at various times during treatment. Serum erythropoietin (EPO) was estimated in 27 children with acute leukaemia (n = 26) or lymphoma (n = 1) at diagnosis (n = 16), in relation to treatment with high‐dose methotrexate (MTX, n = 11) or cytosine arabinoside (Ara‐C, n = 8), and during oral maintenance therapy (n = 10). At diagnosis, in children with anaemia serum EPO was increased, and was inversely related to haemoglobin (Hb). After treatment with high‐dose MTX, in some children serum EPO increased where Hb was unchanged or increased. After treatment with high‐dose Ara‐C, Hb declined, and serum EPO increased markedly in everyone. During oral maintenance therapy without significant anaemia, serum EPO was slightly increased in some children. In conclusion, children with leukaemia respond to anaemia with increased serum EPO concentration, but in relation to treatment with high‐dose MTX and Ara‐C, additional mechanisms may influence the EPO concentration. © Munksgaard 1990","author":[{"dropping-particle":"","family":"Hellebostad","given":"Marit","non-dropping-particle":"","parse-names":false,"suffix":""},{"dropping-particle":"","family":"Marstrander","given":"Jens","non-dropping-particle":"","parse-names":false,"suffix":""},{"dropping-particle":"","family":"Slørdahl","given":"Sofie H.","non-dropping-particle":"","parse-names":false,"suffix":""},{"dropping-particle":"","family":"Cotes","given":"P. Mary","non-dropping-particle":"","parse-names":false,"suffix":""},{"dropping-particle":"","family":"Refsum","given":"Harald E.","non-dropping-particle":"","parse-names":false,"suffix":""}],"container-title":"European Journal of Haematology","id":"ITEM-2","issue":"3","issued":{"date-parts":[["1990"]]},"page":"159-164","publisher":"Eur J Haematol","title":"Serum immunoreactive erythropoietin in children with acute leukaemia at various stages of disease — and the effects of treatment","type":"article-journal","volume":"44"},"uris":["http://www.mendeley.com/documents/?uuid=4a72c6bc-8f90-3a6c-bb3b-41d65443559a"]},{"id":"ITEM-3","itemData":{"DOI":"10.1002/(SICI)1096-911X(199704)28:4&lt;259::AID-MPO4&gt;3.0.CO;2-H","ISSN":"0098-1532","PMID":"9078322","author":[{"dropping-particle":"","family":"Dowd","given":"MD","non-dropping-particle":"","parse-names":false,"suffix":""},{"dropping-particle":"","family":"Morgan","given":"ER","non-dropping-particle":"","parse-names":false,"suffix":""},{"dropping-particle":"","family":"Langman","given":"CB","non-dropping-particle":"","parse-names":false,"suffix":""},{"dropping-particle":"","family":"Murphy","given":"S","non-dropping-particle":"","parse-names":false,"suffix":""}],"container-title":"Medical and pediatric oncology","id":"ITEM-3","issue":"4","issued":{"date-parts":[["1997"]]},"publisher":"Med Pediatr Oncol","title":"Serum Erythropoietin Levels in Children With Leukemia","type":"article-journal","volume":"28"},"uris":["http://www.mendeley.com/documents/?uuid=257fa114-5847-3c49-a74b-92dd14d1dda8"]},{"id":"ITEM-4","itemData":{"author":[{"dropping-particle":"","family":"Corazza","given":"F.V.","non-dropping-particle":"","parse-names":false,"suffix":""}],"container-title":"Bull Mem Acad R Med Belg","id":"ITEM-4","issue":"1-2","issued":{"date-parts":[["2008"]]},"page":"152-156","title":"Physiopathologic Aspects of Anemia and Thrombocytopenia in Children With Cancers: The Roles of Erythropoietin and Thrombopoietin","type":"article-journal","volume":"163"},"uris":["http://www.mendeley.com/documents/?uuid=7c1018c7-e7f5-39a7-ad37-97b4062a2eb5"]},{"id":"ITEM-5","itemData":{"author":[{"dropping-particle":"","family":"Лунякова","given":"М.А.","non-dropping-particle":"","parse-names":false,"suffix":""},{"dropping-particle":"","family":"Безнощенко","given":"А.Г.","non-dropping-particle":"","parse-names":false,"suffix":""},{"dropping-particle":"","family":"Демихов","given":"В.Г.","non-dropping-particle":"","parse-names":false,"suffix":""},{"dropping-particle":"","family":"Морщакова","given":"Е.Ф.","non-dropping-particle":"","parse-names":false,"suffix":""},{"dropping-particle":"","family":"Журина","given":"О.Н.","non-dropping-particle":"","parse-names":false,"suffix":""}],"container-title":"Онкогематология","id":"ITEM-5","issued":{"date-parts":[["2008"]]},"page":"54-55","title":"Уровни сывороточного эритропоэтина при анемиях у детей с острым лимфобластным лейкозом до начала химиотерапии","type":"article-journal","volume":"4"},"uris":["http://www.mendeley.com/documents/?uuid=a885a252-ea7a-44e6-bb0c-d738df63d7f0"]}],"mendeley":{"formattedCitation":"[10–14]","plainTextFormattedCitation":"[10–14]","previouslyFormattedCitation":"[10–14]"},"properties":{"noteIndex":0},"schema":"https://github.com/citation-style-language/schema/raw/master/csl-citation.json"}</w:instrText>
      </w:r>
      <w:r w:rsidR="000145B4">
        <w:rPr>
          <w:rFonts w:eastAsia="Calibri"/>
        </w:rPr>
        <w:fldChar w:fldCharType="separate"/>
      </w:r>
      <w:r w:rsidR="00217706" w:rsidRPr="00217706">
        <w:rPr>
          <w:rFonts w:eastAsia="Calibri"/>
          <w:noProof/>
        </w:rPr>
        <w:t>[10–14]</w:t>
      </w:r>
      <w:r w:rsidR="000145B4">
        <w:rPr>
          <w:rFonts w:eastAsia="Calibri"/>
        </w:rPr>
        <w:fldChar w:fldCharType="end"/>
      </w:r>
      <w:r w:rsidRPr="000C05A6">
        <w:rPr>
          <w:rFonts w:eastAsia="Calibri"/>
        </w:rPr>
        <w:t>.</w:t>
      </w:r>
    </w:p>
    <w:p w:rsidR="00EA6E3C" w:rsidRDefault="000C05A6" w:rsidP="00C7421E">
      <w:pPr>
        <w:pStyle w:val="afb"/>
        <w:rPr>
          <w:rFonts w:eastAsia="Calibri"/>
        </w:rPr>
      </w:pPr>
      <w:r w:rsidRPr="000C05A6">
        <w:rPr>
          <w:rFonts w:eastAsia="Calibri"/>
        </w:rPr>
        <w:t>Большинство режимов ХТ подавляют пролиферацию клеток предшественников гемопоэза в КМ. Ряд</w:t>
      </w:r>
      <w:r w:rsidR="00AE5092">
        <w:rPr>
          <w:rFonts w:eastAsia="Calibri"/>
        </w:rPr>
        <w:t xml:space="preserve"> противоопухолевых препаратов</w:t>
      </w:r>
      <w:r w:rsidRPr="000C05A6">
        <w:rPr>
          <w:rFonts w:eastAsia="Calibri"/>
        </w:rPr>
        <w:t xml:space="preserve"> (цисплатин</w:t>
      </w:r>
      <w:r w:rsidR="007800E2" w:rsidRPr="007800E2">
        <w:rPr>
          <w:rFonts w:eastAsia="Calibri"/>
        </w:rPr>
        <w:t>**</w:t>
      </w:r>
      <w:r w:rsidRPr="000C05A6">
        <w:rPr>
          <w:rFonts w:eastAsia="Calibri"/>
        </w:rPr>
        <w:t>, карбоплатин</w:t>
      </w:r>
      <w:r w:rsidR="007800E2" w:rsidRPr="007800E2">
        <w:rPr>
          <w:rFonts w:eastAsia="Calibri"/>
        </w:rPr>
        <w:t>**</w:t>
      </w:r>
      <w:r w:rsidRPr="000C05A6">
        <w:rPr>
          <w:rFonts w:eastAsia="Calibri"/>
        </w:rPr>
        <w:t>) непосредственно и избирательно подавляют продукцию ЭПО в почках, снижая чувствительность перитубулярных фибробластов к гипоксии. Некоторые противоопухолевые препараты, блокирующие синтез рибонуклеиновой кислоты (РНК) (антрациклины, циклофосф</w:t>
      </w:r>
      <w:r w:rsidR="007800E2">
        <w:rPr>
          <w:rFonts w:eastAsia="Calibri"/>
        </w:rPr>
        <w:t>амид</w:t>
      </w:r>
      <w:r w:rsidR="007800E2" w:rsidRPr="007800E2">
        <w:rPr>
          <w:rFonts w:eastAsia="Calibri"/>
        </w:rPr>
        <w:t>**</w:t>
      </w:r>
      <w:r w:rsidRPr="000C05A6">
        <w:rPr>
          <w:rFonts w:eastAsia="Calibri"/>
        </w:rPr>
        <w:t>, ифосфамид</w:t>
      </w:r>
      <w:r w:rsidR="007800E2" w:rsidRPr="007800E2">
        <w:rPr>
          <w:rFonts w:eastAsia="Calibri"/>
        </w:rPr>
        <w:t>**</w:t>
      </w:r>
      <w:r w:rsidRPr="000C05A6">
        <w:rPr>
          <w:rFonts w:eastAsia="Calibri"/>
        </w:rPr>
        <w:t>) или секрецию белка (винкристин</w:t>
      </w:r>
      <w:r w:rsidR="007800E2" w:rsidRPr="007800E2">
        <w:rPr>
          <w:rFonts w:eastAsia="Calibri"/>
        </w:rPr>
        <w:t>**</w:t>
      </w:r>
      <w:r w:rsidRPr="000C05A6">
        <w:rPr>
          <w:rFonts w:eastAsia="Calibri"/>
        </w:rPr>
        <w:t>), вызывают угнетение синтеза ЭПО</w:t>
      </w:r>
      <w:r w:rsidR="000145B4">
        <w:rPr>
          <w:rFonts w:eastAsia="Calibri"/>
        </w:rPr>
        <w:fldChar w:fldCharType="begin" w:fldLock="1"/>
      </w:r>
      <w:r w:rsidR="0021380F">
        <w:rPr>
          <w:rFonts w:eastAsia="Calibri"/>
        </w:rPr>
        <w:instrText>ADDIN CSL_CITATION {"citationItems":[{"id":"ITEM-1","itemData":{"DOI":"10.1111/j.1365-2141.1989.tb06271.x","ISSN":"00071048","PMID":"2917128","abstract":"Twenty children who were in unmaintained full haematological remission after treatment for acute lymphoblastic leukaemia (ALL) showed a significantly lower incidence of granulocyte-macrophage progenitor cells (GM-CFC) in the bone marrow compared to controls. This low incidence lasted for up to at least 3 years after the cessation of chemotherapy. There was no tendency to higher values with longer times after treatment, and the low incidence was not predictive of relapse. Long-term cultures from ALL bone marrows and from controls achieved similar levels of production of mature cells through the whole period of culture (6 weeks). However, cultures from patients' bone marrow had on average about 5 times lower numbers of GM-CFC, indicating that the level of mature cell production was achieved by a higher level of post-GM-CFC amplification than needed in the controls. This is taken to be due to compensatory mechanisms operative during stressed haemopoiesis which appears to be a long-lasting effect after current chemotherapy of ALL.","author":[{"dropping-particle":"","family":"Bhavnani","given":"M.","non-dropping-particle":"","parse-names":false,"suffix":""},{"dropping-particle":"","family":"Morris Jones","given":"P. H.","non-dropping-particle":"","parse-names":false,"suffix":""},{"dropping-particle":"","family":"Testa","given":"N. G.","non-dropping-particle":"","parse-names":false,"suffix":""}],"container-title":"British Journal of Haematology","id":"ITEM-1","issue":"1","issued":{"date-parts":[["1989"]]},"page":"37-41","publisher":"Br J Haematol","title":"Children in long-term remission after treatment for acute lymphoblastic leukaemia show persisting haemopoietic injury in clonal and long-term cultures","type":"article-journal","volume":"71"},"uris":["http://www.mendeley.com/documents/?uuid=c6e73113-19c6-32bc-acbf-eeac85675bf2"]},{"id":"ITEM-2","itemData":{"author":[{"dropping-particle":"","family":"Gardner","given":"R.V.","non-dropping-particle":"","parse-names":false,"suffix":""},{"dropping-particle":"","family":"Astle","given":"C.M.","non-dropping-particle":"","parse-names":false,"suffix":""},{"dropping-particle":"","family":"Harrison","given":"D.E.","non-dropping-particle":"","parse-names":false,"suffix":""}],"container-title":"Exp. Hematol.","id":"ITEM-2","issued":{"date-parts":[["1997"]]},"page":"495-501","title":"Hematopoietic Precursor Cell Exhaustion Is a Cause of Proliferative Defect in Primitive Hematopoietic Stem Cells (PHSC) After Chemotherapy","type":"article-journal","volume":"25"},"uris":["http://www.mendeley.com/documents/?uuid=3776a13e-5621-3f20-86fb-4234c9ec7b77"]},{"id":"ITEM-3","itemData":{"DOI":"10.1046/j.1365-2141.1998.00967.x","ISSN":"00071048","PMID":"9792298","abstract":"Bone marrow (BM) samples from 24 patients with acute leukaemia (AML 17, ALL seven) in first complete remission were compared to samples from 10 normal donors with regard to their content in long-term culture-initiating cells (LTC-IC) as assessed by a limiting dilution assay and the clonogeneic capacity of these cells, in order to determine whether remission marrow cells displayed any specific defect at the primitive stem cell level. The frequency of LTC-IC in the whole patient group was i in 3487 ± 3125 mononuclear cells (MNC) as compared to 1 in 794 ± 492 MNC in normal controls (P = 0.0009), with no difference between AML and ALL. Moreover, the clonogeneic capacities were 2.66 ± 0.7 (range 1.8-1.6) and 4.0 ± 1.6 (range 2.2-7.9) CFC per LTC- IC in patients and controls respectively (P=0.0015). These quantitative and qualitative defects were aggravated by treatment with mafosfamide at a dose of 50 μg/107 MNC/ml, where the mean recovery of LTC-IC after in vitro purging was 42%. In nine patients autografted with purged marrow following high-dose radiochemotherapy, no correlation could be detected between the dose of LTC-IC (mean 6742 ± 7877/kg) and the kinetics of recovery of haemopoiesis. We concluded that, in acute leukaemia patients in complete remission, the presumably normal residual stem cell pool was not only quantitatively diminished but also qualitatively altered in its capacity to give rise to clonogeneic progenitor cells.","author":[{"dropping-particle":"","family":"Yao","given":"M.","non-dropping-particle":"","parse-names":false,"suffix":""},{"dropping-particle":"","family":"Bouchet","given":"S.","non-dropping-particle":"","parse-names":false,"suffix":""},{"dropping-particle":"","family":"Harnois","given":"C.","non-dropping-particle":"","parse-names":false,"suffix":""},{"dropping-particle":"","family":"Giarratana","given":"M. C.","non-dropping-particle":"","parse-names":false,"suffix":""},{"dropping-particle":"","family":"Laporte","given":"J. P.","non-dropping-particle":"","parse-names":false,"suffix":""},{"dropping-particle":"","family":"Gorin","given":"N. C.","non-dropping-particle":"","parse-names":false,"suffix":""},{"dropping-particle":"","family":"Lopez","given":"M.","non-dropping-particle":"","parse-names":false,"suffix":""},{"dropping-particle":"","family":"Douay","given":"L.","non-dropping-particle":"","parse-names":false,"suffix":""}],"container-title":"British Journal of Haematology","id":"ITEM-3","issue":"1","issued":{"date-parts":[["1998"]]},"page":"124-128","publisher":"Br J Haematol","title":"Quantitative and qualitative alterations of long-term culture- initiating cells in patients with acute leukaemia in complete remission","type":"article-journal","volume":"103"},"uris":["http://www.mendeley.com/documents/?uuid=10bf422c-7867-3baa-8d64-623b842ac0d6"]},{"id":"ITEM-4","itemData":{"DOI":"10.1016/S0301-472X(99)00076-4","ISSN":"0301472X","PMID":"10480437","abstract":"Bone marrow transplant (BMT) relies on the engraftment of donor hemopoietic precursors in the host marrow space. Colony forming units- fibroblasts (CFU-f), the precursor compartment for the osteogenic lineage, are essential to hemopoietic stem cell survival, proliferation and differentiation. We have studied CFU-f in donors (aged 5 months to 62 years) and in patients who had received allogeneic BMT (aged 2 months to 63 years). In donor marrows we found an inverse correlation between CFU-f frequency and age. In BMT recipients CFU-f frequencies were reduced by 60%-90% (p &lt; 0.05) and the numbers did not recover up to 12 years after transplant. Stromal reconstitution to normal levels was found only in patients &lt; 5 years old. In all patients studied CFU-f post-BMT were of host origin. Patients with low CFU-f levels displayed also a decreased bone mineral density (p &lt; 0.05) and significantly reduced levels of long-term culture-initiating cells (LTC-IC) (p &lt; 0.05). Our study demonstrates that the marrow stromal microenvironment is seriously and irreversibly damaged after BMT. Donor cells do not contribute to reconstitute the marrow microenvironment, whose residual CFU-fs remain of host origin.","author":[{"dropping-particle":"","family":"Galotto","given":"Maria","non-dropping-particle":"","parse-names":false,"suffix":""},{"dropping-particle":"","family":"Berisso","given":"Giovanni","non-dropping-particle":"","parse-names":false,"suffix":""},{"dropping-particle":"","family":"Delfino","given":"Laura","non-dropping-particle":"","parse-names":false,"suffix":""},{"dropping-particle":"","family":"Podesta","given":"Marina","non-dropping-particle":"","parse-names":false,"suffix":""},{"dropping-particle":"","family":"Ottaggio","given":"Laura","non-dropping-particle":"","parse-names":false,"suffix":""},{"dropping-particle":"","family":"Dallorso","given":"Sandro","non-dropping-particle":"","parse-names":false,"suffix":""},{"dropping-particle":"","family":"Dufour","given":"Carlo","non-dropping-particle":"","parse-names":false,"suffix":""},{"dropping-particle":"","family":"Ferrara","given":"Giovanni Battista","non-dropping-particle":"","parse-names":false,"suffix":""},{"dropping-particle":"","family":"Abbondandolo","given":"Angelo","non-dropping-particle":"","parse-names":false,"suffix":""},{"dropping-particle":"","family":"Dini","given":"Giorgio","non-dropping-particle":"","parse-names":false,"suffix":""},{"dropping-particle":"","family":"Bacigalupo","given":"Andrea","non-dropping-particle":"","parse-names":false,"suffix":""},{"dropping-particle":"","family":"Cancedda","given":"Ranieri","non-dropping-particle":"","parse-names":false,"suffix":""},{"dropping-particle":"","family":"Quarto","given":"Rodolfo","non-dropping-particle":"","parse-names":false,"suffix":""}],"container-title":"Experimental Hematology","id":"ITEM-4","issue":"9","issued":{"date-parts":[["1999","9"]]},"page":"1460-1466","publisher":"Exp Hematol","title":"Stromal damage as consequence of high-dose chemo/radiotherapy in bone marrow transplant recipients","type":"article-journal","volume":"27"},"uris":["http://www.mendeley.com/documents/?uuid=f7c8c898-5d84-38e3-90eb-de9e113cd53b"]},{"id":"ITEM-5","itemData":{"DOI":"10.1084/jem.179.2.643","ISSN":"00221007","abstract":"Factors that induce proliferation of the human hematopoietic stem cell are ill-defined. Primitive hematopoietic progenitors can be maintained and differentiate in stroma-dependent, long-term bone marrow cultures (LTBMC), originally described by Dexter et al. (Dexter, T. M., L. H. Coutinho, E. Spooncer, C. M. Heyworth, C. P. Daniel, R. Schiro, J. Chang, and T. D. Allen. 1990. Molecular Control of Haemopoiesis). However, 70-80% of primitive progenitors capable of reinitiating secondary stromal cultures (LTBMC- initiating cells [IC]) are lost over a period of 5 wk in such cultures. We have recently described a novel 'stroma-noncontact' culture system, in which hematopoietic progenitors are separated from the stromal layer by a 0.4-μm microporous filter membrane. Primitive progenitors in such cultures can not only differentiate into committed progenitors, but are also maintained to a greater extent than in 'Dexter' cultures. However, still only 50% of the originally seeded LTBMC-IC are recovered at week 5. Since maintenance of primitive progenitors may depend not only on growth-promoting factors but also on factors that inhibit differentiation and/or proliferation, we evaluated the effect of macrophage inflammatory protein 1 α (MIP-1α) or 'stem cell inhibitor' in combination with the growth-inducing factor interleukin 3 (IL-3) on the recovery of LTBMC-IC from stroma-noncontact cultures. We demonstrate that addition of MIP-1α alone to stroma-noncontact cultures does not change the number of LTBMC-IC present after 8 wk, indicating that this factor may not directly inhibit or stimulate proliferation of primitive progenitors. Addition of the growth stimulatory cytokine, IL-3, alone results in exhaustion of LTBMC-IC after 8 wk of culture, possibly as a result of their terminal differentiation. However, LTBMC-IC can be maintained for at least 8 wk when grown in stroma-noncontact cultures supplemented with both MIP-1α plus IL-3. This effect depends on soluble (ill-defined) stromal factors, and results from a direct interaction of these cytokines with the progenitor population or its progeny, but not the stroma.","author":[{"dropping-particle":"","family":"Verfaillie","given":"Catherine M.","non-dropping-particle":"","parse-names":false,"suffix":""},{"dropping-particle":"","family":"Catanzarro","given":"Peter M.","non-dropping-particle":"","parse-names":false,"suffix":""},{"dropping-particle":"","family":"Li","given":"Wen Na","non-dropping-particle":"","parse-names":false,"suffix":""}],"container-title":"Journal of Experimental Medicine","id":"ITEM-5","issue":"2","issued":{"date-parts":[["1994","2","1"]]},"page":"643-649","publisher":"Rockefeller University Press","title":"Macrophage inflammatory protein 1α, interleukin 3 and diffusible marrow stromal factors maintain human hematopoietic stem cells for at least eight weeks in vitro","type":"article-journal","volume":"179"},"uris":["http://www.mendeley.com/documents/?uuid=3dc5f39e-29d5-3552-b77a-b45b2de2a87d"]}],"mendeley":{"formattedCitation":"[15–19]","plainTextFormattedCitation":"[15–19]","previouslyFormattedCitation":"[15–19]"},"properties":{"noteIndex":0},"schema":"https://github.com/citation-style-language/schema/raw/master/csl-citation.json"}</w:instrText>
      </w:r>
      <w:r w:rsidR="000145B4">
        <w:rPr>
          <w:rFonts w:eastAsia="Calibri"/>
        </w:rPr>
        <w:fldChar w:fldCharType="separate"/>
      </w:r>
      <w:r w:rsidR="003443FE" w:rsidRPr="003443FE">
        <w:rPr>
          <w:rFonts w:eastAsia="Calibri"/>
          <w:noProof/>
        </w:rPr>
        <w:t>[15–19]</w:t>
      </w:r>
      <w:r w:rsidR="000145B4">
        <w:rPr>
          <w:rFonts w:eastAsia="Calibri"/>
        </w:rPr>
        <w:fldChar w:fldCharType="end"/>
      </w:r>
      <w:r w:rsidRPr="000C05A6">
        <w:rPr>
          <w:rFonts w:eastAsia="Calibri"/>
        </w:rPr>
        <w:t xml:space="preserve">. </w:t>
      </w:r>
    </w:p>
    <w:p w:rsidR="000C05A6" w:rsidRPr="000C05A6" w:rsidRDefault="000C05A6" w:rsidP="00C7421E">
      <w:pPr>
        <w:pStyle w:val="afb"/>
        <w:rPr>
          <w:rFonts w:eastAsia="Calibri"/>
        </w:rPr>
      </w:pPr>
      <w:r w:rsidRPr="000C05A6">
        <w:rPr>
          <w:rFonts w:eastAsia="Calibri"/>
        </w:rPr>
        <w:t xml:space="preserve">Другими причинами развития </w:t>
      </w:r>
      <w:r w:rsidRPr="00505412">
        <w:rPr>
          <w:rFonts w:eastAsia="Calibri"/>
          <w:color w:val="000000" w:themeColor="text1"/>
        </w:rPr>
        <w:t xml:space="preserve">анемии у </w:t>
      </w:r>
      <w:r w:rsidR="00EA6E3C" w:rsidRPr="00505412">
        <w:rPr>
          <w:rFonts w:eastAsia="Calibri"/>
          <w:color w:val="000000" w:themeColor="text1"/>
        </w:rPr>
        <w:t>пациентов</w:t>
      </w:r>
      <w:r w:rsidRPr="00505412">
        <w:rPr>
          <w:rFonts w:eastAsia="Calibri"/>
          <w:color w:val="000000" w:themeColor="text1"/>
        </w:rPr>
        <w:t xml:space="preserve"> со </w:t>
      </w:r>
      <w:r w:rsidRPr="000C05A6">
        <w:rPr>
          <w:rFonts w:eastAsia="Calibri"/>
        </w:rPr>
        <w:t>ЗН могут быть:</w:t>
      </w:r>
    </w:p>
    <w:p w:rsidR="000C05A6" w:rsidRPr="000C05A6" w:rsidRDefault="000C05A6" w:rsidP="00AD1990">
      <w:pPr>
        <w:pStyle w:val="afb"/>
        <w:numPr>
          <w:ilvl w:val="0"/>
          <w:numId w:val="20"/>
        </w:numPr>
        <w:rPr>
          <w:rFonts w:eastAsia="Calibri"/>
        </w:rPr>
      </w:pPr>
      <w:r w:rsidRPr="000C05A6">
        <w:rPr>
          <w:rFonts w:eastAsia="Calibri"/>
        </w:rPr>
        <w:t>кровотечения(экзогенныекровотечения</w:t>
      </w:r>
      <w:r w:rsidR="00AD1990">
        <w:rPr>
          <w:rFonts w:eastAsia="Calibri"/>
        </w:rPr>
        <w:t xml:space="preserve">, </w:t>
      </w:r>
      <w:r w:rsidRPr="000C05A6">
        <w:rPr>
          <w:rFonts w:eastAsia="Calibri"/>
        </w:rPr>
        <w:t>внутриопухолевыекровоизлияния);</w:t>
      </w:r>
    </w:p>
    <w:p w:rsidR="000C05A6" w:rsidRPr="000C05A6" w:rsidRDefault="000C05A6" w:rsidP="00AD1990">
      <w:pPr>
        <w:pStyle w:val="afb"/>
        <w:numPr>
          <w:ilvl w:val="0"/>
          <w:numId w:val="20"/>
        </w:numPr>
        <w:rPr>
          <w:rFonts w:eastAsia="Calibri"/>
        </w:rPr>
      </w:pPr>
      <w:r w:rsidRPr="000C05A6">
        <w:rPr>
          <w:rFonts w:eastAsia="Calibri"/>
        </w:rPr>
        <w:t>гемолиз (аутоимунный, микроангиопатический);</w:t>
      </w:r>
    </w:p>
    <w:p w:rsidR="000C05A6" w:rsidRPr="000C05A6" w:rsidRDefault="000C05A6" w:rsidP="00AD1990">
      <w:pPr>
        <w:pStyle w:val="afb"/>
        <w:numPr>
          <w:ilvl w:val="0"/>
          <w:numId w:val="20"/>
        </w:numPr>
        <w:rPr>
          <w:rFonts w:eastAsia="Calibri"/>
        </w:rPr>
      </w:pPr>
      <w:r w:rsidRPr="000C05A6">
        <w:rPr>
          <w:rFonts w:eastAsia="Calibri"/>
        </w:rPr>
        <w:t>вытеснение нормальных ростков кроветворения в КМ опухолевыми клетками при гемобластозах или метастазах солидных опухолей;</w:t>
      </w:r>
    </w:p>
    <w:p w:rsidR="000C05A6" w:rsidRPr="000C05A6" w:rsidRDefault="000C05A6" w:rsidP="00AD1990">
      <w:pPr>
        <w:pStyle w:val="afb"/>
        <w:numPr>
          <w:ilvl w:val="0"/>
          <w:numId w:val="20"/>
        </w:numPr>
        <w:rPr>
          <w:rFonts w:eastAsia="Calibri"/>
        </w:rPr>
      </w:pPr>
      <w:r w:rsidRPr="000C05A6">
        <w:rPr>
          <w:rFonts w:eastAsia="Calibri"/>
        </w:rPr>
        <w:t>дефицит железа, фолатов, витамина В12;</w:t>
      </w:r>
    </w:p>
    <w:p w:rsidR="000C05A6" w:rsidRPr="000C05A6" w:rsidRDefault="000C05A6" w:rsidP="00AD1990">
      <w:pPr>
        <w:pStyle w:val="afb"/>
        <w:numPr>
          <w:ilvl w:val="0"/>
          <w:numId w:val="20"/>
        </w:numPr>
        <w:rPr>
          <w:rFonts w:eastAsia="Calibri"/>
        </w:rPr>
      </w:pPr>
      <w:r w:rsidRPr="000C05A6">
        <w:rPr>
          <w:rFonts w:eastAsia="Calibri"/>
        </w:rPr>
        <w:t>нарушение функции почек;</w:t>
      </w:r>
    </w:p>
    <w:p w:rsidR="000C05A6" w:rsidRPr="000C05A6" w:rsidRDefault="000C05A6" w:rsidP="00AD1990">
      <w:pPr>
        <w:pStyle w:val="afb"/>
        <w:numPr>
          <w:ilvl w:val="0"/>
          <w:numId w:val="20"/>
        </w:numPr>
        <w:rPr>
          <w:rFonts w:eastAsia="Calibri"/>
        </w:rPr>
      </w:pPr>
      <w:r w:rsidRPr="000C05A6">
        <w:rPr>
          <w:rFonts w:eastAsia="Calibri"/>
        </w:rPr>
        <w:t>интеркуррентные заболевания</w:t>
      </w:r>
      <w:r w:rsidR="000145B4">
        <w:rPr>
          <w:rFonts w:eastAsia="Calibri"/>
        </w:rPr>
        <w:fldChar w:fldCharType="begin" w:fldLock="1"/>
      </w:r>
      <w:r w:rsidR="0046588B">
        <w:rPr>
          <w:rFonts w:eastAsia="Calibri"/>
        </w:rPr>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mendeley":{"formattedCitation":"[20]","plainTextFormattedCitation":"[20]","previouslyFormattedCitation":"[20]"},"properties":{"noteIndex":0},"schema":"https://github.com/citation-style-language/schema/raw/master/csl-citation.json"}</w:instrText>
      </w:r>
      <w:r w:rsidR="000145B4">
        <w:rPr>
          <w:rFonts w:eastAsia="Calibri"/>
        </w:rPr>
        <w:fldChar w:fldCharType="separate"/>
      </w:r>
      <w:r w:rsidR="0021380F" w:rsidRPr="0021380F">
        <w:rPr>
          <w:rFonts w:eastAsia="Calibri"/>
          <w:noProof/>
        </w:rPr>
        <w:t>[20]</w:t>
      </w:r>
      <w:r w:rsidR="000145B4">
        <w:rPr>
          <w:rFonts w:eastAsia="Calibri"/>
        </w:rPr>
        <w:fldChar w:fldCharType="end"/>
      </w:r>
      <w:r w:rsidRPr="000C05A6">
        <w:rPr>
          <w:rFonts w:eastAsia="Calibri"/>
        </w:rPr>
        <w:t>.</w:t>
      </w:r>
    </w:p>
    <w:p w:rsidR="00B46390" w:rsidRPr="0046588B" w:rsidRDefault="00B46390" w:rsidP="0046588B">
      <w:pPr>
        <w:pStyle w:val="2"/>
      </w:pPr>
      <w:bookmarkStart w:id="14" w:name="_Toc57983677"/>
      <w:r w:rsidRPr="0046588B">
        <w:t>1.3 Эпидемиология</w:t>
      </w:r>
      <w:r w:rsidR="00311757" w:rsidRPr="0046588B">
        <w:t xml:space="preserve"> заболевания или состояния (группы заболеваний или состояний)</w:t>
      </w:r>
      <w:bookmarkEnd w:id="14"/>
    </w:p>
    <w:p w:rsidR="00EA6E3C" w:rsidRDefault="000C05A6" w:rsidP="00250C2D">
      <w:pPr>
        <w:pStyle w:val="afb"/>
        <w:rPr>
          <w:rFonts w:eastAsia="Calibri"/>
        </w:rPr>
      </w:pPr>
      <w:r w:rsidRPr="000C05A6">
        <w:rPr>
          <w:rFonts w:eastAsia="Calibri"/>
        </w:rPr>
        <w:t xml:space="preserve">Анемия является одной из самых частых </w:t>
      </w:r>
      <w:r w:rsidRPr="00505412">
        <w:rPr>
          <w:rFonts w:eastAsia="Calibri"/>
          <w:color w:val="000000" w:themeColor="text1"/>
        </w:rPr>
        <w:t xml:space="preserve">проблем во время лечения </w:t>
      </w:r>
      <w:r w:rsidR="00EA6E3C" w:rsidRPr="00505412">
        <w:rPr>
          <w:rFonts w:eastAsia="Calibri"/>
          <w:color w:val="000000" w:themeColor="text1"/>
        </w:rPr>
        <w:t xml:space="preserve">пациентов </w:t>
      </w:r>
      <w:r w:rsidRPr="00505412">
        <w:rPr>
          <w:rFonts w:eastAsia="Calibri"/>
          <w:color w:val="000000" w:themeColor="text1"/>
        </w:rPr>
        <w:t xml:space="preserve">со ЗН и часто присутствует уже при постановке диагноза. </w:t>
      </w:r>
      <w:r w:rsidR="00EA6E3C" w:rsidRPr="00505412">
        <w:rPr>
          <w:rFonts w:eastAsia="Calibri"/>
          <w:color w:val="000000" w:themeColor="text1"/>
        </w:rPr>
        <w:t>В частности, п</w:t>
      </w:r>
      <w:r w:rsidRPr="00505412">
        <w:rPr>
          <w:rFonts w:eastAsia="Calibri"/>
          <w:color w:val="000000" w:themeColor="text1"/>
        </w:rPr>
        <w:t>роведенный в Европе анализ</w:t>
      </w:r>
      <w:r w:rsidR="00EA6E3C" w:rsidRPr="00505412">
        <w:rPr>
          <w:rFonts w:eastAsia="Calibri"/>
          <w:color w:val="000000" w:themeColor="text1"/>
        </w:rPr>
        <w:t xml:space="preserve"> у  детей  со ЗН</w:t>
      </w:r>
      <w:r w:rsidRPr="00505412">
        <w:rPr>
          <w:rFonts w:eastAsia="Calibri"/>
          <w:color w:val="000000" w:themeColor="text1"/>
        </w:rPr>
        <w:t>, ох</w:t>
      </w:r>
      <w:r w:rsidRPr="000C05A6">
        <w:rPr>
          <w:rFonts w:eastAsia="Calibri"/>
        </w:rPr>
        <w:t xml:space="preserve">вативший 18 крупных детских онкологических центров и включивший данные о 25093 пациентах, показал, что среди детей со ЗН независимо от типа опухоли анемичными являются более 80%, тогда как у детей с острым лейкозом анемия регистрируется в 97% случаев. </w:t>
      </w:r>
    </w:p>
    <w:p w:rsidR="000C05A6" w:rsidRPr="000C05A6" w:rsidRDefault="000C05A6" w:rsidP="00250C2D">
      <w:pPr>
        <w:pStyle w:val="afb"/>
        <w:rPr>
          <w:rFonts w:eastAsia="Calibri"/>
        </w:rPr>
      </w:pPr>
      <w:r w:rsidRPr="000C05A6">
        <w:rPr>
          <w:rFonts w:eastAsia="Calibri"/>
        </w:rPr>
        <w:lastRenderedPageBreak/>
        <w:t>На фоне интенсивной противоопухолевой тер</w:t>
      </w:r>
      <w:r w:rsidR="00EA6E3C">
        <w:rPr>
          <w:rFonts w:eastAsia="Calibri"/>
        </w:rPr>
        <w:t>апии распространенность анемии у</w:t>
      </w:r>
      <w:r w:rsidRPr="000C05A6">
        <w:rPr>
          <w:rFonts w:eastAsia="Calibri"/>
        </w:rPr>
        <w:t xml:space="preserve"> пациентов значительно возрастает, при этом тяжесть анемии и соответственно потребность в заместительной гемотрансфузионной терапии </w:t>
      </w:r>
      <w:r w:rsidRPr="00505412">
        <w:rPr>
          <w:rFonts w:eastAsia="Calibri"/>
          <w:color w:val="000000" w:themeColor="text1"/>
        </w:rPr>
        <w:t>увеличиваются с повышением интенсивности ХТ</w:t>
      </w:r>
      <w:r w:rsidR="000145B4" w:rsidRPr="00505412">
        <w:rPr>
          <w:rFonts w:eastAsia="Calibri"/>
          <w:color w:val="000000" w:themeColor="text1"/>
        </w:rPr>
        <w:fldChar w:fldCharType="begin" w:fldLock="1"/>
      </w:r>
      <w:r w:rsidR="005A0F13" w:rsidRPr="00505412">
        <w:rPr>
          <w:rFonts w:eastAsia="Calibri"/>
          <w:color w:val="000000" w:themeColor="text1"/>
        </w:rPr>
        <w:instrText>ADDIN CSL_CITATION {"citationItems":[{"id":"ITEM-1","itemData":{"DOI":"10.1002/mpo.10183","ISSN":"00981532","abstract":"Background. Anemia occurs frequently in children with cancer, but there is little information quantifying the incidence of anemia or treatment. A survey was conducted in 1998 in Europe by The Research Partnership with the objective of determining the incidence of anemia, identifying the hemoglobin triggers that initiated anemia treatment, and the current anemia treatment options available to clinicians. Procedure. The survey was conducted in the 10 largest pediatric oncology centers each in France, Germany, Italy, Spain, and the UK, and in the 8 largest centers in both Belgium and The Netherlands. Telephone interviews with the most senior physician available in the institution were used to collect data, which included the numbers of patients treated or under follow-up, cancer types, and treatment practices for anemia. Results. Data were collected for 25,093 patients. Over 80% of patients were anemic (WHO: hemoglobin ≤ 11 g/dL; EORTC: hemoglobin ≤ 12 g/dL) regardless of tumor type; 97% of patients with leukemia, the most prevalent type of cancer (34% of the total population), were anemic. Decreases in hemoglobin levels to between 5.5 and 8.0 g/dL were the most common factor that precipitated anemia treatment. Treatment was almost exclusively blood transfusion; less than 5% of patients received drug treatment (which consisted mostly of folic acid or iron). Very few patients received recombinant human erythropoietin (rHuEPO, epoetin alfa) to treat anemia. Conclusions. In general, clinicians were not able to give advantages or disadvantages of epoetin alfa as a treatment option for treating anemia in children with cancer, which reflects the limited knowledge of and experience with this agent. © 2002 Wiley-Liss, Inc.","author":[{"dropping-particle":"","family":"Michon","given":"Jean","non-dropping-particle":"","parse-names":false,"suffix":""}],"container-title":"Medical and Pediatric Oncology","id":"ITEM-1","issue":"4","issued":{"date-parts":[["2002","10"]]},"page":"448-450","publisher":"Med Pediatr Oncol","title":"Incidence of anemia in pediatric cancer patients in Europe: Results of a large, international survey","type":"paper-conference","volume":"39"},"uris":["http://www.mendeley.com/documents/?uuid=5b37eb4c-4b20-3559-86e3-3cc437d70518"]}],"mendeley":{"formattedCitation":"[21]","plainTextFormattedCitation":"[21]","previouslyFormattedCitation":"[21]"},"properties":{"noteIndex":0},"schema":"https://github.com/citation-style-language/schema/raw/master/csl-citation.json"}</w:instrText>
      </w:r>
      <w:r w:rsidR="000145B4" w:rsidRPr="00505412">
        <w:rPr>
          <w:rFonts w:eastAsia="Calibri"/>
          <w:color w:val="000000" w:themeColor="text1"/>
        </w:rPr>
        <w:fldChar w:fldCharType="separate"/>
      </w:r>
      <w:r w:rsidR="0046588B" w:rsidRPr="00505412">
        <w:rPr>
          <w:rFonts w:eastAsia="Calibri"/>
          <w:noProof/>
          <w:color w:val="000000" w:themeColor="text1"/>
        </w:rPr>
        <w:t>[21]</w:t>
      </w:r>
      <w:r w:rsidR="000145B4" w:rsidRPr="00505412">
        <w:rPr>
          <w:rFonts w:eastAsia="Calibri"/>
          <w:color w:val="000000" w:themeColor="text1"/>
        </w:rPr>
        <w:fldChar w:fldCharType="end"/>
      </w:r>
      <w:r w:rsidRPr="00505412">
        <w:rPr>
          <w:rFonts w:eastAsia="Calibri"/>
          <w:color w:val="000000" w:themeColor="text1"/>
        </w:rPr>
        <w:t xml:space="preserve">. Таким образом, анемия является одним из </w:t>
      </w:r>
      <w:r w:rsidR="00EA6E3C" w:rsidRPr="00505412">
        <w:rPr>
          <w:rFonts w:eastAsia="Calibri"/>
          <w:color w:val="000000" w:themeColor="text1"/>
        </w:rPr>
        <w:t xml:space="preserve">частых </w:t>
      </w:r>
      <w:r w:rsidRPr="00505412">
        <w:rPr>
          <w:rFonts w:eastAsia="Calibri"/>
          <w:color w:val="000000" w:themeColor="text1"/>
        </w:rPr>
        <w:t xml:space="preserve">проявлений злокачественного неопластического процесса у </w:t>
      </w:r>
      <w:r w:rsidR="00EA6E3C" w:rsidRPr="00505412">
        <w:rPr>
          <w:rFonts w:eastAsia="Calibri"/>
          <w:color w:val="000000" w:themeColor="text1"/>
        </w:rPr>
        <w:t xml:space="preserve">пациентов со ЗН, а также </w:t>
      </w:r>
      <w:r w:rsidRPr="000C05A6">
        <w:rPr>
          <w:rFonts w:eastAsia="Calibri"/>
        </w:rPr>
        <w:t>частым осложнением проводимого им химиотерапевтического лечения. </w:t>
      </w:r>
    </w:p>
    <w:p w:rsidR="00311757" w:rsidRPr="008B1147" w:rsidRDefault="00B46390" w:rsidP="008B1147">
      <w:pPr>
        <w:pStyle w:val="2"/>
      </w:pPr>
      <w:bookmarkStart w:id="15" w:name="_Toc57983678"/>
      <w:r w:rsidRPr="008B1147">
        <w:t xml:space="preserve">1.4 </w:t>
      </w:r>
      <w:r w:rsidR="00311757" w:rsidRPr="008B1147">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FF6B66" w:rsidRPr="00FF6B66" w:rsidRDefault="00FF6B66" w:rsidP="008B1147">
      <w:pPr>
        <w:pStyle w:val="afb"/>
        <w:rPr>
          <w:rFonts w:eastAsia="Calibri"/>
        </w:rPr>
      </w:pPr>
      <w:r w:rsidRPr="00FF6B66">
        <w:rPr>
          <w:rFonts w:eastAsia="Calibri"/>
        </w:rPr>
        <w:t>D63.0 – Анемия при новообразованиях</w:t>
      </w:r>
    </w:p>
    <w:p w:rsidR="00B46390" w:rsidRPr="008B1147" w:rsidRDefault="00B46390" w:rsidP="008B1147">
      <w:pPr>
        <w:pStyle w:val="2"/>
      </w:pPr>
      <w:bookmarkStart w:id="16" w:name="_Toc57983679"/>
      <w:r w:rsidRPr="008B1147">
        <w:t>1.5 Классификация</w:t>
      </w:r>
      <w:r w:rsidR="00311757" w:rsidRPr="008B1147">
        <w:t xml:space="preserve"> заболевания или состояния (группы заболеваний или состояний)</w:t>
      </w:r>
      <w:bookmarkEnd w:id="16"/>
    </w:p>
    <w:p w:rsidR="00FF6B66" w:rsidRPr="00FF6B66" w:rsidRDefault="00FF6B66" w:rsidP="008B1147">
      <w:pPr>
        <w:pStyle w:val="afb"/>
        <w:rPr>
          <w:rFonts w:eastAsia="Calibri"/>
        </w:rPr>
      </w:pPr>
      <w:r w:rsidRPr="00FF6B66">
        <w:rPr>
          <w:rFonts w:eastAsia="Calibri"/>
        </w:rPr>
        <w:t>В зависимости от выраженности снижения концентрации гемоглобина (Hb) общепризнано выделять три степени тяжести анемии:</w:t>
      </w:r>
    </w:p>
    <w:p w:rsidR="00FF6B66" w:rsidRPr="00FF6B66" w:rsidRDefault="00FF6B66" w:rsidP="008B1147">
      <w:pPr>
        <w:pStyle w:val="afb"/>
        <w:numPr>
          <w:ilvl w:val="0"/>
          <w:numId w:val="21"/>
        </w:numPr>
        <w:rPr>
          <w:rFonts w:eastAsia="Calibri"/>
        </w:rPr>
      </w:pPr>
      <w:r w:rsidRPr="00FF6B66">
        <w:rPr>
          <w:rFonts w:eastAsia="Calibri"/>
        </w:rPr>
        <w:t>легкая - концентрация Hb выше 90 г/л;</w:t>
      </w:r>
    </w:p>
    <w:p w:rsidR="00FF6B66" w:rsidRPr="00FF6B66" w:rsidRDefault="00FF6B66" w:rsidP="008B1147">
      <w:pPr>
        <w:pStyle w:val="afb"/>
        <w:numPr>
          <w:ilvl w:val="0"/>
          <w:numId w:val="21"/>
        </w:numPr>
        <w:rPr>
          <w:rFonts w:eastAsia="Calibri"/>
        </w:rPr>
      </w:pPr>
      <w:r w:rsidRPr="00FF6B66">
        <w:rPr>
          <w:rFonts w:eastAsia="Calibri"/>
        </w:rPr>
        <w:t>средняя - концентрация Hb в пределах 90-70 г/л;</w:t>
      </w:r>
    </w:p>
    <w:p w:rsidR="00FF6B66" w:rsidRPr="00FF6B66" w:rsidRDefault="00FF6B66" w:rsidP="008B1147">
      <w:pPr>
        <w:pStyle w:val="afb"/>
        <w:numPr>
          <w:ilvl w:val="0"/>
          <w:numId w:val="21"/>
        </w:numPr>
        <w:rPr>
          <w:rFonts w:eastAsia="Calibri"/>
        </w:rPr>
      </w:pPr>
      <w:r w:rsidRPr="00FF6B66">
        <w:rPr>
          <w:rFonts w:eastAsia="Calibri"/>
        </w:rPr>
        <w:t>тяжелая - концентрация Hb менее 70 г/л.</w:t>
      </w:r>
    </w:p>
    <w:p w:rsidR="00A70F44" w:rsidRPr="001B4A54" w:rsidRDefault="00B46390" w:rsidP="001B4A54">
      <w:pPr>
        <w:pStyle w:val="2"/>
      </w:pPr>
      <w:bookmarkStart w:id="17" w:name="_Toc57983680"/>
      <w:r w:rsidRPr="001B4A54">
        <w:t>1.6 Клиническая картина</w:t>
      </w:r>
      <w:r w:rsidR="00A70F44" w:rsidRPr="001B4A54">
        <w:t xml:space="preserve"> заболевания или состояния (группы заболеваний или состояний)</w:t>
      </w:r>
      <w:bookmarkEnd w:id="17"/>
    </w:p>
    <w:p w:rsidR="00B46390" w:rsidRDefault="001311E1" w:rsidP="001B4A54">
      <w:pPr>
        <w:pStyle w:val="afb"/>
      </w:pPr>
      <w:r>
        <w:rPr>
          <w:snapToGrid w:val="0"/>
        </w:rPr>
        <w:t>О</w:t>
      </w:r>
      <w:r w:rsidRPr="00DD7192">
        <w:rPr>
          <w:snapToGrid w:val="0"/>
        </w:rPr>
        <w:t>сновными клиническими проявлениями</w:t>
      </w:r>
      <w:r>
        <w:rPr>
          <w:snapToGrid w:val="0"/>
        </w:rPr>
        <w:t xml:space="preserve"> анемии являются </w:t>
      </w:r>
      <w:r w:rsidRPr="00DD7192">
        <w:rPr>
          <w:snapToGrid w:val="0"/>
        </w:rPr>
        <w:t>бледность, усиленное сердцебиение, шум в ушах, головная боль, слабость.</w:t>
      </w:r>
    </w:p>
    <w:p w:rsidR="000414F6" w:rsidRDefault="00B46390" w:rsidP="00C4630C">
      <w:pPr>
        <w:pStyle w:val="afff1"/>
      </w:pPr>
      <w:bookmarkStart w:id="18" w:name="_Toc57983681"/>
      <w:r>
        <w:t xml:space="preserve">2. </w:t>
      </w:r>
      <w:r w:rsidR="00CB71DA">
        <w:t>Диагностика</w:t>
      </w:r>
      <w:bookmarkEnd w:id="12"/>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rsidR="007A016E" w:rsidRDefault="007A016E" w:rsidP="007A016E">
      <w:pPr>
        <w:pStyle w:val="2-6"/>
        <w:divId w:val="266810958"/>
        <w:rPr>
          <w:i/>
        </w:rPr>
      </w:pPr>
      <w:r w:rsidRPr="00D65079">
        <w:rPr>
          <w:i/>
        </w:rPr>
        <w:t>Диагноз</w:t>
      </w:r>
      <w:r w:rsidR="008B1147" w:rsidRPr="00D65079">
        <w:rPr>
          <w:i/>
        </w:rPr>
        <w:t xml:space="preserve"> анемии</w:t>
      </w:r>
      <w:r w:rsidR="00D65079" w:rsidRPr="00D65079">
        <w:rPr>
          <w:i/>
        </w:rPr>
        <w:t xml:space="preserve"> при злокачественных новообразованиях</w:t>
      </w:r>
      <w:r w:rsidRPr="00D65079">
        <w:rPr>
          <w:i/>
        </w:rPr>
        <w:t xml:space="preserve"> основывается на</w:t>
      </w:r>
      <w:r w:rsidRPr="004523C0">
        <w:rPr>
          <w:i/>
        </w:rPr>
        <w:t xml:space="preserve"> характерной клинико-гематологической картине</w:t>
      </w:r>
      <w:r w:rsidR="0059075E">
        <w:rPr>
          <w:i/>
        </w:rPr>
        <w:t xml:space="preserve"> анемии, </w:t>
      </w:r>
      <w:r w:rsidR="00E01ADE">
        <w:rPr>
          <w:i/>
        </w:rPr>
        <w:t>анамнестических данных о наличии злокачественного новообразования и исключения иных причин анемии</w:t>
      </w:r>
      <w:r w:rsidRPr="004523C0">
        <w:rPr>
          <w:i/>
        </w:rPr>
        <w:t>.</w:t>
      </w:r>
    </w:p>
    <w:p w:rsidR="00505412" w:rsidRDefault="00505412" w:rsidP="007A016E">
      <w:pPr>
        <w:pStyle w:val="2-6"/>
        <w:divId w:val="266810958"/>
        <w:rPr>
          <w:i/>
        </w:rPr>
      </w:pPr>
      <w:r w:rsidRPr="00581BEB">
        <w:rPr>
          <w:rFonts w:eastAsia="Calibri"/>
          <w:i/>
          <w:iCs/>
        </w:rPr>
        <w:t>Основным диагностическим критерием анемии является снижение концентрации Hb в крови менее 110 г/л.</w:t>
      </w:r>
    </w:p>
    <w:p w:rsidR="00B46390" w:rsidRDefault="00B46390" w:rsidP="0021676E">
      <w:pPr>
        <w:pStyle w:val="2"/>
        <w:divId w:val="266810958"/>
      </w:pPr>
      <w:bookmarkStart w:id="19" w:name="_Toc57983682"/>
      <w:r w:rsidRPr="000B7239">
        <w:t>2.1 Жалобы и анамнез</w:t>
      </w:r>
      <w:bookmarkEnd w:id="19"/>
    </w:p>
    <w:p w:rsidR="00F43712" w:rsidRDefault="00F4013F" w:rsidP="007A17FD">
      <w:pPr>
        <w:pStyle w:val="afd"/>
        <w:numPr>
          <w:ilvl w:val="0"/>
          <w:numId w:val="22"/>
        </w:numPr>
        <w:ind w:left="709"/>
        <w:divId w:val="266810958"/>
      </w:pPr>
      <w:r w:rsidRPr="007A7B3D">
        <w:lastRenderedPageBreak/>
        <w:t>Всем пациентам с подозрением на</w:t>
      </w:r>
      <w:r>
        <w:t>анемию злокачественных новообразований</w:t>
      </w:r>
      <w:r w:rsidRPr="007A7B3D">
        <w:t xml:space="preserve">, а также всем пациентам </w:t>
      </w:r>
      <w:r>
        <w:t>установленным диагнозом анемии злокачественных новообразований</w:t>
      </w:r>
      <w:r w:rsidRPr="007A7B3D">
        <w:t xml:space="preserve">  на  каждом врачебном  приеме </w:t>
      </w:r>
      <w:r w:rsidRPr="007A7B3D">
        <w:rPr>
          <w:b/>
        </w:rPr>
        <w:t>рекомендуется</w:t>
      </w:r>
      <w:r w:rsidR="00F43712">
        <w:t>сбор анамнеза и жалоб при заболеваниях органов кроветворения и крови</w:t>
      </w:r>
      <w:r w:rsidR="00F43712" w:rsidRPr="007A7B3D">
        <w:t xml:space="preserve"> для оценки состояния пациента, а также для</w:t>
      </w:r>
      <w:r w:rsidR="003C12CA">
        <w:t xml:space="preserve"> исключения возможных других причин анемии</w:t>
      </w:r>
      <w:r w:rsidR="000145B4">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fldChar w:fldCharType="separate"/>
      </w:r>
      <w:r w:rsidR="005A0F13" w:rsidRPr="005A0F13">
        <w:rPr>
          <w:noProof/>
        </w:rPr>
        <w:t>[22]</w:t>
      </w:r>
      <w:r w:rsidR="000145B4">
        <w:fldChar w:fldCharType="end"/>
      </w:r>
      <w:r w:rsidR="00F43712" w:rsidRPr="007A7B3D">
        <w:t>.</w:t>
      </w:r>
    </w:p>
    <w:p w:rsidR="003C12CA" w:rsidRPr="007A7B3D" w:rsidRDefault="003C12CA" w:rsidP="007A17FD">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rsidR="00FF6B66" w:rsidRPr="007A17FD" w:rsidRDefault="003C12CA" w:rsidP="007A17FD">
      <w:pPr>
        <w:pStyle w:val="afd"/>
        <w:ind w:left="0"/>
        <w:divId w:val="266810958"/>
        <w:rPr>
          <w:i/>
          <w:iCs/>
        </w:rPr>
      </w:pPr>
      <w:r w:rsidRPr="007A7B3D">
        <w:rPr>
          <w:b/>
        </w:rPr>
        <w:t xml:space="preserve">Комментарий: </w:t>
      </w:r>
      <w:r w:rsidR="007A17FD" w:rsidRPr="007A17FD">
        <w:rPr>
          <w:i/>
          <w:iCs/>
        </w:rPr>
        <w:t xml:space="preserve">при </w:t>
      </w:r>
      <w:r w:rsidR="00FF6B66" w:rsidRPr="007A17FD">
        <w:rPr>
          <w:i/>
          <w:iCs/>
        </w:rPr>
        <w:t>сборе у пациента жалоб выясняют наличие у него следующих симптомов:</w:t>
      </w:r>
    </w:p>
    <w:p w:rsidR="00FF6B66" w:rsidRPr="007A17FD" w:rsidRDefault="00FF6B66" w:rsidP="007A17FD">
      <w:pPr>
        <w:pStyle w:val="afb"/>
        <w:numPr>
          <w:ilvl w:val="0"/>
          <w:numId w:val="22"/>
        </w:numPr>
        <w:divId w:val="266810958"/>
        <w:rPr>
          <w:rFonts w:eastAsia="Calibri"/>
          <w:i/>
          <w:iCs/>
        </w:rPr>
      </w:pPr>
      <w:r w:rsidRPr="007A17FD">
        <w:rPr>
          <w:rFonts w:eastAsia="Calibri"/>
          <w:i/>
          <w:iCs/>
        </w:rPr>
        <w:t>сердцебиение, одышка, усиливающиеся при физической нагрузке;</w:t>
      </w:r>
    </w:p>
    <w:p w:rsidR="00FF6B66" w:rsidRPr="007A17FD" w:rsidRDefault="00FF6B66" w:rsidP="007A17FD">
      <w:pPr>
        <w:pStyle w:val="afb"/>
        <w:numPr>
          <w:ilvl w:val="0"/>
          <w:numId w:val="22"/>
        </w:numPr>
        <w:divId w:val="266810958"/>
        <w:rPr>
          <w:rFonts w:eastAsia="Calibri"/>
          <w:i/>
          <w:iCs/>
        </w:rPr>
      </w:pPr>
      <w:r w:rsidRPr="007A17FD">
        <w:rPr>
          <w:rFonts w:eastAsia="Calibri"/>
          <w:i/>
          <w:iCs/>
        </w:rPr>
        <w:t>головокружение, шум в ушах;</w:t>
      </w:r>
    </w:p>
    <w:p w:rsidR="00FF6B66" w:rsidRPr="007A17FD" w:rsidRDefault="00FF6B66" w:rsidP="007A17FD">
      <w:pPr>
        <w:pStyle w:val="afb"/>
        <w:numPr>
          <w:ilvl w:val="0"/>
          <w:numId w:val="22"/>
        </w:numPr>
        <w:divId w:val="266810958"/>
        <w:rPr>
          <w:rFonts w:eastAsia="Calibri"/>
          <w:i/>
          <w:iCs/>
        </w:rPr>
      </w:pPr>
      <w:r w:rsidRPr="007A17FD">
        <w:rPr>
          <w:rFonts w:eastAsia="Calibri"/>
          <w:i/>
          <w:iCs/>
        </w:rPr>
        <w:t>слабость, повышенная утомляемость.</w:t>
      </w:r>
    </w:p>
    <w:p w:rsidR="00FF6B66" w:rsidRPr="007A17FD" w:rsidRDefault="00FF6B66" w:rsidP="007A17FD">
      <w:pPr>
        <w:pStyle w:val="afb"/>
        <w:divId w:val="266810958"/>
        <w:rPr>
          <w:rFonts w:eastAsia="Calibri"/>
          <w:i/>
          <w:iCs/>
        </w:rPr>
      </w:pPr>
      <w:r w:rsidRPr="007A17FD">
        <w:rPr>
          <w:rFonts w:eastAsia="Calibri"/>
          <w:i/>
          <w:iCs/>
        </w:rPr>
        <w:t>При сборе у пациента анамнеза выясняют наличие возможных других причин анемии:</w:t>
      </w:r>
    </w:p>
    <w:p w:rsidR="00FF6B66" w:rsidRPr="007A17FD" w:rsidRDefault="00FF6B66" w:rsidP="007A17FD">
      <w:pPr>
        <w:pStyle w:val="afb"/>
        <w:numPr>
          <w:ilvl w:val="0"/>
          <w:numId w:val="24"/>
        </w:numPr>
        <w:divId w:val="266810958"/>
        <w:rPr>
          <w:rFonts w:eastAsia="Calibri"/>
          <w:i/>
          <w:iCs/>
        </w:rPr>
      </w:pPr>
      <w:r w:rsidRPr="007A17FD">
        <w:rPr>
          <w:rFonts w:eastAsia="Calibri"/>
          <w:i/>
          <w:iCs/>
        </w:rPr>
        <w:t>кровотечения (острые и хронические);</w:t>
      </w:r>
    </w:p>
    <w:p w:rsidR="00FF6B66" w:rsidRPr="007A17FD" w:rsidRDefault="00FF6B66" w:rsidP="007A17FD">
      <w:pPr>
        <w:pStyle w:val="afb"/>
        <w:numPr>
          <w:ilvl w:val="0"/>
          <w:numId w:val="24"/>
        </w:numPr>
        <w:divId w:val="266810958"/>
        <w:rPr>
          <w:rFonts w:eastAsia="Calibri"/>
          <w:i/>
          <w:iCs/>
        </w:rPr>
      </w:pPr>
      <w:r w:rsidRPr="007A17FD">
        <w:rPr>
          <w:rFonts w:eastAsia="Calibri"/>
          <w:i/>
          <w:iCs/>
        </w:rPr>
        <w:t>гемолиз (аутоиммунный, микроангиопатический);</w:t>
      </w:r>
    </w:p>
    <w:p w:rsidR="00FF6B66" w:rsidRPr="007A17FD" w:rsidRDefault="00FF6B66" w:rsidP="007A17FD">
      <w:pPr>
        <w:pStyle w:val="afb"/>
        <w:numPr>
          <w:ilvl w:val="0"/>
          <w:numId w:val="24"/>
        </w:numPr>
        <w:divId w:val="266810958"/>
        <w:rPr>
          <w:rFonts w:eastAsia="Calibri"/>
          <w:i/>
          <w:iCs/>
        </w:rPr>
      </w:pPr>
      <w:r w:rsidRPr="007A17FD">
        <w:rPr>
          <w:rFonts w:eastAsia="Calibri"/>
          <w:i/>
          <w:iCs/>
        </w:rPr>
        <w:t>интеркуррентные заболевания (инфекционно-воспалительные, болезни почек);</w:t>
      </w:r>
    </w:p>
    <w:p w:rsidR="00FF6B66" w:rsidRPr="007A17FD" w:rsidRDefault="00FF6B66" w:rsidP="007A17FD">
      <w:pPr>
        <w:pStyle w:val="afb"/>
        <w:numPr>
          <w:ilvl w:val="0"/>
          <w:numId w:val="24"/>
        </w:numPr>
        <w:divId w:val="266810958"/>
        <w:rPr>
          <w:rFonts w:eastAsia="Calibri"/>
          <w:i/>
          <w:iCs/>
        </w:rPr>
      </w:pPr>
      <w:r w:rsidRPr="007A17FD">
        <w:rPr>
          <w:rFonts w:eastAsia="Calibri"/>
          <w:i/>
          <w:iCs/>
        </w:rPr>
        <w:t>дефицит железа, фолатов, витамина В12 (алиментарный фактор, нарушенная абсорбция).</w:t>
      </w:r>
    </w:p>
    <w:p w:rsidR="00342EE0" w:rsidRPr="00174593" w:rsidRDefault="00342EE0" w:rsidP="007A17FD">
      <w:pPr>
        <w:pStyle w:val="afffa"/>
        <w:ind w:left="22" w:firstLine="0"/>
        <w:divId w:val="266810958"/>
        <w:rPr>
          <w:color w:val="auto"/>
        </w:rPr>
      </w:pPr>
    </w:p>
    <w:p w:rsidR="00B46390" w:rsidRDefault="00B46390" w:rsidP="0021676E">
      <w:pPr>
        <w:pStyle w:val="2"/>
        <w:divId w:val="266810958"/>
      </w:pPr>
      <w:bookmarkStart w:id="20" w:name="_Toc57983683"/>
      <w:r w:rsidRPr="00B46390">
        <w:t xml:space="preserve">2.2 </w:t>
      </w:r>
      <w:r w:rsidRPr="0021676E">
        <w:t>Физикальное</w:t>
      </w:r>
      <w:r w:rsidRPr="00B46390">
        <w:t xml:space="preserve"> обследование</w:t>
      </w:r>
      <w:bookmarkEnd w:id="20"/>
    </w:p>
    <w:p w:rsidR="000B7239" w:rsidRDefault="000B7239" w:rsidP="000B7239">
      <w:pPr>
        <w:pStyle w:val="afd"/>
        <w:numPr>
          <w:ilvl w:val="0"/>
          <w:numId w:val="22"/>
        </w:numPr>
        <w:ind w:left="709"/>
        <w:divId w:val="266810958"/>
      </w:pPr>
      <w:r w:rsidRPr="007A7B3D">
        <w:t>Всем пациентам с подозрением на</w:t>
      </w:r>
      <w:r>
        <w:t>анемию злокачественных новообразований</w:t>
      </w:r>
      <w:r w:rsidRPr="007A7B3D">
        <w:t>, а также всем пациентам</w:t>
      </w:r>
      <w:r w:rsidR="008B7870">
        <w:t xml:space="preserve"> с</w:t>
      </w:r>
      <w:r>
        <w:t>установленным диагнозом анемии злокачественных новообразований</w:t>
      </w:r>
      <w:r w:rsidRPr="007A7B3D">
        <w:t xml:space="preserve">  на  каждом врачебном  приеме </w:t>
      </w:r>
      <w:r w:rsidRPr="007A7B3D">
        <w:rPr>
          <w:b/>
        </w:rPr>
        <w:t>рекомендуется</w:t>
      </w:r>
      <w:r w:rsidR="000B3A94">
        <w:t>визуальное исследование</w:t>
      </w:r>
      <w:r w:rsidR="008E336D">
        <w:t>, пальпация, перкуссия</w:t>
      </w:r>
      <w:r w:rsidR="000B3A94">
        <w:t xml:space="preserve"> при заболеваниях органов кроветворения и крови </w:t>
      </w:r>
      <w:r w:rsidR="000145B4">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fldChar w:fldCharType="separate"/>
      </w:r>
      <w:r w:rsidR="00505412" w:rsidRPr="00505412">
        <w:rPr>
          <w:noProof/>
        </w:rPr>
        <w:t>[22]</w:t>
      </w:r>
      <w:r w:rsidR="000145B4">
        <w:fldChar w:fldCharType="end"/>
      </w:r>
      <w:r w:rsidRPr="007A7B3D">
        <w:t>.</w:t>
      </w:r>
    </w:p>
    <w:p w:rsidR="000B7239" w:rsidRPr="007A7B3D" w:rsidRDefault="000B7239" w:rsidP="000B7239">
      <w:pPr>
        <w:ind w:left="709" w:firstLine="0"/>
        <w:contextualSpacing/>
        <w:divId w:val="266810958"/>
        <w:rPr>
          <w:b/>
        </w:rPr>
      </w:pPr>
      <w:r w:rsidRPr="007A7B3D">
        <w:rPr>
          <w:b/>
        </w:rPr>
        <w:t>Уровень убедительности рекомендаций С (уровень достоверности доказательств 5).</w:t>
      </w:r>
    </w:p>
    <w:p w:rsidR="00C557E6" w:rsidRPr="008E336D" w:rsidRDefault="000B7239" w:rsidP="008E336D">
      <w:pPr>
        <w:pStyle w:val="afd"/>
        <w:ind w:left="0"/>
        <w:divId w:val="266810958"/>
        <w:rPr>
          <w:iCs/>
        </w:rPr>
      </w:pPr>
      <w:r w:rsidRPr="007A7B3D">
        <w:rPr>
          <w:b/>
        </w:rPr>
        <w:t xml:space="preserve">Комментарий: </w:t>
      </w:r>
      <w:r w:rsidR="008E336D" w:rsidRPr="008E336D">
        <w:rPr>
          <w:i/>
        </w:rPr>
        <w:t xml:space="preserve">общий </w:t>
      </w:r>
      <w:r w:rsidR="00C557E6" w:rsidRPr="008E336D">
        <w:rPr>
          <w:i/>
        </w:rPr>
        <w:t>осмотр подразумевает оценку общего физического состояния, симптомов гемической гипоксии, возможных признаков декомпенсации анемического синдрома.</w:t>
      </w:r>
    </w:p>
    <w:p w:rsidR="00C557E6" w:rsidRPr="008E336D" w:rsidRDefault="00C557E6" w:rsidP="008E336D">
      <w:pPr>
        <w:divId w:val="266810958"/>
        <w:rPr>
          <w:i/>
        </w:rPr>
      </w:pPr>
      <w:r w:rsidRPr="008E336D">
        <w:rPr>
          <w:i/>
        </w:rPr>
        <w:t>При физикальном обследовании обращают внимание на выявлении следующих признаков:</w:t>
      </w:r>
    </w:p>
    <w:p w:rsidR="00C557E6" w:rsidRPr="008E336D" w:rsidRDefault="00C557E6" w:rsidP="008E336D">
      <w:pPr>
        <w:numPr>
          <w:ilvl w:val="0"/>
          <w:numId w:val="10"/>
        </w:numPr>
        <w:divId w:val="266810958"/>
        <w:rPr>
          <w:i/>
        </w:rPr>
      </w:pPr>
      <w:r w:rsidRPr="008E336D">
        <w:rPr>
          <w:i/>
        </w:rPr>
        <w:lastRenderedPageBreak/>
        <w:t>бледность кожных покровов, видимых слизистых (желтушность кожи и слизистых при гемолизе);</w:t>
      </w:r>
    </w:p>
    <w:p w:rsidR="00C557E6" w:rsidRPr="008E336D" w:rsidRDefault="00C557E6" w:rsidP="008E336D">
      <w:pPr>
        <w:numPr>
          <w:ilvl w:val="0"/>
          <w:numId w:val="10"/>
        </w:numPr>
        <w:divId w:val="266810958"/>
        <w:rPr>
          <w:i/>
        </w:rPr>
      </w:pPr>
      <w:r w:rsidRPr="008E336D">
        <w:rPr>
          <w:i/>
        </w:rPr>
        <w:t>тахикардия, тахипноэ;</w:t>
      </w:r>
    </w:p>
    <w:p w:rsidR="00C557E6" w:rsidRPr="008E336D" w:rsidRDefault="00C557E6" w:rsidP="008E336D">
      <w:pPr>
        <w:numPr>
          <w:ilvl w:val="0"/>
          <w:numId w:val="10"/>
        </w:numPr>
        <w:divId w:val="266810958"/>
        <w:rPr>
          <w:i/>
        </w:rPr>
      </w:pPr>
      <w:r w:rsidRPr="008E336D">
        <w:rPr>
          <w:i/>
        </w:rPr>
        <w:t>приглушенность сердечных тонов, систолический шум на верхушке сердца и над крупными сосудами;</w:t>
      </w:r>
    </w:p>
    <w:p w:rsidR="00C557E6" w:rsidRPr="008E336D" w:rsidRDefault="00C557E6" w:rsidP="008E336D">
      <w:pPr>
        <w:numPr>
          <w:ilvl w:val="0"/>
          <w:numId w:val="10"/>
        </w:numPr>
        <w:divId w:val="266810958"/>
        <w:rPr>
          <w:i/>
        </w:rPr>
      </w:pPr>
      <w:r w:rsidRPr="008E336D">
        <w:rPr>
          <w:i/>
        </w:rPr>
        <w:t>вялость.</w:t>
      </w:r>
    </w:p>
    <w:p w:rsidR="00C557E6" w:rsidRPr="008E336D" w:rsidRDefault="00C557E6" w:rsidP="008E336D">
      <w:pPr>
        <w:divId w:val="266810958"/>
        <w:rPr>
          <w:i/>
        </w:rPr>
      </w:pPr>
      <w:r w:rsidRPr="008E336D">
        <w:rPr>
          <w:i/>
        </w:rPr>
        <w:t>Следует отметить, что большинство жалоб и симптомов являются неспецифическими признаками анемии, которые накладываются на симптомы основного заболевания, опухолевой интоксикации и побочные эффекты проводимой</w:t>
      </w:r>
      <w:r w:rsidR="005B7CEC">
        <w:rPr>
          <w:i/>
        </w:rPr>
        <w:t xml:space="preserve"> химиотерапии(</w:t>
      </w:r>
      <w:r w:rsidRPr="008E336D">
        <w:rPr>
          <w:i/>
        </w:rPr>
        <w:t>ХТ</w:t>
      </w:r>
      <w:r w:rsidR="005B7CEC">
        <w:rPr>
          <w:i/>
        </w:rPr>
        <w:t>)</w:t>
      </w:r>
      <w:r w:rsidRPr="008E336D">
        <w:rPr>
          <w:i/>
        </w:rPr>
        <w:t>.</w:t>
      </w:r>
    </w:p>
    <w:p w:rsidR="00C557E6" w:rsidRPr="008E336D" w:rsidRDefault="00C557E6" w:rsidP="008E336D">
      <w:pPr>
        <w:divId w:val="266810958"/>
        <w:rPr>
          <w:i/>
        </w:rPr>
      </w:pPr>
      <w:r w:rsidRPr="008E336D">
        <w:rPr>
          <w:i/>
        </w:rPr>
        <w:t>Кроме того, следует иметь в виду, что дети могут быть более толерантными к анемии, чем взрослые. Это обусловлено отчасти большим сердечно-легочным резервом и отсутствием коронарных заболеваний, а также сравнительно быстрой компенсацией потери кислородтранспортной способности (смещение кислородтранспортной кривой вправо и снижение сродства гемоглобина к кислороду). Таким образом, компенсаторные механизмы хронической анемии у детей обеспечивают толерантность к очень низким концентрациям Hb при наличии небольшого количества симптомов или вообще при их отсутствии, особенно если анемия развивается медленно в течение недель или месяцев.</w:t>
      </w:r>
    </w:p>
    <w:p w:rsidR="00C557E6" w:rsidRPr="008E336D" w:rsidRDefault="00C557E6" w:rsidP="008E336D">
      <w:pPr>
        <w:divId w:val="266810958"/>
        <w:rPr>
          <w:i/>
        </w:rPr>
      </w:pPr>
      <w:r w:rsidRPr="008E336D">
        <w:rPr>
          <w:i/>
        </w:rPr>
        <w:t>Однако многие факторы могут провоцировать декомпенсацию у ребенка с анемией и приводить к гипоксии тканей и органов, которая угрожает жизни.</w:t>
      </w:r>
    </w:p>
    <w:p w:rsidR="00C557E6" w:rsidRPr="008E336D" w:rsidRDefault="00C557E6" w:rsidP="008E336D">
      <w:pPr>
        <w:divId w:val="266810958"/>
        <w:rPr>
          <w:i/>
        </w:rPr>
      </w:pPr>
      <w:r w:rsidRPr="008E336D">
        <w:rPr>
          <w:i/>
        </w:rPr>
        <w:t>Причины декомпенсации хронической анемии:</w:t>
      </w:r>
    </w:p>
    <w:p w:rsidR="00C557E6" w:rsidRPr="008E336D" w:rsidRDefault="00C557E6" w:rsidP="008E336D">
      <w:pPr>
        <w:numPr>
          <w:ilvl w:val="0"/>
          <w:numId w:val="11"/>
        </w:numPr>
        <w:divId w:val="266810958"/>
        <w:rPr>
          <w:i/>
        </w:rPr>
      </w:pPr>
      <w:r w:rsidRPr="008E336D">
        <w:rPr>
          <w:i/>
        </w:rPr>
        <w:t>повышенная потребность в кислороде вследствие инфекции, боли, лихорадки;</w:t>
      </w:r>
    </w:p>
    <w:p w:rsidR="00C557E6" w:rsidRPr="008E336D" w:rsidRDefault="00C557E6" w:rsidP="008E336D">
      <w:pPr>
        <w:numPr>
          <w:ilvl w:val="0"/>
          <w:numId w:val="11"/>
        </w:numPr>
        <w:divId w:val="266810958"/>
        <w:rPr>
          <w:i/>
        </w:rPr>
      </w:pPr>
      <w:r w:rsidRPr="008E336D">
        <w:rPr>
          <w:i/>
        </w:rPr>
        <w:t>дальнейшее снижение снабжения тканей кислородом вследствие острой кровопотери, пневмонии.</w:t>
      </w:r>
    </w:p>
    <w:p w:rsidR="00C557E6" w:rsidRPr="008E336D" w:rsidRDefault="00C557E6" w:rsidP="008E336D">
      <w:pPr>
        <w:divId w:val="266810958"/>
        <w:rPr>
          <w:i/>
        </w:rPr>
      </w:pPr>
      <w:r w:rsidRPr="008E336D">
        <w:rPr>
          <w:i/>
        </w:rPr>
        <w:t>Ранние признаки декомпенсации:</w:t>
      </w:r>
    </w:p>
    <w:p w:rsidR="00C557E6" w:rsidRPr="008E336D" w:rsidRDefault="00C557E6" w:rsidP="008E336D">
      <w:pPr>
        <w:numPr>
          <w:ilvl w:val="0"/>
          <w:numId w:val="12"/>
        </w:numPr>
        <w:divId w:val="266810958"/>
        <w:rPr>
          <w:i/>
        </w:rPr>
      </w:pPr>
      <w:r w:rsidRPr="008E336D">
        <w:rPr>
          <w:i/>
        </w:rPr>
        <w:t>затрудненное, быстрое дыхание с межреберным, подреберным и надгрудинным втяжением (респираторный дистресс);</w:t>
      </w:r>
    </w:p>
    <w:p w:rsidR="00C557E6" w:rsidRPr="008E336D" w:rsidRDefault="00C557E6" w:rsidP="008E336D">
      <w:pPr>
        <w:numPr>
          <w:ilvl w:val="0"/>
          <w:numId w:val="12"/>
        </w:numPr>
        <w:divId w:val="266810958"/>
        <w:rPr>
          <w:i/>
        </w:rPr>
      </w:pPr>
      <w:r w:rsidRPr="008E336D">
        <w:rPr>
          <w:i/>
        </w:rPr>
        <w:t>усиленное использование мышц живота для дыхания;</w:t>
      </w:r>
    </w:p>
    <w:p w:rsidR="00C557E6" w:rsidRPr="008E336D" w:rsidRDefault="00C557E6" w:rsidP="008E336D">
      <w:pPr>
        <w:numPr>
          <w:ilvl w:val="0"/>
          <w:numId w:val="12"/>
        </w:numPr>
        <w:divId w:val="266810958"/>
        <w:rPr>
          <w:i/>
        </w:rPr>
      </w:pPr>
      <w:r w:rsidRPr="008E336D">
        <w:rPr>
          <w:i/>
        </w:rPr>
        <w:t>раздувание крыльев носа.</w:t>
      </w:r>
    </w:p>
    <w:p w:rsidR="00C557E6" w:rsidRPr="008E336D" w:rsidRDefault="00C557E6" w:rsidP="008E336D">
      <w:pPr>
        <w:divId w:val="266810958"/>
        <w:rPr>
          <w:i/>
        </w:rPr>
      </w:pPr>
      <w:r w:rsidRPr="008E336D">
        <w:rPr>
          <w:i/>
        </w:rPr>
        <w:t>Признаки острой декомпенсации:</w:t>
      </w:r>
    </w:p>
    <w:p w:rsidR="00C557E6" w:rsidRPr="008E336D" w:rsidRDefault="00C557E6" w:rsidP="008E336D">
      <w:pPr>
        <w:numPr>
          <w:ilvl w:val="0"/>
          <w:numId w:val="13"/>
        </w:numPr>
        <w:divId w:val="266810958"/>
        <w:rPr>
          <w:i/>
        </w:rPr>
      </w:pPr>
      <w:r w:rsidRPr="008E336D">
        <w:rPr>
          <w:i/>
        </w:rPr>
        <w:t>форсированный ("стонущий") выдох (респираторный дистресс);</w:t>
      </w:r>
    </w:p>
    <w:p w:rsidR="00C557E6" w:rsidRPr="008E336D" w:rsidRDefault="00C557E6" w:rsidP="008E336D">
      <w:pPr>
        <w:numPr>
          <w:ilvl w:val="0"/>
          <w:numId w:val="13"/>
        </w:numPr>
        <w:divId w:val="266810958"/>
        <w:rPr>
          <w:i/>
        </w:rPr>
      </w:pPr>
      <w:r w:rsidRPr="008E336D">
        <w:rPr>
          <w:i/>
        </w:rPr>
        <w:t>изменение психического состояния;</w:t>
      </w:r>
    </w:p>
    <w:p w:rsidR="00C557E6" w:rsidRPr="008E336D" w:rsidRDefault="00C557E6" w:rsidP="008E336D">
      <w:pPr>
        <w:numPr>
          <w:ilvl w:val="0"/>
          <w:numId w:val="13"/>
        </w:numPr>
        <w:divId w:val="266810958"/>
        <w:rPr>
          <w:i/>
        </w:rPr>
      </w:pPr>
      <w:r w:rsidRPr="008E336D">
        <w:rPr>
          <w:i/>
        </w:rPr>
        <w:t>ослабление периферического пульса;</w:t>
      </w:r>
    </w:p>
    <w:p w:rsidR="00C557E6" w:rsidRPr="008E336D" w:rsidRDefault="00C557E6" w:rsidP="008E336D">
      <w:pPr>
        <w:numPr>
          <w:ilvl w:val="0"/>
          <w:numId w:val="13"/>
        </w:numPr>
        <w:divId w:val="266810958"/>
        <w:rPr>
          <w:i/>
        </w:rPr>
      </w:pPr>
      <w:r w:rsidRPr="008E336D">
        <w:rPr>
          <w:i/>
        </w:rPr>
        <w:t>застойная сердечная недостаточность;</w:t>
      </w:r>
    </w:p>
    <w:p w:rsidR="00C557E6" w:rsidRPr="008E336D" w:rsidRDefault="00C557E6" w:rsidP="008E336D">
      <w:pPr>
        <w:numPr>
          <w:ilvl w:val="0"/>
          <w:numId w:val="13"/>
        </w:numPr>
        <w:divId w:val="266810958"/>
        <w:rPr>
          <w:i/>
        </w:rPr>
      </w:pPr>
      <w:r w:rsidRPr="008E336D">
        <w:rPr>
          <w:i/>
        </w:rPr>
        <w:lastRenderedPageBreak/>
        <w:t>гепатомегалия;</w:t>
      </w:r>
    </w:p>
    <w:p w:rsidR="00C557E6" w:rsidRPr="008E336D" w:rsidRDefault="00C557E6" w:rsidP="008E336D">
      <w:pPr>
        <w:numPr>
          <w:ilvl w:val="0"/>
          <w:numId w:val="13"/>
        </w:numPr>
        <w:divId w:val="266810958"/>
        <w:rPr>
          <w:i/>
        </w:rPr>
      </w:pPr>
      <w:r w:rsidRPr="008E336D">
        <w:rPr>
          <w:i/>
        </w:rPr>
        <w:t>плохая периферическая перфузия (время повторного наполнения капилляров больше 2 сек.).</w:t>
      </w:r>
    </w:p>
    <w:p w:rsidR="00C557E6" w:rsidRPr="008E336D" w:rsidRDefault="00C557E6" w:rsidP="008E336D">
      <w:pPr>
        <w:divId w:val="266810958"/>
        <w:rPr>
          <w:i/>
        </w:rPr>
      </w:pPr>
      <w:r w:rsidRPr="008E336D">
        <w:rPr>
          <w:i/>
        </w:rPr>
        <w:t>Ребенок с этими клиническими признаками срочно нуждается в терапии, так как имеется высокий риск смерти из-за недостаточной кислородтранспортной способности.</w:t>
      </w:r>
    </w:p>
    <w:p w:rsidR="00C557E6" w:rsidRPr="00C557E6" w:rsidRDefault="00C557E6" w:rsidP="008E336D">
      <w:pPr>
        <w:divId w:val="266810958"/>
      </w:pPr>
      <w:r w:rsidRPr="008E336D">
        <w:rPr>
          <w:i/>
        </w:rPr>
        <w:t>Таким образом, при осмотре врач должен оценивать, как объективные физикальные симптомы анемии (бледность кожных покровов и видимых слизистых, тахикардия, тахипноэ), так и субъективные симптомы анемии при активном целенаправленном расспросе самого пациента или его родителей (повседневная физическая, эмоциональная и социальная активность, переносимость физических нагрузок).</w:t>
      </w:r>
    </w:p>
    <w:p w:rsidR="00094ED6" w:rsidRPr="00A212C3" w:rsidRDefault="00B46390" w:rsidP="00A212C3">
      <w:pPr>
        <w:pStyle w:val="2"/>
        <w:divId w:val="266810958"/>
      </w:pPr>
      <w:bookmarkStart w:id="21" w:name="_Toc57983684"/>
      <w:r w:rsidRPr="00A212C3">
        <w:t>2.3 Лабораторн</w:t>
      </w:r>
      <w:r w:rsidR="00A70F44" w:rsidRPr="00A212C3">
        <w:t>ые диагностические исследования</w:t>
      </w:r>
      <w:bookmarkEnd w:id="21"/>
    </w:p>
    <w:p w:rsidR="00547AE6" w:rsidRPr="00195C79" w:rsidRDefault="00CF7A5A" w:rsidP="00547AE6">
      <w:pPr>
        <w:pStyle w:val="afd"/>
        <w:numPr>
          <w:ilvl w:val="0"/>
          <w:numId w:val="25"/>
        </w:numPr>
        <w:divId w:val="266810958"/>
      </w:pPr>
      <w:r w:rsidRPr="00CF7A5A">
        <w:rPr>
          <w:bCs/>
        </w:rPr>
        <w:t>Пациентам с клиническими сипмтомами анемии</w:t>
      </w:r>
      <w:r w:rsidRPr="00195C79">
        <w:rPr>
          <w:b/>
        </w:rPr>
        <w:t>рекомендуется</w:t>
      </w:r>
      <w:r w:rsidR="00547AE6" w:rsidRPr="00190AA2">
        <w:t xml:space="preserve">выполнение общего </w:t>
      </w:r>
      <w:r w:rsidR="00547AE6">
        <w:t xml:space="preserve">(клинического) </w:t>
      </w:r>
      <w:r w:rsidR="00547AE6" w:rsidRPr="00190AA2">
        <w:t xml:space="preserve">анализа крови, </w:t>
      </w:r>
      <w:r w:rsidR="00547AE6">
        <w:t xml:space="preserve">оценка </w:t>
      </w:r>
      <w:r w:rsidR="00547AE6" w:rsidRPr="00190AA2">
        <w:t>гематокрита</w:t>
      </w:r>
      <w:r w:rsidR="00547AE6" w:rsidRPr="00625A7E">
        <w:t xml:space="preserve"> (</w:t>
      </w:r>
      <w:r w:rsidR="00547AE6" w:rsidRPr="00190AA2">
        <w:rPr>
          <w:lang w:val="en-US"/>
        </w:rPr>
        <w:t>Hct</w:t>
      </w:r>
      <w:r w:rsidR="00547AE6" w:rsidRPr="00625A7E">
        <w:t>)</w:t>
      </w:r>
      <w:r w:rsidR="00547AE6" w:rsidRPr="00190AA2">
        <w:t xml:space="preserve">, </w:t>
      </w:r>
      <w:r w:rsidR="00547AE6">
        <w:t xml:space="preserve">исследование уровня </w:t>
      </w:r>
      <w:r w:rsidR="00547AE6" w:rsidRPr="00190AA2">
        <w:t xml:space="preserve">эритроцитов </w:t>
      </w:r>
      <w:r w:rsidR="00547AE6">
        <w:t xml:space="preserve">в крови </w:t>
      </w:r>
      <w:r w:rsidR="00547AE6" w:rsidRPr="00190AA2">
        <w:t xml:space="preserve">и </w:t>
      </w:r>
      <w:r w:rsidR="00547AE6">
        <w:t xml:space="preserve">исследование уровня </w:t>
      </w:r>
      <w:r w:rsidR="00547AE6" w:rsidRPr="00190AA2">
        <w:t>ретикулоцитовс целью диагностик</w:t>
      </w:r>
      <w:r w:rsidR="00547AE6">
        <w:t>и</w:t>
      </w:r>
      <w:r w:rsidR="0058035B">
        <w:t>и дифференциальной диагностики анемии</w:t>
      </w:r>
      <w:r w:rsidR="000145B4" w:rsidRPr="00195C79">
        <w:fldChar w:fldCharType="begin" w:fldLock="1"/>
      </w:r>
      <w:r w:rsidR="00EC6C6C">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EC6C6C" w:rsidRPr="00EC6C6C">
        <w:rPr>
          <w:noProof/>
        </w:rPr>
        <w:t>[22]</w:t>
      </w:r>
      <w:r w:rsidR="000145B4" w:rsidRPr="00195C79">
        <w:fldChar w:fldCharType="end"/>
      </w:r>
      <w:r w:rsidR="00547AE6" w:rsidRPr="00195C79">
        <w:t>.</w:t>
      </w:r>
    </w:p>
    <w:p w:rsidR="00547AE6" w:rsidRPr="00B104EF" w:rsidRDefault="00547AE6" w:rsidP="00547AE6">
      <w:pPr>
        <w:pStyle w:val="aff1"/>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p>
    <w:p w:rsidR="00C557E6" w:rsidRPr="00581BEB" w:rsidRDefault="00547AE6" w:rsidP="004F5C9C">
      <w:pPr>
        <w:pStyle w:val="afb"/>
        <w:divId w:val="266810958"/>
        <w:rPr>
          <w:rFonts w:eastAsia="Calibri"/>
          <w:i/>
          <w:iCs/>
        </w:rPr>
      </w:pPr>
      <w:r w:rsidRPr="00ED5598">
        <w:rPr>
          <w:b/>
        </w:rPr>
        <w:t>Комментарии:</w:t>
      </w:r>
      <w:r w:rsidR="0075513C" w:rsidRPr="00581BEB">
        <w:rPr>
          <w:bCs/>
          <w:i/>
          <w:iCs/>
        </w:rPr>
        <w:t>у</w:t>
      </w:r>
      <w:r w:rsidR="00C557E6" w:rsidRPr="00581BEB">
        <w:rPr>
          <w:rFonts w:eastAsia="Calibri"/>
          <w:i/>
          <w:iCs/>
        </w:rPr>
        <w:t>читывая, что большинство симптомов анемии являются неспецифическими, наиболее доступным, объективным и основополагающим методом диагностики анемии является лабораторное определение концентрации</w:t>
      </w:r>
      <w:r w:rsidR="007800E2">
        <w:rPr>
          <w:rFonts w:eastAsia="Calibri"/>
          <w:i/>
          <w:iCs/>
        </w:rPr>
        <w:t xml:space="preserve"> гемоглобина</w:t>
      </w:r>
      <w:r w:rsidR="00C557E6" w:rsidRPr="00581BEB">
        <w:rPr>
          <w:rFonts w:eastAsia="Calibri"/>
          <w:i/>
          <w:iCs/>
        </w:rPr>
        <w:t xml:space="preserve"> в крови.</w:t>
      </w:r>
    </w:p>
    <w:p w:rsidR="00095933" w:rsidRPr="00581BEB" w:rsidRDefault="00095933" w:rsidP="00095933">
      <w:pPr>
        <w:pStyle w:val="afb"/>
        <w:divId w:val="266810958"/>
        <w:rPr>
          <w:rFonts w:eastAsia="Calibri"/>
          <w:i/>
          <w:iCs/>
        </w:rPr>
      </w:pPr>
      <w:r w:rsidRPr="00581BEB">
        <w:rPr>
          <w:rFonts w:eastAsia="Calibri"/>
          <w:i/>
          <w:iCs/>
        </w:rPr>
        <w:t>АЗН, как правило, носит гипорегенераторный, нормоцитарный, нормохромный характер.</w:t>
      </w:r>
    </w:p>
    <w:p w:rsidR="00AA3BB0" w:rsidRPr="00195C79" w:rsidRDefault="00845937" w:rsidP="00AA3BB0">
      <w:pPr>
        <w:pStyle w:val="afd"/>
        <w:numPr>
          <w:ilvl w:val="0"/>
          <w:numId w:val="25"/>
        </w:numPr>
        <w:divId w:val="266810958"/>
      </w:pPr>
      <w:r w:rsidRPr="00845937">
        <w:rPr>
          <w:bCs/>
        </w:rPr>
        <w:t xml:space="preserve">Пациентам с клиническими и лабораторными проявлениями анемии </w:t>
      </w:r>
      <w:r w:rsidRPr="00195C79">
        <w:rPr>
          <w:b/>
        </w:rPr>
        <w:t>рекомендуется</w:t>
      </w:r>
      <w:r>
        <w:t xml:space="preserve"> исследование </w:t>
      </w:r>
      <w:r w:rsidR="00771DCA">
        <w:t>статуса железа, включающее</w:t>
      </w:r>
      <w:r w:rsidR="005265E9">
        <w:t xml:space="preserve"> исследование уровня железа сыворотки крови,</w:t>
      </w:r>
      <w:r w:rsidR="002253C0">
        <w:t>исследование насыщения трансферрина железом</w:t>
      </w:r>
      <w:r w:rsidR="00604355">
        <w:t>исследование уровня ферритина в крови</w:t>
      </w:r>
      <w:r w:rsidR="00AA3BB0" w:rsidRPr="00190AA2">
        <w:t xml:space="preserve">с целью </w:t>
      </w:r>
      <w:r w:rsidR="009517D7">
        <w:t xml:space="preserve">определения характеристики анемии </w:t>
      </w:r>
      <w:r w:rsidR="00AA3BB0">
        <w:t>и дифференциальной диагностики</w:t>
      </w:r>
      <w:r w:rsidR="009517D7">
        <w:t xml:space="preserve"> с железодефицитной</w:t>
      </w:r>
      <w:r w:rsidR="00AA3BB0">
        <w:t xml:space="preserve"> анеми</w:t>
      </w:r>
      <w:r w:rsidR="009517D7">
        <w:t>ей</w:t>
      </w:r>
      <w:r w:rsidR="000145B4" w:rsidRPr="00195C79">
        <w:fldChar w:fldCharType="begin" w:fldLock="1"/>
      </w:r>
      <w:r w:rsidR="00AE509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EC6C6C" w:rsidRPr="00EC6C6C">
        <w:rPr>
          <w:noProof/>
        </w:rPr>
        <w:t>[22]</w:t>
      </w:r>
      <w:r w:rsidR="000145B4" w:rsidRPr="00195C79">
        <w:fldChar w:fldCharType="end"/>
      </w:r>
      <w:r w:rsidR="00AA3BB0" w:rsidRPr="00195C79">
        <w:t>.</w:t>
      </w:r>
    </w:p>
    <w:p w:rsidR="00AA3BB0" w:rsidRPr="00B104EF" w:rsidRDefault="00AA3BB0" w:rsidP="00AA3BB0">
      <w:pPr>
        <w:pStyle w:val="aff1"/>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p>
    <w:p w:rsidR="00C557E6" w:rsidRPr="0096015D" w:rsidRDefault="00AA3BB0" w:rsidP="0096015D">
      <w:pPr>
        <w:pStyle w:val="afb"/>
        <w:divId w:val="266810958"/>
        <w:rPr>
          <w:rFonts w:eastAsia="Calibri"/>
          <w:i/>
          <w:iCs/>
        </w:rPr>
      </w:pPr>
      <w:r w:rsidRPr="00ED5598">
        <w:rPr>
          <w:b/>
        </w:rPr>
        <w:lastRenderedPageBreak/>
        <w:t>Комментарии:</w:t>
      </w:r>
      <w:r w:rsidR="00E178FD" w:rsidRPr="0096015D">
        <w:rPr>
          <w:rFonts w:eastAsia="Calibri"/>
          <w:i/>
          <w:iCs/>
        </w:rPr>
        <w:t xml:space="preserve">определение </w:t>
      </w:r>
      <w:r w:rsidR="00C557E6" w:rsidRPr="0096015D">
        <w:rPr>
          <w:rFonts w:eastAsia="Calibri"/>
          <w:i/>
          <w:iCs/>
        </w:rPr>
        <w:t>СФ рекомендовано, как наиболее надежный тест для диагностики дефицита железа (ДЖ) («золотой стандарт»).</w:t>
      </w:r>
    </w:p>
    <w:p w:rsidR="00C557E6" w:rsidRDefault="00C557E6" w:rsidP="0096015D">
      <w:pPr>
        <w:pStyle w:val="afb"/>
        <w:divId w:val="266810958"/>
        <w:rPr>
          <w:rFonts w:eastAsia="Calibri"/>
          <w:i/>
          <w:iCs/>
        </w:rPr>
      </w:pPr>
      <w:r w:rsidRPr="0096015D">
        <w:rPr>
          <w:rFonts w:eastAsia="Calibri"/>
          <w:i/>
          <w:iCs/>
        </w:rPr>
        <w:t xml:space="preserve">При </w:t>
      </w:r>
      <w:r w:rsidRPr="00EC6C6C">
        <w:rPr>
          <w:rFonts w:eastAsia="Calibri"/>
          <w:i/>
          <w:iCs/>
          <w:color w:val="000000" w:themeColor="text1"/>
        </w:rPr>
        <w:t xml:space="preserve">обследовании </w:t>
      </w:r>
      <w:r w:rsidR="00EA6E3C" w:rsidRPr="00EC6C6C">
        <w:rPr>
          <w:rFonts w:eastAsia="Calibri"/>
          <w:i/>
          <w:iCs/>
          <w:color w:val="000000" w:themeColor="text1"/>
        </w:rPr>
        <w:t>пациентов</w:t>
      </w:r>
      <w:r w:rsidRPr="00EC6C6C">
        <w:rPr>
          <w:rFonts w:eastAsia="Calibri"/>
          <w:i/>
          <w:iCs/>
          <w:color w:val="000000" w:themeColor="text1"/>
        </w:rPr>
        <w:t xml:space="preserve"> со ЗН надо учитывать, что ДЖ может быть абсолютным (снижение СФ менее 10 мкг/л), и функциональным с нарушением мобилизации железа из макрофагов при сохраненном адекватном пуле хранения (снижение коэффициента НТЖ меньше 20%, СФ менее 10 мкг/л)</w:t>
      </w:r>
      <w:r w:rsidR="000145B4">
        <w:rPr>
          <w:rFonts w:eastAsia="Calibri"/>
          <w:i/>
          <w:iCs/>
        </w:rPr>
        <w:fldChar w:fldCharType="begin" w:fldLock="1"/>
      </w:r>
      <w:r w:rsidR="00AE5092">
        <w:rPr>
          <w:rFonts w:eastAsia="Calibri"/>
          <w:i/>
          <w:iCs/>
        </w:rPr>
        <w:instrText>ADDIN CSL_CITATION {"citationItems":[{"id":"ITEM-1","itemData":{"DOI":"10.1007/s00508-015-0842-3","ISSN":"16137671","abstract":"Iron deficiency and iron deficiency-associated anemia are common complications in cancer patients. Most iron deficient cancer patients present with functional iron deficiency (FID), a status with adequate storage iron, but insufficient iron supply for erythroblasts and other iron dependent tissues. FID is the consequence of the cancer-associated cytokine release, while in absolute iron deficiency iron stores are depleted resulting in similar but often more severe symptoms of insufficient iron supply. Here we present a short review on the epidemiology, pathophysiology, diagnosis, clinical symptoms, and treatment of iron deficiency in cancer patients. Special emphasis is given to intravenous iron supplementation and on the benefits and limitations of different formulations. Based on these considerations and recommendations from current international guidelines we developed recommendations for clinical practice and classified the level of evidence and grade of recommendation according to the principles of evidence-based medicine.","author":[{"dropping-particle":"","family":"Ludwig","given":"Heinz","non-dropping-particle":"","parse-names":false,"suffix":""},{"dropping-particle":"","family":"Evstatiev","given":"Rayko","non-dropping-particle":"","parse-names":false,"suffix":""},{"dropping-particle":"","family":"Kornek","given":"Gabriela","non-dropping-particle":"","parse-names":false,"suffix":""},{"dropping-particle":"","family":"Aapro","given":"Matti","non-dropping-particle":"","parse-names":false,"suffix":""},{"dropping-particle":"","family":"Bauernhofer","given":"Thomas","non-dropping-particle":"","parse-names":false,"suffix":""},{"dropping-particle":"","family":"Buxhofer-Ausch","given":"Veronika","non-dropping-particle":"","parse-names":false,"suffix":""},{"dropping-particle":"","family":"Fridrik","given":"Michael","non-dropping-particle":"","parse-names":false,"suffix":""},{"dropping-particle":"","family":"Geissler","given":"Dietmar","non-dropping-particle":"","parse-names":false,"suffix":""},{"dropping-particle":"","family":"Geissler","given":"Klaus","non-dropping-particle":"","parse-names":false,"suffix":""},{"dropping-particle":"","family":"Gisslinger","given":"Heinz","non-dropping-particle":"","parse-names":false,"suffix":""},{"dropping-particle":"","family":"Koller","given":"Elisabeth","non-dropping-particle":"","parse-names":false,"suffix":""},{"dropping-particle":"","family":"Kopetzky","given":"Gerhard","non-dropping-particle":"","parse-names":false,"suffix":""},{"dropping-particle":"","family":"Lang","given":"Alois","non-dropping-particle":"","parse-names":false,"suffix":""},{"dropping-particle":"","family":"Rumpold","given":"Holger","non-dropping-particle":"","parse-names":false,"suffix":""},{"dropping-particle":"","family":"Steurer","given":"Michael","non-dropping-particle":"","parse-names":false,"suffix":""},{"dropping-particle":"","family":"Kamali","given":"Houman","non-dropping-particle":"","parse-names":false,"suffix":""},{"dropping-particle":"","family":"Link","given":"Hartmut","non-dropping-particle":"","parse-names":false,"suffix":""}],"container-title":"Wiener Klinische Wochenschrift","id":"ITEM-1","issue":"23-24","issued":{"date-parts":[["2015","12","1"]]},"page":"907-919","publisher":"Springer-Verlag Wien","title":"Iron metabolism and iron supplementation in cancer patients","type":"article-journal","volume":"127"},"uris":["http://www.mendeley.com/documents/?uuid=1837776e-936d-3156-8ae6-af2f6ee52768"]}],"mendeley":{"formattedCitation":"[23]","plainTextFormattedCitation":"[23]","previouslyFormattedCitation":"[23]"},"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[23]</w:t>
      </w:r>
      <w:r w:rsidR="000145B4">
        <w:rPr>
          <w:rFonts w:eastAsia="Calibri"/>
          <w:i/>
          <w:iCs/>
        </w:rPr>
        <w:fldChar w:fldCharType="end"/>
      </w:r>
      <w:r w:rsidR="00A37594">
        <w:rPr>
          <w:rFonts w:eastAsia="Calibri"/>
          <w:i/>
          <w:iCs/>
        </w:rPr>
        <w:t>.</w:t>
      </w:r>
      <w:r w:rsidRPr="0096015D">
        <w:rPr>
          <w:rFonts w:eastAsia="Calibri"/>
          <w:i/>
          <w:iCs/>
        </w:rPr>
        <w:t xml:space="preserve"> Повышение концентрации СФ, как правило, выявляемое у детей с ЗН, обусловлено комплексом факторов, среди которых наиболее важное значение имеет выраженный воспалительный процесс, как проявление основного заболевания, инфекционные осложнения, которые часто отмечаются у детей с ЗН.</w:t>
      </w:r>
    </w:p>
    <w:p w:rsidR="000E096D" w:rsidRPr="00195C79" w:rsidRDefault="000E096D" w:rsidP="000E096D">
      <w:pPr>
        <w:pStyle w:val="afd"/>
        <w:numPr>
          <w:ilvl w:val="0"/>
          <w:numId w:val="25"/>
        </w:numPr>
        <w:divId w:val="266810958"/>
      </w:pPr>
      <w:r w:rsidRPr="00845937">
        <w:rPr>
          <w:bCs/>
        </w:rPr>
        <w:t>Пациентам</w:t>
      </w:r>
      <w:r>
        <w:rPr>
          <w:bCs/>
        </w:rPr>
        <w:t>, у которыхп</w:t>
      </w:r>
      <w:r w:rsidR="00463C5B">
        <w:rPr>
          <w:bCs/>
        </w:rPr>
        <w:t>о</w:t>
      </w:r>
      <w:r w:rsidRPr="00845937">
        <w:rPr>
          <w:bCs/>
        </w:rPr>
        <w:t xml:space="preserve"> клиническим и лабораторным проявлениями</w:t>
      </w:r>
      <w:r w:rsidR="00463C5B">
        <w:rPr>
          <w:bCs/>
        </w:rPr>
        <w:t xml:space="preserve"> можно заподозрить </w:t>
      </w:r>
      <w:r w:rsidR="00F66EC2">
        <w:rPr>
          <w:bCs/>
        </w:rPr>
        <w:t>В12 или фолиеводефицитную</w:t>
      </w:r>
      <w:r w:rsidRPr="00845937">
        <w:rPr>
          <w:bCs/>
        </w:rPr>
        <w:t xml:space="preserve"> анеми</w:t>
      </w:r>
      <w:r w:rsidR="00F66EC2">
        <w:rPr>
          <w:bCs/>
        </w:rPr>
        <w:t>ю</w:t>
      </w:r>
      <w:r w:rsidRPr="00195C79">
        <w:rPr>
          <w:b/>
        </w:rPr>
        <w:t>рекомендуется</w:t>
      </w:r>
      <w:r w:rsidR="00F66EC2" w:rsidRPr="00C557E6">
        <w:rPr>
          <w:rFonts w:eastAsia="Calibri" w:cs="Times New Roman"/>
          <w:szCs w:val="24"/>
          <w:lang w:eastAsia="ru-RU"/>
        </w:rPr>
        <w:t>определение</w:t>
      </w:r>
      <w:r w:rsidR="007800E2">
        <w:rPr>
          <w:rFonts w:eastAsia="Calibri" w:cs="Times New Roman"/>
          <w:szCs w:val="24"/>
          <w:lang w:eastAsia="ru-RU"/>
        </w:rPr>
        <w:t xml:space="preserve"> уровня витамина </w:t>
      </w:r>
      <w:r w:rsidR="00F66EC2" w:rsidRPr="00C557E6">
        <w:rPr>
          <w:rFonts w:eastAsia="Calibri" w:cs="Times New Roman"/>
          <w:szCs w:val="24"/>
          <w:lang w:eastAsia="ru-RU"/>
        </w:rPr>
        <w:t>В12</w:t>
      </w:r>
      <w:r w:rsidR="007800E2">
        <w:rPr>
          <w:rFonts w:eastAsia="Calibri" w:cs="Times New Roman"/>
          <w:szCs w:val="24"/>
          <w:lang w:eastAsia="ru-RU"/>
        </w:rPr>
        <w:t xml:space="preserve"> (цианокобаламина)</w:t>
      </w:r>
      <w:r w:rsidR="00F66EC2" w:rsidRPr="00C557E6">
        <w:rPr>
          <w:rFonts w:eastAsia="Calibri" w:cs="Times New Roman"/>
          <w:szCs w:val="24"/>
          <w:lang w:eastAsia="ru-RU"/>
        </w:rPr>
        <w:t xml:space="preserve"> и фолиевой кислоты в сыворотке крови</w:t>
      </w:r>
      <w:r w:rsidR="000145B4"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505412" w:rsidRPr="00505412">
        <w:rPr>
          <w:noProof/>
        </w:rPr>
        <w:t>[22]</w:t>
      </w:r>
      <w:r w:rsidR="000145B4" w:rsidRPr="00195C79">
        <w:fldChar w:fldCharType="end"/>
      </w:r>
      <w:r w:rsidRPr="00195C79">
        <w:t>.</w:t>
      </w:r>
    </w:p>
    <w:p w:rsidR="000E096D" w:rsidRDefault="000E096D" w:rsidP="000E096D">
      <w:pPr>
        <w:pStyle w:val="aff1"/>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p>
    <w:p w:rsidR="00CC0CC6" w:rsidRPr="00195C79" w:rsidRDefault="00CC0CC6" w:rsidP="00CC0CC6">
      <w:pPr>
        <w:pStyle w:val="afd"/>
        <w:numPr>
          <w:ilvl w:val="0"/>
          <w:numId w:val="25"/>
        </w:numPr>
        <w:divId w:val="266810958"/>
      </w:pPr>
      <w:r w:rsidRPr="00845937">
        <w:rPr>
          <w:bCs/>
        </w:rPr>
        <w:t>Пациентам</w:t>
      </w:r>
      <w:r>
        <w:rPr>
          <w:bCs/>
        </w:rPr>
        <w:t>, у которыхпо</w:t>
      </w:r>
      <w:r w:rsidRPr="00845937">
        <w:rPr>
          <w:bCs/>
        </w:rPr>
        <w:t xml:space="preserve"> клиническим и лабораторным проявлениями</w:t>
      </w:r>
      <w:r>
        <w:rPr>
          <w:bCs/>
        </w:rPr>
        <w:t xml:space="preserve"> можно заподозрить гемолитическую</w:t>
      </w:r>
      <w:r w:rsidRPr="00845937">
        <w:rPr>
          <w:bCs/>
        </w:rPr>
        <w:t xml:space="preserve"> анеми</w:t>
      </w:r>
      <w:r>
        <w:rPr>
          <w:bCs/>
        </w:rPr>
        <w:t xml:space="preserve">ю </w:t>
      </w:r>
      <w:r w:rsidRPr="00195C79">
        <w:rPr>
          <w:b/>
        </w:rPr>
        <w:t>рекомендуется</w:t>
      </w:r>
      <w:r>
        <w:t xml:space="preserve"> проведение тестов на гемолиз</w:t>
      </w:r>
      <w:r w:rsidR="00642038" w:rsidRPr="00C557E6">
        <w:rPr>
          <w:rFonts w:eastAsia="Calibri" w:cs="Times New Roman"/>
          <w:szCs w:val="24"/>
          <w:lang w:eastAsia="ru-RU"/>
        </w:rPr>
        <w:t>(</w:t>
      </w:r>
      <w:r w:rsidR="007800E2">
        <w:rPr>
          <w:rFonts w:eastAsia="Calibri" w:cs="Times New Roman"/>
          <w:szCs w:val="24"/>
          <w:lang w:eastAsia="ru-RU"/>
        </w:rPr>
        <w:t>исследование уровня общего билирубина в крови, исследование уровня свободного и связанного билирубина в крови</w:t>
      </w:r>
      <w:r w:rsidR="00642038" w:rsidRPr="00C557E6">
        <w:rPr>
          <w:rFonts w:eastAsia="Calibri" w:cs="Times New Roman"/>
          <w:szCs w:val="24"/>
          <w:lang w:eastAsia="ru-RU"/>
        </w:rPr>
        <w:t>,</w:t>
      </w:r>
      <w:r w:rsidR="007800E2">
        <w:rPr>
          <w:rFonts w:eastAsia="Calibri" w:cs="Times New Roman"/>
          <w:szCs w:val="24"/>
          <w:lang w:eastAsia="ru-RU"/>
        </w:rPr>
        <w:t xml:space="preserve"> определение активности</w:t>
      </w:r>
      <w:r w:rsidR="00642038" w:rsidRPr="00C557E6">
        <w:rPr>
          <w:rFonts w:eastAsia="Calibri" w:cs="Times New Roman"/>
          <w:szCs w:val="24"/>
          <w:lang w:eastAsia="ru-RU"/>
        </w:rPr>
        <w:t xml:space="preserve"> лактатдегидрогеназы в сыворотке крови; </w:t>
      </w:r>
      <w:r w:rsidR="007800E2">
        <w:rPr>
          <w:rFonts w:eastAsia="Calibri" w:cs="Times New Roman"/>
          <w:szCs w:val="24"/>
          <w:lang w:eastAsia="ru-RU"/>
        </w:rPr>
        <w:t>прямой антиглобулиновый тест (</w:t>
      </w:r>
      <w:r w:rsidR="00642038" w:rsidRPr="00C557E6">
        <w:rPr>
          <w:rFonts w:eastAsia="Calibri" w:cs="Times New Roman"/>
          <w:szCs w:val="24"/>
          <w:lang w:eastAsia="ru-RU"/>
        </w:rPr>
        <w:t>прямая проба Кумбса</w:t>
      </w:r>
      <w:r w:rsidR="007800E2">
        <w:rPr>
          <w:rFonts w:eastAsia="Calibri" w:cs="Times New Roman"/>
          <w:szCs w:val="24"/>
          <w:lang w:eastAsia="ru-RU"/>
        </w:rPr>
        <w:t>)</w:t>
      </w:r>
      <w:r w:rsidR="00642038" w:rsidRPr="00C557E6">
        <w:rPr>
          <w:rFonts w:eastAsia="Calibri" w:cs="Times New Roman"/>
          <w:szCs w:val="24"/>
          <w:lang w:eastAsia="ru-RU"/>
        </w:rPr>
        <w:t>)</w:t>
      </w:r>
      <w:r w:rsidR="000145B4"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505412" w:rsidRPr="00505412">
        <w:rPr>
          <w:noProof/>
        </w:rPr>
        <w:t>[22]</w:t>
      </w:r>
      <w:r w:rsidR="000145B4" w:rsidRPr="00195C79">
        <w:fldChar w:fldCharType="end"/>
      </w:r>
      <w:r w:rsidRPr="00195C79">
        <w:t>.</w:t>
      </w:r>
    </w:p>
    <w:p w:rsidR="00CC0CC6" w:rsidRPr="00B104EF" w:rsidRDefault="00CC0CC6" w:rsidP="00CC0CC6">
      <w:pPr>
        <w:pStyle w:val="aff1"/>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p>
    <w:p w:rsidR="006446A9" w:rsidRPr="00195C79" w:rsidRDefault="006446A9" w:rsidP="006446A9">
      <w:pPr>
        <w:pStyle w:val="afd"/>
        <w:numPr>
          <w:ilvl w:val="0"/>
          <w:numId w:val="25"/>
        </w:numPr>
        <w:divId w:val="266810958"/>
      </w:pPr>
      <w:r w:rsidRPr="00845937">
        <w:rPr>
          <w:bCs/>
        </w:rPr>
        <w:t>Пациентам</w:t>
      </w:r>
      <w:r>
        <w:rPr>
          <w:bCs/>
        </w:rPr>
        <w:t>, у которыхпо</w:t>
      </w:r>
      <w:r w:rsidRPr="00845937">
        <w:rPr>
          <w:bCs/>
        </w:rPr>
        <w:t xml:space="preserve"> клиническим и лабораторным проявлениями</w:t>
      </w:r>
      <w:r>
        <w:rPr>
          <w:bCs/>
        </w:rPr>
        <w:t xml:space="preserve"> можно заподозрить скрытое</w:t>
      </w:r>
      <w:r w:rsidR="007800E2">
        <w:rPr>
          <w:bCs/>
        </w:rPr>
        <w:t xml:space="preserve"> желудочно-кишечное</w:t>
      </w:r>
      <w:r>
        <w:rPr>
          <w:bCs/>
        </w:rPr>
        <w:t xml:space="preserve"> кровотечение </w:t>
      </w:r>
      <w:r w:rsidRPr="00195C79">
        <w:rPr>
          <w:b/>
        </w:rPr>
        <w:t>рекомендуется</w:t>
      </w:r>
      <w:r w:rsidR="007800E2">
        <w:t>исследование кала на скрытую кровь</w:t>
      </w:r>
      <w:r w:rsidR="000145B4"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505412" w:rsidRPr="00505412">
        <w:rPr>
          <w:noProof/>
        </w:rPr>
        <w:t>[22]</w:t>
      </w:r>
      <w:r w:rsidR="000145B4" w:rsidRPr="00195C79">
        <w:fldChar w:fldCharType="end"/>
      </w:r>
      <w:r w:rsidRPr="00195C79">
        <w:t>.</w:t>
      </w:r>
    </w:p>
    <w:p w:rsidR="006446A9" w:rsidRPr="00B104EF" w:rsidRDefault="006446A9" w:rsidP="006446A9">
      <w:pPr>
        <w:pStyle w:val="aff1"/>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p>
    <w:p w:rsidR="00FD5E20" w:rsidRPr="00195C79" w:rsidRDefault="00FD5E20" w:rsidP="00FD5E20">
      <w:pPr>
        <w:pStyle w:val="afd"/>
        <w:numPr>
          <w:ilvl w:val="0"/>
          <w:numId w:val="25"/>
        </w:numPr>
        <w:divId w:val="266810958"/>
      </w:pPr>
      <w:r w:rsidRPr="00845937">
        <w:rPr>
          <w:bCs/>
        </w:rPr>
        <w:t>Пациентам</w:t>
      </w:r>
      <w:r>
        <w:rPr>
          <w:bCs/>
        </w:rPr>
        <w:t>, у которыхпо</w:t>
      </w:r>
      <w:r w:rsidRPr="00845937">
        <w:rPr>
          <w:bCs/>
        </w:rPr>
        <w:t xml:space="preserve"> клиническим и лабораторным проявлениями</w:t>
      </w:r>
      <w:r>
        <w:rPr>
          <w:bCs/>
        </w:rPr>
        <w:t xml:space="preserve"> можно заподозрить нарушение почечной функции </w:t>
      </w:r>
      <w:r w:rsidRPr="00195C79">
        <w:rPr>
          <w:b/>
        </w:rPr>
        <w:t>рекомендуется</w:t>
      </w:r>
      <w:r w:rsidR="007800E2">
        <w:t xml:space="preserve">исследование уровня креатинина </w:t>
      </w:r>
      <w:r w:rsidRPr="00C557E6">
        <w:rPr>
          <w:rFonts w:eastAsia="Calibri" w:cs="Times New Roman"/>
          <w:szCs w:val="24"/>
          <w:lang w:eastAsia="ru-RU"/>
        </w:rPr>
        <w:t>в крови и/или</w:t>
      </w:r>
      <w:r w:rsidR="0054298A">
        <w:rPr>
          <w:rFonts w:eastAsia="Calibri" w:cs="Times New Roman"/>
          <w:szCs w:val="24"/>
          <w:lang w:eastAsia="ru-RU"/>
        </w:rPr>
        <w:t xml:space="preserve"> определение</w:t>
      </w:r>
      <w:r w:rsidRPr="00C557E6">
        <w:rPr>
          <w:rFonts w:eastAsia="Calibri" w:cs="Times New Roman"/>
          <w:szCs w:val="24"/>
          <w:lang w:eastAsia="ru-RU"/>
        </w:rPr>
        <w:t xml:space="preserve"> клиренс</w:t>
      </w:r>
      <w:r w:rsidR="00595A55">
        <w:rPr>
          <w:rFonts w:eastAsia="Calibri" w:cs="Times New Roman"/>
          <w:szCs w:val="24"/>
          <w:lang w:eastAsia="ru-RU"/>
        </w:rPr>
        <w:t>а</w:t>
      </w:r>
      <w:r w:rsidRPr="00C557E6">
        <w:rPr>
          <w:rFonts w:eastAsia="Calibri" w:cs="Times New Roman"/>
          <w:szCs w:val="24"/>
          <w:lang w:eastAsia="ru-RU"/>
        </w:rPr>
        <w:t xml:space="preserve"> креатинина</w:t>
      </w:r>
      <w:r w:rsidR="000145B4"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505412" w:rsidRPr="00505412">
        <w:rPr>
          <w:noProof/>
        </w:rPr>
        <w:t>[22]</w:t>
      </w:r>
      <w:r w:rsidR="000145B4" w:rsidRPr="00195C79">
        <w:fldChar w:fldCharType="end"/>
      </w:r>
      <w:r w:rsidRPr="00195C79">
        <w:t>.</w:t>
      </w:r>
    </w:p>
    <w:p w:rsidR="00FD5E20" w:rsidRPr="00B104EF" w:rsidRDefault="00FD5E20" w:rsidP="00FD5E20">
      <w:pPr>
        <w:pStyle w:val="aff1"/>
        <w:ind w:left="0" w:firstLine="709"/>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p>
    <w:p w:rsidR="00CC0CC6" w:rsidRPr="00B104EF" w:rsidRDefault="00CC0CC6" w:rsidP="000E096D">
      <w:pPr>
        <w:pStyle w:val="aff1"/>
        <w:ind w:left="0" w:firstLine="709"/>
        <w:divId w:val="266810958"/>
      </w:pPr>
    </w:p>
    <w:p w:rsidR="00D16E73" w:rsidRPr="00A212C3" w:rsidRDefault="00D16E73" w:rsidP="00A212C3">
      <w:pPr>
        <w:pStyle w:val="2"/>
        <w:divId w:val="266810958"/>
      </w:pPr>
      <w:bookmarkStart w:id="22" w:name="_Toc29905895"/>
      <w:bookmarkStart w:id="23" w:name="_Toc57983685"/>
      <w:r w:rsidRPr="00A212C3">
        <w:t>2.4 Инструментальные диагностические исследования</w:t>
      </w:r>
      <w:bookmarkEnd w:id="22"/>
      <w:bookmarkEnd w:id="23"/>
    </w:p>
    <w:p w:rsidR="00D16E73" w:rsidRPr="00EC6C6C" w:rsidRDefault="000B544E" w:rsidP="00D16E73">
      <w:pPr>
        <w:pStyle w:val="afd"/>
        <w:numPr>
          <w:ilvl w:val="0"/>
          <w:numId w:val="25"/>
        </w:numPr>
        <w:spacing w:before="120"/>
        <w:divId w:val="266810958"/>
        <w:rPr>
          <w:i/>
          <w:snapToGrid w:val="0"/>
          <w:color w:val="000000" w:themeColor="text1"/>
          <w:szCs w:val="24"/>
        </w:rPr>
      </w:pPr>
      <w:r w:rsidRPr="00EC6C6C">
        <w:rPr>
          <w:bCs/>
          <w:color w:val="000000" w:themeColor="text1"/>
        </w:rPr>
        <w:t xml:space="preserve">Пациентам, у которых по клиническим и лабораторным проявлениям можно заподозрить кровотечение, </w:t>
      </w:r>
      <w:r w:rsidRPr="00EC6C6C">
        <w:rPr>
          <w:b/>
          <w:color w:val="000000" w:themeColor="text1"/>
        </w:rPr>
        <w:t>рекомендуется</w:t>
      </w:r>
      <w:r w:rsidRPr="00EC6C6C">
        <w:rPr>
          <w:color w:val="000000" w:themeColor="text1"/>
        </w:rPr>
        <w:t xml:space="preserve"> проведение интсрументальных исследований для уточнения и остановки источника кровотечения</w:t>
      </w:r>
      <w:r w:rsidR="000145B4" w:rsidRPr="00EC6C6C">
        <w:rPr>
          <w:color w:val="000000" w:themeColor="text1"/>
        </w:rPr>
        <w:fldChar w:fldCharType="begin" w:fldLock="1"/>
      </w:r>
      <w:r w:rsidR="00505412" w:rsidRPr="00EC6C6C">
        <w:rPr>
          <w:color w:val="000000" w:themeColor="text1"/>
        </w:rPr>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EC6C6C">
        <w:rPr>
          <w:color w:val="000000" w:themeColor="text1"/>
        </w:rPr>
        <w:fldChar w:fldCharType="separate"/>
      </w:r>
      <w:r w:rsidR="00505412" w:rsidRPr="00EC6C6C">
        <w:rPr>
          <w:noProof/>
          <w:color w:val="000000" w:themeColor="text1"/>
        </w:rPr>
        <w:t>[22]</w:t>
      </w:r>
      <w:r w:rsidR="000145B4" w:rsidRPr="00EC6C6C">
        <w:rPr>
          <w:color w:val="000000" w:themeColor="text1"/>
        </w:rPr>
        <w:fldChar w:fldCharType="end"/>
      </w:r>
      <w:r w:rsidRPr="00EC6C6C">
        <w:rPr>
          <w:color w:val="000000" w:themeColor="text1"/>
        </w:rPr>
        <w:t>.</w:t>
      </w:r>
    </w:p>
    <w:p w:rsidR="000B544E" w:rsidRPr="00EC6C6C" w:rsidRDefault="000B544E" w:rsidP="00EC6C6C">
      <w:pPr>
        <w:pStyle w:val="aff1"/>
        <w:ind w:left="0" w:firstLine="720"/>
        <w:divId w:val="266810958"/>
        <w:rPr>
          <w:color w:val="000000" w:themeColor="text1"/>
        </w:rPr>
      </w:pPr>
      <w:r w:rsidRPr="00EC6C6C">
        <w:rPr>
          <w:color w:val="000000" w:themeColor="text1"/>
        </w:rPr>
        <w:t>Уровень убедительности рекомендаций С (уровень достоверности доказательств – 5)</w:t>
      </w:r>
    </w:p>
    <w:p w:rsidR="00D16E73" w:rsidRPr="00EC6C6C" w:rsidRDefault="000B544E" w:rsidP="00EC6C6C">
      <w:pPr>
        <w:pStyle w:val="aff1"/>
        <w:ind w:left="0" w:firstLine="720"/>
        <w:divId w:val="266810958"/>
        <w:rPr>
          <w:rFonts w:eastAsia="Calibri"/>
          <w:b w:val="0"/>
          <w:iCs/>
          <w:color w:val="000000" w:themeColor="text1"/>
          <w:u w:val="single"/>
          <w:lang w:eastAsia="ru-RU"/>
        </w:rPr>
      </w:pPr>
      <w:r w:rsidRPr="00EC6C6C">
        <w:rPr>
          <w:color w:val="000000" w:themeColor="text1"/>
        </w:rPr>
        <w:t xml:space="preserve">Комментарии: </w:t>
      </w:r>
      <w:r w:rsidRPr="00EC6C6C">
        <w:rPr>
          <w:rFonts w:eastAsia="Calibri"/>
          <w:b w:val="0"/>
          <w:i/>
          <w:iCs/>
          <w:color w:val="000000" w:themeColor="text1"/>
        </w:rPr>
        <w:t>вид инструментального исследования определяется клинической картиной – эзофагогастродуоденоскопия (ЭГДС), фиброколоноскопия (ФКС), фибробронхоскопия (ФБС), УЗИ брюшной полости, УЗИ почек, обзорный рентгеновский снимок брюшной полости и другие.</w:t>
      </w:r>
    </w:p>
    <w:p w:rsidR="0063380E" w:rsidRPr="005D13B0" w:rsidRDefault="0063380E" w:rsidP="00A212C3">
      <w:pPr>
        <w:pStyle w:val="2"/>
        <w:divId w:val="266810958"/>
      </w:pPr>
      <w:bookmarkStart w:id="24" w:name="_Toc57983686"/>
      <w:r w:rsidRPr="005D13B0">
        <w:t>2.</w:t>
      </w:r>
      <w:r>
        <w:t>5</w:t>
      </w:r>
      <w:r w:rsidRPr="005D13B0">
        <w:t xml:space="preserve"> Иные диагностические исследования</w:t>
      </w:r>
      <w:bookmarkEnd w:id="24"/>
    </w:p>
    <w:p w:rsidR="000B544E" w:rsidRPr="00EC6C6C" w:rsidRDefault="000B544E" w:rsidP="000B544E">
      <w:pPr>
        <w:pStyle w:val="afd"/>
        <w:numPr>
          <w:ilvl w:val="0"/>
          <w:numId w:val="25"/>
        </w:numPr>
        <w:spacing w:before="120"/>
        <w:divId w:val="266810958"/>
        <w:rPr>
          <w:i/>
          <w:strike/>
          <w:snapToGrid w:val="0"/>
          <w:color w:val="000000" w:themeColor="text1"/>
          <w:szCs w:val="24"/>
        </w:rPr>
      </w:pPr>
      <w:r w:rsidRPr="00EC6C6C">
        <w:rPr>
          <w:bCs/>
          <w:color w:val="000000" w:themeColor="text1"/>
        </w:rPr>
        <w:t xml:space="preserve">Пациентам, у которых по клиническим и лабораторным проявлениями можно заподозрить </w:t>
      </w:r>
      <w:r w:rsidR="00FB3A10" w:rsidRPr="00EC6C6C">
        <w:rPr>
          <w:bCs/>
          <w:color w:val="000000" w:themeColor="text1"/>
        </w:rPr>
        <w:t>другие</w:t>
      </w:r>
      <w:r w:rsidRPr="00EC6C6C">
        <w:rPr>
          <w:bCs/>
          <w:color w:val="000000" w:themeColor="text1"/>
        </w:rPr>
        <w:t xml:space="preserve"> дополнительные причины развития анемии, </w:t>
      </w:r>
      <w:r w:rsidR="00FB3A10" w:rsidRPr="00EC6C6C">
        <w:rPr>
          <w:b/>
          <w:bCs/>
          <w:color w:val="000000" w:themeColor="text1"/>
        </w:rPr>
        <w:t xml:space="preserve">рекомендуется </w:t>
      </w:r>
      <w:r w:rsidR="00FB3A10" w:rsidRPr="00EC6C6C">
        <w:rPr>
          <w:bCs/>
          <w:color w:val="000000" w:themeColor="text1"/>
        </w:rPr>
        <w:t>проведение</w:t>
      </w:r>
      <w:r w:rsidR="00DA0D0E" w:rsidRPr="00EC6C6C">
        <w:rPr>
          <w:bCs/>
          <w:color w:val="000000" w:themeColor="text1"/>
        </w:rPr>
        <w:t xml:space="preserve"> дополнительны</w:t>
      </w:r>
      <w:r w:rsidR="00FB3A10" w:rsidRPr="00EC6C6C">
        <w:rPr>
          <w:bCs/>
          <w:color w:val="000000" w:themeColor="text1"/>
        </w:rPr>
        <w:t>х исследований</w:t>
      </w:r>
      <w:r w:rsidR="00DA0D0E" w:rsidRPr="00EC6C6C">
        <w:rPr>
          <w:bCs/>
          <w:color w:val="000000" w:themeColor="text1"/>
        </w:rPr>
        <w:t xml:space="preserve"> для уточнения иных </w:t>
      </w:r>
      <w:r w:rsidR="00DA0D0E" w:rsidRPr="00EC6C6C">
        <w:rPr>
          <w:rFonts w:eastAsia="Calibri" w:cs="Times New Roman"/>
          <w:color w:val="000000" w:themeColor="text1"/>
          <w:szCs w:val="24"/>
          <w:lang w:eastAsia="ru-RU"/>
        </w:rPr>
        <w:t>этиологически значимых причин развития</w:t>
      </w:r>
      <w:r w:rsidR="00FB3A10" w:rsidRPr="00EC6C6C">
        <w:rPr>
          <w:rFonts w:eastAsia="Calibri" w:cs="Times New Roman"/>
          <w:color w:val="000000" w:themeColor="text1"/>
          <w:szCs w:val="24"/>
          <w:lang w:eastAsia="ru-RU"/>
        </w:rPr>
        <w:t xml:space="preserve"> анемии</w:t>
      </w:r>
      <w:r w:rsidR="000145B4" w:rsidRPr="00EC6C6C">
        <w:rPr>
          <w:color w:val="000000" w:themeColor="text1"/>
        </w:rPr>
        <w:fldChar w:fldCharType="begin" w:fldLock="1"/>
      </w:r>
      <w:r w:rsidR="00505412" w:rsidRPr="00EC6C6C">
        <w:rPr>
          <w:color w:val="000000" w:themeColor="text1"/>
        </w:rPr>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EC6C6C">
        <w:rPr>
          <w:color w:val="000000" w:themeColor="text1"/>
        </w:rPr>
        <w:fldChar w:fldCharType="separate"/>
      </w:r>
      <w:r w:rsidR="00505412" w:rsidRPr="00EC6C6C">
        <w:rPr>
          <w:noProof/>
          <w:color w:val="000000" w:themeColor="text1"/>
        </w:rPr>
        <w:t>[22]</w:t>
      </w:r>
      <w:r w:rsidR="000145B4" w:rsidRPr="00EC6C6C">
        <w:rPr>
          <w:color w:val="000000" w:themeColor="text1"/>
        </w:rPr>
        <w:fldChar w:fldCharType="end"/>
      </w:r>
      <w:r w:rsidR="00DA0D0E" w:rsidRPr="00EC6C6C">
        <w:rPr>
          <w:rFonts w:eastAsia="Calibri" w:cs="Times New Roman"/>
          <w:color w:val="000000" w:themeColor="text1"/>
          <w:szCs w:val="24"/>
          <w:lang w:eastAsia="ru-RU"/>
        </w:rPr>
        <w:t>.</w:t>
      </w:r>
    </w:p>
    <w:p w:rsidR="00DA0D0E" w:rsidRPr="00EC6C6C" w:rsidRDefault="00DA0D0E" w:rsidP="00EC6C6C">
      <w:pPr>
        <w:pStyle w:val="aff1"/>
        <w:ind w:left="0" w:firstLine="720"/>
        <w:divId w:val="266810958"/>
        <w:rPr>
          <w:color w:val="000000" w:themeColor="text1"/>
        </w:rPr>
      </w:pPr>
      <w:r w:rsidRPr="00EC6C6C">
        <w:rPr>
          <w:color w:val="000000" w:themeColor="text1"/>
        </w:rPr>
        <w:t>Уровень убедительности рекомендаций С (уровень достоверности доказательств – 5)</w:t>
      </w:r>
    </w:p>
    <w:p w:rsidR="000B544E" w:rsidRPr="00EC6C6C" w:rsidRDefault="00DA0D0E" w:rsidP="00EC6C6C">
      <w:pPr>
        <w:pStyle w:val="afd"/>
        <w:spacing w:before="120"/>
        <w:ind w:left="0" w:firstLine="720"/>
        <w:divId w:val="266810958"/>
        <w:rPr>
          <w:i/>
          <w:strike/>
          <w:snapToGrid w:val="0"/>
          <w:color w:val="000000" w:themeColor="text1"/>
          <w:szCs w:val="24"/>
        </w:rPr>
      </w:pPr>
      <w:r w:rsidRPr="00EC6C6C">
        <w:rPr>
          <w:b/>
          <w:color w:val="000000" w:themeColor="text1"/>
        </w:rPr>
        <w:t>Комментарии:</w:t>
      </w:r>
      <w:r w:rsidR="000B544E" w:rsidRPr="00EC6C6C">
        <w:rPr>
          <w:rFonts w:eastAsia="Calibri" w:cs="Times New Roman"/>
          <w:i/>
          <w:color w:val="000000" w:themeColor="text1"/>
          <w:szCs w:val="24"/>
          <w:lang w:eastAsia="ru-RU"/>
        </w:rPr>
        <w:t>обследовани</w:t>
      </w:r>
      <w:r w:rsidRPr="00EC6C6C">
        <w:rPr>
          <w:rFonts w:eastAsia="Calibri" w:cs="Times New Roman"/>
          <w:i/>
          <w:color w:val="000000" w:themeColor="text1"/>
          <w:szCs w:val="24"/>
          <w:lang w:eastAsia="ru-RU"/>
        </w:rPr>
        <w:t>е</w:t>
      </w:r>
      <w:r w:rsidR="000B544E" w:rsidRPr="00EC6C6C">
        <w:rPr>
          <w:rFonts w:eastAsia="Calibri" w:cs="Times New Roman"/>
          <w:i/>
          <w:color w:val="000000" w:themeColor="text1"/>
          <w:szCs w:val="24"/>
          <w:lang w:eastAsia="ru-RU"/>
        </w:rPr>
        <w:t xml:space="preserve"> может включать определение концентрации витамина В12 и фолиевой кислоты в сыворотке крови</w:t>
      </w:r>
      <w:r w:rsidR="00FB3A10" w:rsidRPr="00EC6C6C">
        <w:rPr>
          <w:rFonts w:eastAsia="Calibri" w:cs="Times New Roman"/>
          <w:i/>
          <w:color w:val="000000" w:themeColor="text1"/>
          <w:szCs w:val="24"/>
          <w:lang w:eastAsia="ru-RU"/>
        </w:rPr>
        <w:t>(</w:t>
      </w:r>
      <w:r w:rsidRPr="00EC6C6C">
        <w:rPr>
          <w:rFonts w:eastAsia="Calibri" w:cs="Times New Roman"/>
          <w:i/>
          <w:color w:val="000000" w:themeColor="text1"/>
          <w:szCs w:val="24"/>
          <w:lang w:eastAsia="ru-RU"/>
        </w:rPr>
        <w:t>для исключения их дефицита</w:t>
      </w:r>
      <w:r w:rsidR="00FB3A10" w:rsidRPr="00EC6C6C">
        <w:rPr>
          <w:rFonts w:eastAsia="Calibri" w:cs="Times New Roman"/>
          <w:i/>
          <w:color w:val="000000" w:themeColor="text1"/>
          <w:szCs w:val="24"/>
          <w:lang w:eastAsia="ru-RU"/>
        </w:rPr>
        <w:t>)</w:t>
      </w:r>
      <w:r w:rsidR="000B544E" w:rsidRPr="00EC6C6C">
        <w:rPr>
          <w:rFonts w:eastAsia="Calibri" w:cs="Times New Roman"/>
          <w:i/>
          <w:color w:val="000000" w:themeColor="text1"/>
          <w:szCs w:val="24"/>
          <w:lang w:eastAsia="ru-RU"/>
        </w:rPr>
        <w:t>; определение концентрации общего билирубина и его фракций, лактатдегидрогеназы в сыворотке крови</w:t>
      </w:r>
      <w:r w:rsidRPr="00EC6C6C">
        <w:rPr>
          <w:rFonts w:eastAsia="Calibri" w:cs="Times New Roman"/>
          <w:i/>
          <w:color w:val="000000" w:themeColor="text1"/>
          <w:szCs w:val="24"/>
          <w:lang w:eastAsia="ru-RU"/>
        </w:rPr>
        <w:t xml:space="preserve">, </w:t>
      </w:r>
      <w:r w:rsidR="000B544E" w:rsidRPr="00EC6C6C">
        <w:rPr>
          <w:rFonts w:eastAsia="Calibri" w:cs="Times New Roman"/>
          <w:i/>
          <w:color w:val="000000" w:themeColor="text1"/>
          <w:szCs w:val="24"/>
          <w:lang w:eastAsia="ru-RU"/>
        </w:rPr>
        <w:t>прямая проба Кумбса</w:t>
      </w:r>
      <w:r w:rsidRPr="00EC6C6C">
        <w:rPr>
          <w:rFonts w:eastAsia="Calibri" w:cs="Times New Roman"/>
          <w:i/>
          <w:color w:val="000000" w:themeColor="text1"/>
          <w:szCs w:val="24"/>
          <w:lang w:eastAsia="ru-RU"/>
        </w:rPr>
        <w:t xml:space="preserve"> (для исключения гемолиза)</w:t>
      </w:r>
      <w:r w:rsidR="000B544E" w:rsidRPr="00EC6C6C">
        <w:rPr>
          <w:rFonts w:eastAsia="Calibri" w:cs="Times New Roman"/>
          <w:i/>
          <w:color w:val="000000" w:themeColor="text1"/>
          <w:szCs w:val="24"/>
          <w:lang w:eastAsia="ru-RU"/>
        </w:rPr>
        <w:t>; определение концентрации креатинина в сыворотке крови и/или клиренс креатинина</w:t>
      </w:r>
      <w:r w:rsidRPr="00EC6C6C">
        <w:rPr>
          <w:rFonts w:eastAsia="Calibri" w:cs="Times New Roman"/>
          <w:i/>
          <w:color w:val="000000" w:themeColor="text1"/>
          <w:szCs w:val="24"/>
          <w:lang w:eastAsia="ru-RU"/>
        </w:rPr>
        <w:t xml:space="preserve"> (для исключения хронической болезни почек</w:t>
      </w:r>
      <w:r w:rsidR="000B544E" w:rsidRPr="00EC6C6C">
        <w:rPr>
          <w:rFonts w:eastAsia="Calibri" w:cs="Times New Roman"/>
          <w:i/>
          <w:color w:val="000000" w:themeColor="text1"/>
          <w:szCs w:val="24"/>
          <w:lang w:eastAsia="ru-RU"/>
        </w:rPr>
        <w:t>).</w:t>
      </w:r>
    </w:p>
    <w:p w:rsidR="0063380E" w:rsidRDefault="0063380E" w:rsidP="00E96066">
      <w:pPr>
        <w:spacing w:after="200" w:line="276" w:lineRule="auto"/>
        <w:ind w:firstLine="0"/>
        <w:jc w:val="center"/>
        <w:divId w:val="266810958"/>
        <w:rPr>
          <w:rFonts w:eastAsia="Calibri" w:cs="Times New Roman"/>
          <w:b/>
          <w:iCs/>
          <w:szCs w:val="24"/>
          <w:u w:val="single"/>
          <w:lang w:eastAsia="ru-RU"/>
        </w:rPr>
      </w:pPr>
    </w:p>
    <w:p w:rsidR="000414F6" w:rsidRPr="00A212C3" w:rsidRDefault="00CB71DA" w:rsidP="00A212C3">
      <w:pPr>
        <w:pStyle w:val="afff1"/>
      </w:pPr>
      <w:bookmarkStart w:id="25" w:name="__RefHeading___doc_3"/>
      <w:bookmarkStart w:id="26" w:name="_Toc57983687"/>
      <w:r w:rsidRPr="00A212C3">
        <w:t>3. Лечение</w:t>
      </w:r>
      <w:bookmarkEnd w:id="25"/>
      <w:r w:rsidR="0038545E" w:rsidRPr="00A212C3">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6"/>
    </w:p>
    <w:p w:rsidR="00ED5598" w:rsidRDefault="00ED5598" w:rsidP="00334F6C">
      <w:pPr>
        <w:pStyle w:val="2-6"/>
        <w:divId w:val="1767193717"/>
        <w:rPr>
          <w:rStyle w:val="afffb"/>
          <w:rFonts w:eastAsiaTheme="minorHAnsi" w:cstheme="minorBidi"/>
          <w:i w:val="0"/>
          <w:color w:val="auto"/>
          <w:sz w:val="24"/>
        </w:rPr>
      </w:pPr>
      <w:bookmarkStart w:id="27" w:name="_Toc469402341"/>
      <w:bookmarkStart w:id="28" w:name="_Toc468273538"/>
      <w:bookmarkStart w:id="29" w:name="_Toc468273456"/>
      <w:bookmarkEnd w:id="27"/>
      <w:bookmarkEnd w:id="28"/>
      <w:bookmarkEnd w:id="29"/>
    </w:p>
    <w:p w:rsidR="00ED5598" w:rsidRDefault="00ED5598" w:rsidP="00ED5598">
      <w:pPr>
        <w:pStyle w:val="2-6"/>
        <w:ind w:firstLine="0"/>
        <w:divId w:val="1767193717"/>
        <w:rPr>
          <w:rStyle w:val="afffb"/>
          <w:rFonts w:eastAsiaTheme="minorHAnsi" w:cstheme="minorBidi"/>
          <w:i w:val="0"/>
          <w:color w:val="auto"/>
          <w:sz w:val="24"/>
        </w:rPr>
      </w:pPr>
    </w:p>
    <w:p w:rsidR="002929B1" w:rsidRDefault="004E1288" w:rsidP="002929B1">
      <w:pPr>
        <w:pStyle w:val="2"/>
        <w:spacing w:before="0"/>
        <w:divId w:val="1767193717"/>
        <w:rPr>
          <w:rFonts w:eastAsia="Times New Roman"/>
        </w:rPr>
      </w:pPr>
      <w:bookmarkStart w:id="30" w:name="_Toc57983688"/>
      <w:r w:rsidRPr="004E1288">
        <w:rPr>
          <w:rFonts w:eastAsia="Times New Roman"/>
        </w:rPr>
        <w:t>3.1Консервативное лечение</w:t>
      </w:r>
      <w:bookmarkEnd w:id="30"/>
    </w:p>
    <w:p w:rsidR="00E96066" w:rsidRPr="00932C9E" w:rsidRDefault="00E96066" w:rsidP="00932C9E">
      <w:pPr>
        <w:pStyle w:val="afb"/>
        <w:divId w:val="1767193717"/>
        <w:rPr>
          <w:rFonts w:eastAsia="Calibri"/>
          <w:i/>
          <w:iCs/>
        </w:rPr>
      </w:pPr>
      <w:r w:rsidRPr="00932C9E">
        <w:rPr>
          <w:rFonts w:eastAsia="Calibri"/>
          <w:i/>
          <w:iCs/>
        </w:rPr>
        <w:lastRenderedPageBreak/>
        <w:t>Анализ опубликованных клинических наблюдений показал, что общим критерием назначения антианемического лечения является снижение концентрации Нв менее 80 г/л.  Лечение почти у всех детей заключается в трансфузиях эритроцитной массы.  Менее 5% детей в качестве антианемической терапии получают фолиевую кислоту</w:t>
      </w:r>
      <w:r w:rsidR="007800E2" w:rsidRPr="007800E2">
        <w:rPr>
          <w:rFonts w:eastAsia="Calibri"/>
          <w:i/>
          <w:iCs/>
        </w:rPr>
        <w:t>**</w:t>
      </w:r>
      <w:r w:rsidRPr="00932C9E">
        <w:rPr>
          <w:rFonts w:eastAsia="Calibri"/>
          <w:i/>
          <w:iCs/>
        </w:rPr>
        <w:t>, препараты железа, и еще меньше пациентов получают</w:t>
      </w:r>
      <w:r w:rsidR="007800E2">
        <w:rPr>
          <w:rFonts w:eastAsia="Calibri"/>
          <w:i/>
          <w:iCs/>
        </w:rPr>
        <w:t xml:space="preserve"> эритропоэзстимулирующие препараты(</w:t>
      </w:r>
      <w:r w:rsidRPr="00932C9E">
        <w:rPr>
          <w:rFonts w:eastAsia="Calibri"/>
          <w:i/>
          <w:iCs/>
        </w:rPr>
        <w:t>ЭСП</w:t>
      </w:r>
      <w:r w:rsidR="007800E2">
        <w:rPr>
          <w:rFonts w:eastAsia="Calibri"/>
          <w:i/>
          <w:iCs/>
        </w:rPr>
        <w:t>, группа «В03Х Другие антианемические препараты» по классификации АТХ)</w:t>
      </w:r>
      <w:r w:rsidR="000145B4">
        <w:rPr>
          <w:rFonts w:eastAsia="Calibri"/>
          <w:i/>
          <w:iCs/>
        </w:rPr>
        <w:fldChar w:fldCharType="begin" w:fldLock="1"/>
      </w:r>
      <w:r w:rsidR="001F413F">
        <w:rPr>
          <w:rFonts w:eastAsia="Calibri"/>
          <w:i/>
          <w:iCs/>
        </w:rPr>
        <w:instrText>ADDIN CSL_CITATION {"citationItems":[{"id":"ITEM-1","itemData":{"DOI":"10.1002/mpo.10183","ISSN":"00981532","abstract":"Background. Anemia occurs frequently in children with cancer, but there is little information quantifying the incidence of anemia or treatment. A survey was conducted in 1998 in Europe by The Research Partnership with the objective of determining the incidence of anemia, identifying the hemoglobin triggers that initiated anemia treatment, and the current anemia treatment options available to clinicians. Procedure. The survey was conducted in the 10 largest pediatric oncology centers each in France, Germany, Italy, Spain, and the UK, and in the 8 largest centers in both Belgium and The Netherlands. Telephone interviews with the most senior physician available in the institution were used to collect data, which included the numbers of patients treated or under follow-up, cancer types, and treatment practices for anemia. Results. Data were collected for 25,093 patients. Over 80% of patients were anemic (WHO: hemoglobin ≤ 11 g/dL; EORTC: hemoglobin ≤ 12 g/dL) regardless of tumor type; 97% of patients with leukemia, the most prevalent type of cancer (34% of the total population), were anemic. Decreases in hemoglobin levels to between 5.5 and 8.0 g/dL were the most common factor that precipitated anemia treatment. Treatment was almost exclusively blood transfusion; less than 5% of patients received drug treatment (which consisted mostly of folic acid or iron). Very few patients received recombinant human erythropoietin (rHuEPO, epoetin alfa) to treat anemia. Conclusions. In general, clinicians were not able to give advantages or disadvantages of epoetin alfa as a treatment option for treating anemia in children with cancer, which reflects the limited knowledge of and experience with this agent. © 2002 Wiley-Liss, Inc.","author":[{"dropping-particle":"","family":"Michon","given":"Jean","non-dropping-particle":"","parse-names":false,"suffix":""}],"container-title":"Medical and Pediatric Oncology","id":"ITEM-1","issue":"4","issued":{"date-parts":[["2002","10"]]},"page":"448-450","publisher":"Med Pediatr Oncol","title":"Incidence of anemia in pediatric cancer patients in Europe: Results of a large, international survey","type":"paper-conference","volume":"39"},"uris":["http://www.mendeley.com/documents/?uuid=5b37eb4c-4b20-3559-86e3-3cc437d70518"]}],"mendeley":{"formattedCitation":"[21]","plainTextFormattedCitation":"[21]","previouslyFormattedCitation":"[21]"},"properties":{"noteIndex":0},"schema":"https://github.com/citation-style-language/schema/raw/master/csl-citation.json"}</w:instrText>
      </w:r>
      <w:r w:rsidR="000145B4">
        <w:rPr>
          <w:rFonts w:eastAsia="Calibri"/>
          <w:i/>
          <w:iCs/>
        </w:rPr>
        <w:fldChar w:fldCharType="separate"/>
      </w:r>
      <w:r w:rsidR="00FF7C36" w:rsidRPr="00FF7C36">
        <w:rPr>
          <w:rFonts w:eastAsia="Calibri"/>
          <w:iCs/>
          <w:noProof/>
        </w:rPr>
        <w:t>[21]</w:t>
      </w:r>
      <w:r w:rsidR="000145B4">
        <w:rPr>
          <w:rFonts w:eastAsia="Calibri"/>
          <w:i/>
          <w:iCs/>
        </w:rPr>
        <w:fldChar w:fldCharType="end"/>
      </w:r>
      <w:r w:rsidRPr="00932C9E">
        <w:rPr>
          <w:rFonts w:eastAsia="Calibri"/>
          <w:i/>
          <w:iCs/>
        </w:rPr>
        <w:t>.</w:t>
      </w:r>
    </w:p>
    <w:p w:rsidR="005E5D13" w:rsidRPr="00195C79" w:rsidRDefault="00DA0D0E" w:rsidP="005E5D13">
      <w:pPr>
        <w:pStyle w:val="afd"/>
        <w:numPr>
          <w:ilvl w:val="0"/>
          <w:numId w:val="25"/>
        </w:numPr>
        <w:divId w:val="1767193717"/>
      </w:pPr>
      <w:r w:rsidRPr="00EC6C6C">
        <w:rPr>
          <w:bCs/>
          <w:color w:val="000000" w:themeColor="text1"/>
        </w:rPr>
        <w:t>Всем п</w:t>
      </w:r>
      <w:r w:rsidR="005E5D13" w:rsidRPr="00EC6C6C">
        <w:rPr>
          <w:bCs/>
          <w:color w:val="000000" w:themeColor="text1"/>
        </w:rPr>
        <w:t>ациентам</w:t>
      </w:r>
      <w:r w:rsidR="00577CFB">
        <w:rPr>
          <w:bCs/>
        </w:rPr>
        <w:t xml:space="preserve">при снижении концентрации гемоглобина ниже 70 г/л </w:t>
      </w:r>
      <w:r w:rsidR="00966C0F">
        <w:rPr>
          <w:bCs/>
        </w:rPr>
        <w:t xml:space="preserve">с проявлениями </w:t>
      </w:r>
      <w:r w:rsidR="00A23E4F">
        <w:rPr>
          <w:bCs/>
        </w:rPr>
        <w:t xml:space="preserve">симптомов и признаков анемической гипоксии </w:t>
      </w:r>
      <w:r w:rsidR="005E5D13" w:rsidRPr="00195C79">
        <w:rPr>
          <w:b/>
        </w:rPr>
        <w:t>рекоменду</w:t>
      </w:r>
      <w:r w:rsidR="009E330C">
        <w:rPr>
          <w:b/>
        </w:rPr>
        <w:t>ю</w:t>
      </w:r>
      <w:r w:rsidR="005E5D13" w:rsidRPr="00195C79">
        <w:rPr>
          <w:b/>
        </w:rPr>
        <w:t>тся</w:t>
      </w:r>
      <w:r w:rsidR="009E330C">
        <w:rPr>
          <w:rFonts w:eastAsia="Calibri" w:cs="Times New Roman"/>
          <w:szCs w:val="24"/>
          <w:lang w:eastAsia="ru-RU"/>
        </w:rPr>
        <w:t>трансфузии эритроцитарной массы</w:t>
      </w:r>
      <w:r w:rsidR="000145B4" w:rsidRPr="00195C79">
        <w:fldChar w:fldCharType="begin" w:fldLock="1"/>
      </w:r>
      <w:r w:rsidR="00AE5092">
        <w:instrText>ADDIN CSL_CITATION {"citationItems":[{"id":"ITEM-1","itemData":{"DOI":"10.1002/mpo.10184","abstract":"Background. Children with cancer frequently develop anemia both from the disease and from chemo- and radiotherapy. Considered a manageable complication, anemia is often not treated until it becomes severe, i.e., hemoglobin (Hb) level ≤7 g/dL. The most frequent treatment employed for anemia in children with cancer is blood transfusion. Procedure and Results. A retrospective survey of 74 children demonstrated that the use of blood transfusions increased as the intensity of therapy increased. At least one blood transfusion was administered to 12.5% of children who received standard chemotherapy, and to 59.5% of children who received intensive chemotherapy. These data also show that a substantial percentage of children did not receive treatment for intensive or high-dose chemotherapy, whereas anemia occurred in almost all patients. Recombinant human erythropoietin (rHuEPO, epoetin alfa) has been shown to be effective in adults in increasing Hb levels and in improving outcomes, including quality of life and survival. The use of epoetin alfa in children has not been extensively studied, and only a few clinical trials have been conducted. Conclusions. The good results seen in adults, data thus far in pediatrics, and the need for alternatives to transfusions in children make epoetin alfa an attractive treatment option for anemia in pediatric cancer patients. Clinical studies are underway to evaluate the efficacy and safety of epoetin alfa in increasing Hb values and improving outcomes in children with cancer. © 2002 Wiley-Liss, Inc.","author":[{"dropping-particle":"","family":"Ruggiero","given":"Antonio","non-dropping-particle":"","parse-names":false,"suffix":""},{"dropping-particle":"","family":"Riccardi","given":"Riccardo","non-dropping-particle":"","parse-names":false,"suffix":""}],"container-title":"Medical and Pediatric Oncology","id":"ITEM-1","issue":"4","issued":{"date-parts":[["2002","10","1"]]},"page":"451-454","title":"Interventions for anemia in pediatric cancer patients","type":"bill","volume":"39"},"uris":["http://www.mendeley.com/documents/?uuid=d27b1d04-f187-41e3-bc1a-c843370ca029"]},{"id":"ITEM-2","itemData":{"DOI":"10.1200/JCO.2003.09.121","ISSN":"0732183X","abstract":"Purpose: Severe anemias requiring RBC transfusions is a frequent complication of chemotherapy. A model elaborated by Ray-Coquard et al in adults pointed to three independent risk factors for RBC transfusion: performance status (PS) more than 1, hemoglobin less than 12 g/dL, and prechemotherapy absolute lymphocyte count (ALC) ≤ 700/ μL. This model is tested on a pediatric population. Patients and Methods: One hundred nineteen children with solid tumors consecutively admitted for conventional chemotherapy throughout 1 year were included. The study end point was the RBC-transfusion risk in the month following chemotherapy. Only one course was considered for each patient. Age, sex, number of courses, platinum-containing regimens, PS, and hemoglobin and lymphocyte count at day 1 were tested in univariate and multivariate analyses. Results: Thirty-one (26%) of 119 children required RBC transfusion within 31 days of chemotherapy. Three factors correlated to transfusion risk in the univariate analysis: PS more than 1 (P &lt; .001), hemoglobin less than 12 g/dL (P = .007), and pretreatment ALC ≤ 700/μL (P &lt; .001). In the multivariate analysis, hemoglobin less than 12 g/dL, PS more than 1, and ALC ≤ 700/μL were identified as independent factors predicting RBC transfusion. The calculated probability of receiving RBC transfusion within 31 days of chemotherapy was high with three risk factors (96%), intermediate with two risk factors (53% to 77%), low with one risk factor (10% to 26%), and very low when no risk factor was present (2%). The difference of transfusion needs was significant (P &lt; .001). Conclusion: The risk model elaborated for adults may also segregate children at high risk of postchemotherapy RBC transfusion, thus facilitating assessment of risk of transfusion and/or prophylactic erythropoietin support. © 2003 by American Society of Clinical Oncology.","author":[{"dropping-particle":"","family":"Marec-Berard","given":"Perrine","non-dropping-particle":"","parse-names":false,"suffix":""},{"dropping-particle":"","family":"Blay","given":"Jean Yves","non-dropping-particle":"","parse-names":false,"suffix":""},{"dropping-particle":"","family":"Schell","given":"Matthias","non-dropping-particle":"","parse-names":false,"suffix":""},{"dropping-particle":"","family":"Buclon","given":"Murielle","non-dropping-particle":"","parse-names":false,"suffix":""},{"dropping-particle":"","family":"Demaret","given":"Corrine","non-dropping-particle":"","parse-names":false,"suffix":""},{"dropping-particle":"","family":"Ray-Coquard","given":"Isabelle","non-dropping-particle":"","parse-names":false,"suffix":""}],"container-title":"Journal of Clinical Oncology","id":"ITEM-2","issue":"22","issued":{"date-parts":[["2003","11","15"]]},"page":"4235-4238","publisher":"J Clin Oncol","title":"Risk model predictive of severe anemia requiring RBC transfusion after chemotherapy in pediatric solid tumor patients","type":"article-journal","volume":"21"},"uris":["http://www.mendeley.com/documents/?uuid=646c519d-3275-36d1-81b8-389a4cade4eb"]},{"id":"ITEM-3","itemData":{"DOI":"10.1097/PCC.0000000000001610","ISSN":"19473893","PMID":"30161070","abstract":"Objectives: To present the recommendations and supporting evidence for RBC transfusions in critically ill children with hema-tologic and oncologic disease jrom the Pediatric Critical Care Transfusion and Anemia Expertise Initiative. Design: Consensus conference series of international, multidisciplinary experts in RBC transfusion management of critically ill children. Methods: The panel of 38 experts developed evidence-based and, when evidence was lacking, expert-based clinical recommendations and research priorities for RBC transfusions in critically ill children. The hematologic/oncologic subgroup included seven experts. Electronic searches were conducted using PubMed, EMBASE, and Cochrane Library databases jrom 1980 to May 2017. Agreement was obtained using the Research and Development/UCLA Appropriateness Method. Results were summarized using the Grading of Recommendations Assessment, Development, and Evaluation method. Results: The hematologic/oncologic subgroup developed 14 recommendations (seven clinical, seven research); all achieved greater than 80% agreement. In patients with sickle cell disease, Transfusion and Anemia Expertise Initiative recommends: 1) RBC transfusion to achieve a target hemoglobin concentration of 10 g/dL rather than hemoglobin of less than 30% prior to surgical procedures requiring general anesthesia and 2) exchange transfusion over simple (nonexchange) transfusion if the child's condition is deteriorating (based on clinical judgment), otherwise a simple, nonexchange RBC transfusion is recommended. There is insufficient evidence to make recommendations on transfusion thresholds for patients with sickle cell disease prior to minor procedures, with acute stroke or with pulmonary hypertension. For patients with oncologic disease or undergoing hematopoietic stem cell transplant, a hemoglobin concentration of 7-8 g/dL is recommended. Due to lack of evidence, research is needed to clarify the appropriate transfusion thresholds in these patients. Conclusions: Transfusion and Anemia Expertise Initiative developed specific pediatric recommendations regarding RBC transfusion management in critically ill children with sickle cell disease, oncologic disease, and hematopoietic stem cell transplant and recommendations to help guide future research priorities.","author":[{"dropping-particle":"","family":"Steiner","given":"Marie E.","non-dropping-particle":"","parse-names":false,"suffix":""},{"dropping-particle":"","family":"Zantek","given":"Nicole D.","non-dropping-particle":"","parse-names":false,"suffix":""},{"dropping-particle":"","family":"Stanworth","given":"Simon J.","non-dropping-particle":"","parse-names":false,"suffix":""},{"dropping-particle":"","family":"Parker","given":"Robert I.","non-dropping-particle":"","parse-names":false,"suffix":""},{"dropping-particle":"","family":"Valentine","given":"Stacey L.","non-dropping-particle":"","parse-names":false,"suffix":""},{"dropping-particle":"","family":"Lehmann","given":"Leslie E.","non-dropping-particle":"","parse-names":false,"suffix":""},{"dropping-particle":"","family":"Josephson","given":"Cassandra D.","non-dropping-particle":"","parse-names":false,"suffix":""},{"dropping-particle":"","family":"Bateman","given":"Scot T.","non-dropping-particle":"","parse-names":false,"suffix":""},{"dropping-particle":"","family":"Luban","given":"Naomi L.C.","non-dropping-particle":"","parse-names":false,"suffix":""}],"container-title":"Pediatric Critical Care Medicine","id":"ITEM-3","issue":"9","issued":{"date-parts":[["2018"]]},"page":"S149-S156","publisher":"Lippincott Williams and Wilkins","title":"Recommendations on RBC transfusion support in children with hematologic and oncologic diagnoses from the pediatric critical care transfusion and anemia expertise initiative","type":"article-journal","volume":"19"},"uris":["http://www.mendeley.com/documents/?uuid=85164567-543e-38cd-affc-b90d45d0a6bd"]},{"id":"ITEM-4","itemData":{"DOI":"10.1016/j.blre.2015.02.001","ISSN":"15321681","PMID":"25796130","abstract":"Anemia is present in over two-thirds of patients with malignant hematological disorders. The etiology of anemia predominates from ineffective erythropoiesis from marrow infiltration, cytokine related suppression, erythropoietin suppression, and vitamin deficiency; ineffective erythropoiesis is further exacerbated by accelerated clearance due to antibody mediated hemolysis and thrombotic microangiopathy. As the anemia is chronic in nature, symptoms are generally well tolerated and often non-specific. Transfusion of red blood cells (RBCs) is a balance between providing benefit for patients while avoiding risks of transfusion. Conservative/restrictive RBC transfusion practices have shown equivalent patient outcomes compared to liberal transfusion practices, and meta-analysis has shown improved in-hospital mortality, reduced cardiac events, re-bleeding, and bacterial infections. The implications for a lower threshold for transfusion in patients with malignancies are therefore increasingly being scrutinized. Alternative management strategies for anemia with IV iron and erythropoietin stimulating agents (ESAs) should be considered in the appropriate settings.","author":[{"dropping-particle":"","family":"Shah","given":"Neil","non-dropping-particle":"","parse-names":false,"suffix":""},{"dropping-particle":"","family":"Andrews","given":"Jennifer","non-dropping-particle":"","parse-names":false,"suffix":""},{"dropping-particle":"","family":"Goodnough","given":"Lawrence Tim","non-dropping-particle":"","parse-names":false,"suffix":""}],"container-title":"Blood Reviews","id":"ITEM-4","issue":"5","issued":{"date-parts":[["2015","9","1"]]},"page":"291-299","publisher":"Churchill Livingstone","title":"Transfusions for anemia in adult and pediatric patients with malignancies","type":"article-journal","volume":"29"},"uris":["http://www.mendeley.com/documents/?uuid=a9ebdde6-4bee-30a6-907d-1519eaeb37c1"]}],"mendeley":{"formattedCitation":"[24–27]","plainTextFormattedCitation":"[24–27]","previouslyFormattedCitation":"[24–27]"},"properties":{"noteIndex":0},"schema":"https://github.com/citation-style-language/schema/raw/master/csl-citation.json"}</w:instrText>
      </w:r>
      <w:r w:rsidR="000145B4" w:rsidRPr="00195C79">
        <w:fldChar w:fldCharType="separate"/>
      </w:r>
      <w:r w:rsidR="00EC6C6C" w:rsidRPr="00EC6C6C">
        <w:rPr>
          <w:noProof/>
        </w:rPr>
        <w:t>[24–27]</w:t>
      </w:r>
      <w:r w:rsidR="000145B4" w:rsidRPr="00195C79">
        <w:fldChar w:fldCharType="end"/>
      </w:r>
      <w:r w:rsidR="005E5D13" w:rsidRPr="00195C79">
        <w:t>.</w:t>
      </w:r>
    </w:p>
    <w:p w:rsidR="005E5D13" w:rsidRPr="00B104EF" w:rsidRDefault="005E5D13" w:rsidP="005E5D13">
      <w:pPr>
        <w:pStyle w:val="aff1"/>
        <w:ind w:left="0" w:firstLine="709"/>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p>
    <w:p w:rsidR="00E96066" w:rsidRPr="00106EAB" w:rsidRDefault="00966C0F" w:rsidP="00106B9E">
      <w:pPr>
        <w:pStyle w:val="afb"/>
        <w:divId w:val="1767193717"/>
        <w:rPr>
          <w:rFonts w:eastAsia="Calibri"/>
          <w:i/>
          <w:iCs/>
        </w:rPr>
      </w:pPr>
      <w:r w:rsidRPr="00ED5598">
        <w:rPr>
          <w:b/>
        </w:rPr>
        <w:t>Комментарии:</w:t>
      </w:r>
      <w:r w:rsidR="00106EAB" w:rsidRPr="00106EAB">
        <w:rPr>
          <w:rFonts w:eastAsia="Calibri"/>
          <w:i/>
          <w:iCs/>
        </w:rPr>
        <w:t xml:space="preserve">на </w:t>
      </w:r>
      <w:r w:rsidR="00E96066" w:rsidRPr="00106EAB">
        <w:rPr>
          <w:rFonts w:eastAsia="Calibri"/>
          <w:i/>
          <w:iCs/>
        </w:rPr>
        <w:t>сегодняшний день нет научно обоснованных стандартов и инструкций, которые бы четко определяли показания к использованию трансфузий эритроцитов, также, как и нет четких критериев лечебной эффективности трансфузий.</w:t>
      </w:r>
    </w:p>
    <w:p w:rsidR="00E96066" w:rsidRPr="00EC6C6C" w:rsidRDefault="007800E2" w:rsidP="00106B9E">
      <w:pPr>
        <w:pStyle w:val="afb"/>
        <w:divId w:val="1767193717"/>
        <w:rPr>
          <w:rFonts w:eastAsia="Calibri"/>
          <w:i/>
          <w:iCs/>
          <w:color w:val="000000" w:themeColor="text1"/>
        </w:rPr>
      </w:pPr>
      <w:r w:rsidRPr="00106EAB">
        <w:rPr>
          <w:rFonts w:eastAsia="Calibri"/>
          <w:i/>
          <w:iCs/>
        </w:rPr>
        <w:t>В целом</w:t>
      </w:r>
      <w:r w:rsidR="00E96066" w:rsidRPr="00106EAB">
        <w:rPr>
          <w:rFonts w:eastAsia="Calibri"/>
          <w:i/>
          <w:iCs/>
        </w:rPr>
        <w:t xml:space="preserve"> трансфузионная тактика при </w:t>
      </w:r>
      <w:r w:rsidR="00E96066" w:rsidRPr="00EC6C6C">
        <w:rPr>
          <w:rFonts w:eastAsia="Calibri"/>
          <w:i/>
          <w:iCs/>
          <w:color w:val="000000" w:themeColor="text1"/>
        </w:rPr>
        <w:t xml:space="preserve">анемии </w:t>
      </w:r>
      <w:r w:rsidR="00DA0D0E" w:rsidRPr="00EC6C6C">
        <w:rPr>
          <w:rFonts w:eastAsia="Calibri"/>
          <w:i/>
          <w:iCs/>
          <w:color w:val="000000" w:themeColor="text1"/>
        </w:rPr>
        <w:t>пациентов</w:t>
      </w:r>
      <w:r w:rsidR="00E96066" w:rsidRPr="00EC6C6C">
        <w:rPr>
          <w:rFonts w:eastAsia="Calibri"/>
          <w:i/>
          <w:iCs/>
          <w:color w:val="000000" w:themeColor="text1"/>
        </w:rPr>
        <w:t xml:space="preserve"> со ЗН совпадает с общими принципами лечения хронической анемии, однако, имеются и свои особенности.</w:t>
      </w:r>
    </w:p>
    <w:p w:rsidR="00E96066" w:rsidRPr="00106EAB" w:rsidRDefault="00E96066" w:rsidP="00106B9E">
      <w:pPr>
        <w:pStyle w:val="afb"/>
        <w:divId w:val="1767193717"/>
        <w:rPr>
          <w:rFonts w:eastAsia="Calibri"/>
          <w:i/>
          <w:iCs/>
        </w:rPr>
      </w:pPr>
      <w:r w:rsidRPr="00EC6C6C">
        <w:rPr>
          <w:rFonts w:eastAsia="Calibri"/>
          <w:i/>
          <w:iCs/>
          <w:color w:val="000000" w:themeColor="text1"/>
        </w:rPr>
        <w:t xml:space="preserve">Показаниями к трансфузии эритроцитов у </w:t>
      </w:r>
      <w:r w:rsidR="00DA0D0E" w:rsidRPr="00EC6C6C">
        <w:rPr>
          <w:rFonts w:eastAsia="Calibri"/>
          <w:i/>
          <w:iCs/>
          <w:color w:val="000000" w:themeColor="text1"/>
        </w:rPr>
        <w:t>пациентов</w:t>
      </w:r>
      <w:r w:rsidRPr="00EC6C6C">
        <w:rPr>
          <w:rFonts w:eastAsia="Calibri"/>
          <w:i/>
          <w:iCs/>
          <w:color w:val="000000" w:themeColor="text1"/>
        </w:rPr>
        <w:t xml:space="preserve"> со </w:t>
      </w:r>
      <w:r w:rsidRPr="00106EAB">
        <w:rPr>
          <w:rFonts w:eastAsia="Calibri"/>
          <w:i/>
          <w:iCs/>
        </w:rPr>
        <w:t>ЗН, получающими химио/лучевую терапию, являются выраженная анемия (Нв ≤ 70-75 г/л, Ht ≤ 0,25-0,30 л/л) с проявлениями симптомов и признаков анемической гипоксии. При показателях концентрации Hb ниже 70 г/л и отсутствии клинических признаков и симптомов анемизации показания к гемотрансфузиям обсуждаются. Трансфузии могут не потребоваться для хорошо компенсированных пациентов, восстанавливающихся после ХТ-индуцированной аплазии</w:t>
      </w:r>
      <w:r w:rsidR="000145B4" w:rsidRPr="00195C79">
        <w:fldChar w:fldCharType="begin" w:fldLock="1"/>
      </w:r>
      <w:r w:rsidR="00AE5092">
        <w:instrText>ADDIN CSL_CITATION {"citationItems":[{"id":"ITEM-1","itemData":{"DOI":"10.1002/mpo.10184","abstract":"Background. Children with cancer frequently develop anemia both from the disease and from chemo- and radiotherapy. Considered a manageable complication, anemia is often not treated until it becomes severe, i.e., hemoglobin (Hb) level ≤7 g/dL. The most frequent treatment employed for anemia in children with cancer is blood transfusion. Procedure and Results. A retrospective survey of 74 children demonstrated that the use of blood transfusions increased as the intensity of therapy increased. At least one blood transfusion was administered to 12.5% of children who received standard chemotherapy, and to 59.5% of children who received intensive chemotherapy. These data also show that a substantial percentage of children did not receive treatment for intensive or high-dose chemotherapy, whereas anemia occurred in almost all patients. Recombinant human erythropoietin (rHuEPO, epoetin alfa) has been shown to be effective in adults in increasing Hb levels and in improving outcomes, including quality of life and survival. The use of epoetin alfa in children has not been extensively studied, and only a few clinical trials have been conducted. Conclusions. The good results seen in adults, data thus far in pediatrics, and the need for alternatives to transfusions in children make epoetin alfa an attractive treatment option for anemia in pediatric cancer patients. Clinical studies are underway to evaluate the efficacy and safety of epoetin alfa in increasing Hb values and improving outcomes in children with cancer. © 2002 Wiley-Liss, Inc.","author":[{"dropping-particle":"","family":"Ruggiero","given":"Antonio","non-dropping-particle":"","parse-names":false,"suffix":""},{"dropping-particle":"","family":"Riccardi","given":"Riccardo","non-dropping-particle":"","parse-names":false,"suffix":""}],"container-title":"Medical and Pediatric Oncology","id":"ITEM-1","issue":"4","issued":{"date-parts":[["2002","10","1"]]},"page":"451-454","title":"Interventions for anemia in pediatric cancer patients","type":"bill","volume":"39"},"uris":["http://www.mendeley.com/documents/?uuid=d27b1d04-f187-41e3-bc1a-c843370ca029"]},{"id":"ITEM-2","itemData":{"DOI":"10.1200/JCO.2003.09.121","ISSN":"0732183X","abstract":"Purpose: Severe anemias requiring RBC transfusions is a frequent complication of chemotherapy. A model elaborated by Ray-Coquard et al in adults pointed to three independent risk factors for RBC transfusion: performance status (PS) more than 1, hemoglobin less than 12 g/dL, and prechemotherapy absolute lymphocyte count (ALC) ≤ 700/ μL. This model is tested on a pediatric population. Patients and Methods: One hundred nineteen children with solid tumors consecutively admitted for conventional chemotherapy throughout 1 year were included. The study end point was the RBC-transfusion risk in the month following chemotherapy. Only one course was considered for each patient. Age, sex, number of courses, platinum-containing regimens, PS, and hemoglobin and lymphocyte count at day 1 were tested in univariate and multivariate analyses. Results: Thirty-one (26%) of 119 children required RBC transfusion within 31 days of chemotherapy. Three factors correlated to transfusion risk in the univariate analysis: PS more than 1 (P &lt; .001), hemoglobin less than 12 g/dL (P = .007), and pretreatment ALC ≤ 700/μL (P &lt; .001). In the multivariate analysis, hemoglobin less than 12 g/dL, PS more than 1, and ALC ≤ 700/μL were identified as independent factors predicting RBC transfusion. The calculated probability of receiving RBC transfusion within 31 days of chemotherapy was high with three risk factors (96%), intermediate with two risk factors (53% to 77%), low with one risk factor (10% to 26%), and very low when no risk factor was present (2%). The difference of transfusion needs was significant (P &lt; .001). Conclusion: The risk model elaborated for adults may also segregate children at high risk of postchemotherapy RBC transfusion, thus facilitating assessment of risk of transfusion and/or prophylactic erythropoietin support. © 2003 by American Society of Clinical Oncology.","author":[{"dropping-particle":"","family":"Marec-Berard","given":"Perrine","non-dropping-particle":"","parse-names":false,"suffix":""},{"dropping-particle":"","family":"Blay","given":"Jean Yves","non-dropping-particle":"","parse-names":false,"suffix":""},{"dropping-particle":"","family":"Schell","given":"Matthias","non-dropping-particle":"","parse-names":false,"suffix":""},{"dropping-particle":"","family":"Buclon","given":"Murielle","non-dropping-particle":"","parse-names":false,"suffix":""},{"dropping-particle":"","family":"Demaret","given":"Corrine","non-dropping-particle":"","parse-names":false,"suffix":""},{"dropping-particle":"","family":"Ray-Coquard","given":"Isabelle","non-dropping-particle":"","parse-names":false,"suffix":""}],"container-title":"Journal of Clinical Oncology","id":"ITEM-2","issue":"22","issued":{"date-parts":[["2003","11","15"]]},"page":"4235-4238","publisher":"J Clin Oncol","title":"Risk model predictive of severe anemia requiring RBC transfusion after chemotherapy in pediatric solid tumor patients","type":"article-journal","volume":"21"},"uris":["http://www.mendeley.com/documents/?uuid=646c519d-3275-36d1-81b8-389a4cade4eb"]},{"id":"ITEM-3","itemData":{"DOI":"10.1097/PCC.0000000000001610","ISSN":"19473893","PMID":"30161070","abstract":"Objectives: To present the recommendations and supporting evidence for RBC transfusions in critically ill children with hema-tologic and oncologic disease jrom the Pediatric Critical Care Transfusion and Anemia Expertise Initiative. Design: Consensus conference series of international, multidisciplinary experts in RBC transfusion management of critically ill children. Methods: The panel of 38 experts developed evidence-based and, when evidence was lacking, expert-based clinical recommendations and research priorities for RBC transfusions in critically ill children. The hematologic/oncologic subgroup included seven experts. Electronic searches were conducted using PubMed, EMBASE, and Cochrane Library databases jrom 1980 to May 2017. Agreement was obtained using the Research and Development/UCLA Appropriateness Method. Results were summarized using the Grading of Recommendations Assessment, Development, and Evaluation method. Results: The hematologic/oncologic subgroup developed 14 recommendations (seven clinical, seven research); all achieved greater than 80% agreement. In patients with sickle cell disease, Transfusion and Anemia Expertise Initiative recommends: 1) RBC transfusion to achieve a target hemoglobin concentration of 10 g/dL rather than hemoglobin of less than 30% prior to surgical procedures requiring general anesthesia and 2) exchange transfusion over simple (nonexchange) transfusion if the child's condition is deteriorating (based on clinical judgment), otherwise a simple, nonexchange RBC transfusion is recommended. There is insufficient evidence to make recommendations on transfusion thresholds for patients with sickle cell disease prior to minor procedures, with acute stroke or with pulmonary hypertension. For patients with oncologic disease or undergoing hematopoietic stem cell transplant, a hemoglobin concentration of 7-8 g/dL is recommended. Due to lack of evidence, research is needed to clarify the appropriate transfusion thresholds in these patients. Conclusions: Transfusion and Anemia Expertise Initiative developed specific pediatric recommendations regarding RBC transfusion management in critically ill children with sickle cell disease, oncologic disease, and hematopoietic stem cell transplant and recommendations to help guide future research priorities.","author":[{"dropping-particle":"","family":"Steiner","given":"Marie E.","non-dropping-particle":"","parse-names":false,"suffix":""},{"dropping-particle":"","family":"Zantek","given":"Nicole D.","non-dropping-particle":"","parse-names":false,"suffix":""},{"dropping-particle":"","family":"Stanworth","given":"Simon J.","non-dropping-particle":"","parse-names":false,"suffix":""},{"dropping-particle":"","family":"Parker","given":"Robert I.","non-dropping-particle":"","parse-names":false,"suffix":""},{"dropping-particle":"","family":"Valentine","given":"Stacey L.","non-dropping-particle":"","parse-names":false,"suffix":""},{"dropping-particle":"","family":"Lehmann","given":"Leslie E.","non-dropping-particle":"","parse-names":false,"suffix":""},{"dropping-particle":"","family":"Josephson","given":"Cassandra D.","non-dropping-particle":"","parse-names":false,"suffix":""},{"dropping-particle":"","family":"Bateman","given":"Scot T.","non-dropping-particle":"","parse-names":false,"suffix":""},{"dropping-particle":"","family":"Luban","given":"Naomi L.C.","non-dropping-particle":"","parse-names":false,"suffix":""}],"container-title":"Pediatric Critical Care Medicine","id":"ITEM-3","issue":"9","issued":{"date-parts":[["2018"]]},"page":"S149-S156","publisher":"Lippincott Williams and Wilkins","title":"Recommendations on RBC transfusion support in children with hematologic and oncologic diagnoses from the pediatric critical care transfusion and anemia expertise initiative","type":"article-journal","volume":"19"},"uris":["http://www.mendeley.com/documents/?uuid=85164567-543e-38cd-affc-b90d45d0a6bd"]},{"id":"ITEM-4","itemData":{"DOI":"10.1016/j.blre.2015.02.001","ISSN":"15321681","PMID":"25796130","abstract":"Anemia is present in over two-thirds of patients with malignant hematological disorders. The etiology of anemia predominates from ineffective erythropoiesis from marrow infiltration, cytokine related suppression, erythropoietin suppression, and vitamin deficiency; ineffective erythropoiesis is further exacerbated by accelerated clearance due to antibody mediated hemolysis and thrombotic microangiopathy. As the anemia is chronic in nature, symptoms are generally well tolerated and often non-specific. Transfusion of red blood cells (RBCs) is a balance between providing benefit for patients while avoiding risks of transfusion. Conservative/restrictive RBC transfusion practices have shown equivalent patient outcomes compared to liberal transfusion practices, and meta-analysis has shown improved in-hospital mortality, reduced cardiac events, re-bleeding, and bacterial infections. The implications for a lower threshold for transfusion in patients with malignancies are therefore increasingly being scrutinized. Alternative management strategies for anemia with IV iron and erythropoietin stimulating agents (ESAs) should be considered in the appropriate settings.","author":[{"dropping-particle":"","family":"Shah","given":"Neil","non-dropping-particle":"","parse-names":false,"suffix":""},{"dropping-particle":"","family":"Andrews","given":"Jennifer","non-dropping-particle":"","parse-names":false,"suffix":""},{"dropping-particle":"","family":"Goodnough","given":"Lawrence Tim","non-dropping-particle":"","parse-names":false,"suffix":""}],"container-title":"Blood Reviews","id":"ITEM-4","issue":"5","issued":{"date-parts":[["2015","9","1"]]},"page":"291-299","publisher":"Churchill Livingstone","title":"Transfusions for anemia in adult and pediatric patients with malignancies","type":"article-journal","volume":"29"},"uris":["http://www.mendeley.com/documents/?uuid=a9ebdde6-4bee-30a6-907d-1519eaeb37c1"]}],"mendeley":{"formattedCitation":"[24–27]","plainTextFormattedCitation":"[24–27]","previouslyFormattedCitation":"[24–27]"},"properties":{"noteIndex":0},"schema":"https://github.com/citation-style-language/schema/raw/master/csl-citation.json"}</w:instrText>
      </w:r>
      <w:r w:rsidR="000145B4" w:rsidRPr="00195C79">
        <w:fldChar w:fldCharType="separate"/>
      </w:r>
      <w:r w:rsidR="00EC6C6C" w:rsidRPr="00EC6C6C">
        <w:rPr>
          <w:noProof/>
        </w:rPr>
        <w:t>[24–27]</w:t>
      </w:r>
      <w:r w:rsidR="000145B4" w:rsidRPr="00195C79">
        <w:fldChar w:fldCharType="end"/>
      </w:r>
      <w:r w:rsidRPr="00106EAB">
        <w:rPr>
          <w:rFonts w:eastAsia="Calibri"/>
          <w:i/>
          <w:iCs/>
        </w:rPr>
        <w:t>.</w:t>
      </w:r>
    </w:p>
    <w:p w:rsidR="00E96066" w:rsidRPr="00106EAB" w:rsidRDefault="00E96066" w:rsidP="00106B9E">
      <w:pPr>
        <w:pStyle w:val="afb"/>
        <w:divId w:val="1767193717"/>
        <w:rPr>
          <w:rFonts w:eastAsia="Calibri"/>
          <w:i/>
          <w:iCs/>
        </w:rPr>
      </w:pPr>
      <w:r w:rsidRPr="00106EAB">
        <w:rPr>
          <w:rFonts w:eastAsia="Calibri"/>
          <w:i/>
          <w:iCs/>
        </w:rPr>
        <w:t xml:space="preserve">Однако, в случае предстоящей </w:t>
      </w:r>
      <w:r w:rsidRPr="00EC6C6C">
        <w:rPr>
          <w:rFonts w:eastAsia="Calibri"/>
          <w:i/>
          <w:iCs/>
          <w:color w:val="000000" w:themeColor="text1"/>
        </w:rPr>
        <w:t xml:space="preserve">интенсивной ХТ </w:t>
      </w:r>
      <w:r w:rsidR="00DA0D0E" w:rsidRPr="00EC6C6C">
        <w:rPr>
          <w:rFonts w:eastAsia="Calibri"/>
          <w:i/>
          <w:iCs/>
          <w:color w:val="000000" w:themeColor="text1"/>
        </w:rPr>
        <w:t>гемо</w:t>
      </w:r>
      <w:r w:rsidRPr="00EC6C6C">
        <w:rPr>
          <w:rFonts w:eastAsia="Calibri"/>
          <w:i/>
          <w:iCs/>
          <w:color w:val="000000" w:themeColor="text1"/>
        </w:rPr>
        <w:t xml:space="preserve">трансфузии </w:t>
      </w:r>
      <w:r w:rsidRPr="00106EAB">
        <w:rPr>
          <w:rFonts w:eastAsia="Calibri"/>
          <w:i/>
          <w:iCs/>
        </w:rPr>
        <w:t>в отсутствии клинических проявлений оправданы</w:t>
      </w:r>
      <w:r w:rsidR="000145B4" w:rsidRPr="00195C79">
        <w:fldChar w:fldCharType="begin" w:fldLock="1"/>
      </w:r>
      <w:r w:rsidR="00AE5092">
        <w:instrText>ADDIN CSL_CITATION {"citationItems":[{"id":"ITEM-1","itemData":{"DOI":"10.1002/mpo.10184","abstract":"Background. Children with cancer frequently develop anemia both from the disease and from chemo- and radiotherapy. Considered a manageable complication, anemia is often not treated until it becomes severe, i.e., hemoglobin (Hb) level ≤7 g/dL. The most frequent treatment employed for anemia in children with cancer is blood transfusion. Procedure and Results. A retrospective survey of 74 children demonstrated that the use of blood transfusions increased as the intensity of therapy increased. At least one blood transfusion was administered to 12.5% of children who received standard chemotherapy, and to 59.5% of children who received intensive chemotherapy. These data also show that a substantial percentage of children did not receive treatment for intensive or high-dose chemotherapy, whereas anemia occurred in almost all patients. Recombinant human erythropoietin (rHuEPO, epoetin alfa) has been shown to be effective in adults in increasing Hb levels and in improving outcomes, including quality of life and survival. The use of epoetin alfa in children has not been extensively studied, and only a few clinical trials have been conducted. Conclusions. The good results seen in adults, data thus far in pediatrics, and the need for alternatives to transfusions in children make epoetin alfa an attractive treatment option for anemia in pediatric cancer patients. Clinical studies are underway to evaluate the efficacy and safety of epoetin alfa in increasing Hb values and improving outcomes in children with cancer. © 2002 Wiley-Liss, Inc.","author":[{"dropping-particle":"","family":"Ruggiero","given":"Antonio","non-dropping-particle":"","parse-names":false,"suffix":""},{"dropping-particle":"","family":"Riccardi","given":"Riccardo","non-dropping-particle":"","parse-names":false,"suffix":""}],"container-title":"Medical and Pediatric Oncology","id":"ITEM-1","issue":"4","issued":{"date-parts":[["2002","10","1"]]},"page":"451-454","title":"Interventions for anemia in pediatric cancer patients","type":"bill","volume":"39"},"uris":["http://www.mendeley.com/documents/?uuid=d27b1d04-f187-41e3-bc1a-c843370ca029"]},{"id":"ITEM-2","itemData":{"author":[{"dropping-particle":"","family":"Румянцев","given":"А.Г.","non-dropping-particle":"","parse-names":false,"suffix":""},{"dropping-particle":"","family":"Аграненко","given":"В.А.","non-dropping-particle":"","parse-names":false,"suffix":""}],"id":"ITEM-2","issued":{"date-parts":[["2002"]]},"number-of-pages":"644","title":"Гемотрансфузионная терапия в педиатрии и неонатологии: Руководство для врачей","type":"book"},"uris":["http://www.mendeley.com/documents/?uuid=0a572f25-cfd9-48ae-9c9d-b56bbaefd657"]},{"id":"ITEM-3","itemData":{"DOI":"10.1002/pbc.24046","ISSN":"15455009","PMID":"22190481","abstract":"Background: Packed red blood cell (PRBC) transfusion is a mainstay in childhood cancer treatment, but has potential for inducing iron overload. The purpose of this study was to determine whether treatment intensity is predictive of projected iron burden resulting from PRBC transfusions among survivors of several forms of childhood cancer. Procedure: This retrospective cohort study involved patients treated at Children's Hospital Los Angeles (CHLA) between June 1, 2004 and December 31, 2009. Clinical/demographic data were abstracted from medical records. Treatment Intensity Level was determined for each patient using a published scale. Adjusted cumulative PRBC transfusion volume for each patient (ml/kg) was used to compute the adjusted total iron burden (mg/kg) based upon the average hematocrit of the product. Results: Median age of the cohort (n=214) was 7.9 years (range 0.2-20.2). One hundred and fourteen (53.3%) were male and 129 (60.3%) were Hispanic/Latino. Diagnoses included acute leukemia and six solid tumors, management of which represents a range of cancer treatment intensities. The number of transfusions, transfusion volumes, and projected iron burden were significantly increased and exceeded upper limits of normal among patients with higher treatment intensity. Multivariate analysis found younger age and lower hemoglobin at diagnosis to be associated with greater iron burden after adjusting for treatment intensity. Conclusion: Greater treatment intensity is associated with need for more PRBC transfusions, and thus increased risk of iron overload among childhood cancer survivors. Iron overload may represent another clinically significant late effect following childhood cancer treatment. Pediatr Blood Cancer 2012;59:697-702. © 2011 Wiley Periodicals, Inc.","author":[{"dropping-particle":"","family":"Ruccione","given":"Kathleen S.","non-dropping-particle":"","parse-names":false,"suffix":""},{"dropping-particle":"","family":"Mudambi","given":"Kiran","non-dropping-particle":"","parse-names":false,"suffix":""},{"dropping-particle":"","family":"Sposto","given":"Richard","non-dropping-particle":"","parse-names":false,"suffix":""},{"dropping-particle":"","family":"Fridey","given":"Joy","non-dropping-particle":"","parse-names":false,"suffix":""},{"dropping-particle":"","family":"Ghazarossian","given":"Suzy","non-dropping-particle":"","parse-names":false,"suffix":""},{"dropping-particle":"","family":"Freyer","given":"David R.","non-dropping-particle":"","parse-names":false,"suffix":""}],"container-title":"Pediatric Blood and Cancer","id":"ITEM-3","issue":"4","issued":{"date-parts":[["2012","10"]]},"page":"697-702","publisher":"Pediatr Blood Cancer","title":"Association of projected transfusional iron burden with treatment intensity in childhood cancer survivors","type":"article-journal","volume":"59"},"uris":["http://www.mendeley.com/documents/?uuid=fd1e7947-996b-3c44-a83c-fd14cf51fbbf"]}],"mendeley":{"formattedCitation":"[24,28,29]","plainTextFormattedCitation":"[24,28,29]","previouslyFormattedCitation":"[24,28,29]"},"properties":{"noteIndex":0},"schema":"https://github.com/citation-style-language/schema/raw/master/csl-citation.json"}</w:instrText>
      </w:r>
      <w:r w:rsidR="000145B4" w:rsidRPr="00195C79">
        <w:fldChar w:fldCharType="separate"/>
      </w:r>
      <w:r w:rsidR="00EC6C6C" w:rsidRPr="00EC6C6C">
        <w:rPr>
          <w:noProof/>
        </w:rPr>
        <w:t>[24,28,29]</w:t>
      </w:r>
      <w:r w:rsidR="000145B4" w:rsidRPr="00195C79">
        <w:fldChar w:fldCharType="end"/>
      </w:r>
      <w:r w:rsidRPr="00106EAB">
        <w:rPr>
          <w:rFonts w:eastAsia="Calibri"/>
          <w:i/>
          <w:iCs/>
        </w:rPr>
        <w:t>.</w:t>
      </w:r>
    </w:p>
    <w:p w:rsidR="00E96066" w:rsidRPr="00106EAB" w:rsidRDefault="00E96066" w:rsidP="00106B9E">
      <w:pPr>
        <w:pStyle w:val="afb"/>
        <w:divId w:val="1767193717"/>
        <w:rPr>
          <w:rFonts w:eastAsia="Calibri"/>
          <w:i/>
          <w:iCs/>
        </w:rPr>
      </w:pPr>
      <w:r w:rsidRPr="00106EAB">
        <w:rPr>
          <w:rFonts w:eastAsia="Calibri"/>
          <w:i/>
          <w:iCs/>
        </w:rPr>
        <w:t>Все педиатрические онкологические пациенты должны получать облученную, обедненную лейкоцитами эритроцитную массу</w:t>
      </w:r>
      <w:r w:rsidR="000145B4">
        <w:rPr>
          <w:rFonts w:eastAsia="Calibri"/>
          <w:i/>
          <w:iCs/>
          <w:lang w:val="en-US"/>
        </w:rPr>
        <w:fldChar w:fldCharType="begin" w:fldLock="1"/>
      </w:r>
      <w:r w:rsidR="00AE5092">
        <w:rPr>
          <w:rFonts w:eastAsia="Calibri"/>
          <w:i/>
          <w:iCs/>
          <w:lang w:val="en-US"/>
        </w:rPr>
        <w:instrText>ADDINCSL</w:instrText>
      </w:r>
      <w:r w:rsidR="00AE5092" w:rsidRPr="00AE5092">
        <w:rPr>
          <w:rFonts w:eastAsia="Calibri"/>
          <w:i/>
          <w:iCs/>
        </w:rPr>
        <w:instrText>_</w:instrText>
      </w:r>
      <w:r w:rsidR="00AE5092">
        <w:rPr>
          <w:rFonts w:eastAsia="Calibri"/>
          <w:i/>
          <w:iCs/>
          <w:lang w:val="en-US"/>
        </w:rPr>
        <w:instrText>CITATION</w:instrText>
      </w:r>
      <w:r w:rsidR="00AE5092" w:rsidRPr="00AE5092">
        <w:rPr>
          <w:rFonts w:eastAsia="Calibri"/>
          <w:i/>
          <w:iCs/>
        </w:rPr>
        <w:instrText xml:space="preserve"> {"</w:instrText>
      </w:r>
      <w:r w:rsidR="00AE5092">
        <w:rPr>
          <w:rFonts w:eastAsia="Calibri"/>
          <w:i/>
          <w:iCs/>
          <w:lang w:val="en-US"/>
        </w:rPr>
        <w:instrText>citationItems</w:instrText>
      </w:r>
      <w:r w:rsidR="00AE5092" w:rsidRPr="00AE5092">
        <w:rPr>
          <w:rFonts w:eastAsia="Calibri"/>
          <w:i/>
          <w:iCs/>
        </w:rPr>
        <w:instrText>":[{"</w:instrText>
      </w:r>
      <w:r w:rsidR="00AE5092">
        <w:rPr>
          <w:rFonts w:eastAsia="Calibri"/>
          <w:i/>
          <w:iCs/>
          <w:lang w:val="en-US"/>
        </w:rPr>
        <w:instrText>id</w:instrText>
      </w:r>
      <w:r w:rsidR="00AE5092" w:rsidRPr="00AE5092">
        <w:rPr>
          <w:rFonts w:eastAsia="Calibri"/>
          <w:i/>
          <w:iCs/>
        </w:rPr>
        <w:instrText>":"</w:instrText>
      </w:r>
      <w:r w:rsidR="00AE5092">
        <w:rPr>
          <w:rFonts w:eastAsia="Calibri"/>
          <w:i/>
          <w:iCs/>
          <w:lang w:val="en-US"/>
        </w:rPr>
        <w:instrText>ITEM</w:instrText>
      </w:r>
      <w:r w:rsidR="00AE5092" w:rsidRPr="00AE5092">
        <w:rPr>
          <w:rFonts w:eastAsia="Calibri"/>
          <w:i/>
          <w:iCs/>
        </w:rPr>
        <w:instrText>-1","</w:instrText>
      </w:r>
      <w:r w:rsidR="00AE5092">
        <w:rPr>
          <w:rFonts w:eastAsia="Calibri"/>
          <w:i/>
          <w:iCs/>
          <w:lang w:val="en-US"/>
        </w:rPr>
        <w:instrText>itemData</w:instrText>
      </w:r>
      <w:r w:rsidR="00AE5092" w:rsidRPr="00AE5092">
        <w:rPr>
          <w:rFonts w:eastAsia="Calibri"/>
          <w:i/>
          <w:iCs/>
        </w:rPr>
        <w:instrText>":{"</w:instrText>
      </w:r>
      <w:r w:rsidR="00AE5092">
        <w:rPr>
          <w:rFonts w:eastAsia="Calibri"/>
          <w:i/>
          <w:iCs/>
          <w:lang w:val="en-US"/>
        </w:rPr>
        <w:instrText>editor</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Feusner</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James</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Hastings</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CarolineA</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Agrawal</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AnuragK</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id</w:instrText>
      </w:r>
      <w:r w:rsidR="00AE5092" w:rsidRPr="00AE5092">
        <w:rPr>
          <w:rFonts w:eastAsia="Calibri"/>
          <w:i/>
          <w:iCs/>
        </w:rPr>
        <w:instrText>":"</w:instrText>
      </w:r>
      <w:r w:rsidR="00AE5092">
        <w:rPr>
          <w:rFonts w:eastAsia="Calibri"/>
          <w:i/>
          <w:iCs/>
          <w:lang w:val="en-US"/>
        </w:rPr>
        <w:instrText>ITEM</w:instrText>
      </w:r>
      <w:r w:rsidR="00AE5092" w:rsidRPr="00AE5092">
        <w:rPr>
          <w:rFonts w:eastAsia="Calibri"/>
          <w:i/>
          <w:iCs/>
        </w:rPr>
        <w:instrText>-1","</w:instrText>
      </w:r>
      <w:r w:rsidR="00AE5092">
        <w:rPr>
          <w:rFonts w:eastAsia="Calibri"/>
          <w:i/>
          <w:iCs/>
          <w:lang w:val="en-US"/>
        </w:rPr>
        <w:instrText>issued</w:instrText>
      </w:r>
      <w:r w:rsidR="00AE5092" w:rsidRPr="00AE5092">
        <w:rPr>
          <w:rFonts w:eastAsia="Calibri"/>
          <w:i/>
          <w:iCs/>
        </w:rPr>
        <w:instrText>":{"</w:instrText>
      </w:r>
      <w:r w:rsidR="00AE5092">
        <w:rPr>
          <w:rFonts w:eastAsia="Calibri"/>
          <w:i/>
          <w:iCs/>
          <w:lang w:val="en-US"/>
        </w:rPr>
        <w:instrText>date</w:instrText>
      </w:r>
      <w:r w:rsidR="00AE5092" w:rsidRPr="00AE5092">
        <w:rPr>
          <w:rFonts w:eastAsia="Calibri"/>
          <w:i/>
          <w:iCs/>
        </w:rPr>
        <w:instrText>-</w:instrText>
      </w:r>
      <w:r w:rsidR="00AE5092">
        <w:rPr>
          <w:rFonts w:eastAsia="Calibri"/>
          <w:i/>
          <w:iCs/>
          <w:lang w:val="en-US"/>
        </w:rPr>
        <w:instrText>parts</w:instrText>
      </w:r>
      <w:r w:rsidR="00AE5092" w:rsidRPr="00AE5092">
        <w:rPr>
          <w:rFonts w:eastAsia="Calibri"/>
          <w:i/>
          <w:iCs/>
        </w:rPr>
        <w:instrText>":[["2015"]]},"</w:instrText>
      </w:r>
      <w:r w:rsidR="00AE5092">
        <w:rPr>
          <w:rFonts w:eastAsia="Calibri"/>
          <w:i/>
          <w:iCs/>
          <w:lang w:val="en-US"/>
        </w:rPr>
        <w:instrText>number</w:instrText>
      </w:r>
      <w:r w:rsidR="00AE5092" w:rsidRPr="00AE5092">
        <w:rPr>
          <w:rFonts w:eastAsia="Calibri"/>
          <w:i/>
          <w:iCs/>
        </w:rPr>
        <w:instrText>-</w:instrText>
      </w:r>
      <w:r w:rsidR="00AE5092">
        <w:rPr>
          <w:rFonts w:eastAsia="Calibri"/>
          <w:i/>
          <w:iCs/>
          <w:lang w:val="en-US"/>
        </w:rPr>
        <w:instrText>of</w:instrText>
      </w:r>
      <w:r w:rsidR="00AE5092" w:rsidRPr="00AE5092">
        <w:rPr>
          <w:rFonts w:eastAsia="Calibri"/>
          <w:i/>
          <w:iCs/>
        </w:rPr>
        <w:instrText>-</w:instrText>
      </w:r>
      <w:r w:rsidR="00AE5092">
        <w:rPr>
          <w:rFonts w:eastAsia="Calibri"/>
          <w:i/>
          <w:iCs/>
          <w:lang w:val="en-US"/>
        </w:rPr>
        <w:instrText>pages</w:instrText>
      </w:r>
      <w:r w:rsidR="00AE5092" w:rsidRPr="00AE5092">
        <w:rPr>
          <w:rFonts w:eastAsia="Calibri"/>
          <w:i/>
          <w:iCs/>
        </w:rPr>
        <w:instrText>":"304","</w:instrText>
      </w:r>
      <w:r w:rsidR="00AE5092">
        <w:rPr>
          <w:rFonts w:eastAsia="Calibri"/>
          <w:i/>
          <w:iCs/>
          <w:lang w:val="en-US"/>
        </w:rPr>
        <w:instrText>publisher</w:instrText>
      </w:r>
      <w:r w:rsidR="00AE5092" w:rsidRPr="00AE5092">
        <w:rPr>
          <w:rFonts w:eastAsia="Calibri"/>
          <w:i/>
          <w:iCs/>
        </w:rPr>
        <w:instrText>":"</w:instrText>
      </w:r>
      <w:r w:rsidR="00AE5092">
        <w:rPr>
          <w:rFonts w:eastAsia="Calibri"/>
          <w:i/>
          <w:iCs/>
          <w:lang w:val="en-US"/>
        </w:rPr>
        <w:instrText>SpringerBerlinHeidelberg</w:instrText>
      </w:r>
      <w:r w:rsidR="00AE5092" w:rsidRPr="00AE5092">
        <w:rPr>
          <w:rFonts w:eastAsia="Calibri"/>
          <w:i/>
          <w:iCs/>
        </w:rPr>
        <w:instrText>","</w:instrText>
      </w:r>
      <w:r w:rsidR="00AE5092">
        <w:rPr>
          <w:rFonts w:eastAsia="Calibri"/>
          <w:i/>
          <w:iCs/>
          <w:lang w:val="en-US"/>
        </w:rPr>
        <w:instrText>title</w:instrText>
      </w:r>
      <w:r w:rsidR="00AE5092" w:rsidRPr="00AE5092">
        <w:rPr>
          <w:rFonts w:eastAsia="Calibri"/>
          <w:i/>
          <w:iCs/>
        </w:rPr>
        <w:instrText>":"</w:instrText>
      </w:r>
      <w:r w:rsidR="00AE5092">
        <w:rPr>
          <w:rFonts w:eastAsia="Calibri"/>
          <w:i/>
          <w:iCs/>
          <w:lang w:val="en-US"/>
        </w:rPr>
        <w:instrText>SupportiveCareinPediatricOncology</w:instrText>
      </w:r>
      <w:r w:rsidR="00AE5092" w:rsidRPr="00AE5092">
        <w:rPr>
          <w:rFonts w:eastAsia="Calibri"/>
          <w:i/>
          <w:iCs/>
        </w:rPr>
        <w:instrText xml:space="preserve">. </w:instrText>
      </w:r>
      <w:r w:rsidR="00AE5092">
        <w:rPr>
          <w:rFonts w:eastAsia="Calibri"/>
          <w:i/>
          <w:iCs/>
          <w:lang w:val="en-US"/>
        </w:rPr>
        <w:instrText>APracticalEvidence</w:instrText>
      </w:r>
      <w:r w:rsidR="00AE5092" w:rsidRPr="00AE5092">
        <w:rPr>
          <w:rFonts w:eastAsia="Calibri"/>
          <w:i/>
          <w:iCs/>
        </w:rPr>
        <w:instrText>-</w:instrText>
      </w:r>
      <w:r w:rsidR="00AE5092">
        <w:rPr>
          <w:rFonts w:eastAsia="Calibri"/>
          <w:i/>
          <w:iCs/>
          <w:lang w:val="en-US"/>
        </w:rPr>
        <w:instrText>BasedApproach</w:instrText>
      </w:r>
      <w:r w:rsidR="00AE5092" w:rsidRPr="00AE5092">
        <w:rPr>
          <w:rFonts w:eastAsia="Calibri"/>
          <w:i/>
          <w:iCs/>
        </w:rPr>
        <w:instrText>","</w:instrText>
      </w:r>
      <w:r w:rsidR="00AE5092">
        <w:rPr>
          <w:rFonts w:eastAsia="Calibri"/>
          <w:i/>
          <w:iCs/>
          <w:lang w:val="en-US"/>
        </w:rPr>
        <w:instrText>type</w:instrText>
      </w:r>
      <w:r w:rsidR="00AE5092" w:rsidRPr="00AE5092">
        <w:rPr>
          <w:rFonts w:eastAsia="Calibri"/>
          <w:i/>
          <w:iCs/>
        </w:rPr>
        <w:instrText>":"</w:instrText>
      </w:r>
      <w:r w:rsidR="00AE5092">
        <w:rPr>
          <w:rFonts w:eastAsia="Calibri"/>
          <w:i/>
          <w:iCs/>
          <w:lang w:val="en-US"/>
        </w:rPr>
        <w:instrText>book</w:instrText>
      </w:r>
      <w:r w:rsidR="00AE5092" w:rsidRPr="00AE5092">
        <w:rPr>
          <w:rFonts w:eastAsia="Calibri"/>
          <w:i/>
          <w:iCs/>
        </w:rPr>
        <w:instrText>"},"</w:instrText>
      </w:r>
      <w:r w:rsidR="00AE5092">
        <w:rPr>
          <w:rFonts w:eastAsia="Calibri"/>
          <w:i/>
          <w:iCs/>
          <w:lang w:val="en-US"/>
        </w:rPr>
        <w:instrText>uris</w:instrText>
      </w:r>
      <w:r w:rsidR="00AE5092" w:rsidRPr="00AE5092">
        <w:rPr>
          <w:rFonts w:eastAsia="Calibri"/>
          <w:i/>
          <w:iCs/>
        </w:rPr>
        <w:instrText>":["</w:instrText>
      </w:r>
      <w:r w:rsidR="00AE5092">
        <w:rPr>
          <w:rFonts w:eastAsia="Calibri"/>
          <w:i/>
          <w:iCs/>
          <w:lang w:val="en-US"/>
        </w:rPr>
        <w:instrText>http</w:instrText>
      </w:r>
      <w:r w:rsidR="00AE5092" w:rsidRPr="00AE5092">
        <w:rPr>
          <w:rFonts w:eastAsia="Calibri"/>
          <w:i/>
          <w:iCs/>
        </w:rPr>
        <w:instrText>://</w:instrText>
      </w:r>
      <w:r w:rsidR="00AE5092">
        <w:rPr>
          <w:rFonts w:eastAsia="Calibri"/>
          <w:i/>
          <w:iCs/>
          <w:lang w:val="en-US"/>
        </w:rPr>
        <w:instrText>www</w:instrText>
      </w:r>
      <w:r w:rsidR="00AE5092" w:rsidRPr="00AE5092">
        <w:rPr>
          <w:rFonts w:eastAsia="Calibri"/>
          <w:i/>
          <w:iCs/>
        </w:rPr>
        <w:instrText>.</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documents</w:instrText>
      </w:r>
      <w:r w:rsidR="00AE5092" w:rsidRPr="00AE5092">
        <w:rPr>
          <w:rFonts w:eastAsia="Calibri"/>
          <w:i/>
          <w:iCs/>
        </w:rPr>
        <w:instrText>/?</w:instrText>
      </w:r>
      <w:r w:rsidR="00AE5092">
        <w:rPr>
          <w:rFonts w:eastAsia="Calibri"/>
          <w:i/>
          <w:iCs/>
          <w:lang w:val="en-US"/>
        </w:rPr>
        <w:instrText>uuid</w:instrText>
      </w:r>
      <w:r w:rsidR="00AE5092" w:rsidRPr="00AE5092">
        <w:rPr>
          <w:rFonts w:eastAsia="Calibri"/>
          <w:i/>
          <w:iCs/>
        </w:rPr>
        <w:instrText>=80</w:instrText>
      </w:r>
      <w:r w:rsidR="00AE5092">
        <w:rPr>
          <w:rFonts w:eastAsia="Calibri"/>
          <w:i/>
          <w:iCs/>
          <w:lang w:val="en-US"/>
        </w:rPr>
        <w:instrText>a</w:instrText>
      </w:r>
      <w:r w:rsidR="00AE5092" w:rsidRPr="00AE5092">
        <w:rPr>
          <w:rFonts w:eastAsia="Calibri"/>
          <w:i/>
          <w:iCs/>
        </w:rPr>
        <w:instrText>7592</w:instrText>
      </w:r>
      <w:r w:rsidR="00AE5092">
        <w:rPr>
          <w:rFonts w:eastAsia="Calibri"/>
          <w:i/>
          <w:iCs/>
          <w:lang w:val="en-US"/>
        </w:rPr>
        <w:instrText>f</w:instrText>
      </w:r>
      <w:r w:rsidR="00AE5092" w:rsidRPr="00AE5092">
        <w:rPr>
          <w:rFonts w:eastAsia="Calibri"/>
          <w:i/>
          <w:iCs/>
        </w:rPr>
        <w:instrText>-</w:instrText>
      </w:r>
      <w:r w:rsidR="00AE5092">
        <w:rPr>
          <w:rFonts w:eastAsia="Calibri"/>
          <w:i/>
          <w:iCs/>
          <w:lang w:val="en-US"/>
        </w:rPr>
        <w:instrText>ca</w:instrText>
      </w:r>
      <w:r w:rsidR="00AE5092" w:rsidRPr="00AE5092">
        <w:rPr>
          <w:rFonts w:eastAsia="Calibri"/>
          <w:i/>
          <w:iCs/>
        </w:rPr>
        <w:instrText>51-4</w:instrText>
      </w:r>
      <w:r w:rsidR="00AE5092">
        <w:rPr>
          <w:rFonts w:eastAsia="Calibri"/>
          <w:i/>
          <w:iCs/>
          <w:lang w:val="en-US"/>
        </w:rPr>
        <w:instrText>ae</w:instrText>
      </w:r>
      <w:r w:rsidR="00AE5092" w:rsidRPr="00AE5092">
        <w:rPr>
          <w:rFonts w:eastAsia="Calibri"/>
          <w:i/>
          <w:iCs/>
        </w:rPr>
        <w:instrText>3-828</w:instrText>
      </w:r>
      <w:r w:rsidR="00AE5092">
        <w:rPr>
          <w:rFonts w:eastAsia="Calibri"/>
          <w:i/>
          <w:iCs/>
          <w:lang w:val="en-US"/>
        </w:rPr>
        <w:instrText>a</w:instrText>
      </w:r>
      <w:r w:rsidR="00AE5092" w:rsidRPr="00AE5092">
        <w:rPr>
          <w:rFonts w:eastAsia="Calibri"/>
          <w:i/>
          <w:iCs/>
        </w:rPr>
        <w:instrText>-</w:instrText>
      </w:r>
      <w:r w:rsidR="00AE5092">
        <w:rPr>
          <w:rFonts w:eastAsia="Calibri"/>
          <w:i/>
          <w:iCs/>
          <w:lang w:val="en-US"/>
        </w:rPr>
        <w:instrText>c</w:instrText>
      </w:r>
      <w:r w:rsidR="00AE5092" w:rsidRPr="00AE5092">
        <w:rPr>
          <w:rFonts w:eastAsia="Calibri"/>
          <w:i/>
          <w:iCs/>
        </w:rPr>
        <w:instrText>601633019</w:instrText>
      </w:r>
      <w:r w:rsidR="00AE5092">
        <w:rPr>
          <w:rFonts w:eastAsia="Calibri"/>
          <w:i/>
          <w:iCs/>
          <w:lang w:val="en-US"/>
        </w:rPr>
        <w:instrText>d</w:instrText>
      </w:r>
      <w:r w:rsidR="00AE5092" w:rsidRPr="00AE5092">
        <w:rPr>
          <w:rFonts w:eastAsia="Calibri"/>
          <w:i/>
          <w:iCs/>
        </w:rPr>
        <w:instrText>5"]}],"</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formattedCitation</w:instrText>
      </w:r>
      <w:r w:rsidR="00AE5092" w:rsidRPr="00AE5092">
        <w:rPr>
          <w:rFonts w:eastAsia="Calibri"/>
          <w:i/>
          <w:iCs/>
        </w:rPr>
        <w:instrText>":"[30]","</w:instrText>
      </w:r>
      <w:r w:rsidR="00AE5092">
        <w:rPr>
          <w:rFonts w:eastAsia="Calibri"/>
          <w:i/>
          <w:iCs/>
          <w:lang w:val="en-US"/>
        </w:rPr>
        <w:instrText>plainTextFormattedCitation</w:instrText>
      </w:r>
      <w:r w:rsidR="00AE5092" w:rsidRPr="00AE5092">
        <w:rPr>
          <w:rFonts w:eastAsia="Calibri"/>
          <w:i/>
          <w:iCs/>
        </w:rPr>
        <w:instrText>":"[30]","</w:instrText>
      </w:r>
      <w:r w:rsidR="00AE5092">
        <w:rPr>
          <w:rFonts w:eastAsia="Calibri"/>
          <w:i/>
          <w:iCs/>
          <w:lang w:val="en-US"/>
        </w:rPr>
        <w:instrText>previouslyFormattedCitation</w:instrText>
      </w:r>
      <w:r w:rsidR="00AE5092" w:rsidRPr="00AE5092">
        <w:rPr>
          <w:rFonts w:eastAsia="Calibri"/>
          <w:i/>
          <w:iCs/>
        </w:rPr>
        <w:instrText>":"[30]"},"</w:instrText>
      </w:r>
      <w:r w:rsidR="00AE5092">
        <w:rPr>
          <w:rFonts w:eastAsia="Calibri"/>
          <w:i/>
          <w:iCs/>
          <w:lang w:val="en-US"/>
        </w:rPr>
        <w:instrText>properties</w:instrText>
      </w:r>
      <w:r w:rsidR="00AE5092" w:rsidRPr="00AE5092">
        <w:rPr>
          <w:rFonts w:eastAsia="Calibri"/>
          <w:i/>
          <w:iCs/>
        </w:rPr>
        <w:instrText>":{"</w:instrText>
      </w:r>
      <w:r w:rsidR="00AE5092">
        <w:rPr>
          <w:rFonts w:eastAsia="Calibri"/>
          <w:i/>
          <w:iCs/>
          <w:lang w:val="en-US"/>
        </w:rPr>
        <w:instrText>noteIndex</w:instrText>
      </w:r>
      <w:r w:rsidR="00AE5092" w:rsidRPr="00AE5092">
        <w:rPr>
          <w:rFonts w:eastAsia="Calibri"/>
          <w:i/>
          <w:iCs/>
        </w:rPr>
        <w:instrText>":0},"</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https</w:instrText>
      </w:r>
      <w:r w:rsidR="00AE5092" w:rsidRPr="00AE5092">
        <w:rPr>
          <w:rFonts w:eastAsia="Calibri"/>
          <w:i/>
          <w:iCs/>
        </w:rPr>
        <w:instrText>://</w:instrText>
      </w:r>
      <w:r w:rsidR="00AE5092">
        <w:rPr>
          <w:rFonts w:eastAsia="Calibri"/>
          <w:i/>
          <w:iCs/>
          <w:lang w:val="en-US"/>
        </w:rPr>
        <w:instrText>github</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style</w:instrText>
      </w:r>
      <w:r w:rsidR="00AE5092" w:rsidRPr="00AE5092">
        <w:rPr>
          <w:rFonts w:eastAsia="Calibri"/>
          <w:i/>
          <w:iCs/>
        </w:rPr>
        <w:instrText>-</w:instrText>
      </w:r>
      <w:r w:rsidR="00AE5092">
        <w:rPr>
          <w:rFonts w:eastAsia="Calibri"/>
          <w:i/>
          <w:iCs/>
          <w:lang w:val="en-US"/>
        </w:rPr>
        <w:instrText>language</w:instrText>
      </w:r>
      <w:r w:rsidR="00AE5092" w:rsidRPr="00AE5092">
        <w:rPr>
          <w:rFonts w:eastAsia="Calibri"/>
          <w:i/>
          <w:iCs/>
        </w:rPr>
        <w:instrText>/</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raw</w:instrText>
      </w:r>
      <w:r w:rsidR="00AE5092" w:rsidRPr="00AE5092">
        <w:rPr>
          <w:rFonts w:eastAsia="Calibri"/>
          <w:i/>
          <w:iCs/>
        </w:rPr>
        <w:instrText>/</w:instrText>
      </w:r>
      <w:r w:rsidR="00AE5092">
        <w:rPr>
          <w:rFonts w:eastAsia="Calibri"/>
          <w:i/>
          <w:iCs/>
          <w:lang w:val="en-US"/>
        </w:rPr>
        <w:instrText>master</w:instrText>
      </w:r>
      <w:r w:rsidR="00AE5092" w:rsidRPr="00AE5092">
        <w:rPr>
          <w:rFonts w:eastAsia="Calibri"/>
          <w:i/>
          <w:iCs/>
        </w:rPr>
        <w:instrText>/</w:instrText>
      </w:r>
      <w:r w:rsidR="00AE5092">
        <w:rPr>
          <w:rFonts w:eastAsia="Calibri"/>
          <w:i/>
          <w:iCs/>
          <w:lang w:val="en-US"/>
        </w:rPr>
        <w:instrText>csl</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json</w:instrText>
      </w:r>
      <w:r w:rsidR="00AE5092" w:rsidRPr="00AE5092">
        <w:rPr>
          <w:rFonts w:eastAsia="Calibri"/>
          <w:i/>
          <w:iCs/>
        </w:rPr>
        <w:instrText>"}</w:instrText>
      </w:r>
      <w:r w:rsidR="000145B4">
        <w:rPr>
          <w:rFonts w:eastAsia="Calibri"/>
          <w:i/>
          <w:iCs/>
          <w:lang w:val="en-US"/>
        </w:rPr>
        <w:fldChar w:fldCharType="separate"/>
      </w:r>
      <w:r w:rsidR="00EC6C6C" w:rsidRPr="00EC6C6C">
        <w:rPr>
          <w:rFonts w:eastAsia="Calibri"/>
          <w:iCs/>
          <w:noProof/>
        </w:rPr>
        <w:t>[30]</w:t>
      </w:r>
      <w:r w:rsidR="000145B4">
        <w:rPr>
          <w:rFonts w:eastAsia="Calibri"/>
          <w:i/>
          <w:iCs/>
          <w:lang w:val="en-US"/>
        </w:rPr>
        <w:fldChar w:fldCharType="end"/>
      </w:r>
      <w:r w:rsidRPr="00106EAB">
        <w:rPr>
          <w:rFonts w:eastAsia="Calibri"/>
          <w:i/>
          <w:iCs/>
        </w:rPr>
        <w:t>. Было показано, что лейкоредукция достоверно уменьшает риск фибрильных негемолитических трансфузионных реакций, а также передачу инфекционных патогенов, в частности, цитомегаловируса (ЦМВ)</w:t>
      </w:r>
      <w:r w:rsidR="000145B4">
        <w:rPr>
          <w:rFonts w:eastAsia="Calibri"/>
          <w:i/>
          <w:iCs/>
        </w:rPr>
        <w:fldChar w:fldCharType="begin" w:fldLock="1"/>
      </w:r>
      <w:r w:rsidR="00AE5092">
        <w:rPr>
          <w:rFonts w:eastAsia="Calibri"/>
          <w:i/>
          <w:iCs/>
        </w:rPr>
        <w:instrText>ADDIN CSL_CITATION {"citationItems":[{"id":"ITEM-1","itemData":{"DOI":"10.1046/j.0041-1132.2004.00609.x","ISSN":"00411132","abstract":"BACKGROUND: Febrile nonhemolytic transfusion reactions (FNHTR) is a relatively common complication associated with allogeneic transfusion. Because WBCs have been implicated in the mechanism of FNHTRs, it has been proposed that the transfusion of leukoreduced RBCs should be associated with a decreased incidence of FNHTRs. These reactions are generally not life threatening, but they are expensive in their management, evaluation, and associated blood-product wastage. Over the past several years, the proportion of leukoreduced RBCs has increased at Johns Hopkins Hospital in an effort to move toward complete leuko-reduction. A retrospective analysis is reported here of FNHTRs in RBC recipients as the inventory increased in percentage of leukoreduced RBC units. STUDY DESIGN AND METHODS: Between July 1994 and December 2001, all transfusion reactions (TRs) associated with the transfusion of allogeneic RBCs were retrospectively analyzed. Both computerized data and individual TR reports were reviewed. Patients who had both allergic and febrile features were included as part of both categories. TRs were reported as a percentage of total units transfused. Two time periods were selected for direct comparison. July to December 1994 represents the time period before the initiation of an increase in leukoreduction. July to December 2001 represents a time period when almost complete leukoreduction (99.5%) had been achieved. The TR data were compared between these two time periods, comparing a time before leukoreduction to a time period after leukoreduction had been achieved. The trends in TRs over the entire 7.5-year period of July 1994 to December 2001 were also assessed. RESULTS: In the initial period before the initiative to move toward leukoreduction, 96 percent of our RBC inventory was non-leukoreduced. In the study period after leukoreduction, 99.5 percent of our RBC inventory was leukoreduced. When comparing these two time periods, the incidence of FNHTRs decreased from 0.37 percent to 0.19 percent (p = 0.0008). The trend over the entire 7.5-year study period confirms the decrease in FNHTRs as the percentage of leukoreduced RBCs increased. The incidence of allergic TRs has remained unchanged over this time period. CONCLUSIONS: As our institution has increased its inventory of leukoreduced RBCs to approximately 100 percent, selective leukoreduced protocols have been discontinued. The incidence of FNHTRs has decreased significantly and the rate of allergic reaction…","author":[{"dropping-particle":"","family":"King","given":"Karen E.","non-dropping-particle":"","parse-names":false,"suffix":""},{"dropping-particle":"","family":"Shirey","given":"R. Sue","non-dropping-particle":"","parse-names":false,"suffix":""},{"dropping-particle":"","family":"Thoman","given":"Sandra K.","non-dropping-particle":"","parse-names":false,"suffix":""},{"dropping-particle":"","family":"Bensen-Kennedy","given":"Debra","non-dropping-particle":"","parse-names":false,"suffix":""},{"dropping-particle":"","family":"Tanz","given":"Warren S.","non-dropping-particle":"","parse-names":false,"suffix":""},{"dropping-particle":"","family":"Ness","given":"Paul M.","non-dropping-particle":"","parse-names":false,"suffix":""}],"container-title":"Transfusion","id":"ITEM-1","issue":"1","issued":{"date-parts":[["2004","1"]]},"page":"25-29","publisher":"Transfusion","title":"Universal leukoreduction decreases the incidence of febrile nonhemolytic transfusion reactions to RBCs","type":"article","volume":"44"},"uris":["http://www.mendeley.com/documents/?uuid=a15de4ce-e632-366a-b8c7-9ec0ca82f566"]},{"id":"ITEM-2","itemData":{"DOI":"10.1097/00062752-200211000-00010","ISSN":"10656251","abstract":"During the past year, blood component therapy witnessed two quite contradictory trends in the area of leukoreduction. On the one hand, the year saw widespread forced implementation of leukoreduction by several national blood suppliers, including the American Red Cross, who refused to sell hospitals nonleukoreduced blood. The forced implementation came at high cost to hospitals and with the strong endorsement of the US Food and Drug Administration, which stopped short of mandating universal leukoreduction in the United States. On the other hand, the year saw the publication of several pivotal clinical trials that failed to demonstrate significant patient benefit from the use of leukoreduced blood components. The emerging scientific and clinical evidence reviewed in this article demonstrates that leukoreduction technology is an effective means to reduce the risk of three complications of transfusion: HLA alloimmunization, cytomegalovirus transmission, and recurrent febrile nonhemolytic transfusion reactions. The application of the technology to all blood components does not appear to be warranted. © 2002 Lippincott Williams &amp; Wilkins, Inc.","author":[{"dropping-particle":"","family":"Dzik","given":"Walter H.","non-dropping-particle":"","parse-names":false,"suffix":""}],"container-title":"Current Opinion in Hematology","id":"ITEM-2","issue":"6","issued":{"date-parts":[["2002","11"]]},"page":"521-526","publisher":"Curr Opin Hematol","title":"Leukoreduction of blood components","type":"article","volume":"9"},"uris":["http://www.mendeley.com/documents/?uuid=70860f03-796e-33f9-936c-97204df63194"]}],"mendeley":{"formattedCitation":"[31,32]","plainTextFormattedCitation":"[31,32]","previouslyFormattedCitation":"[31,32]"},"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[31,32]</w:t>
      </w:r>
      <w:r w:rsidR="000145B4">
        <w:rPr>
          <w:rFonts w:eastAsia="Calibri"/>
          <w:i/>
          <w:iCs/>
        </w:rPr>
        <w:fldChar w:fldCharType="end"/>
      </w:r>
      <w:r w:rsidRPr="00106EAB">
        <w:rPr>
          <w:rFonts w:eastAsia="Calibri"/>
          <w:i/>
          <w:iCs/>
        </w:rPr>
        <w:t>.  Облучение эритроцитной массы предотвращает развитие трансфузионно-ассоциированной реакции трансплантант-против-хозяина у иммунокомпромитированных пациентов</w:t>
      </w:r>
      <w:r w:rsidR="000145B4">
        <w:rPr>
          <w:rFonts w:eastAsia="Calibri"/>
          <w:i/>
          <w:iCs/>
        </w:rPr>
        <w:fldChar w:fldCharType="begin" w:fldLock="1"/>
      </w:r>
      <w:r w:rsidR="00AE5092">
        <w:rPr>
          <w:rFonts w:eastAsia="Calibri"/>
          <w:i/>
          <w:iCs/>
        </w:rPr>
        <w:instrText>ADDIN CSL_CITATION {"citationItems":[{"id":"ITEM-1","itemData":{"DOI":"10.1016/j.tmrv.2008.09.006","ISSN":"08877963","abstract":"Transfusion-associated graft-versus-host disease (TA-GvHD) is a rare complication of blood transfusion that has a fatal outcome in most patients. It is caused by the transfusion of viable T cells present in blood products that are not rejected by the transfusion recipient, either because of recipient immunodeficiency or because of a common HLA haplotype between the blood donor and recipient. Because effective treatment is not available, risk identification and prevention are of central importance. Among the potential risk factors that have been discussed to date, a definite hazard for developing TA-GvHD has been recognized for HLA-matched transfusions or transfusions from blood relatives, intrauterine and exchange transfusions, patients with congenital immunodeficiency syndromes, bone marrow transplantation, stem cell transplantation, or lymphomas. Patients at possible TA-GvHD risk who will require further evaluation include patients with hematologic malignancies, solid tumors, or solid organ transplantation. Although postulated, an increased risk for term or preterm newborns and patients with HIV/AIDS has not thus far been demonstrated. © 2009 Elsevier Inc. All rights reserved.","author":[{"dropping-particle":"","family":"Rühl","given":"Heiko","non-dropping-particle":"","parse-names":false,"suffix":""},{"dropping-particle":"","family":"Bein","given":"Gregor","non-dropping-particle":"","parse-names":false,"suffix":""},{"dropping-particle":"","family":"Sachs","given":"Ulrich J.H.","non-dropping-particle":"","parse-names":false,"suffix":""}],"container-title":"Transfusion Medicine Reviews","id":"ITEM-1","issue":"1","issued":{"date-parts":[["2009","1"]]},"page":"62-71","publisher":"Transfus Med Rev","title":"Transfusion-Associated Graft-Versus-Host Disease","type":"article","volume":"23"},"uris":["http://www.mendeley.com/documents/?uuid=59ab58e9-54cc-329d-93e1-9b2f29e5bb48"]},{"id":"ITEM-2","itemData":{"DOI":"10.1111/j.1423-0410.2008.01073.x","ISSN":"00429007","PMID":"18544121","abstract":"Transfusion-associated graft-versus-host disease (TA-GvHD) is a rare complication of transfusion of cellular blood components producing a graft-versus-host clinical picture with concomitant bone marrow aplasia. The disease is fulminant and rapidly fatal in the majority of patients. TA-GvHD is caused by transfused blood-derived, alloreactive T lymphocytes that attack host tissue, including bone marrow with resultant bone marrow failure. Human leucocyte antigen similarity between the transfused lymphocytes and the host, often in conjunction with host immunosuppression, allows tolerance of the grafted lymphocytes to survive the host immunological response. Any blood component containing viable T lymphocytes can cause TA-GvHD, with fresher components more likely to have intact cells and, thus, able to cause disease. Treatment is generally not helpful, while prevention, usually via irradiation of blood components given to susceptible recipients, is the key to obviating TA-GvHD. Newer methods, such as pathogen inactivation, may play an important role in the future. © 2008 The Author(s).","author":[{"dropping-particle":"","family":"Dwyre","given":"D. M.","non-dropping-particle":"","parse-names":false,"suffix":""},{"dropping-particle":"V.","family":"Holland","given":"P.","non-dropping-particle":"","parse-names":false,"suffix":""}],"container-title":"Vox Sanguinis","id":"ITEM-2","issue":"2","issued":{"date-parts":[["2008","8"]]},"page":"85-93","publisher":"Vox Sang","title":"Transfusion-associated graft-versus-host disease","type":"article","volume":"95"},"uris":["http://www.mendeley.com/documents/?uuid=8c57fc86-439c-3809-a8c7-70370a5dd3d5"]}],"mendeley":{"formattedCitation":"[33,34]","plainTextFormattedCitation":"[33,34]","previouslyFormattedCitation":"[33,34]"},"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[33,34]</w:t>
      </w:r>
      <w:r w:rsidR="000145B4">
        <w:rPr>
          <w:rFonts w:eastAsia="Calibri"/>
          <w:i/>
          <w:iCs/>
        </w:rPr>
        <w:fldChar w:fldCharType="end"/>
      </w:r>
      <w:r w:rsidRPr="00106EAB">
        <w:rPr>
          <w:rFonts w:eastAsia="Calibri"/>
          <w:i/>
          <w:iCs/>
        </w:rPr>
        <w:t>.</w:t>
      </w:r>
    </w:p>
    <w:p w:rsidR="00E96066" w:rsidRPr="00106EAB" w:rsidRDefault="00E96066" w:rsidP="00106B9E">
      <w:pPr>
        <w:pStyle w:val="afb"/>
        <w:divId w:val="1767193717"/>
        <w:rPr>
          <w:rFonts w:eastAsia="Calibri"/>
          <w:i/>
          <w:iCs/>
        </w:rPr>
      </w:pPr>
      <w:r w:rsidRPr="00106EAB">
        <w:rPr>
          <w:rFonts w:eastAsia="Calibri"/>
          <w:i/>
          <w:iCs/>
        </w:rPr>
        <w:lastRenderedPageBreak/>
        <w:t xml:space="preserve">Общим правилом для </w:t>
      </w:r>
      <w:r w:rsidRPr="00EC6C6C">
        <w:rPr>
          <w:rFonts w:eastAsia="Calibri"/>
          <w:i/>
          <w:iCs/>
          <w:color w:val="000000" w:themeColor="text1"/>
        </w:rPr>
        <w:t>принятия решения о необходимости гемотрансфузии в</w:t>
      </w:r>
      <w:r w:rsidR="00DA0D0E" w:rsidRPr="00EC6C6C">
        <w:rPr>
          <w:rFonts w:eastAsia="Calibri"/>
          <w:i/>
          <w:iCs/>
          <w:color w:val="000000" w:themeColor="text1"/>
        </w:rPr>
        <w:t>оврачебной</w:t>
      </w:r>
      <w:r w:rsidRPr="00EC6C6C">
        <w:rPr>
          <w:rFonts w:eastAsia="Calibri"/>
          <w:i/>
          <w:iCs/>
          <w:color w:val="000000" w:themeColor="text1"/>
        </w:rPr>
        <w:t xml:space="preserve"> практике являетс</w:t>
      </w:r>
      <w:r w:rsidRPr="00106EAB">
        <w:rPr>
          <w:rFonts w:eastAsia="Calibri"/>
          <w:i/>
          <w:iCs/>
        </w:rPr>
        <w:t>я ориентация, прежде всего, на клинические показатели, такие как:</w:t>
      </w:r>
    </w:p>
    <w:p w:rsidR="00E96066" w:rsidRPr="00106EAB" w:rsidRDefault="00E96066" w:rsidP="00565811">
      <w:pPr>
        <w:pStyle w:val="afb"/>
        <w:numPr>
          <w:ilvl w:val="0"/>
          <w:numId w:val="25"/>
        </w:numPr>
        <w:divId w:val="1767193717"/>
        <w:rPr>
          <w:rFonts w:eastAsia="Calibri"/>
          <w:i/>
          <w:iCs/>
        </w:rPr>
      </w:pPr>
      <w:r w:rsidRPr="00106EAB">
        <w:rPr>
          <w:rFonts w:eastAsia="Calibri"/>
          <w:i/>
          <w:iCs/>
        </w:rPr>
        <w:t>клинические симптомы и функциональные показатели анемии (прежде всего скорость ее нарастания);</w:t>
      </w:r>
    </w:p>
    <w:p w:rsidR="00E96066" w:rsidRPr="00106EAB" w:rsidRDefault="00E96066" w:rsidP="00565811">
      <w:pPr>
        <w:pStyle w:val="afb"/>
        <w:numPr>
          <w:ilvl w:val="0"/>
          <w:numId w:val="25"/>
        </w:numPr>
        <w:divId w:val="1767193717"/>
        <w:rPr>
          <w:rFonts w:eastAsia="Calibri"/>
          <w:i/>
          <w:iCs/>
        </w:rPr>
      </w:pPr>
      <w:r w:rsidRPr="00106EAB">
        <w:rPr>
          <w:rFonts w:eastAsia="Calibri"/>
          <w:i/>
          <w:iCs/>
        </w:rPr>
        <w:t>наличие или отсутствие сердечно-сосудистых и\или дыхательных симптомов, анемической гипоксии, нарушений со стороны ЦНС;</w:t>
      </w:r>
    </w:p>
    <w:p w:rsidR="00E96066" w:rsidRPr="00106EAB" w:rsidRDefault="00E96066" w:rsidP="00565811">
      <w:pPr>
        <w:pStyle w:val="afb"/>
        <w:numPr>
          <w:ilvl w:val="0"/>
          <w:numId w:val="25"/>
        </w:numPr>
        <w:divId w:val="1767193717"/>
        <w:rPr>
          <w:rFonts w:eastAsia="Calibri"/>
          <w:i/>
          <w:iCs/>
        </w:rPr>
      </w:pPr>
      <w:r w:rsidRPr="00106EAB">
        <w:rPr>
          <w:rFonts w:eastAsia="Calibri"/>
          <w:i/>
          <w:iCs/>
        </w:rPr>
        <w:t>физическое состояние и активность ребенка;</w:t>
      </w:r>
    </w:p>
    <w:p w:rsidR="00E96066" w:rsidRPr="00106EAB" w:rsidRDefault="00E96066" w:rsidP="00565811">
      <w:pPr>
        <w:pStyle w:val="afb"/>
        <w:numPr>
          <w:ilvl w:val="0"/>
          <w:numId w:val="25"/>
        </w:numPr>
        <w:divId w:val="1767193717"/>
        <w:rPr>
          <w:rFonts w:eastAsia="Calibri"/>
          <w:i/>
          <w:iCs/>
        </w:rPr>
      </w:pPr>
      <w:r w:rsidRPr="00106EAB">
        <w:rPr>
          <w:rFonts w:eastAsia="Calibri"/>
          <w:i/>
          <w:iCs/>
        </w:rPr>
        <w:t>отсутствие методов альтернативной терапии.</w:t>
      </w:r>
    </w:p>
    <w:p w:rsidR="00E96066" w:rsidRPr="00106EAB" w:rsidRDefault="00E96066" w:rsidP="00106B9E">
      <w:pPr>
        <w:pStyle w:val="afb"/>
        <w:divId w:val="1767193717"/>
        <w:rPr>
          <w:rFonts w:eastAsia="Calibri"/>
          <w:i/>
          <w:iCs/>
        </w:rPr>
      </w:pPr>
      <w:r w:rsidRPr="00106EAB">
        <w:rPr>
          <w:rFonts w:eastAsia="Calibri"/>
          <w:i/>
          <w:iCs/>
        </w:rPr>
        <w:t>Концентрация Hb изолированно не может служить абсолютным критерием необходимости гемотрансфузий. Поэтому решение всегда должно быть результатом клинического суждения лечащего врача, и основываться в первую очередь на объективных признаках гипоксии, принимая во внимание сопутствующие факторы риска (кровотечения, интеркуррентные инфекции, предстоящая химио/лучевая терапия и др.)</w:t>
      </w:r>
      <w:r w:rsidR="000145B4">
        <w:rPr>
          <w:rFonts w:eastAsia="Calibri"/>
          <w:i/>
          <w:iCs/>
        </w:rPr>
        <w:fldChar w:fldCharType="begin" w:fldLock="1"/>
      </w:r>
      <w:r w:rsidR="00AE5092">
        <w:rPr>
          <w:rFonts w:eastAsia="Calibri"/>
          <w:i/>
          <w:iCs/>
        </w:rPr>
        <w:instrText>ADDIN CSL_CITATION {"citationItems":[{"id":"ITEM-1","itemData":{"author":[{"dropping-particle":"","family":"Румянцев","given":"А.Г.","non-dropping-particle":"","parse-names":false,"suffix":""},{"dropping-particle":"","family":"Аграненко","given":"В.А.","non-dropping-particle":"","parse-names":false,"suffix":""}],"id":"ITEM-1","issued":{"date-parts":[["2002"]]},"number-of-pages":"644","title":"Гемотрансфузионная терапия в педиатрии и неонатологии: Руководство для врачей","type":"book"},"uris":["http://www.mendeley.com/documents/?uuid=0a572f25-cfd9-48ae-9c9d-b56bbaefd657"]},{"id":"ITEM-2","itemData":{"DOI":"10.1002/pbc.20260","ISSN":"15455009","author":[{"dropping-particle":"","family":"Buchanan","given":"George R.","non-dropping-particle":"","parse-names":false,"suffix":""}],"container-title":"Pediatric Blood and Cancer","id":"ITEM-2","issue":"2","issued":{"date-parts":[["2005","2"]]},"page":"114-116","publisher":"Pediatr Blood Cancer","title":"Blood transfusions in children with cancer and hematologic disorders: Why, when, and how?","type":"article","volume":"44"},"uris":["http://www.mendeley.com/documents/?uuid=0db3cf55-25cb-3b72-8adf-cbaa3626d50b"]},{"id":"ITEM-3","itemData":{"DOI":"10.1002/pbc.20159","ISSN":"15455009","abstract":"Background. Little is known about the criteria used by pediatric oncologists for the transfusion of red blood cells and platelets to pediatric oncology patients. Procedure. Data regarding red blood cell and platelet transfusion practices were collected with an internet-based survey of physician members of the American Society for Pediatric Hematology/Oncology (ASPH/O). Respondents were asked to define platelet and red blood cell transfusion thresholds in a variety of clinical scenarios, and to describe criteria for dealing with cytomegalo-virus (CMV) transmission from blood products, platelet dosing strategies, and prevention of RhD alloimmunization. Results. The overall response rate was 31.4% (264 of 841). Of the respondents, 76% indicated that their institution had defined criteria for acceptable transfusion practice; of these respondents, 114 (57%) indicated that there were special guidelines for pediatric oncology patients. Examination of the distribution of threshold platelet counts and hemoglobin levels that would prompt transfusion indicated a wide range of transfusion practice in commonly encountered clinical scenarios. Similar variability in practice was evident in platelet dosing strategies, CMV prevention strategies, and in the use of anti-D in RhD-negative patients who received RhD-positive platelets. Conclusions. This current survey demonstrates that transfusion practices vary widely among pediatric hematology/oncology specialists and that prospective clinical trials may be necessary to determine optimal criteria for blood product support in pediatric oncology patients. © 2004 Wiley-Liss, Inc.","author":[{"dropping-particle":"","family":"Wong","given":"Edward C.C.","non-dropping-particle":"","parse-names":false,"suffix":""},{"dropping-particle":"","family":"Perez-Albuerne","given":"Evelio","non-dropping-particle":"","parse-names":false,"suffix":""},{"dropping-particle":"","family":"Moscow","given":"Jeffrey A.","non-dropping-particle":"","parse-names":false,"suffix":""},{"dropping-particle":"","family":"Luban","given":"Naomi L.C.","non-dropping-particle":"","parse-names":false,"suffix":""}],"container-title":"Pediatric Blood and Cancer","id":"ITEM-3","issue":"2","issued":{"date-parts":[["2005","2"]]},"page":"119-127","publisher":"Pediatr Blood Cancer","title":"Transfusion management strategies: A survey of practicing pediatric hematology/oncology specialists","type":"article","volume":"44"},"uris":["http://www.mendeley.com/documents/?uuid=e3cd5ea1-b1cc-3a43-803c-ea077f28e72a"]}],"mendeley":{"formattedCitation":"[28,35,36]","plainTextFormattedCitation":"[28,35,36]","previouslyFormattedCitation":"[28,35,36]"},"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[28,35,36]</w:t>
      </w:r>
      <w:r w:rsidR="000145B4">
        <w:rPr>
          <w:rFonts w:eastAsia="Calibri"/>
          <w:i/>
          <w:iCs/>
        </w:rPr>
        <w:fldChar w:fldCharType="end"/>
      </w:r>
      <w:r w:rsidRPr="00106EAB">
        <w:rPr>
          <w:rFonts w:eastAsia="Calibri"/>
          <w:i/>
          <w:iCs/>
        </w:rPr>
        <w:t>.</w:t>
      </w:r>
    </w:p>
    <w:p w:rsidR="00E96066" w:rsidRPr="00106EAB" w:rsidRDefault="00E96066" w:rsidP="00106B9E">
      <w:pPr>
        <w:pStyle w:val="afb"/>
        <w:divId w:val="1767193717"/>
        <w:rPr>
          <w:rFonts w:eastAsia="Calibri"/>
          <w:i/>
          <w:iCs/>
        </w:rPr>
      </w:pPr>
      <w:r w:rsidRPr="00106EAB">
        <w:rPr>
          <w:rFonts w:eastAsia="Calibri"/>
          <w:i/>
          <w:iCs/>
        </w:rPr>
        <w:t>Обычная доза трансфузии эритроцитной массы составляет 10 мл/кг. У детей должна использоваться эритроцитная масса, хранившаяся сравнительно короткое время (до 5-7 дней), т.</w:t>
      </w:r>
      <w:r w:rsidR="00EC6C6C">
        <w:rPr>
          <w:rFonts w:eastAsia="Calibri"/>
          <w:i/>
          <w:iCs/>
        </w:rPr>
        <w:t> </w:t>
      </w:r>
      <w:r w:rsidRPr="00106EAB">
        <w:rPr>
          <w:rFonts w:eastAsia="Calibri"/>
          <w:i/>
          <w:iCs/>
        </w:rPr>
        <w:t>к. посттрансфузионная выживаемость перелитых эритроцитов снижается с увеличением срока хранения. При использовании длительно хранившейся эритроцитной массы дзировка трансфузии может быть повышена до 14-15 мл/кг. Трансфузия детям эритроцитной массы в объеме 5мл/кг повышает концентрацию гемоглобина в среднем на 10 г/л. В случае неадекватно низкого прироста концентрации гемоглобина должны быть приняты во внимание следующие условия:</w:t>
      </w:r>
    </w:p>
    <w:p w:rsidR="00E96066" w:rsidRPr="00106EAB" w:rsidRDefault="00E96066" w:rsidP="00B242A8">
      <w:pPr>
        <w:pStyle w:val="afb"/>
        <w:numPr>
          <w:ilvl w:val="0"/>
          <w:numId w:val="26"/>
        </w:numPr>
        <w:divId w:val="1767193717"/>
        <w:rPr>
          <w:rFonts w:eastAsia="Calibri"/>
          <w:i/>
          <w:iCs/>
        </w:rPr>
      </w:pPr>
      <w:r w:rsidRPr="00106EAB">
        <w:rPr>
          <w:rFonts w:eastAsia="Calibri"/>
          <w:i/>
          <w:iCs/>
        </w:rPr>
        <w:t>скрытые кровотечения;</w:t>
      </w:r>
    </w:p>
    <w:p w:rsidR="00E96066" w:rsidRPr="00106EAB" w:rsidRDefault="00E96066" w:rsidP="00B242A8">
      <w:pPr>
        <w:pStyle w:val="afb"/>
        <w:numPr>
          <w:ilvl w:val="0"/>
          <w:numId w:val="26"/>
        </w:numPr>
        <w:divId w:val="1767193717"/>
        <w:rPr>
          <w:rFonts w:eastAsia="Calibri"/>
          <w:i/>
          <w:iCs/>
        </w:rPr>
      </w:pPr>
      <w:r w:rsidRPr="00106EAB">
        <w:rPr>
          <w:rFonts w:eastAsia="Calibri"/>
          <w:i/>
          <w:iCs/>
        </w:rPr>
        <w:t>повторные заборы крови для лабораторных исследований;</w:t>
      </w:r>
    </w:p>
    <w:p w:rsidR="00E96066" w:rsidRPr="00106EAB" w:rsidRDefault="00E96066" w:rsidP="00B242A8">
      <w:pPr>
        <w:pStyle w:val="afb"/>
        <w:numPr>
          <w:ilvl w:val="0"/>
          <w:numId w:val="26"/>
        </w:numPr>
        <w:divId w:val="1767193717"/>
        <w:rPr>
          <w:rFonts w:eastAsia="Calibri"/>
          <w:i/>
          <w:iCs/>
        </w:rPr>
      </w:pPr>
      <w:r w:rsidRPr="00106EAB">
        <w:rPr>
          <w:rFonts w:eastAsia="Calibri"/>
          <w:i/>
          <w:iCs/>
        </w:rPr>
        <w:t>лихорадка;</w:t>
      </w:r>
    </w:p>
    <w:p w:rsidR="00E96066" w:rsidRPr="00106EAB" w:rsidRDefault="00E96066" w:rsidP="00B242A8">
      <w:pPr>
        <w:pStyle w:val="afb"/>
        <w:numPr>
          <w:ilvl w:val="0"/>
          <w:numId w:val="26"/>
        </w:numPr>
        <w:divId w:val="1767193717"/>
        <w:rPr>
          <w:rFonts w:eastAsia="Calibri"/>
          <w:i/>
          <w:iCs/>
        </w:rPr>
      </w:pPr>
      <w:r w:rsidRPr="00106EAB">
        <w:rPr>
          <w:rFonts w:eastAsia="Calibri"/>
          <w:i/>
          <w:iCs/>
        </w:rPr>
        <w:t>гиперспленизм;</w:t>
      </w:r>
    </w:p>
    <w:p w:rsidR="00E96066" w:rsidRPr="00106EAB" w:rsidRDefault="00E96066" w:rsidP="00B242A8">
      <w:pPr>
        <w:pStyle w:val="afb"/>
        <w:numPr>
          <w:ilvl w:val="0"/>
          <w:numId w:val="26"/>
        </w:numPr>
        <w:divId w:val="1767193717"/>
        <w:rPr>
          <w:rFonts w:eastAsia="Calibri"/>
          <w:i/>
          <w:iCs/>
        </w:rPr>
      </w:pPr>
      <w:r w:rsidRPr="00106EAB">
        <w:rPr>
          <w:rFonts w:eastAsia="Calibri"/>
          <w:i/>
          <w:iCs/>
        </w:rPr>
        <w:t>первичные и вторичные иммунологические причины;</w:t>
      </w:r>
    </w:p>
    <w:p w:rsidR="00E96066" w:rsidRPr="00106EAB" w:rsidRDefault="00E96066" w:rsidP="00B242A8">
      <w:pPr>
        <w:pStyle w:val="afb"/>
        <w:numPr>
          <w:ilvl w:val="0"/>
          <w:numId w:val="26"/>
        </w:numPr>
        <w:divId w:val="1767193717"/>
        <w:rPr>
          <w:rFonts w:eastAsia="Calibri"/>
          <w:i/>
          <w:iCs/>
        </w:rPr>
      </w:pPr>
      <w:r w:rsidRPr="00106EAB">
        <w:rPr>
          <w:rFonts w:eastAsia="Calibri"/>
          <w:i/>
          <w:iCs/>
        </w:rPr>
        <w:t>механический или другой тип гемолиза</w:t>
      </w:r>
      <w:r w:rsidR="000145B4">
        <w:rPr>
          <w:rFonts w:eastAsia="Calibri"/>
          <w:i/>
          <w:iCs/>
        </w:rPr>
        <w:fldChar w:fldCharType="begin" w:fldLock="1"/>
      </w:r>
      <w:r w:rsidR="00AE5092">
        <w:rPr>
          <w:rFonts w:eastAsia="Calibri"/>
          <w:i/>
          <w:iCs/>
        </w:rPr>
        <w:instrText>ADDIN CSL_CITATION {"citationItems":[{"id":"ITEM-1","itemData":{"author":[{"dropping-particle":"","family":"Румянцев","given":"А.Г.","non-dropping-particle":"","parse-names":false,"suffix":""},{"dropping-particle":"","family":"Аграненко","given":"В.А.","non-dropping-particle":"","parse-names":false,"suffix":""}],"id":"ITEM-1","issued":{"date-parts":[["2002"]]},"number-of-pages":"644","title":"Гемотрансфузионная терапия в педиатрии и неонатологии: Руководство для врачей","type":"book"},"uris":["http://www.mendeley.com/documents/?uuid=0a572f25-cfd9-48ae-9c9d-b56bbaefd657"]},{"id":"ITEM-2","itemData":{"id":"ITEM-2","issued":{"date-parts":[["2010"]]},"title":"Национальный стандарт Российской Федерации. Кровь донорская и ее компоненты: Руководство по применению компонентов донорской крови. ГОСТ Р 53470-2009","type":"article"},"uris":["http://www.mendeley.com/documents/?uuid=d4913d04-77c1-4a18-bb6f-ca5943071661"]}],"mendeley":{"formattedCitation":"[28,37]","plainTextFormattedCitation":"[28,37]","previouslyFormattedCitation":"[28,37]"},"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[28,37]</w:t>
      </w:r>
      <w:r w:rsidR="000145B4">
        <w:rPr>
          <w:rFonts w:eastAsia="Calibri"/>
          <w:i/>
          <w:iCs/>
        </w:rPr>
        <w:fldChar w:fldCharType="end"/>
      </w:r>
      <w:r w:rsidRPr="00106EAB">
        <w:rPr>
          <w:rFonts w:eastAsia="Calibri"/>
          <w:i/>
          <w:iCs/>
        </w:rPr>
        <w:t>.</w:t>
      </w:r>
    </w:p>
    <w:p w:rsidR="00D846DB" w:rsidRPr="00106EAB" w:rsidRDefault="00E96066" w:rsidP="00D846DB">
      <w:pPr>
        <w:pStyle w:val="afb"/>
        <w:divId w:val="1767193717"/>
        <w:rPr>
          <w:rFonts w:eastAsia="Calibri"/>
          <w:i/>
          <w:iCs/>
        </w:rPr>
      </w:pPr>
      <w:r w:rsidRPr="00106EAB">
        <w:rPr>
          <w:rFonts w:eastAsia="Calibri"/>
          <w:i/>
          <w:iCs/>
        </w:rPr>
        <w:t>Недостатками гемотрансфузионной терапии являются непродолжительность достигнутого результата, риск развития ряда острых и отдаленных реакций и осложнений</w:t>
      </w:r>
      <w:r w:rsidR="000145B4">
        <w:rPr>
          <w:rFonts w:eastAsia="Calibri"/>
          <w:i/>
          <w:iCs/>
        </w:rPr>
        <w:fldChar w:fldCharType="begin" w:fldLock="1"/>
      </w:r>
      <w:r w:rsidR="00AE5092">
        <w:rPr>
          <w:rFonts w:eastAsia="Calibri"/>
          <w:i/>
          <w:iCs/>
        </w:rPr>
        <w:instrText>ADDIN CSL_CITATION {"citationItems":[{"id":"ITEM-1","itemData":{"author":[{"dropping-particle":"","family":"Румянцев","given":"А.Г.","non-dropping-particle":"","parse-names":false,"suffix":""},{"dropping-particle":"","family":"Аграненко","given":"В.А.","non-dropping-particle":"","parse-names":false,"suffix":""}],"id":"ITEM-1","issued":{"date-parts":[["2002"]]},"number-of-pages":"644","title":"Гемотрансфузионная терапия в педиатрии и неонатологии: Руководство для врачей","type":"book"},"uris":["http://www.mendeley.com/documents/?uuid=0a572f25-cfd9-48ae-9c9d-b56bbaefd657"]},{"id":"ITEM-2","itemData":{"editor":[{"dropping-particle":"","family":"Feusner","given":"James","non-dropping-particle":"","parse-names":false,"suffix":""},{"dropping-particle":"","family":"Hastings","given":"Caroline A.","non-dropping-particle":"","parse-names":false,"suffix":""},{"dropping-particle":"","family":"Agrawal","given":"Anurag K.","non-dropping-particle":"","parse-names":false,"suffix":""}],"id":"ITEM-2","issued":{"date-parts":[["2015"]]},"number-of-pages":"304","publisher":"Springer Berlin Heidelberg","title":"Supportive Care in Pediatric Oncology. A Practical Evidence-Based Approach","type":"book"},"uris":["http://www.mendeley.com/documents/?uuid=80a7592f-ca51-4ae3-828a-c601633019d5"]},{"id":"ITEM-3","itemData":{"author":[{"dropping-particle":"","family":"Румянцев","given":"А.Г.","non-dropping-particle":"","parse-names":false,"suffix":""},{"dropping-particle":"","family":"Морщакова","given":"Е.Ф.","non-dropping-particle":"","parse-names":false,"suffix":""},{"dropping-particle":"","family":"Павлов","given":"А.Д.","non-dropping-particle":"","parse-names":false,"suffix":""}],"id":"ITEM-3","issued":{"date-parts":[["2003"]]},"number-of-pages":"400","publisher":"М.: ГЭОТАР-МЕД","title":"Эритропоэтин: биологические свойства, возрастная регуляция эритропоэза, клиническое применение","type":"book"},"uris":["http://www.mendeley.com/documents/?uuid=56ff32d2-cc2b-43d6-acfb-0ebe36090a1d"]}],"mendeley":{"formattedCitation":"[28,30,38]","plainTextFormattedCitation":"[28,30,38]","previouslyFormattedCitation":"[28,30,38]"},"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[28,30,38]</w:t>
      </w:r>
      <w:r w:rsidR="000145B4">
        <w:rPr>
          <w:rFonts w:eastAsia="Calibri"/>
          <w:i/>
          <w:iCs/>
        </w:rPr>
        <w:fldChar w:fldCharType="end"/>
      </w:r>
      <w:r w:rsidR="00D846DB" w:rsidRPr="00106EAB">
        <w:rPr>
          <w:rFonts w:eastAsia="Calibri"/>
          <w:i/>
          <w:iCs/>
        </w:rPr>
        <w:t>.</w:t>
      </w:r>
    </w:p>
    <w:p w:rsidR="00B15DF4" w:rsidRPr="00195C79" w:rsidRDefault="00B15DF4" w:rsidP="00B15DF4">
      <w:pPr>
        <w:pStyle w:val="afd"/>
        <w:numPr>
          <w:ilvl w:val="0"/>
          <w:numId w:val="25"/>
        </w:numPr>
        <w:divId w:val="1767193717"/>
      </w:pPr>
      <w:r w:rsidRPr="00845937">
        <w:rPr>
          <w:bCs/>
        </w:rPr>
        <w:lastRenderedPageBreak/>
        <w:t>Пациентам</w:t>
      </w:r>
      <w:r>
        <w:rPr>
          <w:bCs/>
        </w:rPr>
        <w:t xml:space="preserve"> детского возраста </w:t>
      </w:r>
      <w:r w:rsidRPr="00195C79">
        <w:rPr>
          <w:b/>
        </w:rPr>
        <w:t>рекоменду</w:t>
      </w:r>
      <w:r>
        <w:rPr>
          <w:b/>
        </w:rPr>
        <w:t>е</w:t>
      </w:r>
      <w:r w:rsidRPr="00195C79">
        <w:rPr>
          <w:b/>
        </w:rPr>
        <w:t>тся</w:t>
      </w:r>
      <w:r>
        <w:rPr>
          <w:rFonts w:eastAsia="Calibri" w:cs="Times New Roman"/>
          <w:szCs w:val="24"/>
          <w:lang w:eastAsia="ru-RU"/>
        </w:rPr>
        <w:t>назначение</w:t>
      </w:r>
      <w:r w:rsidR="00D51091">
        <w:rPr>
          <w:rFonts w:eastAsia="Calibri" w:cs="Times New Roman"/>
          <w:szCs w:val="24"/>
          <w:lang w:eastAsia="ru-RU"/>
        </w:rPr>
        <w:t xml:space="preserve"> ЭСП только при наличии абсолютных или относительных противопоказаний против гемотрансфузий </w:t>
      </w:r>
      <w:r w:rsidR="000145B4" w:rsidRPr="00195C79">
        <w:fldChar w:fldCharType="begin" w:fldLock="1"/>
      </w:r>
      <w:r w:rsidR="00AE5092">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Cancer","type":"article-journal","volume":"13"},"uris":["http://www.mendeley.com/documents/?uuid=5cbc3ccb-6aa5-3340-ac5f-a70d59b8ebe0"]},{"id":"ITEM-2","itemData":{"DOI":"10.1200/JCO.2005.03.4371","ISSN":"0732183X","abstract":"Purpose: To evaluate the effects of once-weekly epoetin alfa (EPO) on health-related quality of life (HRQOL), hemoglobin (Hb), transfusions, and tolerability in children with cancer. Methods: Anemic patients 5 years to 18 years of age receiving myelosuppressive chemotherapy for nonmyeloid malignancies, excluding brain tumors, received intravenous EPO 600 units/kg to 900 units/kg or placebo once-weekly for 16 weeks. Patients and parents completed the pediatric health-related quality-of-life generic scales (GS) and cancer-specific scales (CS). Results: One hundred eleven patients received EPO and 111 patients received placebo. Mean final values for GS total score (P = .763 among patients; P = .219 among parents) and CS domain scores (P ≥ .238; P ≥ .081, respectively) were not significantly different between treatment groups. EPO-treated patients had greater increases in Hb overall (P = .002) and were more likely to be transfusion free after 4 weeks (38.7% v 22.5%; P = .010). Change in Hb was correlated with change in PedsQL-GCS total score in the EPO group (r = 0.242; P = .018), but was not in the placebo group (r = 0.086; P = .430). Adverse events were comparable between treatment groups. Conclusion: This study confirmed the tolerability and hematologic benefits of once-weekly EPO in children with cancer. No significant difference in HRQOL was detected between treatment groups, but a significant positive correlation was observed between Hb changes and HRQOL changes in the EPO group. Additional studies are warranted to assess HRQOL when anemia is managed optimally in children with cancer. © 2006 by American Society of Clinical Oncology.","author":[{"dropping-particle":"","family":"Razzouk","given":"Bassem I.","non-dropping-particle":"","parse-names":false,"suffix":""},{"dropping-particle":"","family":"Hord","given":"Jeffrey D.","non-dropping-particle":"","parse-names":false,"suffix":""},{"dropping-particle":"","family":"Hockenberry","given":"Marilyn","non-dropping-particle":"","parse-names":false,"suffix":""},{"dropping-particle":"","family":"Hinds","given":"Pamela S.","non-dropping-particle":"","parse-names":false,"suffix":""},{"dropping-particle":"","family":"Feusner","given":"James","non-dropping-particle":"","parse-names":false,"suffix":""},{"dropping-particle":"","family":"Williams","given":"Denise","non-dropping-particle":"","parse-names":false,"suffix":""},{"dropping-particle":"","family":"Rackoff","given":"Wayne R.","non-dropping-particle":"","parse-names":false,"suffix":""}],"container-title":"Journal of Clinical Oncology","id":"ITEM-2","issue":"22","issued":{"date-parts":[["2006","8","1"]]},"page":"3583-3589","publisher":"J Clin Oncol","title":"Double-blind, placebo-controlled study of quality of life, hematologic end points, and safety of weekly epoetin alfa in children with cancer receiving myelosuppressive chemotherapy","type":"article-journal","volume":"24"},"uris":["http://www.mendeley.com/documents/?uuid=64a873c7-a005-3406-9bb3-361e6ecbddd2"]},{"id":"ITEM-3","itemData":{"DOI":"10.1080/10245330701521572","ISSN":"10245332","abstract":"Background: Patients receiving chemotherapy for cancer often develop anemia, which can contribute to increased morbidity and reduced quality of life (QOL). Chemotherapy-induced anemia can be successfully treated using recombinant human erythropoietin (rHuEPO). Aim of the study: To demonstrate the effectiveness of once-weekly (QW) rHuEPO dosing to effect improved hemoglobin levels, decreased transfusion use, and improved functional outcomes and QOL in pediatric leukemic patients (ALL) receiving maintenance chemotherapy. Patient and methods: This was a prospective randomized, single-center, open-label, 12-week case-control study of epoetin alfa in pediatric patients with acute lymphoblastic leukemia (ALL) in remission receiving maintenance chemotherapy. Sixty patients were randomly assigned to receive either epoetin alfa (rHuEPO group = 30 cases, 17 males and 13 females, age; 6.8 ± 2.33 years), or no epoetin alfa (control group = 30 cases, 16 males and 14 females, age; 6.76 ± 2.28 years). Both groups were matched as regard age, sex, baseline Hb concentration, remission state, chemotherapy regimen, numbers and amount of blood transfusion, and leukemia state (both were low and standard risk). Epoetin alfa was administered at a dose of 450 IU/kg, once weekly, subcutaneously (s.c.) for 12 consecutive weeks. Endpoints were changes in hematologic and QOL parameters. Results: Among the 30 patients evaluable for hematologic response, the mean increase in Hb from baseline to time of final evaluation was 3.08 ± 1.48 g/dl (p &lt; 0.001). An increase in Hb of &gt;g/dl, in the absence of blood transfusion, occurred in 70% of patients (21 of 30 patients) who were on the study for &gt; 30 days. The overall response rate (Hb increase &gt; 2 g/dl or Hb &gt; 12 g/dl in the absence of blood transfusion) was 90% (27 of 30 patients). In 30 patients who were evaluable for QOL assessment, epoetin-α therapy was found to significantly (p &lt; 0.001) improve mean cancer linear analog scale (CLAS) scores for energy level, ability to perform daily activity, and overall QOL from baseline to the time of final evaluation. QW epoetin-α was found to be well tolerated. Conclusion: Treatment with QW epoetin-α was found to increase Hb levels, decrease transfusion requirement, and improve functional status and QOL in anemic patients with ALL in maintenance receiving chemotherapy. The once-weekly schedule is convenient, safe, and may reduce the burden on patients, parents, and their caregivers by reducing the …","author":[{"dropping-particle":"","family":"Abdelrazik","given":"Nabil","non-dropping-particle":"","parse-names":false,"suffix":""},{"dropping-particle":"","family":"Fouda","given":"Manal","non-dropping-particle":"","parse-names":false,"suffix":""}],"container-title":"Hematology","id":"ITEM-3","issue":"6","issued":{"date-parts":[["2007","12"]]},"page":"533-541","publisher":"Hematology","title":"Once weekly recombinant human erythropoietin treatment for cancer-induced anemia in children with acute lymphoblastic leukemia receiving maintenance chemotherapy: A randomized case-controlled study","type":"article-journal","volume":"12"},"uris":["http://www.mendeley.com/documents/?uuid=fbe315e1-1ff9-3bcc-ba09-fc2956d850aa"]},{"id":"ITEM-4","itemData":{"DOI":"10.1002/mpo.10185","ISSN":"00981532","abstract":"Background. The efficacy and safety of epoetin alfa in ameliorating cancer- or chemotherapy-related anemia and reducing red blood cell (RBC) transfusion requirements have been demonstrated in numerous trials in adult patients. However, limited information is available about recombinant human erythropoietin (rHuEPO, epoetin alfa) as a treatment option in pediatric cancer patients. Procedure. To gain more information about the efficacy and safety of epoetin alfa in the treatment of chemotherapy-induced anemia in children with solid tumors receiving either platinum- or nonplatinum-containing chemotherapy, an 8-week randomized trial was conducted. Epoetin alfa 150 IU/kg was given 3 times a week for 8 weeks to 17 patients; 17 control patients received standard of care. Results. Transfusions, administered if the hemoglobin (Hb) level dropped to below 6 g/dL, were necessary for only one patient in the epoetin alfa group, as compared with eight patients in the control group (change in Hb from 8.5-10.21 g/dL in the epoetin alfa group vs. 8.48-8.41 g/dL in the control group). Conclusions. The data from this study suggest that this dosing regimen of epoetin alfa is effective and safe in pediatric cancer patients with chemotherapy-related anemia. Further studies with epoetin alfa in more children with different chemotherapy regimens are needed. © 2002 Wiley-Liss, Inc.","author":[{"dropping-particle":"","family":"Büyükpamukçu","given":"Münevver","non-dropping-particle":"","parse-names":false,"suffix":""},{"dropping-particle":"","family":"Varan","given":"Ali","non-dropping-particle":"","parse-names":false,"suffix":""},{"dropping-particle":"","family":"Kutluk","given":"Tezer","non-dropping-particle":"","parse-names":false,"suffix":""},{"dropping-particle":"","family":"Akyüz","given":"Canan","non-dropping-particle":"","parse-names":false,"suffix":""}],"container-title":"Medical and Pediatric Oncology","id":"ITEM-4","issue":"4","issued":{"date-parts":[["2002","10","1"]]},"page":"455-458","publisher":"John Wiley &amp; Sons, Ltd","title":"Is epoetin alfa a treatment option for chemotherapy-related anemia in children?","type":"article-journal","volume":"39"},"uris":["http://www.mendeley.com/documents/?uuid=8af0a229-7388-3970-b275-6d7b896531f2"]},{"id":"ITEM-5","itemData":{"DOI":"10.1200/JCO.2004.01.002","ISSN":"0732183X","PMID":"15143081","abstract":"Purpose: To evaluate the efficacy of recombinant erythropoietin (EPO) and granulocyte colony-stimulating factor (G-CSF) in reducing blood transfusion requirements and stimulating hematopoiesis in children with high-risk neuroblastoma. Patients and Methods: Thirty-eight patients given six cycles of intensive induction chemotherapy for high-risk neuroblastoma were randomized to receive G-CSF (n = 20) or G-CSF + EPO (n = 18). Cytokines were given subcutaneously each day, starting 24 hours after each chemotherapy cycle and continuing until 48 hours before the start of the next cycle. The primary end point was the effect of EPO on total red cell transfusion requirements during induction therapy. Results: Patients who received G-CSF + EPO had a higher red cell transfusion requirement (median, 161.0 mL/kg) than did those who received G-CSF alone (median, 106.6 mL/kg; P = .005). In addition, among patients given transfusions for hemoglobin ≤ 8 g/dL, those in the G-CSF + EPO group received more red cell transfusions than did those given G-CSF alone (median per patient, 10 v 8, respectively; P = .044). The two treatment groups had similar cumulative durations of neutropenia, incidences of febrile neutropenia, platelet transfusion requirements, and numbers of platelet transfusions; they also received induction chemotherapy for similar durations and had similar probabilities of progression-free survival and overall survival. Conclusion: The addition of EPO to the G-CSF regimen provides no benefit for patients receiving intensive induction chemotherapy for high-risk neuroblastoma. © 2004 by American Society of Clinical Oncology.","author":[{"dropping-particle":"","family":"Wagner","given":"Lars M.","non-dropping-particle":"","parse-names":false,"suffix":""},{"dropping-particle":"","family":"Billups","given":"Catherine A.","non-dropping-particle":"","parse-names":false,"suffix":""},{"dropping-particle":"","family":"Furman","given":"Wayne L.","non-dropping-particle":"","parse-names":false,"suffix":""},{"dropping-particle":"","family":"Rao","given":"Bhaskar N.","non-dropping-particle":"","parse-names":false,"suffix":""},{"dropping-particle":"","family":"Santana","given":"Victor M.","non-dropping-particle":"","parse-names":false,"suffix":""}],"container-title":"Journal of Clinical Oncology","id":"ITEM-5","issue":"10","issued":{"date-parts":[["2004"]]},"page":"1886-1893","publisher":"J Clin Oncol","title":"Combined use of erythropoietin and granulocyte colony-stimulating factor does not decrease blood transfusion requirements during induction therapy for high-risk neuroblastoma: A randomized controlled trial","type":"article-journal","volume":"22"},"uris":["http://www.mendeley.com/documents/?uuid=784f5363-78a4-3501-af9d-b3a23a5e8358"]},{"id":"ITEM-6","itemData":{"author":[{"dropping-particle":"","family":"Hinds","given":"Pamela S","non-dropping-particle":"","parse-names":false,"suffix":""},{"dropping-particle":"","family":"Hockenberry","given":"Marilyn","non-dropping-particle":"","parse-names":false,"suffix":""},{"dropping-particle":"","family":"Feusner","given":"James","non-dropping-particle":"","parse-names":false,"suffix":""},{"dropping-particle":"","family":"Hord","given":"Jeffrey D","non-dropping-particle":"","parse-names":false,"suffix":""},{"dropping-particle":"","family":"Rackoff","given":"Wayne","non-dropping-particle":"","parse-names":false,"suffix":""},{"dropping-particle":"","family":"Rozzouk","given":"Bassem I","non-dropping-particle":"","parse-names":false,"suffix":""}],"container-title":"J Support Oncol","id":"ITEM-6","issue":"Suppl. 4","issued":{"date-parts":[["2005"]]},"page":"10-11","title":"Hemoglobin Response and Improvements in Quality of Life in Anemic Children With Cancer Receiving Myelosuppressive Chemotherapy","type":"article-journal","volume":"3"},"uris":["http://www.mendeley.com/documents/?uuid=054dbafb-99c2-4e17-94be-321d240db08f"]},{"id":"ITEM-7","itemData":{"DOI":"10.3109/08880018.2013.824527","ISSN":"15210669","abstract":"The role of erythropoiesis-stimulating agents (ESAs) in the management of chemotherapy-induced anemia (CIA) is becoming increasingly recognized in the field of medical oncology, with paucity of data in pediatrics. We evaluated the efficacy and tolerability of a single-dose darbepoetin alfa, a long-acting ESA, given to 35 pediatric acute lymphoblastic leukemia (ALL) children during induction chemotherapy. Compared to a retrospective control group, the studied patients have required significantly less units of packed red blood cells (0.88 units/patient in the studied group versus 2.04 units in controls), with no major side effects. We recommend further prospective double-blinded studies with more tailored dosing regimens in pediatric ALL cases and solid tumors. © 2014 Informa Healthcare USA, Inc.","author":[{"dropping-particle":"","family":"Zachariah","given":"Mathew","non-dropping-particle":"","parse-names":false,"suffix":""},{"dropping-particle":"","family":"Elshinawy","given":"Mohamed","non-dropping-particle":"","parse-names":false,"suffix":""},{"dropping-particle":"","family":"Alrawas","given":"Abdulhakim","non-dropping-particle":"","parse-names":false,"suffix":""},{"dropping-particle":"","family":"Bashir","given":"Wafa","non-dropping-particle":"","parse-names":false,"suffix":""},{"dropping-particle":"","family":"Elbeshlawi","given":"Ismail","non-dropping-particle":"","parse-names":false,"suffix":""},{"dropping-particle":"","family":"Tony","given":"Surekha","non-dropping-particle":"","parse-names":false,"suffix":""},{"dropping-particle":"","family":"Wali","given":"Yasser","non-dropping-particle":"","parse-names":false,"suffix":""}],"container-title":"Pediatric Hematology and Oncology","id":"ITEM-7","issue":"5","issued":{"date-parts":[["2014"]]},"page":"442-447","publisher":"Informa Healthcare","title":"Single dose darbepoetin alfa is useful in reducing red cell transfusions in leukemic children receiving chemotherapy","type":"article-journal","volume":"31"},"uris":["http://www.mendeley.com/documents/?uuid=3a355af9-007b-31c5-8322-fe80d64e7e9b"]},{"id":"ITEM-8","itemData":{"DOI":"10.3109/08880018.2011.570857","ISSN":"08880018","abstract":"Anemia, which is a common problem in cancer patients, has a negative effect on survival by decreasing the efficacy of chemotherapy and particularly of radiotherapy, as well as impairing the quality of life (QoL) of patients. Recombinant human erythropoietin (rHuEPO) decreases a patient's need for transfusions and increases their QoL. The aim of this study was to evaluate the effect of weekly single-dose EPO treatment on transfusion rates, QoL, and hemoglobin (Hb) levels. In addition, patients were followed up for a long period to assess the impact of EPO treatment on survival. The study was conducted from December 2001 to December 2002 in patients with newly diagnosed lymphoma or solid tumors using a prospective and controlled design. EPO-β was given as a single dose of 450 U/kg once a week for 12 weeks. The study and control groups included 16 patients each. Hb levels measured in the study group at the 4th, 8th, and 12th weeks were significantly higher than the values recorded before the start of chemotherapy. In the control group, Hb levels post chemotherapy were significantly lower than values recorded prior to treatment. The increased Hb levels in the study group were significant at the 8th and 12th weeks of treatment compared to levels measured prior to treatment. In the control group, Hb levels at the 4th and 8th weeks were significantly lower than pretreatment levels. When the percent increase of Hb levels of the study and control groups with respect to treatment week was compared, the difference was statistically significant at the 4th, 8th, and 12th weeks. Although the increase on the performance scale within each group during treatment was significant in both the study and control groups, the increase was more marked in the study group. The percent increase on the performance scale with respect to week of treatment was higher in the study group than in the control group. In EPO treatment group, side effects were seen in 38% of patients, with 19% being local pain in the injection area, 13% local hyperemia, and 6% headache. The mean follow-up period of the study and control group was 7.03 ± 0.41 (6.07.41) and 7.46 ± 0.45 (6.587.83) years, respectively; no statistically significant difference existed between these figures. Overall survival at the end of 7 years of follow-up was 68.8% and 81.3% for the study and control groups, respectively. The use of EPO-β in lymphoma and solid tumor patients on a once-weekly regimen (450 U/kg) was determined to…","author":[{"dropping-particle":"","family":"Durmaz","given":"Oguzhan","non-dropping-particle":"","parse-names":false,"suffix":""},{"dropping-particle":"","family":"Demirkaya","given":"Metin","non-dropping-particle":"","parse-names":false,"suffix":""},{"dropping-particle":"","family":"Sevinir","given":"Betl","non-dropping-particle":"","parse-names":false,"suffix":""}],"container-title":"Pediatric Hematology and Oncology","id":"ITEM-8","issue":"6","issued":{"date-parts":[["2011","9"]]},"page":"461-468","publisher":"Pediatr Hematol Oncol","title":"Recombinant human erythropoietin β: the effect of weekly dosing on anemia, quality of life, and long-term outcomes in pediatric cancer patients","type":"article-journal","volume":"28"},"uris":["http://www.mendeley.com/documents/?uuid=da0b2336-704c-3181-bffc-379c875407e4"]},{"id":"ITEM-9","itemData":{"author":[{"dropping-particle":"","family":"Hiradfar","given":"A","non-dropping-particle":"","parse-names":false,"suffix":""},{"dropping-particle":"","family":"Banihosseinian","given":"M","non-dropping-particle":"","parse-names":false,"suffix":""}],"container-title":"Iran J Ped Hematol Oncol","id":"ITEM-9","issue":"4","issued":{"date-parts":[["2014"]]},"page":"151-159","title":"The Efficacy of Recombinant Human Erythropoietin in Treatment Chemotherapy Induced Anemia in Children Diagnosed With a Solid Cancer","type":"article-journal","volume":"4"},"uris":["http://www.mendeley.com/documents/?uuid=8a52e604-1028-499e-82f4-974d40a76b82"]},{"id":"ITEM-10","itemData":{"author":[{"dropping-particle":"","family":"Морщакова","given":"Е.Ф.","non-dropping-particle":"","parse-names":false,"suffix":""},{"dropping-particle":"","family":"Безнощенко","given":"А.Г.","non-dropping-particle":"","parse-names":false,"suffix":""},{"dropping-particle":"","family":"Лунякова","given":"М.А.","non-dropping-particle":"","parse-names":false,"suffix":""},{"dropping-particle":"","family":"Дронова","given":"С.Н.","non-dropping-particle":"","parse-names":false,"suffix":""},{"dropping-particle":"","family":"Кукушкина","given":"И.П.","non-dropping-particle":"","parse-names":false,"suffix":""}],"container-title":"Вопросы гематологии, онкологии и иммунопатологии в педиатрии","id":"ITEM-10","issue":"2","issued":{"date-parts":[["2008"]]},"page":"16-20","title":"Опыт применения эритропоэтина в детской онкологии и онкогематологии","type":"article-journal","volume":"7"},"uris":["http://www.mendeley.com/documents/?uuid=b8de3377-24a2-4b9c-9ab6-64923e6605cf"]},{"id":"ITEM-11","itemData":{"author":[{"dropping-particle":"","family":"Lunyakova","given":"M.","non-dropping-particle":"","parse-names":false,"suffix":""},{"dropping-particle":"","family":"Rumyantsev","given":"A.","non-dropping-particle":"","parse-names":false,"suffix":""},{"dropping-particle":"","family":"Demikhov","given":"V.","non-dropping-particle":"","parse-names":false,"suffix":""}],"container-title":"Haematologica","id":"ITEM-11","issue":"1","issued":{"date-parts":[["2013"]]},"page":"705","title":"Effect of rHuEPO therapy on long-term survival of anemic children with acute lymphoblastic leukemia, undergoing chemotherapy","type":"article-journal","volume":"98"},"uris":["http://www.mendeley.com/documents/?uuid=9231d31d-2761-498e-9c7c-df08255c5157"]}],"mendeley":{"formattedCitation":"[20,39–48]","plainTextFormattedCitation":"[20,39–48]","previouslyFormattedCitation":"[20,39–48]"},"properties":{"noteIndex":0},"schema":"https://github.com/citation-style-language/schema/raw/master/csl-citation.json"}</w:instrText>
      </w:r>
      <w:r w:rsidR="000145B4" w:rsidRPr="00195C79">
        <w:fldChar w:fldCharType="separate"/>
      </w:r>
      <w:r w:rsidR="00EC6C6C" w:rsidRPr="00EC6C6C">
        <w:rPr>
          <w:noProof/>
        </w:rPr>
        <w:t>[20,39–48]</w:t>
      </w:r>
      <w:r w:rsidR="000145B4" w:rsidRPr="00195C79">
        <w:fldChar w:fldCharType="end"/>
      </w:r>
      <w:r w:rsidRPr="00195C79">
        <w:t>.</w:t>
      </w:r>
    </w:p>
    <w:p w:rsidR="00B15DF4" w:rsidRPr="00B104EF" w:rsidRDefault="00B15DF4" w:rsidP="00B15DF4">
      <w:pPr>
        <w:pStyle w:val="aff1"/>
        <w:ind w:left="0" w:firstLine="709"/>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p>
    <w:p w:rsidR="00E96066" w:rsidRPr="002B1F47" w:rsidRDefault="00E96066" w:rsidP="002B1F47">
      <w:pPr>
        <w:pStyle w:val="afb"/>
        <w:divId w:val="1767193717"/>
        <w:rPr>
          <w:rFonts w:eastAsia="Calibri"/>
          <w:i/>
          <w:iCs/>
        </w:rPr>
      </w:pPr>
      <w:r w:rsidRPr="00642D96">
        <w:rPr>
          <w:rFonts w:eastAsia="Calibri"/>
          <w:b/>
        </w:rPr>
        <w:t>Комментарии:</w:t>
      </w:r>
      <w:r w:rsidRPr="002B1F47">
        <w:rPr>
          <w:rFonts w:eastAsia="Calibri"/>
          <w:i/>
          <w:iCs/>
        </w:rPr>
        <w:t> </w:t>
      </w:r>
      <w:r w:rsidR="00642D96" w:rsidRPr="002B1F47">
        <w:rPr>
          <w:rFonts w:eastAsia="Calibri"/>
          <w:i/>
          <w:iCs/>
        </w:rPr>
        <w:t>данны</w:t>
      </w:r>
      <w:r w:rsidR="00642D96">
        <w:rPr>
          <w:rFonts w:eastAsia="Calibri"/>
          <w:i/>
          <w:iCs/>
        </w:rPr>
        <w:t>е</w:t>
      </w:r>
      <w:r w:rsidRPr="002B1F47">
        <w:rPr>
          <w:rFonts w:eastAsia="Calibri"/>
          <w:i/>
          <w:iCs/>
        </w:rPr>
        <w:t>рандомизированных исследований свидетельствуют об эффективности и безопасности терапии ЭСП у детей со ЗН</w:t>
      </w:r>
      <w:r w:rsidR="000145B4" w:rsidRPr="00195C79">
        <w:fldChar w:fldCharType="begin" w:fldLock="1"/>
      </w:r>
      <w:r w:rsidR="00AE5092">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Cancer","type":"article-journal","volume":"13"},"uris":["http://www.mendeley.com/documents/?uuid=5cbc3ccb-6aa5-3340-ac5f-a70d59b8ebe0"]},{"id":"ITEM-2","itemData":{"DOI":"10.1200/JCO.2005.03.4371","ISSN":"0732183X","abstract":"Purpose: To evaluate the effects of once-weekly epoetin alfa (EPO) on health-related quality of life (HRQOL), hemoglobin (Hb), transfusions, and tolerability in children with cancer. Methods: Anemic patients 5 years to 18 years of age receiving myelosuppressive chemotherapy for nonmyeloid malignancies, excluding brain tumors, received intravenous EPO 600 units/kg to 900 units/kg or placebo once-weekly for 16 weeks. Patients and parents completed the pediatric health-related quality-of-life generic scales (GS) and cancer-specific scales (CS). Results: One hundred eleven patients received EPO and 111 patients received placebo. Mean final values for GS total score (P = .763 among patients; P = .219 among parents) and CS domain scores (P ≥ .238; P ≥ .081, respectively) were not significantly different between treatment groups. EPO-treated patients had greater increases in Hb overall (P = .002) and were more likely to be transfusion free after 4 weeks (38.7% v 22.5%; P = .010). Change in Hb was correlated with change in PedsQL-GCS total score in the EPO group (r = 0.242; P = .018), but was not in the placebo group (r = 0.086; P = .430). Adverse events were comparable between treatment groups. Conclusion: This study confirmed the tolerability and hematologic benefits of once-weekly EPO in children with cancer. No significant difference in HRQOL was detected between treatment groups, but a significant positive correlation was observed between Hb changes and HRQOL changes in the EPO group. Additional studies are warranted to assess HRQOL when anemia is managed optimally in children with cancer. © 2006 by American Society of Clinical Oncology.","author":[{"dropping-particle":"","family":"Razzouk","given":"Bassem I.","non-dropping-particle":"","parse-names":false,"suffix":""},{"dropping-particle":"","family":"Hord","given":"Jeffrey D.","non-dropping-particle":"","parse-names":false,"suffix":""},{"dropping-particle":"","family":"Hockenberry","given":"Marilyn","non-dropping-particle":"","parse-names":false,"suffix":""},{"dropping-particle":"","family":"Hinds","given":"Pamela S.","non-dropping-particle":"","parse-names":false,"suffix":""},{"dropping-particle":"","family":"Feusner","given":"James","non-dropping-particle":"","parse-names":false,"suffix":""},{"dropping-particle":"","family":"Williams","given":"Denise","non-dropping-particle":"","parse-names":false,"suffix":""},{"dropping-particle":"","family":"Rackoff","given":"Wayne R.","non-dropping-particle":"","parse-names":false,"suffix":""}],"container-title":"Journal of Clinical Oncology","id":"ITEM-2","issue":"22","issued":{"date-parts":[["2006","8","1"]]},"page":"3583-3589","publisher":"J Clin Oncol","title":"Double-blind, placebo-controlled study of quality of life, hematologic end points, and safety of weekly epoetin alfa in children with cancer receiving myelosuppressive chemotherapy","type":"article-journal","volume":"24"},"uris":["http://www.mendeley.com/documents/?uuid=64a873c7-a005-3406-9bb3-361e6ecbddd2"]},{"id":"ITEM-3","itemData":{"DOI":"10.1080/10245330701521572","ISSN":"10245332","abstract":"Background: Patients receiving chemotherapy for cancer often develop anemia, which can contribute to increased morbidity and reduced quality of life (QOL). Chemotherapy-induced anemia can be successfully treated using recombinant human erythropoietin (rHuEPO). Aim of the study: To demonstrate the effectiveness of once-weekly (QW) rHuEPO dosing to effect improved hemoglobin levels, decreased transfusion use, and improved functional outcomes and QOL in pediatric leukemic patients (ALL) receiving maintenance chemotherapy. Patient and methods: This was a prospective randomized, single-center, open-label, 12-week case-control study of epoetin alfa in pediatric patients with acute lymphoblastic leukemia (ALL) in remission receiving maintenance chemotherapy. Sixty patients were randomly assigned to receive either epoetin alfa (rHuEPO group = 30 cases, 17 males and 13 females, age; 6.8 ± 2.33 years), or no epoetin alfa (control group = 30 cases, 16 males and 14 females, age; 6.76 ± 2.28 years). Both groups were matched as regard age, sex, baseline Hb concentration, remission state, chemotherapy regimen, numbers and amount of blood transfusion, and leukemia state (both were low and standard risk). Epoetin alfa was administered at a dose of 450 IU/kg, once weekly, subcutaneously (s.c.) for 12 consecutive weeks. Endpoints were changes in hematologic and QOL parameters. Results: Among the 30 patients evaluable for hematologic response, the mean increase in Hb from baseline to time of final evaluation was 3.08 ± 1.48 g/dl (p &lt; 0.001). An increase in Hb of &gt;g/dl, in the absence of blood transfusion, occurred in 70% of patients (21 of 30 patients) who were on the study for &gt; 30 days. The overall response rate (Hb increase &gt; 2 g/dl or Hb &gt; 12 g/dl in the absence of blood transfusion) was 90% (27 of 30 patients). In 30 patients who were evaluable for QOL assessment, epoetin-α therapy was found to significantly (p &lt; 0.001) improve mean cancer linear analog scale (CLAS) scores for energy level, ability to perform daily activity, and overall QOL from baseline to the time of final evaluation. QW epoetin-α was found to be well tolerated. Conclusion: Treatment with QW epoetin-α was found to increase Hb levels, decrease transfusion requirement, and improve functional status and QOL in anemic patients with ALL in maintenance receiving chemotherapy. The once-weekly schedule is convenient, safe, and may reduce the burden on patients, parents, and their caregivers by reducing the …","author":[{"dropping-particle":"","family":"Abdelrazik","given":"Nabil","non-dropping-particle":"","parse-names":false,"suffix":""},{"dropping-particle":"","family":"Fouda","given":"Manal","non-dropping-particle":"","parse-names":false,"suffix":""}],"container-title":"Hematology","id":"ITEM-3","issue":"6","issued":{"date-parts":[["2007","12"]]},"page":"533-541","publisher":"Hematology","title":"Once weekly recombinant human erythropoietin treatment for cancer-induced anemia in children with acute lymphoblastic leukemia receiving maintenance chemotherapy: A randomized case-controlled study","type":"article-journal","volume":"12"},"uris":["http://www.mendeley.com/documents/?uuid=fbe315e1-1ff9-3bcc-ba09-fc2956d850aa"]},{"id":"ITEM-4","itemData":{"DOI":"10.1002/mpo.10185","ISSN":"00981532","abstract":"Background. The efficacy and safety of epoetin alfa in ameliorating cancer- or chemotherapy-related anemia and reducing red blood cell (RBC) transfusion requirements have been demonstrated in numerous trials in adult patients. However, limited information is available about recombinant human erythropoietin (rHuEPO, epoetin alfa) as a treatment option in pediatric cancer patients. Procedure. To gain more information about the efficacy and safety of epoetin alfa in the treatment of chemotherapy-induced anemia in children with solid tumors receiving either platinum- or nonplatinum-containing chemotherapy, an 8-week randomized trial was conducted. Epoetin alfa 150 IU/kg was given 3 times a week for 8 weeks to 17 patients; 17 control patients received standard of care. Results. Transfusions, administered if the hemoglobin (Hb) level dropped to below 6 g/dL, were necessary for only one patient in the epoetin alfa group, as compared with eight patients in the control group (change in Hb from 8.5-10.21 g/dL in the epoetin alfa group vs. 8.48-8.41 g/dL in the control group). Conclusions. The data from this study suggest that this dosing regimen of epoetin alfa is effective and safe in pediatric cancer patients with chemotherapy-related anemia. Further studies with epoetin alfa in more children with different chemotherapy regimens are needed. © 2002 Wiley-Liss, Inc.","author":[{"dropping-particle":"","family":"Büyükpamukçu","given":"Münevver","non-dropping-particle":"","parse-names":false,"suffix":""},{"dropping-particle":"","family":"Varan","given":"Ali","non-dropping-particle":"","parse-names":false,"suffix":""},{"dropping-particle":"","family":"Kutluk","given":"Tezer","non-dropping-particle":"","parse-names":false,"suffix":""},{"dropping-particle":"","family":"Akyüz","given":"Canan","non-dropping-particle":"","parse-names":false,"suffix":""}],"container-title":"Medical and Pediatric Oncology","id":"ITEM-4","issue":"4","issued":{"date-parts":[["2002","10","1"]]},"page":"455-458","publisher":"John Wiley &amp; Sons, Ltd","title":"Is epoetin alfa a treatment option for chemotherapy-related anemia in children?","type":"article-journal","volume":"39"},"uris":["http://www.mendeley.com/documents/?uuid=8af0a229-7388-3970-b275-6d7b896531f2"]},{"id":"ITEM-5","itemData":{"DOI":"10.1200/JCO.2004.01.002","ISSN":"0732183X","PMID":"15143081","abstract":"Purpose: To evaluate the efficacy of recombinant erythropoietin (EPO) and granulocyte colony-stimulating factor (G-CSF) in reducing blood transfusion requirements and stimulating hematopoiesis in children with high-risk neuroblastoma. Patients and Methods: Thirty-eight patients given six cycles of intensive induction chemotherapy for high-risk neuroblastoma were randomized to receive G-CSF (n = 20) or G-CSF + EPO (n = 18). Cytokines were given subcutaneously each day, starting 24 hours after each chemotherapy cycle and continuing until 48 hours before the start of the next cycle. The primary end point was the effect of EPO on total red cell transfusion requirements during induction therapy. Results: Patients who received G-CSF + EPO had a higher red cell transfusion requirement (median, 161.0 mL/kg) than did those who received G-CSF alone (median, 106.6 mL/kg; P = .005). In addition, among patients given transfusions for hemoglobin ≤ 8 g/dL, those in the G-CSF + EPO group received more red cell transfusions than did those given G-CSF alone (median per patient, 10 v 8, respectively; P = .044). The two treatment groups had similar cumulative durations of neutropenia, incidences of febrile neutropenia, platelet transfusion requirements, and numbers of platelet transfusions; they also received induction chemotherapy for similar durations and had similar probabilities of progression-free survival and overall survival. Conclusion: The addition of EPO to the G-CSF regimen provides no benefit for patients receiving intensive induction chemotherapy for high-risk neuroblastoma. © 2004 by American Society of Clinical Oncology.","author":[{"dropping-particle":"","family":"Wagner","given":"Lars M.","non-dropping-particle":"","parse-names":false,"suffix":""},{"dropping-particle":"","family":"Billups","given":"Catherine A.","non-dropping-particle":"","parse-names":false,"suffix":""},{"dropping-particle":"","family":"Furman","given":"Wayne L.","non-dropping-particle":"","parse-names":false,"suffix":""},{"dropping-particle":"","family":"Rao","given":"Bhaskar N.","non-dropping-particle":"","parse-names":false,"suffix":""},{"dropping-particle":"","family":"Santana","given":"Victor M.","non-dropping-particle":"","parse-names":false,"suffix":""}],"container-title":"Journal of Clinical Oncology","id":"ITEM-5","issue":"10","issued":{"date-parts":[["2004"]]},"page":"1886-1893","publisher":"J Clin Oncol","title":"Combined use of erythropoietin and granulocyte colony-stimulating factor does not decrease blood transfusion requirements during induction therapy for high-risk neuroblastoma: A randomized controlled trial","type":"article-journal","volume":"22"},"uris":["http://www.mendeley.com/documents/?uuid=784f5363-78a4-3501-af9d-b3a23a5e8358"]},{"id":"ITEM-6","itemData":{"author":[{"dropping-particle":"","family":"Hinds","given":"Pamela S","non-dropping-particle":"","parse-names":false,"suffix":""},{"dropping-particle":"","family":"Hockenberry","given":"Marilyn","non-dropping-particle":"","parse-names":false,"suffix":""},{"dropping-particle":"","family":"Feusner","given":"James","non-dropping-particle":"","parse-names":false,"suffix":""},{"dropping-particle":"","family":"Hord","given":"Jeffrey D","non-dropping-particle":"","parse-names":false,"suffix":""},{"dropping-particle":"","family":"Rackoff","given":"Wayne","non-dropping-particle":"","parse-names":false,"suffix":""},{"dropping-particle":"","family":"Rozzouk","given":"Bassem I","non-dropping-particle":"","parse-names":false,"suffix":""}],"container-title":"J Support Oncol","id":"ITEM-6","issue":"Suppl. 4","issued":{"date-parts":[["2005"]]},"page":"10-11","title":"Hemoglobin Response and Improvements in Quality of Life in Anemic Children With Cancer Receiving Myelosuppressive Chemotherapy","type":"article-journal","volume":"3"},"uris":["http://www.mendeley.com/documents/?uuid=054dbafb-99c2-4e17-94be-321d240db08f"]},{"id":"ITEM-7","itemData":{"DOI":"10.3109/08880018.2013.824527","ISSN":"15210669","abstract":"The role of erythropoiesis-stimulating agents (ESAs) in the management of chemotherapy-induced anemia (CIA) is becoming increasingly recognized in the field of medical oncology, with paucity of data in pediatrics. We evaluated the efficacy and tolerability of a single-dose darbepoetin alfa, a long-acting ESA, given to 35 pediatric acute lymphoblastic leukemia (ALL) children during induction chemotherapy. Compared to a retrospective control group, the studied patients have required significantly less units of packed red blood cells (0.88 units/patient in the studied group versus 2.04 units in controls), with no major side effects. We recommend further prospective double-blinded studies with more tailored dosing regimens in pediatric ALL cases and solid tumors. © 2014 Informa Healthcare USA, Inc.","author":[{"dropping-particle":"","family":"Zachariah","given":"Mathew","non-dropping-particle":"","parse-names":false,"suffix":""},{"dropping-particle":"","family":"Elshinawy","given":"Mohamed","non-dropping-particle":"","parse-names":false,"suffix":""},{"dropping-particle":"","family":"Alrawas","given":"Abdulhakim","non-dropping-particle":"","parse-names":false,"suffix":""},{"dropping-particle":"","family":"Bashir","given":"Wafa","non-dropping-particle":"","parse-names":false,"suffix":""},{"dropping-particle":"","family":"Elbeshlawi","given":"Ismail","non-dropping-particle":"","parse-names":false,"suffix":""},{"dropping-particle":"","family":"Tony","given":"Surekha","non-dropping-particle":"","parse-names":false,"suffix":""},{"dropping-particle":"","family":"Wali","given":"Yasser","non-dropping-particle":"","parse-names":false,"suffix":""}],"container-title":"Pediatric Hematology and Oncology","id":"ITEM-7","issue":"5","issued":{"date-parts":[["2014"]]},"page":"442-447","publisher":"Informa Healthcare","title":"Single dose darbepoetin alfa is useful in reducing red cell transfusions in leukemic children receiving chemotherapy","type":"article-journal","volume":"31"},"uris":["http://www.mendeley.com/documents/?uuid=3a355af9-007b-31c5-8322-fe80d64e7e9b"]},{"id":"ITEM-8","itemData":{"DOI":"10.3109/08880018.2011.570857","ISSN":"08880018","abstract":"Anemia, which is a common problem in cancer patients, has a negative effect on survival by decreasing the efficacy of chemotherapy and particularly of radiotherapy, as well as impairing the quality of life (QoL) of patients. Recombinant human erythropoietin (rHuEPO) decreases a patient's need for transfusions and increases their QoL. The aim of this study was to evaluate the effect of weekly single-dose EPO treatment on transfusion rates, QoL, and hemoglobin (Hb) levels. In addition, patients were followed up for a long period to assess the impact of EPO treatment on survival. The study was conducted from December 2001 to December 2002 in patients with newly diagnosed lymphoma or solid tumors using a prospective and controlled design. EPO-β was given as a single dose of 450 U/kg once a week for 12 weeks. The study and control groups included 16 patients each. Hb levels measured in the study group at the 4th, 8th, and 12th weeks were significantly higher than the values recorded before the start of chemotherapy. In the control group, Hb levels post chemotherapy were significantly lower than values recorded prior to treatment. The increased Hb levels in the study group were significant at the 8th and 12th weeks of treatment compared to levels measured prior to treatment. In the control group, Hb levels at the 4th and 8th weeks were significantly lower than pretreatment levels. When the percent increase of Hb levels of the study and control groups with respect to treatment week was compared, the difference was statistically significant at the 4th, 8th, and 12th weeks. Although the increase on the performance scale within each group during treatment was significant in both the study and control groups, the increase was more marked in the study group. The percent increase on the performance scale with respect to week of treatment was higher in the study group than in the control group. In EPO treatment group, side effects were seen in 38% of patients, with 19% being local pain in the injection area, 13% local hyperemia, and 6% headache. The mean follow-up period of the study and control group was 7.03 ± 0.41 (6.07.41) and 7.46 ± 0.45 (6.587.83) years, respectively; no statistically significant difference existed between these figures. Overall survival at the end of 7 years of follow-up was 68.8% and 81.3% for the study and control groups, respectively. The use of EPO-β in lymphoma and solid tumor patients on a once-weekly regimen (450 U/kg) was determined to…","author":[{"dropping-particle":"","family":"Durmaz","given":"Oguzhan","non-dropping-particle":"","parse-names":false,"suffix":""},{"dropping-particle":"","family":"Demirkaya","given":"Metin","non-dropping-particle":"","parse-names":false,"suffix":""},{"dropping-particle":"","family":"Sevinir","given":"Betl","non-dropping-particle":"","parse-names":false,"suffix":""}],"container-title":"Pediatric Hematology and Oncology","id":"ITEM-8","issue":"6","issued":{"date-parts":[["2011","9"]]},"page":"461-468","publisher":"Pediatr Hematol Oncol","title":"Recombinant human erythropoietin β: the effect of weekly dosing on anemia, quality of life, and long-term outcomes in pediatric cancer patients","type":"article-journal","volume":"28"},"uris":["http://www.mendeley.com/documents/?uuid=da0b2336-704c-3181-bffc-379c875407e4"]},{"id":"ITEM-9","itemData":{"author":[{"dropping-particle":"","family":"Hiradfar","given":"A","non-dropping-particle":"","parse-names":false,"suffix":""},{"dropping-particle":"","family":"Banihosseinian","given":"M","non-dropping-particle":"","parse-names":false,"suffix":""}],"container-title":"Iran J Ped Hematol Oncol","id":"ITEM-9","issue":"4","issued":{"date-parts":[["2014"]]},"page":"151-159","title":"The Efficacy of Recombinant Human Erythropoietin in Treatment Chemotherapy Induced Anemia in Children Diagnosed With a Solid Cancer","type":"article-journal","volume":"4"},"uris":["http://www.mendeley.com/documents/?uuid=8a52e604-1028-499e-82f4-974d40a76b82"]},{"id":"ITEM-10","itemData":{"author":[{"dropping-particle":"","family":"Морщакова","given":"Е.Ф.","non-dropping-particle":"","parse-names":false,"suffix":""},{"dropping-particle":"","family":"Безнощенко","given":"А.Г.","non-dropping-particle":"","parse-names":false,"suffix":""},{"dropping-particle":"","family":"Лунякова","given":"М.А.","non-dropping-particle":"","parse-names":false,"suffix":""},{"dropping-particle":"","family":"Дронова","given":"С.Н.","non-dropping-particle":"","parse-names":false,"suffix":""},{"dropping-particle":"","family":"Кукушкина","given":"И.П.","non-dropping-particle":"","parse-names":false,"suffix":""}],"container-title":"Вопросы гематологии, онкологии и иммунопатологии в педиатрии","id":"ITEM-10","issue":"2","issued":{"date-parts":[["2008"]]},"page":"16-20","title":"Опыт применения эритропоэтина в детской онкологии и онкогематологии","type":"article-journal","volume":"7"},"uris":["http://www.mendeley.com/documents/?uuid=b8de3377-24a2-4b9c-9ab6-64923e6605cf"]},{"id":"ITEM-11","itemData":{"author":[{"dropping-particle":"","family":"Lunyakova","given":"M.","non-dropping-particle":"","parse-names":false,"suffix":""},{"dropping-particle":"","family":"Rumyantsev","given":"A.","non-dropping-particle":"","parse-names":false,"suffix":""},{"dropping-particle":"","family":"Demikhov","given":"V.","non-dropping-particle":"","parse-names":false,"suffix":""}],"container-title":"Haematologica","id":"ITEM-11","issue":"1","issued":{"date-parts":[["2013"]]},"page":"705","title":"Effect of rHuEPO therapy on long-term survival of anemic children with acute lymphoblastic leukemia, undergoing chemotherapy","type":"article-journal","volume":"98"},"uris":["http://www.mendeley.com/documents/?uuid=9231d31d-2761-498e-9c7c-df08255c5157"]}],"mendeley":{"formattedCitation":"[20,39–48]","plainTextFormattedCitation":"[20,39–48]","previouslyFormattedCitation":"[20,39–48]"},"properties":{"noteIndex":0},"schema":"https://github.com/citation-style-language/schema/raw/master/csl-citation.json"}</w:instrText>
      </w:r>
      <w:r w:rsidR="000145B4" w:rsidRPr="00195C79">
        <w:fldChar w:fldCharType="separate"/>
      </w:r>
      <w:r w:rsidR="00EC6C6C" w:rsidRPr="00EC6C6C">
        <w:rPr>
          <w:noProof/>
        </w:rPr>
        <w:t>[20,39–48]</w:t>
      </w:r>
      <w:r w:rsidR="000145B4" w:rsidRPr="00195C79">
        <w:fldChar w:fldCharType="end"/>
      </w:r>
      <w:r w:rsidRPr="002B1F47">
        <w:rPr>
          <w:rFonts w:eastAsia="Calibri"/>
          <w:i/>
          <w:iCs/>
        </w:rPr>
        <w:t xml:space="preserve">. Несмотря на данные этих исследований, </w:t>
      </w:r>
      <w:r w:rsidR="006F7AB7">
        <w:rPr>
          <w:rFonts w:eastAsia="Calibri"/>
          <w:i/>
          <w:iCs/>
        </w:rPr>
        <w:t>препараты рекомбинантного человеческого эитропоэтина (</w:t>
      </w:r>
      <w:r w:rsidRPr="002B1F47">
        <w:rPr>
          <w:rFonts w:eastAsia="Calibri"/>
          <w:i/>
          <w:iCs/>
        </w:rPr>
        <w:t>рчЭПО</w:t>
      </w:r>
      <w:r w:rsidR="006F7AB7">
        <w:rPr>
          <w:rFonts w:eastAsia="Calibri"/>
          <w:i/>
          <w:iCs/>
        </w:rPr>
        <w:t xml:space="preserve">, </w:t>
      </w:r>
      <w:r w:rsidR="006F7AB7" w:rsidRPr="006F7AB7">
        <w:rPr>
          <w:rFonts w:eastAsia="Calibri"/>
          <w:i/>
          <w:iCs/>
        </w:rPr>
        <w:t>группа «В03ХА01 Эритропоэтин» по классификации АТХ</w:t>
      </w:r>
      <w:r w:rsidR="0000099A">
        <w:rPr>
          <w:rFonts w:eastAsia="Calibri"/>
          <w:i/>
          <w:iCs/>
        </w:rPr>
        <w:t xml:space="preserve">) </w:t>
      </w:r>
      <w:r w:rsidRPr="002B1F47">
        <w:rPr>
          <w:rFonts w:eastAsia="Calibri"/>
          <w:i/>
          <w:iCs/>
        </w:rPr>
        <w:t>не рекомендован для рутинного использования у детей с ЗН. Это связано в первую очередь с несостоятельностью научно обоснованной доказательной базы в отношении влияния терапии ЭСП на качество жизни и выживаемость детей с онкологическими заболеваниями</w:t>
      </w:r>
      <w:r w:rsidR="00F31A8C">
        <w:rPr>
          <w:rFonts w:eastAsia="Calibri"/>
          <w:i/>
          <w:iCs/>
        </w:rPr>
        <w:t xml:space="preserve">. </w:t>
      </w:r>
      <w:r w:rsidRPr="002B1F47">
        <w:rPr>
          <w:rFonts w:eastAsia="Calibri"/>
          <w:i/>
          <w:iCs/>
        </w:rPr>
        <w:t>До настоящего времени нет достоверных данных о влиянии терапии ЭСП на выживаемость детей со ЗН. В единичных публикациях, оценивающих выживаемость небольших групп детей с ЗН, получающих терапию ЭСП, не выявлено их негативного влияния</w:t>
      </w:r>
      <w:r w:rsidR="000145B4">
        <w:rPr>
          <w:rFonts w:eastAsia="Calibri"/>
          <w:i/>
          <w:iCs/>
          <w:lang w:val="en-US"/>
        </w:rPr>
        <w:fldChar w:fldCharType="begin" w:fldLock="1"/>
      </w:r>
      <w:r w:rsidR="00AE5092">
        <w:rPr>
          <w:rFonts w:eastAsia="Calibri"/>
          <w:i/>
          <w:iCs/>
          <w:lang w:val="en-US"/>
        </w:rPr>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Cancer","type":"article-journal","volume":"13"},"uris":["http://www.mendeley.com/documents/?uuid=5cbc3ccb-6aa5-3340-ac5f-a70d59b8ebe0"]},{"id":"ITEM-2","itemData":{"DOI":"10.1002/pbc.21953","ISSN":"15455009","abstract":"The Standards, Options, and Recommendations (SOR) project undertaken by the French National Federation of Cancer Centers (FNCLCC) to develop and disseminate clinical practice guidelines in oncology has now been taken over by the French National Cancer Institute. In 2007, the SOR updated the information related to the use of erythropoiesis-stimulating agents (ESA) in anemic children with cancer. Updates were based on a review of the most reliable scientific data available, followed by critical appraisal by a multidisciplinary group of experts and validation by independent experts. The literature review identified four randomized trials likely to provide reliable new information on the use of ESA in children. This review confirmed four points: treatment increases hemoglobin levels and decreases the need for blood transfusions; no quality-of-life and no survival benefit has been demonstrated; treatment does not seem associated with significantly more side effects; impact on thromboembolic events and patient quality of life remains unclear. The main result of the study was the elaboration of a new standard of care unavailable at the time of the 2003 version. Systematic administration of ESA is not recommended for the prevention or treatment of anemia in pediatric cancer patients. However, treatment decision must be made on a case-by-case basis and, when treatment is considered, the intravenous route must be preferred. The full French document is available at www.sor-cancer.fr. © 2009 Wiley-Liss, Inc.","author":[{"dropping-particle":"","family":"Marec-Berard","given":"Perrine","non-dropping-particle":"","parse-names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Chastagner</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Pascal</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Kassab</w:instrText>
      </w:r>
      <w:r w:rsidR="00AE5092" w:rsidRPr="00AE5092">
        <w:rPr>
          <w:rFonts w:eastAsia="Calibri"/>
          <w:i/>
          <w:iCs/>
        </w:rPr>
        <w:instrText>-</w:instrText>
      </w:r>
      <w:r w:rsidR="00AE5092">
        <w:rPr>
          <w:rFonts w:eastAsia="Calibri"/>
          <w:i/>
          <w:iCs/>
          <w:lang w:val="en-US"/>
        </w:rPr>
        <w:instrText>Chahmi</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Diana</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Casadevall</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Nicole</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Marchal</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Christian</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Misset</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JeanLouis</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Ray</w:instrText>
      </w:r>
      <w:r w:rsidR="00AE5092" w:rsidRPr="00AE5092">
        <w:rPr>
          <w:rFonts w:eastAsia="Calibri"/>
          <w:i/>
          <w:iCs/>
        </w:rPr>
        <w:instrText>-</w:instrText>
      </w:r>
      <w:r w:rsidR="00AE5092">
        <w:rPr>
          <w:rFonts w:eastAsia="Calibri"/>
          <w:i/>
          <w:iCs/>
          <w:lang w:val="en-US"/>
        </w:rPr>
        <w:instrText>Coquard</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Isabelle</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container</w:instrText>
      </w:r>
      <w:r w:rsidR="00AE5092" w:rsidRPr="00AE5092">
        <w:rPr>
          <w:rFonts w:eastAsia="Calibri"/>
          <w:i/>
          <w:iCs/>
        </w:rPr>
        <w:instrText>-</w:instrText>
      </w:r>
      <w:r w:rsidR="00AE5092">
        <w:rPr>
          <w:rFonts w:eastAsia="Calibri"/>
          <w:i/>
          <w:iCs/>
          <w:lang w:val="en-US"/>
        </w:rPr>
        <w:instrText>title</w:instrText>
      </w:r>
      <w:r w:rsidR="00AE5092" w:rsidRPr="00AE5092">
        <w:rPr>
          <w:rFonts w:eastAsia="Calibri"/>
          <w:i/>
          <w:iCs/>
        </w:rPr>
        <w:instrText>":"</w:instrText>
      </w:r>
      <w:r w:rsidR="00AE5092">
        <w:rPr>
          <w:rFonts w:eastAsia="Calibri"/>
          <w:i/>
          <w:iCs/>
          <w:lang w:val="en-US"/>
        </w:rPr>
        <w:instrText>PediatricBloodandCancer</w:instrText>
      </w:r>
      <w:r w:rsidR="00AE5092" w:rsidRPr="00AE5092">
        <w:rPr>
          <w:rFonts w:eastAsia="Calibri"/>
          <w:i/>
          <w:iCs/>
        </w:rPr>
        <w:instrText>","</w:instrText>
      </w:r>
      <w:r w:rsidR="00AE5092">
        <w:rPr>
          <w:rFonts w:eastAsia="Calibri"/>
          <w:i/>
          <w:iCs/>
          <w:lang w:val="en-US"/>
        </w:rPr>
        <w:instrText>id</w:instrText>
      </w:r>
      <w:r w:rsidR="00AE5092" w:rsidRPr="00AE5092">
        <w:rPr>
          <w:rFonts w:eastAsia="Calibri"/>
          <w:i/>
          <w:iCs/>
        </w:rPr>
        <w:instrText>":"</w:instrText>
      </w:r>
      <w:r w:rsidR="00AE5092">
        <w:rPr>
          <w:rFonts w:eastAsia="Calibri"/>
          <w:i/>
          <w:iCs/>
          <w:lang w:val="en-US"/>
        </w:rPr>
        <w:instrText>ITEM</w:instrText>
      </w:r>
      <w:r w:rsidR="00AE5092" w:rsidRPr="00AE5092">
        <w:rPr>
          <w:rFonts w:eastAsia="Calibri"/>
          <w:i/>
          <w:iCs/>
        </w:rPr>
        <w:instrText>-2","</w:instrText>
      </w:r>
      <w:r w:rsidR="00AE5092">
        <w:rPr>
          <w:rFonts w:eastAsia="Calibri"/>
          <w:i/>
          <w:iCs/>
          <w:lang w:val="en-US"/>
        </w:rPr>
        <w:instrText>issue</w:instrText>
      </w:r>
      <w:r w:rsidR="00AE5092" w:rsidRPr="00AE5092">
        <w:rPr>
          <w:rFonts w:eastAsia="Calibri"/>
          <w:i/>
          <w:iCs/>
        </w:rPr>
        <w:instrText>":"1","</w:instrText>
      </w:r>
      <w:r w:rsidR="00AE5092">
        <w:rPr>
          <w:rFonts w:eastAsia="Calibri"/>
          <w:i/>
          <w:iCs/>
          <w:lang w:val="en-US"/>
        </w:rPr>
        <w:instrText>issued</w:instrText>
      </w:r>
      <w:r w:rsidR="00AE5092" w:rsidRPr="00AE5092">
        <w:rPr>
          <w:rFonts w:eastAsia="Calibri"/>
          <w:i/>
          <w:iCs/>
        </w:rPr>
        <w:instrText>":{"</w:instrText>
      </w:r>
      <w:r w:rsidR="00AE5092">
        <w:rPr>
          <w:rFonts w:eastAsia="Calibri"/>
          <w:i/>
          <w:iCs/>
          <w:lang w:val="en-US"/>
        </w:rPr>
        <w:instrText>date</w:instrText>
      </w:r>
      <w:r w:rsidR="00AE5092" w:rsidRPr="00AE5092">
        <w:rPr>
          <w:rFonts w:eastAsia="Calibri"/>
          <w:i/>
          <w:iCs/>
        </w:rPr>
        <w:instrText>-</w:instrText>
      </w:r>
      <w:r w:rsidR="00AE5092">
        <w:rPr>
          <w:rFonts w:eastAsia="Calibri"/>
          <w:i/>
          <w:iCs/>
          <w:lang w:val="en-US"/>
        </w:rPr>
        <w:instrText>parts</w:instrText>
      </w:r>
      <w:r w:rsidR="00AE5092" w:rsidRPr="00AE5092">
        <w:rPr>
          <w:rFonts w:eastAsia="Calibri"/>
          <w:i/>
          <w:iCs/>
        </w:rPr>
        <w:instrText>":[["2009","7","15"]]},"</w:instrText>
      </w:r>
      <w:r w:rsidR="00AE5092">
        <w:rPr>
          <w:rFonts w:eastAsia="Calibri"/>
          <w:i/>
          <w:iCs/>
          <w:lang w:val="en-US"/>
        </w:rPr>
        <w:instrText>page</w:instrText>
      </w:r>
      <w:r w:rsidR="00AE5092" w:rsidRPr="00AE5092">
        <w:rPr>
          <w:rFonts w:eastAsia="Calibri"/>
          <w:i/>
          <w:iCs/>
        </w:rPr>
        <w:instrText>":"7-12","</w:instrText>
      </w:r>
      <w:r w:rsidR="00AE5092">
        <w:rPr>
          <w:rFonts w:eastAsia="Calibri"/>
          <w:i/>
          <w:iCs/>
          <w:lang w:val="en-US"/>
        </w:rPr>
        <w:instrText>publisher</w:instrText>
      </w:r>
      <w:r w:rsidR="00AE5092" w:rsidRPr="00AE5092">
        <w:rPr>
          <w:rFonts w:eastAsia="Calibri"/>
          <w:i/>
          <w:iCs/>
        </w:rPr>
        <w:instrText>":"</w:instrText>
      </w:r>
      <w:r w:rsidR="00AE5092">
        <w:rPr>
          <w:rFonts w:eastAsia="Calibri"/>
          <w:i/>
          <w:iCs/>
          <w:lang w:val="en-US"/>
        </w:rPr>
        <w:instrText>PediatrBloodCancer</w:instrText>
      </w:r>
      <w:r w:rsidR="00AE5092" w:rsidRPr="00AE5092">
        <w:rPr>
          <w:rFonts w:eastAsia="Calibri"/>
          <w:i/>
          <w:iCs/>
        </w:rPr>
        <w:instrText>","</w:instrText>
      </w:r>
      <w:r w:rsidR="00AE5092">
        <w:rPr>
          <w:rFonts w:eastAsia="Calibri"/>
          <w:i/>
          <w:iCs/>
          <w:lang w:val="en-US"/>
        </w:rPr>
        <w:instrText>title</w:instrText>
      </w:r>
      <w:r w:rsidR="00AE5092" w:rsidRPr="00AE5092">
        <w:rPr>
          <w:rFonts w:eastAsia="Calibri"/>
          <w:i/>
          <w:iCs/>
        </w:rPr>
        <w:instrText xml:space="preserve">":"2007 </w:instrText>
      </w:r>
      <w:r w:rsidR="00AE5092">
        <w:rPr>
          <w:rFonts w:eastAsia="Calibri"/>
          <w:i/>
          <w:iCs/>
          <w:lang w:val="en-US"/>
        </w:rPr>
        <w:instrText>Standards</w:instrText>
      </w:r>
      <w:r w:rsidR="00AE5092" w:rsidRPr="00AE5092">
        <w:rPr>
          <w:rFonts w:eastAsia="Calibri"/>
          <w:i/>
          <w:iCs/>
        </w:rPr>
        <w:instrText xml:space="preserve">, </w:instrText>
      </w:r>
      <w:r w:rsidR="00AE5092">
        <w:rPr>
          <w:rFonts w:eastAsia="Calibri"/>
          <w:i/>
          <w:iCs/>
          <w:lang w:val="en-US"/>
        </w:rPr>
        <w:instrText>Options</w:instrText>
      </w:r>
      <w:r w:rsidR="00AE5092" w:rsidRPr="00AE5092">
        <w:rPr>
          <w:rFonts w:eastAsia="Calibri"/>
          <w:i/>
          <w:iCs/>
        </w:rPr>
        <w:instrText xml:space="preserve">, </w:instrText>
      </w:r>
      <w:r w:rsidR="00AE5092">
        <w:rPr>
          <w:rFonts w:eastAsia="Calibri"/>
          <w:i/>
          <w:iCs/>
          <w:lang w:val="en-US"/>
        </w:rPr>
        <w:instrText>andRecommendations</w:instrText>
      </w:r>
      <w:r w:rsidR="00AE5092" w:rsidRPr="00AE5092">
        <w:rPr>
          <w:rFonts w:eastAsia="Calibri"/>
          <w:i/>
          <w:iCs/>
        </w:rPr>
        <w:instrText xml:space="preserve">: </w:instrText>
      </w:r>
      <w:r w:rsidR="00AE5092">
        <w:rPr>
          <w:rFonts w:eastAsia="Calibri"/>
          <w:i/>
          <w:iCs/>
          <w:lang w:val="en-US"/>
        </w:rPr>
        <w:instrText>Useoferythropoiesis</w:instrText>
      </w:r>
      <w:r w:rsidR="00AE5092" w:rsidRPr="00AE5092">
        <w:rPr>
          <w:rFonts w:eastAsia="Calibri"/>
          <w:i/>
          <w:iCs/>
        </w:rPr>
        <w:instrText xml:space="preserve">- </w:instrText>
      </w:r>
      <w:r w:rsidR="00AE5092">
        <w:rPr>
          <w:rFonts w:eastAsia="Calibri"/>
          <w:i/>
          <w:iCs/>
          <w:lang w:val="en-US"/>
        </w:rPr>
        <w:instrText>stimulatingagents</w:instrText>
      </w:r>
      <w:r w:rsidR="00AE5092" w:rsidRPr="00AE5092">
        <w:rPr>
          <w:rFonts w:eastAsia="Calibri"/>
          <w:i/>
          <w:iCs/>
        </w:rPr>
        <w:instrText xml:space="preserve"> (</w:instrText>
      </w:r>
      <w:r w:rsidR="00AE5092">
        <w:rPr>
          <w:rFonts w:eastAsia="Calibri"/>
          <w:i/>
          <w:iCs/>
          <w:lang w:val="en-US"/>
        </w:rPr>
        <w:instrText>ESA</w:instrText>
      </w:r>
      <w:r w:rsidR="00AE5092" w:rsidRPr="00AE5092">
        <w:rPr>
          <w:rFonts w:eastAsia="Calibri"/>
          <w:i/>
          <w:iCs/>
        </w:rPr>
        <w:instrText xml:space="preserve">: </w:instrText>
      </w:r>
      <w:r w:rsidR="00AE5092">
        <w:rPr>
          <w:rFonts w:eastAsia="Calibri"/>
          <w:i/>
          <w:iCs/>
          <w:lang w:val="en-US"/>
        </w:rPr>
        <w:instrText>Epoetinalfa</w:instrText>
      </w:r>
      <w:r w:rsidR="00AE5092" w:rsidRPr="00AE5092">
        <w:rPr>
          <w:rFonts w:eastAsia="Calibri"/>
          <w:i/>
          <w:iCs/>
        </w:rPr>
        <w:instrText xml:space="preserve">, </w:instrText>
      </w:r>
      <w:r w:rsidR="00AE5092">
        <w:rPr>
          <w:rFonts w:eastAsia="Calibri"/>
          <w:i/>
          <w:iCs/>
          <w:lang w:val="en-US"/>
        </w:rPr>
        <w:instrText>epoetinbeta</w:instrText>
      </w:r>
      <w:r w:rsidR="00AE5092" w:rsidRPr="00AE5092">
        <w:rPr>
          <w:rFonts w:eastAsia="Calibri"/>
          <w:i/>
          <w:iCs/>
        </w:rPr>
        <w:instrText xml:space="preserve">, </w:instrText>
      </w:r>
      <w:r w:rsidR="00AE5092">
        <w:rPr>
          <w:rFonts w:eastAsia="Calibri"/>
          <w:i/>
          <w:iCs/>
          <w:lang w:val="en-US"/>
        </w:rPr>
        <w:instrText>anddarbepoetin</w:instrText>
      </w:r>
      <w:r w:rsidR="00AE5092" w:rsidRPr="00AE5092">
        <w:rPr>
          <w:rFonts w:eastAsia="Calibri"/>
          <w:i/>
          <w:iCs/>
        </w:rPr>
        <w:instrText xml:space="preserve">) </w:instrText>
      </w:r>
      <w:r w:rsidR="00AE5092">
        <w:rPr>
          <w:rFonts w:eastAsia="Calibri"/>
          <w:i/>
          <w:iCs/>
          <w:lang w:val="en-US"/>
        </w:rPr>
        <w:instrText>forthemanagementofanemiainchildrenwithcancer</w:instrText>
      </w:r>
      <w:r w:rsidR="00AE5092" w:rsidRPr="00AE5092">
        <w:rPr>
          <w:rFonts w:eastAsia="Calibri"/>
          <w:i/>
          <w:iCs/>
        </w:rPr>
        <w:instrText>","</w:instrText>
      </w:r>
      <w:r w:rsidR="00AE5092">
        <w:rPr>
          <w:rFonts w:eastAsia="Calibri"/>
          <w:i/>
          <w:iCs/>
          <w:lang w:val="en-US"/>
        </w:rPr>
        <w:instrText>type</w:instrText>
      </w:r>
      <w:r w:rsidR="00AE5092" w:rsidRPr="00AE5092">
        <w:rPr>
          <w:rFonts w:eastAsia="Calibri"/>
          <w:i/>
          <w:iCs/>
        </w:rPr>
        <w:instrText>":"</w:instrText>
      </w:r>
      <w:r w:rsidR="00AE5092">
        <w:rPr>
          <w:rFonts w:eastAsia="Calibri"/>
          <w:i/>
          <w:iCs/>
          <w:lang w:val="en-US"/>
        </w:rPr>
        <w:instrText>article</w:instrText>
      </w:r>
      <w:r w:rsidR="00AE5092" w:rsidRPr="00AE5092">
        <w:rPr>
          <w:rFonts w:eastAsia="Calibri"/>
          <w:i/>
          <w:iCs/>
        </w:rPr>
        <w:instrText>","</w:instrText>
      </w:r>
      <w:r w:rsidR="00AE5092">
        <w:rPr>
          <w:rFonts w:eastAsia="Calibri"/>
          <w:i/>
          <w:iCs/>
          <w:lang w:val="en-US"/>
        </w:rPr>
        <w:instrText>volume</w:instrText>
      </w:r>
      <w:r w:rsidR="00AE5092" w:rsidRPr="00AE5092">
        <w:rPr>
          <w:rFonts w:eastAsia="Calibri"/>
          <w:i/>
          <w:iCs/>
        </w:rPr>
        <w:instrText>":"53"},"</w:instrText>
      </w:r>
      <w:r w:rsidR="00AE5092">
        <w:rPr>
          <w:rFonts w:eastAsia="Calibri"/>
          <w:i/>
          <w:iCs/>
          <w:lang w:val="en-US"/>
        </w:rPr>
        <w:instrText>uris</w:instrText>
      </w:r>
      <w:r w:rsidR="00AE5092" w:rsidRPr="00AE5092">
        <w:rPr>
          <w:rFonts w:eastAsia="Calibri"/>
          <w:i/>
          <w:iCs/>
        </w:rPr>
        <w:instrText>":["</w:instrText>
      </w:r>
      <w:r w:rsidR="00AE5092">
        <w:rPr>
          <w:rFonts w:eastAsia="Calibri"/>
          <w:i/>
          <w:iCs/>
          <w:lang w:val="en-US"/>
        </w:rPr>
        <w:instrText>http</w:instrText>
      </w:r>
      <w:r w:rsidR="00AE5092" w:rsidRPr="00AE5092">
        <w:rPr>
          <w:rFonts w:eastAsia="Calibri"/>
          <w:i/>
          <w:iCs/>
        </w:rPr>
        <w:instrText>://</w:instrText>
      </w:r>
      <w:r w:rsidR="00AE5092">
        <w:rPr>
          <w:rFonts w:eastAsia="Calibri"/>
          <w:i/>
          <w:iCs/>
          <w:lang w:val="en-US"/>
        </w:rPr>
        <w:instrText>www</w:instrText>
      </w:r>
      <w:r w:rsidR="00AE5092" w:rsidRPr="00AE5092">
        <w:rPr>
          <w:rFonts w:eastAsia="Calibri"/>
          <w:i/>
          <w:iCs/>
        </w:rPr>
        <w:instrText>.</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documents</w:instrText>
      </w:r>
      <w:r w:rsidR="00AE5092" w:rsidRPr="00AE5092">
        <w:rPr>
          <w:rFonts w:eastAsia="Calibri"/>
          <w:i/>
          <w:iCs/>
        </w:rPr>
        <w:instrText>/?</w:instrText>
      </w:r>
      <w:r w:rsidR="00AE5092">
        <w:rPr>
          <w:rFonts w:eastAsia="Calibri"/>
          <w:i/>
          <w:iCs/>
          <w:lang w:val="en-US"/>
        </w:rPr>
        <w:instrText>uuid</w:instrText>
      </w:r>
      <w:r w:rsidR="00AE5092" w:rsidRPr="00AE5092">
        <w:rPr>
          <w:rFonts w:eastAsia="Calibri"/>
          <w:i/>
          <w:iCs/>
        </w:rPr>
        <w:instrText>=3</w:instrText>
      </w:r>
      <w:r w:rsidR="00AE5092">
        <w:rPr>
          <w:rFonts w:eastAsia="Calibri"/>
          <w:i/>
          <w:iCs/>
          <w:lang w:val="en-US"/>
        </w:rPr>
        <w:instrText>c</w:instrText>
      </w:r>
      <w:r w:rsidR="00AE5092" w:rsidRPr="00AE5092">
        <w:rPr>
          <w:rFonts w:eastAsia="Calibri"/>
          <w:i/>
          <w:iCs/>
        </w:rPr>
        <w:instrText>4</w:instrText>
      </w:r>
      <w:r w:rsidR="00AE5092">
        <w:rPr>
          <w:rFonts w:eastAsia="Calibri"/>
          <w:i/>
          <w:iCs/>
          <w:lang w:val="en-US"/>
        </w:rPr>
        <w:instrText>c</w:instrText>
      </w:r>
      <w:r w:rsidR="00AE5092" w:rsidRPr="00AE5092">
        <w:rPr>
          <w:rFonts w:eastAsia="Calibri"/>
          <w:i/>
          <w:iCs/>
        </w:rPr>
        <w:instrText>5</w:instrText>
      </w:r>
      <w:r w:rsidR="00AE5092">
        <w:rPr>
          <w:rFonts w:eastAsia="Calibri"/>
          <w:i/>
          <w:iCs/>
          <w:lang w:val="en-US"/>
        </w:rPr>
        <w:instrText>c</w:instrText>
      </w:r>
      <w:r w:rsidR="00AE5092" w:rsidRPr="00AE5092">
        <w:rPr>
          <w:rFonts w:eastAsia="Calibri"/>
          <w:i/>
          <w:iCs/>
        </w:rPr>
        <w:instrText>85-3</w:instrText>
      </w:r>
      <w:r w:rsidR="00AE5092">
        <w:rPr>
          <w:rFonts w:eastAsia="Calibri"/>
          <w:i/>
          <w:iCs/>
          <w:lang w:val="en-US"/>
        </w:rPr>
        <w:instrText>a</w:instrText>
      </w:r>
      <w:r w:rsidR="00AE5092" w:rsidRPr="00AE5092">
        <w:rPr>
          <w:rFonts w:eastAsia="Calibri"/>
          <w:i/>
          <w:iCs/>
        </w:rPr>
        <w:instrText>04-3</w:instrText>
      </w:r>
      <w:r w:rsidR="00AE5092">
        <w:rPr>
          <w:rFonts w:eastAsia="Calibri"/>
          <w:i/>
          <w:iCs/>
          <w:lang w:val="en-US"/>
        </w:rPr>
        <w:instrText>c</w:instrText>
      </w:r>
      <w:r w:rsidR="00AE5092" w:rsidRPr="00AE5092">
        <w:rPr>
          <w:rFonts w:eastAsia="Calibri"/>
          <w:i/>
          <w:iCs/>
        </w:rPr>
        <w:instrText>34-9278-9357</w:instrText>
      </w:r>
      <w:r w:rsidR="00AE5092">
        <w:rPr>
          <w:rFonts w:eastAsia="Calibri"/>
          <w:i/>
          <w:iCs/>
          <w:lang w:val="en-US"/>
        </w:rPr>
        <w:instrText>ad</w:instrText>
      </w:r>
      <w:r w:rsidR="00AE5092" w:rsidRPr="00AE5092">
        <w:rPr>
          <w:rFonts w:eastAsia="Calibri"/>
          <w:i/>
          <w:iCs/>
        </w:rPr>
        <w:instrText>6867</w:instrText>
      </w:r>
      <w:r w:rsidR="00AE5092">
        <w:rPr>
          <w:rFonts w:eastAsia="Calibri"/>
          <w:i/>
          <w:iCs/>
          <w:lang w:val="en-US"/>
        </w:rPr>
        <w:instrText>c</w:instrText>
      </w:r>
      <w:r w:rsidR="00AE5092" w:rsidRPr="00AE5092">
        <w:rPr>
          <w:rFonts w:eastAsia="Calibri"/>
          <w:i/>
          <w:iCs/>
        </w:rPr>
        <w:instrText>5"]}],"</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formattedCitation</w:instrText>
      </w:r>
      <w:r w:rsidR="00AE5092" w:rsidRPr="00AE5092">
        <w:rPr>
          <w:rFonts w:eastAsia="Calibri"/>
          <w:i/>
          <w:iCs/>
        </w:rPr>
        <w:instrText>":"[20,49]","</w:instrText>
      </w:r>
      <w:r w:rsidR="00AE5092">
        <w:rPr>
          <w:rFonts w:eastAsia="Calibri"/>
          <w:i/>
          <w:iCs/>
          <w:lang w:val="en-US"/>
        </w:rPr>
        <w:instrText>plainTextFormattedCitation</w:instrText>
      </w:r>
      <w:r w:rsidR="00AE5092" w:rsidRPr="00AE5092">
        <w:rPr>
          <w:rFonts w:eastAsia="Calibri"/>
          <w:i/>
          <w:iCs/>
        </w:rPr>
        <w:instrText>":"[20,49]","</w:instrText>
      </w:r>
      <w:r w:rsidR="00AE5092">
        <w:rPr>
          <w:rFonts w:eastAsia="Calibri"/>
          <w:i/>
          <w:iCs/>
          <w:lang w:val="en-US"/>
        </w:rPr>
        <w:instrText>previouslyFormattedCitation</w:instrText>
      </w:r>
      <w:r w:rsidR="00AE5092" w:rsidRPr="00AE5092">
        <w:rPr>
          <w:rFonts w:eastAsia="Calibri"/>
          <w:i/>
          <w:iCs/>
        </w:rPr>
        <w:instrText>":"[20,49]"},"</w:instrText>
      </w:r>
      <w:r w:rsidR="00AE5092">
        <w:rPr>
          <w:rFonts w:eastAsia="Calibri"/>
          <w:i/>
          <w:iCs/>
          <w:lang w:val="en-US"/>
        </w:rPr>
        <w:instrText>properties</w:instrText>
      </w:r>
      <w:r w:rsidR="00AE5092" w:rsidRPr="00AE5092">
        <w:rPr>
          <w:rFonts w:eastAsia="Calibri"/>
          <w:i/>
          <w:iCs/>
        </w:rPr>
        <w:instrText>":{"</w:instrText>
      </w:r>
      <w:r w:rsidR="00AE5092">
        <w:rPr>
          <w:rFonts w:eastAsia="Calibri"/>
          <w:i/>
          <w:iCs/>
          <w:lang w:val="en-US"/>
        </w:rPr>
        <w:instrText>noteIndex</w:instrText>
      </w:r>
      <w:r w:rsidR="00AE5092" w:rsidRPr="00AE5092">
        <w:rPr>
          <w:rFonts w:eastAsia="Calibri"/>
          <w:i/>
          <w:iCs/>
        </w:rPr>
        <w:instrText>":0},"</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https</w:instrText>
      </w:r>
      <w:r w:rsidR="00AE5092" w:rsidRPr="00AE5092">
        <w:rPr>
          <w:rFonts w:eastAsia="Calibri"/>
          <w:i/>
          <w:iCs/>
        </w:rPr>
        <w:instrText>://</w:instrText>
      </w:r>
      <w:r w:rsidR="00AE5092">
        <w:rPr>
          <w:rFonts w:eastAsia="Calibri"/>
          <w:i/>
          <w:iCs/>
          <w:lang w:val="en-US"/>
        </w:rPr>
        <w:instrText>github</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style</w:instrText>
      </w:r>
      <w:r w:rsidR="00AE5092" w:rsidRPr="00AE5092">
        <w:rPr>
          <w:rFonts w:eastAsia="Calibri"/>
          <w:i/>
          <w:iCs/>
        </w:rPr>
        <w:instrText>-</w:instrText>
      </w:r>
      <w:r w:rsidR="00AE5092">
        <w:rPr>
          <w:rFonts w:eastAsia="Calibri"/>
          <w:i/>
          <w:iCs/>
          <w:lang w:val="en-US"/>
        </w:rPr>
        <w:instrText>language</w:instrText>
      </w:r>
      <w:r w:rsidR="00AE5092" w:rsidRPr="00AE5092">
        <w:rPr>
          <w:rFonts w:eastAsia="Calibri"/>
          <w:i/>
          <w:iCs/>
        </w:rPr>
        <w:instrText>/</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raw</w:instrText>
      </w:r>
      <w:r w:rsidR="00AE5092" w:rsidRPr="00AE5092">
        <w:rPr>
          <w:rFonts w:eastAsia="Calibri"/>
          <w:i/>
          <w:iCs/>
        </w:rPr>
        <w:instrText>/</w:instrText>
      </w:r>
      <w:r w:rsidR="00AE5092">
        <w:rPr>
          <w:rFonts w:eastAsia="Calibri"/>
          <w:i/>
          <w:iCs/>
          <w:lang w:val="en-US"/>
        </w:rPr>
        <w:instrText>master</w:instrText>
      </w:r>
      <w:r w:rsidR="00AE5092" w:rsidRPr="00AE5092">
        <w:rPr>
          <w:rFonts w:eastAsia="Calibri"/>
          <w:i/>
          <w:iCs/>
        </w:rPr>
        <w:instrText>/</w:instrText>
      </w:r>
      <w:r w:rsidR="00AE5092">
        <w:rPr>
          <w:rFonts w:eastAsia="Calibri"/>
          <w:i/>
          <w:iCs/>
          <w:lang w:val="en-US"/>
        </w:rPr>
        <w:instrText>csl</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json</w:instrText>
      </w:r>
      <w:r w:rsidR="00AE5092" w:rsidRPr="00AE5092">
        <w:rPr>
          <w:rFonts w:eastAsia="Calibri"/>
          <w:i/>
          <w:iCs/>
        </w:rPr>
        <w:instrText>"}</w:instrText>
      </w:r>
      <w:r w:rsidR="000145B4">
        <w:rPr>
          <w:rFonts w:eastAsia="Calibri"/>
          <w:i/>
          <w:iCs/>
          <w:lang w:val="en-US"/>
        </w:rPr>
        <w:fldChar w:fldCharType="separate"/>
      </w:r>
      <w:r w:rsidR="00EC6C6C" w:rsidRPr="00EC6C6C">
        <w:rPr>
          <w:rFonts w:eastAsia="Calibri"/>
          <w:iCs/>
          <w:noProof/>
        </w:rPr>
        <w:t>[20,49]</w:t>
      </w:r>
      <w:r w:rsidR="000145B4">
        <w:rPr>
          <w:rFonts w:eastAsia="Calibri"/>
          <w:i/>
          <w:iCs/>
          <w:lang w:val="en-US"/>
        </w:rPr>
        <w:fldChar w:fldCharType="end"/>
      </w:r>
      <w:r w:rsidRPr="002B1F47">
        <w:rPr>
          <w:rFonts w:eastAsia="Calibri"/>
          <w:i/>
          <w:iCs/>
        </w:rPr>
        <w:t>.</w:t>
      </w:r>
    </w:p>
    <w:p w:rsidR="00E96066" w:rsidRPr="002B1F47" w:rsidRDefault="00E96066" w:rsidP="002B1F47">
      <w:pPr>
        <w:pStyle w:val="afb"/>
        <w:divId w:val="1767193717"/>
        <w:rPr>
          <w:rFonts w:eastAsia="Calibri"/>
          <w:i/>
          <w:iCs/>
        </w:rPr>
      </w:pPr>
      <w:r w:rsidRPr="002B1F47">
        <w:rPr>
          <w:rFonts w:eastAsia="Calibri"/>
          <w:i/>
          <w:iCs/>
        </w:rPr>
        <w:t>Применение рчЭПО у детей с ЗН до настоящего времени носит экспериментальный характер и должно проводиться в рамках крупных контролируемых рандомизированных исследований.</w:t>
      </w:r>
    </w:p>
    <w:p w:rsidR="00E96066" w:rsidRPr="002B1F47" w:rsidRDefault="00E96066" w:rsidP="002B1F47">
      <w:pPr>
        <w:pStyle w:val="afb"/>
        <w:divId w:val="1767193717"/>
        <w:rPr>
          <w:rFonts w:eastAsia="Calibri"/>
          <w:i/>
          <w:iCs/>
        </w:rPr>
      </w:pPr>
      <w:r w:rsidRPr="002B1F47">
        <w:rPr>
          <w:rFonts w:eastAsia="Calibri"/>
          <w:i/>
          <w:iCs/>
        </w:rPr>
        <w:t>Однако, в отдельных случаях, при относительных противопоказаниях к трансфузиям эритроцитной массы (острая печеночная недостаточность, декомпенсация кровообращения, тяжелые расстройства мозгового кровообращения, тромбофилические/тромбоэмболические состояния), в случае редкой группы крови или аллоиммунизации,либо при отказе пациента/родителей от трансфузий по религиозным соображениям коррекция анемии может проводитьсяприменением рчЭПО с препаратами железа. Кроме того, такая терапия оправдана для пациентов на паллиативном лечении. Терапия ЭСП может проводиться</w:t>
      </w:r>
      <w:r w:rsidRPr="002B1F47">
        <w:rPr>
          <w:rFonts w:eastAsia="Calibri"/>
          <w:i/>
          <w:iCs/>
          <w:u w:val="single"/>
        </w:rPr>
        <w:t>только на фоне химиотерапии</w:t>
      </w:r>
      <w:r w:rsidRPr="002B1F47">
        <w:rPr>
          <w:rFonts w:eastAsia="Calibri"/>
          <w:i/>
          <w:iCs/>
        </w:rPr>
        <w:t> и только с информированного согласия родителей/законных опекунов или самого пациента в случае достижения им возраста 16 лет</w:t>
      </w:r>
      <w:r w:rsidR="000145B4">
        <w:rPr>
          <w:rFonts w:eastAsia="Calibri"/>
          <w:i/>
          <w:iCs/>
        </w:rPr>
        <w:fldChar w:fldCharType="begin" w:fldLock="1"/>
      </w:r>
      <w:r w:rsidR="00AE5092">
        <w:rPr>
          <w:rFonts w:eastAsia="Calibri"/>
          <w:i/>
          <w:iCs/>
        </w:rPr>
        <w:instrText>ADDIN CSL_CITATION {"citationItems":[{"id":"ITEM-1","itemData":{"DOI":"10.1002/pbc.21953","ISSN":"15455009","abstract":"The Standards, Options, and Recommendations (SOR) project undertaken by the French National Federation of Cancer Centers (FNCLCC) to develop and disseminate clinical practice guidelines in oncology has now been taken over by the French National Cancer Institute. In 2007, the SOR updated the information related to the use of erythropoiesis-stimulating agents (ESA) in anemic children with cancer. Updates were based on a review of the most reliable scientific data available, followed by critical appraisal by a multidisciplinary group of experts and validation by independent experts. The literature review identified four randomized trials likely to provide reliable new information on the use of ESA in children. This review confirmed four points: treatment increases hemoglobin levels and decreases the need for blood transfusions; no quality-of-life and no survival benefit has been demonstrated; treatment does not seem associated with significantly more side effects; impact on thromboembolic events and patient quality of life remains unclear. The main result of the study was the elaboration of a new standard of care unavailable at the time of the 2003 version. Systematic administration of ESA is not recommended for the prevention or treatment of anemia in pediatric cancer patients. However, treatment decision must be made on a case-by-case basis and, when treatment is considered, the intravenous route must be preferred. The full French document is available at www.sor-cancer.fr. © 2009 Wiley-Liss, Inc.","author":[{"dropping-particle":"","family":"Marec-Berard","given":"Perrine","non-dropping-particle":"","parse-names":false,"suffix":""},{"dropping-particle":"","family":"Chastagner","given":"Pascal","non-dropping-particle":"","parse-names":false,"suffix":""},{"dropping-particle":"","family":"Kassab-Chahmi","given":"Diana","non-dropping-particle":"","parse-names":false,"suffix":""},{"dropping-particle":"","family":"Casadevall","given":"Nicole","non-dropping-particle":"","parse-names":false,"suffix":""},{"dropping-particle":"","family":"Marchal","given":"Christian","non-dropping-particle":"","parse-names":false,"suffix":""},{"dropping-particle":"","family":"Misset","given":"Jean Louis","non-dropping-particle":"","parse-names":false,"suffix":""},{"dropping-particle":"","family":"Ray-Coquard","given":"Isabelle","non-dropping-particle":"","parse-names":false,"suffix":""}],"container-title":"Pediatric Blood and Cancer","id":"ITEM-1","issue":"1","issued":{"date-parts":[["2009","7","15"]]},"page":"7-12","publisher":"Pediatr Blood Cancer","title":"2007 Standards, Options, and Recommendations: Use of erythropoiesis- stimulating agents (ESA: Epoetin alfa, epoetin beta, and darbepoetin) for the management of anemia in children with cancer","type":"article","volume":"53"},"uris":["http://www.mendeley.com/documents/?uuid=3c4c5c85-3a04-3c34-9278-9357ad6867c5"]},{"id":"ITEM-2","itemData":{"DOI":"10.1002/pbc.22050","ISSN":"15455009","author":[{"dropping-particle":"","family":"Feusner","given":"James","non-dropping-particle":"","parse-names":false,"suffix":""}],"container-title":"Pediatric Blood and Cancer","id":"ITEM-2","issue":"3","issued":{"date-parts":[["2009","9"]]},"page":"308-309","publisher":"Pediatr Blood Cancer","title":"Guidelines for epo use in children with cancer","type":"article","volume":"53"},"uris":["http://www.mendeley.com/documents/?uuid=e9355bd6-75fc-388c-8d90-64ecaba36527"]}],"mendeley":{"formattedCitation":"[49,50]","plainTextFormattedCitation":"[49,50]","previouslyFormattedCitation":"[49,50]"},"properties":{"noteIndex":0},"schema":"https://github.com/citation-style-language/schema/raw/master/csl-citation.json"}</w:instrText>
      </w:r>
      <w:r w:rsidR="000145B4">
        <w:rPr>
          <w:rFonts w:eastAsia="Calibri"/>
          <w:i/>
          <w:iCs/>
        </w:rPr>
        <w:fldChar w:fldCharType="separate"/>
      </w:r>
      <w:r w:rsidR="00EC6C6C" w:rsidRPr="00EC6C6C">
        <w:rPr>
          <w:rFonts w:eastAsia="Calibri"/>
          <w:iCs/>
          <w:noProof/>
        </w:rPr>
        <w:t>[49,50]</w:t>
      </w:r>
      <w:r w:rsidR="000145B4">
        <w:rPr>
          <w:rFonts w:eastAsia="Calibri"/>
          <w:i/>
          <w:iCs/>
        </w:rPr>
        <w:fldChar w:fldCharType="end"/>
      </w:r>
      <w:r w:rsidRPr="002B1F47">
        <w:rPr>
          <w:rFonts w:eastAsia="Calibri"/>
          <w:i/>
          <w:iCs/>
        </w:rPr>
        <w:t>.</w:t>
      </w:r>
    </w:p>
    <w:p w:rsidR="00E96066" w:rsidRPr="002B1F47" w:rsidRDefault="00E96066" w:rsidP="002B1F47">
      <w:pPr>
        <w:pStyle w:val="afb"/>
        <w:divId w:val="1767193717"/>
        <w:rPr>
          <w:rFonts w:eastAsia="Calibri"/>
          <w:i/>
          <w:iCs/>
        </w:rPr>
      </w:pPr>
      <w:r w:rsidRPr="002B1F47">
        <w:rPr>
          <w:rFonts w:eastAsia="Calibri"/>
          <w:i/>
          <w:iCs/>
        </w:rPr>
        <w:t>Применение рчЭПО для профилактики анемии не проводится.</w:t>
      </w:r>
    </w:p>
    <w:p w:rsidR="00E96066" w:rsidRPr="002B1F47" w:rsidRDefault="00E96066" w:rsidP="002B1F47">
      <w:pPr>
        <w:pStyle w:val="afb"/>
        <w:divId w:val="1767193717"/>
        <w:rPr>
          <w:rFonts w:eastAsia="Calibri"/>
          <w:i/>
          <w:iCs/>
        </w:rPr>
      </w:pPr>
      <w:r w:rsidRPr="002B1F47">
        <w:rPr>
          <w:rFonts w:eastAsia="Calibri"/>
          <w:i/>
          <w:iCs/>
        </w:rPr>
        <w:t>Перед началом ЭПО терапии следует установить и устранить любые другие (кроме связанных с опухолью) причины развития анемии.</w:t>
      </w:r>
    </w:p>
    <w:p w:rsidR="00E96066" w:rsidRPr="002B1F47" w:rsidRDefault="00E96066" w:rsidP="002B1F47">
      <w:pPr>
        <w:pStyle w:val="afb"/>
        <w:divId w:val="1767193717"/>
        <w:rPr>
          <w:rFonts w:eastAsia="Calibri"/>
          <w:i/>
          <w:iCs/>
        </w:rPr>
      </w:pPr>
      <w:r w:rsidRPr="002B1F47">
        <w:rPr>
          <w:rFonts w:eastAsia="Calibri"/>
          <w:i/>
          <w:iCs/>
        </w:rPr>
        <w:t>РчЭПО терапию следует начинать при Hb &lt; 100 (110) г/л в зависимости от симптомов анемии.</w:t>
      </w:r>
    </w:p>
    <w:p w:rsidR="00D74995" w:rsidRDefault="00E96066" w:rsidP="002B1F47">
      <w:pPr>
        <w:pStyle w:val="afb"/>
        <w:divId w:val="1767193717"/>
        <w:rPr>
          <w:rFonts w:eastAsia="Calibri"/>
          <w:i/>
          <w:iCs/>
        </w:rPr>
      </w:pPr>
      <w:r w:rsidRPr="002B1F47">
        <w:rPr>
          <w:rFonts w:eastAsia="Calibri"/>
          <w:i/>
          <w:iCs/>
        </w:rPr>
        <w:lastRenderedPageBreak/>
        <w:t>При лечении АЗН не следует стремиться к значительному повышению концентрации гемоглобина (выше 110-120 г/л), даже несмотря на отсутствие данных о развитии тромбоэмболических осложнений у детей на фоне рчЭПО терапии. Наиболее важное значение при оценке эффективности проводимой</w:t>
      </w:r>
      <w:r w:rsidR="006F7AB7">
        <w:rPr>
          <w:rFonts w:eastAsia="Calibri"/>
          <w:i/>
          <w:iCs/>
        </w:rPr>
        <w:t xml:space="preserve"> рчЭПО</w:t>
      </w:r>
      <w:r w:rsidRPr="002B1F47">
        <w:rPr>
          <w:rFonts w:eastAsia="Calibri"/>
          <w:i/>
          <w:iCs/>
        </w:rPr>
        <w:t xml:space="preserve"> терапии следует уделять не достижению целевого уровня гемоглобина, а поддержанию удовлетворительного качества жизни пациента. </w:t>
      </w:r>
    </w:p>
    <w:p w:rsidR="00F31A8C" w:rsidRPr="002B1F47" w:rsidRDefault="00F31A8C" w:rsidP="00F31A8C">
      <w:pPr>
        <w:pStyle w:val="afb"/>
        <w:divId w:val="1767193717"/>
        <w:rPr>
          <w:rFonts w:eastAsia="Calibri"/>
          <w:i/>
          <w:iCs/>
        </w:rPr>
      </w:pPr>
      <w:r w:rsidRPr="002B1F47">
        <w:rPr>
          <w:rFonts w:eastAsia="Calibri"/>
          <w:i/>
          <w:iCs/>
        </w:rPr>
        <w:t>Если уровень Hb повышается чрезмерно быстро (более чем на 20 г/л в неделю) или если его концентрация ≥  120 г/л, следует прекратить введение препарата.</w:t>
      </w:r>
    </w:p>
    <w:p w:rsidR="00F31A8C" w:rsidRPr="002B1F47" w:rsidRDefault="00F31A8C" w:rsidP="00F31A8C">
      <w:pPr>
        <w:pStyle w:val="afb"/>
        <w:divId w:val="1767193717"/>
        <w:rPr>
          <w:rFonts w:eastAsia="Calibri"/>
          <w:i/>
          <w:iCs/>
        </w:rPr>
      </w:pPr>
      <w:r w:rsidRPr="002B1F47">
        <w:rPr>
          <w:rFonts w:eastAsia="Calibri"/>
          <w:i/>
          <w:iCs/>
        </w:rPr>
        <w:t>Введение препарата возобновляется при снижении уровня Hb ˂ 100 (110) г/л в зависимости от симптомов анемии.</w:t>
      </w:r>
    </w:p>
    <w:p w:rsidR="00F31A8C" w:rsidRPr="002B1F47" w:rsidRDefault="00F31A8C" w:rsidP="00F31A8C">
      <w:pPr>
        <w:pStyle w:val="afb"/>
        <w:divId w:val="1767193717"/>
        <w:rPr>
          <w:rFonts w:eastAsia="Calibri"/>
          <w:i/>
          <w:iCs/>
        </w:rPr>
      </w:pPr>
      <w:r w:rsidRPr="002B1F47">
        <w:rPr>
          <w:rFonts w:eastAsia="Calibri"/>
          <w:i/>
          <w:iCs/>
        </w:rPr>
        <w:t>Учитывая развитие функционального дефицита железа (ФДЖ) у всех пациентов, получающих терапию ЭСП, универсальным правилом при проведении терапии ЭСП является назначение препаратов железа. Детям назначаются пероральные</w:t>
      </w:r>
      <w:r w:rsidR="00AE5092">
        <w:rPr>
          <w:rFonts w:eastAsia="Calibri"/>
          <w:i/>
          <w:iCs/>
        </w:rPr>
        <w:t xml:space="preserve"> препараты двухвалентного железа (группа В03АА по АТХ классификации) или пероральные препараты трехвалентного железа (группа В03АВ по АТХ классификации)</w:t>
      </w:r>
      <w:r w:rsidRPr="002B1F47">
        <w:rPr>
          <w:rFonts w:eastAsia="Calibri"/>
          <w:i/>
          <w:iCs/>
        </w:rPr>
        <w:t>. </w:t>
      </w:r>
    </w:p>
    <w:p w:rsidR="00F31A8C" w:rsidRPr="00195C79" w:rsidRDefault="00F31A8C" w:rsidP="00F31A8C">
      <w:pPr>
        <w:pStyle w:val="afd"/>
        <w:numPr>
          <w:ilvl w:val="0"/>
          <w:numId w:val="25"/>
        </w:numPr>
        <w:divId w:val="1767193717"/>
      </w:pPr>
      <w:r w:rsidRPr="00EC6C6C">
        <w:rPr>
          <w:bCs/>
          <w:color w:val="000000" w:themeColor="text1"/>
        </w:rPr>
        <w:t xml:space="preserve">Взрослым пациентам </w:t>
      </w:r>
      <w:r w:rsidRPr="00195C79">
        <w:rPr>
          <w:b/>
        </w:rPr>
        <w:t>рекоменду</w:t>
      </w:r>
      <w:r>
        <w:rPr>
          <w:b/>
        </w:rPr>
        <w:t>е</w:t>
      </w:r>
      <w:r w:rsidRPr="00195C79">
        <w:rPr>
          <w:b/>
        </w:rPr>
        <w:t>тся</w:t>
      </w:r>
      <w:r>
        <w:rPr>
          <w:rFonts w:eastAsia="Calibri" w:cs="Times New Roman"/>
          <w:szCs w:val="24"/>
          <w:lang w:eastAsia="ru-RU"/>
        </w:rPr>
        <w:t xml:space="preserve">назначение ЭСП при наличии показаний </w:t>
      </w:r>
      <w:r w:rsidR="000145B4" w:rsidRPr="00195C79">
        <w:fldChar w:fldCharType="begin" w:fldLock="1"/>
      </w:r>
      <w:r w:rsidR="00AE5092">
        <w:instrText>ADDIN CSL_CITATION {"citationItems":[{"id":"ITEM-1","itemData":{"DOI":"10.1002/mpo.10185","ISSN":"00981532","abstract":"Background. The efficacy and safety of epoetin alfa in ameliorating cancer- or chemotherapy-related anemia and reducing red blood cell (RBC) transfusion requirements have been demonstrated in numerous trials in adult patients. However, limited information is available about recombinant human erythropoietin (rHuEPO, epoetin alfa) as a treatment option in pediatric cancer patients. Procedure. To gain more information about the efficacy and safety of epoetin alfa in the treatment of chemotherapy-induced anemia in children with solid tumors receiving either platinum- or nonplatinum-containing chemotherapy, an 8-week randomized trial was conducted. Epoetin alfa 150 IU/kg was given 3 times a week for 8 weeks to 17 patients; 17 control patients received standard of care. Results. Transfusions, administered if the hemoglobin (Hb) level dropped to below 6 g/dL, were necessary for only one patient in the epoetin alfa group, as compared with eight patients in the control group (change in Hb from 8.5-10.21 g/dL in the epoetin alfa group vs. 8.48-8.41 g/dL in the control group). Conclusions. The data from this study suggest that this dosing regimen of epoetin alfa is effective and safe in pediatric cancer patients with chemotherapy-related anemia. Further studies with epoetin alfa in more children with different chemotherapy regimens are needed. © 2002 Wiley-Liss, Inc.","author":[{"dropping-particle":"","family":"Büyükpamukçu","given":"Münevver","non-dropping-particle":"","parse-names":false,"suffix":""},{"dropping-particle":"","family":"Varan","given":"Ali","non-dropping-particle":"","parse-names":false,"suffix":""},{"dropping-particle":"","family":"Kutluk","given":"Tezer","non-dropping-particle":"","parse-names":false,"suffix":""},{"dropping-particle":"","family":"Akyüz","given":"Canan","non-dropping-particle":"","parse-names":false,"suffix":""}],"container-title":"Medical and Pediatric Oncology","id":"ITEM-1","issue":"4","issued":{"date-parts":[["2002","10","1"]]},"page":"455-458","publisher":"John Wiley &amp; Sons, Ltd","title":"Is epoetin alfa a treatment option for chemotherapy-related anemia in children?","type":"article-journal","volume":"39"},"uris":["http://www.mendeley.com/documents/?uuid=8af0a229-7388-3970-b275-6d7b896531f2"]},{"id":"ITEM-2","itemData":{"DOI":"10.1200/JCO.2004.01.002","ISSN":"0732183X","PMID":"15143081","abstract":"Purpose: To evaluate the efficacy of recombinant erythropoietin (EPO) and granulocyte colony-stimulating factor (G-CSF) in reducing blood transfusion requirements and stimulating hematopoiesis in children with high-risk neuroblastoma. Patients and Methods: Thirty-eight patients given six cycles of intensive induction chemotherapy for high-risk neuroblastoma were randomized to receive G-CSF (n = 20) or G-CSF + EPO (n = 18). Cytokines were given subcutaneously each day, starting 24 hours after each chemotherapy cycle and continuing until 48 hours before the start of the next cycle. The primary end point was the effect of EPO on total red cell transfusion requirements during induction therapy. Results: Patients who received G-CSF + EPO had a higher red cell transfusion requirement (median, 161.0 mL/kg) than did those who received G-CSF alone (median, 106.6 mL/kg; P = .005). In addition, among patients given transfusions for hemoglobin ≤ 8 g/dL, those in the G-CSF + EPO group received more red cell transfusions than did those given G-CSF alone (median per patient, 10 v 8, respectively; P = .044). The two treatment groups had similar cumulative durations of neutropenia, incidences of febrile neutropenia, platelet transfusion requirements, and numbers of platelet transfusions; they also received induction chemotherapy for similar durations and had similar probabilities of progression-free survival and overall survival. Conclusion: The addition of EPO to the G-CSF regimen provides no benefit for patients receiving intensive induction chemotherapy for high-risk neuroblastoma. © 2004 by American Society of Clinical Oncology.","author":[{"dropping-particle":"","family":"Wagner","given":"Lars M.","non-dropping-particle":"","parse-names":false,"suffix":""},{"dropping-particle":"","family":"Billups","given":"Catherine A.","non-dropping-particle":"","parse-names":false,"suffix":""},{"dropping-particle":"","family":"Furman","given":"Wayne L.","non-dropping-particle":"","parse-names":false,"suffix":""},{"dropping-particle":"","family":"Rao","given":"Bhaskar N.","non-dropping-particle":"","parse-names":false,"suffix":""},{"dropping-particle":"","family":"Santana","given":"Victor M.","non-dropping-particle":"","parse-names":false,"suffix":""}],"container-title":"Journal of Clinical Oncology","id":"ITEM-2","issue":"10","issued":{"date-parts":[["2004"]]},"page":"1886-1893","publisher":"J Clin Oncol","title":"Combined use of erythropoietin and granulocyte colony-stimulating factor does not decrease blood transfusion requirements during induction therapy for high-risk neuroblastoma: A randomized controlled trial","type":"article-journal","volume":"22"},"uris":["http://www.mendeley.com/documents/?uuid=784f5363-78a4-3501-af9d-b3a23a5e8358"]},{"id":"ITEM-3","itemData":{"DOI":"10.1158/1078-0432.CCR-05-2287","ISSN":"10780432","abstract":"Purpose: Erythropoietin (EPO) therapy is widely used for the prevention and treatment of anemia resulting from cancer chemotherapy. Native EPO regulates erythropoiesis, at least in part, by protecting erythroid progenitor cells from apoptotic cell death. The recent discovery of the EPO receptor (EPOR) on cancer cells raises the concern that EPO therapy might stimulate tumor growth and/or protect cancer cells from drug-induced apoptosis. Therefore, the capacity of EPO to interfere with the effects of conventional chemotherapeutic drugs on proliferation, apoptosis, and the induction of senescence was investigated in MCF-7 and MDA-MB231 breast tumor cells, which express the EPOR as well as in F-MEL erythroleukemia cells. Experimental Design: Breast cancer cells and F-MEL leukemic cells were cultured in the presence or absence of EPO and then exposed to antitumor drugs. Cell proliferation was assessed by a standard 3-(4,5-dimethylthiazol-2-yl)-2,5-diphenyltetrazolium bromide dye reduction assay 72 hours after drug exposure. Cytotoxicity was monitored by clonogenic survival. Apoptosis was evaluated either by the terminal deoxyribonucleotide transferase - mediated nick-end labeling assay or fluorescence-activated cell sorting analysis, and senescence was monitored by β-galactosidase staining. EPO signaling was assessed by monitoring the phosphorylation/activation of specific signaling proteins. Results: EPO failed to stimulate the proliferation of MCF-7 or MDA-MB231 breast tumor cells or F-MEL leukemic cells. EPO treatment also failed to interfere with the antiproliferative and/or cytotoxic effects of Adriamycin, Taxol, and tamoxifen in breast tumor cells (or of cytarabine and daunorubicin in F-MEL cells). EPO failed to prevent apoptosis induced by Taxol or senescence induced by Adriamycin in MCF-7 cells. EPO stimulated the activation of extracellular signal-regulated kinase, p38, and c-Jun-NH2-kinase in MCF-7 cells but did not activate Akt or signal transducers and activators of transcription 5 (STAT5). EPO failed to activate any of these signaling pathways in MDA-MB231 cells. Cytarabine and daunorubicin interfered with EPO signaling in F-MEL cells. Conclusions: These findings suggest that EPO is unlikely to directly counteract the effectiveness of cancer chemotherapeutic drugs. This may be a consequence of either ineffective signaling through the EPOR or drug-mediated suppression of EPO signaling. © 2006 American Association for Cancer Research.","author":[{"dropping-particle":"","family":"Gewirtz","given":"David A.","non-dropping-particle":"","parse-names":false,"suffix":""},{"dropping-particle":"","family":"Di","given":"Xu","non-dropping-particle":"","parse-names":false,"suffix":""},{"dropping-particle":"","family":"Walker","given":"Teneille D.","non-dropping-particle":"","parse-names":false,"suffix":""},{"dropping-particle":"","family":"Sawyer","given":"Stephen T.","non-dropping-particle":"","parse-names":false,"suffix":""}],"container-title":"Clinical Cancer Research","id":"ITEM-3","issue":"7 I","issued":{"date-parts":[["2006","4","1"]]},"page":"2232-2238","publisher":"Clin Cancer Res","title":"Erythropoietin fails to interfere with the antiproliferative and cytotoxic effects of antitumor drugs","type":"article-journal","volume":"12"},"uris":["http://www.mendeley.com/documents/?uuid=7ba946e4-dec5-32a3-bc8c-a865f90c7413"]}],"mendeley":{"formattedCitation":"[42,43,51]","plainTextFormattedCitation":"[42,43,51]","previouslyFormattedCitation":"[42,43,51]"},"properties":{"noteIndex":0},"schema":"https://github.com/citation-style-language/schema/raw/master/csl-citation.json"}</w:instrText>
      </w:r>
      <w:r w:rsidR="000145B4" w:rsidRPr="00195C79">
        <w:fldChar w:fldCharType="separate"/>
      </w:r>
      <w:r w:rsidR="00EC6C6C" w:rsidRPr="00EC6C6C">
        <w:rPr>
          <w:noProof/>
        </w:rPr>
        <w:t>[42,43,51]</w:t>
      </w:r>
      <w:r w:rsidR="000145B4" w:rsidRPr="00195C79">
        <w:fldChar w:fldCharType="end"/>
      </w:r>
      <w:r w:rsidRPr="00195C79">
        <w:t>.</w:t>
      </w:r>
    </w:p>
    <w:p w:rsidR="00F31A8C" w:rsidRPr="00B104EF" w:rsidRDefault="00F31A8C" w:rsidP="00F31A8C">
      <w:pPr>
        <w:pStyle w:val="aff1"/>
        <w:ind w:left="720"/>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p>
    <w:p w:rsidR="00265C34" w:rsidRPr="00EC6C6C" w:rsidRDefault="00F31A8C" w:rsidP="002B1F47">
      <w:pPr>
        <w:pStyle w:val="afb"/>
        <w:divId w:val="1767193717"/>
        <w:rPr>
          <w:rFonts w:eastAsia="Calibri"/>
          <w:i/>
          <w:iCs/>
          <w:color w:val="000000" w:themeColor="text1"/>
        </w:rPr>
      </w:pPr>
      <w:r w:rsidRPr="00642D96">
        <w:rPr>
          <w:rFonts w:eastAsia="Calibri"/>
          <w:b/>
        </w:rPr>
        <w:t>Комментарии</w:t>
      </w:r>
      <w:r w:rsidRPr="00EC6C6C">
        <w:rPr>
          <w:rFonts w:eastAsia="Calibri"/>
          <w:b/>
          <w:color w:val="000000" w:themeColor="text1"/>
        </w:rPr>
        <w:t>:</w:t>
      </w:r>
      <w:r w:rsidRPr="00EC6C6C">
        <w:rPr>
          <w:rFonts w:eastAsia="Calibri"/>
          <w:i/>
          <w:iCs/>
          <w:color w:val="000000" w:themeColor="text1"/>
        </w:rPr>
        <w:t> у</w:t>
      </w:r>
      <w:r w:rsidR="00EA6E3C" w:rsidRPr="00EC6C6C">
        <w:rPr>
          <w:rFonts w:eastAsia="Calibri"/>
          <w:i/>
          <w:iCs/>
          <w:color w:val="000000" w:themeColor="text1"/>
        </w:rPr>
        <w:t xml:space="preserve"> взрослых пациентов со ЗНО назначение препаратов эрит</w:t>
      </w:r>
      <w:r w:rsidR="002C26A7" w:rsidRPr="00EC6C6C">
        <w:rPr>
          <w:rFonts w:eastAsia="Calibri"/>
          <w:i/>
          <w:iCs/>
          <w:color w:val="000000" w:themeColor="text1"/>
        </w:rPr>
        <w:t>ропоэтинаимеет более широкий спектр как при солидных опухолях, так и при заболеваниях системы крови. В частности, при миелодиспластических синдромах, хронических миелопролиферативных заболеваниях (первичный миелофиброз) назначение препарато</w:t>
      </w:r>
      <w:r w:rsidR="00EC6C6C" w:rsidRPr="00EC6C6C">
        <w:rPr>
          <w:rFonts w:eastAsia="Calibri"/>
          <w:i/>
          <w:iCs/>
          <w:color w:val="000000" w:themeColor="text1"/>
        </w:rPr>
        <w:t>в</w:t>
      </w:r>
      <w:r w:rsidR="002C26A7" w:rsidRPr="00EC6C6C">
        <w:rPr>
          <w:rFonts w:eastAsia="Calibri"/>
          <w:i/>
          <w:iCs/>
          <w:color w:val="000000" w:themeColor="text1"/>
        </w:rPr>
        <w:t xml:space="preserve"> эритропоэтина при наличии анемии может использоваться в качестве первой линии терапии, что отражено в соответствующих клинических рекомендациях. </w:t>
      </w:r>
      <w:r w:rsidRPr="00EC6C6C">
        <w:rPr>
          <w:rFonts w:eastAsia="Calibri"/>
          <w:i/>
          <w:iCs/>
          <w:color w:val="000000" w:themeColor="text1"/>
          <w:shd w:val="clear" w:color="auto" w:fill="FFFFFF"/>
        </w:rPr>
        <w:t xml:space="preserve">Для взрослых онкологических пациентов Американское общество клинических онкологов (ASCO) и Американское общество гематологов (ASH), а также Национальная всеобщая онкологическая сеть (NCCN) основными целями терапии ЭСП считают устранение симптомов анемии и предотвращение трансфузий </w:t>
      </w:r>
      <w:r w:rsidR="000145B4" w:rsidRPr="00EC6C6C">
        <w:rPr>
          <w:rFonts w:eastAsia="Calibri"/>
          <w:i/>
          <w:iCs/>
          <w:color w:val="000000" w:themeColor="text1"/>
          <w:shd w:val="clear" w:color="auto" w:fill="FFFFFF"/>
        </w:rPr>
        <w:fldChar w:fldCharType="begin" w:fldLock="1"/>
      </w:r>
      <w:r w:rsidR="00AE5092">
        <w:rPr>
          <w:rFonts w:eastAsia="Calibri"/>
          <w:i/>
          <w:iCs/>
          <w:color w:val="000000" w:themeColor="text1"/>
          <w:shd w:val="clear" w:color="auto" w:fill="FFFFFF"/>
        </w:rPr>
        <w:instrText>ADDIN CSL_CITATION {"citationItems":[{"id":"ITEM-1","itemData":{"DOI":"10.1200/JCO.18.02142","ISSN":"15277755","PMID":"30969847","abstract":"PURPOSE To update the American Society of Clinical Oncology (ASCO)/American Society of Hematology (ASH) recommendations for use of erythropoiesis-stimulating agents (ESAs) in patients with cancer. METHODS PubMed and the Cochrane Library were searched for randomized controlled trials (RCTs) and meta-analyses of RCTs in patients with cancer published from January 31, 2010, through May 14, 2018. For biosimilar ESAs, the literature search was expanded to include meta-analyses and RCTs in patients with cancer or chronic kidney disease and cohort studies in patients with cancer due to limited RCT evidence in the cancer setting. ASCO and ASH convened an Expert Panel to review the evidence and revise previous recommendations as needed. RESULTS The primary literature review included 15 meta-analyses of RCTs and two RCTs. A growing body of evidence suggests that adding iron to treatment with an ESA may improve hematopoietic response and reduce the likelihood of RBC transfusion. The biosimilar literature review suggested that biosimilars of epoetin alfa have similar efficacy and safety to reference products, although evidence in cancer remains limited. RECOMMENDATIONS ESAs (including biosimilars) may be offered to patients with chemotherapy-associated anemia whose cancer treatment is not curative in intent and whose hemoglobin has declined to, 10 g/dL. RBC transfusion is also an option. With the exception of selected patients with myelodysplastic syndromes, ESAs should not be offered to most patients with nonchemotherapy-associated anemia. During ESA treatment, hemoglobin may be increased to the lowest concentration needed to avoid transfusions. Iron replacement may be used to improve hemoglobin response and reduce RBC transfusions for patients receiving ESA with or without iron deficiency. Additional information is available at www.asco.org/supportive-care-guidelines and www.hematology.org/guidelines.","author":[{"dropping-particle":"","family":"Bohlius","given":"Julia","non-dropping-particle":"","parse-names":false,"suffix":""},{"dropping-particle":"","family":"Bohlke","given":"Kari","non-dropping-particle":"","parse-names":false,"suffix":""},{"dropping-particle":"","family":"Castelli","given":"Roberto","non-dropping-particle":"","parse-names":false,"suffix":""},{"dropping-particle":"","family":"Djulbegovic","given":"Benjamin","non-dropping-particle":"","parse-names":false,"suffix":""},{"dropping-particle":"","family":"Lustberg","given":"Maryam B.","non-dropping-particle":"","parse-names":false,"suffix":""},{"dropping-particle":"","family":"Martino","given":"Massimo","non-dropping-particle":"","parse-names":false,"suffix":""},{"dropping-particle":"","family":"Mountzios","given":"Giannis","non-dropping-particle":"","parse-names":false,"suffix":""},{"dropping-particle":"","family":"Peswani","given":"Namrata","non-dropping-particle":"","parse-names":false,"suffix":""},{"dropping-particle":"","family":"Porter","given":"Laura","non-dropping-particle":"","parse-names":false,"suffix":""},{"dropping-particle":"","family":"Tanaka","given":"Tiffany N.","non-dropping-particle":"","parse-names":false,"suffix":""},{"dropping-particle":"","family":"Trifirò","given":"Gianluca","non-dropping-particle":"","parse-names":false,"suffix":""},{"dropping-particle":"","family":"Yang","given":"Hushan","non-dropping-particle":"","parse-names":false,"suffix":""},{"dropping-particle":"","family":"Lazo-Langner","given":"Alejandro","non-dropping-particle":"","parse-names":false,"suffix":""}],"container-title":"Journal of Clinical Oncology","id":"ITEM-1","issue":"15","issued":{"date-parts":[["2019","5","20"]]},"page":"1336-1351","publisher":"American Society of Clinical Oncology","title":"Management of cancer-associated anemia with erythropoiesis-stimulating agents: ASCO/ASH clinical practice guideline update","type":"article-journal","volume":"37"},"uris":["http://www.mendeley.com/documents/?uuid=20233e88-4138-3cc8-9519-e32bf5f53578"]},{"id":"ITEM-2","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-2","issued":{"date-parts":[["2020"]]},"page":"98","title":"Hematopoietic growth factors. NCCN Clinical Practice Guidelines in Oncology (NCCN Guidelines). Version 2.2020","type":"article"},"uris":["http://www.mendeley.com/documents/?uuid=84b99b47-6d93-496f-8233-0f4f2216ce91"]}],"mendeley":{"formattedCitation":"[22,52]","plainTextFormattedCitation":"[22,52]","previouslyFormattedCitation":"[22,52]"},"properties":{"noteIndex":0},"schema":"https://github.com/citation-style-language/schema/raw/master/csl-citation.json"}</w:instrText>
      </w:r>
      <w:r w:rsidR="000145B4" w:rsidRPr="00EC6C6C">
        <w:rPr>
          <w:rFonts w:eastAsia="Calibri"/>
          <w:i/>
          <w:iCs/>
          <w:color w:val="000000" w:themeColor="text1"/>
          <w:shd w:val="clear" w:color="auto" w:fill="FFFFFF"/>
        </w:rPr>
        <w:fldChar w:fldCharType="separate"/>
      </w:r>
      <w:r w:rsidR="00EC6C6C" w:rsidRPr="00EC6C6C">
        <w:rPr>
          <w:rFonts w:eastAsia="Calibri"/>
          <w:iCs/>
          <w:noProof/>
          <w:color w:val="000000" w:themeColor="text1"/>
          <w:shd w:val="clear" w:color="auto" w:fill="FFFFFF"/>
        </w:rPr>
        <w:t>[22,52]</w:t>
      </w:r>
      <w:r w:rsidR="000145B4" w:rsidRPr="00EC6C6C">
        <w:rPr>
          <w:rFonts w:eastAsia="Calibri"/>
          <w:i/>
          <w:iCs/>
          <w:color w:val="000000" w:themeColor="text1"/>
          <w:shd w:val="clear" w:color="auto" w:fill="FFFFFF"/>
        </w:rPr>
        <w:fldChar w:fldCharType="end"/>
      </w:r>
      <w:r w:rsidR="00265C34" w:rsidRPr="00EC6C6C">
        <w:rPr>
          <w:rFonts w:eastAsia="Calibri"/>
          <w:i/>
          <w:iCs/>
          <w:color w:val="000000" w:themeColor="text1"/>
        </w:rPr>
        <w:t>, несмотря на имевшиеся противоречия</w:t>
      </w:r>
      <w:r w:rsidRPr="00EC6C6C">
        <w:rPr>
          <w:rFonts w:eastAsia="Calibri"/>
          <w:i/>
          <w:iCs/>
          <w:color w:val="000000" w:themeColor="text1"/>
        </w:rPr>
        <w:t xml:space="preserve"> в вопросе влияния терапии ЭСП на выживаемость взрослых пациентов с ЗН. Результаты нескольких рандомизированных исследований показали более низкие показатели общей выживаемости среди взрослых пациентов со ЗН, получавших ЭСП, по сравнению с пациентами, получавшими плацебо.  Хотя большинство из этих исследований имели методологические проблемы, их результаты послужили поводом для </w:t>
      </w:r>
      <w:r w:rsidRPr="00EC6C6C">
        <w:rPr>
          <w:rFonts w:eastAsia="Calibri"/>
          <w:i/>
          <w:iCs/>
          <w:color w:val="000000" w:themeColor="text1"/>
        </w:rPr>
        <w:lastRenderedPageBreak/>
        <w:t xml:space="preserve">настороженного отношения к использованию ЭСП у онкологических пациентов </w:t>
      </w:r>
      <w:r w:rsidR="000145B4" w:rsidRPr="00EC6C6C">
        <w:rPr>
          <w:rFonts w:eastAsia="Calibri"/>
          <w:i/>
          <w:iCs/>
          <w:color w:val="000000" w:themeColor="text1"/>
        </w:rPr>
        <w:fldChar w:fldCharType="begin" w:fldLock="1"/>
      </w:r>
      <w:r w:rsidR="00AE5092">
        <w:rPr>
          <w:rFonts w:eastAsia="Calibri"/>
          <w:i/>
          <w:iCs/>
          <w:color w:val="000000" w:themeColor="text1"/>
        </w:rPr>
        <w:instrText>ADDIN CSL_CITATION {"citationItems":[{"id":"ITEM-1","itemData":{"DOI":"10.1001/jama.299.8.914","ISSN":"00987484","abstract":"Context: The erythropoiesis-stimulating agents (ESAs) erythropoietin and darbepoetin are licensed to treat chemotherapy-associated anemia in patients with nonmyeloid malignancies. Although systematic overviews of trials have identified venous thromboembolism (VTE) risks, none have identified mortality risks with ESAs. Objective: To evaluate VTE and mortality rates associated with ESA administration for the treatment of anemia among patients with cancer. Data Sources: A published overview from the Cochrane Collaboration (search dates: January 1, 1985-April 1, 2005) and MEDLINE and EMBASE databases (key words: clinical trial, erythropoietin, darbepoetin, and oncology), the public Web site of the US Food and Drug Administration and ESA manufacturers, and safety advisories (search dates: April 1, 2005-January 17, 2008). Study Selection: Phase 3 trials comparing ESAs with placebo or standard of care for the treatment of anemia among patients with cancer. Data Extraction: Mortality rates, VTE rates, and 95% confidence intervals (CIs) were extracted by 3 reviewers from 51 clinical trials with 13 611 patients that included survival information and 38 clinical trials with 8172 patients that included information on VTE. Data Synthesis: Patients with cancer who received ESAs had increased VTE risks (334 VTE events among 4610 patients treated with ESA vs 173 VTE events among 3562 control patients; 7.5% vs 4.9%; relative risk, 1.57; 95% CI, 1.31-1.87) and increased mortality risks (hazard ratio, 1.10; 95% CI, 1.01-1.20). Conclusions: Erythropoiesis-stimulating agent administration to patients with cancer is associated with increased risks of VTE and mortality. Our findings, in conjunction with basic science studies on erythropoietin and erythropoietin receptors in solid cancers, raise concern about the safety of ESA administration to patients with cancer. ©2008 American Medical Association. All rights reserved.","author":[{"dropping-particle":"","family":"Bennett","given":"Charles L.","non-dropping-particle":"","parse-names":false,"suffix":""},{"dropping-particle":"","family":"Silver","given":"Samuel M.","non-dropping-particle":"","parse-names":false,"suffix":""},{"dropping-particle":"","family":"Djulbegovic","given":"Benjamin","non-dropping-particle":"","parse-names":false,"suffix":""},{"dropping-particle":"","family":"Samaras","given":"Athena T.","non-dropping-particle":"","parse-names":false,"suffix":""},{"dropping-particle":"","family":"Blau","given":"C. Anthony","non-dropping-particle":"","parse-names":false,"suffix":""},{"dropping-particle":"","family":"Gleason","given":"Kara J.","non-dropping-particle":"","parse-names":false,"suffix":""},{"dropping-particle":"","family":"Barnato","given":"Sara E.","non-dropping-particle":"","parse-names":false,"suffix":""},{"dropping-particle":"","family":"Elverman","given":"Kathleen M.","non-dropping-particle":"","parse-names":false,"suffix":""},{"dropping-particle":"","family":"Courtney","given":"D. Mark","non-dropping-particle":"","parse-names":false,"suffix":""},{"dropping-particle":"","family":"McKoy","given":"June M.","non-dropping-particle":"","parse-names":false,"suffix":""},{"dropping-particle":"","family":"Edwards","given":"Beatrice J.","non-dropping-particle":"","parse-names":false,"suffix":""},{"dropping-particle":"","family":"Tigue","given":"Cara C.","non-dropping-particle":"","parse-names":false,"suffix":""},{"dropping-particle":"","family":"Raisch","given":"Dennis W.","non-dropping-particle":"","parse-names":false,"suffix":""},{"dropping-particle":"","family":"Yarnold","given":"Paul R.","non-dropping-particle":"","parse-names":false,"suffix":""},{"dropping-particle":"","family":"Dorr","given":"David A.","non-dropping-particle":"","parse-names":false,"suffix":""},{"dropping-particle":"","family":"Kuzel","given":"Timothy M.","non-dropping-particle":"","parse-names":false,"suffix":""},{"dropping-particle":"","family":"Tallman","given":"Martin S.","non-dropping-particle":"","parse-names":false,"suffix":""},{"dropping-particle":"","family":"Trifilio","given":"Steven M.","non-dropping-particle":"","parse-names":false,"suffix":""},{"dropping-particle":"","family":"West","given":"Dennis P.","non-dropping-particle":"","parse-names":false,"suffix":""},{"dropping-particle":"","family":"Lai","given":"Stephen Y.","non-dropping-particle":"","parse-names":false,"suffix":""},{"dropping-particle":"","family":"Henke","given":"Michael","non-dropping-particle":"","parse-names":false,"suffix":""}],"container-title":"JAMA - Journal of the American Medical Association","id":"ITEM-1","issue":"8","issued":{"date-parts":[["2008","2","27"]]},"page":"914-924","publisher":"JAMA","title":"Venous thromboembolism and mortality associated with recombinant erythropoietin and darbepoetin administration for the treatment of cancer-associated anemia","type":"article-journal","volume":"299"},"uris":["http://www.mendeley.com/documents/?uuid=8336c350-c62a-3f7a-941d-4c3ad3e9b103"]},{"id":"ITEM-2","itemData":{"DOI":"10.1158/1078-0432.CCR-10-2577","ISSN":"10780432","abstract":"Over the past few decades, understanding of the physiologic function of erythropoietin (EPO) has evolved significantly. EPO binds to erythropoietin receptors (EPOR), initiating signaling that stimulates growth, inhibits apoptosis, and induces the differentiation of erythroid progenitors to increase red blood cell mass. EPO has additionally been shown to exert tissue-protective effects on multiple tissues, suggesting a pleiotropic mechanism of action. Erythropoiesis-stimulating agents (ESA) are used clinically for treating cancer-related anemia [chemotherapy-induced anemia (CIA)]. Recent clinical trials have reported increased adverse events and/or reduced survival in ESA-treated cancer patients receiving chemotherapy, potentially related to EPO-induced cancer progression. Signaling pathways downstream of EPO/EPOR have been shown to influence numerous cellular functions in both normal and tumor cells, including proliferation, apoptosis, and drug resistance. Some studies have reported effects on proliferation, reduced chemotherapy efficacy, reduction of apoptosis, and resistance to selective therapies on cancer cell lines, whereas others have shown null effects. In addition, newer targeted cancer therapies that are directed toward specific signaling pathways may be antagonized by ESAs. This molecular interplay between anticancer agents and potential survival signals triggered by ESAs may have been underestimated and may contribute toward decreased survival seen in certain trials. As more targeted anticancer therapies become available, these types of interactions may mitigate therapeutic efficacy by allowing tumor cells to acquire drug resistance. Therefore, a more complete understanding of the complex pathways involved will allow for the rational use of ESAs for the safe treatment of CIA in oncology patients. ©2011 AACR.","author":[{"dropping-particle":"","family":"Hedley","given":"Benjamin D.","non-dropping-particle":"","parse-names":false,"suffix":""},{"dropping-particle":"","family":"Allan","given":"Alison L.","non-dropping-particle":"","parse-names":false,"suffix":""},{"dropping-particle":"","family":"Xenocostas","given":"Anargyros","non-dropping-particle":"","parse-names":false,"suffix":""}],"container-title":"Clinical Cancer Research","id":"ITEM-2","issue":"20","issued":{"date-parts":[["2011","10","15"]]},"page":"6373-6380","publisher":"American Association for Cancer Research","title":"The role of erythropoietin and erythropoiesis-stimulating agents in tumor progression","type":"article","volume":"17"},"uris":["http://www.mendeley.com/documents/?uuid=f95f271f-f683-435e-b979-4c498682e497"]}],"mendeley":{"formattedCitation":"[53,54]","plainTextFormattedCitation":"[53,54]","previouslyFormattedCitation":"[53,54]"},"properties":{"noteIndex":0},"schema":"https://github.com/citation-style-language/schema/raw/master/csl-citation.json"}</w:instrText>
      </w:r>
      <w:r w:rsidR="000145B4" w:rsidRPr="00EC6C6C">
        <w:rPr>
          <w:rFonts w:eastAsia="Calibri"/>
          <w:i/>
          <w:iCs/>
          <w:color w:val="000000" w:themeColor="text1"/>
        </w:rPr>
        <w:fldChar w:fldCharType="separate"/>
      </w:r>
      <w:r w:rsidR="00EC6C6C" w:rsidRPr="00EC6C6C">
        <w:rPr>
          <w:rFonts w:eastAsia="Calibri"/>
          <w:iCs/>
          <w:noProof/>
          <w:color w:val="000000" w:themeColor="text1"/>
        </w:rPr>
        <w:t>[53,54]</w:t>
      </w:r>
      <w:r w:rsidR="000145B4" w:rsidRPr="00EC6C6C">
        <w:rPr>
          <w:rFonts w:eastAsia="Calibri"/>
          <w:i/>
          <w:iCs/>
          <w:color w:val="000000" w:themeColor="text1"/>
        </w:rPr>
        <w:fldChar w:fldCharType="end"/>
      </w:r>
      <w:r w:rsidRPr="00EC6C6C">
        <w:rPr>
          <w:rFonts w:eastAsia="Calibri"/>
          <w:i/>
          <w:iCs/>
          <w:color w:val="000000" w:themeColor="text1"/>
        </w:rPr>
        <w:t xml:space="preserve">. Кроме того, ряд преклинических исследований свидетельствует о присутствии рецепторов к эритропоэтину (ЭПОр) на некоторых опухолевых клетках, посредством которых ЭСП потенциально могут влиять на процессы пролиферации и апоптоза экспрессирующих ЭПОр опухолевых клеток </w:t>
      </w:r>
      <w:r w:rsidR="000145B4" w:rsidRPr="00EC6C6C">
        <w:rPr>
          <w:rFonts w:eastAsia="Calibri"/>
          <w:i/>
          <w:iCs/>
          <w:color w:val="000000" w:themeColor="text1"/>
        </w:rPr>
        <w:fldChar w:fldCharType="begin" w:fldLock="1"/>
      </w:r>
      <w:r w:rsidR="00AE5092">
        <w:rPr>
          <w:rFonts w:eastAsia="Calibri"/>
          <w:i/>
          <w:iCs/>
          <w:color w:val="000000" w:themeColor="text1"/>
        </w:rPr>
        <w:instrText>ADDIN CSL_CITATION {"citationItems":[{"id":"ITEM-1","itemData":{"DOI":"10.1158/1078-0432.CCR-10-2577","ISSN":"10780432","abstract":"Over the past few decades, understanding of the physiologic function of erythropoietin (EPO) has evolved significantly. EPO binds to erythropoietin receptors (EPOR), initiating signaling that stimulates growth, inhibits apoptosis, and induces the differentiation of erythroid progenitors to increase red blood cell mass. EPO has additionally been shown to exert tissue-protective effects on multiple tissues, suggesting a pleiotropic mechanism of action. Erythropoiesis-stimulating agents (ESA) are used clinically for treating cancer-related anemia [chemotherapy-induced anemia (CIA)]. Recent clinical trials have reported increased adverse events and/or reduced survival in ESA-treated cancer patients receiving chemotherapy, potentially related to EPO-induced cancer progression. Signaling pathways downstream of EPO/EPOR have been shown to influence numerous cellular functions in both normal and tumor cells, including proliferation, apoptosis, and drug resistance. Some studies have reported effects on proliferation, reduced chemotherapy efficacy, reduction of apoptosis, and resistance to selective therapies on cancer cell lines, whereas others have shown null effects. In addition, newer targeted cancer therapies that are directed toward specific signaling pathways may be antagonized by ESAs. This molecular interplay between anticancer agents and potential survival signals triggered by ESAs may have been underestimated and may contribute toward decreased survival seen in certain trials. As more targeted anticancer therapies become available, these types of interactions may mitigate therapeutic efficacy by allowing tumor cells to acquire drug resistance. Therefore, a more complete understanding of the complex pathways involved will allow for the rational use of ESAs for the safe treatment of CIA in oncology patients. ©2011 AACR.","author":[{"dropping-particle":"","family":"Hedley","given":"Benjamin D.","non-dropping-particle":"","parse-names":false,"suffix":""},{"dropping-particle":"","family":"Allan","given":"Alison L.","non-dropping-particle":"","parse-names":false,"suffix":""},{"dropping-particle":"","family":"Xenocostas","given":"Anargyros","non-dropping-particle":"","parse-names":false,"suffix":""}],"container-title":"Clinical Cancer Research","id":"ITEM-1","issue":"20","issued":{"date-parts":[["2011","10","15"]]},"page":"6373-6380","publisher":"American Association for Cancer Research","title":"The role of erythropoietin and erythropoiesis-stimulating agents in tumor progression","type":"article","volume":"17"},"uris":["http://www.mendeley.com/documents/?uuid=f95f271f-f683-435e-b979-4c498682e497"]},{"id":"ITEM-2","itemData":{"DOI":"10.1158/1078-0432.CCR-06-2828","ISSN":"10780432","abstract":"Purpose: Erythropoietin (EPO) and EPO receptor (EPO-R) expression have been reported in solid tumors and are claimed to regulate tumor growth; however, no data have been published on this issue in B-cell malignancies or normal lymphoid cells. This report describes genomic/protein EPO-Rexpression and in vitro effects of recombinant human EPO (epoetin) in B-cell chronic lymphocytic leukemia (B-CLL), mantle-cell lymphoma (MCL), and multiple myeloma (MM). Experimental Design: Blood samples were obtained from patients with B-CLL, MCL, and healthy volunteers, and bone marrow was obtained from MM patients. EPO-R mRNA was detected by reverse transcription-PCR. EPO-R surface expression was investigated by flow cytometry using digoxigenin-labeled epoetin and polyclonal rabbit anti - EPO-R antibody for intracellular receptor. Tumor cell stimulation was determined in vitro using [3H]thymidine incorporation and CD69 expression after exposure to epoetin α or β or darbepoetin α. Results: EPO-R mRNA was detected in mononuclear cells from 32 of 41 (78%) B-CLL and 5 of 7 (71%)MCL patients, and 21 of 21 (100%)MM samples. Expression was also detected in highly purified T cells from six of eight B-CLL patients, four of four MM patients, and normal donor B and T cells. Surface EPO-R protein was not detected. Intracellular EPO-R staining with anti - EPO-R antibodies was unspecific. No tumor-stimulatory effect was observed with high epoetin concentrations. Conclusions: EPO-R gene is frequently expressed in lymphoid malignancies and normal B and T cells. However, there was no surface protein expression and no epoetin-induced in vitro stimulation of tumor B cells, indicating that epoetin therapy in vivo is likely to be safe in patients with lymphoid malignancies. © 2007 American Association for Cancer Research.","author":[{"dropping-particle":"","family":"Kokhaei","given":"Parviz","non-dropping-particle":"","parse-names":false,"suffix":""},{"dropping-particle":"","family":"Abdalla","given":"Amir Osman","non-dropping-particle":"","parse-names":false,"suffix":""},{"dropping-particle":"","family":"Hansson","given":"Lotta","non-dropping-particle":"","parse-names":false,"suffix":""},{"dropping-particle":"","family":"Mikaelsson","given":"Eva","non-dropping-particle":"","parse-names":false,"suffix":""},{"dropping-particle":"","family":"Kubbies","given":"Manfred","non-dropping-particle":"","parse-names":false,"suffix":""},{"dropping-particle":"","family":"Haselbeck","given":"Anton","non-dropping-particle":"","parse-names":false,"suffix":""},{"dropping-particle":"","family":"Jernberg-Wiklund","given":"Helena","non-dropping-particle":"","parse-names":false,"suffix":""},{"dropping-particle":"","family":"Mellstedt","given":"Håkan","non-dropping-particle":"","parse-names":false,"suffix":""},{"dropping-particle":"","family":"Österborg","given":"Anders","non-dropping-particle":"","parse-names":false,"suffix":""}],"container-title":"Clinical Cancer Research","id":"ITEM-2","issue":"12","issued":{"date-parts":[["2007","6","15"]]},"page":"3536-3544","publisher":"Clin Cancer Res","title":"Expression of erythropoietin receptor and in vitro functional effects of epoetins in B-cell malignancies","type":"article-journal","volume":"13"},"uris":["http://www.mendeley.com/documents/?uuid=03042859-a1da-3024-9c9c-f20c97a6cde4"]},{"id":"ITEM-3","itemData":{"DOI":"10.1046/j.1365-2141.2000.01828.x","ISSN":"00071048","PMID":"10651724","abstract":"Expression of erythropoietin (EPO) receptor (EPO-R) was analysed in leukaemia cells from 150 patients with acute myeloid leukaemia (AML) or acute lymphoblastic leukaemia (ALL). EPO-R was expressed in 81 (60%) out of 136 AML, and in vitro treatment with EPO led to proliferation of leukaemia cells in 13 (16%) out of 81 AML examined. EPO-R expression and in vitro response to EPO were observed in all subtypes of AML according to the French-American- British (FAB) classification. All eight patients with FAB-M6 expressed EPO-R, and one out of four showed an in vitro response to EPO. Although there was no significant correlation (r=0.2522) between the amount of EPO-R and the in vitro response to EPO, all of the AML patients who showed in vitro response expressed EPO-R. Stem cell factor significantly enhanced both EPO-R expression and in vitro response to EPO. Interleukin-3 tended to increase in vitro response to EPO. CD phenotypes, the amount of granulocyte colony- stimulating factor (G-CSF) receptors and the amount of TPO receptors had no significant relationship with the amount of EPO-R. Patients with both EPO-R expression and in vitro response to EPO had shorter duration of complete remission than those without EPO-R (P=0.0053). EPO-R was expressed in four (29%) out of 14 ALL, and none out of five ALL showed in vitro response to EPO.","author":[{"dropping-particle":"","family":"Takeshita","given":"Akihiro","non-dropping-particle":"","parse-names":false,"suffix":""},{"dropping-particle":"","family":"Shinjo","given":"Kaori","non-dropping-particle":"","parse-names":false,"suffix":""},{"dropping-particle":"","family":"Higuchi","given":"Masato","non-dropping-particle":"","parse-names":false,"suffix":""},{"dropping-particle":"","family":"Miyawaki","given":"Shuichi","non-dropping-particle":"","parse-names":false,"suffix":""},{"dropping-particle":"","family":"Takemoto","given":"Yoshinobu","non-dropping-particle":"","parse-names":false,"suffix":""},{"dropping-particle":"","family":"Kishimoto","given":"Yuji","non-dropping-particle":"","parse-names":false,"suffix":""},{"dropping-particle":"","family":"Saito","given":"Kenji","non-dropping-particle":"","parse-names":false,"suffix":""},{"dropping-particle":"","family":"Takuchi","given":"Hirokuni","non-dropping-particle":"","parse-names":false,"suffix":""},{"dropping-particle":"","family":"Kuriyama","given":"Kazutaka","non-dropping-particle":"","parse-names":false,"suffix":""},{"dropping-particle":"","family":"Kimura","given":"Yukihiko","non-dropping-particle":"","parse-names":false,"suffix":""},{"dropping-particle":"","family":"Asou","given":"Norio","non-dropping-particle":"","parse-names":false,"suffix":""},{"dropping-particle":"","family":"Takahashi","given":"Masatomo","non-dropping-particle":"","parse-names":false,"suffix":""},{"dropping-particle":"","family":"Hotta","given":"Tomomitu","non-dropping-particle":"","parse-names":false,"suffix":""},{"dropping-particle":"","family":"Kanamaru","given":"Akihisa","non-dropping-particle":"","parse-names":false,"suffix":""},{"dropping-particle":"","family":"Ueda","given":"Ryuzo","non-dropping-particle":"","parse-names":false,"suffix":""},{"dropping-particle":"","family":"Ohno","given":"Ryuzo","non-dropping-particle":"","parse-names":false,"suffix":""}],"container-title":"British Journal of Haematology","id":"ITEM-3","issue":"1","issued":{"date-parts":[["2000"]]},"page":"55-63","publisher":"Br J Haematol","title":"Quantitative expression of erythropoietin receptor (EPO-R) on acute leukaemia cells: Relationships between the amount of EPO-R and CD phenotypes, in vitro proliferative response, the amount of other cytokine receptors and clinical prognosis","type":"article-journal","volume":"108"},"uris":["http://www.mendeley.com/documents/?uuid=d7e3ecdd-c61b-30af-9e40-f6cdf485842a"]}],"mendeley":{"formattedCitation":"[54–56]","plainTextFormattedCitation":"[54–56]","previouslyFormattedCitation":"[54–56]"},"properties":{"noteIndex":0},"schema":"https://github.com/citation-style-language/schema/raw/master/csl-citation.json"}</w:instrText>
      </w:r>
      <w:r w:rsidR="000145B4" w:rsidRPr="00EC6C6C">
        <w:rPr>
          <w:rFonts w:eastAsia="Calibri"/>
          <w:i/>
          <w:iCs/>
          <w:color w:val="000000" w:themeColor="text1"/>
        </w:rPr>
        <w:fldChar w:fldCharType="separate"/>
      </w:r>
      <w:r w:rsidR="00EC6C6C" w:rsidRPr="00EC6C6C">
        <w:rPr>
          <w:rFonts w:eastAsia="Calibri"/>
          <w:iCs/>
          <w:noProof/>
          <w:color w:val="000000" w:themeColor="text1"/>
        </w:rPr>
        <w:t>[54–56]</w:t>
      </w:r>
      <w:r w:rsidR="000145B4" w:rsidRPr="00EC6C6C">
        <w:rPr>
          <w:rFonts w:eastAsia="Calibri"/>
          <w:i/>
          <w:iCs/>
          <w:color w:val="000000" w:themeColor="text1"/>
        </w:rPr>
        <w:fldChar w:fldCharType="end"/>
      </w:r>
      <w:r w:rsidRPr="00EC6C6C">
        <w:rPr>
          <w:rFonts w:eastAsia="Calibri"/>
          <w:i/>
          <w:iCs/>
          <w:color w:val="000000" w:themeColor="text1"/>
        </w:rPr>
        <w:t xml:space="preserve">. Большинство последних исследований свидетельствует, что экспрессия на злокачественных клетках ЭПОр не приводит к стимулирующему опухолевый рост эффекту и не защищает их от лекарственного апоптоза. Опубликованные за последние несколько лет результаты больших контролируемых исследований, оценивавших влияние терапии ЭСП на показатели выживаемости взрослых пациентов, не поддерживают гипотезу об ЭСП-индуцированной опухолевой прогрессии и/или уменьшении выживаемости </w:t>
      </w:r>
      <w:r w:rsidR="000145B4" w:rsidRPr="00EC6C6C">
        <w:rPr>
          <w:rFonts w:eastAsia="Calibri"/>
          <w:i/>
          <w:iCs/>
          <w:color w:val="000000" w:themeColor="text1"/>
        </w:rPr>
        <w:fldChar w:fldCharType="begin" w:fldLock="1"/>
      </w:r>
      <w:r w:rsidR="00AE5092">
        <w:rPr>
          <w:rFonts w:eastAsia="Calibri"/>
          <w:i/>
          <w:iCs/>
          <w:color w:val="000000" w:themeColor="text1"/>
        </w:rPr>
        <w:instrText>ADDIN CSL_CITATION {"citationItems":[{"id":"ITEM-1","itemData":{"DOI":"10.1158/1078-0432.CCR-05-2287","ISSN":"10780432","abstract":"Purpose: Erythropoietin (EPO) therapy is widely used for the prevention and treatment of anemia resulting from cancer chemotherapy. Native EPO regulates erythropoiesis, at least in part, by protecting erythroid progenitor cells from apoptotic cell death. The recent discovery of the EPO receptor (EPOR) on cancer cells raises the concern that EPO therapy might stimulate tumor growth and/or protect cancer cells from drug-induced apoptosis. Therefore, the capacity of EPO to interfere with the effects of conventional chemotherapeutic drugs on proliferation, apoptosis, and the induction of senescence was investigated in MCF-7 and MDA-MB231 breast tumor cells, which express the EPOR as well as in F-MEL erythroleukemia cells. Experimental Design: Breast cancer cells and F-MEL leukemic cells were cultured in the presence or absence of EPO and then exposed to antitumor drugs. Cell proliferation was assessed by a standard 3-(4,5-dimethylthiazol-2-yl)-2,5-diphenyltetrazolium bromide dye reduction assay 72 hours after drug exposure. Cytotoxicity was monitored by clonogenic survival. Apoptosis was evaluated either by the terminal deoxyribonucleotide transferase - mediated nick-end labeling assay or fluorescence-activated cell sorting analysis, and senescence was monitored by β-galactosidase staining. EPO signaling was assessed by monitoring the phosphorylation/activation of specific signaling proteins. Results: EPO failed to stimulate the proliferation of MCF-7 or MDA-MB231 breast tumor cells or F-MEL leukemic cells. EPO treatment also failed to interfere with the antiproliferative and/or cytotoxic effects of Adriamycin, Taxol, and tamoxifen in breast tumor cells (or of cytarabine and daunorubicin in F-MEL cells). EPO failed to prevent apoptosis induced by Taxol or senescence induced by Adriamycin in MCF-7 cells. EPO stimulated the activation of extracellular signal-regulated kinase, p38, and c-Jun-NH2-kinase in MCF-7 cells but did not activate Akt or signal transducers and activators of transcription 5 (STAT5). EPO failed to activate any of these signaling pathways in MDA-MB231 cells. Cytarabine and daunorubicin interfered with EPO signaling in F-MEL cells. Conclusions: These findings suggest that EPO is unlikely to directly counteract the effectiveness of cancer chemotherapeutic drugs. This may be a consequence of either ineffective signaling through the EPOR or drug-mediated suppression of EPO signaling. © 2006 American Association for Cancer Research.","author":[{"dropping-particle":"","family":"Gewirtz","given":"David A.","non-dropping-particle":"","parse-names":false,"suffix":""},{"dropping-particle":"","family":"Di","given":"Xu","non-dropping-particle":"","parse-names":false,"suffix":""},{"dropping-particle":"","family":"Walker","given":"Teneille D.","non-dropping-particle":"","parse-names":false,"suffix":""},{"dropping-particle":"","family":"Sawyer","given":"Stephen T.","non-dropping-particle":"","parse-names":false,"suffix":""}],"container-title":"Clinical Cancer Research","id":"ITEM-1","issue":"7 I","issued":{"date-parts":[["2006","4","1"]]},"page":"2232-2238","publisher":"Clin Cancer Res","title":"Erythropoietin fails to interfere with the antiproliferative and cytotoxic effects of antitumor drugs","type":"article-journal","volume":"12"},"uris":["http://www.mendeley.com/documents/?uuid=7ba946e4-dec5-32a3-bc8c-a865f90c7413"]}],"mendeley":{"formattedCitation":"[51]","plainTextFormattedCitation":"[51]","previouslyFormattedCitation":"[51]"},"properties":{"noteIndex":0},"schema":"https://github.com/citation-style-language/schema/raw/master/csl-citation.json"}</w:instrText>
      </w:r>
      <w:r w:rsidR="000145B4" w:rsidRPr="00EC6C6C">
        <w:rPr>
          <w:rFonts w:eastAsia="Calibri"/>
          <w:i/>
          <w:iCs/>
          <w:color w:val="000000" w:themeColor="text1"/>
        </w:rPr>
        <w:fldChar w:fldCharType="separate"/>
      </w:r>
      <w:r w:rsidR="00EC6C6C" w:rsidRPr="00EC6C6C">
        <w:rPr>
          <w:rFonts w:eastAsia="Calibri"/>
          <w:iCs/>
          <w:noProof/>
          <w:color w:val="000000" w:themeColor="text1"/>
        </w:rPr>
        <w:t>[51]</w:t>
      </w:r>
      <w:r w:rsidR="000145B4" w:rsidRPr="00EC6C6C">
        <w:rPr>
          <w:rFonts w:eastAsia="Calibri"/>
          <w:i/>
          <w:iCs/>
          <w:color w:val="000000" w:themeColor="text1"/>
        </w:rPr>
        <w:fldChar w:fldCharType="end"/>
      </w:r>
      <w:r w:rsidRPr="00EC6C6C">
        <w:rPr>
          <w:rFonts w:eastAsia="Calibri"/>
          <w:i/>
          <w:iCs/>
          <w:color w:val="000000" w:themeColor="text1"/>
        </w:rPr>
        <w:t xml:space="preserve">. </w:t>
      </w:r>
    </w:p>
    <w:p w:rsidR="00265C34" w:rsidRPr="00EC6C6C" w:rsidRDefault="00265C34" w:rsidP="002B1F47">
      <w:pPr>
        <w:pStyle w:val="afb"/>
        <w:divId w:val="1767193717"/>
        <w:rPr>
          <w:rFonts w:eastAsia="Calibri"/>
          <w:i/>
          <w:iCs/>
          <w:color w:val="000000" w:themeColor="text1"/>
        </w:rPr>
      </w:pPr>
      <w:r w:rsidRPr="00EC6C6C">
        <w:rPr>
          <w:rFonts w:eastAsia="Calibri"/>
          <w:i/>
          <w:iCs/>
          <w:color w:val="000000" w:themeColor="text1"/>
        </w:rPr>
        <w:t>ЭСП также может применяться при относительных противопоказаниях к трансфузиям эритроцитной массы (острая печеночная недостаточность, декомпенсация кровообращения, тяжелые расстройства мозгового кровообращения, тромбофилические/тромбоэмболические состояния), в случае редкой группы крови или аллоиммунизации, либо при отказе пациента от трансфузий по религиозным соображениям коррекция анемии может проводиться применением рчЭПО с препаратами железа</w:t>
      </w:r>
      <w:r w:rsidR="000145B4">
        <w:rPr>
          <w:rFonts w:eastAsia="Calibri"/>
          <w:i/>
          <w:iCs/>
          <w:color w:val="000000" w:themeColor="text1"/>
        </w:rPr>
        <w:fldChar w:fldCharType="begin" w:fldLock="1"/>
      </w:r>
      <w:r w:rsidR="00AE5092">
        <w:rPr>
          <w:rFonts w:eastAsia="Calibri"/>
          <w:i/>
          <w:iCs/>
          <w:color w:val="000000" w:themeColor="text1"/>
        </w:rPr>
        <w:instrText>ADDIN CSL_CITATION {"citationItems":[{"id":"ITEM-1","itemData":{"DOI":"10.1111/j.1778-428X.2009.01117.x","ISSN":"12959022","abstract":"Anemia, which is a common complication of chronic kidney disease (CKD), may significantly impair quality of life, increase cardiovascular risk and reduce long-term survival if left untreated. Today, erythropoiesis-stimulating agents (ESAs) are the main tool for anemia correction; they can be differentiated on the basis of mean serum half life on short- and long-acting molecules, the latter requiring longer administration intervals. According to international guidelines, the target hemoglobin to be obtained by treatment is between 11 and 12 g/dL. In general, the intravenous route is more convenient for hemodialysis patients, whereas the subcutaneous one is preferable in all other CKD patients. ESA dose requirements are rarely predictable in the individual patient and thus need to be titrated according to hemoglobin increases. In order to achieve ESA effectiveness, patients often need iron supplementation, either orally or intravenously. The intravenous route is the most widely used, especially in hemodialysis patients. © 2009 The Authors. Journal compilation © 2009 LMS Group Ltd.","author":[{"dropping-particle":"","family":"VECCHIO","given":"LUCIA","non-dropping-particle":"DEL","parse-names":false,"suffix":""},{"dropping-particle":"","family":"LOCATELLI","given":"FRANCESCO","non-dropping-particle":"","parse-names":false,"suffix":""}],"container-title":"Transfusion Alternatives in Transfusion Medicine","id":"ITEM-1","issue":"1","issued":{"date-parts":[["2010","3","1"]]},"page":"20-29","publisher":"John Wiley &amp; Sons, Ltd","title":"Erythropoietin and iron therapy in patients with renal failure","type":"article-journal","volume":"11"},"uris":["http://www.mendeley.com/documents/?uuid=36861f2c-feb6-3cde-b9bb-69a8308dd205"]},{"id":"ITEM-2","itemData":{"author":[{"dropping-particle":"","family":"(UK)","given":"National Clinical Guideline Centre","non-dropping-particle":"","parse-names":false,"suffix":""}],"id":"ITEM-2","issued":{"date-parts":[["2015"]]},"publisher":"National Institute for Health and Care Excellence (UK)","title":"Alternatives to blood transfusion for patients having surgery: Oral iron, IV iron and erythropoietin","type":"article-journal"},"uris":["http://www.mendeley.com/documents/?uuid=802dc5e0-9a43-3d07-b2ed-0d92c08f5492"]}],"mendeley":{"formattedCitation":"[57,58]","plainTextFormattedCitation":"[57,58]","previouslyFormattedCitation":"[57]"},"properties":{"noteIndex":0},"schema":"https://github.com/citation-style-language/schema/raw/master/csl-citation.json"}</w:instrText>
      </w:r>
      <w:r w:rsidR="000145B4">
        <w:rPr>
          <w:rFonts w:eastAsia="Calibri"/>
          <w:i/>
          <w:iCs/>
          <w:color w:val="000000" w:themeColor="text1"/>
        </w:rPr>
        <w:fldChar w:fldCharType="separate"/>
      </w:r>
      <w:r w:rsidR="00AE5092" w:rsidRPr="00AE5092">
        <w:rPr>
          <w:rFonts w:eastAsia="Calibri"/>
          <w:iCs/>
          <w:noProof/>
          <w:color w:val="000000" w:themeColor="text1"/>
        </w:rPr>
        <w:t>[57,58]</w:t>
      </w:r>
      <w:r w:rsidR="000145B4">
        <w:rPr>
          <w:rFonts w:eastAsia="Calibri"/>
          <w:i/>
          <w:iCs/>
          <w:color w:val="000000" w:themeColor="text1"/>
        </w:rPr>
        <w:fldChar w:fldCharType="end"/>
      </w:r>
      <w:r w:rsidRPr="00EC6C6C">
        <w:rPr>
          <w:rFonts w:eastAsia="Calibri"/>
          <w:i/>
          <w:iCs/>
          <w:color w:val="000000" w:themeColor="text1"/>
        </w:rPr>
        <w:t>. Кроме того, такая терапия оправдана для пациентов на паллиативном лечении.</w:t>
      </w:r>
    </w:p>
    <w:p w:rsidR="00265C34" w:rsidRPr="00EC6C6C" w:rsidRDefault="002C26A7" w:rsidP="00265C34">
      <w:pPr>
        <w:pStyle w:val="afb"/>
        <w:divId w:val="1767193717"/>
        <w:rPr>
          <w:rFonts w:eastAsia="Calibri"/>
          <w:i/>
          <w:iCs/>
          <w:color w:val="000000" w:themeColor="text1"/>
        </w:rPr>
      </w:pPr>
      <w:r w:rsidRPr="00EC6C6C">
        <w:rPr>
          <w:rFonts w:eastAsia="Calibri"/>
          <w:i/>
          <w:iCs/>
          <w:color w:val="000000" w:themeColor="text1"/>
        </w:rPr>
        <w:t xml:space="preserve">Наиболее эффективно назначение препаратов ЭПО у взрослых при уровне эндогенного эритропоэтина ниже 500 </w:t>
      </w:r>
      <w:r w:rsidR="00D74995" w:rsidRPr="00EC6C6C">
        <w:rPr>
          <w:rFonts w:eastAsia="Calibri"/>
          <w:i/>
          <w:iCs/>
          <w:color w:val="000000" w:themeColor="text1"/>
        </w:rPr>
        <w:t>МЕ/мл</w:t>
      </w:r>
      <w:r w:rsidRPr="00EC6C6C">
        <w:rPr>
          <w:rFonts w:eastAsia="Calibri"/>
          <w:i/>
          <w:iCs/>
          <w:color w:val="000000" w:themeColor="text1"/>
        </w:rPr>
        <w:t xml:space="preserve">.  </w:t>
      </w:r>
      <w:r w:rsidR="00265C34" w:rsidRPr="00EC6C6C">
        <w:rPr>
          <w:rFonts w:eastAsia="Calibri"/>
          <w:i/>
          <w:iCs/>
          <w:color w:val="000000" w:themeColor="text1"/>
        </w:rPr>
        <w:t xml:space="preserve">Перед началом ЭПО терапии следует установить и устранить любые другие (кроме связанных с опухолью) причины развития анемии. РчЭПО терапию следует начинать при Hb &lt; 100 (110) г/л в зависимости от симптомов анемии. </w:t>
      </w:r>
    </w:p>
    <w:p w:rsidR="00E96066" w:rsidRPr="00EC6C6C" w:rsidRDefault="00E96066" w:rsidP="002B1F47">
      <w:pPr>
        <w:pStyle w:val="afb"/>
        <w:divId w:val="1767193717"/>
        <w:rPr>
          <w:rFonts w:eastAsia="Calibri"/>
          <w:i/>
          <w:iCs/>
          <w:color w:val="000000" w:themeColor="text1"/>
        </w:rPr>
      </w:pPr>
      <w:r w:rsidRPr="00EC6C6C">
        <w:rPr>
          <w:rFonts w:eastAsia="Calibri"/>
          <w:i/>
          <w:iCs/>
          <w:color w:val="000000" w:themeColor="text1"/>
        </w:rPr>
        <w:t>Если уровень Hb повышается чрезмерно быстро (более чем на 20 г/л в неделю) или если его концентрация ≥  120 г/л, следует прекратить введение препарата.</w:t>
      </w:r>
    </w:p>
    <w:p w:rsidR="00FB3A10" w:rsidRPr="00EC6C6C" w:rsidRDefault="00E96066" w:rsidP="00FB3A10">
      <w:pPr>
        <w:pStyle w:val="afb"/>
        <w:divId w:val="1767193717"/>
        <w:rPr>
          <w:rFonts w:eastAsia="Calibri"/>
          <w:i/>
          <w:iCs/>
          <w:color w:val="000000" w:themeColor="text1"/>
        </w:rPr>
      </w:pPr>
      <w:r w:rsidRPr="00EC6C6C">
        <w:rPr>
          <w:rFonts w:eastAsia="Calibri"/>
          <w:i/>
          <w:iCs/>
          <w:color w:val="000000" w:themeColor="text1"/>
        </w:rPr>
        <w:t>Введение препарата возобновляется при снижении уровня Hb ˂ 100 (110) г/л в зависимости от симптомов анемии.</w:t>
      </w:r>
      <w:r w:rsidR="00FB3A10" w:rsidRPr="00EC6C6C">
        <w:rPr>
          <w:rFonts w:eastAsia="Calibri"/>
          <w:i/>
          <w:iCs/>
          <w:color w:val="000000" w:themeColor="text1"/>
        </w:rPr>
        <w:t xml:space="preserve"> Если доза 900 МЕ/кг не дает эффекта, дальнейшая терапия рчЭПО нецелесообразна.</w:t>
      </w:r>
    </w:p>
    <w:p w:rsidR="00265C34" w:rsidRPr="00EC6C6C" w:rsidRDefault="00265C34" w:rsidP="00265C34">
      <w:pPr>
        <w:pStyle w:val="afb"/>
        <w:divId w:val="1767193717"/>
        <w:rPr>
          <w:rFonts w:eastAsia="Calibri"/>
          <w:i/>
          <w:iCs/>
          <w:color w:val="000000" w:themeColor="text1"/>
        </w:rPr>
      </w:pPr>
      <w:r w:rsidRPr="00EC6C6C">
        <w:rPr>
          <w:rFonts w:eastAsia="Calibri"/>
          <w:i/>
          <w:iCs/>
          <w:color w:val="000000" w:themeColor="text1"/>
        </w:rPr>
        <w:t>Учитывая развитие функционального дефицита железа (ФДЖ) у пациентов, получающих терапию ЭСП, при проведении терапии ЭСП могут назначаться препараты железа в стандартных дозировках. </w:t>
      </w:r>
    </w:p>
    <w:p w:rsidR="00265C34" w:rsidRPr="00EC6C6C" w:rsidRDefault="00265C34" w:rsidP="00265C34">
      <w:pPr>
        <w:pStyle w:val="afb"/>
        <w:divId w:val="1767193717"/>
        <w:rPr>
          <w:rFonts w:eastAsia="Calibri"/>
          <w:i/>
          <w:iCs/>
          <w:color w:val="000000" w:themeColor="text1"/>
        </w:rPr>
      </w:pPr>
      <w:r w:rsidRPr="00EC6C6C">
        <w:rPr>
          <w:rFonts w:eastAsia="Calibri"/>
          <w:i/>
          <w:iCs/>
          <w:color w:val="000000" w:themeColor="text1"/>
        </w:rPr>
        <w:t>Применение рчЭПО для профилактики анемии не проводится.</w:t>
      </w:r>
    </w:p>
    <w:p w:rsidR="00E01BD2" w:rsidRPr="00195C79" w:rsidRDefault="00E01BD2" w:rsidP="00E01BD2">
      <w:pPr>
        <w:pStyle w:val="afd"/>
        <w:numPr>
          <w:ilvl w:val="0"/>
          <w:numId w:val="25"/>
        </w:numPr>
        <w:divId w:val="1767193717"/>
      </w:pPr>
      <w:r w:rsidRPr="00CA2C5C">
        <w:rPr>
          <w:rFonts w:cs="Times New Roman"/>
          <w:bCs/>
        </w:rPr>
        <w:lastRenderedPageBreak/>
        <w:t>П</w:t>
      </w:r>
      <w:r w:rsidRPr="00845937">
        <w:rPr>
          <w:bCs/>
        </w:rPr>
        <w:t>ациентам</w:t>
      </w:r>
      <w:r>
        <w:rPr>
          <w:bCs/>
        </w:rPr>
        <w:t xml:space="preserve"> с доказанным </w:t>
      </w:r>
      <w:r w:rsidR="00C3055D">
        <w:rPr>
          <w:bCs/>
        </w:rPr>
        <w:t xml:space="preserve">абсолютным </w:t>
      </w:r>
      <w:r w:rsidR="0018657B">
        <w:rPr>
          <w:bCs/>
        </w:rPr>
        <w:t>дефицитом железа</w:t>
      </w:r>
      <w:r w:rsidRPr="00195C79">
        <w:rPr>
          <w:b/>
        </w:rPr>
        <w:t>рекоменду</w:t>
      </w:r>
      <w:r>
        <w:rPr>
          <w:b/>
        </w:rPr>
        <w:t>е</w:t>
      </w:r>
      <w:r w:rsidRPr="00195C79">
        <w:rPr>
          <w:b/>
        </w:rPr>
        <w:t>тся</w:t>
      </w:r>
      <w:r>
        <w:rPr>
          <w:rFonts w:eastAsia="Calibri" w:cs="Times New Roman"/>
          <w:szCs w:val="24"/>
          <w:lang w:eastAsia="ru-RU"/>
        </w:rPr>
        <w:t xml:space="preserve">назначение </w:t>
      </w:r>
      <w:r w:rsidR="009729D8">
        <w:rPr>
          <w:rFonts w:eastAsia="Calibri" w:cs="Times New Roman"/>
          <w:szCs w:val="24"/>
          <w:lang w:eastAsia="ru-RU"/>
        </w:rPr>
        <w:t>препаратов железа</w:t>
      </w:r>
      <w:r w:rsidR="000145B4"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0145B4" w:rsidRPr="00195C79">
        <w:fldChar w:fldCharType="separate"/>
      </w:r>
      <w:r w:rsidR="00505412" w:rsidRPr="00505412">
        <w:rPr>
          <w:noProof/>
        </w:rPr>
        <w:t>[22]</w:t>
      </w:r>
      <w:r w:rsidR="000145B4" w:rsidRPr="00195C79">
        <w:fldChar w:fldCharType="end"/>
      </w:r>
      <w:r w:rsidRPr="00195C79">
        <w:t>.</w:t>
      </w:r>
    </w:p>
    <w:p w:rsidR="00E01BD2" w:rsidRPr="00B104EF" w:rsidRDefault="00E01BD2" w:rsidP="00E01BD2">
      <w:pPr>
        <w:pStyle w:val="aff1"/>
        <w:ind w:left="0" w:firstLine="709"/>
        <w:divId w:val="1767193717"/>
      </w:pPr>
      <w:r w:rsidRPr="00B104EF">
        <w:t xml:space="preserve">Уровень убедительности рекомендаций </w:t>
      </w:r>
      <w:r>
        <w:t>С</w:t>
      </w:r>
      <w:r w:rsidRPr="00B104EF">
        <w:t xml:space="preserve"> (уровень достоверности доказательств – </w:t>
      </w:r>
      <w:r>
        <w:t>5)</w:t>
      </w:r>
    </w:p>
    <w:p w:rsidR="00E96066" w:rsidRDefault="00E96066" w:rsidP="00B540B2">
      <w:pPr>
        <w:pStyle w:val="afb"/>
        <w:divId w:val="1767193717"/>
        <w:rPr>
          <w:rFonts w:eastAsia="Calibri"/>
          <w:i/>
          <w:iCs/>
        </w:rPr>
      </w:pPr>
      <w:r w:rsidRPr="00E96066">
        <w:rPr>
          <w:rFonts w:eastAsia="Calibri"/>
          <w:b/>
        </w:rPr>
        <w:t>Комментарии</w:t>
      </w:r>
      <w:r w:rsidRPr="00E96066">
        <w:rPr>
          <w:rFonts w:eastAsia="Calibri"/>
        </w:rPr>
        <w:t>: </w:t>
      </w:r>
      <w:r w:rsidR="00B540B2" w:rsidRPr="00B540B2">
        <w:rPr>
          <w:rFonts w:eastAsia="Calibri"/>
          <w:i/>
          <w:iCs/>
        </w:rPr>
        <w:t xml:space="preserve">лабораторным </w:t>
      </w:r>
      <w:r w:rsidRPr="00B540B2">
        <w:rPr>
          <w:rFonts w:eastAsia="Calibri"/>
          <w:i/>
          <w:iCs/>
        </w:rPr>
        <w:t>критерием абсолютного дефицита железа служит снижение коэффициента НТЖ менее 20%, СФ менее 100 нг/мл. Детям назначаются пероральные формы (II) – валентного или (III) – валентного железа в суточной дозе 5 мг/кг по элементарному железу в 2-3 приема.</w:t>
      </w:r>
    </w:p>
    <w:p w:rsidR="00D74995" w:rsidRPr="00EC6C6C" w:rsidRDefault="00D74995" w:rsidP="00B540B2">
      <w:pPr>
        <w:pStyle w:val="afb"/>
        <w:divId w:val="1767193717"/>
        <w:rPr>
          <w:rFonts w:eastAsia="Calibri"/>
          <w:i/>
          <w:color w:val="000000" w:themeColor="text1"/>
        </w:rPr>
      </w:pPr>
      <w:r w:rsidRPr="00EC6C6C">
        <w:rPr>
          <w:rFonts w:eastAsia="Calibri"/>
          <w:i/>
          <w:color w:val="000000" w:themeColor="text1"/>
        </w:rPr>
        <w:t>При развитии аутоиммунной гемолитической анемии на фоне ЗН</w:t>
      </w:r>
      <w:r w:rsidR="00CA2C5C" w:rsidRPr="00EC6C6C">
        <w:rPr>
          <w:rFonts w:eastAsia="Calibri"/>
          <w:i/>
          <w:color w:val="000000" w:themeColor="text1"/>
        </w:rPr>
        <w:t xml:space="preserve"> показано проведение терапии в соответствии спротоколами лечения аутоиммунных гемолитических анемий. В ряде случаев, развитие аутоиммунного гемолиза, например при лимфопролиферативных заболеваниях, является показанием к проведению специфической химиотерапии.</w:t>
      </w:r>
    </w:p>
    <w:p w:rsidR="00E96066" w:rsidRDefault="00E96066" w:rsidP="002929B1">
      <w:pPr>
        <w:pStyle w:val="2"/>
        <w:spacing w:before="0"/>
        <w:divId w:val="1767193717"/>
        <w:rPr>
          <w:rFonts w:eastAsia="Times New Roman"/>
        </w:rPr>
      </w:pPr>
    </w:p>
    <w:p w:rsidR="00C11435" w:rsidRPr="00C52C04" w:rsidRDefault="00C11435" w:rsidP="00C11435">
      <w:pPr>
        <w:pStyle w:val="afff1"/>
      </w:pPr>
      <w:bookmarkStart w:id="31" w:name="_Toc22645530"/>
      <w:bookmarkStart w:id="32" w:name="_Toc27478902"/>
      <w:bookmarkStart w:id="33" w:name="_Toc29905905"/>
      <w:bookmarkStart w:id="34" w:name="_Toc57983689"/>
      <w:bookmarkStart w:id="35" w:name="__RefHeading___doc_5"/>
      <w:r w:rsidRPr="00C52C04">
        <w:t>4. Медицинская реабилитация, медицинские показания и противопоказания к применению методов реабилитации</w:t>
      </w:r>
      <w:bookmarkEnd w:id="31"/>
      <w:bookmarkEnd w:id="32"/>
      <w:bookmarkEnd w:id="33"/>
      <w:bookmarkEnd w:id="34"/>
    </w:p>
    <w:p w:rsidR="00240263" w:rsidRPr="00C11435" w:rsidRDefault="00240263" w:rsidP="00C11435">
      <w:pPr>
        <w:pStyle w:val="afb"/>
        <w:rPr>
          <w:rFonts w:eastAsia="Calibri"/>
          <w:b/>
          <w:i/>
          <w:iCs/>
        </w:rPr>
      </w:pPr>
      <w:r w:rsidRPr="00C11435">
        <w:rPr>
          <w:rFonts w:eastAsia="Calibri"/>
          <w:i/>
          <w:iCs/>
        </w:rPr>
        <w:t>Специфических реабилитационных мероприятий в отношении пациентов с анемией злокачественных новообразований не разработано</w:t>
      </w:r>
      <w:r w:rsidR="00C11435" w:rsidRPr="00C11435">
        <w:rPr>
          <w:rFonts w:eastAsia="Calibri"/>
          <w:i/>
          <w:iCs/>
        </w:rPr>
        <w:t>.</w:t>
      </w:r>
    </w:p>
    <w:p w:rsidR="00240263" w:rsidRPr="00240263" w:rsidRDefault="00240263" w:rsidP="00240263">
      <w:pPr>
        <w:pStyle w:val="CustomContentNormal"/>
        <w:rPr>
          <w:sz w:val="24"/>
          <w:szCs w:val="24"/>
        </w:rPr>
      </w:pPr>
    </w:p>
    <w:p w:rsidR="00A43CE5" w:rsidRDefault="00094ED6" w:rsidP="0086221A">
      <w:pPr>
        <w:pStyle w:val="afff1"/>
      </w:pPr>
      <w:bookmarkStart w:id="36" w:name="_Toc57983690"/>
      <w:r>
        <w:t xml:space="preserve">5. </w:t>
      </w:r>
      <w:r w:rsidR="00CB71DA">
        <w:t>Профилактика</w:t>
      </w:r>
      <w:bookmarkEnd w:id="35"/>
      <w:r w:rsidR="00B104EF">
        <w:t xml:space="preserve"> и диспансерное наблюдение</w:t>
      </w:r>
      <w:r w:rsidR="00A43CE5">
        <w:t>,медицинские показания и противопоказания к применению методов профилактики</w:t>
      </w:r>
      <w:bookmarkEnd w:id="36"/>
    </w:p>
    <w:p w:rsidR="00240263" w:rsidRPr="005F1198" w:rsidRDefault="00240263" w:rsidP="005F1198">
      <w:pPr>
        <w:pStyle w:val="afb"/>
        <w:rPr>
          <w:rFonts w:eastAsia="Calibri"/>
          <w:i/>
          <w:iCs/>
        </w:rPr>
      </w:pPr>
      <w:bookmarkStart w:id="37" w:name="__RefHeading___doc_6"/>
      <w:r w:rsidRPr="005F1198">
        <w:rPr>
          <w:rFonts w:eastAsia="Calibri"/>
          <w:i/>
          <w:iCs/>
        </w:rPr>
        <w:t>Специфических профилактических мероприятий в отношении пациентов с анемией злокачественных новообразований не разработано.</w:t>
      </w:r>
    </w:p>
    <w:p w:rsidR="00240263" w:rsidRPr="00240263" w:rsidRDefault="00240263" w:rsidP="00C4630C">
      <w:pPr>
        <w:pStyle w:val="afff1"/>
        <w:rPr>
          <w:sz w:val="24"/>
          <w:szCs w:val="24"/>
        </w:rPr>
      </w:pPr>
    </w:p>
    <w:p w:rsidR="009B4039" w:rsidRDefault="00C4630C" w:rsidP="00C4630C">
      <w:pPr>
        <w:pStyle w:val="afff1"/>
      </w:pPr>
      <w:bookmarkStart w:id="38" w:name="_Toc57983691"/>
      <w:r>
        <w:t xml:space="preserve">6. </w:t>
      </w:r>
      <w:r w:rsidR="009B4039" w:rsidRPr="00BF3A59">
        <w:t>Организация</w:t>
      </w:r>
      <w:r w:rsidR="0000099A">
        <w:t xml:space="preserve"> оказания</w:t>
      </w:r>
      <w:r w:rsidR="009B4039" w:rsidRPr="00BF3A59">
        <w:t xml:space="preserve"> медицинской помощи</w:t>
      </w:r>
      <w:bookmarkEnd w:id="38"/>
    </w:p>
    <w:p w:rsidR="0028096D" w:rsidRDefault="00240263" w:rsidP="00240263">
      <w:pPr>
        <w:pStyle w:val="aff7"/>
        <w:rPr>
          <w:lang w:bidi="ru-RU"/>
        </w:rPr>
      </w:pPr>
      <w:r w:rsidRPr="0028096D">
        <w:t>Учитывая, что анемия является типичным осложнением как самого онкологического</w:t>
      </w:r>
      <w:r w:rsidRPr="00240263">
        <w:t xml:space="preserve"> заболевания, так и проводимого химиотерапевтического лечения, то ее коррекция проводится в рамках лечения основного заболевания.</w:t>
      </w:r>
    </w:p>
    <w:p w:rsidR="00240263" w:rsidRDefault="0028096D" w:rsidP="00240263">
      <w:pPr>
        <w:pStyle w:val="aff7"/>
        <w:rPr>
          <w:iCs/>
        </w:rPr>
      </w:pPr>
      <w:r w:rsidRPr="0028096D">
        <w:rPr>
          <w:u w:val="single"/>
          <w:lang w:bidi="ru-RU"/>
        </w:rPr>
        <w:t>Показания для госпитализации в медицинскую организацию:</w:t>
      </w:r>
      <w:r>
        <w:rPr>
          <w:lang w:bidi="ru-RU"/>
        </w:rPr>
        <w:t xml:space="preserve"> в</w:t>
      </w:r>
      <w:r w:rsidR="00240263" w:rsidRPr="00240263">
        <w:rPr>
          <w:lang w:bidi="ru-RU"/>
        </w:rPr>
        <w:t xml:space="preserve"> случае проведения амбулаторного этапа химиотерапии п</w:t>
      </w:r>
      <w:r w:rsidR="00240263" w:rsidRPr="00240263">
        <w:rPr>
          <w:iCs/>
        </w:rPr>
        <w:t xml:space="preserve">оказаниями к госпитализации будут служить </w:t>
      </w:r>
      <w:r w:rsidR="00240263" w:rsidRPr="00240263">
        <w:rPr>
          <w:iCs/>
        </w:rPr>
        <w:lastRenderedPageBreak/>
        <w:t>выраженная анемия (Н</w:t>
      </w:r>
      <w:r>
        <w:rPr>
          <w:iCs/>
          <w:lang w:val="en-US"/>
        </w:rPr>
        <w:t>b</w:t>
      </w:r>
      <w:r w:rsidR="00240263" w:rsidRPr="00240263">
        <w:rPr>
          <w:iCs/>
        </w:rPr>
        <w:t xml:space="preserve"> ≤ 70 г/л, Ht ≤ 0,25-0,30 л/л), либо наличие симптомов и признаков анемической гипоксии даже при более высоких показателях концентрации Hb.</w:t>
      </w:r>
    </w:p>
    <w:p w:rsidR="0028096D" w:rsidRPr="0028096D" w:rsidRDefault="0028096D" w:rsidP="00240263">
      <w:pPr>
        <w:pStyle w:val="aff7"/>
      </w:pPr>
      <w:r>
        <w:rPr>
          <w:u w:val="single"/>
        </w:rPr>
        <w:t>Показания к выписке пациента из медицинской организации:</w:t>
      </w:r>
      <w:r>
        <w:t>разрешение анемии и симптомов анемической гипоксии.</w:t>
      </w:r>
    </w:p>
    <w:p w:rsidR="00CB562F" w:rsidRDefault="00C4630C" w:rsidP="00C4630C">
      <w:pPr>
        <w:pStyle w:val="afff1"/>
      </w:pPr>
      <w:bookmarkStart w:id="39" w:name="_Toc57983692"/>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7"/>
      <w:r w:rsidR="00A43CE5">
        <w:t>или состояния)</w:t>
      </w:r>
      <w:bookmarkEnd w:id="39"/>
    </w:p>
    <w:p w:rsidR="00FB3A10" w:rsidRDefault="00DA7C2F" w:rsidP="0028096D">
      <w:pPr>
        <w:pStyle w:val="afb"/>
        <w:rPr>
          <w:rFonts w:eastAsia="Calibri"/>
        </w:rPr>
      </w:pPr>
      <w:bookmarkStart w:id="40" w:name="__RefHeading___doc_criteria"/>
      <w:r w:rsidRPr="00DA7C2F">
        <w:rPr>
          <w:rFonts w:eastAsia="Calibri"/>
        </w:rPr>
        <w:t xml:space="preserve">На клиническом уровне связь между анемией и утомляемостью считается обоснованной. У взрослых доказано прямое влияние уровня Hb на утомляемость и другие параметры качества жизни.  </w:t>
      </w:r>
    </w:p>
    <w:p w:rsidR="00DA7C2F" w:rsidRPr="00EC6C6C" w:rsidRDefault="00DA7C2F" w:rsidP="0028096D">
      <w:pPr>
        <w:pStyle w:val="afb"/>
        <w:rPr>
          <w:rFonts w:eastAsia="Calibri"/>
          <w:b/>
          <w:color w:val="000000" w:themeColor="text1"/>
        </w:rPr>
      </w:pPr>
      <w:r w:rsidRPr="00DA7C2F">
        <w:rPr>
          <w:rFonts w:eastAsia="Calibri"/>
        </w:rPr>
        <w:t xml:space="preserve">У детей, особенно младшего возраста, оценка качества жизни связана с техническими сложностями, так как требует заполнения анкетных опросников самими детьми и их родителями. По данным исследований качества жизни у детей со ЗН, утомляемость так же идентифицирована детьми и подростками как один из самых тягостных симптомов, которые они испытывают. Кроме того, дети разных возрастов по-разному интерпретируют ощущение утомляемости: так дети 7-12 лет подчеркивают физическую усталость, в то время как подростки 13-18 лет отмечают еще и умственное ощущение усталости. Имеются единичные публикации, показавшие улучшение качества жизни детей с ЗН, коррелирующее с повышением концентрации Hb </w:t>
      </w:r>
      <w:r w:rsidRPr="00EC6C6C">
        <w:rPr>
          <w:rFonts w:eastAsia="Calibri"/>
          <w:color w:val="000000" w:themeColor="text1"/>
        </w:rPr>
        <w:t xml:space="preserve">на фоне терапии ЭСП.Несмотря на это, утомляемость редко отмечается в жалобах </w:t>
      </w:r>
      <w:r w:rsidR="00FB3A10" w:rsidRPr="00EC6C6C">
        <w:rPr>
          <w:rFonts w:eastAsia="Calibri"/>
          <w:color w:val="000000" w:themeColor="text1"/>
        </w:rPr>
        <w:t xml:space="preserve">детей </w:t>
      </w:r>
      <w:r w:rsidRPr="00EC6C6C">
        <w:rPr>
          <w:rFonts w:eastAsia="Calibri"/>
          <w:color w:val="000000" w:themeColor="text1"/>
        </w:rPr>
        <w:t xml:space="preserve">и их родителей, что приводит к недооценке этого </w:t>
      </w:r>
      <w:r w:rsidR="00FB3A10" w:rsidRPr="00EC6C6C">
        <w:rPr>
          <w:rFonts w:eastAsia="Calibri"/>
          <w:color w:val="000000" w:themeColor="text1"/>
        </w:rPr>
        <w:t>симптома.</w:t>
      </w:r>
    </w:p>
    <w:p w:rsidR="00DA7C2F" w:rsidRDefault="00DA7C2F" w:rsidP="00DA7C2F">
      <w:pPr>
        <w:pStyle w:val="CustomContentNormal"/>
      </w:pPr>
    </w:p>
    <w:p w:rsidR="000414F6" w:rsidRDefault="00CB71DA" w:rsidP="00DA7C2F">
      <w:pPr>
        <w:pStyle w:val="CustomContentNormal"/>
      </w:pPr>
      <w:bookmarkStart w:id="41" w:name="_Toc57983693"/>
      <w:r>
        <w:t>Критерии оценки качества медицинской помощи</w:t>
      </w:r>
      <w:bookmarkEnd w:id="40"/>
      <w:bookmarkEnd w:id="41"/>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9"/>
        <w:gridCol w:w="4918"/>
        <w:gridCol w:w="2036"/>
        <w:gridCol w:w="2166"/>
      </w:tblGrid>
      <w:tr w:rsidR="00EE530C" w:rsidRPr="00DA7C2F" w:rsidTr="001E3E62">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Критерии качества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Уровень достоверности доказательств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Уровень убедительности рекомендаций</w:t>
            </w:r>
          </w:p>
        </w:tc>
      </w:tr>
      <w:tr w:rsidR="00EE530C" w:rsidRPr="00DA7C2F" w:rsidTr="001E3E6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EE530C" w:rsidRPr="00195C79" w:rsidRDefault="00EE530C" w:rsidP="00EE530C">
            <w:pPr>
              <w:ind w:firstLine="0"/>
              <w:jc w:val="left"/>
            </w:pPr>
            <w:r w:rsidRPr="00EE530C">
              <w:rPr>
                <w:bCs/>
              </w:rPr>
              <w:t>Пациент</w:t>
            </w:r>
            <w:r>
              <w:rPr>
                <w:bCs/>
              </w:rPr>
              <w:t>у</w:t>
            </w:r>
            <w:r w:rsidRPr="00EE530C">
              <w:rPr>
                <w:bCs/>
              </w:rPr>
              <w:t xml:space="preserve"> с клиническими сипмтомами анемии</w:t>
            </w:r>
            <w:r>
              <w:rPr>
                <w:bCs/>
              </w:rPr>
              <w:t xml:space="preserve"> выполнены</w:t>
            </w:r>
            <w:r w:rsidRPr="00190AA2">
              <w:t xml:space="preserve"> общ</w:t>
            </w:r>
            <w:r>
              <w:t xml:space="preserve">ий(клинический) </w:t>
            </w:r>
            <w:r w:rsidRPr="00190AA2">
              <w:t xml:space="preserve">анализ крови, </w:t>
            </w:r>
            <w:r>
              <w:t xml:space="preserve">оценка </w:t>
            </w:r>
            <w:r w:rsidRPr="00190AA2">
              <w:t>гематокрита</w:t>
            </w:r>
            <w:r w:rsidRPr="00625A7E">
              <w:t xml:space="preserve"> (</w:t>
            </w:r>
            <w:r w:rsidRPr="00EE530C">
              <w:rPr>
                <w:lang w:val="en-US"/>
              </w:rPr>
              <w:t>Hct</w:t>
            </w:r>
            <w:r w:rsidRPr="00625A7E">
              <w:t>)</w:t>
            </w:r>
            <w:r w:rsidRPr="00190AA2">
              <w:t xml:space="preserve">, </w:t>
            </w:r>
            <w:r>
              <w:t xml:space="preserve">исследование уровня </w:t>
            </w:r>
            <w:r w:rsidRPr="00190AA2">
              <w:t xml:space="preserve">эритроцитов </w:t>
            </w:r>
            <w:r>
              <w:t xml:space="preserve">в крови </w:t>
            </w:r>
            <w:r w:rsidRPr="00190AA2">
              <w:t xml:space="preserve">и </w:t>
            </w:r>
            <w:r>
              <w:t xml:space="preserve">исследование уровня </w:t>
            </w:r>
            <w:r w:rsidRPr="00190AA2">
              <w:t>ретикулоцитов</w:t>
            </w:r>
            <w:r w:rsidRPr="00195C79">
              <w:t>.</w:t>
            </w:r>
          </w:p>
          <w:p w:rsidR="00DA7C2F" w:rsidRPr="00DA7C2F" w:rsidRDefault="00DA7C2F" w:rsidP="00EE530C">
            <w:pPr>
              <w:spacing w:after="200" w:line="276" w:lineRule="auto"/>
              <w:ind w:firstLine="0"/>
              <w:jc w:val="left"/>
              <w:rPr>
                <w:rFonts w:eastAsia="Calibri" w:cs="Times New Roman"/>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EE530C" w:rsidP="00DA7C2F">
            <w:pPr>
              <w:spacing w:after="200" w:line="276" w:lineRule="auto"/>
              <w:ind w:firstLine="0"/>
              <w:jc w:val="left"/>
              <w:rPr>
                <w:rFonts w:eastAsia="Calibri" w:cs="Times New Roman"/>
                <w:szCs w:val="24"/>
                <w:lang w:eastAsia="ru-RU"/>
              </w:rPr>
            </w:pPr>
            <w:r>
              <w:rPr>
                <w:rFonts w:eastAsia="Calibri" w:cs="Times New Roman"/>
                <w:szCs w:val="24"/>
                <w:lang w:eastAsia="ru-RU"/>
              </w:rPr>
              <w:t>5</w:t>
            </w:r>
          </w:p>
        </w:tc>
      </w:tr>
      <w:tr w:rsidR="00EE530C" w:rsidRPr="00DA7C2F" w:rsidTr="001E3E62">
        <w:trPr>
          <w:trHeight w:val="1080"/>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EE530C" w:rsidRPr="00195C79" w:rsidRDefault="00EE530C" w:rsidP="00EE530C">
            <w:pPr>
              <w:ind w:firstLine="0"/>
            </w:pPr>
            <w:r w:rsidRPr="00EE530C">
              <w:rPr>
                <w:bCs/>
              </w:rPr>
              <w:t>Пациент</w:t>
            </w:r>
            <w:r>
              <w:rPr>
                <w:bCs/>
              </w:rPr>
              <w:t>у</w:t>
            </w:r>
            <w:r w:rsidRPr="00EE530C">
              <w:rPr>
                <w:bCs/>
              </w:rPr>
              <w:t xml:space="preserve"> с клиническими и лабораторными проявлениями анемии</w:t>
            </w:r>
            <w:r>
              <w:rPr>
                <w:bCs/>
              </w:rPr>
              <w:t xml:space="preserve"> выполнено </w:t>
            </w:r>
            <w:r>
              <w:t>исследование статуса железа, включающее исследование уровня железа сыворотки крови, исследование насыщения трансферрина железом исследование уровня ферритина в крови</w:t>
            </w:r>
            <w:r w:rsidRPr="00195C79">
              <w:t>.</w:t>
            </w:r>
          </w:p>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EE530C" w:rsidP="00DA7C2F">
            <w:pPr>
              <w:spacing w:after="200" w:line="276" w:lineRule="auto"/>
              <w:ind w:firstLine="0"/>
              <w:jc w:val="left"/>
              <w:rPr>
                <w:rFonts w:eastAsia="Calibri" w:cs="Times New Roman"/>
                <w:szCs w:val="24"/>
                <w:lang w:eastAsia="ru-RU"/>
              </w:rPr>
            </w:pPr>
            <w:r>
              <w:rPr>
                <w:rFonts w:eastAsia="Calibri" w:cs="Times New Roman"/>
                <w:szCs w:val="24"/>
                <w:lang w:eastAsia="ru-RU"/>
              </w:rPr>
              <w:t>5</w:t>
            </w:r>
          </w:p>
        </w:tc>
      </w:tr>
      <w:tr w:rsidR="00EE530C" w:rsidRPr="00DA7C2F" w:rsidTr="001E3E62">
        <w:trPr>
          <w:trHeight w:val="1297"/>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EE530C" w:rsidRPr="00195C79" w:rsidRDefault="00EE530C" w:rsidP="00EE530C">
            <w:pPr>
              <w:ind w:firstLine="0"/>
            </w:pPr>
            <w:r w:rsidRPr="00EE530C">
              <w:rPr>
                <w:bCs/>
              </w:rPr>
              <w:t>Пациент</w:t>
            </w:r>
            <w:r>
              <w:rPr>
                <w:bCs/>
              </w:rPr>
              <w:t>у</w:t>
            </w:r>
            <w:r w:rsidRPr="00EE530C">
              <w:rPr>
                <w:bCs/>
              </w:rPr>
              <w:t xml:space="preserve"> при снижении концентрации гемоглобина ниже 70 г/л с проявлениями симптомов и признаков анемической гипоксии</w:t>
            </w:r>
            <w:r>
              <w:rPr>
                <w:bCs/>
              </w:rPr>
              <w:t xml:space="preserve"> при отсутствии абсолютных или относительных противопоказаний против гемотрансфузии выполнена </w:t>
            </w:r>
            <w:r w:rsidRPr="00EE530C">
              <w:rPr>
                <w:rFonts w:eastAsia="Calibri" w:cs="Times New Roman"/>
                <w:szCs w:val="24"/>
                <w:lang w:eastAsia="ru-RU"/>
              </w:rPr>
              <w:t>трансфузи</w:t>
            </w:r>
            <w:r>
              <w:rPr>
                <w:rFonts w:eastAsia="Calibri" w:cs="Times New Roman"/>
                <w:szCs w:val="24"/>
                <w:lang w:eastAsia="ru-RU"/>
              </w:rPr>
              <w:t>я</w:t>
            </w:r>
            <w:r w:rsidRPr="00EE530C">
              <w:rPr>
                <w:rFonts w:eastAsia="Calibri" w:cs="Times New Roman"/>
                <w:szCs w:val="24"/>
                <w:lang w:eastAsia="ru-RU"/>
              </w:rPr>
              <w:t xml:space="preserve"> эритроцитарной массы</w:t>
            </w:r>
          </w:p>
          <w:p w:rsidR="00DA7C2F" w:rsidRPr="00DA7C2F" w:rsidRDefault="00DA7C2F" w:rsidP="00DA7C2F">
            <w:pPr>
              <w:spacing w:after="200" w:line="276" w:lineRule="auto"/>
              <w:ind w:firstLine="0"/>
              <w:jc w:val="left"/>
              <w:rPr>
                <w:rFonts w:eastAsia="Calibri" w:cs="Times New Roman"/>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rsidR="00DA7C2F" w:rsidRPr="00DA7C2F" w:rsidRDefault="00EE530C" w:rsidP="00DA7C2F">
            <w:pPr>
              <w:spacing w:after="200" w:line="276" w:lineRule="auto"/>
              <w:ind w:firstLine="0"/>
              <w:jc w:val="left"/>
              <w:rPr>
                <w:rFonts w:eastAsia="Calibri" w:cs="Times New Roman"/>
                <w:szCs w:val="24"/>
                <w:lang w:eastAsia="ru-RU"/>
              </w:rPr>
            </w:pPr>
            <w:r>
              <w:rPr>
                <w:rFonts w:eastAsia="Calibri" w:cs="Times New Roman"/>
                <w:szCs w:val="24"/>
                <w:lang w:eastAsia="ru-RU"/>
              </w:rPr>
              <w:t>5</w:t>
            </w:r>
          </w:p>
        </w:tc>
      </w:tr>
    </w:tbl>
    <w:p w:rsidR="0025228A" w:rsidRPr="0017531C" w:rsidRDefault="0025228A" w:rsidP="00094ED6">
      <w:pPr>
        <w:pStyle w:val="afffa"/>
      </w:pPr>
    </w:p>
    <w:p w:rsidR="00AF3168" w:rsidRDefault="00AF3168" w:rsidP="005627B3">
      <w:pPr>
        <w:ind w:firstLine="0"/>
        <w:rPr>
          <w:b/>
          <w:sz w:val="28"/>
          <w:szCs w:val="28"/>
        </w:rPr>
      </w:pPr>
      <w:bookmarkStart w:id="42" w:name="__RefHeading___doc_bible"/>
      <w:r>
        <w:rPr>
          <w:b/>
          <w:sz w:val="28"/>
          <w:szCs w:val="28"/>
        </w:rPr>
        <w:br w:type="page"/>
      </w:r>
    </w:p>
    <w:p w:rsidR="000414F6" w:rsidRDefault="00CB71DA" w:rsidP="00172112">
      <w:pPr>
        <w:pStyle w:val="CustomContentNormal"/>
      </w:pPr>
      <w:bookmarkStart w:id="43" w:name="_Toc57983694"/>
      <w:r>
        <w:lastRenderedPageBreak/>
        <w:t>Список литературы</w:t>
      </w:r>
      <w:bookmarkEnd w:id="42"/>
      <w:bookmarkEnd w:id="43"/>
    </w:p>
    <w:bookmarkStart w:id="44" w:name="__RefHeading___doc_a1"/>
    <w:p w:rsidR="00AE5092" w:rsidRPr="00AE5092" w:rsidRDefault="000145B4" w:rsidP="00AE5092">
      <w:pPr>
        <w:widowControl w:val="0"/>
        <w:autoSpaceDE w:val="0"/>
        <w:autoSpaceDN w:val="0"/>
        <w:adjustRightInd w:val="0"/>
        <w:ind w:left="640" w:hanging="640"/>
        <w:rPr>
          <w:rFonts w:cs="Times New Roman"/>
          <w:noProof/>
        </w:rPr>
      </w:pPr>
      <w:r>
        <w:fldChar w:fldCharType="begin" w:fldLock="1"/>
      </w:r>
      <w:r w:rsidR="00851F5C">
        <w:instrText xml:space="preserve">ADDIN Mendeley Bibliography CSL_BIBLIOGRAPHY </w:instrText>
      </w:r>
      <w:r>
        <w:fldChar w:fldCharType="separate"/>
      </w:r>
      <w:r w:rsidR="00AE5092" w:rsidRPr="00AE5092">
        <w:rPr>
          <w:rFonts w:cs="Times New Roman"/>
          <w:noProof/>
        </w:rPr>
        <w:t>1.</w:t>
      </w:r>
      <w:r w:rsidR="00AE5092" w:rsidRPr="00AE5092">
        <w:rPr>
          <w:rFonts w:cs="Times New Roman"/>
          <w:noProof/>
        </w:rPr>
        <w:tab/>
        <w:t>Лунякова М.А. et al. Патогенез и возможности терапии анемии у детей с острым лимфобластным лейкозом // Вопросы гематологии, онкологии и иммунопатологии в педиатрии. 2013. Vol. 12, № 2. P. 5–16.</w:t>
      </w:r>
    </w:p>
    <w:p w:rsidR="00AE5092" w:rsidRPr="00AE5092" w:rsidRDefault="00AE5092" w:rsidP="00AE5092">
      <w:pPr>
        <w:widowControl w:val="0"/>
        <w:autoSpaceDE w:val="0"/>
        <w:autoSpaceDN w:val="0"/>
        <w:adjustRightInd w:val="0"/>
        <w:ind w:left="640" w:hanging="640"/>
        <w:rPr>
          <w:rFonts w:cs="Times New Roman"/>
          <w:noProof/>
        </w:rPr>
      </w:pPr>
      <w:r w:rsidRPr="00AE5092">
        <w:rPr>
          <w:rFonts w:cs="Times New Roman"/>
          <w:noProof/>
        </w:rPr>
        <w:t>2.</w:t>
      </w:r>
      <w:r w:rsidRPr="00AE5092">
        <w:rPr>
          <w:rFonts w:cs="Times New Roman"/>
          <w:noProof/>
        </w:rPr>
        <w:tab/>
        <w:t>Павлов А.Д., Морщакова Е.Ф., Румянцев А.Г. Эритропоэз, эритропоэтин, железо. М.: ГЭОТАР-Медиа, 2011. 304 p.</w:t>
      </w:r>
    </w:p>
    <w:p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3.</w:t>
      </w:r>
      <w:r w:rsidRPr="00AE5092">
        <w:rPr>
          <w:rFonts w:cs="Times New Roman"/>
          <w:noProof/>
        </w:rPr>
        <w:tab/>
        <w:t xml:space="preserve">Безнощенко А.Г. et al. Эритропоэтин в лечение анемии у детей и подростков с острым лимфобластным лейкозом // Детская онкология. </w:t>
      </w:r>
      <w:r w:rsidRPr="0000099A">
        <w:rPr>
          <w:rFonts w:cs="Times New Roman"/>
          <w:noProof/>
          <w:lang w:val="en-US"/>
        </w:rPr>
        <w:t>2008. Vol. 3. P. 11–15.</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w:t>
      </w:r>
      <w:r w:rsidRPr="0000099A">
        <w:rPr>
          <w:rFonts w:cs="Times New Roman"/>
          <w:noProof/>
          <w:lang w:val="en-US"/>
        </w:rPr>
        <w:tab/>
        <w:t>Dicato M. Anemia in Cancer: Some Pathophysiological Aspects // Oncologist. Alphamed Press, 2003. Vol. 8, № S1. P. 19–21.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w:t>
      </w:r>
      <w:r w:rsidRPr="0000099A">
        <w:rPr>
          <w:rFonts w:cs="Times New Roman"/>
          <w:noProof/>
          <w:lang w:val="en-US"/>
        </w:rPr>
        <w:tab/>
        <w:t>Dicato M., Plawny L., Diederich M. Anemia in Cancer // Ann. Oncol. 2010. Vol. 21, № Supp. 7. P. 167–172.</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6.</w:t>
      </w:r>
      <w:r w:rsidRPr="0000099A">
        <w:rPr>
          <w:rFonts w:cs="Times New Roman"/>
          <w:noProof/>
          <w:lang w:val="en-US"/>
        </w:rPr>
        <w:tab/>
        <w:t>Dallalio G., Law E., Means R.T. Hepcidin inhibits in vitro erythroid colony formation at reduced erythropoietin concentrations // Blood. Blood, 2006. Vol. 107, № 7. P. 2702–2704.</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7.</w:t>
      </w:r>
      <w:r w:rsidRPr="0000099A">
        <w:rPr>
          <w:rFonts w:cs="Times New Roman"/>
          <w:noProof/>
          <w:lang w:val="en-US"/>
        </w:rPr>
        <w:tab/>
        <w:t>Wang W. et al. Influence of Tumor Necrosis Factor-Alpha and Interferon-Gamma on Erythropoietin Production and Erythropoiesis in Cancer Patients With Anemia // Zhonghua Xue Ye Xue Za Zhi. 2007. Vol. 28, № 10. P. 681–684.</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8.</w:t>
      </w:r>
      <w:r w:rsidRPr="0000099A">
        <w:rPr>
          <w:rFonts w:cs="Times New Roman"/>
          <w:noProof/>
          <w:lang w:val="en-US"/>
        </w:rPr>
        <w:tab/>
        <w:t>Corazza F. et al. Anemia in Children With Cancer Is Associated With Decreased Erythropoietic Activity and Not With Inadequate Erythropoietin Production // Blood. 1998. Vol. 92, № 5. P. 1793–1798.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9.</w:t>
      </w:r>
      <w:r w:rsidRPr="0000099A">
        <w:rPr>
          <w:rFonts w:cs="Times New Roman"/>
          <w:noProof/>
          <w:lang w:val="en-US"/>
        </w:rPr>
        <w:tab/>
        <w:t>Kim M.H. et al. Defective erythropoiesis in bone marrow is a mechanism of anemia in children with cancer. // J. Korean Med. Sci. J Korean Med Sci, 2002. Vol. 17, № 3. P. 337–340.</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10.</w:t>
      </w:r>
      <w:r w:rsidRPr="0000099A">
        <w:rPr>
          <w:rFonts w:cs="Times New Roman"/>
          <w:noProof/>
          <w:lang w:val="en-US"/>
        </w:rPr>
        <w:tab/>
        <w:t>Kivivuori S.M. et al. Serum transferrin receptor and erythropoiesis in children with newly diagnosed acute lymphoblastic leukemia // Leuk. Res. Leuk Res, 1994. Vol. 18, № 11. P. 823–828.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11.</w:t>
      </w:r>
      <w:r w:rsidRPr="0000099A">
        <w:rPr>
          <w:rFonts w:cs="Times New Roman"/>
          <w:noProof/>
          <w:lang w:val="en-US"/>
        </w:rPr>
        <w:tab/>
        <w:t>Hellebostad M. et al. Serum immunoreactive erythropoietin in children with acute leukaemia at various stages of disease — and the effects of treatment // Eur. J. Haematol. Eur J Haematol, 1990. Vol. 44, № 3. P. 159–164.</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12.</w:t>
      </w:r>
      <w:r w:rsidRPr="0000099A">
        <w:rPr>
          <w:rFonts w:cs="Times New Roman"/>
          <w:noProof/>
          <w:lang w:val="en-US"/>
        </w:rPr>
        <w:tab/>
        <w:t>Dowd M. et al. Serum Erythropoietin Levels in Children With Leukemia // Med. Pediatr. Oncol. Med Pediatr Oncol, 1997. Vol. 28, № 4.</w:t>
      </w:r>
    </w:p>
    <w:p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13.</w:t>
      </w:r>
      <w:r w:rsidRPr="0000099A">
        <w:rPr>
          <w:rFonts w:cs="Times New Roman"/>
          <w:noProof/>
          <w:lang w:val="en-US"/>
        </w:rPr>
        <w:tab/>
        <w:t xml:space="preserve">Corazza F.V. Physiopathologic Aspects of Anemia and Thrombocytopenia in Children With Cancers: The Roles of Erythropoietin and Thrombopoietin // Bull Mem Acad R Med </w:t>
      </w:r>
      <w:r w:rsidRPr="0000099A">
        <w:rPr>
          <w:rFonts w:cs="Times New Roman"/>
          <w:noProof/>
          <w:lang w:val="en-US"/>
        </w:rPr>
        <w:lastRenderedPageBreak/>
        <w:t xml:space="preserve">Belg. 2008. </w:t>
      </w:r>
      <w:r w:rsidRPr="00AE5092">
        <w:rPr>
          <w:rFonts w:cs="Times New Roman"/>
          <w:noProof/>
        </w:rPr>
        <w:t>Vol. 163, № 1–2. P. 152–156.</w:t>
      </w:r>
    </w:p>
    <w:p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14.</w:t>
      </w:r>
      <w:r w:rsidRPr="00AE5092">
        <w:rPr>
          <w:rFonts w:cs="Times New Roman"/>
          <w:noProof/>
        </w:rPr>
        <w:tab/>
        <w:t xml:space="preserve">Лунякова М.А. et al. Уровни сывороточного эритропоэтина при анемиях у детей с острым лимфобластным лейкозом до начала химиотерапии // Онкогематология. </w:t>
      </w:r>
      <w:r w:rsidRPr="0000099A">
        <w:rPr>
          <w:rFonts w:cs="Times New Roman"/>
          <w:noProof/>
          <w:lang w:val="en-US"/>
        </w:rPr>
        <w:t>2008. Vol. 4. P. 54–55.</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15.</w:t>
      </w:r>
      <w:r w:rsidRPr="0000099A">
        <w:rPr>
          <w:rFonts w:cs="Times New Roman"/>
          <w:noProof/>
          <w:lang w:val="en-US"/>
        </w:rPr>
        <w:tab/>
        <w:t>Bhavnani M., Morris Jones P.H., Testa N.G. Children in long-term remission after treatment for acute lymphoblastic leukaemia show persisting haemopoietic injury in clonal and long-term cultures // Br. J. Haematol. Br J Haematol, 1989. Vol. 71, № 1. P. 37–41.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16.</w:t>
      </w:r>
      <w:r w:rsidRPr="0000099A">
        <w:rPr>
          <w:rFonts w:cs="Times New Roman"/>
          <w:noProof/>
          <w:lang w:val="en-US"/>
        </w:rPr>
        <w:tab/>
        <w:t>Gardner R.V., Astle C.M., Harrison D.E. Hematopoietic Precursor Cell Exhaustion Is a Cause of Proliferative Defect in Primitive Hematopoietic Stem Cells (PHSC) After Chemotherapy // Exp. Hematol. 1997. Vol. 25. P. 495–501.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17.</w:t>
      </w:r>
      <w:r w:rsidRPr="0000099A">
        <w:rPr>
          <w:rFonts w:cs="Times New Roman"/>
          <w:noProof/>
          <w:lang w:val="en-US"/>
        </w:rPr>
        <w:tab/>
        <w:t>Yao M. et al. Quantitative and qualitative alterations of long-term culture- initiating cells in patients with acute leukaemia in complete remission // Br. J. Haematol. Br J Haematol, 1998. Vol. 103, № 1. P. 124–128.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18.</w:t>
      </w:r>
      <w:r w:rsidRPr="0000099A">
        <w:rPr>
          <w:rFonts w:cs="Times New Roman"/>
          <w:noProof/>
          <w:lang w:val="en-US"/>
        </w:rPr>
        <w:tab/>
        <w:t>Galotto M. et al. Stromal damage as consequence of high-dose chemo/radiotherapy in bone marrow transplant recipients // Exp. Hematol. Exp Hematol, 1999. Vol. 27, № 9. P. 1460–1466.</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19.</w:t>
      </w:r>
      <w:r w:rsidRPr="0000099A">
        <w:rPr>
          <w:rFonts w:cs="Times New Roman"/>
          <w:noProof/>
          <w:lang w:val="en-US"/>
        </w:rPr>
        <w:tab/>
        <w:t>Verfaillie C.M., Catanzarro P.M., Li W.N. Macrophage inflammatory protein 1</w:t>
      </w:r>
      <w:r w:rsidRPr="00AE5092">
        <w:rPr>
          <w:rFonts w:cs="Times New Roman"/>
          <w:noProof/>
        </w:rPr>
        <w:t>α</w:t>
      </w:r>
      <w:r w:rsidRPr="0000099A">
        <w:rPr>
          <w:rFonts w:cs="Times New Roman"/>
          <w:noProof/>
          <w:lang w:val="en-US"/>
        </w:rPr>
        <w:t>, interleukin 3 and diffusible marrow stromal factors maintain human hematopoietic stem cells for at least eight weeks in vitro // J. Exp. Med. Rockefeller University Press, 1994. Vol. 179, № 2. P. 643–649.</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20.</w:t>
      </w:r>
      <w:r w:rsidRPr="0000099A">
        <w:rPr>
          <w:rFonts w:cs="Times New Roman"/>
          <w:noProof/>
          <w:lang w:val="en-US"/>
        </w:rPr>
        <w:tab/>
        <w:t>Shankar A.G. The Role of Recombinant Erythropoietin in Childhood Cancer // Oncologist. Alphamed Press, 2008. Vol. 13, № 2. P. 157–166.</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21.</w:t>
      </w:r>
      <w:r w:rsidRPr="0000099A">
        <w:rPr>
          <w:rFonts w:cs="Times New Roman"/>
          <w:noProof/>
          <w:lang w:val="en-US"/>
        </w:rPr>
        <w:tab/>
        <w:t>Michon J. Incidence of anemia in pediatric cancer patients in Europe: Results of a large, international survey // Medical and Pediatric Oncology. Med Pediatr Oncol, 2002. Vol. 39, № 4. P. 448–450.</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22.</w:t>
      </w:r>
      <w:r w:rsidRPr="0000099A">
        <w:rPr>
          <w:rFonts w:cs="Times New Roman"/>
          <w:noProof/>
          <w:lang w:val="en-US"/>
        </w:rPr>
        <w:tab/>
        <w:t>Becker P.S. et al. Hematopoietic growth factors. NCCN Clinical Practice Guidelines in Oncology (NCCN Guidelines). Version 2.2020. 2020. P. 98.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23.</w:t>
      </w:r>
      <w:r w:rsidRPr="0000099A">
        <w:rPr>
          <w:rFonts w:cs="Times New Roman"/>
          <w:noProof/>
          <w:lang w:val="en-US"/>
        </w:rPr>
        <w:tab/>
        <w:t>Ludwig H. et al. Iron metabolism and iron supplementation in cancer patients // Wien. Klin. Wochenschr. Springer-Verlag Wien, 2015. Vol. 127, № 23–24. P. 907–919.</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24.</w:t>
      </w:r>
      <w:r w:rsidRPr="0000099A">
        <w:rPr>
          <w:rFonts w:cs="Times New Roman"/>
          <w:noProof/>
          <w:lang w:val="en-US"/>
        </w:rPr>
        <w:tab/>
        <w:t>Ruggiero A., Riccardi R. Interventions for anemia in pediatric cancer patients // Medical and Pediatric Oncology. 2002. Vol. 39, № 4. P. 451–454.</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25.</w:t>
      </w:r>
      <w:r w:rsidRPr="0000099A">
        <w:rPr>
          <w:rFonts w:cs="Times New Roman"/>
          <w:noProof/>
          <w:lang w:val="en-US"/>
        </w:rPr>
        <w:tab/>
        <w:t xml:space="preserve">Marec-Berard P. et al. Risk model predictive of severe anemia requiring RBC transfusion after chemotherapy in pediatric solid tumor patients // J. Clin. Oncol. J Clin Oncol, 2003. </w:t>
      </w:r>
      <w:r w:rsidRPr="0000099A">
        <w:rPr>
          <w:rFonts w:cs="Times New Roman"/>
          <w:noProof/>
          <w:lang w:val="en-US"/>
        </w:rPr>
        <w:lastRenderedPageBreak/>
        <w:t>Vol. 21, № 22. P. 4235–4238.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26.</w:t>
      </w:r>
      <w:r w:rsidRPr="0000099A">
        <w:rPr>
          <w:rFonts w:cs="Times New Roman"/>
          <w:noProof/>
          <w:lang w:val="en-US"/>
        </w:rPr>
        <w:tab/>
        <w:t>Steiner M.E. et al. Recommendations on RBC transfusion support in children with hematologic and oncologic diagnoses from the pediatric critical care transfusion and anemia expertise initiative // Pediatr. Crit. Care Med. Lippincott Williams and Wilkins, 2018. Vol. 19, № 9. P. S149–S156.</w:t>
      </w:r>
    </w:p>
    <w:p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27.</w:t>
      </w:r>
      <w:r w:rsidRPr="0000099A">
        <w:rPr>
          <w:rFonts w:cs="Times New Roman"/>
          <w:noProof/>
          <w:lang w:val="en-US"/>
        </w:rPr>
        <w:tab/>
        <w:t xml:space="preserve">Shah N., Andrews J., Goodnough L.T. Transfusions for anemia in adult and pediatric patients with malignancies // Blood Rev. Churchill Livingstone, 2015. </w:t>
      </w:r>
      <w:r w:rsidRPr="00AE5092">
        <w:rPr>
          <w:rFonts w:cs="Times New Roman"/>
          <w:noProof/>
        </w:rPr>
        <w:t>Vol. 29, № 5. P. 291–299.</w:t>
      </w:r>
    </w:p>
    <w:p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28.</w:t>
      </w:r>
      <w:r w:rsidRPr="00AE5092">
        <w:rPr>
          <w:rFonts w:cs="Times New Roman"/>
          <w:noProof/>
        </w:rPr>
        <w:tab/>
        <w:t xml:space="preserve">Румянцев А.Г., Аграненко В.А. Гемотрансфузионная терапия в педиатрии и неонатологии: Руководство для врачей. </w:t>
      </w:r>
      <w:r w:rsidRPr="0000099A">
        <w:rPr>
          <w:rFonts w:cs="Times New Roman"/>
          <w:noProof/>
          <w:lang w:val="en-US"/>
        </w:rPr>
        <w:t>2002. 644 p.</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29.</w:t>
      </w:r>
      <w:r w:rsidRPr="0000099A">
        <w:rPr>
          <w:rFonts w:cs="Times New Roman"/>
          <w:noProof/>
          <w:lang w:val="en-US"/>
        </w:rPr>
        <w:tab/>
        <w:t>Ruccione K.S. et al. Association of projected transfusional iron burden with treatment intensity in childhood cancer survivors // Pediatr. Blood Cancer. Pediatr Blood Cancer, 2012. Vol. 59, № 4. P. 697–702.</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30.</w:t>
      </w:r>
      <w:r w:rsidRPr="0000099A">
        <w:rPr>
          <w:rFonts w:cs="Times New Roman"/>
          <w:noProof/>
          <w:lang w:val="en-US"/>
        </w:rPr>
        <w:tab/>
        <w:t>Supportive Care in Pediatric Oncology. A Practical Evidence-Based Approach / ed. Feusner J., Hastings C.A., Agrawal A.K. Springer Berlin Heidelberg, 2015. 304 p.</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31.</w:t>
      </w:r>
      <w:r w:rsidRPr="0000099A">
        <w:rPr>
          <w:rFonts w:cs="Times New Roman"/>
          <w:noProof/>
          <w:lang w:val="en-US"/>
        </w:rPr>
        <w:tab/>
        <w:t>King K.E. et al. Universal leukoreduction decreases the incidence of febrile nonhemolytic transfusion reactions to RBCs // Transfusion. Transfusion, 2004. Vol. 44, № 1. P. 25–29.</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32.</w:t>
      </w:r>
      <w:r w:rsidRPr="0000099A">
        <w:rPr>
          <w:rFonts w:cs="Times New Roman"/>
          <w:noProof/>
          <w:lang w:val="en-US"/>
        </w:rPr>
        <w:tab/>
        <w:t>Dzik W.H. Leukoreduction of blood components // Current Opinion in Hematology. Curr Opin Hematol, 2002. Vol. 9, № 6. P. 521–526.</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33.</w:t>
      </w:r>
      <w:r w:rsidRPr="0000099A">
        <w:rPr>
          <w:rFonts w:cs="Times New Roman"/>
          <w:noProof/>
          <w:lang w:val="en-US"/>
        </w:rPr>
        <w:tab/>
        <w:t>Rühl H., Bein G., Sachs U.J.H. Transfusion-Associated Graft-Versus-Host Disease // Transfusion Medicine Reviews. Transfus Med Rev, 2009. Vol. 23, № 1. P. 62–71.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34.</w:t>
      </w:r>
      <w:r w:rsidRPr="0000099A">
        <w:rPr>
          <w:rFonts w:cs="Times New Roman"/>
          <w:noProof/>
          <w:lang w:val="en-US"/>
        </w:rPr>
        <w:tab/>
        <w:t>Dwyre D.M., Holland P. V. Transfusion-associated graft-versus-host disease // Vox Sanguinis. Vox Sang, 2008. Vol. 95, № 2. P. 85–93.</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35.</w:t>
      </w:r>
      <w:r w:rsidRPr="0000099A">
        <w:rPr>
          <w:rFonts w:cs="Times New Roman"/>
          <w:noProof/>
          <w:lang w:val="en-US"/>
        </w:rPr>
        <w:tab/>
        <w:t>Buchanan G.R. Blood transfusions in children with cancer and hematologic disorders: Why, when, and how? // Pediatric Blood and Cancer. Pediatr Blood Cancer, 2005. Vol. 44, № 2. P. 114–116.</w:t>
      </w:r>
    </w:p>
    <w:p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36.</w:t>
      </w:r>
      <w:r w:rsidRPr="0000099A">
        <w:rPr>
          <w:rFonts w:cs="Times New Roman"/>
          <w:noProof/>
          <w:lang w:val="en-US"/>
        </w:rPr>
        <w:tab/>
        <w:t xml:space="preserve">Wong E.C.C. et al. Transfusion management strategies: A survey of practicing pediatric hematology/oncology specialists // Pediatric Blood and Cancer. </w:t>
      </w:r>
      <w:r w:rsidRPr="00AE5092">
        <w:rPr>
          <w:rFonts w:cs="Times New Roman"/>
          <w:noProof/>
        </w:rPr>
        <w:t>Pediatr Blood Cancer, 2005. Vol. 44, № 2. P. 119–127.</w:t>
      </w:r>
    </w:p>
    <w:p w:rsidR="00AE5092" w:rsidRPr="00AE5092" w:rsidRDefault="00AE5092" w:rsidP="00AE5092">
      <w:pPr>
        <w:widowControl w:val="0"/>
        <w:autoSpaceDE w:val="0"/>
        <w:autoSpaceDN w:val="0"/>
        <w:adjustRightInd w:val="0"/>
        <w:ind w:left="640" w:hanging="640"/>
        <w:rPr>
          <w:rFonts w:cs="Times New Roman"/>
          <w:noProof/>
        </w:rPr>
      </w:pPr>
      <w:r w:rsidRPr="00AE5092">
        <w:rPr>
          <w:rFonts w:cs="Times New Roman"/>
          <w:noProof/>
        </w:rPr>
        <w:t>37.</w:t>
      </w:r>
      <w:r w:rsidRPr="00AE5092">
        <w:rPr>
          <w:rFonts w:cs="Times New Roman"/>
          <w:noProof/>
        </w:rPr>
        <w:tab/>
        <w:t>Национальный стандарт Российской Федерации. Кровь донорская и ее компоненты: Руководство по применению компонентов донорской крови. ГОСТ Р 53470-2009. 2010.</w:t>
      </w:r>
    </w:p>
    <w:p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38.</w:t>
      </w:r>
      <w:r w:rsidRPr="00AE5092">
        <w:rPr>
          <w:rFonts w:cs="Times New Roman"/>
          <w:noProof/>
        </w:rPr>
        <w:tab/>
        <w:t>Румянцев А.Г., Морщакова Е.Ф., Павлов А.Д. Эритропоэтин: биологические свойства, возрастная регуляция эритропоэза, клиническое применение. М</w:t>
      </w:r>
      <w:r w:rsidRPr="0000099A">
        <w:rPr>
          <w:rFonts w:cs="Times New Roman"/>
          <w:noProof/>
          <w:lang w:val="en-US"/>
        </w:rPr>
        <w:t xml:space="preserve">.: </w:t>
      </w:r>
      <w:r w:rsidRPr="00AE5092">
        <w:rPr>
          <w:rFonts w:cs="Times New Roman"/>
          <w:noProof/>
        </w:rPr>
        <w:lastRenderedPageBreak/>
        <w:t>ГЭОТАР</w:t>
      </w:r>
      <w:r w:rsidRPr="0000099A">
        <w:rPr>
          <w:rFonts w:cs="Times New Roman"/>
          <w:noProof/>
          <w:lang w:val="en-US"/>
        </w:rPr>
        <w:t>-</w:t>
      </w:r>
      <w:r w:rsidRPr="00AE5092">
        <w:rPr>
          <w:rFonts w:cs="Times New Roman"/>
          <w:noProof/>
        </w:rPr>
        <w:t>МЕД</w:t>
      </w:r>
      <w:r w:rsidRPr="0000099A">
        <w:rPr>
          <w:rFonts w:cs="Times New Roman"/>
          <w:noProof/>
          <w:lang w:val="en-US"/>
        </w:rPr>
        <w:t>, 2003. 400 p.</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39.</w:t>
      </w:r>
      <w:r w:rsidRPr="0000099A">
        <w:rPr>
          <w:rFonts w:cs="Times New Roman"/>
          <w:noProof/>
          <w:lang w:val="en-US"/>
        </w:rPr>
        <w:tab/>
        <w:t>Razzouk B.I. et al. Double-blind, placebo-controlled study of quality of life, hematologic end points, and safety of weekly epoetin alfa in children with cancer receiving myelosuppressive chemotherapy // J. Clin. Oncol. J Clin Oncol, 2006. Vol. 24, № 22. P. 3583–3589.</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40.</w:t>
      </w:r>
      <w:r w:rsidRPr="0000099A">
        <w:rPr>
          <w:rFonts w:cs="Times New Roman"/>
          <w:noProof/>
          <w:lang w:val="en-US"/>
        </w:rPr>
        <w:tab/>
        <w:t>Lunyakova M., Rumyantsev A., Demikhov V. Effect of rHuEPO therapy on long-term survival of anemic children with acute lymphoblastic leukemia, undergoing chemotherapy // Haematologica. 2013. Vol. 98, № 1. P. 705.</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41.</w:t>
      </w:r>
      <w:r w:rsidRPr="0000099A">
        <w:rPr>
          <w:rFonts w:cs="Times New Roman"/>
          <w:noProof/>
          <w:lang w:val="en-US"/>
        </w:rPr>
        <w:tab/>
        <w:t>Abdelrazik N., Fouda M. Once weekly recombinant human erythropoietin treatment for cancer-induced anemia in children with acute lymphoblastic leukemia receiving maintenance chemotherapy: A randomized case-controlled study // Hematology. Hematology, 2007. Vol. 12, № 6. P. 533–541.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42.</w:t>
      </w:r>
      <w:r w:rsidRPr="0000099A">
        <w:rPr>
          <w:rFonts w:cs="Times New Roman"/>
          <w:noProof/>
          <w:lang w:val="en-US"/>
        </w:rPr>
        <w:tab/>
        <w:t>Büyükpamukçu M. et al. Is epoetin alfa a treatment option for chemotherapy-related anemia in children? // Med. Pediatr. Oncol. John Wiley &amp; Sons, Ltd, 2002. Vol. 39, № 4. P. 455–458.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43.</w:t>
      </w:r>
      <w:r w:rsidRPr="0000099A">
        <w:rPr>
          <w:rFonts w:cs="Times New Roman"/>
          <w:noProof/>
          <w:lang w:val="en-US"/>
        </w:rPr>
        <w:tab/>
        <w:t>Wagner L.M. et al. Combined use of erythropoietin and granulocyte colony-stimulating factor does not decrease blood transfusion requirements during induction therapy for high-risk neuroblastoma: A randomized controlled trial // J. Clin. Oncol. J Clin Oncol, 2004. Vol. 22, № 10. P. 1886–1893.</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44.</w:t>
      </w:r>
      <w:r w:rsidRPr="0000099A">
        <w:rPr>
          <w:rFonts w:cs="Times New Roman"/>
          <w:noProof/>
          <w:lang w:val="en-US"/>
        </w:rPr>
        <w:tab/>
        <w:t>Hinds P.S. et al. Hemoglobin Response and Improvements in Quality of Life in Anemic Children With Cancer Receiving Myelosuppressive Chemotherapy // J Support Oncol. 2005. Vol. 3, № Suppl. 4. P. 10–11.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45.</w:t>
      </w:r>
      <w:r w:rsidRPr="0000099A">
        <w:rPr>
          <w:rFonts w:cs="Times New Roman"/>
          <w:noProof/>
          <w:lang w:val="en-US"/>
        </w:rPr>
        <w:tab/>
        <w:t>Zachariah M. et al. Single dose darbepoetin alfa is useful in reducing red cell transfusions in leukemic children receiving chemotherapy // Pediatr. Hematol. Oncol. Informa Healthcare, 2014. Vol. 31, № 5. P. 442–447.</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46.</w:t>
      </w:r>
      <w:r w:rsidRPr="0000099A">
        <w:rPr>
          <w:rFonts w:cs="Times New Roman"/>
          <w:noProof/>
          <w:lang w:val="en-US"/>
        </w:rPr>
        <w:tab/>
        <w:t xml:space="preserve">Durmaz O., Demirkaya M., Sevinir B. Recombinant human erythropoietin </w:t>
      </w:r>
      <w:r w:rsidRPr="00AE5092">
        <w:rPr>
          <w:rFonts w:cs="Times New Roman"/>
          <w:noProof/>
        </w:rPr>
        <w:t>β</w:t>
      </w:r>
      <w:r w:rsidRPr="0000099A">
        <w:rPr>
          <w:rFonts w:cs="Times New Roman"/>
          <w:noProof/>
          <w:lang w:val="en-US"/>
        </w:rPr>
        <w:t>: the effect of weekly dosing on anemia, quality of life, and long-term outcomes in pediatric cancer patients // Pediatr. Hematol. Oncol. Pediatr Hematol Oncol, 2011. Vol. 28, № 6. P. 461–468.</w:t>
      </w:r>
    </w:p>
    <w:p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47.</w:t>
      </w:r>
      <w:r w:rsidRPr="0000099A">
        <w:rPr>
          <w:rFonts w:cs="Times New Roman"/>
          <w:noProof/>
          <w:lang w:val="en-US"/>
        </w:rPr>
        <w:tab/>
        <w:t xml:space="preserve">Hiradfar A., Banihosseinian M. The Efficacy of Recombinant Human Erythropoietin in Treatment Chemotherapy Induced Anemia in Children Diagnosed With a Solid Cancer // Iran J Ped Hematol Oncol. </w:t>
      </w:r>
      <w:r w:rsidRPr="00AE5092">
        <w:rPr>
          <w:rFonts w:cs="Times New Roman"/>
          <w:noProof/>
        </w:rPr>
        <w:t>2014. Vol. 4, № 4. P. 151–159.</w:t>
      </w:r>
    </w:p>
    <w:p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48.</w:t>
      </w:r>
      <w:r w:rsidRPr="00AE5092">
        <w:rPr>
          <w:rFonts w:cs="Times New Roman"/>
          <w:noProof/>
        </w:rPr>
        <w:tab/>
        <w:t xml:space="preserve">Морщакова Е.Ф. et al. Опыт применения эритропоэтина в детской онкологии и онкогематологии // Вопросы гематологии, онкологии и иммунопатологии в </w:t>
      </w:r>
      <w:r w:rsidRPr="00AE5092">
        <w:rPr>
          <w:rFonts w:cs="Times New Roman"/>
          <w:noProof/>
        </w:rPr>
        <w:lastRenderedPageBreak/>
        <w:t xml:space="preserve">педиатрии. </w:t>
      </w:r>
      <w:r w:rsidRPr="0000099A">
        <w:rPr>
          <w:rFonts w:cs="Times New Roman"/>
          <w:noProof/>
          <w:lang w:val="en-US"/>
        </w:rPr>
        <w:t>2008. Vol. 7, № 2. P. 16–20.</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49.</w:t>
      </w:r>
      <w:r w:rsidRPr="0000099A">
        <w:rPr>
          <w:rFonts w:cs="Times New Roman"/>
          <w:noProof/>
          <w:lang w:val="en-US"/>
        </w:rPr>
        <w:tab/>
        <w:t>Marec-Berard P. et al. 2007 Standards, Options, and Recommendations: Use of erythropoiesis- stimulating agents (ESA: Epoetin alfa, epoetin beta, and darbepoetin) for the management of anemia in children with cancer // Pediatric Blood and Cancer. Pediatr Blood Cancer, 2009. Vol. 53, № 1. P. 7–12.</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50.</w:t>
      </w:r>
      <w:r w:rsidRPr="0000099A">
        <w:rPr>
          <w:rFonts w:cs="Times New Roman"/>
          <w:noProof/>
          <w:lang w:val="en-US"/>
        </w:rPr>
        <w:tab/>
        <w:t>Feusner J. Guidelines for epo use in children with cancer // Pediatric Blood and Cancer. Pediatr Blood Cancer, 2009. Vol. 53, № 3. P. 308–309.</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51.</w:t>
      </w:r>
      <w:r w:rsidRPr="0000099A">
        <w:rPr>
          <w:rFonts w:cs="Times New Roman"/>
          <w:noProof/>
          <w:lang w:val="en-US"/>
        </w:rPr>
        <w:tab/>
        <w:t>Gewirtz D.A. et al. Erythropoietin fails to interfere with the antiproliferative and cytotoxic effects of antitumor drugs // Clin. Cancer Res. Clin Cancer Res, 2006. Vol. 12, № 7 I. P. 2232–2238.</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52.</w:t>
      </w:r>
      <w:r w:rsidRPr="0000099A">
        <w:rPr>
          <w:rFonts w:cs="Times New Roman"/>
          <w:noProof/>
          <w:lang w:val="en-US"/>
        </w:rPr>
        <w:tab/>
        <w:t>Bohlius J. et al. Management of cancer-associated anemia with erythropoiesis-stimulating agents: ASCO/ASH clinical practice guideline update // J. Clin. Oncol. American Society of Clinical Oncology, 2019. Vol. 37, № 15. P. 1336–1351.</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53.</w:t>
      </w:r>
      <w:r w:rsidRPr="0000099A">
        <w:rPr>
          <w:rFonts w:cs="Times New Roman"/>
          <w:noProof/>
          <w:lang w:val="en-US"/>
        </w:rPr>
        <w:tab/>
        <w:t>Bennett C.L. et al. Venous thromboembolism and mortality associated with recombinant erythropoietin and darbepoetin administration for the treatment of cancer-associated anemia // JAMA - J. Am. Med. Assoc. JAMA, 2008. Vol. 299, № 8. P. 914–924.</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54.</w:t>
      </w:r>
      <w:r w:rsidRPr="0000099A">
        <w:rPr>
          <w:rFonts w:cs="Times New Roman"/>
          <w:noProof/>
          <w:lang w:val="en-US"/>
        </w:rPr>
        <w:tab/>
        <w:t>Hedley B.D., Allan A.L., Xenocostas A. The role of erythropoietin and erythropoiesis-stimulating agents in tumor progression // Clinical Cancer Research. American Association for Cancer Research, 2011. Vol. 17, № 20. P. 6373–6380.</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55.</w:t>
      </w:r>
      <w:r w:rsidRPr="0000099A">
        <w:rPr>
          <w:rFonts w:cs="Times New Roman"/>
          <w:noProof/>
          <w:lang w:val="en-US"/>
        </w:rPr>
        <w:tab/>
        <w:t>Kokhaei P. et al. Expression of erythropoietin receptor and in vitro functional effects of epoetins in B-cell malignancies // Clin. Cancer Res. Clin Cancer Res, 2007. Vol. 13, № 12. P. 3536–3544.</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56.</w:t>
      </w:r>
      <w:r w:rsidRPr="0000099A">
        <w:rPr>
          <w:rFonts w:cs="Times New Roman"/>
          <w:noProof/>
          <w:lang w:val="en-US"/>
        </w:rPr>
        <w:tab/>
        <w:t>Takeshita A. et al. Quantitative expression of erythropoietin receptor (EPO-R) on acute leukaemia cells: Relationships between the amount of EPO-R and CD phenotypes, in vitro proliferative response, the amount of other cytokine receptors and clinical prognosis // Br. J. Haematol. Br J Haematol, 2000. Vol. 108, № 1. P. 55–63.</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57.</w:t>
      </w:r>
      <w:r w:rsidRPr="0000099A">
        <w:rPr>
          <w:rFonts w:cs="Times New Roman"/>
          <w:noProof/>
          <w:lang w:val="en-US"/>
        </w:rPr>
        <w:tab/>
        <w:t>DEL VECCHIO L., LOCATELLI F. Erythropoietin and iron therapy in patients with renal failure // Transfus. Altern. Transfus. Med. John Wiley &amp; Sons, Ltd, 2010. Vol. 11, № 1. P. 20–29.</w:t>
      </w:r>
    </w:p>
    <w:p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58.</w:t>
      </w:r>
      <w:r w:rsidRPr="0000099A">
        <w:rPr>
          <w:rFonts w:cs="Times New Roman"/>
          <w:noProof/>
          <w:lang w:val="en-US"/>
        </w:rPr>
        <w:tab/>
        <w:t>(UK) N.C.G.C. Alternatives to blood transfusion for patients having surgery: Oral iron, IV iron and erythropoietin. National Institute for Health and Care Excellence (UK), 2015.</w:t>
      </w:r>
    </w:p>
    <w:p w:rsidR="00685AA7" w:rsidRPr="0000099A" w:rsidRDefault="000145B4" w:rsidP="00AE5092">
      <w:pPr>
        <w:widowControl w:val="0"/>
        <w:autoSpaceDE w:val="0"/>
        <w:autoSpaceDN w:val="0"/>
        <w:adjustRightInd w:val="0"/>
        <w:ind w:left="640" w:hanging="640"/>
        <w:rPr>
          <w:lang w:val="en-US"/>
        </w:rPr>
      </w:pPr>
      <w:r>
        <w:fldChar w:fldCharType="end"/>
      </w:r>
    </w:p>
    <w:p w:rsidR="000414F6" w:rsidRDefault="00CB71DA" w:rsidP="00427B0E">
      <w:pPr>
        <w:pStyle w:val="afff1"/>
        <w:outlineLvl w:val="9"/>
      </w:pPr>
      <w:r>
        <w:lastRenderedPageBreak/>
        <w:t>ПриложениеА</w:t>
      </w:r>
      <w:r w:rsidRPr="00C9671F">
        <w:t xml:space="preserve">1. </w:t>
      </w:r>
      <w:r>
        <w:t>Состав рабочей группы</w:t>
      </w:r>
      <w:bookmarkEnd w:id="44"/>
      <w:r w:rsidR="005627B3">
        <w:t xml:space="preserve"> по разработке и пересмотру клинических рекомендаций</w:t>
      </w:r>
    </w:p>
    <w:p w:rsidR="00681884" w:rsidRPr="00681884" w:rsidRDefault="00681884" w:rsidP="00E25B6F">
      <w:pPr>
        <w:numPr>
          <w:ilvl w:val="0"/>
          <w:numId w:val="17"/>
        </w:numPr>
      </w:pPr>
      <w:r w:rsidRPr="00681884">
        <w:t>Румянцев Александр Григорьевич</w:t>
      </w:r>
      <w:r w:rsidR="00685AA7">
        <w:t xml:space="preserve"> – д.м.н., </w:t>
      </w:r>
      <w:r w:rsidRPr="00681884">
        <w:t>академик РАН, главный детский</w:t>
      </w:r>
      <w:r w:rsidRPr="00685AA7">
        <w:t>гематологМинистерстваздравоохранения Российской Федерации</w:t>
      </w:r>
      <w:r w:rsidRPr="00681884">
        <w:t>, генеральный директор ФГБУ ФНКЦ ДГОИ им. Дмитрия Рогачева, профессор кафедры гематологии, онкологии и лучевой терапии педиатрического факультета РНИМУ им. Н.И.Пирогова</w:t>
      </w:r>
    </w:p>
    <w:p w:rsidR="00681884" w:rsidRPr="00681884" w:rsidRDefault="00681884" w:rsidP="00E25B6F">
      <w:pPr>
        <w:numPr>
          <w:ilvl w:val="0"/>
          <w:numId w:val="17"/>
        </w:numPr>
      </w:pPr>
      <w:r w:rsidRPr="00681884">
        <w:t>Масчан Алексей Александрови</w:t>
      </w:r>
      <w:r w:rsidR="00685AA7">
        <w:t xml:space="preserve">ч – д.м.н., </w:t>
      </w:r>
      <w:r w:rsidRPr="00681884">
        <w:t xml:space="preserve">зам. генерального директора ФГБУ </w:t>
      </w:r>
      <w:r w:rsidR="00EE530C">
        <w:t xml:space="preserve">НМИЦ </w:t>
      </w:r>
      <w:r w:rsidRPr="00681884">
        <w:t>ДГОИ им. Дмитрия Рогачева, кафедры гематологии, онкологии и лучевой терапии педиатрического факультета РНИМУ им. Н.И.Пирогова, президент Национального общества детских гематологов и онкологов, член Европейского общества гематологов</w:t>
      </w:r>
    </w:p>
    <w:p w:rsidR="00681884" w:rsidRPr="00681884" w:rsidRDefault="00681884" w:rsidP="00E25B6F">
      <w:pPr>
        <w:numPr>
          <w:ilvl w:val="0"/>
          <w:numId w:val="17"/>
        </w:numPr>
      </w:pPr>
      <w:r w:rsidRPr="00681884">
        <w:t>Демихов Валерий Григорьевич</w:t>
      </w:r>
      <w:r w:rsidR="00685AA7">
        <w:t xml:space="preserve"> – д.м.н., </w:t>
      </w:r>
      <w:r w:rsidRPr="00681884">
        <w:t>проф., директор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w:t>
      </w:r>
    </w:p>
    <w:p w:rsidR="00681884" w:rsidRPr="00681884" w:rsidRDefault="00681884" w:rsidP="00E25B6F">
      <w:pPr>
        <w:numPr>
          <w:ilvl w:val="0"/>
          <w:numId w:val="17"/>
        </w:numPr>
      </w:pPr>
      <w:r w:rsidRPr="00681884">
        <w:t>Морщакова Елена Федоровна </w:t>
      </w:r>
      <w:r w:rsidR="00EE530C">
        <w:t>–</w:t>
      </w:r>
      <w:r w:rsidR="00685AA7">
        <w:t xml:space="preserve">д.м.н., </w:t>
      </w:r>
      <w:r w:rsidRPr="00681884">
        <w:t>профессор</w:t>
      </w:r>
    </w:p>
    <w:p w:rsidR="00681884" w:rsidRDefault="00681884" w:rsidP="00E25B6F">
      <w:pPr>
        <w:numPr>
          <w:ilvl w:val="0"/>
          <w:numId w:val="17"/>
        </w:numPr>
      </w:pPr>
      <w:r w:rsidRPr="00681884">
        <w:t>Лунякова Мария Анатольевна </w:t>
      </w:r>
      <w:r w:rsidR="00EE530C">
        <w:t xml:space="preserve">– к.м.н., </w:t>
      </w:r>
      <w:r w:rsidRPr="00681884">
        <w:t>зав. отделом гематологии и онкологии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w:t>
      </w:r>
    </w:p>
    <w:p w:rsidR="00685AA7" w:rsidRDefault="00EE530C" w:rsidP="00E25B6F">
      <w:pPr>
        <w:numPr>
          <w:ilvl w:val="0"/>
          <w:numId w:val="17"/>
        </w:numPr>
      </w:pPr>
      <w:r>
        <w:t xml:space="preserve">Сметанина Наталия Сергеевна – д.м.н., профессор, заместитель директора Института гематологии, иммунологии и клеточных технологий </w:t>
      </w:r>
      <w:r w:rsidRPr="00681884">
        <w:t xml:space="preserve">ФГБУ </w:t>
      </w:r>
      <w:r>
        <w:t>НМИЦ</w:t>
      </w:r>
      <w:r w:rsidRPr="00681884">
        <w:t xml:space="preserve"> ДГОИ им. Дмитрия Рогачева</w:t>
      </w:r>
    </w:p>
    <w:p w:rsidR="00D47897" w:rsidRPr="00D47897" w:rsidRDefault="00FB3A10" w:rsidP="00E25B6F">
      <w:pPr>
        <w:numPr>
          <w:ilvl w:val="0"/>
          <w:numId w:val="17"/>
        </w:numPr>
      </w:pPr>
      <w:r>
        <w:t>Моисеева Татьяна Николаевна –</w:t>
      </w:r>
      <w:r w:rsidR="00D47897">
        <w:t xml:space="preserve"> к.м.н., </w:t>
      </w:r>
      <w:r w:rsidR="00D47897" w:rsidRPr="00D47897">
        <w:rPr>
          <w:szCs w:val="24"/>
        </w:rPr>
        <w:t>заведующая консультативным гематологическим отделением с дневным стационаром ФГБУ «Национальный медицинский исследовательский центр гематологии» Минздрава России</w:t>
      </w:r>
    </w:p>
    <w:p w:rsidR="00FB3A10" w:rsidRPr="00681884" w:rsidRDefault="00FB3A10" w:rsidP="00D47897">
      <w:pPr>
        <w:numPr>
          <w:ilvl w:val="0"/>
          <w:numId w:val="17"/>
        </w:numPr>
      </w:pPr>
      <w:r>
        <w:t>Аль-Ради Любовь Саттаровна –</w:t>
      </w:r>
      <w:r w:rsidR="00D47897">
        <w:t xml:space="preserve"> к.м.н., </w:t>
      </w:r>
      <w:r w:rsidR="00D47897" w:rsidRPr="00D47897">
        <w:rPr>
          <w:szCs w:val="24"/>
        </w:rPr>
        <w:t xml:space="preserve">заместитель заведующей консультативным гематологическим отделением с дневным стационаром </w:t>
      </w:r>
      <w:r w:rsidR="00D47897" w:rsidRPr="00D47897">
        <w:rPr>
          <w:szCs w:val="24"/>
        </w:rPr>
        <w:br/>
        <w:t>по проведению химиотерапии ФГБУ «Национальный медицинский исследовательский центр гематологии» Минздрава России</w:t>
      </w:r>
    </w:p>
    <w:p w:rsidR="00B104EF" w:rsidRDefault="00B104EF" w:rsidP="00AF3168"/>
    <w:p w:rsidR="00681884" w:rsidRDefault="00681884" w:rsidP="00AF3168"/>
    <w:p w:rsidR="00B104EF" w:rsidRDefault="00B104EF" w:rsidP="00AF3168">
      <w:r>
        <w:t>Конфликт интересов:</w:t>
      </w:r>
      <w:r w:rsidR="00685AA7">
        <w:t>отсутствует</w:t>
      </w:r>
    </w:p>
    <w:p w:rsidR="0025228A" w:rsidRDefault="0025228A" w:rsidP="00AF3168"/>
    <w:p w:rsidR="000414F6" w:rsidRDefault="00CB71DA" w:rsidP="00C4630C">
      <w:pPr>
        <w:pStyle w:val="afff1"/>
      </w:pPr>
      <w:r>
        <w:br w:type="page"/>
      </w:r>
      <w:bookmarkStart w:id="45" w:name="__RefHeading___doc_a2"/>
      <w:bookmarkStart w:id="46" w:name="_Toc57983695"/>
      <w:r>
        <w:lastRenderedPageBreak/>
        <w:t>Приложение А2. Методология разработки клинических рекомендаций</w:t>
      </w:r>
      <w:bookmarkEnd w:id="45"/>
      <w:bookmarkEnd w:id="46"/>
    </w:p>
    <w:p w:rsidR="00681884" w:rsidRPr="00681884" w:rsidRDefault="00681884" w:rsidP="00681884">
      <w:pPr>
        <w:spacing w:after="200" w:line="276" w:lineRule="auto"/>
        <w:ind w:firstLine="0"/>
        <w:jc w:val="left"/>
        <w:divId w:val="1333020968"/>
        <w:rPr>
          <w:rFonts w:eastAsia="Calibri" w:cs="Times New Roman"/>
          <w:szCs w:val="24"/>
          <w:lang w:eastAsia="ru-RU"/>
        </w:rPr>
      </w:pPr>
      <w:bookmarkStart w:id="47" w:name="_Ref515967586"/>
      <w:r w:rsidRPr="00681884">
        <w:rPr>
          <w:rFonts w:eastAsia="Calibri" w:cs="Times New Roman"/>
          <w:szCs w:val="24"/>
          <w:lang w:eastAsia="ru-RU"/>
        </w:rPr>
        <w:t>Целевая аудитория данных клинических рекомендаций:</w:t>
      </w:r>
    </w:p>
    <w:p w:rsidR="00681884" w:rsidRPr="00EE530C" w:rsidRDefault="00681884" w:rsidP="00EE530C">
      <w:pPr>
        <w:pStyle w:val="afd"/>
        <w:numPr>
          <w:ilvl w:val="0"/>
          <w:numId w:val="25"/>
        </w:numPr>
        <w:spacing w:after="200" w:line="276" w:lineRule="auto"/>
        <w:jc w:val="left"/>
        <w:divId w:val="1333020968"/>
        <w:rPr>
          <w:rFonts w:eastAsia="Calibri" w:cs="Times New Roman"/>
          <w:szCs w:val="24"/>
          <w:lang w:eastAsia="ru-RU"/>
        </w:rPr>
      </w:pPr>
      <w:r w:rsidRPr="00EE530C">
        <w:rPr>
          <w:rFonts w:eastAsia="Calibri" w:cs="Times New Roman"/>
          <w:szCs w:val="24"/>
          <w:lang w:eastAsia="ru-RU"/>
        </w:rPr>
        <w:t>Врачи-Гематологи 31.08.29</w:t>
      </w:r>
    </w:p>
    <w:p w:rsidR="00681884" w:rsidRPr="00EE530C" w:rsidRDefault="00681884" w:rsidP="00EE530C">
      <w:pPr>
        <w:pStyle w:val="afd"/>
        <w:numPr>
          <w:ilvl w:val="0"/>
          <w:numId w:val="25"/>
        </w:numPr>
        <w:spacing w:after="200" w:line="276" w:lineRule="auto"/>
        <w:jc w:val="left"/>
        <w:divId w:val="1333020968"/>
        <w:rPr>
          <w:rFonts w:eastAsia="Calibri" w:cs="Times New Roman"/>
          <w:szCs w:val="24"/>
          <w:lang w:eastAsia="ru-RU"/>
        </w:rPr>
      </w:pPr>
      <w:r w:rsidRPr="00EE530C">
        <w:rPr>
          <w:rFonts w:eastAsia="Calibri" w:cs="Times New Roman"/>
          <w:szCs w:val="24"/>
          <w:lang w:eastAsia="ru-RU"/>
        </w:rPr>
        <w:t>Детские врачи-онкологи 31.08.14</w:t>
      </w:r>
    </w:p>
    <w:p w:rsidR="00681884" w:rsidRPr="00EE530C" w:rsidRDefault="00681884" w:rsidP="00EE530C">
      <w:pPr>
        <w:pStyle w:val="afd"/>
        <w:numPr>
          <w:ilvl w:val="0"/>
          <w:numId w:val="25"/>
        </w:numPr>
        <w:spacing w:after="200" w:line="276" w:lineRule="auto"/>
        <w:jc w:val="left"/>
        <w:divId w:val="1333020968"/>
        <w:rPr>
          <w:rFonts w:eastAsia="Calibri" w:cs="Times New Roman"/>
          <w:szCs w:val="24"/>
          <w:lang w:eastAsia="ru-RU"/>
        </w:rPr>
      </w:pPr>
      <w:r w:rsidRPr="00EE530C">
        <w:rPr>
          <w:rFonts w:eastAsia="Calibri" w:cs="Times New Roman"/>
          <w:szCs w:val="24"/>
          <w:lang w:eastAsia="ru-RU"/>
        </w:rPr>
        <w:t>Врачи-Педиатры 31.08.19</w:t>
      </w:r>
    </w:p>
    <w:p w:rsidR="00681884" w:rsidRDefault="00681884" w:rsidP="00A91645">
      <w:pPr>
        <w:divId w:val="1333020968"/>
        <w:rPr>
          <w:b/>
        </w:rPr>
      </w:pPr>
    </w:p>
    <w:p w:rsidR="00681884" w:rsidRDefault="00681884" w:rsidP="00A91645">
      <w:pPr>
        <w:divId w:val="1333020968"/>
        <w:rPr>
          <w:b/>
        </w:rPr>
      </w:pPr>
    </w:p>
    <w:p w:rsidR="00A91645" w:rsidRPr="007C14EE" w:rsidRDefault="00A91645" w:rsidP="00A91645">
      <w:pPr>
        <w:divId w:val="1333020968"/>
        <w:rPr>
          <w:rFonts w:eastAsia="Calibri"/>
        </w:rPr>
      </w:pPr>
      <w:r w:rsidRPr="007C14EE">
        <w:rPr>
          <w:b/>
        </w:rPr>
        <w:t xml:space="preserve">Таблица </w:t>
      </w:r>
      <w:r w:rsidR="000145B4" w:rsidRPr="007C14EE">
        <w:rPr>
          <w:b/>
        </w:rPr>
        <w:fldChar w:fldCharType="begin"/>
      </w:r>
      <w:r w:rsidRPr="007C14EE">
        <w:rPr>
          <w:b/>
        </w:rPr>
        <w:instrText xml:space="preserve"> SEQ Таблица \* ARABIC </w:instrText>
      </w:r>
      <w:r w:rsidR="000145B4" w:rsidRPr="007C14EE">
        <w:rPr>
          <w:b/>
        </w:rPr>
        <w:fldChar w:fldCharType="separate"/>
      </w:r>
      <w:r>
        <w:rPr>
          <w:b/>
          <w:noProof/>
        </w:rPr>
        <w:t>1</w:t>
      </w:r>
      <w:r w:rsidR="000145B4" w:rsidRPr="007C14EE">
        <w:rPr>
          <w:b/>
        </w:rPr>
        <w:fldChar w:fldCharType="end"/>
      </w:r>
      <w:bookmarkEnd w:id="47"/>
      <w:r w:rsidRPr="007C14EE">
        <w:rPr>
          <w:rFonts w:eastAsia="Calibri"/>
          <w:b/>
        </w:rPr>
        <w:t>.</w:t>
      </w:r>
      <w:r>
        <w:rPr>
          <w:rFonts w:eastAsia="Calibri"/>
        </w:rPr>
        <w:t>Шкала оценки уровней достоверности доказательств (</w:t>
      </w:r>
      <w:r w:rsidRPr="00544207">
        <w:rPr>
          <w:rFonts w:eastAsia="Calibri"/>
        </w:rPr>
        <w:t>УДД</w:t>
      </w:r>
      <w:r>
        <w:rPr>
          <w:rFonts w:eastAsia="Calibri"/>
        </w:rPr>
        <w:t>)для методов диагностики</w:t>
      </w:r>
      <w:r w:rsidR="005C7877">
        <w:rPr>
          <w:rFonts w:eastAsia="Calibri"/>
        </w:rPr>
        <w:t xml:space="preserve"> (диагностических вмешательств)</w:t>
      </w:r>
    </w:p>
    <w:tbl>
      <w:tblPr>
        <w:tblStyle w:val="19"/>
        <w:tblW w:w="5000" w:type="pct"/>
        <w:tblLook w:val="04A0"/>
      </w:tblPr>
      <w:tblGrid>
        <w:gridCol w:w="817"/>
        <w:gridCol w:w="8748"/>
      </w:tblGrid>
      <w:tr w:rsidR="00A91645" w:rsidRPr="005C1B2B" w:rsidTr="00334F6C">
        <w:trPr>
          <w:divId w:val="1333020968"/>
          <w:trHeight w:val="58"/>
        </w:trPr>
        <w:tc>
          <w:tcPr>
            <w:tcW w:w="427" w:type="pct"/>
          </w:tcPr>
          <w:p w:rsidR="00A91645" w:rsidRPr="005C1B2B" w:rsidRDefault="00A91645" w:rsidP="005219AF">
            <w:pPr>
              <w:spacing w:line="276" w:lineRule="auto"/>
              <w:ind w:firstLine="0"/>
              <w:jc w:val="center"/>
              <w:rPr>
                <w:b/>
                <w:color w:val="000000"/>
              </w:rPr>
            </w:pPr>
            <w:r w:rsidRPr="005C1B2B">
              <w:rPr>
                <w:b/>
                <w:color w:val="000000"/>
              </w:rPr>
              <w:t>УДД</w:t>
            </w:r>
          </w:p>
        </w:tc>
        <w:tc>
          <w:tcPr>
            <w:tcW w:w="4573" w:type="pct"/>
          </w:tcPr>
          <w:p w:rsidR="00A91645" w:rsidRPr="005C1B2B" w:rsidRDefault="00A91645" w:rsidP="005219AF">
            <w:pPr>
              <w:spacing w:line="276" w:lineRule="auto"/>
              <w:ind w:firstLine="0"/>
              <w:jc w:val="center"/>
              <w:rPr>
                <w:b/>
                <w:color w:val="000000"/>
              </w:rPr>
            </w:pPr>
            <w:r>
              <w:rPr>
                <w:b/>
                <w:color w:val="000000"/>
              </w:rPr>
              <w:t>Расшифровка</w:t>
            </w:r>
          </w:p>
        </w:tc>
      </w:tr>
      <w:tr w:rsidR="00A91645" w:rsidRPr="005C1B2B" w:rsidTr="00334F6C">
        <w:trPr>
          <w:divId w:val="1333020968"/>
        </w:trPr>
        <w:tc>
          <w:tcPr>
            <w:tcW w:w="427" w:type="pct"/>
          </w:tcPr>
          <w:p w:rsidR="00A91645" w:rsidRPr="005C1B2B" w:rsidRDefault="00A91645" w:rsidP="005219AF">
            <w:pPr>
              <w:spacing w:line="276" w:lineRule="auto"/>
              <w:ind w:firstLine="0"/>
              <w:jc w:val="center"/>
              <w:rPr>
                <w:color w:val="000000"/>
              </w:rPr>
            </w:pPr>
            <w:r w:rsidRPr="005C1B2B">
              <w:rPr>
                <w:color w:val="000000"/>
              </w:rPr>
              <w:t>1</w:t>
            </w:r>
          </w:p>
        </w:tc>
        <w:tc>
          <w:tcPr>
            <w:tcW w:w="4573" w:type="pct"/>
          </w:tcPr>
          <w:p w:rsidR="00A91645" w:rsidRPr="005C1B2B" w:rsidRDefault="00A91645" w:rsidP="00A91645">
            <w:pPr>
              <w:spacing w:line="276" w:lineRule="auto"/>
              <w:ind w:firstLine="0"/>
              <w:rPr>
                <w:color w:val="000000"/>
              </w:rPr>
            </w:pPr>
            <w:r>
              <w:rPr>
                <w:color w:val="000000"/>
              </w:rPr>
              <w:t>С</w:t>
            </w:r>
            <w:r w:rsidRPr="005C1B2B">
              <w:rPr>
                <w:color w:val="000000"/>
              </w:rPr>
              <w:t>истематические обзоры исследований с контролем референсным методом</w:t>
            </w:r>
            <w:r>
              <w:t xml:space="preserve"> или систематический обзор </w:t>
            </w:r>
            <w:r w:rsidR="005C7877">
              <w:t>рандомизированных клинических исследований с применением мета-анализа</w:t>
            </w:r>
          </w:p>
        </w:tc>
      </w:tr>
      <w:tr w:rsidR="00A91645" w:rsidRPr="005C1B2B" w:rsidTr="00334F6C">
        <w:trPr>
          <w:divId w:val="1333020968"/>
        </w:trPr>
        <w:tc>
          <w:tcPr>
            <w:tcW w:w="427" w:type="pct"/>
          </w:tcPr>
          <w:p w:rsidR="00A91645" w:rsidRPr="005C1B2B" w:rsidRDefault="00A91645" w:rsidP="005219AF">
            <w:pPr>
              <w:spacing w:line="276" w:lineRule="auto"/>
              <w:ind w:firstLine="0"/>
              <w:jc w:val="center"/>
              <w:rPr>
                <w:color w:val="000000"/>
              </w:rPr>
            </w:pPr>
            <w:r w:rsidRPr="005C1B2B">
              <w:rPr>
                <w:color w:val="000000"/>
              </w:rPr>
              <w:t>2</w:t>
            </w:r>
          </w:p>
        </w:tc>
        <w:tc>
          <w:tcPr>
            <w:tcW w:w="4573" w:type="pct"/>
          </w:tcPr>
          <w:p w:rsidR="00A91645" w:rsidRPr="005C1B2B" w:rsidRDefault="00A91645" w:rsidP="005219AF">
            <w:pPr>
              <w:spacing w:line="276" w:lineRule="auto"/>
              <w:ind w:firstLine="0"/>
              <w:rPr>
                <w:color w:val="000000"/>
              </w:rPr>
            </w:pPr>
            <w:r w:rsidRPr="005C1B2B">
              <w:rPr>
                <w:color w:val="000000"/>
              </w:rPr>
              <w:t>Отдельные исследования с контролем референсным методом</w:t>
            </w:r>
            <w:r w:rsidR="005C7877">
              <w:rPr>
                <w:color w:val="000000"/>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5C1B2B" w:rsidTr="00334F6C">
        <w:trPr>
          <w:divId w:val="1333020968"/>
        </w:trPr>
        <w:tc>
          <w:tcPr>
            <w:tcW w:w="427" w:type="pct"/>
          </w:tcPr>
          <w:p w:rsidR="00A91645" w:rsidRPr="005C1B2B" w:rsidRDefault="00A91645" w:rsidP="005219AF">
            <w:pPr>
              <w:spacing w:line="276" w:lineRule="auto"/>
              <w:ind w:firstLine="0"/>
              <w:jc w:val="center"/>
              <w:rPr>
                <w:color w:val="000000"/>
              </w:rPr>
            </w:pPr>
            <w:r w:rsidRPr="005C1B2B">
              <w:rPr>
                <w:color w:val="000000"/>
              </w:rPr>
              <w:t>3</w:t>
            </w:r>
          </w:p>
        </w:tc>
        <w:tc>
          <w:tcPr>
            <w:tcW w:w="4573" w:type="pct"/>
          </w:tcPr>
          <w:p w:rsidR="00A91645" w:rsidRPr="005C1B2B" w:rsidRDefault="00A91645" w:rsidP="005219AF">
            <w:pPr>
              <w:spacing w:line="276" w:lineRule="auto"/>
              <w:ind w:firstLine="0"/>
              <w:rPr>
                <w:color w:val="000000"/>
              </w:rPr>
            </w:pPr>
            <w:r w:rsidRPr="005C1B2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Pr>
                <w:color w:val="000000"/>
              </w:rPr>
              <w:t xml:space="preserve"> или нерандомизированные сравнительные исследования, в том числе когортные исследования</w:t>
            </w:r>
          </w:p>
        </w:tc>
      </w:tr>
      <w:tr w:rsidR="00A91645" w:rsidRPr="005C1B2B" w:rsidTr="00334F6C">
        <w:trPr>
          <w:divId w:val="1333020968"/>
        </w:trPr>
        <w:tc>
          <w:tcPr>
            <w:tcW w:w="427" w:type="pct"/>
          </w:tcPr>
          <w:p w:rsidR="00A91645" w:rsidRPr="005C1B2B" w:rsidRDefault="00A91645" w:rsidP="005219AF">
            <w:pPr>
              <w:spacing w:line="276" w:lineRule="auto"/>
              <w:ind w:firstLine="0"/>
              <w:jc w:val="center"/>
              <w:rPr>
                <w:color w:val="000000"/>
              </w:rPr>
            </w:pPr>
            <w:r w:rsidRPr="005C1B2B">
              <w:rPr>
                <w:color w:val="000000"/>
              </w:rPr>
              <w:t>4</w:t>
            </w:r>
          </w:p>
        </w:tc>
        <w:tc>
          <w:tcPr>
            <w:tcW w:w="4573" w:type="pct"/>
          </w:tcPr>
          <w:p w:rsidR="00A91645" w:rsidRPr="005C1B2B" w:rsidRDefault="00A91645" w:rsidP="005219AF">
            <w:pPr>
              <w:spacing w:line="276" w:lineRule="auto"/>
              <w:ind w:firstLine="0"/>
              <w:rPr>
                <w:color w:val="000000"/>
              </w:rPr>
            </w:pPr>
            <w:r w:rsidRPr="005C1B2B">
              <w:rPr>
                <w:color w:val="000000"/>
              </w:rPr>
              <w:t>Несравнительные исследования, описание клинического случая</w:t>
            </w:r>
          </w:p>
        </w:tc>
      </w:tr>
      <w:tr w:rsidR="00A91645" w:rsidRPr="005C1B2B" w:rsidTr="00334F6C">
        <w:trPr>
          <w:divId w:val="1333020968"/>
        </w:trPr>
        <w:tc>
          <w:tcPr>
            <w:tcW w:w="427" w:type="pct"/>
          </w:tcPr>
          <w:p w:rsidR="00A91645" w:rsidRPr="005C1B2B" w:rsidRDefault="00A91645" w:rsidP="005219AF">
            <w:pPr>
              <w:spacing w:line="276" w:lineRule="auto"/>
              <w:ind w:firstLine="0"/>
              <w:jc w:val="center"/>
              <w:rPr>
                <w:color w:val="000000"/>
              </w:rPr>
            </w:pPr>
            <w:r w:rsidRPr="005C1B2B">
              <w:rPr>
                <w:color w:val="000000"/>
              </w:rPr>
              <w:t>5</w:t>
            </w:r>
          </w:p>
        </w:tc>
        <w:tc>
          <w:tcPr>
            <w:tcW w:w="4573" w:type="pct"/>
          </w:tcPr>
          <w:p w:rsidR="00A91645" w:rsidRPr="005C1B2B" w:rsidRDefault="00A91645" w:rsidP="005219AF">
            <w:pPr>
              <w:spacing w:line="276" w:lineRule="auto"/>
              <w:ind w:firstLine="0"/>
              <w:rPr>
                <w:color w:val="000000"/>
              </w:rPr>
            </w:pPr>
            <w:r w:rsidRPr="005C1B2B">
              <w:rPr>
                <w:color w:val="000000"/>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48" w:name="_Ref515967623"/>
      <w:r w:rsidRPr="007C14EE">
        <w:rPr>
          <w:b/>
        </w:rPr>
        <w:t xml:space="preserve">Таблица </w:t>
      </w:r>
      <w:r w:rsidR="000145B4" w:rsidRPr="007C14EE">
        <w:rPr>
          <w:b/>
        </w:rPr>
        <w:fldChar w:fldCharType="begin"/>
      </w:r>
      <w:r w:rsidRPr="007C14EE">
        <w:rPr>
          <w:b/>
        </w:rPr>
        <w:instrText xml:space="preserve"> SEQ Таблица \* ARABIC </w:instrText>
      </w:r>
      <w:r w:rsidR="000145B4" w:rsidRPr="007C14EE">
        <w:rPr>
          <w:b/>
        </w:rPr>
        <w:fldChar w:fldCharType="separate"/>
      </w:r>
      <w:r>
        <w:rPr>
          <w:b/>
          <w:noProof/>
        </w:rPr>
        <w:t>2</w:t>
      </w:r>
      <w:r w:rsidR="000145B4" w:rsidRPr="007C14EE">
        <w:rPr>
          <w:b/>
        </w:rPr>
        <w:fldChar w:fldCharType="end"/>
      </w:r>
      <w:bookmarkEnd w:id="48"/>
      <w:r w:rsidRPr="007C14EE">
        <w:rPr>
          <w:rFonts w:eastAsia="Calibri"/>
          <w:b/>
        </w:rPr>
        <w:t>.</w:t>
      </w:r>
      <w:r w:rsidR="005C7877">
        <w:t>Шкала оценки уровней достоверности доказательств (</w:t>
      </w:r>
      <w:r w:rsidR="005C7877" w:rsidRPr="003311A4">
        <w:t>УДД</w:t>
      </w:r>
      <w:r w:rsidR="005C7877">
        <w:t>)</w:t>
      </w:r>
      <w:r w:rsidR="005C7877">
        <w:rPr>
          <w:rFonts w:eastAsia="Calibri"/>
        </w:rPr>
        <w:t xml:space="preserve">для методов профилактики, лечения и реабилитации (профилактических, </w:t>
      </w:r>
      <w:r w:rsidR="009C0364">
        <w:rPr>
          <w:rFonts w:eastAsia="Calibri"/>
        </w:rPr>
        <w:t>лечебных, реабилитационных</w:t>
      </w:r>
      <w:r w:rsidR="005C7877" w:rsidRPr="00257C6C">
        <w:rPr>
          <w:rFonts w:eastAsia="Calibri"/>
        </w:rPr>
        <w:t xml:space="preserve"> вмешательств</w:t>
      </w:r>
      <w:r w:rsidR="009C0364">
        <w:rPr>
          <w:rFonts w:eastAsia="Calibri"/>
        </w:rPr>
        <w:t>)</w:t>
      </w:r>
    </w:p>
    <w:tbl>
      <w:tblPr>
        <w:tblStyle w:val="19"/>
        <w:tblW w:w="5074" w:type="pct"/>
        <w:tblLook w:val="04A0"/>
      </w:tblPr>
      <w:tblGrid>
        <w:gridCol w:w="723"/>
        <w:gridCol w:w="8984"/>
      </w:tblGrid>
      <w:tr w:rsidR="005C7877" w:rsidRPr="00495C9E" w:rsidTr="005C7877">
        <w:trPr>
          <w:divId w:val="1333020968"/>
        </w:trPr>
        <w:tc>
          <w:tcPr>
            <w:tcW w:w="360" w:type="pct"/>
          </w:tcPr>
          <w:p w:rsidR="005C7877" w:rsidRPr="00495C9E" w:rsidRDefault="005C7877" w:rsidP="005219AF">
            <w:pPr>
              <w:spacing w:line="240" w:lineRule="auto"/>
              <w:ind w:firstLine="0"/>
              <w:jc w:val="center"/>
              <w:rPr>
                <w:b/>
                <w:color w:val="000000"/>
              </w:rPr>
            </w:pPr>
            <w:r w:rsidRPr="00495C9E">
              <w:rPr>
                <w:b/>
                <w:color w:val="000000"/>
              </w:rPr>
              <w:t>УДД</w:t>
            </w:r>
          </w:p>
        </w:tc>
        <w:tc>
          <w:tcPr>
            <w:tcW w:w="4640" w:type="pct"/>
          </w:tcPr>
          <w:p w:rsidR="005C7877" w:rsidRPr="00495C9E" w:rsidRDefault="009C0364" w:rsidP="009C0364">
            <w:pPr>
              <w:spacing w:line="240" w:lineRule="auto"/>
              <w:ind w:firstLine="0"/>
              <w:jc w:val="center"/>
              <w:rPr>
                <w:b/>
                <w:color w:val="000000"/>
              </w:rPr>
            </w:pPr>
            <w:r>
              <w:rPr>
                <w:b/>
                <w:color w:val="000000"/>
              </w:rPr>
              <w:t xml:space="preserve">Расшифровка </w:t>
            </w:r>
          </w:p>
        </w:tc>
      </w:tr>
      <w:tr w:rsidR="005C7877" w:rsidRPr="00495C9E" w:rsidTr="005C7877">
        <w:trPr>
          <w:divId w:val="1333020968"/>
        </w:trPr>
        <w:tc>
          <w:tcPr>
            <w:tcW w:w="360" w:type="pct"/>
          </w:tcPr>
          <w:p w:rsidR="005C7877" w:rsidRPr="00495C9E" w:rsidRDefault="005C7877" w:rsidP="005219AF">
            <w:pPr>
              <w:spacing w:line="240" w:lineRule="auto"/>
              <w:ind w:firstLine="0"/>
              <w:jc w:val="center"/>
              <w:rPr>
                <w:color w:val="000000"/>
              </w:rPr>
            </w:pPr>
            <w:r w:rsidRPr="00495C9E">
              <w:rPr>
                <w:color w:val="000000"/>
              </w:rPr>
              <w:t>1</w:t>
            </w:r>
          </w:p>
        </w:tc>
        <w:tc>
          <w:tcPr>
            <w:tcW w:w="4640" w:type="pct"/>
          </w:tcPr>
          <w:p w:rsidR="005C7877" w:rsidRPr="00495C9E" w:rsidRDefault="005C7877" w:rsidP="005219AF">
            <w:pPr>
              <w:spacing w:line="240" w:lineRule="auto"/>
              <w:ind w:firstLine="0"/>
              <w:rPr>
                <w:color w:val="000000"/>
              </w:rPr>
            </w:pPr>
            <w:r w:rsidRPr="00495C9E">
              <w:rPr>
                <w:color w:val="000000"/>
              </w:rPr>
              <w:t>Систематический обзор</w:t>
            </w:r>
            <w:r>
              <w:rPr>
                <w:color w:val="000000"/>
              </w:rPr>
              <w:t xml:space="preserve"> РКИ с применением мета-анализа</w:t>
            </w:r>
          </w:p>
        </w:tc>
      </w:tr>
      <w:tr w:rsidR="005C7877" w:rsidRPr="00495C9E" w:rsidTr="005C7877">
        <w:trPr>
          <w:divId w:val="1333020968"/>
        </w:trPr>
        <w:tc>
          <w:tcPr>
            <w:tcW w:w="360" w:type="pct"/>
          </w:tcPr>
          <w:p w:rsidR="005C7877" w:rsidRPr="00495C9E" w:rsidRDefault="005C7877" w:rsidP="005219AF">
            <w:pPr>
              <w:spacing w:line="240" w:lineRule="auto"/>
              <w:ind w:firstLine="0"/>
              <w:jc w:val="center"/>
              <w:rPr>
                <w:color w:val="000000"/>
                <w:lang w:val="en-US"/>
              </w:rPr>
            </w:pPr>
            <w:r w:rsidRPr="00495C9E">
              <w:rPr>
                <w:color w:val="000000"/>
              </w:rPr>
              <w:t>2</w:t>
            </w:r>
          </w:p>
        </w:tc>
        <w:tc>
          <w:tcPr>
            <w:tcW w:w="4640" w:type="pct"/>
          </w:tcPr>
          <w:p w:rsidR="005C7877" w:rsidRPr="00495C9E" w:rsidRDefault="005C7877" w:rsidP="005219AF">
            <w:pPr>
              <w:spacing w:line="240" w:lineRule="auto"/>
              <w:ind w:firstLine="0"/>
              <w:rPr>
                <w:color w:val="000000"/>
              </w:rPr>
            </w:pPr>
            <w:r w:rsidRPr="00495C9E">
              <w:rPr>
                <w:color w:val="000000"/>
              </w:rPr>
              <w:t xml:space="preserve">Отдельные РКИ и систематические обзоры исследований любого </w:t>
            </w:r>
            <w:r w:rsidR="009C0364">
              <w:rPr>
                <w:color w:val="000000"/>
              </w:rPr>
              <w:t xml:space="preserve">дизайна, за исключением РКИ, </w:t>
            </w:r>
            <w:r w:rsidRPr="00495C9E">
              <w:rPr>
                <w:color w:val="000000"/>
              </w:rPr>
              <w:t>с применением мета-анализа</w:t>
            </w:r>
          </w:p>
        </w:tc>
      </w:tr>
      <w:tr w:rsidR="005C7877" w:rsidRPr="00495C9E" w:rsidTr="005C7877">
        <w:trPr>
          <w:divId w:val="1333020968"/>
        </w:trPr>
        <w:tc>
          <w:tcPr>
            <w:tcW w:w="360" w:type="pct"/>
          </w:tcPr>
          <w:p w:rsidR="005C7877" w:rsidRPr="00495C9E" w:rsidRDefault="005C7877" w:rsidP="005219AF">
            <w:pPr>
              <w:spacing w:line="240" w:lineRule="auto"/>
              <w:ind w:firstLine="0"/>
              <w:jc w:val="center"/>
              <w:rPr>
                <w:color w:val="000000"/>
              </w:rPr>
            </w:pPr>
            <w:r w:rsidRPr="00495C9E">
              <w:rPr>
                <w:color w:val="000000"/>
              </w:rPr>
              <w:t>3</w:t>
            </w:r>
          </w:p>
        </w:tc>
        <w:tc>
          <w:tcPr>
            <w:tcW w:w="4640" w:type="pct"/>
          </w:tcPr>
          <w:p w:rsidR="005C7877" w:rsidRPr="00495C9E" w:rsidRDefault="005C7877" w:rsidP="005219AF">
            <w:pPr>
              <w:spacing w:line="240" w:lineRule="auto"/>
              <w:ind w:firstLine="0"/>
              <w:rPr>
                <w:color w:val="000000"/>
              </w:rPr>
            </w:pPr>
            <w:r w:rsidRPr="00495C9E">
              <w:rPr>
                <w:color w:val="000000"/>
              </w:rPr>
              <w:t>Нерандомизированные сравнительные исследования, в т.ч. когортные исследования</w:t>
            </w:r>
          </w:p>
        </w:tc>
      </w:tr>
      <w:tr w:rsidR="005C7877" w:rsidRPr="00495C9E" w:rsidTr="005C7877">
        <w:trPr>
          <w:divId w:val="1333020968"/>
        </w:trPr>
        <w:tc>
          <w:tcPr>
            <w:tcW w:w="360" w:type="pct"/>
          </w:tcPr>
          <w:p w:rsidR="005C7877" w:rsidRPr="00495C9E" w:rsidRDefault="005C7877" w:rsidP="005219AF">
            <w:pPr>
              <w:spacing w:line="240" w:lineRule="auto"/>
              <w:ind w:firstLine="0"/>
              <w:jc w:val="center"/>
              <w:rPr>
                <w:color w:val="000000"/>
              </w:rPr>
            </w:pPr>
            <w:r w:rsidRPr="00495C9E">
              <w:rPr>
                <w:color w:val="000000"/>
              </w:rPr>
              <w:t>4</w:t>
            </w:r>
          </w:p>
        </w:tc>
        <w:tc>
          <w:tcPr>
            <w:tcW w:w="4640" w:type="pct"/>
          </w:tcPr>
          <w:p w:rsidR="005C7877" w:rsidRPr="00495C9E" w:rsidRDefault="005C7877" w:rsidP="005219AF">
            <w:pPr>
              <w:spacing w:line="240" w:lineRule="auto"/>
              <w:ind w:firstLine="0"/>
              <w:rPr>
                <w:color w:val="000000"/>
              </w:rPr>
            </w:pPr>
            <w:r w:rsidRPr="00495C9E">
              <w:rPr>
                <w:color w:val="000000"/>
              </w:rPr>
              <w:t>Несравнительные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5C7877" w:rsidRPr="00495C9E" w:rsidTr="005C7877">
        <w:trPr>
          <w:divId w:val="1333020968"/>
        </w:trPr>
        <w:tc>
          <w:tcPr>
            <w:tcW w:w="360" w:type="pct"/>
          </w:tcPr>
          <w:p w:rsidR="005C7877" w:rsidRPr="00495C9E" w:rsidRDefault="005C7877" w:rsidP="005219AF">
            <w:pPr>
              <w:spacing w:line="240" w:lineRule="auto"/>
              <w:ind w:firstLine="0"/>
              <w:jc w:val="center"/>
              <w:rPr>
                <w:color w:val="000000"/>
              </w:rPr>
            </w:pPr>
            <w:r w:rsidRPr="00495C9E">
              <w:rPr>
                <w:color w:val="000000"/>
              </w:rPr>
              <w:t>5</w:t>
            </w:r>
          </w:p>
        </w:tc>
        <w:tc>
          <w:tcPr>
            <w:tcW w:w="4640" w:type="pct"/>
          </w:tcPr>
          <w:p w:rsidR="005C7877" w:rsidRPr="00495C9E" w:rsidRDefault="005C7877" w:rsidP="005219AF">
            <w:pPr>
              <w:spacing w:line="240" w:lineRule="auto"/>
              <w:ind w:firstLine="0"/>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49" w:name="_Ref515967732"/>
      <w:r w:rsidRPr="00B15720">
        <w:rPr>
          <w:b/>
        </w:rPr>
        <w:lastRenderedPageBreak/>
        <w:t xml:space="preserve">Таблица </w:t>
      </w:r>
      <w:bookmarkEnd w:id="49"/>
      <w:r>
        <w:rPr>
          <w:b/>
        </w:rPr>
        <w:t>3</w:t>
      </w:r>
      <w:r w:rsidRPr="00B15720">
        <w:rPr>
          <w:b/>
        </w:rPr>
        <w:t>.</w:t>
      </w:r>
      <w:r>
        <w:t>Шкала оценки уровней убедительности рекомендаций(</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Style w:val="19"/>
        <w:tblW w:w="5000" w:type="pct"/>
        <w:tblLook w:val="04A0"/>
      </w:tblPr>
      <w:tblGrid>
        <w:gridCol w:w="1362"/>
        <w:gridCol w:w="8203"/>
      </w:tblGrid>
      <w:tr w:rsidR="009C0364" w:rsidRPr="003311A4" w:rsidTr="000B7A71">
        <w:trPr>
          <w:divId w:val="1333020968"/>
        </w:trPr>
        <w:tc>
          <w:tcPr>
            <w:tcW w:w="712" w:type="pct"/>
          </w:tcPr>
          <w:p w:rsidR="009C0364" w:rsidRPr="003311A4" w:rsidRDefault="009C0364" w:rsidP="005219AF">
            <w:pPr>
              <w:spacing w:line="240" w:lineRule="auto"/>
              <w:ind w:firstLine="0"/>
              <w:jc w:val="center"/>
              <w:rPr>
                <w:b/>
                <w:color w:val="000000" w:themeColor="text1"/>
              </w:rPr>
            </w:pPr>
            <w:r w:rsidRPr="003311A4">
              <w:rPr>
                <w:b/>
                <w:color w:val="000000" w:themeColor="text1"/>
              </w:rPr>
              <w:t>УУР</w:t>
            </w:r>
          </w:p>
        </w:tc>
        <w:tc>
          <w:tcPr>
            <w:tcW w:w="4288" w:type="pct"/>
          </w:tcPr>
          <w:p w:rsidR="009C0364" w:rsidRPr="003311A4" w:rsidRDefault="009C0364" w:rsidP="005219AF">
            <w:pPr>
              <w:spacing w:line="240" w:lineRule="auto"/>
              <w:ind w:firstLine="0"/>
              <w:jc w:val="center"/>
              <w:rPr>
                <w:b/>
                <w:color w:val="000000" w:themeColor="text1"/>
              </w:rPr>
            </w:pPr>
            <w:r w:rsidRPr="003311A4">
              <w:rPr>
                <w:b/>
                <w:color w:val="000000" w:themeColor="text1"/>
              </w:rPr>
              <w:t>Расшифровка</w:t>
            </w:r>
          </w:p>
        </w:tc>
      </w:tr>
      <w:tr w:rsidR="009C0364" w:rsidRPr="003311A4" w:rsidTr="000B7A71">
        <w:trPr>
          <w:divId w:val="1333020968"/>
          <w:trHeight w:val="1060"/>
        </w:trPr>
        <w:tc>
          <w:tcPr>
            <w:tcW w:w="712" w:type="pct"/>
          </w:tcPr>
          <w:p w:rsidR="009C0364" w:rsidRPr="003311A4" w:rsidRDefault="009C0364" w:rsidP="005219AF">
            <w:pPr>
              <w:spacing w:line="240" w:lineRule="auto"/>
              <w:ind w:firstLine="0"/>
              <w:jc w:val="center"/>
              <w:rPr>
                <w:color w:val="000000" w:themeColor="text1"/>
              </w:rPr>
            </w:pPr>
            <w:r w:rsidRPr="003311A4">
              <w:rPr>
                <w:color w:val="000000" w:themeColor="text1"/>
                <w:lang w:val="en-US"/>
              </w:rPr>
              <w:t>A</w:t>
            </w:r>
          </w:p>
        </w:tc>
        <w:tc>
          <w:tcPr>
            <w:tcW w:w="4288" w:type="pct"/>
          </w:tcPr>
          <w:p w:rsidR="009C0364" w:rsidRPr="003311A4" w:rsidRDefault="009C0364" w:rsidP="005219AF">
            <w:pPr>
              <w:spacing w:line="240" w:lineRule="auto"/>
              <w:ind w:firstLine="0"/>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9C0364" w:rsidRPr="003311A4" w:rsidTr="000B7A71">
        <w:trPr>
          <w:divId w:val="1333020968"/>
          <w:trHeight w:val="558"/>
        </w:trPr>
        <w:tc>
          <w:tcPr>
            <w:tcW w:w="712" w:type="pct"/>
          </w:tcPr>
          <w:p w:rsidR="009C0364" w:rsidRPr="003311A4" w:rsidRDefault="009C0364" w:rsidP="005219AF">
            <w:pPr>
              <w:spacing w:line="240" w:lineRule="auto"/>
              <w:ind w:firstLine="0"/>
              <w:jc w:val="center"/>
              <w:rPr>
                <w:color w:val="000000" w:themeColor="text1"/>
              </w:rPr>
            </w:pPr>
            <w:r w:rsidRPr="003311A4">
              <w:rPr>
                <w:color w:val="000000" w:themeColor="text1"/>
              </w:rPr>
              <w:t>B</w:t>
            </w:r>
          </w:p>
        </w:tc>
        <w:tc>
          <w:tcPr>
            <w:tcW w:w="4288" w:type="pct"/>
          </w:tcPr>
          <w:p w:rsidR="009C0364" w:rsidRPr="003311A4" w:rsidRDefault="009C0364" w:rsidP="005219AF">
            <w:pPr>
              <w:spacing w:line="240" w:lineRule="auto"/>
              <w:ind w:firstLine="0"/>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311A4" w:rsidTr="000B7A71">
        <w:trPr>
          <w:divId w:val="1333020968"/>
          <w:trHeight w:val="798"/>
        </w:trPr>
        <w:tc>
          <w:tcPr>
            <w:tcW w:w="712" w:type="pct"/>
          </w:tcPr>
          <w:p w:rsidR="009C0364" w:rsidRPr="003311A4" w:rsidRDefault="009C0364" w:rsidP="005219AF">
            <w:pPr>
              <w:spacing w:line="240" w:lineRule="auto"/>
              <w:ind w:firstLine="0"/>
              <w:jc w:val="center"/>
              <w:rPr>
                <w:color w:val="000000" w:themeColor="text1"/>
              </w:rPr>
            </w:pPr>
            <w:r w:rsidRPr="003311A4">
              <w:rPr>
                <w:color w:val="000000" w:themeColor="text1"/>
              </w:rPr>
              <w:t>C</w:t>
            </w:r>
          </w:p>
        </w:tc>
        <w:tc>
          <w:tcPr>
            <w:tcW w:w="4288" w:type="pct"/>
          </w:tcPr>
          <w:p w:rsidR="009C0364" w:rsidRPr="003311A4" w:rsidRDefault="009C0364" w:rsidP="005219AF">
            <w:pPr>
              <w:spacing w:line="240" w:lineRule="auto"/>
              <w:ind w:firstLine="0"/>
              <w:rPr>
                <w:color w:val="000000" w:themeColor="text1"/>
              </w:rPr>
            </w:pPr>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heme="minorEastAsia"/>
        </w:rPr>
      </w:pPr>
      <w:r>
        <w:rPr>
          <w:rStyle w:val="affa"/>
        </w:rPr>
        <w:t>Порядок обновления клинических рекомендаций.</w:t>
      </w:r>
    </w:p>
    <w:p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 xml:space="preserve">года,а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rsidR="00091ED7" w:rsidRDefault="00091ED7" w:rsidP="00390C87">
      <w:pPr>
        <w:pStyle w:val="afff1"/>
        <w:divId w:val="1333020968"/>
      </w:pPr>
      <w:r w:rsidRPr="004469F1">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rsidR="00091ED7" w:rsidRDefault="00091ED7" w:rsidP="00390C87">
      <w:pPr>
        <w:pStyle w:val="aff2"/>
        <w:divId w:val="1333020968"/>
      </w:pPr>
      <w:r>
        <w:t>Не предусмотрены</w:t>
      </w:r>
    </w:p>
    <w:p w:rsidR="003E088A" w:rsidRDefault="003E088A" w:rsidP="00C55C6F">
      <w:pPr>
        <w:pStyle w:val="afff1"/>
        <w:outlineLvl w:val="9"/>
      </w:pPr>
    </w:p>
    <w:p w:rsidR="00851F5C" w:rsidRPr="003E088A" w:rsidRDefault="00851F5C" w:rsidP="00851F5C">
      <w:pPr>
        <w:pStyle w:val="afff1"/>
      </w:pPr>
      <w:bookmarkStart w:id="50" w:name="_Toc57983696"/>
      <w:r w:rsidRPr="003E088A">
        <w:t>Приложение Б. Алгоритмы действий врача</w:t>
      </w:r>
      <w:bookmarkEnd w:id="50"/>
    </w:p>
    <w:p w:rsidR="00851F5C" w:rsidRDefault="00851F5C" w:rsidP="00851F5C">
      <w:pPr>
        <w:pStyle w:val="afff1"/>
      </w:pPr>
    </w:p>
    <w:p w:rsidR="00851F5C" w:rsidRDefault="00851F5C" w:rsidP="00851F5C">
      <w:pPr>
        <w:pStyle w:val="afb"/>
        <w:ind w:firstLine="0"/>
      </w:pPr>
      <w:r>
        <w:rPr>
          <w:noProof/>
        </w:rPr>
        <w:drawing>
          <wp:inline distT="0" distB="0" distL="0" distR="0">
            <wp:extent cx="5740400" cy="3746500"/>
            <wp:effectExtent l="0" t="0" r="0" b="0"/>
            <wp:docPr id="1" name="Рисунок 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емия злокачественных новообразований.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40400" cy="3746500"/>
                    </a:xfrm>
                    <a:prstGeom prst="rect">
                      <a:avLst/>
                    </a:prstGeom>
                  </pic:spPr>
                </pic:pic>
              </a:graphicData>
            </a:graphic>
          </wp:inline>
        </w:drawing>
      </w:r>
    </w:p>
    <w:p w:rsidR="00851F5C" w:rsidRDefault="00851F5C" w:rsidP="00851F5C">
      <w:pPr>
        <w:pStyle w:val="afb"/>
        <w:ind w:firstLine="0"/>
      </w:pPr>
    </w:p>
    <w:p w:rsidR="00851F5C" w:rsidRDefault="00851F5C" w:rsidP="00851F5C">
      <w:pPr>
        <w:pStyle w:val="afff1"/>
      </w:pPr>
      <w:bookmarkStart w:id="51" w:name="__RefHeading___doc_v"/>
      <w:bookmarkStart w:id="52" w:name="_Toc57983697"/>
      <w:r>
        <w:t>Приложение В. Информация для пациент</w:t>
      </w:r>
      <w:bookmarkEnd w:id="51"/>
      <w:r>
        <w:t>а</w:t>
      </w:r>
      <w:bookmarkEnd w:id="52"/>
    </w:p>
    <w:p w:rsidR="00851F5C" w:rsidRPr="00345AC3" w:rsidRDefault="00851F5C" w:rsidP="00851F5C">
      <w:pPr>
        <w:pStyle w:val="afb"/>
        <w:rPr>
          <w:rFonts w:eastAsia="Calibri"/>
        </w:rPr>
      </w:pPr>
      <w:r w:rsidRPr="00851F5C">
        <w:rPr>
          <w:rFonts w:eastAsia="Calibri"/>
        </w:rPr>
        <w:t xml:space="preserve">Анемия часто сопровождает течение </w:t>
      </w:r>
      <w:r w:rsidRPr="00345AC3">
        <w:rPr>
          <w:rFonts w:eastAsia="Calibri"/>
        </w:rPr>
        <w:t>злокачественных новообразований у детей</w:t>
      </w:r>
      <w:r w:rsidR="00510809" w:rsidRPr="00345AC3">
        <w:rPr>
          <w:rFonts w:eastAsia="Calibri"/>
        </w:rPr>
        <w:t xml:space="preserve"> и взрослых</w:t>
      </w:r>
      <w:r w:rsidRPr="00345AC3">
        <w:rPr>
          <w:rFonts w:eastAsia="Calibri"/>
        </w:rPr>
        <w:t>, являясь следствием угнетения образования эритроцитов в костном мозге под действием опухоли или проводимой химиотерапии.</w:t>
      </w:r>
    </w:p>
    <w:p w:rsidR="00851F5C" w:rsidRPr="00345AC3" w:rsidRDefault="00851F5C" w:rsidP="00851F5C">
      <w:pPr>
        <w:pStyle w:val="afb"/>
        <w:rPr>
          <w:rFonts w:eastAsia="Calibri"/>
        </w:rPr>
      </w:pPr>
      <w:r w:rsidRPr="00345AC3">
        <w:rPr>
          <w:rFonts w:eastAsia="Calibri"/>
        </w:rPr>
        <w:t>Анемия не только ухудшает качество жизни, но и негативно влияет на выживаемость и, вероятно, на эффективность противоопухолевого лечения.</w:t>
      </w:r>
    </w:p>
    <w:p w:rsidR="00851F5C" w:rsidRPr="00345AC3" w:rsidRDefault="00851F5C" w:rsidP="00851F5C">
      <w:pPr>
        <w:pStyle w:val="afb"/>
        <w:rPr>
          <w:rFonts w:eastAsia="Calibri"/>
        </w:rPr>
      </w:pPr>
      <w:r w:rsidRPr="00345AC3">
        <w:rPr>
          <w:rFonts w:eastAsia="Calibri"/>
        </w:rPr>
        <w:t>Основными симптомами анемии являются сердцебиение, одышка, усиливающиеся при физической нагрузке, головокружение, шум в ушах, слабость, повышенная утомляемость, бледность кожных покровов. Следует отметить, что большинство симптомов являются неспецифическими признаками анемии, которые накладываются на симптомы основного заболевания и побочные эффекты ХТ.</w:t>
      </w:r>
    </w:p>
    <w:p w:rsidR="00851F5C" w:rsidRPr="00851F5C" w:rsidRDefault="00851F5C" w:rsidP="00851F5C">
      <w:pPr>
        <w:pStyle w:val="afb"/>
        <w:rPr>
          <w:rFonts w:eastAsia="Calibri"/>
        </w:rPr>
      </w:pPr>
      <w:r w:rsidRPr="00345AC3">
        <w:rPr>
          <w:rFonts w:eastAsia="Calibri"/>
        </w:rPr>
        <w:t>До настоящего времени рутинным методом лечения анемии у детей</w:t>
      </w:r>
      <w:r w:rsidR="00510809" w:rsidRPr="00345AC3">
        <w:rPr>
          <w:rFonts w:eastAsia="Calibri"/>
        </w:rPr>
        <w:t xml:space="preserve"> и взрослых</w:t>
      </w:r>
      <w:r w:rsidRPr="00345AC3">
        <w:rPr>
          <w:rFonts w:eastAsia="Calibri"/>
        </w:rPr>
        <w:t xml:space="preserve"> с</w:t>
      </w:r>
      <w:r w:rsidR="00510809" w:rsidRPr="00345AC3">
        <w:rPr>
          <w:rFonts w:eastAsia="Calibri"/>
        </w:rPr>
        <w:t>о ЗН</w:t>
      </w:r>
      <w:r w:rsidRPr="00345AC3">
        <w:rPr>
          <w:rFonts w:eastAsia="Calibri"/>
        </w:rPr>
        <w:t xml:space="preserve"> является переливание эритроцитарной массы, показания к которому, как правило, возникают при снижении концентрации Нb ниже 70 г/л или более высоких</w:t>
      </w:r>
      <w:r w:rsidRPr="00851F5C">
        <w:rPr>
          <w:rFonts w:eastAsia="Calibri"/>
        </w:rPr>
        <w:t xml:space="preserve"> уровнях Нb при наличии симптомов гипоксии. Недостатками гемотрансфузионной терапии являются </w:t>
      </w:r>
      <w:r w:rsidRPr="00851F5C">
        <w:rPr>
          <w:rFonts w:eastAsia="Calibri"/>
        </w:rPr>
        <w:lastRenderedPageBreak/>
        <w:t>непродолжительность достигнутого результата, риск развития ряда острых и отдаленных реакций и осложнений. При более высоких концентрациях Нв лечение не проводится.</w:t>
      </w:r>
    </w:p>
    <w:p w:rsidR="00091ED7" w:rsidRDefault="00851F5C" w:rsidP="00851F5C">
      <w:pPr>
        <w:pStyle w:val="afb"/>
        <w:rPr>
          <w:rFonts w:eastAsia="Calibri"/>
        </w:rPr>
      </w:pPr>
      <w:r w:rsidRPr="00851F5C">
        <w:rPr>
          <w:rFonts w:eastAsia="Calibri"/>
        </w:rPr>
        <w:t>В отдельных случаях, при относительных противопоказаниях к трансфузиям эритроцитной массы, в случае редкой группы крови или аллоиммунизации, либо при отказе пациента/родителей от трансфузий по религиозным соображениям коррекция анемии может проводиться  применением рчЭПО с препаратами железа. Кроме того, такая терапия оправдана для пациентов на паллиативном лечении. Терапия ЭСП может проводиться только на фоне химиотерапии и только с информированного согласия родителей/законных опекунов или самого пациента в случае достижения им возраста 16 лет.</w:t>
      </w:r>
    </w:p>
    <w:p w:rsidR="00091ED7" w:rsidRDefault="00091ED7">
      <w:pPr>
        <w:spacing w:line="240" w:lineRule="auto"/>
        <w:ind w:firstLine="0"/>
        <w:jc w:val="left"/>
        <w:rPr>
          <w:rFonts w:eastAsia="Calibri" w:cs="Times New Roman"/>
          <w:szCs w:val="24"/>
          <w:lang w:eastAsia="ru-RU"/>
        </w:rPr>
      </w:pPr>
      <w:r>
        <w:rPr>
          <w:rFonts w:eastAsia="Calibri"/>
        </w:rPr>
        <w:br w:type="page"/>
      </w:r>
    </w:p>
    <w:p w:rsidR="00851F5C" w:rsidRDefault="00091ED7" w:rsidP="00390C87">
      <w:pPr>
        <w:pStyle w:val="afff1"/>
      </w:pPr>
      <w:r w:rsidRPr="004469F1">
        <w:lastRenderedPageBreak/>
        <w:t>Приложение Г1 - Г</w:t>
      </w:r>
      <w:r>
        <w:rPr>
          <w:lang w:val="en-US"/>
        </w:rPr>
        <w:t>N</w:t>
      </w:r>
      <w:r w:rsidRPr="004469F1">
        <w:t>. Шкалы оценки, вопросники и другие оценочные инструменты состояния пациента, приведенные в клинических рекомендациях</w:t>
      </w:r>
    </w:p>
    <w:p w:rsidR="00091ED7" w:rsidRPr="00851F5C" w:rsidRDefault="00091ED7" w:rsidP="00851F5C">
      <w:pPr>
        <w:pStyle w:val="afb"/>
        <w:rPr>
          <w:rFonts w:eastAsia="Calibri"/>
        </w:rPr>
      </w:pPr>
      <w:r>
        <w:rPr>
          <w:sz w:val="22"/>
        </w:rPr>
        <w:t>Не применяются</w:t>
      </w:r>
    </w:p>
    <w:sectPr w:rsidR="00091ED7" w:rsidRPr="00851F5C" w:rsidSect="00925360">
      <w:headerReference w:type="default" r:id="rId9"/>
      <w:footerReference w:type="even" r:id="rId10"/>
      <w:footerReference w:type="default" r:id="rId11"/>
      <w:pgSz w:w="11900" w:h="16840"/>
      <w:pgMar w:top="1134" w:right="850" w:bottom="1134" w:left="1701" w:header="711" w:footer="32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A67" w:rsidRDefault="00AC6A67">
      <w:pPr>
        <w:spacing w:line="240" w:lineRule="auto"/>
      </w:pPr>
      <w:r>
        <w:separator/>
      </w:r>
    </w:p>
    <w:p w:rsidR="00AC6A67" w:rsidRDefault="00AC6A67"/>
  </w:endnote>
  <w:endnote w:type="continuationSeparator" w:id="1">
    <w:p w:rsidR="00AC6A67" w:rsidRDefault="00AC6A67">
      <w:pPr>
        <w:spacing w:line="240" w:lineRule="auto"/>
      </w:pPr>
      <w:r>
        <w:continuationSeparator/>
      </w:r>
    </w:p>
    <w:p w:rsidR="00AC6A67" w:rsidRDefault="00AC6A67"/>
  </w:endnote>
  <w:endnote w:type="continuationNotice" w:id="2">
    <w:p w:rsidR="00AC6A67" w:rsidRDefault="00AC6A67">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fff"/>
      </w:rPr>
      <w:id w:val="2093744988"/>
      <w:docPartObj>
        <w:docPartGallery w:val="Page Numbers (Bottom of Page)"/>
        <w:docPartUnique/>
      </w:docPartObj>
    </w:sdtPr>
    <w:sdtContent>
      <w:p w:rsidR="0000099A" w:rsidRDefault="000145B4" w:rsidP="00925360">
        <w:pPr>
          <w:pStyle w:val="afa"/>
          <w:framePr w:wrap="none" w:vAnchor="text" w:hAnchor="margin" w:xAlign="center" w:y="1"/>
          <w:rPr>
            <w:rStyle w:val="affff"/>
          </w:rPr>
        </w:pPr>
        <w:r>
          <w:rPr>
            <w:rStyle w:val="affff"/>
          </w:rPr>
          <w:fldChar w:fldCharType="begin"/>
        </w:r>
        <w:r w:rsidR="0000099A">
          <w:rPr>
            <w:rStyle w:val="affff"/>
          </w:rPr>
          <w:instrText xml:space="preserve"> PAGE </w:instrText>
        </w:r>
        <w:r>
          <w:rPr>
            <w:rStyle w:val="affff"/>
          </w:rPr>
          <w:fldChar w:fldCharType="end"/>
        </w:r>
      </w:p>
    </w:sdtContent>
  </w:sdt>
  <w:p w:rsidR="0000099A" w:rsidRDefault="0000099A">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fff"/>
      </w:rPr>
      <w:id w:val="-1578048758"/>
      <w:docPartObj>
        <w:docPartGallery w:val="Page Numbers (Bottom of Page)"/>
        <w:docPartUnique/>
      </w:docPartObj>
    </w:sdtPr>
    <w:sdtContent>
      <w:p w:rsidR="0000099A" w:rsidRDefault="000145B4" w:rsidP="00925360">
        <w:pPr>
          <w:pStyle w:val="afa"/>
          <w:framePr w:wrap="none" w:vAnchor="text" w:hAnchor="margin" w:xAlign="center" w:y="1"/>
          <w:rPr>
            <w:rStyle w:val="affff"/>
          </w:rPr>
        </w:pPr>
        <w:r>
          <w:rPr>
            <w:rStyle w:val="affff"/>
          </w:rPr>
          <w:fldChar w:fldCharType="begin"/>
        </w:r>
        <w:r w:rsidR="0000099A">
          <w:rPr>
            <w:rStyle w:val="affff"/>
          </w:rPr>
          <w:instrText xml:space="preserve"> PAGE </w:instrText>
        </w:r>
        <w:r>
          <w:rPr>
            <w:rStyle w:val="affff"/>
          </w:rPr>
          <w:fldChar w:fldCharType="separate"/>
        </w:r>
        <w:r w:rsidR="00C9671F">
          <w:rPr>
            <w:rStyle w:val="affff"/>
            <w:noProof/>
          </w:rPr>
          <w:t>3</w:t>
        </w:r>
        <w:r>
          <w:rPr>
            <w:rStyle w:val="affff"/>
          </w:rPr>
          <w:fldChar w:fldCharType="end"/>
        </w:r>
      </w:p>
    </w:sdtContent>
  </w:sdt>
  <w:p w:rsidR="0000099A" w:rsidRDefault="0000099A">
    <w:pPr>
      <w:pStyle w:val="af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A67" w:rsidRDefault="00AC6A67">
      <w:pPr>
        <w:spacing w:line="240" w:lineRule="auto"/>
      </w:pPr>
      <w:r>
        <w:separator/>
      </w:r>
    </w:p>
    <w:p w:rsidR="00AC6A67" w:rsidRDefault="00AC6A67"/>
  </w:footnote>
  <w:footnote w:type="continuationSeparator" w:id="1">
    <w:p w:rsidR="00AC6A67" w:rsidRDefault="00AC6A67">
      <w:pPr>
        <w:spacing w:line="240" w:lineRule="auto"/>
      </w:pPr>
      <w:r>
        <w:continuationSeparator/>
      </w:r>
    </w:p>
    <w:p w:rsidR="00AC6A67" w:rsidRDefault="00AC6A67"/>
  </w:footnote>
  <w:footnote w:type="continuationNotice" w:id="2">
    <w:p w:rsidR="00AC6A67" w:rsidRDefault="00AC6A6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9A" w:rsidRDefault="0000099A" w:rsidP="00186C35">
    <w:pPr>
      <w:pStyle w:val="af9"/>
      <w:ind w:firstLine="0"/>
      <w:rPr>
        <w:i/>
      </w:rPr>
    </w:pPr>
  </w:p>
  <w:p w:rsidR="0000099A" w:rsidRDefault="000009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4A37"/>
    <w:multiLevelType w:val="multilevel"/>
    <w:tmpl w:val="0090D9A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5607F9"/>
    <w:multiLevelType w:val="hybridMultilevel"/>
    <w:tmpl w:val="24D09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3A3C38"/>
    <w:multiLevelType w:val="hybridMultilevel"/>
    <w:tmpl w:val="06764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A7549C"/>
    <w:multiLevelType w:val="hybridMultilevel"/>
    <w:tmpl w:val="61101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FE3BD5"/>
    <w:multiLevelType w:val="hybridMultilevel"/>
    <w:tmpl w:val="37F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E87469"/>
    <w:multiLevelType w:val="hybridMultilevel"/>
    <w:tmpl w:val="4F8617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71421B"/>
    <w:multiLevelType w:val="hybridMultilevel"/>
    <w:tmpl w:val="A41AF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A434B5"/>
    <w:multiLevelType w:val="hybridMultilevel"/>
    <w:tmpl w:val="607CE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FC206D"/>
    <w:multiLevelType w:val="hybridMultilevel"/>
    <w:tmpl w:val="4F328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BA2FE6"/>
    <w:multiLevelType w:val="hybridMultilevel"/>
    <w:tmpl w:val="B09E1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4F95779"/>
    <w:multiLevelType w:val="hybridMultilevel"/>
    <w:tmpl w:val="09A68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D68468B"/>
    <w:multiLevelType w:val="hybridMultilevel"/>
    <w:tmpl w:val="E88A8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A90040"/>
    <w:multiLevelType w:val="hybridMultilevel"/>
    <w:tmpl w:val="9950004E"/>
    <w:lvl w:ilvl="0" w:tplc="616018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90C51"/>
    <w:multiLevelType w:val="hybridMultilevel"/>
    <w:tmpl w:val="498C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335678"/>
    <w:multiLevelType w:val="hybridMultilevel"/>
    <w:tmpl w:val="FF22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0A0287"/>
    <w:multiLevelType w:val="hybridMultilevel"/>
    <w:tmpl w:val="554E1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080F88"/>
    <w:multiLevelType w:val="hybridMultilevel"/>
    <w:tmpl w:val="C93A4CE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60F7789"/>
    <w:multiLevelType w:val="hybridMultilevel"/>
    <w:tmpl w:val="D4A2E6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76C3582B"/>
    <w:multiLevelType w:val="hybridMultilevel"/>
    <w:tmpl w:val="7116C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C8661D"/>
    <w:multiLevelType w:val="hybridMultilevel"/>
    <w:tmpl w:val="60308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B2B0462"/>
    <w:multiLevelType w:val="hybridMultilevel"/>
    <w:tmpl w:val="961C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155EAC"/>
    <w:multiLevelType w:val="hybridMultilevel"/>
    <w:tmpl w:val="6B4EF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DB7352"/>
    <w:multiLevelType w:val="hybridMultilevel"/>
    <w:tmpl w:val="9F4C8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EE2794"/>
    <w:multiLevelType w:val="hybridMultilevel"/>
    <w:tmpl w:val="33105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3"/>
  </w:num>
  <w:num w:numId="4">
    <w:abstractNumId w:val="22"/>
  </w:num>
  <w:num w:numId="5">
    <w:abstractNumId w:val="6"/>
  </w:num>
  <w:num w:numId="6">
    <w:abstractNumId w:val="25"/>
  </w:num>
  <w:num w:numId="7">
    <w:abstractNumId w:val="7"/>
  </w:num>
  <w:num w:numId="8">
    <w:abstractNumId w:val="20"/>
  </w:num>
  <w:num w:numId="9">
    <w:abstractNumId w:val="4"/>
  </w:num>
  <w:num w:numId="10">
    <w:abstractNumId w:val="17"/>
  </w:num>
  <w:num w:numId="11">
    <w:abstractNumId w:val="23"/>
  </w:num>
  <w:num w:numId="12">
    <w:abstractNumId w:val="3"/>
  </w:num>
  <w:num w:numId="13">
    <w:abstractNumId w:val="16"/>
  </w:num>
  <w:num w:numId="14">
    <w:abstractNumId w:val="15"/>
  </w:num>
  <w:num w:numId="15">
    <w:abstractNumId w:val="1"/>
  </w:num>
  <w:num w:numId="16">
    <w:abstractNumId w:val="12"/>
  </w:num>
  <w:num w:numId="17">
    <w:abstractNumId w:val="8"/>
  </w:num>
  <w:num w:numId="18">
    <w:abstractNumId w:val="24"/>
  </w:num>
  <w:num w:numId="19">
    <w:abstractNumId w:val="10"/>
  </w:num>
  <w:num w:numId="20">
    <w:abstractNumId w:val="11"/>
  </w:num>
  <w:num w:numId="21">
    <w:abstractNumId w:val="5"/>
  </w:num>
  <w:num w:numId="22">
    <w:abstractNumId w:val="18"/>
  </w:num>
  <w:num w:numId="23">
    <w:abstractNumId w:val="0"/>
  </w:num>
  <w:num w:numId="24">
    <w:abstractNumId w:val="2"/>
  </w:num>
  <w:num w:numId="25">
    <w:abstractNumId w:val="9"/>
  </w:num>
  <w:num w:numId="26">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stylePaneFormatFilter w:val="1728"/>
  <w:stylePaneSortMethod w:val="0000"/>
  <w:defaultTabStop w:val="708"/>
  <w:characterSpacingControl w:val="doNotCompress"/>
  <w:hdrShapeDefaults>
    <o:shapedefaults v:ext="edit" spidmax="7170"/>
  </w:hdrShapeDefaults>
  <w:footnotePr>
    <w:footnote w:id="0"/>
    <w:footnote w:id="1"/>
    <w:footnote w:id="2"/>
  </w:footnotePr>
  <w:endnotePr>
    <w:endnote w:id="0"/>
    <w:endnote w:id="1"/>
    <w:endnote w:id="2"/>
  </w:endnotePr>
  <w:compat/>
  <w:rsids>
    <w:rsidRoot w:val="00187BA3"/>
    <w:rsid w:val="0000099A"/>
    <w:rsid w:val="000012EF"/>
    <w:rsid w:val="00001800"/>
    <w:rsid w:val="000145B4"/>
    <w:rsid w:val="00015EE5"/>
    <w:rsid w:val="00021FEA"/>
    <w:rsid w:val="000366BC"/>
    <w:rsid w:val="000414F6"/>
    <w:rsid w:val="00044401"/>
    <w:rsid w:val="00044C70"/>
    <w:rsid w:val="0004675A"/>
    <w:rsid w:val="00051F38"/>
    <w:rsid w:val="00064FEC"/>
    <w:rsid w:val="00065D0C"/>
    <w:rsid w:val="00091ED7"/>
    <w:rsid w:val="00094ED6"/>
    <w:rsid w:val="00095933"/>
    <w:rsid w:val="000A277C"/>
    <w:rsid w:val="000B0DCD"/>
    <w:rsid w:val="000B3A94"/>
    <w:rsid w:val="000B544E"/>
    <w:rsid w:val="000B7239"/>
    <w:rsid w:val="000B7A71"/>
    <w:rsid w:val="000C05A6"/>
    <w:rsid w:val="000C3C4D"/>
    <w:rsid w:val="000E096D"/>
    <w:rsid w:val="000E14DB"/>
    <w:rsid w:val="000F3D33"/>
    <w:rsid w:val="00106B9E"/>
    <w:rsid w:val="00106EAB"/>
    <w:rsid w:val="00122110"/>
    <w:rsid w:val="001311E1"/>
    <w:rsid w:val="00135383"/>
    <w:rsid w:val="001372F0"/>
    <w:rsid w:val="00144C58"/>
    <w:rsid w:val="00146FA3"/>
    <w:rsid w:val="00150FA6"/>
    <w:rsid w:val="00151ADB"/>
    <w:rsid w:val="00161C62"/>
    <w:rsid w:val="00171B81"/>
    <w:rsid w:val="00171D80"/>
    <w:rsid w:val="00172112"/>
    <w:rsid w:val="00174593"/>
    <w:rsid w:val="0017531C"/>
    <w:rsid w:val="00175C52"/>
    <w:rsid w:val="0018657B"/>
    <w:rsid w:val="00186C35"/>
    <w:rsid w:val="00187BA3"/>
    <w:rsid w:val="001B4A54"/>
    <w:rsid w:val="001B4DEF"/>
    <w:rsid w:val="001B6923"/>
    <w:rsid w:val="001D194C"/>
    <w:rsid w:val="001D24E4"/>
    <w:rsid w:val="001D40F8"/>
    <w:rsid w:val="001D484A"/>
    <w:rsid w:val="001E3E62"/>
    <w:rsid w:val="001F36FB"/>
    <w:rsid w:val="001F413F"/>
    <w:rsid w:val="001F4A3C"/>
    <w:rsid w:val="002058E5"/>
    <w:rsid w:val="00207691"/>
    <w:rsid w:val="0020771B"/>
    <w:rsid w:val="0021380F"/>
    <w:rsid w:val="002145F1"/>
    <w:rsid w:val="002165EA"/>
    <w:rsid w:val="0021676E"/>
    <w:rsid w:val="002175E0"/>
    <w:rsid w:val="00217706"/>
    <w:rsid w:val="0022088A"/>
    <w:rsid w:val="00221384"/>
    <w:rsid w:val="002253C0"/>
    <w:rsid w:val="00240263"/>
    <w:rsid w:val="0024369F"/>
    <w:rsid w:val="00250C2D"/>
    <w:rsid w:val="0025228A"/>
    <w:rsid w:val="00255709"/>
    <w:rsid w:val="00255B40"/>
    <w:rsid w:val="00257E9E"/>
    <w:rsid w:val="002651E9"/>
    <w:rsid w:val="00265C34"/>
    <w:rsid w:val="002758A4"/>
    <w:rsid w:val="00275A41"/>
    <w:rsid w:val="0028096D"/>
    <w:rsid w:val="002929B1"/>
    <w:rsid w:val="002A0C02"/>
    <w:rsid w:val="002B1F47"/>
    <w:rsid w:val="002B20A1"/>
    <w:rsid w:val="002C165F"/>
    <w:rsid w:val="002C26A7"/>
    <w:rsid w:val="002D2CF7"/>
    <w:rsid w:val="002E3AD3"/>
    <w:rsid w:val="002E6C4C"/>
    <w:rsid w:val="002F0B70"/>
    <w:rsid w:val="002F154A"/>
    <w:rsid w:val="002F38B6"/>
    <w:rsid w:val="002F7719"/>
    <w:rsid w:val="00301C01"/>
    <w:rsid w:val="00305611"/>
    <w:rsid w:val="00311757"/>
    <w:rsid w:val="00315A5D"/>
    <w:rsid w:val="0032061E"/>
    <w:rsid w:val="00334F6C"/>
    <w:rsid w:val="00337A20"/>
    <w:rsid w:val="00342EE0"/>
    <w:rsid w:val="003443FE"/>
    <w:rsid w:val="00345AC3"/>
    <w:rsid w:val="00350D84"/>
    <w:rsid w:val="003527A8"/>
    <w:rsid w:val="00354395"/>
    <w:rsid w:val="00356B1B"/>
    <w:rsid w:val="003572AC"/>
    <w:rsid w:val="00364741"/>
    <w:rsid w:val="00366343"/>
    <w:rsid w:val="0036727F"/>
    <w:rsid w:val="0037752C"/>
    <w:rsid w:val="00377A20"/>
    <w:rsid w:val="00381476"/>
    <w:rsid w:val="00384B6A"/>
    <w:rsid w:val="0038545E"/>
    <w:rsid w:val="00386E06"/>
    <w:rsid w:val="00390C87"/>
    <w:rsid w:val="003956C7"/>
    <w:rsid w:val="003A1CDB"/>
    <w:rsid w:val="003A282F"/>
    <w:rsid w:val="003B0404"/>
    <w:rsid w:val="003B392D"/>
    <w:rsid w:val="003C12CA"/>
    <w:rsid w:val="003D5770"/>
    <w:rsid w:val="003E088A"/>
    <w:rsid w:val="003E29AE"/>
    <w:rsid w:val="003F0349"/>
    <w:rsid w:val="00401CD5"/>
    <w:rsid w:val="00407213"/>
    <w:rsid w:val="00410741"/>
    <w:rsid w:val="00426418"/>
    <w:rsid w:val="00427B0E"/>
    <w:rsid w:val="0044394B"/>
    <w:rsid w:val="00461B8C"/>
    <w:rsid w:val="00463C5B"/>
    <w:rsid w:val="0046588B"/>
    <w:rsid w:val="00467FA0"/>
    <w:rsid w:val="00474434"/>
    <w:rsid w:val="00475ED5"/>
    <w:rsid w:val="00480F4A"/>
    <w:rsid w:val="00483991"/>
    <w:rsid w:val="004914BD"/>
    <w:rsid w:val="0049584C"/>
    <w:rsid w:val="004978B3"/>
    <w:rsid w:val="004A0BA3"/>
    <w:rsid w:val="004C6DE4"/>
    <w:rsid w:val="004D6B87"/>
    <w:rsid w:val="004E1288"/>
    <w:rsid w:val="004E4126"/>
    <w:rsid w:val="004E5E50"/>
    <w:rsid w:val="004F413D"/>
    <w:rsid w:val="004F4F24"/>
    <w:rsid w:val="004F5C9C"/>
    <w:rsid w:val="004F6C4E"/>
    <w:rsid w:val="00500795"/>
    <w:rsid w:val="005008F9"/>
    <w:rsid w:val="00505412"/>
    <w:rsid w:val="00510809"/>
    <w:rsid w:val="0052193F"/>
    <w:rsid w:val="005219AF"/>
    <w:rsid w:val="005265E9"/>
    <w:rsid w:val="0052679E"/>
    <w:rsid w:val="0054298A"/>
    <w:rsid w:val="00547AE6"/>
    <w:rsid w:val="00550DBC"/>
    <w:rsid w:val="005569DE"/>
    <w:rsid w:val="005627B3"/>
    <w:rsid w:val="00562845"/>
    <w:rsid w:val="00564DDF"/>
    <w:rsid w:val="00565811"/>
    <w:rsid w:val="00577CFB"/>
    <w:rsid w:val="0058035B"/>
    <w:rsid w:val="00581BEB"/>
    <w:rsid w:val="00583004"/>
    <w:rsid w:val="0059075E"/>
    <w:rsid w:val="005940A0"/>
    <w:rsid w:val="00595A55"/>
    <w:rsid w:val="005A0F13"/>
    <w:rsid w:val="005B6D15"/>
    <w:rsid w:val="005B7062"/>
    <w:rsid w:val="005B7CEC"/>
    <w:rsid w:val="005C36E8"/>
    <w:rsid w:val="005C7877"/>
    <w:rsid w:val="005E4960"/>
    <w:rsid w:val="005E5D13"/>
    <w:rsid w:val="005F1198"/>
    <w:rsid w:val="005F668D"/>
    <w:rsid w:val="00604355"/>
    <w:rsid w:val="00612B28"/>
    <w:rsid w:val="00617339"/>
    <w:rsid w:val="00624531"/>
    <w:rsid w:val="0063380E"/>
    <w:rsid w:val="006364D5"/>
    <w:rsid w:val="00642038"/>
    <w:rsid w:val="006425FF"/>
    <w:rsid w:val="00642D96"/>
    <w:rsid w:val="006446A9"/>
    <w:rsid w:val="006446FF"/>
    <w:rsid w:val="006534F0"/>
    <w:rsid w:val="00653525"/>
    <w:rsid w:val="0066485C"/>
    <w:rsid w:val="0066740A"/>
    <w:rsid w:val="00674740"/>
    <w:rsid w:val="00677648"/>
    <w:rsid w:val="00681884"/>
    <w:rsid w:val="00685AA7"/>
    <w:rsid w:val="0068676A"/>
    <w:rsid w:val="00690549"/>
    <w:rsid w:val="006A2E22"/>
    <w:rsid w:val="006C3439"/>
    <w:rsid w:val="006E2F4D"/>
    <w:rsid w:val="006F300E"/>
    <w:rsid w:val="006F7AB7"/>
    <w:rsid w:val="00721EE2"/>
    <w:rsid w:val="0072615F"/>
    <w:rsid w:val="00727154"/>
    <w:rsid w:val="0075206A"/>
    <w:rsid w:val="0075513C"/>
    <w:rsid w:val="00771DCA"/>
    <w:rsid w:val="007800E2"/>
    <w:rsid w:val="0078489C"/>
    <w:rsid w:val="00793B19"/>
    <w:rsid w:val="007A016E"/>
    <w:rsid w:val="007A17FD"/>
    <w:rsid w:val="007A52E6"/>
    <w:rsid w:val="007B6060"/>
    <w:rsid w:val="007D42AC"/>
    <w:rsid w:val="007E1018"/>
    <w:rsid w:val="007E429F"/>
    <w:rsid w:val="007F529C"/>
    <w:rsid w:val="007F7BC2"/>
    <w:rsid w:val="00802CA4"/>
    <w:rsid w:val="008141CB"/>
    <w:rsid w:val="00821B88"/>
    <w:rsid w:val="00821E8A"/>
    <w:rsid w:val="0083096C"/>
    <w:rsid w:val="00834AEB"/>
    <w:rsid w:val="008358AE"/>
    <w:rsid w:val="008371F9"/>
    <w:rsid w:val="00845248"/>
    <w:rsid w:val="00845937"/>
    <w:rsid w:val="00851F5C"/>
    <w:rsid w:val="0085455C"/>
    <w:rsid w:val="0086221A"/>
    <w:rsid w:val="008679B5"/>
    <w:rsid w:val="00875D27"/>
    <w:rsid w:val="00877EF5"/>
    <w:rsid w:val="00890B9B"/>
    <w:rsid w:val="00890C4B"/>
    <w:rsid w:val="00895771"/>
    <w:rsid w:val="008A24EB"/>
    <w:rsid w:val="008B1147"/>
    <w:rsid w:val="008B7870"/>
    <w:rsid w:val="008D6C00"/>
    <w:rsid w:val="008D6F8C"/>
    <w:rsid w:val="008E1B7D"/>
    <w:rsid w:val="008E336D"/>
    <w:rsid w:val="00906BDC"/>
    <w:rsid w:val="00910303"/>
    <w:rsid w:val="009103C4"/>
    <w:rsid w:val="009145C9"/>
    <w:rsid w:val="00914F07"/>
    <w:rsid w:val="0091604A"/>
    <w:rsid w:val="00924161"/>
    <w:rsid w:val="00925360"/>
    <w:rsid w:val="009318D0"/>
    <w:rsid w:val="00932C9E"/>
    <w:rsid w:val="009423C8"/>
    <w:rsid w:val="009470C1"/>
    <w:rsid w:val="009517D7"/>
    <w:rsid w:val="0096015D"/>
    <w:rsid w:val="00966C0F"/>
    <w:rsid w:val="0097294B"/>
    <w:rsid w:val="009729D8"/>
    <w:rsid w:val="00985FE3"/>
    <w:rsid w:val="00991BF8"/>
    <w:rsid w:val="00993C7B"/>
    <w:rsid w:val="009A5949"/>
    <w:rsid w:val="009B4039"/>
    <w:rsid w:val="009C0364"/>
    <w:rsid w:val="009C0BE4"/>
    <w:rsid w:val="009C6B5A"/>
    <w:rsid w:val="009E13F8"/>
    <w:rsid w:val="009E2A39"/>
    <w:rsid w:val="009E2C2B"/>
    <w:rsid w:val="009E330C"/>
    <w:rsid w:val="009E685D"/>
    <w:rsid w:val="009F2091"/>
    <w:rsid w:val="00A054AC"/>
    <w:rsid w:val="00A212C3"/>
    <w:rsid w:val="00A23E4F"/>
    <w:rsid w:val="00A30CD8"/>
    <w:rsid w:val="00A311CB"/>
    <w:rsid w:val="00A37594"/>
    <w:rsid w:val="00A43CE5"/>
    <w:rsid w:val="00A53CD4"/>
    <w:rsid w:val="00A571EA"/>
    <w:rsid w:val="00A70F44"/>
    <w:rsid w:val="00A819EB"/>
    <w:rsid w:val="00A84901"/>
    <w:rsid w:val="00A84F10"/>
    <w:rsid w:val="00A8531D"/>
    <w:rsid w:val="00A859D3"/>
    <w:rsid w:val="00A85D58"/>
    <w:rsid w:val="00A86E5F"/>
    <w:rsid w:val="00A91645"/>
    <w:rsid w:val="00AA3BB0"/>
    <w:rsid w:val="00AA49EC"/>
    <w:rsid w:val="00AA4DAE"/>
    <w:rsid w:val="00AB384B"/>
    <w:rsid w:val="00AC6A67"/>
    <w:rsid w:val="00AD1990"/>
    <w:rsid w:val="00AE3406"/>
    <w:rsid w:val="00AE4DD3"/>
    <w:rsid w:val="00AE5092"/>
    <w:rsid w:val="00AE6678"/>
    <w:rsid w:val="00AF3168"/>
    <w:rsid w:val="00AF4C82"/>
    <w:rsid w:val="00B0565A"/>
    <w:rsid w:val="00B104EF"/>
    <w:rsid w:val="00B15DF4"/>
    <w:rsid w:val="00B23363"/>
    <w:rsid w:val="00B242A8"/>
    <w:rsid w:val="00B31FD7"/>
    <w:rsid w:val="00B46390"/>
    <w:rsid w:val="00B540B2"/>
    <w:rsid w:val="00B60E7A"/>
    <w:rsid w:val="00B6445C"/>
    <w:rsid w:val="00B65A2B"/>
    <w:rsid w:val="00B7479D"/>
    <w:rsid w:val="00B8195D"/>
    <w:rsid w:val="00B8218A"/>
    <w:rsid w:val="00B8401B"/>
    <w:rsid w:val="00B8507B"/>
    <w:rsid w:val="00BA46B4"/>
    <w:rsid w:val="00BA6A54"/>
    <w:rsid w:val="00BA6FF2"/>
    <w:rsid w:val="00BC0F0B"/>
    <w:rsid w:val="00BD0B32"/>
    <w:rsid w:val="00BD6685"/>
    <w:rsid w:val="00BD6C92"/>
    <w:rsid w:val="00BE4193"/>
    <w:rsid w:val="00BF1B99"/>
    <w:rsid w:val="00BF1DEF"/>
    <w:rsid w:val="00BF3A59"/>
    <w:rsid w:val="00C10D41"/>
    <w:rsid w:val="00C11435"/>
    <w:rsid w:val="00C20DD2"/>
    <w:rsid w:val="00C3055D"/>
    <w:rsid w:val="00C34847"/>
    <w:rsid w:val="00C3632B"/>
    <w:rsid w:val="00C4630C"/>
    <w:rsid w:val="00C50E9F"/>
    <w:rsid w:val="00C557E6"/>
    <w:rsid w:val="00C55C6F"/>
    <w:rsid w:val="00C5735C"/>
    <w:rsid w:val="00C70222"/>
    <w:rsid w:val="00C7421E"/>
    <w:rsid w:val="00C76650"/>
    <w:rsid w:val="00C80315"/>
    <w:rsid w:val="00C85A73"/>
    <w:rsid w:val="00C939AB"/>
    <w:rsid w:val="00C9671F"/>
    <w:rsid w:val="00CA2C5C"/>
    <w:rsid w:val="00CB19CA"/>
    <w:rsid w:val="00CB29F4"/>
    <w:rsid w:val="00CB562F"/>
    <w:rsid w:val="00CB6FFD"/>
    <w:rsid w:val="00CB71DA"/>
    <w:rsid w:val="00CC0CC6"/>
    <w:rsid w:val="00CC5156"/>
    <w:rsid w:val="00CC5BAC"/>
    <w:rsid w:val="00CC7701"/>
    <w:rsid w:val="00CD2797"/>
    <w:rsid w:val="00CD75E6"/>
    <w:rsid w:val="00CD77AA"/>
    <w:rsid w:val="00CF5291"/>
    <w:rsid w:val="00CF7A5A"/>
    <w:rsid w:val="00D07C36"/>
    <w:rsid w:val="00D11961"/>
    <w:rsid w:val="00D16E73"/>
    <w:rsid w:val="00D2153B"/>
    <w:rsid w:val="00D2226B"/>
    <w:rsid w:val="00D47897"/>
    <w:rsid w:val="00D51091"/>
    <w:rsid w:val="00D570F8"/>
    <w:rsid w:val="00D64F6F"/>
    <w:rsid w:val="00D65079"/>
    <w:rsid w:val="00D74813"/>
    <w:rsid w:val="00D74995"/>
    <w:rsid w:val="00D846DB"/>
    <w:rsid w:val="00D96EAB"/>
    <w:rsid w:val="00DA0D0E"/>
    <w:rsid w:val="00DA7C2F"/>
    <w:rsid w:val="00DC1F46"/>
    <w:rsid w:val="00DC1F88"/>
    <w:rsid w:val="00DD773D"/>
    <w:rsid w:val="00DE7B87"/>
    <w:rsid w:val="00DF4352"/>
    <w:rsid w:val="00E0145A"/>
    <w:rsid w:val="00E01ADE"/>
    <w:rsid w:val="00E01BD2"/>
    <w:rsid w:val="00E10DBD"/>
    <w:rsid w:val="00E172F7"/>
    <w:rsid w:val="00E178FD"/>
    <w:rsid w:val="00E25B6F"/>
    <w:rsid w:val="00E27323"/>
    <w:rsid w:val="00E37895"/>
    <w:rsid w:val="00E4105D"/>
    <w:rsid w:val="00E4137C"/>
    <w:rsid w:val="00E55C77"/>
    <w:rsid w:val="00E606F0"/>
    <w:rsid w:val="00E65564"/>
    <w:rsid w:val="00E946B8"/>
    <w:rsid w:val="00E96066"/>
    <w:rsid w:val="00E9658D"/>
    <w:rsid w:val="00EA6E3C"/>
    <w:rsid w:val="00EB2B59"/>
    <w:rsid w:val="00EB58BD"/>
    <w:rsid w:val="00EB78B2"/>
    <w:rsid w:val="00EC6C6C"/>
    <w:rsid w:val="00ED5598"/>
    <w:rsid w:val="00EE530C"/>
    <w:rsid w:val="00EE59C2"/>
    <w:rsid w:val="00F055BF"/>
    <w:rsid w:val="00F201E7"/>
    <w:rsid w:val="00F20B6B"/>
    <w:rsid w:val="00F31A8C"/>
    <w:rsid w:val="00F4013F"/>
    <w:rsid w:val="00F41995"/>
    <w:rsid w:val="00F422A2"/>
    <w:rsid w:val="00F4273B"/>
    <w:rsid w:val="00F43712"/>
    <w:rsid w:val="00F467CF"/>
    <w:rsid w:val="00F54B86"/>
    <w:rsid w:val="00F56CA3"/>
    <w:rsid w:val="00F60D62"/>
    <w:rsid w:val="00F62E50"/>
    <w:rsid w:val="00F66EC2"/>
    <w:rsid w:val="00F756F0"/>
    <w:rsid w:val="00F76439"/>
    <w:rsid w:val="00F80DBE"/>
    <w:rsid w:val="00F81529"/>
    <w:rsid w:val="00F81854"/>
    <w:rsid w:val="00F8226D"/>
    <w:rsid w:val="00FB3A10"/>
    <w:rsid w:val="00FC31C8"/>
    <w:rsid w:val="00FC49E2"/>
    <w:rsid w:val="00FC4C59"/>
    <w:rsid w:val="00FC7C18"/>
    <w:rsid w:val="00FD4952"/>
    <w:rsid w:val="00FD5E20"/>
    <w:rsid w:val="00FE20AC"/>
    <w:rsid w:val="00FF6B66"/>
    <w:rsid w:val="00FF7C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A41"/>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E9658D"/>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rsid w:val="009E685D"/>
    <w:rPr>
      <w:b/>
      <w:bCs/>
    </w:rPr>
  </w:style>
  <w:style w:type="character" w:styleId="affb">
    <w:name w:val="Emphasis"/>
    <w:basedOn w:val="a2"/>
    <w:uiPriority w:val="20"/>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E9658D"/>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character" w:styleId="affff">
    <w:name w:val="page number"/>
    <w:basedOn w:val="a2"/>
    <w:uiPriority w:val="99"/>
    <w:semiHidden/>
    <w:unhideWhenUsed/>
    <w:rsid w:val="00925360"/>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A49F-1409-49D7-A1B7-B682C953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38295</Words>
  <Characters>218284</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PCU</cp:lastModifiedBy>
  <cp:revision>2</cp:revision>
  <cp:lastPrinted>2016-10-07T09:24:00Z</cp:lastPrinted>
  <dcterms:created xsi:type="dcterms:W3CDTF">2020-12-14T11:44:00Z</dcterms:created>
  <dcterms:modified xsi:type="dcterms:W3CDTF">2020-12-14T11:44:00Z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557ca738-a0c4-3a69-aff2-aa601aaa397d</vt:lpwstr>
  </property>
  <property fmtid="{D5CDD505-2E9C-101B-9397-08002B2CF9AE}" pid="11" name="Mendeley Citation Style_1">
    <vt:lpwstr>http://www.zotero.org/styles/gost-r-7-0-5-2008-numeric</vt:lpwstr>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http://www.zotero.org/styles/american-sociological-association</vt:lpwstr>
  </property>
  <property fmtid="{D5CDD505-2E9C-101B-9397-08002B2CF9AE}" pid="17" name="Mendeley Recent Style Name 2_1">
    <vt:lpwstr>American Sociological Association</vt:lpwstr>
  </property>
  <property fmtid="{D5CDD505-2E9C-101B-9397-08002B2CF9AE}" pid="18" name="Mendeley Recent Style Id 3_1">
    <vt:lpwstr>http://www.zotero.org/styles/chicago-author-date</vt:lpwstr>
  </property>
  <property fmtid="{D5CDD505-2E9C-101B-9397-08002B2CF9AE}" pid="19" name="Mendeley Recent Style Name 3_1">
    <vt:lpwstr>Chicago Manual of Style 17th edition (author-date)</vt:lpwstr>
  </property>
  <property fmtid="{D5CDD505-2E9C-101B-9397-08002B2CF9AE}" pid="20" name="Mendeley Recent Style Id 4_1">
    <vt:lpwstr>http://www.zotero.org/styles/harvard-cite-them-right</vt:lpwstr>
  </property>
  <property fmtid="{D5CDD505-2E9C-101B-9397-08002B2CF9AE}" pid="21" name="Mendeley Recent Style Name 4_1">
    <vt:lpwstr>Cite Them Right 10th edition - Harvard</vt:lpwstr>
  </property>
  <property fmtid="{D5CDD505-2E9C-101B-9397-08002B2CF9AE}" pid="22" name="Mendeley Recent Style Id 5_1">
    <vt:lpwstr>http://www.zotero.org/styles/elsevier-vancouver</vt:lpwstr>
  </property>
  <property fmtid="{D5CDD505-2E9C-101B-9397-08002B2CF9AE}" pid="23" name="Mendeley Recent Style Name 5_1">
    <vt:lpwstr>Elsevier - Vancouver</vt:lpwstr>
  </property>
  <property fmtid="{D5CDD505-2E9C-101B-9397-08002B2CF9AE}" pid="24" name="Mendeley Recent Style Id 6_1">
    <vt:lpwstr>http://csl.mendeley.com/styles/466348871/elsevier-vancouver</vt:lpwstr>
  </property>
  <property fmtid="{D5CDD505-2E9C-101B-9397-08002B2CF9AE}" pid="25" name="Mendeley Recent Style Name 6_1">
    <vt:lpwstr>Elsevier - Vancouver - Vitaly Latyshev</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http://www.zotero.org/styles/gost-r-7-0-5-2008-numeric</vt:lpwstr>
  </property>
  <property fmtid="{D5CDD505-2E9C-101B-9397-08002B2CF9AE}" pid="31" name="Mendeley Recent Style Name 9_1">
    <vt:lpwstr>Russian GOST R 7.0.5-2008 (numeric)</vt:lpwstr>
  </property>
</Properties>
</file>